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16sdtdh w16sdtfl w16du wp14">
  <w:body>
    <w:p w:rsidRPr="005C1F7A" w:rsidR="00D63CA2" w:rsidP="005C1F7A" w:rsidRDefault="00EA78D2" w14:paraId="24067637" w14:textId="2A23BE89">
      <w:pPr>
        <w:spacing w:line="360" w:lineRule="auto"/>
        <w:jc w:val="center"/>
        <w:rPr>
          <w:rFonts w:ascii="Arial" w:hAnsi="Arial" w:eastAsia="Arial" w:cs="Arial"/>
          <w:b/>
          <w:bCs/>
          <w:sz w:val="36"/>
          <w:szCs w:val="36"/>
        </w:rPr>
      </w:pPr>
      <w:r w:rsidRPr="005C1F7A">
        <w:rPr>
          <w:noProof/>
          <w:sz w:val="36"/>
          <w:szCs w:val="36"/>
          <w:lang w:val="en-US"/>
        </w:rPr>
        <mc:AlternateContent>
          <mc:Choice Requires="wps">
            <w:drawing>
              <wp:inline distT="0" distB="0" distL="0" distR="0" wp14:anchorId="3435631C" wp14:editId="4BB9CD22">
                <wp:extent cx="300355" cy="300355"/>
                <wp:effectExtent l="0" t="0" r="0" b="0"/>
                <wp:docPr id="950571860" name="Rectangle 1" descr="UNIVERSITY OF WALES TRINITY SAINT DAVID (UWTSD) – Neuron Edu Car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 style="width:23.65pt;height:23.65pt;visibility:visible;mso-wrap-style:square;mso-left-percent:-10001;mso-top-percent:-10001;mso-position-horizontal:absolute;mso-position-horizontal-relative:char;mso-position-vertical:absolute;mso-position-vertical-relative:line;mso-left-percent:-10001;mso-top-percent:-10001;v-text-anchor:top" alt="UNIVERSITY OF WALES TRINITY SAINT DAVID (UWTSD) – Neuron Edu Care" o:spid="_x0000_s1026" filled="f" stroked="f" w14:anchorId="6662DE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o:lock v:ext="edit" aspectratio="t"/>
                <w10:anchorlock/>
              </v:rect>
            </w:pict>
          </mc:Fallback>
        </mc:AlternateContent>
      </w:r>
      <w:r w:rsidRPr="005C1F7A">
        <w:rPr>
          <w:noProof/>
          <w:sz w:val="36"/>
          <w:szCs w:val="36"/>
          <w:lang w:val="en-US"/>
        </w:rPr>
        <mc:AlternateContent>
          <mc:Choice Requires="wps">
            <w:drawing>
              <wp:inline distT="0" distB="0" distL="0" distR="0" wp14:anchorId="1B26A22C" wp14:editId="4ABA9F88">
                <wp:extent cx="300355" cy="300355"/>
                <wp:effectExtent l="0" t="0" r="0" b="0"/>
                <wp:docPr id="1945503080" name="Rectangle 2" descr="UNIVERSITY OF WALES TRINITY SAINT DAVID (UWTSD) – Neuron Edu Car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2" style="width:23.65pt;height:23.65pt;visibility:visible;mso-wrap-style:square;mso-left-percent:-10001;mso-top-percent:-10001;mso-position-horizontal:absolute;mso-position-horizontal-relative:char;mso-position-vertical:absolute;mso-position-vertical-relative:line;mso-left-percent:-10001;mso-top-percent:-10001;v-text-anchor:top" alt="UNIVERSITY OF WALES TRINITY SAINT DAVID (UWTSD) – Neuron Edu Care" o:spid="_x0000_s1026" filled="f" stroked="f" w14:anchorId="193F71F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o:lock v:ext="edit" aspectratio="t"/>
                <w10:anchorlock/>
              </v:rect>
            </w:pict>
          </mc:Fallback>
        </mc:AlternateContent>
      </w:r>
      <w:r w:rsidRPr="005C1F7A">
        <w:rPr>
          <w:noProof/>
          <w:sz w:val="36"/>
          <w:szCs w:val="36"/>
          <w:lang w:val="en-US"/>
        </w:rPr>
        <w:drawing>
          <wp:inline distT="0" distB="0" distL="0" distR="0" wp14:anchorId="5F81A8B4" wp14:editId="1375D2C6">
            <wp:extent cx="2852420" cy="1146175"/>
            <wp:effectExtent l="0" t="0" r="5080" b="0"/>
            <wp:docPr id="2040714467" name="Picture 3"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UK | Application, Courses, Fee,  Ranking | Standyo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2420" cy="1146175"/>
                    </a:xfrm>
                    <a:prstGeom prst="rect">
                      <a:avLst/>
                    </a:prstGeom>
                    <a:noFill/>
                    <a:ln>
                      <a:noFill/>
                    </a:ln>
                  </pic:spPr>
                </pic:pic>
              </a:graphicData>
            </a:graphic>
          </wp:inline>
        </w:drawing>
      </w:r>
    </w:p>
    <w:p w:rsidRPr="005C1F7A" w:rsidR="00EA78D2" w:rsidP="005C1F7A" w:rsidRDefault="00EA78D2" w14:paraId="01CC4678" w14:textId="77777777">
      <w:pPr>
        <w:spacing w:line="360" w:lineRule="auto"/>
        <w:jc w:val="center"/>
        <w:rPr>
          <w:rFonts w:ascii="Arial" w:hAnsi="Arial" w:eastAsia="Arial" w:cs="Arial"/>
          <w:b/>
          <w:bCs/>
          <w:sz w:val="36"/>
          <w:szCs w:val="36"/>
        </w:rPr>
      </w:pPr>
      <w:r w:rsidRPr="005C1F7A">
        <w:rPr>
          <w:rFonts w:ascii="Arial" w:hAnsi="Arial" w:eastAsia="Arial" w:cs="Arial"/>
          <w:b/>
          <w:bCs/>
          <w:sz w:val="36"/>
          <w:szCs w:val="36"/>
        </w:rPr>
        <w:t>Programme: Master of Business Administration</w:t>
      </w:r>
    </w:p>
    <w:p w:rsidRPr="005C1F7A" w:rsidR="00EA78D2" w:rsidP="005C1F7A" w:rsidRDefault="00EA78D2" w14:paraId="14B81E6C" w14:textId="77777777">
      <w:pPr>
        <w:spacing w:line="360" w:lineRule="auto"/>
        <w:jc w:val="center"/>
        <w:rPr>
          <w:rFonts w:ascii="Arial" w:hAnsi="Arial" w:eastAsia="Arial" w:cs="Arial"/>
          <w:b/>
          <w:bCs/>
          <w:sz w:val="36"/>
          <w:szCs w:val="36"/>
        </w:rPr>
      </w:pPr>
      <w:r w:rsidRPr="005C1F7A">
        <w:rPr>
          <w:rFonts w:ascii="Arial" w:hAnsi="Arial" w:eastAsia="Arial" w:cs="Arial"/>
          <w:b/>
          <w:bCs/>
          <w:sz w:val="36"/>
          <w:szCs w:val="36"/>
        </w:rPr>
        <w:t>Module: Dissertation</w:t>
      </w:r>
    </w:p>
    <w:p w:rsidRPr="005C1F7A" w:rsidR="00D63CA2" w:rsidP="005C1F7A" w:rsidRDefault="00EA78D2" w14:paraId="27097DA9" w14:textId="533B330A">
      <w:pPr>
        <w:spacing w:line="360" w:lineRule="auto"/>
        <w:jc w:val="center"/>
        <w:rPr>
          <w:rFonts w:ascii="Arial" w:hAnsi="Arial" w:eastAsia="Arial" w:cs="Arial"/>
          <w:b/>
          <w:bCs/>
          <w:sz w:val="36"/>
          <w:szCs w:val="36"/>
        </w:rPr>
      </w:pPr>
      <w:r w:rsidRPr="005C1F7A">
        <w:rPr>
          <w:rFonts w:ascii="Arial" w:hAnsi="Arial" w:eastAsia="Arial" w:cs="Arial"/>
          <w:b/>
          <w:bCs/>
          <w:sz w:val="36"/>
          <w:szCs w:val="36"/>
        </w:rPr>
        <w:t>Module code: LCMB7035</w:t>
      </w:r>
    </w:p>
    <w:p w:rsidR="005C1F7A" w:rsidP="005C1F7A" w:rsidRDefault="005C1F7A" w14:paraId="50FC40FF" w14:textId="77777777">
      <w:pPr>
        <w:spacing w:line="360" w:lineRule="auto"/>
        <w:jc w:val="center"/>
        <w:rPr>
          <w:rFonts w:ascii="Arial" w:hAnsi="Arial" w:eastAsia="Arial" w:cs="Arial"/>
          <w:b/>
          <w:bCs/>
          <w:sz w:val="36"/>
          <w:szCs w:val="36"/>
        </w:rPr>
      </w:pPr>
    </w:p>
    <w:p w:rsidRPr="005C1F7A" w:rsidR="00D63CA2" w:rsidP="005C1F7A" w:rsidRDefault="00BF2F3A" w14:paraId="3226739E" w14:textId="5E21C7D6">
      <w:pPr>
        <w:spacing w:line="360" w:lineRule="auto"/>
        <w:jc w:val="center"/>
        <w:rPr>
          <w:rFonts w:ascii="Arial" w:hAnsi="Arial" w:eastAsia="Arial" w:cs="Arial"/>
          <w:b/>
          <w:bCs/>
          <w:i/>
          <w:iCs/>
          <w:sz w:val="36"/>
          <w:szCs w:val="36"/>
        </w:rPr>
      </w:pPr>
      <w:r w:rsidRPr="005C1F7A">
        <w:rPr>
          <w:rFonts w:ascii="Arial" w:hAnsi="Arial" w:eastAsia="Arial" w:cs="Arial"/>
          <w:b/>
          <w:bCs/>
          <w:i/>
          <w:iCs/>
          <w:sz w:val="36"/>
          <w:szCs w:val="36"/>
        </w:rPr>
        <w:t>The Role of Employee Training and Development in Human Capital Management: A Critical Literature Review</w:t>
      </w:r>
    </w:p>
    <w:p w:rsidRPr="005C1F7A" w:rsidR="00D63CA2" w:rsidP="005C1F7A" w:rsidRDefault="00D63CA2" w14:paraId="27826D5C" w14:textId="77777777">
      <w:pPr>
        <w:spacing w:line="360" w:lineRule="auto"/>
        <w:rPr>
          <w:rFonts w:ascii="Arial" w:hAnsi="Arial" w:eastAsia="Arial" w:cs="Arial"/>
          <w:b/>
          <w:bCs/>
          <w:sz w:val="36"/>
          <w:szCs w:val="36"/>
        </w:rPr>
      </w:pPr>
    </w:p>
    <w:p w:rsidRPr="005C1F7A" w:rsidR="00D63CA2" w:rsidP="005C1F7A" w:rsidRDefault="00BF2F3A" w14:paraId="51AA1B84" w14:textId="67C82A25">
      <w:pPr>
        <w:spacing w:line="360" w:lineRule="auto"/>
        <w:jc w:val="center"/>
        <w:rPr>
          <w:rFonts w:ascii="Arial" w:hAnsi="Arial" w:eastAsia="Arial" w:cs="Arial"/>
          <w:b w:val="1"/>
          <w:bCs w:val="1"/>
          <w:sz w:val="36"/>
          <w:szCs w:val="36"/>
        </w:rPr>
      </w:pPr>
      <w:r w:rsidRPr="573B7504" w:rsidR="00BF2F3A">
        <w:rPr>
          <w:rFonts w:ascii="Arial" w:hAnsi="Arial" w:eastAsia="Arial" w:cs="Arial"/>
          <w:b w:val="1"/>
          <w:bCs w:val="1"/>
          <w:sz w:val="36"/>
          <w:szCs w:val="36"/>
        </w:rPr>
        <w:t>Student Name:</w:t>
      </w:r>
      <w:r w:rsidRPr="573B7504" w:rsidR="39355706">
        <w:rPr>
          <w:rFonts w:ascii="Arial" w:hAnsi="Arial" w:eastAsia="Arial" w:cs="Arial"/>
          <w:b w:val="1"/>
          <w:bCs w:val="1"/>
          <w:sz w:val="36"/>
          <w:szCs w:val="36"/>
        </w:rPr>
        <w:t xml:space="preserve"> Akul Shailesh Panchal</w:t>
      </w:r>
    </w:p>
    <w:p w:rsidRPr="005C1F7A" w:rsidR="00D63CA2" w:rsidP="005C1F7A" w:rsidRDefault="00D63CA2" w14:paraId="05EE8088" w14:textId="77777777">
      <w:pPr>
        <w:spacing w:line="360" w:lineRule="auto"/>
        <w:jc w:val="center"/>
        <w:rPr>
          <w:rFonts w:ascii="Arial" w:hAnsi="Arial" w:eastAsia="Arial" w:cs="Arial"/>
          <w:b/>
          <w:bCs/>
          <w:sz w:val="36"/>
          <w:szCs w:val="36"/>
        </w:rPr>
      </w:pPr>
    </w:p>
    <w:p w:rsidRPr="005C1F7A" w:rsidR="00B40E50" w:rsidP="005C1F7A" w:rsidRDefault="00BF2F3A" w14:paraId="2F5C2936" w14:textId="4FA3FEA6">
      <w:pPr>
        <w:spacing w:line="360" w:lineRule="auto"/>
        <w:jc w:val="center"/>
        <w:rPr>
          <w:rFonts w:ascii="Arial" w:hAnsi="Arial" w:eastAsia="Arial" w:cs="Arial"/>
          <w:b w:val="1"/>
          <w:bCs w:val="1"/>
          <w:sz w:val="36"/>
          <w:szCs w:val="36"/>
        </w:rPr>
      </w:pPr>
      <w:r w:rsidRPr="573B7504" w:rsidR="00BF2F3A">
        <w:rPr>
          <w:rFonts w:ascii="Arial" w:hAnsi="Arial" w:eastAsia="Arial" w:cs="Arial"/>
          <w:b w:val="1"/>
          <w:bCs w:val="1"/>
          <w:sz w:val="36"/>
          <w:szCs w:val="36"/>
        </w:rPr>
        <w:t>Student ID:</w:t>
      </w:r>
      <w:r w:rsidRPr="573B7504" w:rsidR="5DE63D8E">
        <w:rPr>
          <w:rFonts w:ascii="Arial" w:hAnsi="Arial" w:eastAsia="Arial" w:cs="Arial"/>
          <w:b w:val="1"/>
          <w:bCs w:val="1"/>
          <w:sz w:val="36"/>
          <w:szCs w:val="36"/>
        </w:rPr>
        <w:t xml:space="preserve"> 2428878</w:t>
      </w:r>
    </w:p>
    <w:p w:rsidRPr="0027235C" w:rsidR="00B40E50" w:rsidRDefault="00B40E50" w14:paraId="6C5A7053" w14:textId="77777777">
      <w:pPr>
        <w:rPr>
          <w:rFonts w:ascii="Arial" w:hAnsi="Arial" w:eastAsia="Arial" w:cs="Arial"/>
          <w:b/>
          <w:bCs/>
          <w:sz w:val="40"/>
          <w:szCs w:val="40"/>
        </w:rPr>
      </w:pPr>
      <w:r w:rsidRPr="0027235C">
        <w:rPr>
          <w:rFonts w:ascii="Arial" w:hAnsi="Arial" w:eastAsia="Arial" w:cs="Arial"/>
          <w:b/>
          <w:bCs/>
          <w:sz w:val="40"/>
          <w:szCs w:val="40"/>
        </w:rPr>
        <w:br w:type="page"/>
      </w:r>
    </w:p>
    <w:p w:rsidRPr="0027235C" w:rsidR="00B40E50" w:rsidP="00B40E50" w:rsidRDefault="00B40E50" w14:paraId="5CD55301"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lastRenderedPageBreak/>
        <w:t>Declaration</w:t>
      </w:r>
    </w:p>
    <w:p w:rsidRPr="0027235C" w:rsidR="00B40E50" w:rsidP="00B40E50" w:rsidRDefault="00093C5D" w14:paraId="7EDE2626" w14:textId="56C3B573">
      <w:pPr>
        <w:spacing w:line="360" w:lineRule="auto"/>
        <w:jc w:val="both"/>
      </w:pPr>
      <w:r w:rsidRPr="573B7504" w:rsidR="00093C5D">
        <w:rPr>
          <w:rFonts w:ascii="Arial" w:hAnsi="Arial" w:eastAsia="Arial" w:cs="Arial"/>
          <w:sz w:val="24"/>
          <w:szCs w:val="24"/>
        </w:rPr>
        <w:t>I declare that this dissertation is an original piece of my own research and has been done in compliance with the scholastic provisions and ethical provisions of the University. Every thought, point, information, theory and evidence borrowed by other authors and sources have been properly recogni</w:t>
      </w:r>
      <w:r w:rsidRPr="573B7504" w:rsidR="0065284A">
        <w:rPr>
          <w:rFonts w:ascii="Arial" w:hAnsi="Arial" w:eastAsia="Arial" w:cs="Arial"/>
          <w:sz w:val="24"/>
          <w:szCs w:val="24"/>
        </w:rPr>
        <w:t>s</w:t>
      </w:r>
      <w:r w:rsidRPr="573B7504" w:rsidR="00093C5D">
        <w:rPr>
          <w:rFonts w:ascii="Arial" w:hAnsi="Arial" w:eastAsia="Arial" w:cs="Arial"/>
          <w:sz w:val="24"/>
          <w:szCs w:val="24"/>
        </w:rPr>
        <w:t>ed using the Harvard referencing. None of the sections of this dissertation has been previously copied, reproduced or submitted to another academic award without due credit. I attest that all references have been referenced correctly and listed in the references list. I reali</w:t>
      </w:r>
      <w:r w:rsidRPr="573B7504" w:rsidR="0065284A">
        <w:rPr>
          <w:rFonts w:ascii="Arial" w:hAnsi="Arial" w:eastAsia="Arial" w:cs="Arial"/>
          <w:sz w:val="24"/>
          <w:szCs w:val="24"/>
        </w:rPr>
        <w:t>s</w:t>
      </w:r>
      <w:r w:rsidRPr="573B7504" w:rsidR="00093C5D">
        <w:rPr>
          <w:rFonts w:ascii="Arial" w:hAnsi="Arial" w:eastAsia="Arial" w:cs="Arial"/>
          <w:sz w:val="24"/>
          <w:szCs w:val="24"/>
        </w:rPr>
        <w:t>e the significance of academic integrity and I am responsible to the authenticity, accuracy and originality of the work presented in this dissertation.</w:t>
      </w:r>
    </w:p>
    <w:p w:rsidR="2AACC855" w:rsidP="573B7504" w:rsidRDefault="2AACC855" w14:paraId="605B1F38" w14:textId="7FD9F90E">
      <w:pPr>
        <w:pStyle w:val="Normal"/>
        <w:spacing w:line="360" w:lineRule="auto"/>
        <w:jc w:val="center"/>
        <w:rPr>
          <w:rFonts w:ascii="Arial" w:hAnsi="Arial" w:eastAsia="Arial" w:cs="Arial"/>
          <w:b w:val="1"/>
          <w:bCs w:val="1"/>
          <w:sz w:val="36"/>
          <w:szCs w:val="36"/>
        </w:rPr>
      </w:pPr>
      <w:r w:rsidR="2AACC855">
        <w:drawing>
          <wp:inline wp14:editId="30D8D520" wp14:anchorId="6DDFED06">
            <wp:extent cx="2852420" cy="1146175"/>
            <wp:effectExtent l="0" t="0" r="5080" b="0"/>
            <wp:docPr id="156722339" name="Picture 3" descr="University of Wales Trinity Saint David, UK | Application, Courses, Fee,  Ranking | Standyou"/>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5" descr="University of Wales Trinity Saint David, UK | Application, Courses, Fee,  Ranking | Standyou"/>
                    <pic:cNvPicPr>
                      <a:picLocks noChangeAspect="1" noChangeArrowheads="1"/>
                    </pic:cNvPicPr>
                  </pic:nvPicPr>
                  <pic:blipFill>
                    <a:blip xmlns:r="http://schemas.openxmlformats.org/officeDocument/2006/relationships" r:embed="rId9">
                      <a:extLst>
                        <a:ext uri="{28A0092B-C50C-407E-A947-70E740481C1C}">
                          <a14:useLocalDpi xmlns:a14="http://schemas.microsoft.com/office/drawing/2010/main" val="0"/>
                        </a:ext>
                      </a:extLst>
                    </a:blip>
                    <a:srcRect/>
                    <a:stretch>
                      <a:fillRect/>
                    </a:stretch>
                  </pic:blipFill>
                  <pic:spPr bwMode="auto">
                    <a:xfrm>
                      <a:off x="0" y="0"/>
                      <a:ext cx="2852420" cy="1146175"/>
                    </a:xfrm>
                    <a:prstGeom prst="rect">
                      <a:avLst/>
                    </a:prstGeom>
                    <a:noFill/>
                    <a:ln>
                      <a:noFill/>
                    </a:ln>
                  </pic:spPr>
                </pic:pic>
              </a:graphicData>
            </a:graphic>
          </wp:inline>
        </w:drawing>
      </w:r>
    </w:p>
    <w:p w:rsidR="78F738E0" w:rsidP="573B7504" w:rsidRDefault="78F738E0" w14:paraId="13F447CD" w14:textId="6C425B7E">
      <w:pPr>
        <w:spacing w:before="0" w:beforeAutospacing="off" w:after="0" w:afterAutospacing="off"/>
        <w:jc w:val="both"/>
      </w:pPr>
      <w:r w:rsidRPr="573B7504" w:rsidR="78F738E0">
        <w:rPr>
          <w:rFonts w:ascii="Arial" w:hAnsi="Arial" w:eastAsia="Arial" w:cs="Arial"/>
          <w:b w:val="1"/>
          <w:bCs w:val="1"/>
          <w:noProof w:val="0"/>
          <w:color w:val="000000" w:themeColor="text1" w:themeTint="FF" w:themeShade="FF"/>
          <w:sz w:val="28"/>
          <w:szCs w:val="28"/>
          <w:lang w:val="en-GB"/>
        </w:rPr>
        <w:t xml:space="preserve">Master’s Degrees by Examination and Dissertation </w:t>
      </w:r>
    </w:p>
    <w:p w:rsidR="78F738E0" w:rsidP="573B7504" w:rsidRDefault="78F738E0" w14:paraId="34164334" w14:textId="7BE726B5">
      <w:pPr>
        <w:spacing w:before="0" w:beforeAutospacing="off" w:after="0" w:afterAutospacing="off"/>
        <w:jc w:val="both"/>
      </w:pPr>
      <w:r w:rsidRPr="573B7504" w:rsidR="78F738E0">
        <w:rPr>
          <w:rFonts w:ascii="Arial" w:hAnsi="Arial" w:eastAsia="Arial" w:cs="Arial"/>
          <w:b w:val="1"/>
          <w:bCs w:val="1"/>
          <w:noProof w:val="0"/>
          <w:color w:val="000000" w:themeColor="text1" w:themeTint="FF" w:themeShade="FF"/>
          <w:sz w:val="28"/>
          <w:szCs w:val="28"/>
          <w:lang w:val="en-GB"/>
        </w:rPr>
        <w:t>Declaration Form</w:t>
      </w:r>
      <w:r w:rsidRPr="573B7504" w:rsidR="78F738E0">
        <w:rPr>
          <w:rFonts w:ascii="Arial" w:hAnsi="Arial" w:eastAsia="Arial" w:cs="Arial"/>
          <w:noProof w:val="0"/>
          <w:color w:val="000000" w:themeColor="text1" w:themeTint="FF" w:themeShade="FF"/>
          <w:sz w:val="28"/>
          <w:szCs w:val="28"/>
          <w:lang w:val="en-GB"/>
        </w:rPr>
        <w:t xml:space="preserve">. </w:t>
      </w:r>
    </w:p>
    <w:p w:rsidR="573B7504" w:rsidP="573B7504" w:rsidRDefault="573B7504" w14:paraId="270A1615" w14:textId="4DCA48D2">
      <w:pPr>
        <w:spacing w:before="0" w:beforeAutospacing="off" w:after="0" w:afterAutospacing="off"/>
        <w:jc w:val="both"/>
        <w:rPr>
          <w:rFonts w:ascii="Arial" w:hAnsi="Arial" w:eastAsia="Arial" w:cs="Arial"/>
          <w:noProof w:val="0"/>
          <w:color w:val="000000" w:themeColor="text1" w:themeTint="FF" w:themeShade="FF"/>
          <w:sz w:val="24"/>
          <w:szCs w:val="24"/>
          <w:lang w:val="en-GB"/>
        </w:rPr>
      </w:pPr>
    </w:p>
    <w:p w:rsidR="78F738E0" w:rsidP="573B7504" w:rsidRDefault="78F738E0" w14:paraId="3AFA47D8" w14:textId="12E1E37A">
      <w:pPr>
        <w:spacing w:before="0" w:beforeAutospacing="off" w:after="0" w:afterAutospacing="off"/>
        <w:jc w:val="both"/>
        <w:rPr>
          <w:rFonts w:ascii="Arial" w:hAnsi="Arial" w:eastAsia="Arial" w:cs="Arial"/>
          <w:noProof w:val="0"/>
          <w:sz w:val="28"/>
          <w:szCs w:val="28"/>
          <w:lang w:val="en-GB"/>
        </w:rPr>
      </w:pPr>
      <w:r w:rsidRPr="573B7504" w:rsidR="78F738E0">
        <w:rPr>
          <w:rFonts w:ascii="Arial" w:hAnsi="Arial" w:eastAsia="Arial" w:cs="Arial"/>
          <w:noProof w:val="0"/>
          <w:color w:val="auto"/>
          <w:sz w:val="28"/>
          <w:szCs w:val="28"/>
          <w:lang w:val="en-GB" w:eastAsia="en-US" w:bidi="ar-SA"/>
        </w:rPr>
        <w:t xml:space="preserve">I, Akul Shailesh Panchal, declare that this dissertation has been composed by </w:t>
      </w:r>
    </w:p>
    <w:p w:rsidR="78F738E0" w:rsidP="573B7504" w:rsidRDefault="78F738E0" w14:paraId="363EC48C" w14:textId="3C82BEC6">
      <w:pPr>
        <w:spacing w:before="0" w:beforeAutospacing="off" w:after="0" w:afterAutospacing="off"/>
        <w:jc w:val="both"/>
        <w:rPr>
          <w:rFonts w:ascii="Arial" w:hAnsi="Arial" w:eastAsia="Arial" w:cs="Arial"/>
          <w:noProof w:val="0"/>
          <w:sz w:val="28"/>
          <w:szCs w:val="28"/>
          <w:lang w:val="en-GB"/>
        </w:rPr>
      </w:pPr>
      <w:r w:rsidRPr="573B7504" w:rsidR="78F738E0">
        <w:rPr>
          <w:rFonts w:ascii="Arial" w:hAnsi="Arial" w:eastAsia="Arial" w:cs="Arial"/>
          <w:noProof w:val="0"/>
          <w:color w:val="auto"/>
          <w:sz w:val="28"/>
          <w:szCs w:val="28"/>
          <w:lang w:val="en-GB" w:eastAsia="en-US" w:bidi="ar-SA"/>
        </w:rPr>
        <w:t xml:space="preserve">myself, that the work contained herein is entirely my own except where </w:t>
      </w:r>
    </w:p>
    <w:p w:rsidR="78F738E0" w:rsidP="573B7504" w:rsidRDefault="78F738E0" w14:paraId="56F754AC" w14:textId="2FBDC2CF">
      <w:pPr>
        <w:spacing w:before="0" w:beforeAutospacing="off" w:after="0" w:afterAutospacing="off"/>
        <w:jc w:val="both"/>
        <w:rPr>
          <w:rFonts w:ascii="Arial" w:hAnsi="Arial" w:eastAsia="Arial" w:cs="Arial"/>
          <w:noProof w:val="0"/>
          <w:sz w:val="28"/>
          <w:szCs w:val="28"/>
          <w:lang w:val="en-GB"/>
        </w:rPr>
      </w:pPr>
      <w:r w:rsidRPr="573B7504" w:rsidR="78F738E0">
        <w:rPr>
          <w:rFonts w:ascii="Arial" w:hAnsi="Arial" w:eastAsia="Arial" w:cs="Arial"/>
          <w:noProof w:val="0"/>
          <w:color w:val="auto"/>
          <w:sz w:val="28"/>
          <w:szCs w:val="28"/>
          <w:lang w:val="en-GB" w:eastAsia="en-US" w:bidi="ar-SA"/>
        </w:rPr>
        <w:t xml:space="preserve">explicitly stated otherwise in the text, and that this work has not been </w:t>
      </w:r>
    </w:p>
    <w:p w:rsidR="78F738E0" w:rsidP="573B7504" w:rsidRDefault="78F738E0" w14:paraId="4552A85C" w14:textId="3207F8D4">
      <w:pPr>
        <w:spacing w:before="0" w:beforeAutospacing="off" w:after="0" w:afterAutospacing="off"/>
        <w:jc w:val="both"/>
        <w:rPr>
          <w:rFonts w:ascii="Arial" w:hAnsi="Arial" w:eastAsia="Arial" w:cs="Arial"/>
          <w:noProof w:val="0"/>
          <w:sz w:val="28"/>
          <w:szCs w:val="28"/>
          <w:lang w:val="en-GB"/>
        </w:rPr>
      </w:pPr>
      <w:r w:rsidRPr="573B7504" w:rsidR="78F738E0">
        <w:rPr>
          <w:rFonts w:ascii="Arial" w:hAnsi="Arial" w:eastAsia="Arial" w:cs="Arial"/>
          <w:noProof w:val="0"/>
          <w:color w:val="auto"/>
          <w:sz w:val="28"/>
          <w:szCs w:val="28"/>
          <w:lang w:val="en-GB" w:eastAsia="en-US" w:bidi="ar-SA"/>
        </w:rPr>
        <w:t xml:space="preserve">submitted for any other degree or qualification, in whole or in part, except as </w:t>
      </w:r>
      <w:r w:rsidRPr="573B7504" w:rsidR="78F738E0">
        <w:rPr>
          <w:rFonts w:ascii="Arial" w:hAnsi="Arial" w:eastAsia="Arial" w:cs="Arial"/>
          <w:noProof w:val="0"/>
          <w:color w:val="auto"/>
          <w:sz w:val="28"/>
          <w:szCs w:val="28"/>
          <w:lang w:val="en-GB" w:eastAsia="en-US" w:bidi="ar-SA"/>
        </w:rPr>
        <w:t xml:space="preserve">specified. </w:t>
      </w:r>
    </w:p>
    <w:p w:rsidR="573B7504" w:rsidP="573B7504" w:rsidRDefault="573B7504" w14:paraId="0DFB3F74" w14:textId="05F1FF76">
      <w:pPr>
        <w:spacing w:before="0" w:beforeAutospacing="off" w:after="0" w:afterAutospacing="off"/>
        <w:jc w:val="both"/>
        <w:rPr>
          <w:rFonts w:ascii="Arial" w:hAnsi="Arial" w:eastAsia="Arial" w:cs="Arial"/>
          <w:noProof w:val="0"/>
          <w:color w:val="auto"/>
          <w:sz w:val="28"/>
          <w:szCs w:val="28"/>
          <w:lang w:val="en-GB" w:eastAsia="en-US" w:bidi="ar-SA"/>
        </w:rPr>
      </w:pPr>
    </w:p>
    <w:p w:rsidR="78F738E0" w:rsidP="573B7504" w:rsidRDefault="78F738E0" w14:paraId="396DA85F" w14:textId="29DEF667">
      <w:pPr>
        <w:spacing w:before="0" w:beforeAutospacing="off" w:after="0" w:afterAutospacing="off"/>
        <w:jc w:val="both"/>
        <w:rPr>
          <w:rFonts w:ascii="Arial" w:hAnsi="Arial" w:eastAsia="Arial" w:cs="Arial"/>
          <w:noProof w:val="0"/>
          <w:sz w:val="28"/>
          <w:szCs w:val="28"/>
          <w:lang w:val="en-GB"/>
        </w:rPr>
      </w:pPr>
      <w:r w:rsidRPr="573B7504" w:rsidR="78F738E0">
        <w:rPr>
          <w:rFonts w:ascii="Arial" w:hAnsi="Arial" w:eastAsia="Arial" w:cs="Arial"/>
          <w:noProof w:val="0"/>
          <w:color w:val="auto"/>
          <w:sz w:val="28"/>
          <w:szCs w:val="28"/>
          <w:lang w:val="en-GB" w:eastAsia="en-US" w:bidi="ar-SA"/>
        </w:rPr>
        <w:t>Signature:  Akul Shailesh Panchal</w:t>
      </w:r>
    </w:p>
    <w:p w:rsidR="78F738E0" w:rsidP="573B7504" w:rsidRDefault="78F738E0" w14:paraId="58A7F27B" w14:textId="4C1E9583">
      <w:pPr>
        <w:spacing w:before="0" w:beforeAutospacing="off" w:after="0" w:afterAutospacing="off"/>
        <w:jc w:val="both"/>
        <w:rPr>
          <w:rFonts w:ascii="Arial" w:hAnsi="Arial" w:eastAsia="Arial" w:cs="Arial"/>
          <w:noProof w:val="0"/>
          <w:sz w:val="28"/>
          <w:szCs w:val="28"/>
          <w:lang w:val="en-GB"/>
        </w:rPr>
      </w:pPr>
      <w:r w:rsidRPr="573B7504" w:rsidR="78F738E0">
        <w:rPr>
          <w:rFonts w:ascii="Arial" w:hAnsi="Arial" w:eastAsia="Arial" w:cs="Arial"/>
          <w:noProof w:val="0"/>
          <w:color w:val="auto"/>
          <w:sz w:val="28"/>
          <w:szCs w:val="28"/>
          <w:lang w:val="en-GB" w:eastAsia="en-US" w:bidi="ar-SA"/>
        </w:rPr>
        <w:t>Date: 25/09/2026</w:t>
      </w:r>
    </w:p>
    <w:p w:rsidR="573B7504" w:rsidP="573B7504" w:rsidRDefault="573B7504" w14:paraId="2F3A1DB0" w14:textId="2D77AAB3">
      <w:pPr>
        <w:spacing w:line="360" w:lineRule="auto"/>
        <w:jc w:val="both"/>
        <w:rPr>
          <w:rFonts w:ascii="Arial" w:hAnsi="Arial" w:eastAsia="Arial" w:cs="Arial"/>
          <w:sz w:val="28"/>
          <w:szCs w:val="28"/>
        </w:rPr>
      </w:pPr>
    </w:p>
    <w:p w:rsidRPr="0027235C" w:rsidR="00B40E50" w:rsidRDefault="00B40E50" w14:paraId="461B913E" w14:textId="77777777">
      <w:pPr>
        <w:rPr>
          <w:rFonts w:ascii="Arial" w:hAnsi="Arial" w:eastAsia="Arial" w:cs="Arial"/>
          <w:sz w:val="24"/>
          <w:szCs w:val="24"/>
        </w:rPr>
      </w:pPr>
      <w:r w:rsidRPr="0027235C">
        <w:rPr>
          <w:rFonts w:ascii="Arial" w:hAnsi="Arial" w:eastAsia="Arial" w:cs="Arial"/>
          <w:sz w:val="24"/>
          <w:szCs w:val="24"/>
        </w:rPr>
        <w:br w:type="page"/>
      </w:r>
    </w:p>
    <w:p w:rsidRPr="0027235C" w:rsidR="00B40E50" w:rsidP="00B40E50" w:rsidRDefault="00B40E50" w14:paraId="0A0A9588"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lastRenderedPageBreak/>
        <w:t>AI Use Acknowledgement</w:t>
      </w:r>
    </w:p>
    <w:p w:rsidRPr="0027235C" w:rsidR="00093C5D" w:rsidP="00B40E50" w:rsidRDefault="00093C5D" w14:paraId="0914BC21" w14:textId="1326E0D3">
      <w:pPr>
        <w:spacing w:line="360" w:lineRule="auto"/>
        <w:jc w:val="both"/>
        <w:rPr>
          <w:rFonts w:ascii="Arial" w:hAnsi="Arial" w:eastAsia="Arial" w:cs="Arial"/>
          <w:sz w:val="24"/>
          <w:szCs w:val="24"/>
        </w:rPr>
      </w:pPr>
      <w:r w:rsidRPr="0027235C">
        <w:rPr>
          <w:rFonts w:ascii="Arial" w:hAnsi="Arial" w:eastAsia="Arial" w:cs="Arial"/>
          <w:sz w:val="24"/>
          <w:szCs w:val="24"/>
        </w:rPr>
        <w:t>There was no use of generative AI tools in the preparation of this dissertation. The author is fully accountable to the accuracy, originality and academic honesty of the work submitted. The referenced external academic sources and evidence applied in the dissertation have been rightly recogni</w:t>
      </w:r>
      <w:r w:rsidR="0065284A">
        <w:rPr>
          <w:rFonts w:ascii="Arial" w:hAnsi="Arial" w:eastAsia="Arial" w:cs="Arial"/>
          <w:sz w:val="24"/>
          <w:szCs w:val="24"/>
        </w:rPr>
        <w:t>s</w:t>
      </w:r>
      <w:r w:rsidRPr="0027235C">
        <w:rPr>
          <w:rFonts w:ascii="Arial" w:hAnsi="Arial" w:eastAsia="Arial" w:cs="Arial"/>
          <w:sz w:val="24"/>
          <w:szCs w:val="24"/>
        </w:rPr>
        <w:t>ed and cited in line with the necessary Harvard referencing format.</w:t>
      </w:r>
    </w:p>
    <w:p w:rsidRPr="0027235C" w:rsidR="00093C5D" w:rsidRDefault="00093C5D" w14:paraId="2A08792D" w14:textId="77777777">
      <w:pPr>
        <w:rPr>
          <w:rFonts w:ascii="Arial" w:hAnsi="Arial" w:eastAsia="Arial" w:cs="Arial"/>
          <w:sz w:val="24"/>
          <w:szCs w:val="24"/>
        </w:rPr>
      </w:pPr>
      <w:r w:rsidRPr="0027235C">
        <w:rPr>
          <w:rFonts w:ascii="Arial" w:hAnsi="Arial" w:eastAsia="Arial" w:cs="Arial"/>
          <w:sz w:val="24"/>
          <w:szCs w:val="24"/>
        </w:rPr>
        <w:br w:type="page"/>
      </w:r>
    </w:p>
    <w:p w:rsidRPr="0027235C" w:rsidR="00093C5D" w:rsidP="00093C5D" w:rsidRDefault="00093C5D" w14:paraId="6E5CD3D7"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lastRenderedPageBreak/>
        <w:t>Acknowledgements</w:t>
      </w:r>
    </w:p>
    <w:p w:rsidRPr="0027235C" w:rsidR="00093C5D" w:rsidP="00093C5D" w:rsidRDefault="00093C5D" w14:paraId="7A37C3CE" w14:textId="6BD5C6CE">
      <w:pPr>
        <w:spacing w:line="360" w:lineRule="auto"/>
        <w:jc w:val="both"/>
        <w:rPr>
          <w:rFonts w:ascii="Arial" w:hAnsi="Arial" w:eastAsia="Arial" w:cs="Arial"/>
          <w:sz w:val="24"/>
          <w:szCs w:val="24"/>
        </w:rPr>
      </w:pPr>
      <w:r w:rsidRPr="0027235C">
        <w:rPr>
          <w:rFonts w:ascii="Arial" w:hAnsi="Arial" w:eastAsia="Arial" w:cs="Arial"/>
          <w:sz w:val="24"/>
          <w:szCs w:val="24"/>
        </w:rPr>
        <w:t>I would also like to mention that my dissertation supervisor has been of great help to me, with all the guidance, constructive feedbacks and academic support that was given to me during this research. I also owe my academic staff of the university the credit of shaping my knowledge and research skills in the programme. I would like to thank my family members and friends who remained supportive, patient and tolerant as I achieved this dissertation. Their assistance was a source of encouragement at tough moments in the research process. Lastly, I would like to recogni</w:t>
      </w:r>
      <w:r w:rsidR="0065284A">
        <w:rPr>
          <w:rFonts w:ascii="Arial" w:hAnsi="Arial" w:eastAsia="Arial" w:cs="Arial"/>
          <w:sz w:val="24"/>
          <w:szCs w:val="24"/>
        </w:rPr>
        <w:t>s</w:t>
      </w:r>
      <w:r w:rsidRPr="0027235C">
        <w:rPr>
          <w:rFonts w:ascii="Arial" w:hAnsi="Arial" w:eastAsia="Arial" w:cs="Arial"/>
          <w:sz w:val="24"/>
          <w:szCs w:val="24"/>
        </w:rPr>
        <w:t>e all those who helped either directly or indirectly with the successful achievement of this dissertation and my academic career.</w:t>
      </w:r>
    </w:p>
    <w:p w:rsidRPr="0027235C" w:rsidR="00093C5D" w:rsidRDefault="00093C5D" w14:paraId="2E3E716C" w14:textId="77777777">
      <w:pPr>
        <w:rPr>
          <w:rFonts w:ascii="Arial" w:hAnsi="Arial" w:eastAsia="Arial" w:cs="Arial"/>
          <w:sz w:val="24"/>
          <w:szCs w:val="24"/>
        </w:rPr>
      </w:pPr>
      <w:r w:rsidRPr="0027235C">
        <w:rPr>
          <w:rFonts w:ascii="Arial" w:hAnsi="Arial" w:eastAsia="Arial" w:cs="Arial"/>
          <w:sz w:val="24"/>
          <w:szCs w:val="24"/>
        </w:rPr>
        <w:br w:type="page"/>
      </w:r>
    </w:p>
    <w:p w:rsidRPr="0027235C" w:rsidR="00093C5D" w:rsidP="00093C5D" w:rsidRDefault="00093C5D" w14:paraId="63D375D6"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lastRenderedPageBreak/>
        <w:t>Abstract</w:t>
      </w:r>
    </w:p>
    <w:p w:rsidRPr="0027235C" w:rsidR="00093C5D" w:rsidP="00093C5D" w:rsidRDefault="00093C5D" w14:paraId="1F87E12D" w14:textId="2D6E41AA">
      <w:pPr>
        <w:spacing w:line="360" w:lineRule="auto"/>
        <w:jc w:val="both"/>
        <w:rPr>
          <w:rFonts w:ascii="Arial" w:hAnsi="Arial" w:eastAsia="Arial" w:cs="Arial"/>
          <w:b/>
          <w:bCs/>
          <w:sz w:val="24"/>
          <w:szCs w:val="24"/>
        </w:rPr>
      </w:pPr>
      <w:r w:rsidRPr="0027235C">
        <w:rPr>
          <w:rFonts w:ascii="Arial" w:hAnsi="Arial" w:eastAsia="Arial" w:cs="Arial"/>
          <w:sz w:val="24"/>
          <w:szCs w:val="24"/>
        </w:rPr>
        <w:t xml:space="preserve">This dissertation critically analysed the role of training and development of employees in effective Human Capital Management (HCM) with specific focus on the development of capabilities, transfer of learning, employee engagement, retention and organisational performance. The research question of the study was: what is the role of employee training and development in effective Human Capital Management? The systematic literature review was conducted based on peer-reviewed academic materials published mainly in </w:t>
      </w:r>
      <w:r w:rsidR="00F55E4F">
        <w:rPr>
          <w:rFonts w:ascii="Arial" w:hAnsi="Arial" w:eastAsia="Arial" w:cs="Arial"/>
          <w:sz w:val="24"/>
          <w:szCs w:val="24"/>
        </w:rPr>
        <w:t>2016</w:t>
      </w:r>
      <w:r w:rsidRPr="0027235C">
        <w:rPr>
          <w:rFonts w:ascii="Arial" w:hAnsi="Arial" w:eastAsia="Arial" w:cs="Arial"/>
          <w:sz w:val="24"/>
          <w:szCs w:val="24"/>
        </w:rPr>
        <w:t>-2026. Literature was located using various academic databases, filtered using PRISMA-type procedure, quality filtered, and analysed thematically. The final base of evidence was 50 studies. The results revealed that training and development generated strategic human-capital value where learning was pertinent, carried into practice at the workplace and facilitated by the right organisational environment. Transfer of learning became the key that bridged the gap between investment in training and the long-term employee and organisational performance. The review also established that engagement, satisfaction, commitment and retention could be enhanced in cases where the employees perceived organisational support and meaningful career opportunities. Nonetheless, employee motivation, programme design, managerial and peer support, learning climate and the opportunities to apply the acquired knowledge affected the training outcomes. The dissertation advanced a Strategic Training-to-Human-Capital Framework value of capability and relational pathways in which training created HCM results. In general, the research arrived at the conclusion that the effective HCM demanded the organisations to go beyond the provision of the training to the strategic management, the utilisation, sharing and continual renewal of the capabilities of the employees.</w:t>
      </w:r>
    </w:p>
    <w:p w:rsidRPr="0027235C" w:rsidR="00093C5D" w:rsidP="00093C5D" w:rsidRDefault="00093C5D" w14:paraId="425C77AC" w14:textId="20DBF70F">
      <w:pPr>
        <w:spacing w:line="360" w:lineRule="auto"/>
        <w:jc w:val="both"/>
        <w:rPr>
          <w:rFonts w:ascii="Arial" w:hAnsi="Arial" w:eastAsia="Arial" w:cs="Arial"/>
          <w:sz w:val="24"/>
          <w:szCs w:val="24"/>
        </w:rPr>
      </w:pPr>
    </w:p>
    <w:p w:rsidRPr="0027235C" w:rsidR="00093C5D" w:rsidP="00093C5D" w:rsidRDefault="00093C5D" w14:paraId="1E2EC481" w14:textId="77777777">
      <w:pPr>
        <w:spacing w:line="360" w:lineRule="auto"/>
        <w:jc w:val="both"/>
        <w:rPr>
          <w:rFonts w:ascii="Arial" w:hAnsi="Arial" w:eastAsia="Arial" w:cs="Arial"/>
          <w:sz w:val="24"/>
          <w:szCs w:val="24"/>
        </w:rPr>
      </w:pPr>
    </w:p>
    <w:p w:rsidRPr="0027235C" w:rsidR="00B40E50" w:rsidP="00B40E50" w:rsidRDefault="00B40E50" w14:paraId="4D097F30" w14:textId="77777777">
      <w:pPr>
        <w:spacing w:line="360" w:lineRule="auto"/>
        <w:jc w:val="both"/>
        <w:rPr>
          <w:rFonts w:ascii="Arial" w:hAnsi="Arial" w:eastAsia="Arial" w:cs="Arial"/>
          <w:sz w:val="24"/>
          <w:szCs w:val="24"/>
        </w:rPr>
      </w:pPr>
    </w:p>
    <w:p w:rsidRPr="0027235C" w:rsidR="00EA78D2" w:rsidP="00B40E50" w:rsidRDefault="00EA78D2" w14:paraId="7D95EE62" w14:textId="77777777">
      <w:pPr>
        <w:spacing w:line="360" w:lineRule="auto"/>
        <w:jc w:val="both"/>
        <w:rPr>
          <w:rFonts w:ascii="Arial" w:hAnsi="Arial" w:eastAsia="Arial" w:cs="Arial"/>
          <w:sz w:val="24"/>
          <w:szCs w:val="24"/>
        </w:rPr>
      </w:pPr>
    </w:p>
    <w:p w:rsidRPr="0027235C" w:rsidR="00D63CA2" w:rsidP="00EA78D2" w:rsidRDefault="00BF2F3A" w14:paraId="29C59243" w14:textId="2121F90D">
      <w:pPr>
        <w:spacing w:line="360" w:lineRule="auto"/>
        <w:jc w:val="center"/>
        <w:rPr>
          <w:rFonts w:ascii="Arial" w:hAnsi="Arial" w:eastAsia="Arial" w:cs="Arial"/>
        </w:rPr>
      </w:pPr>
      <w:r w:rsidRPr="0027235C">
        <w:br w:type="page"/>
      </w:r>
    </w:p>
    <w:p w:rsidRPr="00D61675" w:rsidR="00D63CA2" w:rsidP="00D61675" w:rsidRDefault="00BF2F3A" w14:paraId="1B88D84D" w14:textId="77777777">
      <w:pPr>
        <w:keepNext/>
        <w:keepLines/>
        <w:pBdr>
          <w:top w:val="nil"/>
          <w:left w:val="nil"/>
          <w:bottom w:val="nil"/>
          <w:right w:val="nil"/>
          <w:between w:val="nil"/>
        </w:pBdr>
        <w:spacing w:before="240" w:after="0" w:line="360" w:lineRule="auto"/>
        <w:jc w:val="center"/>
        <w:rPr>
          <w:rFonts w:ascii="Arial" w:hAnsi="Arial" w:eastAsia="Arial" w:cs="Arial"/>
          <w:b/>
          <w:bCs/>
          <w:sz w:val="24"/>
          <w:szCs w:val="24"/>
        </w:rPr>
      </w:pPr>
      <w:r w:rsidRPr="00D61675">
        <w:rPr>
          <w:rFonts w:ascii="Arial" w:hAnsi="Arial" w:eastAsia="Arial" w:cs="Arial"/>
          <w:b/>
          <w:bCs/>
          <w:sz w:val="24"/>
          <w:szCs w:val="24"/>
        </w:rPr>
        <w:lastRenderedPageBreak/>
        <w:t>Table of Contents</w:t>
      </w:r>
    </w:p>
    <w:sdt>
      <w:sdtPr>
        <w:rPr>
          <w:rFonts w:ascii="Arial" w:hAnsi="Arial" w:cs="Arial"/>
          <w:sz w:val="24"/>
          <w:szCs w:val="24"/>
        </w:rPr>
        <w:id w:val="791964084"/>
        <w:docPartObj>
          <w:docPartGallery w:val="Table of Contents"/>
          <w:docPartUnique/>
        </w:docPartObj>
      </w:sdtPr>
      <w:sdtContent>
        <w:p w:rsidRPr="00A06AC8" w:rsidR="00A06AC8" w:rsidRDefault="00BF2F3A" w14:paraId="51123AFF" w14:textId="66507001">
          <w:pPr>
            <w:pStyle w:val="TOC1"/>
            <w:tabs>
              <w:tab w:val="right" w:leader="dot" w:pos="9016"/>
            </w:tabs>
            <w:rPr>
              <w:rFonts w:ascii="Arial" w:hAnsi="Arial" w:cs="Arial" w:eastAsiaTheme="minorEastAsia"/>
              <w:noProof/>
              <w:sz w:val="24"/>
              <w:szCs w:val="24"/>
              <w:lang w:val="en-US"/>
            </w:rPr>
          </w:pPr>
          <w:r w:rsidRPr="00F55E4F">
            <w:rPr>
              <w:rFonts w:ascii="Arial" w:hAnsi="Arial" w:cs="Arial"/>
              <w:sz w:val="24"/>
              <w:szCs w:val="24"/>
            </w:rPr>
            <w:fldChar w:fldCharType="begin"/>
          </w:r>
          <w:r w:rsidRPr="00F55E4F">
            <w:rPr>
              <w:rFonts w:ascii="Arial" w:hAnsi="Arial" w:cs="Arial"/>
              <w:sz w:val="24"/>
              <w:szCs w:val="24"/>
            </w:rPr>
            <w:instrText xml:space="preserve"> TOC \h \u \z \t "Heading 1,1,Heading 2,2,Heading 3,3,"</w:instrText>
          </w:r>
          <w:r w:rsidRPr="00F55E4F">
            <w:rPr>
              <w:rFonts w:ascii="Arial" w:hAnsi="Arial" w:cs="Arial"/>
              <w:sz w:val="24"/>
              <w:szCs w:val="24"/>
            </w:rPr>
            <w:fldChar w:fldCharType="separate"/>
          </w:r>
          <w:hyperlink w:history="1" w:anchor="_Toc239530774">
            <w:r w:rsidRPr="00A06AC8" w:rsidR="00A06AC8">
              <w:rPr>
                <w:rStyle w:val="Hyperlink"/>
                <w:rFonts w:ascii="Arial" w:hAnsi="Arial" w:eastAsia="Arial" w:cs="Arial"/>
                <w:noProof/>
                <w:sz w:val="24"/>
                <w:szCs w:val="24"/>
              </w:rPr>
              <w:t>Chapter 1: Introduction</w:t>
            </w:r>
            <w:r w:rsidRPr="00A06AC8" w:rsidR="00A06AC8">
              <w:rPr>
                <w:rFonts w:ascii="Arial" w:hAnsi="Arial" w:cs="Arial"/>
                <w:noProof/>
                <w:webHidden/>
                <w:sz w:val="24"/>
                <w:szCs w:val="24"/>
              </w:rPr>
              <w:tab/>
            </w:r>
            <w:r w:rsidRPr="00A06AC8" w:rsidR="00A06AC8">
              <w:rPr>
                <w:rFonts w:ascii="Arial" w:hAnsi="Arial" w:cs="Arial"/>
                <w:noProof/>
                <w:webHidden/>
                <w:sz w:val="24"/>
                <w:szCs w:val="24"/>
              </w:rPr>
              <w:fldChar w:fldCharType="begin"/>
            </w:r>
            <w:r w:rsidRPr="00A06AC8" w:rsidR="00A06AC8">
              <w:rPr>
                <w:rFonts w:ascii="Arial" w:hAnsi="Arial" w:cs="Arial"/>
                <w:noProof/>
                <w:webHidden/>
                <w:sz w:val="24"/>
                <w:szCs w:val="24"/>
              </w:rPr>
              <w:instrText xml:space="preserve"> PAGEREF _Toc239530774 \h </w:instrText>
            </w:r>
            <w:r w:rsidRPr="00A06AC8" w:rsidR="00A06AC8">
              <w:rPr>
                <w:rFonts w:ascii="Arial" w:hAnsi="Arial" w:cs="Arial"/>
                <w:noProof/>
                <w:webHidden/>
                <w:sz w:val="24"/>
                <w:szCs w:val="24"/>
              </w:rPr>
            </w:r>
            <w:r w:rsidRPr="00A06AC8" w:rsidR="00A06AC8">
              <w:rPr>
                <w:rFonts w:ascii="Arial" w:hAnsi="Arial" w:cs="Arial"/>
                <w:noProof/>
                <w:webHidden/>
                <w:sz w:val="24"/>
                <w:szCs w:val="24"/>
              </w:rPr>
              <w:fldChar w:fldCharType="separate"/>
            </w:r>
            <w:r w:rsidR="00E87A2A">
              <w:rPr>
                <w:rFonts w:ascii="Arial" w:hAnsi="Arial" w:cs="Arial"/>
                <w:noProof/>
                <w:webHidden/>
                <w:sz w:val="24"/>
                <w:szCs w:val="24"/>
              </w:rPr>
              <w:t>8</w:t>
            </w:r>
            <w:r w:rsidRPr="00A06AC8" w:rsidR="00A06AC8">
              <w:rPr>
                <w:rFonts w:ascii="Arial" w:hAnsi="Arial" w:cs="Arial"/>
                <w:noProof/>
                <w:webHidden/>
                <w:sz w:val="24"/>
                <w:szCs w:val="24"/>
              </w:rPr>
              <w:fldChar w:fldCharType="end"/>
            </w:r>
          </w:hyperlink>
        </w:p>
        <w:p w:rsidRPr="00A06AC8" w:rsidR="00A06AC8" w:rsidRDefault="00A06AC8" w14:paraId="436E192F" w14:textId="6090690F">
          <w:pPr>
            <w:pStyle w:val="TOC2"/>
            <w:tabs>
              <w:tab w:val="right" w:leader="dot" w:pos="9016"/>
            </w:tabs>
            <w:rPr>
              <w:rFonts w:ascii="Arial" w:hAnsi="Arial" w:cs="Arial" w:eastAsiaTheme="minorEastAsia"/>
              <w:noProof/>
              <w:sz w:val="24"/>
              <w:szCs w:val="24"/>
              <w:lang w:val="en-US"/>
            </w:rPr>
          </w:pPr>
          <w:hyperlink w:history="1" w:anchor="_Toc239530775">
            <w:r w:rsidRPr="00A06AC8">
              <w:rPr>
                <w:rStyle w:val="Hyperlink"/>
                <w:rFonts w:ascii="Arial" w:hAnsi="Arial" w:eastAsia="Arial" w:cs="Arial"/>
                <w:noProof/>
                <w:sz w:val="24"/>
                <w:szCs w:val="24"/>
              </w:rPr>
              <w:t>1.1 Background of the Research Topic</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_Toc239530775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8</w:t>
            </w:r>
            <w:r w:rsidRPr="00A06AC8">
              <w:rPr>
                <w:rFonts w:ascii="Arial" w:hAnsi="Arial" w:cs="Arial"/>
                <w:noProof/>
                <w:webHidden/>
                <w:sz w:val="24"/>
                <w:szCs w:val="24"/>
              </w:rPr>
              <w:fldChar w:fldCharType="end"/>
            </w:r>
          </w:hyperlink>
        </w:p>
        <w:p w:rsidRPr="00A06AC8" w:rsidR="00A06AC8" w:rsidRDefault="00A06AC8" w14:paraId="71C90407" w14:textId="343D55D5">
          <w:pPr>
            <w:pStyle w:val="TOC2"/>
            <w:tabs>
              <w:tab w:val="right" w:leader="dot" w:pos="9016"/>
            </w:tabs>
            <w:rPr>
              <w:rFonts w:ascii="Arial" w:hAnsi="Arial" w:cs="Arial" w:eastAsiaTheme="minorEastAsia"/>
              <w:noProof/>
              <w:sz w:val="24"/>
              <w:szCs w:val="24"/>
              <w:lang w:val="en-US"/>
            </w:rPr>
          </w:pPr>
          <w:hyperlink w:history="1" w:anchor="_Toc239530776">
            <w:r w:rsidRPr="00A06AC8">
              <w:rPr>
                <w:rStyle w:val="Hyperlink"/>
                <w:rFonts w:ascii="Arial" w:hAnsi="Arial" w:eastAsia="Arial" w:cs="Arial"/>
                <w:noProof/>
                <w:sz w:val="24"/>
                <w:szCs w:val="24"/>
              </w:rPr>
              <w:t>1.2 Research Problem or Gap in the Literature</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_Toc239530776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9</w:t>
            </w:r>
            <w:r w:rsidRPr="00A06AC8">
              <w:rPr>
                <w:rFonts w:ascii="Arial" w:hAnsi="Arial" w:cs="Arial"/>
                <w:noProof/>
                <w:webHidden/>
                <w:sz w:val="24"/>
                <w:szCs w:val="24"/>
              </w:rPr>
              <w:fldChar w:fldCharType="end"/>
            </w:r>
          </w:hyperlink>
        </w:p>
        <w:p w:rsidRPr="00A06AC8" w:rsidR="00A06AC8" w:rsidRDefault="00A06AC8" w14:paraId="47AC6638" w14:textId="2B729637">
          <w:pPr>
            <w:pStyle w:val="TOC2"/>
            <w:tabs>
              <w:tab w:val="right" w:leader="dot" w:pos="9016"/>
            </w:tabs>
            <w:rPr>
              <w:rFonts w:ascii="Arial" w:hAnsi="Arial" w:cs="Arial" w:eastAsiaTheme="minorEastAsia"/>
              <w:noProof/>
              <w:sz w:val="24"/>
              <w:szCs w:val="24"/>
              <w:lang w:val="en-US"/>
            </w:rPr>
          </w:pPr>
          <w:hyperlink w:history="1" w:anchor="_Toc239530777">
            <w:r w:rsidRPr="00A06AC8">
              <w:rPr>
                <w:rStyle w:val="Hyperlink"/>
                <w:rFonts w:ascii="Arial" w:hAnsi="Arial" w:eastAsia="Arial" w:cs="Arial"/>
                <w:noProof/>
                <w:sz w:val="24"/>
                <w:szCs w:val="24"/>
              </w:rPr>
              <w:t>1.3 Urgency or Timeliness of the Topic</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_Toc239530777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10</w:t>
            </w:r>
            <w:r w:rsidRPr="00A06AC8">
              <w:rPr>
                <w:rFonts w:ascii="Arial" w:hAnsi="Arial" w:cs="Arial"/>
                <w:noProof/>
                <w:webHidden/>
                <w:sz w:val="24"/>
                <w:szCs w:val="24"/>
              </w:rPr>
              <w:fldChar w:fldCharType="end"/>
            </w:r>
          </w:hyperlink>
        </w:p>
        <w:p w:rsidRPr="00A06AC8" w:rsidR="00A06AC8" w:rsidRDefault="00A06AC8" w14:paraId="3BDA5EEA" w14:textId="06E02EF9">
          <w:pPr>
            <w:pStyle w:val="TOC2"/>
            <w:tabs>
              <w:tab w:val="right" w:leader="dot" w:pos="9016"/>
            </w:tabs>
            <w:rPr>
              <w:rFonts w:ascii="Arial" w:hAnsi="Arial" w:cs="Arial" w:eastAsiaTheme="minorEastAsia"/>
              <w:noProof/>
              <w:sz w:val="24"/>
              <w:szCs w:val="24"/>
              <w:lang w:val="en-US"/>
            </w:rPr>
          </w:pPr>
          <w:hyperlink w:history="1" w:anchor="_Toc239530778">
            <w:r w:rsidRPr="00A06AC8">
              <w:rPr>
                <w:rStyle w:val="Hyperlink"/>
                <w:rFonts w:ascii="Arial" w:hAnsi="Arial" w:eastAsia="Arial" w:cs="Arial"/>
                <w:noProof/>
                <w:sz w:val="24"/>
                <w:szCs w:val="24"/>
              </w:rPr>
              <w:t>1.4 Research Aim and Objectives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_Toc239530778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10</w:t>
            </w:r>
            <w:r w:rsidRPr="00A06AC8">
              <w:rPr>
                <w:rFonts w:ascii="Arial" w:hAnsi="Arial" w:cs="Arial"/>
                <w:noProof/>
                <w:webHidden/>
                <w:sz w:val="24"/>
                <w:szCs w:val="24"/>
              </w:rPr>
              <w:fldChar w:fldCharType="end"/>
            </w:r>
          </w:hyperlink>
        </w:p>
        <w:p w:rsidRPr="00A06AC8" w:rsidR="00A06AC8" w:rsidRDefault="00A06AC8" w14:paraId="4378186A" w14:textId="34B4D953">
          <w:pPr>
            <w:pStyle w:val="TOC2"/>
            <w:tabs>
              <w:tab w:val="right" w:leader="dot" w:pos="9016"/>
            </w:tabs>
            <w:rPr>
              <w:rFonts w:ascii="Arial" w:hAnsi="Arial" w:cs="Arial" w:eastAsiaTheme="minorEastAsia"/>
              <w:noProof/>
              <w:sz w:val="24"/>
              <w:szCs w:val="24"/>
              <w:lang w:val="en-US"/>
            </w:rPr>
          </w:pPr>
          <w:hyperlink w:history="1" w:anchor="_Toc239530779">
            <w:r w:rsidRPr="00A06AC8">
              <w:rPr>
                <w:rStyle w:val="Hyperlink"/>
                <w:rFonts w:ascii="Arial" w:hAnsi="Arial" w:eastAsia="Arial" w:cs="Arial"/>
                <w:noProof/>
                <w:sz w:val="24"/>
                <w:szCs w:val="24"/>
              </w:rPr>
              <w:t>1.5 Research Question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_Toc239530779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11</w:t>
            </w:r>
            <w:r w:rsidRPr="00A06AC8">
              <w:rPr>
                <w:rFonts w:ascii="Arial" w:hAnsi="Arial" w:cs="Arial"/>
                <w:noProof/>
                <w:webHidden/>
                <w:sz w:val="24"/>
                <w:szCs w:val="24"/>
              </w:rPr>
              <w:fldChar w:fldCharType="end"/>
            </w:r>
          </w:hyperlink>
        </w:p>
        <w:p w:rsidRPr="00A06AC8" w:rsidR="00A06AC8" w:rsidRDefault="00A06AC8" w14:paraId="714D7970" w14:textId="17C7B17A">
          <w:pPr>
            <w:pStyle w:val="TOC2"/>
            <w:tabs>
              <w:tab w:val="right" w:leader="dot" w:pos="9016"/>
            </w:tabs>
            <w:rPr>
              <w:rFonts w:ascii="Arial" w:hAnsi="Arial" w:cs="Arial" w:eastAsiaTheme="minorEastAsia"/>
              <w:noProof/>
              <w:sz w:val="24"/>
              <w:szCs w:val="24"/>
              <w:lang w:val="en-US"/>
            </w:rPr>
          </w:pPr>
          <w:hyperlink w:history="1" w:anchor="_Toc239530780">
            <w:r w:rsidRPr="00A06AC8">
              <w:rPr>
                <w:rStyle w:val="Hyperlink"/>
                <w:rFonts w:ascii="Arial" w:hAnsi="Arial" w:eastAsia="Arial" w:cs="Arial"/>
                <w:noProof/>
                <w:sz w:val="24"/>
                <w:szCs w:val="24"/>
              </w:rPr>
              <w:t>1.6 Scope of the Review</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_Toc239530780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11</w:t>
            </w:r>
            <w:r w:rsidRPr="00A06AC8">
              <w:rPr>
                <w:rFonts w:ascii="Arial" w:hAnsi="Arial" w:cs="Arial"/>
                <w:noProof/>
                <w:webHidden/>
                <w:sz w:val="24"/>
                <w:szCs w:val="24"/>
              </w:rPr>
              <w:fldChar w:fldCharType="end"/>
            </w:r>
          </w:hyperlink>
        </w:p>
        <w:p w:rsidRPr="00A06AC8" w:rsidR="00A06AC8" w:rsidRDefault="00A06AC8" w14:paraId="4438C336" w14:textId="368B012C">
          <w:pPr>
            <w:pStyle w:val="TOC2"/>
            <w:tabs>
              <w:tab w:val="right" w:leader="dot" w:pos="9016"/>
            </w:tabs>
            <w:rPr>
              <w:rFonts w:ascii="Arial" w:hAnsi="Arial" w:cs="Arial" w:eastAsiaTheme="minorEastAsia"/>
              <w:noProof/>
              <w:sz w:val="24"/>
              <w:szCs w:val="24"/>
              <w:lang w:val="en-US"/>
            </w:rPr>
          </w:pPr>
          <w:hyperlink w:history="1" w:anchor="_Toc239530781">
            <w:r w:rsidRPr="00A06AC8">
              <w:rPr>
                <w:rStyle w:val="Hyperlink"/>
                <w:rFonts w:ascii="Arial" w:hAnsi="Arial" w:eastAsia="Arial" w:cs="Arial"/>
                <w:noProof/>
                <w:sz w:val="24"/>
                <w:szCs w:val="24"/>
              </w:rPr>
              <w:t>1.7 Structure of the Dissertation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_Toc239530781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11</w:t>
            </w:r>
            <w:r w:rsidRPr="00A06AC8">
              <w:rPr>
                <w:rFonts w:ascii="Arial" w:hAnsi="Arial" w:cs="Arial"/>
                <w:noProof/>
                <w:webHidden/>
                <w:sz w:val="24"/>
                <w:szCs w:val="24"/>
              </w:rPr>
              <w:fldChar w:fldCharType="end"/>
            </w:r>
          </w:hyperlink>
        </w:p>
        <w:p w:rsidRPr="00A06AC8" w:rsidR="00A06AC8" w:rsidRDefault="00A06AC8" w14:paraId="50A5BC78" w14:textId="7580F04C">
          <w:pPr>
            <w:pStyle w:val="TOC1"/>
            <w:tabs>
              <w:tab w:val="right" w:leader="dot" w:pos="9016"/>
            </w:tabs>
            <w:rPr>
              <w:rFonts w:ascii="Arial" w:hAnsi="Arial" w:cs="Arial" w:eastAsiaTheme="minorEastAsia"/>
              <w:noProof/>
              <w:sz w:val="24"/>
              <w:szCs w:val="24"/>
              <w:lang w:val="en-US"/>
            </w:rPr>
          </w:pPr>
          <w:hyperlink w:history="1" w:anchor="_Toc239530782">
            <w:r w:rsidRPr="00A06AC8">
              <w:rPr>
                <w:rStyle w:val="Hyperlink"/>
                <w:rFonts w:ascii="Arial" w:hAnsi="Arial" w:eastAsia="Arial" w:cs="Arial"/>
                <w:noProof/>
                <w:sz w:val="24"/>
                <w:szCs w:val="24"/>
              </w:rPr>
              <w:t>Chapter 2: Methodology</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_Toc239530782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12</w:t>
            </w:r>
            <w:r w:rsidRPr="00A06AC8">
              <w:rPr>
                <w:rFonts w:ascii="Arial" w:hAnsi="Arial" w:cs="Arial"/>
                <w:noProof/>
                <w:webHidden/>
                <w:sz w:val="24"/>
                <w:szCs w:val="24"/>
              </w:rPr>
              <w:fldChar w:fldCharType="end"/>
            </w:r>
          </w:hyperlink>
        </w:p>
        <w:p w:rsidRPr="00A06AC8" w:rsidR="00A06AC8" w:rsidRDefault="00A06AC8" w14:paraId="013C16DF" w14:textId="76FE3CB3">
          <w:pPr>
            <w:pStyle w:val="TOC2"/>
            <w:tabs>
              <w:tab w:val="right" w:leader="dot" w:pos="9016"/>
            </w:tabs>
            <w:rPr>
              <w:rFonts w:ascii="Arial" w:hAnsi="Arial" w:cs="Arial" w:eastAsiaTheme="minorEastAsia"/>
              <w:noProof/>
              <w:sz w:val="24"/>
              <w:szCs w:val="24"/>
              <w:lang w:val="en-US"/>
            </w:rPr>
          </w:pPr>
          <w:hyperlink w:history="1" w:anchor="_Toc239530783">
            <w:r w:rsidRPr="00A06AC8">
              <w:rPr>
                <w:rStyle w:val="Hyperlink"/>
                <w:rFonts w:ascii="Arial" w:hAnsi="Arial" w:eastAsia="Arial" w:cs="Arial"/>
                <w:noProof/>
                <w:sz w:val="24"/>
                <w:szCs w:val="24"/>
              </w:rPr>
              <w:t>2.1 Search strategy</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_Toc239530783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12</w:t>
            </w:r>
            <w:r w:rsidRPr="00A06AC8">
              <w:rPr>
                <w:rFonts w:ascii="Arial" w:hAnsi="Arial" w:cs="Arial"/>
                <w:noProof/>
                <w:webHidden/>
                <w:sz w:val="24"/>
                <w:szCs w:val="24"/>
              </w:rPr>
              <w:fldChar w:fldCharType="end"/>
            </w:r>
          </w:hyperlink>
        </w:p>
        <w:p w:rsidRPr="00A06AC8" w:rsidR="00A06AC8" w:rsidRDefault="00A06AC8" w14:paraId="7946233A" w14:textId="763576BA">
          <w:pPr>
            <w:pStyle w:val="TOC2"/>
            <w:tabs>
              <w:tab w:val="right" w:leader="dot" w:pos="9016"/>
            </w:tabs>
            <w:rPr>
              <w:rFonts w:ascii="Arial" w:hAnsi="Arial" w:cs="Arial" w:eastAsiaTheme="minorEastAsia"/>
              <w:noProof/>
              <w:sz w:val="24"/>
              <w:szCs w:val="24"/>
              <w:lang w:val="en-US"/>
            </w:rPr>
          </w:pPr>
          <w:hyperlink w:history="1" w:anchor="_Toc239530784">
            <w:r w:rsidRPr="00A06AC8">
              <w:rPr>
                <w:rStyle w:val="Hyperlink"/>
                <w:rFonts w:ascii="Arial" w:hAnsi="Arial" w:eastAsia="Arial" w:cs="Arial"/>
                <w:noProof/>
                <w:sz w:val="24"/>
                <w:szCs w:val="24"/>
              </w:rPr>
              <w:t>2.2 Databases and sources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_Toc239530784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13</w:t>
            </w:r>
            <w:r w:rsidRPr="00A06AC8">
              <w:rPr>
                <w:rFonts w:ascii="Arial" w:hAnsi="Arial" w:cs="Arial"/>
                <w:noProof/>
                <w:webHidden/>
                <w:sz w:val="24"/>
                <w:szCs w:val="24"/>
              </w:rPr>
              <w:fldChar w:fldCharType="end"/>
            </w:r>
          </w:hyperlink>
        </w:p>
        <w:p w:rsidRPr="00A06AC8" w:rsidR="00A06AC8" w:rsidRDefault="00A06AC8" w14:paraId="12C26D72" w14:textId="38D6FD6E">
          <w:pPr>
            <w:pStyle w:val="TOC2"/>
            <w:tabs>
              <w:tab w:val="right" w:leader="dot" w:pos="9016"/>
            </w:tabs>
            <w:rPr>
              <w:rFonts w:ascii="Arial" w:hAnsi="Arial" w:cs="Arial" w:eastAsiaTheme="minorEastAsia"/>
              <w:noProof/>
              <w:sz w:val="24"/>
              <w:szCs w:val="24"/>
              <w:lang w:val="en-US"/>
            </w:rPr>
          </w:pPr>
          <w:hyperlink w:history="1" w:anchor="_Toc239530785">
            <w:r w:rsidRPr="00A06AC8">
              <w:rPr>
                <w:rStyle w:val="Hyperlink"/>
                <w:rFonts w:ascii="Arial" w:hAnsi="Arial" w:eastAsia="Arial" w:cs="Arial"/>
                <w:noProof/>
                <w:sz w:val="24"/>
                <w:szCs w:val="24"/>
              </w:rPr>
              <w:t>2.3 Keywords and search terms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_Toc239530785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14</w:t>
            </w:r>
            <w:r w:rsidRPr="00A06AC8">
              <w:rPr>
                <w:rFonts w:ascii="Arial" w:hAnsi="Arial" w:cs="Arial"/>
                <w:noProof/>
                <w:webHidden/>
                <w:sz w:val="24"/>
                <w:szCs w:val="24"/>
              </w:rPr>
              <w:fldChar w:fldCharType="end"/>
            </w:r>
          </w:hyperlink>
        </w:p>
        <w:p w:rsidRPr="00A06AC8" w:rsidR="00A06AC8" w:rsidRDefault="00A06AC8" w14:paraId="47ED79B8" w14:textId="55125166">
          <w:pPr>
            <w:pStyle w:val="TOC2"/>
            <w:tabs>
              <w:tab w:val="right" w:leader="dot" w:pos="9016"/>
            </w:tabs>
            <w:rPr>
              <w:rFonts w:ascii="Arial" w:hAnsi="Arial" w:cs="Arial" w:eastAsiaTheme="minorEastAsia"/>
              <w:noProof/>
              <w:sz w:val="24"/>
              <w:szCs w:val="24"/>
              <w:lang w:val="en-US"/>
            </w:rPr>
          </w:pPr>
          <w:hyperlink w:history="1" w:anchor="_Toc239530786">
            <w:r w:rsidRPr="00A06AC8">
              <w:rPr>
                <w:rStyle w:val="Hyperlink"/>
                <w:rFonts w:ascii="Arial" w:hAnsi="Arial" w:eastAsia="Arial" w:cs="Arial"/>
                <w:noProof/>
                <w:sz w:val="24"/>
                <w:szCs w:val="24"/>
              </w:rPr>
              <w:t>2.4 Time frame for included publications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_Toc239530786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14</w:t>
            </w:r>
            <w:r w:rsidRPr="00A06AC8">
              <w:rPr>
                <w:rFonts w:ascii="Arial" w:hAnsi="Arial" w:cs="Arial"/>
                <w:noProof/>
                <w:webHidden/>
                <w:sz w:val="24"/>
                <w:szCs w:val="24"/>
              </w:rPr>
              <w:fldChar w:fldCharType="end"/>
            </w:r>
          </w:hyperlink>
        </w:p>
        <w:p w:rsidRPr="00A06AC8" w:rsidR="00A06AC8" w:rsidRDefault="00A06AC8" w14:paraId="7C63505F" w14:textId="113EF665">
          <w:pPr>
            <w:pStyle w:val="TOC2"/>
            <w:tabs>
              <w:tab w:val="right" w:leader="dot" w:pos="9016"/>
            </w:tabs>
            <w:rPr>
              <w:rFonts w:ascii="Arial" w:hAnsi="Arial" w:cs="Arial" w:eastAsiaTheme="minorEastAsia"/>
              <w:noProof/>
              <w:sz w:val="24"/>
              <w:szCs w:val="24"/>
              <w:lang w:val="en-US"/>
            </w:rPr>
          </w:pPr>
          <w:hyperlink w:history="1" w:anchor="_Toc239530787">
            <w:r w:rsidRPr="00A06AC8">
              <w:rPr>
                <w:rStyle w:val="Hyperlink"/>
                <w:rFonts w:ascii="Arial" w:hAnsi="Arial" w:eastAsia="Arial" w:cs="Arial"/>
                <w:noProof/>
                <w:sz w:val="24"/>
                <w:szCs w:val="24"/>
              </w:rPr>
              <w:t>2.5 Inclusion and exclusion criteria</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_Toc239530787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14</w:t>
            </w:r>
            <w:r w:rsidRPr="00A06AC8">
              <w:rPr>
                <w:rFonts w:ascii="Arial" w:hAnsi="Arial" w:cs="Arial"/>
                <w:noProof/>
                <w:webHidden/>
                <w:sz w:val="24"/>
                <w:szCs w:val="24"/>
              </w:rPr>
              <w:fldChar w:fldCharType="end"/>
            </w:r>
          </w:hyperlink>
        </w:p>
        <w:p w:rsidRPr="00A06AC8" w:rsidR="00A06AC8" w:rsidRDefault="00A06AC8" w14:paraId="090F4620" w14:textId="57B4E8A9">
          <w:pPr>
            <w:pStyle w:val="TOC2"/>
            <w:tabs>
              <w:tab w:val="right" w:leader="dot" w:pos="9016"/>
            </w:tabs>
            <w:rPr>
              <w:rFonts w:ascii="Arial" w:hAnsi="Arial" w:cs="Arial" w:eastAsiaTheme="minorEastAsia"/>
              <w:noProof/>
              <w:sz w:val="24"/>
              <w:szCs w:val="24"/>
              <w:lang w:val="en-US"/>
            </w:rPr>
          </w:pPr>
          <w:hyperlink w:history="1" w:anchor="_Toc239530788">
            <w:r w:rsidRPr="00A06AC8">
              <w:rPr>
                <w:rStyle w:val="Hyperlink"/>
                <w:rFonts w:ascii="Arial" w:hAnsi="Arial" w:eastAsia="Arial" w:cs="Arial"/>
                <w:noProof/>
                <w:sz w:val="24"/>
                <w:szCs w:val="24"/>
              </w:rPr>
              <w:t>2.6 Screening process (PRISMA-style)</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_Toc239530788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16</w:t>
            </w:r>
            <w:r w:rsidRPr="00A06AC8">
              <w:rPr>
                <w:rFonts w:ascii="Arial" w:hAnsi="Arial" w:cs="Arial"/>
                <w:noProof/>
                <w:webHidden/>
                <w:sz w:val="24"/>
                <w:szCs w:val="24"/>
              </w:rPr>
              <w:fldChar w:fldCharType="end"/>
            </w:r>
          </w:hyperlink>
        </w:p>
        <w:p w:rsidRPr="00A06AC8" w:rsidR="00A06AC8" w:rsidRDefault="00A06AC8" w14:paraId="2A01E59C" w14:textId="15DEC3C9">
          <w:pPr>
            <w:pStyle w:val="TOC2"/>
            <w:tabs>
              <w:tab w:val="right" w:leader="dot" w:pos="9016"/>
            </w:tabs>
            <w:rPr>
              <w:rFonts w:ascii="Arial" w:hAnsi="Arial" w:cs="Arial" w:eastAsiaTheme="minorEastAsia"/>
              <w:noProof/>
              <w:sz w:val="24"/>
              <w:szCs w:val="24"/>
              <w:lang w:val="en-US"/>
            </w:rPr>
          </w:pPr>
          <w:hyperlink w:history="1" w:anchor="_Toc239530789">
            <w:r w:rsidRPr="00A06AC8">
              <w:rPr>
                <w:rStyle w:val="Hyperlink"/>
                <w:rFonts w:ascii="Arial" w:hAnsi="Arial" w:eastAsia="Arial" w:cs="Arial"/>
                <w:noProof/>
                <w:sz w:val="24"/>
                <w:szCs w:val="24"/>
              </w:rPr>
              <w:t>2.7 Quality assessment of included studies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_Toc239530789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17</w:t>
            </w:r>
            <w:r w:rsidRPr="00A06AC8">
              <w:rPr>
                <w:rFonts w:ascii="Arial" w:hAnsi="Arial" w:cs="Arial"/>
                <w:noProof/>
                <w:webHidden/>
                <w:sz w:val="24"/>
                <w:szCs w:val="24"/>
              </w:rPr>
              <w:fldChar w:fldCharType="end"/>
            </w:r>
          </w:hyperlink>
        </w:p>
        <w:p w:rsidRPr="00A06AC8" w:rsidR="00A06AC8" w:rsidRDefault="00A06AC8" w14:paraId="25D25D0D" w14:textId="6F9D4805">
          <w:pPr>
            <w:pStyle w:val="TOC2"/>
            <w:tabs>
              <w:tab w:val="right" w:leader="dot" w:pos="9016"/>
            </w:tabs>
            <w:rPr>
              <w:rFonts w:ascii="Arial" w:hAnsi="Arial" w:cs="Arial" w:eastAsiaTheme="minorEastAsia"/>
              <w:noProof/>
              <w:sz w:val="24"/>
              <w:szCs w:val="24"/>
              <w:lang w:val="en-US"/>
            </w:rPr>
          </w:pPr>
          <w:hyperlink w:history="1" w:anchor="_Toc239530790">
            <w:r w:rsidRPr="00A06AC8">
              <w:rPr>
                <w:rStyle w:val="Hyperlink"/>
                <w:rFonts w:ascii="Arial" w:hAnsi="Arial" w:eastAsia="Arial" w:cs="Arial"/>
                <w:noProof/>
                <w:sz w:val="24"/>
                <w:szCs w:val="24"/>
              </w:rPr>
              <w:t>2.8 Analytical method: how the literature was examined</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_Toc239530790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17</w:t>
            </w:r>
            <w:r w:rsidRPr="00A06AC8">
              <w:rPr>
                <w:rFonts w:ascii="Arial" w:hAnsi="Arial" w:cs="Arial"/>
                <w:noProof/>
                <w:webHidden/>
                <w:sz w:val="24"/>
                <w:szCs w:val="24"/>
              </w:rPr>
              <w:fldChar w:fldCharType="end"/>
            </w:r>
          </w:hyperlink>
        </w:p>
        <w:p w:rsidRPr="00A06AC8" w:rsidR="00A06AC8" w:rsidRDefault="00A06AC8" w14:paraId="12488B3A" w14:textId="72A5334A">
          <w:pPr>
            <w:pStyle w:val="TOC1"/>
            <w:tabs>
              <w:tab w:val="right" w:leader="dot" w:pos="9016"/>
            </w:tabs>
            <w:rPr>
              <w:rFonts w:ascii="Arial" w:hAnsi="Arial" w:cs="Arial" w:eastAsiaTheme="minorEastAsia"/>
              <w:noProof/>
              <w:sz w:val="24"/>
              <w:szCs w:val="24"/>
              <w:lang w:val="en-US"/>
            </w:rPr>
          </w:pPr>
          <w:hyperlink w:history="1" w:anchor="_Toc239530791">
            <w:r w:rsidRPr="00A06AC8">
              <w:rPr>
                <w:rStyle w:val="Hyperlink"/>
                <w:rFonts w:ascii="Arial" w:hAnsi="Arial" w:eastAsia="Arial" w:cs="Arial"/>
                <w:noProof/>
                <w:sz w:val="24"/>
                <w:szCs w:val="24"/>
              </w:rPr>
              <w:t>Chapter 3: Thematic Review</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_Toc239530791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19</w:t>
            </w:r>
            <w:r w:rsidRPr="00A06AC8">
              <w:rPr>
                <w:rFonts w:ascii="Arial" w:hAnsi="Arial" w:cs="Arial"/>
                <w:noProof/>
                <w:webHidden/>
                <w:sz w:val="24"/>
                <w:szCs w:val="24"/>
              </w:rPr>
              <w:fldChar w:fldCharType="end"/>
            </w:r>
          </w:hyperlink>
        </w:p>
        <w:p w:rsidRPr="00A06AC8" w:rsidR="00A06AC8" w:rsidRDefault="00A06AC8" w14:paraId="0411D8D6" w14:textId="60E1432C">
          <w:pPr>
            <w:pStyle w:val="TOC2"/>
            <w:tabs>
              <w:tab w:val="right" w:leader="dot" w:pos="9016"/>
            </w:tabs>
            <w:rPr>
              <w:rFonts w:ascii="Arial" w:hAnsi="Arial" w:cs="Arial" w:eastAsiaTheme="minorEastAsia"/>
              <w:noProof/>
              <w:sz w:val="24"/>
              <w:szCs w:val="24"/>
              <w:lang w:val="en-US"/>
            </w:rPr>
          </w:pPr>
          <w:hyperlink w:history="1" w:anchor="_Toc239530792">
            <w:r w:rsidRPr="00A06AC8">
              <w:rPr>
                <w:rStyle w:val="Hyperlink"/>
                <w:rFonts w:ascii="Arial" w:hAnsi="Arial" w:eastAsia="Arial" w:cs="Arial"/>
                <w:noProof/>
                <w:sz w:val="24"/>
                <w:szCs w:val="24"/>
              </w:rPr>
              <w:t>3.1 Chapter Introduction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_Toc239530792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19</w:t>
            </w:r>
            <w:r w:rsidRPr="00A06AC8">
              <w:rPr>
                <w:rFonts w:ascii="Arial" w:hAnsi="Arial" w:cs="Arial"/>
                <w:noProof/>
                <w:webHidden/>
                <w:sz w:val="24"/>
                <w:szCs w:val="24"/>
              </w:rPr>
              <w:fldChar w:fldCharType="end"/>
            </w:r>
          </w:hyperlink>
        </w:p>
        <w:p w:rsidRPr="00A06AC8" w:rsidR="00A06AC8" w:rsidRDefault="00A06AC8" w14:paraId="3BB83607" w14:textId="7154A784">
          <w:pPr>
            <w:pStyle w:val="TOC2"/>
            <w:tabs>
              <w:tab w:val="right" w:leader="dot" w:pos="9016"/>
            </w:tabs>
            <w:rPr>
              <w:rFonts w:ascii="Arial" w:hAnsi="Arial" w:cs="Arial" w:eastAsiaTheme="minorEastAsia"/>
              <w:noProof/>
              <w:sz w:val="24"/>
              <w:szCs w:val="24"/>
              <w:lang w:val="en-US"/>
            </w:rPr>
          </w:pPr>
          <w:hyperlink w:history="1" w:anchor="_Toc239530793">
            <w:r w:rsidRPr="00A06AC8">
              <w:rPr>
                <w:rStyle w:val="Hyperlink"/>
                <w:rFonts w:ascii="Arial" w:hAnsi="Arial" w:eastAsia="Arial" w:cs="Arial"/>
                <w:noProof/>
                <w:sz w:val="24"/>
                <w:szCs w:val="24"/>
              </w:rPr>
              <w:t>3.2 Thematic Coding</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_Toc239530793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20</w:t>
            </w:r>
            <w:r w:rsidRPr="00A06AC8">
              <w:rPr>
                <w:rFonts w:ascii="Arial" w:hAnsi="Arial" w:cs="Arial"/>
                <w:noProof/>
                <w:webHidden/>
                <w:sz w:val="24"/>
                <w:szCs w:val="24"/>
              </w:rPr>
              <w:fldChar w:fldCharType="end"/>
            </w:r>
          </w:hyperlink>
        </w:p>
        <w:p w:rsidRPr="00A06AC8" w:rsidR="00A06AC8" w:rsidRDefault="00A06AC8" w14:paraId="24FD6B6F" w14:textId="05DF3F6C">
          <w:pPr>
            <w:pStyle w:val="TOC2"/>
            <w:tabs>
              <w:tab w:val="right" w:leader="dot" w:pos="9016"/>
            </w:tabs>
            <w:rPr>
              <w:rFonts w:ascii="Arial" w:hAnsi="Arial" w:cs="Arial" w:eastAsiaTheme="minorEastAsia"/>
              <w:noProof/>
              <w:sz w:val="24"/>
              <w:szCs w:val="24"/>
              <w:lang w:val="en-US"/>
            </w:rPr>
          </w:pPr>
          <w:hyperlink w:history="1" w:anchor="_Toc239530794">
            <w:r w:rsidRPr="00A06AC8">
              <w:rPr>
                <w:rStyle w:val="Hyperlink"/>
                <w:rFonts w:ascii="Arial" w:hAnsi="Arial" w:eastAsia="Arial" w:cs="Arial"/>
                <w:noProof/>
                <w:sz w:val="24"/>
                <w:szCs w:val="24"/>
              </w:rPr>
              <w:t>3.3 Thematic Analysis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_Toc239530794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21</w:t>
            </w:r>
            <w:r w:rsidRPr="00A06AC8">
              <w:rPr>
                <w:rFonts w:ascii="Arial" w:hAnsi="Arial" w:cs="Arial"/>
                <w:noProof/>
                <w:webHidden/>
                <w:sz w:val="24"/>
                <w:szCs w:val="24"/>
              </w:rPr>
              <w:fldChar w:fldCharType="end"/>
            </w:r>
          </w:hyperlink>
        </w:p>
        <w:p w:rsidRPr="00A06AC8" w:rsidR="00A06AC8" w:rsidRDefault="00A06AC8" w14:paraId="290F4057" w14:textId="22ED1D3A">
          <w:pPr>
            <w:pStyle w:val="TOC2"/>
            <w:tabs>
              <w:tab w:val="right" w:leader="dot" w:pos="9016"/>
            </w:tabs>
            <w:rPr>
              <w:rFonts w:ascii="Arial" w:hAnsi="Arial" w:cs="Arial" w:eastAsiaTheme="minorEastAsia"/>
              <w:noProof/>
              <w:sz w:val="24"/>
              <w:szCs w:val="24"/>
              <w:lang w:val="en-US"/>
            </w:rPr>
          </w:pPr>
          <w:hyperlink w:history="1" w:anchor="_Toc239530795">
            <w:r w:rsidRPr="00A06AC8">
              <w:rPr>
                <w:rStyle w:val="Hyperlink"/>
                <w:rFonts w:ascii="Arial" w:hAnsi="Arial" w:eastAsia="Arial" w:cs="Arial"/>
                <w:noProof/>
                <w:sz w:val="24"/>
                <w:szCs w:val="24"/>
              </w:rPr>
              <w:t>3.4 Chapter Conclusion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_Toc239530795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38</w:t>
            </w:r>
            <w:r w:rsidRPr="00A06AC8">
              <w:rPr>
                <w:rFonts w:ascii="Arial" w:hAnsi="Arial" w:cs="Arial"/>
                <w:noProof/>
                <w:webHidden/>
                <w:sz w:val="24"/>
                <w:szCs w:val="24"/>
              </w:rPr>
              <w:fldChar w:fldCharType="end"/>
            </w:r>
          </w:hyperlink>
        </w:p>
        <w:p w:rsidRPr="00A06AC8" w:rsidR="00A06AC8" w:rsidRDefault="00A06AC8" w14:paraId="49241A3A" w14:textId="485E5249">
          <w:pPr>
            <w:pStyle w:val="TOC1"/>
            <w:tabs>
              <w:tab w:val="right" w:leader="dot" w:pos="9016"/>
            </w:tabs>
            <w:rPr>
              <w:rFonts w:ascii="Arial" w:hAnsi="Arial" w:cs="Arial" w:eastAsiaTheme="minorEastAsia"/>
              <w:noProof/>
              <w:sz w:val="24"/>
              <w:szCs w:val="24"/>
              <w:lang w:val="en-US"/>
            </w:rPr>
          </w:pPr>
          <w:hyperlink w:history="1" w:anchor="_Toc239530796">
            <w:r w:rsidRPr="00A06AC8">
              <w:rPr>
                <w:rStyle w:val="Hyperlink"/>
                <w:rFonts w:ascii="Arial" w:hAnsi="Arial" w:eastAsia="Arial" w:cs="Arial"/>
                <w:noProof/>
                <w:sz w:val="24"/>
                <w:szCs w:val="24"/>
              </w:rPr>
              <w:t>Chapter 4: Discussion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_Toc239530796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40</w:t>
            </w:r>
            <w:r w:rsidRPr="00A06AC8">
              <w:rPr>
                <w:rFonts w:ascii="Arial" w:hAnsi="Arial" w:cs="Arial"/>
                <w:noProof/>
                <w:webHidden/>
                <w:sz w:val="24"/>
                <w:szCs w:val="24"/>
              </w:rPr>
              <w:fldChar w:fldCharType="end"/>
            </w:r>
          </w:hyperlink>
        </w:p>
        <w:p w:rsidRPr="00A06AC8" w:rsidR="00A06AC8" w:rsidRDefault="00A06AC8" w14:paraId="090F0DFF" w14:textId="03E69CE7">
          <w:pPr>
            <w:pStyle w:val="TOC2"/>
            <w:tabs>
              <w:tab w:val="right" w:leader="dot" w:pos="9016"/>
            </w:tabs>
            <w:rPr>
              <w:rFonts w:ascii="Arial" w:hAnsi="Arial" w:cs="Arial" w:eastAsiaTheme="minorEastAsia"/>
              <w:noProof/>
              <w:sz w:val="24"/>
              <w:szCs w:val="24"/>
              <w:lang w:val="en-US"/>
            </w:rPr>
          </w:pPr>
          <w:hyperlink w:history="1" w:anchor="_Toc239530797">
            <w:r w:rsidRPr="00A06AC8">
              <w:rPr>
                <w:rStyle w:val="Hyperlink"/>
                <w:rFonts w:ascii="Arial" w:hAnsi="Arial" w:eastAsia="Arial" w:cs="Arial"/>
                <w:noProof/>
                <w:sz w:val="24"/>
                <w:szCs w:val="24"/>
              </w:rPr>
              <w:t>4.1 Integration of Findings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_Toc239530797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40</w:t>
            </w:r>
            <w:r w:rsidRPr="00A06AC8">
              <w:rPr>
                <w:rFonts w:ascii="Arial" w:hAnsi="Arial" w:cs="Arial"/>
                <w:noProof/>
                <w:webHidden/>
                <w:sz w:val="24"/>
                <w:szCs w:val="24"/>
              </w:rPr>
              <w:fldChar w:fldCharType="end"/>
            </w:r>
          </w:hyperlink>
        </w:p>
        <w:p w:rsidRPr="00A06AC8" w:rsidR="00A06AC8" w:rsidRDefault="00A06AC8" w14:paraId="2198AAD5" w14:textId="27D226CC">
          <w:pPr>
            <w:pStyle w:val="TOC3"/>
            <w:tabs>
              <w:tab w:val="right" w:leader="dot" w:pos="9016"/>
            </w:tabs>
            <w:rPr>
              <w:rFonts w:ascii="Arial" w:hAnsi="Arial" w:cs="Arial" w:eastAsiaTheme="minorEastAsia"/>
              <w:noProof/>
              <w:sz w:val="24"/>
              <w:szCs w:val="24"/>
              <w:lang w:val="en-US"/>
            </w:rPr>
          </w:pPr>
          <w:hyperlink w:history="1" w:anchor="_Toc239530798">
            <w:r w:rsidRPr="00A06AC8">
              <w:rPr>
                <w:rStyle w:val="Hyperlink"/>
                <w:rFonts w:ascii="Arial" w:hAnsi="Arial" w:cs="Arial"/>
                <w:noProof/>
                <w:sz w:val="24"/>
                <w:szCs w:val="24"/>
              </w:rPr>
              <w:t>4.1.1 From Training Investment to Usable Human Capital</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_Toc239530798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40</w:t>
            </w:r>
            <w:r w:rsidRPr="00A06AC8">
              <w:rPr>
                <w:rFonts w:ascii="Arial" w:hAnsi="Arial" w:cs="Arial"/>
                <w:noProof/>
                <w:webHidden/>
                <w:sz w:val="24"/>
                <w:szCs w:val="24"/>
              </w:rPr>
              <w:fldChar w:fldCharType="end"/>
            </w:r>
          </w:hyperlink>
        </w:p>
        <w:p w:rsidRPr="00A06AC8" w:rsidR="00A06AC8" w:rsidRDefault="00A06AC8" w14:paraId="78DE73E2" w14:textId="46FE2B8A">
          <w:pPr>
            <w:pStyle w:val="TOC3"/>
            <w:tabs>
              <w:tab w:val="right" w:leader="dot" w:pos="9016"/>
            </w:tabs>
            <w:rPr>
              <w:rFonts w:ascii="Arial" w:hAnsi="Arial" w:cs="Arial" w:eastAsiaTheme="minorEastAsia"/>
              <w:noProof/>
              <w:sz w:val="24"/>
              <w:szCs w:val="24"/>
              <w:lang w:val="en-US"/>
            </w:rPr>
          </w:pPr>
          <w:hyperlink w:history="1" w:anchor="_Toc239530799">
            <w:r w:rsidRPr="00A06AC8">
              <w:rPr>
                <w:rStyle w:val="Hyperlink"/>
                <w:rFonts w:ascii="Arial" w:hAnsi="Arial" w:cs="Arial"/>
                <w:noProof/>
                <w:sz w:val="24"/>
                <w:szCs w:val="24"/>
              </w:rPr>
              <w:t>4.1.2 Learning Transfer as the Conversion Mechanism</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_Toc239530799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41</w:t>
            </w:r>
            <w:r w:rsidRPr="00A06AC8">
              <w:rPr>
                <w:rFonts w:ascii="Arial" w:hAnsi="Arial" w:cs="Arial"/>
                <w:noProof/>
                <w:webHidden/>
                <w:sz w:val="24"/>
                <w:szCs w:val="24"/>
              </w:rPr>
              <w:fldChar w:fldCharType="end"/>
            </w:r>
          </w:hyperlink>
        </w:p>
        <w:p w:rsidRPr="00A06AC8" w:rsidR="00A06AC8" w:rsidRDefault="00A06AC8" w14:paraId="0910A263" w14:textId="36400B55">
          <w:pPr>
            <w:pStyle w:val="TOC3"/>
            <w:tabs>
              <w:tab w:val="right" w:leader="dot" w:pos="9016"/>
            </w:tabs>
            <w:rPr>
              <w:rFonts w:ascii="Arial" w:hAnsi="Arial" w:cs="Arial" w:eastAsiaTheme="minorEastAsia"/>
              <w:noProof/>
              <w:sz w:val="24"/>
              <w:szCs w:val="24"/>
              <w:lang w:val="en-US"/>
            </w:rPr>
          </w:pPr>
          <w:hyperlink w:history="1" w:anchor="_Toc239530800">
            <w:r w:rsidRPr="00A06AC8">
              <w:rPr>
                <w:rStyle w:val="Hyperlink"/>
                <w:rFonts w:ascii="Arial" w:hAnsi="Arial" w:cs="Arial"/>
                <w:noProof/>
                <w:sz w:val="24"/>
                <w:szCs w:val="24"/>
              </w:rPr>
              <w:t>4.1.3 Engagement, Career Value and Retention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_Toc239530800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41</w:t>
            </w:r>
            <w:r w:rsidRPr="00A06AC8">
              <w:rPr>
                <w:rFonts w:ascii="Arial" w:hAnsi="Arial" w:cs="Arial"/>
                <w:noProof/>
                <w:webHidden/>
                <w:sz w:val="24"/>
                <w:szCs w:val="24"/>
              </w:rPr>
              <w:fldChar w:fldCharType="end"/>
            </w:r>
          </w:hyperlink>
        </w:p>
        <w:p w:rsidRPr="00A06AC8" w:rsidR="00A06AC8" w:rsidRDefault="00A06AC8" w14:paraId="5E32580D" w14:textId="60BF6CFC">
          <w:pPr>
            <w:pStyle w:val="TOC3"/>
            <w:tabs>
              <w:tab w:val="right" w:leader="dot" w:pos="9016"/>
            </w:tabs>
            <w:rPr>
              <w:rFonts w:ascii="Arial" w:hAnsi="Arial" w:cs="Arial" w:eastAsiaTheme="minorEastAsia"/>
              <w:noProof/>
              <w:sz w:val="24"/>
              <w:szCs w:val="24"/>
              <w:lang w:val="en-US"/>
            </w:rPr>
          </w:pPr>
          <w:hyperlink w:history="1" w:anchor="_Toc239530801">
            <w:r w:rsidRPr="00A06AC8">
              <w:rPr>
                <w:rStyle w:val="Hyperlink"/>
                <w:rFonts w:ascii="Arial" w:hAnsi="Arial" w:cs="Arial"/>
                <w:noProof/>
                <w:sz w:val="24"/>
                <w:szCs w:val="24"/>
              </w:rPr>
              <w:t>4.1.4 Future-Ready Human Capital</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_Toc239530801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42</w:t>
            </w:r>
            <w:r w:rsidRPr="00A06AC8">
              <w:rPr>
                <w:rFonts w:ascii="Arial" w:hAnsi="Arial" w:cs="Arial"/>
                <w:noProof/>
                <w:webHidden/>
                <w:sz w:val="24"/>
                <w:szCs w:val="24"/>
              </w:rPr>
              <w:fldChar w:fldCharType="end"/>
            </w:r>
          </w:hyperlink>
        </w:p>
        <w:p w:rsidRPr="00A06AC8" w:rsidR="00A06AC8" w:rsidRDefault="00A06AC8" w14:paraId="4C68CB61" w14:textId="2939FFF5">
          <w:pPr>
            <w:pStyle w:val="TOC2"/>
            <w:tabs>
              <w:tab w:val="right" w:leader="dot" w:pos="9016"/>
            </w:tabs>
            <w:rPr>
              <w:rFonts w:ascii="Arial" w:hAnsi="Arial" w:cs="Arial" w:eastAsiaTheme="minorEastAsia"/>
              <w:noProof/>
              <w:sz w:val="24"/>
              <w:szCs w:val="24"/>
              <w:lang w:val="en-US"/>
            </w:rPr>
          </w:pPr>
          <w:hyperlink w:history="1" w:anchor="_Toc239530802">
            <w:r w:rsidRPr="00A06AC8">
              <w:rPr>
                <w:rStyle w:val="Hyperlink"/>
                <w:rFonts w:ascii="Arial" w:hAnsi="Arial" w:eastAsia="Arial" w:cs="Arial"/>
                <w:noProof/>
                <w:sz w:val="24"/>
                <w:szCs w:val="24"/>
              </w:rPr>
              <w:t>4.2 Comparison Between Studies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_Toc239530802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43</w:t>
            </w:r>
            <w:r w:rsidRPr="00A06AC8">
              <w:rPr>
                <w:rFonts w:ascii="Arial" w:hAnsi="Arial" w:cs="Arial"/>
                <w:noProof/>
                <w:webHidden/>
                <w:sz w:val="24"/>
                <w:szCs w:val="24"/>
              </w:rPr>
              <w:fldChar w:fldCharType="end"/>
            </w:r>
          </w:hyperlink>
        </w:p>
        <w:p w:rsidRPr="00A06AC8" w:rsidR="00A06AC8" w:rsidRDefault="00A06AC8" w14:paraId="6B4F2E37" w14:textId="5562DE4D">
          <w:pPr>
            <w:pStyle w:val="TOC3"/>
            <w:tabs>
              <w:tab w:val="right" w:leader="dot" w:pos="9016"/>
            </w:tabs>
            <w:rPr>
              <w:rFonts w:ascii="Arial" w:hAnsi="Arial" w:cs="Arial" w:eastAsiaTheme="minorEastAsia"/>
              <w:noProof/>
              <w:sz w:val="24"/>
              <w:szCs w:val="24"/>
              <w:lang w:val="en-US"/>
            </w:rPr>
          </w:pPr>
          <w:hyperlink w:history="1" w:anchor="_Toc239530803">
            <w:r w:rsidRPr="00A06AC8">
              <w:rPr>
                <w:rStyle w:val="Hyperlink"/>
                <w:rFonts w:ascii="Arial" w:hAnsi="Arial" w:cs="Arial"/>
                <w:noProof/>
                <w:sz w:val="24"/>
                <w:szCs w:val="24"/>
              </w:rPr>
              <w:t>4.2.1 Training and Performance: Direct Effect or Conditional Relationship</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_Toc239530803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43</w:t>
            </w:r>
            <w:r w:rsidRPr="00A06AC8">
              <w:rPr>
                <w:rFonts w:ascii="Arial" w:hAnsi="Arial" w:cs="Arial"/>
                <w:noProof/>
                <w:webHidden/>
                <w:sz w:val="24"/>
                <w:szCs w:val="24"/>
              </w:rPr>
              <w:fldChar w:fldCharType="end"/>
            </w:r>
          </w:hyperlink>
        </w:p>
        <w:p w:rsidRPr="00A06AC8" w:rsidR="00A06AC8" w:rsidRDefault="00A06AC8" w14:paraId="57ACD5FC" w14:textId="572F8EBA">
          <w:pPr>
            <w:pStyle w:val="TOC3"/>
            <w:tabs>
              <w:tab w:val="right" w:leader="dot" w:pos="9016"/>
            </w:tabs>
            <w:rPr>
              <w:rFonts w:ascii="Arial" w:hAnsi="Arial" w:cs="Arial" w:eastAsiaTheme="minorEastAsia"/>
              <w:noProof/>
              <w:sz w:val="24"/>
              <w:szCs w:val="24"/>
              <w:lang w:val="en-US"/>
            </w:rPr>
          </w:pPr>
          <w:hyperlink w:history="1" w:anchor="_Toc239530804">
            <w:r w:rsidRPr="00A06AC8">
              <w:rPr>
                <w:rStyle w:val="Hyperlink"/>
                <w:rFonts w:ascii="Arial" w:hAnsi="Arial" w:cs="Arial"/>
                <w:noProof/>
                <w:sz w:val="24"/>
                <w:szCs w:val="24"/>
              </w:rPr>
              <w:t>4.2.2 Transfer: Individual Motivation or Organisational Environment</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_Toc239530804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44</w:t>
            </w:r>
            <w:r w:rsidRPr="00A06AC8">
              <w:rPr>
                <w:rFonts w:ascii="Arial" w:hAnsi="Arial" w:cs="Arial"/>
                <w:noProof/>
                <w:webHidden/>
                <w:sz w:val="24"/>
                <w:szCs w:val="24"/>
              </w:rPr>
              <w:fldChar w:fldCharType="end"/>
            </w:r>
          </w:hyperlink>
        </w:p>
        <w:p w:rsidRPr="00A06AC8" w:rsidR="00A06AC8" w:rsidRDefault="00A06AC8" w14:paraId="1C9A14DE" w14:textId="6084A68C">
          <w:pPr>
            <w:pStyle w:val="TOC3"/>
            <w:tabs>
              <w:tab w:val="right" w:leader="dot" w:pos="9016"/>
            </w:tabs>
            <w:rPr>
              <w:rFonts w:ascii="Arial" w:hAnsi="Arial" w:cs="Arial" w:eastAsiaTheme="minorEastAsia"/>
              <w:noProof/>
              <w:sz w:val="24"/>
              <w:szCs w:val="24"/>
              <w:lang w:val="en-US"/>
            </w:rPr>
          </w:pPr>
          <w:hyperlink w:history="1" w:anchor="_Toc239530805">
            <w:r w:rsidRPr="00A06AC8">
              <w:rPr>
                <w:rStyle w:val="Hyperlink"/>
                <w:rFonts w:ascii="Arial" w:hAnsi="Arial" w:cs="Arial"/>
                <w:noProof/>
                <w:sz w:val="24"/>
                <w:szCs w:val="24"/>
              </w:rPr>
              <w:t>4.2.3 Development and Retention: Commitment or Increased Mobility</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_Toc239530805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44</w:t>
            </w:r>
            <w:r w:rsidRPr="00A06AC8">
              <w:rPr>
                <w:rFonts w:ascii="Arial" w:hAnsi="Arial" w:cs="Arial"/>
                <w:noProof/>
                <w:webHidden/>
                <w:sz w:val="24"/>
                <w:szCs w:val="24"/>
              </w:rPr>
              <w:fldChar w:fldCharType="end"/>
            </w:r>
          </w:hyperlink>
        </w:p>
        <w:p w:rsidRPr="00A06AC8" w:rsidR="00A06AC8" w:rsidRDefault="00A06AC8" w14:paraId="5E1F46D6" w14:textId="28540BB7">
          <w:pPr>
            <w:pStyle w:val="TOC2"/>
            <w:tabs>
              <w:tab w:val="right" w:leader="dot" w:pos="9016"/>
            </w:tabs>
            <w:rPr>
              <w:rFonts w:ascii="Arial" w:hAnsi="Arial" w:cs="Arial" w:eastAsiaTheme="minorEastAsia"/>
              <w:noProof/>
              <w:sz w:val="24"/>
              <w:szCs w:val="24"/>
              <w:lang w:val="en-US"/>
            </w:rPr>
          </w:pPr>
          <w:hyperlink w:history="1" w:anchor="_Toc239530806">
            <w:r w:rsidRPr="00A06AC8">
              <w:rPr>
                <w:rStyle w:val="Hyperlink"/>
                <w:rFonts w:ascii="Arial" w:hAnsi="Arial" w:eastAsia="Arial" w:cs="Arial"/>
                <w:noProof/>
                <w:sz w:val="24"/>
                <w:szCs w:val="24"/>
              </w:rPr>
              <w:t>4.3 Theoretical Implications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_Toc239530806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45</w:t>
            </w:r>
            <w:r w:rsidRPr="00A06AC8">
              <w:rPr>
                <w:rFonts w:ascii="Arial" w:hAnsi="Arial" w:cs="Arial"/>
                <w:noProof/>
                <w:webHidden/>
                <w:sz w:val="24"/>
                <w:szCs w:val="24"/>
              </w:rPr>
              <w:fldChar w:fldCharType="end"/>
            </w:r>
          </w:hyperlink>
        </w:p>
        <w:p w:rsidRPr="00A06AC8" w:rsidR="00A06AC8" w:rsidRDefault="00A06AC8" w14:paraId="70ED76CD" w14:textId="44DED6CB">
          <w:pPr>
            <w:pStyle w:val="TOC2"/>
            <w:tabs>
              <w:tab w:val="right" w:leader="dot" w:pos="9016"/>
            </w:tabs>
            <w:rPr>
              <w:rFonts w:ascii="Arial" w:hAnsi="Arial" w:cs="Arial" w:eastAsiaTheme="minorEastAsia"/>
              <w:noProof/>
              <w:sz w:val="24"/>
              <w:szCs w:val="24"/>
              <w:lang w:val="en-US"/>
            </w:rPr>
          </w:pPr>
          <w:hyperlink w:history="1" w:anchor="_Toc239530807">
            <w:r w:rsidRPr="00A06AC8">
              <w:rPr>
                <w:rStyle w:val="Hyperlink"/>
                <w:rFonts w:ascii="Arial" w:hAnsi="Arial" w:eastAsia="Arial" w:cs="Arial"/>
                <w:noProof/>
                <w:sz w:val="24"/>
                <w:szCs w:val="24"/>
              </w:rPr>
              <w:t>4.4 Identification of gaps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_Toc239530807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47</w:t>
            </w:r>
            <w:r w:rsidRPr="00A06AC8">
              <w:rPr>
                <w:rFonts w:ascii="Arial" w:hAnsi="Arial" w:cs="Arial"/>
                <w:noProof/>
                <w:webHidden/>
                <w:sz w:val="24"/>
                <w:szCs w:val="24"/>
              </w:rPr>
              <w:fldChar w:fldCharType="end"/>
            </w:r>
          </w:hyperlink>
        </w:p>
        <w:p w:rsidRPr="00A06AC8" w:rsidR="00A06AC8" w:rsidRDefault="00A06AC8" w14:paraId="60F3885D" w14:textId="1D6CD4FB">
          <w:pPr>
            <w:pStyle w:val="TOC2"/>
            <w:tabs>
              <w:tab w:val="right" w:leader="dot" w:pos="9016"/>
            </w:tabs>
            <w:rPr>
              <w:rFonts w:ascii="Arial" w:hAnsi="Arial" w:cs="Arial" w:eastAsiaTheme="minorEastAsia"/>
              <w:noProof/>
              <w:sz w:val="24"/>
              <w:szCs w:val="24"/>
              <w:lang w:val="en-US"/>
            </w:rPr>
          </w:pPr>
          <w:hyperlink w:history="1" w:anchor="_Toc239530808">
            <w:r w:rsidRPr="00A06AC8">
              <w:rPr>
                <w:rStyle w:val="Hyperlink"/>
                <w:rFonts w:ascii="Arial" w:hAnsi="Arial" w:eastAsia="Arial" w:cs="Arial"/>
                <w:noProof/>
                <w:sz w:val="24"/>
                <w:szCs w:val="24"/>
              </w:rPr>
              <w:t>4.5 Conceptual Framework</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_Toc239530808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48</w:t>
            </w:r>
            <w:r w:rsidRPr="00A06AC8">
              <w:rPr>
                <w:rFonts w:ascii="Arial" w:hAnsi="Arial" w:cs="Arial"/>
                <w:noProof/>
                <w:webHidden/>
                <w:sz w:val="24"/>
                <w:szCs w:val="24"/>
              </w:rPr>
              <w:fldChar w:fldCharType="end"/>
            </w:r>
          </w:hyperlink>
        </w:p>
        <w:p w:rsidRPr="00A06AC8" w:rsidR="00A06AC8" w:rsidRDefault="00A06AC8" w14:paraId="79C33538" w14:textId="567169D5">
          <w:pPr>
            <w:pStyle w:val="TOC1"/>
            <w:tabs>
              <w:tab w:val="right" w:leader="dot" w:pos="9016"/>
            </w:tabs>
            <w:rPr>
              <w:rFonts w:ascii="Arial" w:hAnsi="Arial" w:cs="Arial" w:eastAsiaTheme="minorEastAsia"/>
              <w:noProof/>
              <w:sz w:val="24"/>
              <w:szCs w:val="24"/>
              <w:lang w:val="en-US"/>
            </w:rPr>
          </w:pPr>
          <w:hyperlink w:history="1" w:anchor="_Toc239530809">
            <w:r w:rsidRPr="00A06AC8">
              <w:rPr>
                <w:rStyle w:val="Hyperlink"/>
                <w:rFonts w:ascii="Arial" w:hAnsi="Arial" w:eastAsia="Arial" w:cs="Arial"/>
                <w:noProof/>
                <w:sz w:val="24"/>
                <w:szCs w:val="24"/>
              </w:rPr>
              <w:t>Chapter 5: Implications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_Toc239530809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50</w:t>
            </w:r>
            <w:r w:rsidRPr="00A06AC8">
              <w:rPr>
                <w:rFonts w:ascii="Arial" w:hAnsi="Arial" w:cs="Arial"/>
                <w:noProof/>
                <w:webHidden/>
                <w:sz w:val="24"/>
                <w:szCs w:val="24"/>
              </w:rPr>
              <w:fldChar w:fldCharType="end"/>
            </w:r>
          </w:hyperlink>
        </w:p>
        <w:p w:rsidRPr="00A06AC8" w:rsidR="00A06AC8" w:rsidRDefault="00A06AC8" w14:paraId="50DD9297" w14:textId="74ECB8CB">
          <w:pPr>
            <w:pStyle w:val="TOC2"/>
            <w:tabs>
              <w:tab w:val="right" w:leader="dot" w:pos="9016"/>
            </w:tabs>
            <w:rPr>
              <w:rFonts w:ascii="Arial" w:hAnsi="Arial" w:cs="Arial" w:eastAsiaTheme="minorEastAsia"/>
              <w:noProof/>
              <w:sz w:val="24"/>
              <w:szCs w:val="24"/>
              <w:lang w:val="en-US"/>
            </w:rPr>
          </w:pPr>
          <w:hyperlink w:history="1" w:anchor="_Toc239530810">
            <w:r w:rsidRPr="00A06AC8">
              <w:rPr>
                <w:rStyle w:val="Hyperlink"/>
                <w:rFonts w:ascii="Arial" w:hAnsi="Arial" w:eastAsia="Arial" w:cs="Arial"/>
                <w:noProof/>
                <w:sz w:val="24"/>
                <w:szCs w:val="24"/>
              </w:rPr>
              <w:t>5.1 Theoretical Implications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_Toc239530810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50</w:t>
            </w:r>
            <w:r w:rsidRPr="00A06AC8">
              <w:rPr>
                <w:rFonts w:ascii="Arial" w:hAnsi="Arial" w:cs="Arial"/>
                <w:noProof/>
                <w:webHidden/>
                <w:sz w:val="24"/>
                <w:szCs w:val="24"/>
              </w:rPr>
              <w:fldChar w:fldCharType="end"/>
            </w:r>
          </w:hyperlink>
        </w:p>
        <w:p w:rsidRPr="00A06AC8" w:rsidR="00A06AC8" w:rsidRDefault="00A06AC8" w14:paraId="5F4D7E66" w14:textId="4C0D2232">
          <w:pPr>
            <w:pStyle w:val="TOC3"/>
            <w:tabs>
              <w:tab w:val="right" w:leader="dot" w:pos="9016"/>
            </w:tabs>
            <w:rPr>
              <w:rFonts w:ascii="Arial" w:hAnsi="Arial" w:cs="Arial" w:eastAsiaTheme="minorEastAsia"/>
              <w:noProof/>
              <w:sz w:val="24"/>
              <w:szCs w:val="24"/>
              <w:lang w:val="en-US"/>
            </w:rPr>
          </w:pPr>
          <w:hyperlink w:history="1" w:anchor="_Toc239530811">
            <w:r w:rsidRPr="00A06AC8">
              <w:rPr>
                <w:rStyle w:val="Hyperlink"/>
                <w:rFonts w:ascii="Arial" w:hAnsi="Arial" w:cs="Arial"/>
                <w:noProof/>
                <w:sz w:val="24"/>
                <w:szCs w:val="24"/>
              </w:rPr>
              <w:t>5.1.1 Refining Existing Theories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_Toc239530811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50</w:t>
            </w:r>
            <w:r w:rsidRPr="00A06AC8">
              <w:rPr>
                <w:rFonts w:ascii="Arial" w:hAnsi="Arial" w:cs="Arial"/>
                <w:noProof/>
                <w:webHidden/>
                <w:sz w:val="24"/>
                <w:szCs w:val="24"/>
              </w:rPr>
              <w:fldChar w:fldCharType="end"/>
            </w:r>
          </w:hyperlink>
        </w:p>
        <w:p w:rsidRPr="00A06AC8" w:rsidR="00A06AC8" w:rsidRDefault="00A06AC8" w14:paraId="3AF6FD33" w14:textId="139C178A">
          <w:pPr>
            <w:pStyle w:val="TOC3"/>
            <w:tabs>
              <w:tab w:val="right" w:leader="dot" w:pos="9016"/>
            </w:tabs>
            <w:rPr>
              <w:rFonts w:ascii="Arial" w:hAnsi="Arial" w:cs="Arial" w:eastAsiaTheme="minorEastAsia"/>
              <w:noProof/>
              <w:sz w:val="24"/>
              <w:szCs w:val="24"/>
              <w:lang w:val="en-US"/>
            </w:rPr>
          </w:pPr>
          <w:hyperlink w:history="1" w:anchor="_Toc239530812">
            <w:r w:rsidRPr="00A06AC8">
              <w:rPr>
                <w:rStyle w:val="Hyperlink"/>
                <w:rFonts w:ascii="Arial" w:hAnsi="Arial" w:cs="Arial"/>
                <w:noProof/>
                <w:sz w:val="24"/>
                <w:szCs w:val="24"/>
              </w:rPr>
              <w:t>5.1.2 Academic Contribution of the Proposed Framework</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_Toc239530812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51</w:t>
            </w:r>
            <w:r w:rsidRPr="00A06AC8">
              <w:rPr>
                <w:rFonts w:ascii="Arial" w:hAnsi="Arial" w:cs="Arial"/>
                <w:noProof/>
                <w:webHidden/>
                <w:sz w:val="24"/>
                <w:szCs w:val="24"/>
              </w:rPr>
              <w:fldChar w:fldCharType="end"/>
            </w:r>
          </w:hyperlink>
        </w:p>
        <w:p w:rsidRPr="00A06AC8" w:rsidR="00A06AC8" w:rsidRDefault="00A06AC8" w14:paraId="305C67D1" w14:textId="725FD2CB">
          <w:pPr>
            <w:pStyle w:val="TOC2"/>
            <w:tabs>
              <w:tab w:val="right" w:leader="dot" w:pos="9016"/>
            </w:tabs>
            <w:rPr>
              <w:rFonts w:ascii="Arial" w:hAnsi="Arial" w:cs="Arial" w:eastAsiaTheme="minorEastAsia"/>
              <w:noProof/>
              <w:sz w:val="24"/>
              <w:szCs w:val="24"/>
              <w:lang w:val="en-US"/>
            </w:rPr>
          </w:pPr>
          <w:hyperlink w:history="1" w:anchor="_Toc239530813">
            <w:r w:rsidRPr="00A06AC8">
              <w:rPr>
                <w:rStyle w:val="Hyperlink"/>
                <w:rFonts w:ascii="Arial" w:hAnsi="Arial" w:eastAsia="Arial" w:cs="Arial"/>
                <w:noProof/>
                <w:sz w:val="24"/>
                <w:szCs w:val="24"/>
              </w:rPr>
              <w:t>5.2 Practical &amp; Managerial Implications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_Toc239530813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51</w:t>
            </w:r>
            <w:r w:rsidRPr="00A06AC8">
              <w:rPr>
                <w:rFonts w:ascii="Arial" w:hAnsi="Arial" w:cs="Arial"/>
                <w:noProof/>
                <w:webHidden/>
                <w:sz w:val="24"/>
                <w:szCs w:val="24"/>
              </w:rPr>
              <w:fldChar w:fldCharType="end"/>
            </w:r>
          </w:hyperlink>
        </w:p>
        <w:p w:rsidRPr="00A06AC8" w:rsidR="00A06AC8" w:rsidRDefault="00A06AC8" w14:paraId="6407920B" w14:textId="2EC4F2DF">
          <w:pPr>
            <w:pStyle w:val="TOC3"/>
            <w:tabs>
              <w:tab w:val="right" w:leader="dot" w:pos="9016"/>
            </w:tabs>
            <w:rPr>
              <w:rFonts w:ascii="Arial" w:hAnsi="Arial" w:cs="Arial" w:eastAsiaTheme="minorEastAsia"/>
              <w:noProof/>
              <w:sz w:val="24"/>
              <w:szCs w:val="24"/>
              <w:lang w:val="en-US"/>
            </w:rPr>
          </w:pPr>
          <w:hyperlink w:history="1" w:anchor="_Toc239530814">
            <w:r w:rsidRPr="00A06AC8">
              <w:rPr>
                <w:rStyle w:val="Hyperlink"/>
                <w:rFonts w:ascii="Arial" w:hAnsi="Arial" w:cs="Arial"/>
                <w:noProof/>
                <w:sz w:val="24"/>
                <w:szCs w:val="24"/>
              </w:rPr>
              <w:t>5.2.1 Strategic Training and Transfer Management</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_Toc239530814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51</w:t>
            </w:r>
            <w:r w:rsidRPr="00A06AC8">
              <w:rPr>
                <w:rFonts w:ascii="Arial" w:hAnsi="Arial" w:cs="Arial"/>
                <w:noProof/>
                <w:webHidden/>
                <w:sz w:val="24"/>
                <w:szCs w:val="24"/>
              </w:rPr>
              <w:fldChar w:fldCharType="end"/>
            </w:r>
          </w:hyperlink>
        </w:p>
        <w:p w:rsidRPr="00A06AC8" w:rsidR="00A06AC8" w:rsidRDefault="00A06AC8" w14:paraId="117A9707" w14:textId="241E5F14">
          <w:pPr>
            <w:pStyle w:val="TOC3"/>
            <w:tabs>
              <w:tab w:val="right" w:leader="dot" w:pos="9016"/>
            </w:tabs>
            <w:rPr>
              <w:rFonts w:ascii="Arial" w:hAnsi="Arial" w:cs="Arial" w:eastAsiaTheme="minorEastAsia"/>
              <w:noProof/>
              <w:sz w:val="24"/>
              <w:szCs w:val="24"/>
              <w:lang w:val="en-US"/>
            </w:rPr>
          </w:pPr>
          <w:hyperlink w:history="1" w:anchor="_Toc239530815">
            <w:r w:rsidRPr="00A06AC8">
              <w:rPr>
                <w:rStyle w:val="Hyperlink"/>
                <w:rFonts w:ascii="Arial" w:hAnsi="Arial" w:cs="Arial"/>
                <w:noProof/>
                <w:sz w:val="24"/>
                <w:szCs w:val="24"/>
              </w:rPr>
              <w:t>5.2.2 Employee Support, Retention and Inclusive Development</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_Toc239530815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52</w:t>
            </w:r>
            <w:r w:rsidRPr="00A06AC8">
              <w:rPr>
                <w:rFonts w:ascii="Arial" w:hAnsi="Arial" w:cs="Arial"/>
                <w:noProof/>
                <w:webHidden/>
                <w:sz w:val="24"/>
                <w:szCs w:val="24"/>
              </w:rPr>
              <w:fldChar w:fldCharType="end"/>
            </w:r>
          </w:hyperlink>
        </w:p>
        <w:p w:rsidRPr="00A06AC8" w:rsidR="00A06AC8" w:rsidRDefault="00A06AC8" w14:paraId="270091A8" w14:textId="656E1F5F">
          <w:pPr>
            <w:pStyle w:val="TOC3"/>
            <w:tabs>
              <w:tab w:val="right" w:leader="dot" w:pos="9016"/>
            </w:tabs>
            <w:rPr>
              <w:rFonts w:ascii="Arial" w:hAnsi="Arial" w:cs="Arial" w:eastAsiaTheme="minorEastAsia"/>
              <w:noProof/>
              <w:sz w:val="24"/>
              <w:szCs w:val="24"/>
              <w:lang w:val="en-US"/>
            </w:rPr>
          </w:pPr>
          <w:hyperlink w:history="1" w:anchor="_Toc239530816">
            <w:r w:rsidRPr="00A06AC8">
              <w:rPr>
                <w:rStyle w:val="Hyperlink"/>
                <w:rFonts w:ascii="Arial" w:hAnsi="Arial" w:cs="Arial"/>
                <w:noProof/>
                <w:sz w:val="24"/>
                <w:szCs w:val="24"/>
              </w:rPr>
              <w:t>5.2.3 Policy, Industry and Action Implications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_Toc239530816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52</w:t>
            </w:r>
            <w:r w:rsidRPr="00A06AC8">
              <w:rPr>
                <w:rFonts w:ascii="Arial" w:hAnsi="Arial" w:cs="Arial"/>
                <w:noProof/>
                <w:webHidden/>
                <w:sz w:val="24"/>
                <w:szCs w:val="24"/>
              </w:rPr>
              <w:fldChar w:fldCharType="end"/>
            </w:r>
          </w:hyperlink>
        </w:p>
        <w:p w:rsidRPr="00A06AC8" w:rsidR="00A06AC8" w:rsidRDefault="00A06AC8" w14:paraId="5BE090A7" w14:textId="44D13B0A">
          <w:pPr>
            <w:pStyle w:val="TOC2"/>
            <w:tabs>
              <w:tab w:val="right" w:leader="dot" w:pos="9016"/>
            </w:tabs>
            <w:rPr>
              <w:rFonts w:ascii="Arial" w:hAnsi="Arial" w:cs="Arial" w:eastAsiaTheme="minorEastAsia"/>
              <w:noProof/>
              <w:sz w:val="24"/>
              <w:szCs w:val="24"/>
              <w:lang w:val="en-US"/>
            </w:rPr>
          </w:pPr>
          <w:hyperlink w:history="1" w:anchor="_Toc239530817">
            <w:r w:rsidRPr="00A06AC8">
              <w:rPr>
                <w:rStyle w:val="Hyperlink"/>
                <w:rFonts w:ascii="Arial" w:hAnsi="Arial" w:eastAsia="Arial" w:cs="Arial"/>
                <w:noProof/>
                <w:sz w:val="24"/>
                <w:szCs w:val="24"/>
              </w:rPr>
              <w:t>5.3 Research Implications (Future Directions)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_Toc239530817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53</w:t>
            </w:r>
            <w:r w:rsidRPr="00A06AC8">
              <w:rPr>
                <w:rFonts w:ascii="Arial" w:hAnsi="Arial" w:cs="Arial"/>
                <w:noProof/>
                <w:webHidden/>
                <w:sz w:val="24"/>
                <w:szCs w:val="24"/>
              </w:rPr>
              <w:fldChar w:fldCharType="end"/>
            </w:r>
          </w:hyperlink>
        </w:p>
        <w:p w:rsidRPr="00A06AC8" w:rsidR="00A06AC8" w:rsidRDefault="00A06AC8" w14:paraId="511A4077" w14:textId="0A00C243">
          <w:pPr>
            <w:pStyle w:val="TOC3"/>
            <w:tabs>
              <w:tab w:val="right" w:leader="dot" w:pos="9016"/>
            </w:tabs>
            <w:rPr>
              <w:rFonts w:ascii="Arial" w:hAnsi="Arial" w:cs="Arial" w:eastAsiaTheme="minorEastAsia"/>
              <w:noProof/>
              <w:sz w:val="24"/>
              <w:szCs w:val="24"/>
              <w:lang w:val="en-US"/>
            </w:rPr>
          </w:pPr>
          <w:hyperlink w:history="1" w:anchor="_Toc239530818">
            <w:r w:rsidRPr="00A06AC8">
              <w:rPr>
                <w:rStyle w:val="Hyperlink"/>
                <w:rFonts w:ascii="Arial" w:hAnsi="Arial" w:cs="Arial"/>
                <w:noProof/>
                <w:sz w:val="24"/>
                <w:szCs w:val="24"/>
              </w:rPr>
              <w:t>5.3.1 Boundaries of the Study</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_Toc239530818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53</w:t>
            </w:r>
            <w:r w:rsidRPr="00A06AC8">
              <w:rPr>
                <w:rFonts w:ascii="Arial" w:hAnsi="Arial" w:cs="Arial"/>
                <w:noProof/>
                <w:webHidden/>
                <w:sz w:val="24"/>
                <w:szCs w:val="24"/>
              </w:rPr>
              <w:fldChar w:fldCharType="end"/>
            </w:r>
          </w:hyperlink>
        </w:p>
        <w:p w:rsidRPr="00A06AC8" w:rsidR="00A06AC8" w:rsidRDefault="00A06AC8" w14:paraId="77280159" w14:textId="6D8DDF91">
          <w:pPr>
            <w:pStyle w:val="TOC3"/>
            <w:tabs>
              <w:tab w:val="right" w:leader="dot" w:pos="9016"/>
            </w:tabs>
            <w:rPr>
              <w:rFonts w:ascii="Arial" w:hAnsi="Arial" w:cs="Arial" w:eastAsiaTheme="minorEastAsia"/>
              <w:noProof/>
              <w:sz w:val="24"/>
              <w:szCs w:val="24"/>
              <w:lang w:val="en-US"/>
            </w:rPr>
          </w:pPr>
          <w:hyperlink w:history="1" w:anchor="_Toc239530819">
            <w:r w:rsidRPr="00A06AC8">
              <w:rPr>
                <w:rStyle w:val="Hyperlink"/>
                <w:rFonts w:ascii="Arial" w:hAnsi="Arial" w:cs="Arial"/>
                <w:noProof/>
                <w:sz w:val="24"/>
                <w:szCs w:val="24"/>
              </w:rPr>
              <w:t>5.3.2 Future Research Agenda</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_Toc239530819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53</w:t>
            </w:r>
            <w:r w:rsidRPr="00A06AC8">
              <w:rPr>
                <w:rFonts w:ascii="Arial" w:hAnsi="Arial" w:cs="Arial"/>
                <w:noProof/>
                <w:webHidden/>
                <w:sz w:val="24"/>
                <w:szCs w:val="24"/>
              </w:rPr>
              <w:fldChar w:fldCharType="end"/>
            </w:r>
          </w:hyperlink>
        </w:p>
        <w:p w:rsidRPr="00A06AC8" w:rsidR="00A06AC8" w:rsidRDefault="00A06AC8" w14:paraId="54C8B7A8" w14:textId="68E98748">
          <w:pPr>
            <w:pStyle w:val="TOC1"/>
            <w:tabs>
              <w:tab w:val="right" w:leader="dot" w:pos="9016"/>
            </w:tabs>
            <w:rPr>
              <w:rFonts w:ascii="Arial" w:hAnsi="Arial" w:cs="Arial" w:eastAsiaTheme="minorEastAsia"/>
              <w:noProof/>
              <w:sz w:val="24"/>
              <w:szCs w:val="24"/>
              <w:lang w:val="en-US"/>
            </w:rPr>
          </w:pPr>
          <w:hyperlink w:history="1" w:anchor="_Toc239530820">
            <w:r w:rsidRPr="00A06AC8">
              <w:rPr>
                <w:rStyle w:val="Hyperlink"/>
                <w:rFonts w:ascii="Arial" w:hAnsi="Arial" w:eastAsia="Arial" w:cs="Arial"/>
                <w:noProof/>
                <w:sz w:val="24"/>
                <w:szCs w:val="24"/>
              </w:rPr>
              <w:t>Chapter 6:</w:t>
            </w:r>
            <w:r w:rsidRPr="00A06AC8">
              <w:rPr>
                <w:rStyle w:val="Hyperlink"/>
                <w:rFonts w:ascii="Arial" w:hAnsi="Arial" w:cs="Arial"/>
                <w:noProof/>
                <w:sz w:val="24"/>
                <w:szCs w:val="24"/>
              </w:rPr>
              <w:t xml:space="preserve"> </w:t>
            </w:r>
            <w:r w:rsidRPr="00A06AC8">
              <w:rPr>
                <w:rStyle w:val="Hyperlink"/>
                <w:rFonts w:ascii="Arial" w:hAnsi="Arial" w:eastAsia="Arial" w:cs="Arial"/>
                <w:noProof/>
                <w:sz w:val="24"/>
                <w:szCs w:val="24"/>
              </w:rPr>
              <w:t>Conclusion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_Toc239530820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55</w:t>
            </w:r>
            <w:r w:rsidRPr="00A06AC8">
              <w:rPr>
                <w:rFonts w:ascii="Arial" w:hAnsi="Arial" w:cs="Arial"/>
                <w:noProof/>
                <w:webHidden/>
                <w:sz w:val="24"/>
                <w:szCs w:val="24"/>
              </w:rPr>
              <w:fldChar w:fldCharType="end"/>
            </w:r>
          </w:hyperlink>
        </w:p>
        <w:p w:rsidRPr="00A06AC8" w:rsidR="00A06AC8" w:rsidRDefault="00A06AC8" w14:paraId="333A797B" w14:textId="341E9287">
          <w:pPr>
            <w:pStyle w:val="TOC2"/>
            <w:tabs>
              <w:tab w:val="right" w:leader="dot" w:pos="9016"/>
            </w:tabs>
            <w:rPr>
              <w:rFonts w:ascii="Arial" w:hAnsi="Arial" w:cs="Arial" w:eastAsiaTheme="minorEastAsia"/>
              <w:noProof/>
              <w:sz w:val="24"/>
              <w:szCs w:val="24"/>
              <w:lang w:val="en-US"/>
            </w:rPr>
          </w:pPr>
          <w:hyperlink w:history="1" w:anchor="_Toc239530821">
            <w:r w:rsidRPr="00A06AC8">
              <w:rPr>
                <w:rStyle w:val="Hyperlink"/>
                <w:rFonts w:ascii="Arial" w:hAnsi="Arial" w:eastAsia="Arial" w:cs="Arial"/>
                <w:noProof/>
                <w:sz w:val="24"/>
                <w:szCs w:val="24"/>
              </w:rPr>
              <w:t>6.1 Answering the research question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_Toc239530821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55</w:t>
            </w:r>
            <w:r w:rsidRPr="00A06AC8">
              <w:rPr>
                <w:rFonts w:ascii="Arial" w:hAnsi="Arial" w:cs="Arial"/>
                <w:noProof/>
                <w:webHidden/>
                <w:sz w:val="24"/>
                <w:szCs w:val="24"/>
              </w:rPr>
              <w:fldChar w:fldCharType="end"/>
            </w:r>
          </w:hyperlink>
        </w:p>
        <w:p w:rsidRPr="00A06AC8" w:rsidR="00A06AC8" w:rsidRDefault="00A06AC8" w14:paraId="6553282B" w14:textId="6B634328">
          <w:pPr>
            <w:pStyle w:val="TOC3"/>
            <w:tabs>
              <w:tab w:val="right" w:leader="dot" w:pos="9016"/>
            </w:tabs>
            <w:rPr>
              <w:rFonts w:ascii="Arial" w:hAnsi="Arial" w:cs="Arial" w:eastAsiaTheme="minorEastAsia"/>
              <w:noProof/>
              <w:sz w:val="24"/>
              <w:szCs w:val="24"/>
              <w:lang w:val="en-US"/>
            </w:rPr>
          </w:pPr>
          <w:hyperlink w:history="1" w:anchor="_Toc239530822">
            <w:r w:rsidRPr="00A06AC8">
              <w:rPr>
                <w:rStyle w:val="Hyperlink"/>
                <w:rFonts w:ascii="Arial" w:hAnsi="Arial" w:cs="Arial"/>
                <w:noProof/>
                <w:sz w:val="24"/>
                <w:szCs w:val="24"/>
              </w:rPr>
              <w:t>6.1.1 Final Answer to the Research Question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_Toc239530822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55</w:t>
            </w:r>
            <w:r w:rsidRPr="00A06AC8">
              <w:rPr>
                <w:rFonts w:ascii="Arial" w:hAnsi="Arial" w:cs="Arial"/>
                <w:noProof/>
                <w:webHidden/>
                <w:sz w:val="24"/>
                <w:szCs w:val="24"/>
              </w:rPr>
              <w:fldChar w:fldCharType="end"/>
            </w:r>
          </w:hyperlink>
        </w:p>
        <w:p w:rsidRPr="00A06AC8" w:rsidR="00A06AC8" w:rsidRDefault="00A06AC8" w14:paraId="4238D436" w14:textId="585D75E0">
          <w:pPr>
            <w:pStyle w:val="TOC2"/>
            <w:tabs>
              <w:tab w:val="right" w:leader="dot" w:pos="9016"/>
            </w:tabs>
            <w:rPr>
              <w:rFonts w:ascii="Arial" w:hAnsi="Arial" w:cs="Arial" w:eastAsiaTheme="minorEastAsia"/>
              <w:noProof/>
              <w:sz w:val="24"/>
              <w:szCs w:val="24"/>
              <w:lang w:val="en-US"/>
            </w:rPr>
          </w:pPr>
          <w:hyperlink w:history="1" w:anchor="_Toc239530823">
            <w:r w:rsidRPr="00A06AC8">
              <w:rPr>
                <w:rStyle w:val="Hyperlink"/>
                <w:rFonts w:ascii="Arial" w:hAnsi="Arial" w:eastAsia="Arial" w:cs="Arial"/>
                <w:noProof/>
                <w:sz w:val="24"/>
                <w:szCs w:val="24"/>
              </w:rPr>
              <w:t>6.2 Contributions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_Toc239530823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56</w:t>
            </w:r>
            <w:r w:rsidRPr="00A06AC8">
              <w:rPr>
                <w:rFonts w:ascii="Arial" w:hAnsi="Arial" w:cs="Arial"/>
                <w:noProof/>
                <w:webHidden/>
                <w:sz w:val="24"/>
                <w:szCs w:val="24"/>
              </w:rPr>
              <w:fldChar w:fldCharType="end"/>
            </w:r>
          </w:hyperlink>
        </w:p>
        <w:p w:rsidRPr="00A06AC8" w:rsidR="00A06AC8" w:rsidRDefault="00A06AC8" w14:paraId="1931E640" w14:textId="5733A5D1">
          <w:pPr>
            <w:pStyle w:val="TOC3"/>
            <w:tabs>
              <w:tab w:val="right" w:leader="dot" w:pos="9016"/>
            </w:tabs>
            <w:rPr>
              <w:rFonts w:ascii="Arial" w:hAnsi="Arial" w:cs="Arial" w:eastAsiaTheme="minorEastAsia"/>
              <w:noProof/>
              <w:sz w:val="24"/>
              <w:szCs w:val="24"/>
              <w:lang w:val="en-US"/>
            </w:rPr>
          </w:pPr>
          <w:hyperlink w:history="1" w:anchor="_Toc239530824">
            <w:r w:rsidRPr="00A06AC8">
              <w:rPr>
                <w:rStyle w:val="Hyperlink"/>
                <w:rFonts w:ascii="Arial" w:hAnsi="Arial" w:cs="Arial"/>
                <w:noProof/>
                <w:sz w:val="24"/>
                <w:szCs w:val="24"/>
              </w:rPr>
              <w:t>6.2.1 Academic Contribution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_Toc239530824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56</w:t>
            </w:r>
            <w:r w:rsidRPr="00A06AC8">
              <w:rPr>
                <w:rFonts w:ascii="Arial" w:hAnsi="Arial" w:cs="Arial"/>
                <w:noProof/>
                <w:webHidden/>
                <w:sz w:val="24"/>
                <w:szCs w:val="24"/>
              </w:rPr>
              <w:fldChar w:fldCharType="end"/>
            </w:r>
          </w:hyperlink>
        </w:p>
        <w:p w:rsidRPr="00A06AC8" w:rsidR="00A06AC8" w:rsidRDefault="00A06AC8" w14:paraId="2A5AD56E" w14:textId="68B7BD90">
          <w:pPr>
            <w:pStyle w:val="TOC3"/>
            <w:tabs>
              <w:tab w:val="right" w:leader="dot" w:pos="9016"/>
            </w:tabs>
            <w:rPr>
              <w:rFonts w:ascii="Arial" w:hAnsi="Arial" w:cs="Arial" w:eastAsiaTheme="minorEastAsia"/>
              <w:noProof/>
              <w:sz w:val="24"/>
              <w:szCs w:val="24"/>
              <w:lang w:val="en-US"/>
            </w:rPr>
          </w:pPr>
          <w:hyperlink w:history="1" w:anchor="_Toc239530825">
            <w:r w:rsidRPr="00A06AC8">
              <w:rPr>
                <w:rStyle w:val="Hyperlink"/>
                <w:rFonts w:ascii="Arial" w:hAnsi="Arial" w:cs="Arial"/>
                <w:noProof/>
                <w:sz w:val="24"/>
                <w:szCs w:val="24"/>
              </w:rPr>
              <w:t>6.2.2 Practitioner Contribution</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_Toc239530825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56</w:t>
            </w:r>
            <w:r w:rsidRPr="00A06AC8">
              <w:rPr>
                <w:rFonts w:ascii="Arial" w:hAnsi="Arial" w:cs="Arial"/>
                <w:noProof/>
                <w:webHidden/>
                <w:sz w:val="24"/>
                <w:szCs w:val="24"/>
              </w:rPr>
              <w:fldChar w:fldCharType="end"/>
            </w:r>
          </w:hyperlink>
        </w:p>
        <w:p w:rsidRPr="00A06AC8" w:rsidR="00A06AC8" w:rsidRDefault="00A06AC8" w14:paraId="79BAAEEE" w14:textId="19837079">
          <w:pPr>
            <w:pStyle w:val="TOC2"/>
            <w:tabs>
              <w:tab w:val="right" w:leader="dot" w:pos="9016"/>
            </w:tabs>
            <w:rPr>
              <w:rFonts w:ascii="Arial" w:hAnsi="Arial" w:cs="Arial" w:eastAsiaTheme="minorEastAsia"/>
              <w:noProof/>
              <w:sz w:val="24"/>
              <w:szCs w:val="24"/>
              <w:lang w:val="en-US"/>
            </w:rPr>
          </w:pPr>
          <w:hyperlink w:history="1" w:anchor="_Toc239530826">
            <w:r w:rsidRPr="00A06AC8">
              <w:rPr>
                <w:rStyle w:val="Hyperlink"/>
                <w:rFonts w:ascii="Arial" w:hAnsi="Arial" w:eastAsia="Arial" w:cs="Arial"/>
                <w:noProof/>
                <w:sz w:val="24"/>
                <w:szCs w:val="24"/>
              </w:rPr>
              <w:t>6.3 Limitations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_Toc239530826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57</w:t>
            </w:r>
            <w:r w:rsidRPr="00A06AC8">
              <w:rPr>
                <w:rFonts w:ascii="Arial" w:hAnsi="Arial" w:cs="Arial"/>
                <w:noProof/>
                <w:webHidden/>
                <w:sz w:val="24"/>
                <w:szCs w:val="24"/>
              </w:rPr>
              <w:fldChar w:fldCharType="end"/>
            </w:r>
          </w:hyperlink>
        </w:p>
        <w:p w:rsidRPr="00A06AC8" w:rsidR="00A06AC8" w:rsidRDefault="00A06AC8" w14:paraId="09D5D5BA" w14:textId="4510D693">
          <w:pPr>
            <w:pStyle w:val="TOC3"/>
            <w:tabs>
              <w:tab w:val="right" w:leader="dot" w:pos="9016"/>
            </w:tabs>
            <w:rPr>
              <w:rFonts w:ascii="Arial" w:hAnsi="Arial" w:cs="Arial" w:eastAsiaTheme="minorEastAsia"/>
              <w:noProof/>
              <w:sz w:val="24"/>
              <w:szCs w:val="24"/>
              <w:lang w:val="en-US"/>
            </w:rPr>
          </w:pPr>
          <w:hyperlink w:history="1" w:anchor="_Toc239530827">
            <w:r w:rsidRPr="00A06AC8">
              <w:rPr>
                <w:rStyle w:val="Hyperlink"/>
                <w:rFonts w:ascii="Arial" w:hAnsi="Arial" w:cs="Arial"/>
                <w:noProof/>
                <w:sz w:val="24"/>
                <w:szCs w:val="24"/>
              </w:rPr>
              <w:t>6.3.1 Boundaries of the Review</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_Toc239530827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57</w:t>
            </w:r>
            <w:r w:rsidRPr="00A06AC8">
              <w:rPr>
                <w:rFonts w:ascii="Arial" w:hAnsi="Arial" w:cs="Arial"/>
                <w:noProof/>
                <w:webHidden/>
                <w:sz w:val="24"/>
                <w:szCs w:val="24"/>
              </w:rPr>
              <w:fldChar w:fldCharType="end"/>
            </w:r>
          </w:hyperlink>
        </w:p>
        <w:p w:rsidRPr="00A06AC8" w:rsidR="00A06AC8" w:rsidRDefault="00A06AC8" w14:paraId="6B74FE62" w14:textId="2DBDA108">
          <w:pPr>
            <w:pStyle w:val="TOC2"/>
            <w:tabs>
              <w:tab w:val="right" w:leader="dot" w:pos="9016"/>
            </w:tabs>
            <w:rPr>
              <w:rFonts w:ascii="Arial" w:hAnsi="Arial" w:cs="Arial" w:eastAsiaTheme="minorEastAsia"/>
              <w:noProof/>
              <w:sz w:val="24"/>
              <w:szCs w:val="24"/>
              <w:lang w:val="en-US"/>
            </w:rPr>
          </w:pPr>
          <w:hyperlink w:history="1" w:anchor="_Toc239530828">
            <w:r w:rsidRPr="00A06AC8">
              <w:rPr>
                <w:rStyle w:val="Hyperlink"/>
                <w:rFonts w:ascii="Arial" w:hAnsi="Arial" w:eastAsia="Arial" w:cs="Arial"/>
                <w:noProof/>
                <w:sz w:val="24"/>
                <w:szCs w:val="24"/>
              </w:rPr>
              <w:t>6.4 Final recommendations and future research</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_Toc239530828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57</w:t>
            </w:r>
            <w:r w:rsidRPr="00A06AC8">
              <w:rPr>
                <w:rFonts w:ascii="Arial" w:hAnsi="Arial" w:cs="Arial"/>
                <w:noProof/>
                <w:webHidden/>
                <w:sz w:val="24"/>
                <w:szCs w:val="24"/>
              </w:rPr>
              <w:fldChar w:fldCharType="end"/>
            </w:r>
          </w:hyperlink>
        </w:p>
        <w:p w:rsidRPr="00A06AC8" w:rsidR="00A06AC8" w:rsidRDefault="00A06AC8" w14:paraId="024FF030" w14:textId="53FA4987">
          <w:pPr>
            <w:pStyle w:val="TOC3"/>
            <w:tabs>
              <w:tab w:val="right" w:leader="dot" w:pos="9016"/>
            </w:tabs>
            <w:rPr>
              <w:rFonts w:ascii="Arial" w:hAnsi="Arial" w:cs="Arial" w:eastAsiaTheme="minorEastAsia"/>
              <w:noProof/>
              <w:sz w:val="24"/>
              <w:szCs w:val="24"/>
              <w:lang w:val="en-US"/>
            </w:rPr>
          </w:pPr>
          <w:hyperlink w:history="1" w:anchor="_Toc239530829">
            <w:r w:rsidRPr="00A06AC8">
              <w:rPr>
                <w:rStyle w:val="Hyperlink"/>
                <w:rFonts w:ascii="Arial" w:hAnsi="Arial" w:cs="Arial"/>
                <w:noProof/>
                <w:sz w:val="24"/>
                <w:szCs w:val="24"/>
              </w:rPr>
              <w:t>6.4.1 Recommendations for Scholarship and Practice</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_Toc239530829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57</w:t>
            </w:r>
            <w:r w:rsidRPr="00A06AC8">
              <w:rPr>
                <w:rFonts w:ascii="Arial" w:hAnsi="Arial" w:cs="Arial"/>
                <w:noProof/>
                <w:webHidden/>
                <w:sz w:val="24"/>
                <w:szCs w:val="24"/>
              </w:rPr>
              <w:fldChar w:fldCharType="end"/>
            </w:r>
          </w:hyperlink>
        </w:p>
        <w:p w:rsidRPr="00A06AC8" w:rsidR="00A06AC8" w:rsidRDefault="00A06AC8" w14:paraId="4FBE1B35" w14:textId="524F83CE">
          <w:pPr>
            <w:pStyle w:val="TOC1"/>
            <w:tabs>
              <w:tab w:val="right" w:leader="dot" w:pos="9016"/>
            </w:tabs>
            <w:rPr>
              <w:rFonts w:ascii="Arial" w:hAnsi="Arial" w:cs="Arial" w:eastAsiaTheme="minorEastAsia"/>
              <w:noProof/>
              <w:sz w:val="24"/>
              <w:szCs w:val="24"/>
              <w:lang w:val="en-US"/>
            </w:rPr>
          </w:pPr>
          <w:hyperlink w:history="1" w:anchor="_Toc239530830">
            <w:r w:rsidRPr="00A06AC8">
              <w:rPr>
                <w:rStyle w:val="Hyperlink"/>
                <w:rFonts w:ascii="Arial" w:hAnsi="Arial" w:eastAsia="Arial" w:cs="Arial"/>
                <w:noProof/>
                <w:sz w:val="24"/>
                <w:szCs w:val="24"/>
              </w:rPr>
              <w:t>References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_Toc239530830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59</w:t>
            </w:r>
            <w:r w:rsidRPr="00A06AC8">
              <w:rPr>
                <w:rFonts w:ascii="Arial" w:hAnsi="Arial" w:cs="Arial"/>
                <w:noProof/>
                <w:webHidden/>
                <w:sz w:val="24"/>
                <w:szCs w:val="24"/>
              </w:rPr>
              <w:fldChar w:fldCharType="end"/>
            </w:r>
          </w:hyperlink>
        </w:p>
        <w:p w:rsidRPr="00A06AC8" w:rsidR="00A06AC8" w:rsidRDefault="00A06AC8" w14:paraId="4B269BD1" w14:textId="02F0CA5F">
          <w:pPr>
            <w:pStyle w:val="TOC1"/>
            <w:tabs>
              <w:tab w:val="right" w:leader="dot" w:pos="9016"/>
            </w:tabs>
            <w:rPr>
              <w:rFonts w:ascii="Arial" w:hAnsi="Arial" w:cs="Arial" w:eastAsiaTheme="minorEastAsia"/>
              <w:noProof/>
              <w:sz w:val="24"/>
              <w:szCs w:val="24"/>
              <w:lang w:val="en-US"/>
            </w:rPr>
          </w:pPr>
          <w:hyperlink w:history="1" w:anchor="_Toc239530831">
            <w:r w:rsidRPr="00A06AC8">
              <w:rPr>
                <w:rStyle w:val="Hyperlink"/>
                <w:rFonts w:ascii="Arial" w:hAnsi="Arial" w:eastAsia="Arial" w:cs="Arial"/>
                <w:noProof/>
                <w:sz w:val="24"/>
                <w:szCs w:val="24"/>
              </w:rPr>
              <w:t>Appendices</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_Toc239530831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72</w:t>
            </w:r>
            <w:r w:rsidRPr="00A06AC8">
              <w:rPr>
                <w:rFonts w:ascii="Arial" w:hAnsi="Arial" w:cs="Arial"/>
                <w:noProof/>
                <w:webHidden/>
                <w:sz w:val="24"/>
                <w:szCs w:val="24"/>
              </w:rPr>
              <w:fldChar w:fldCharType="end"/>
            </w:r>
          </w:hyperlink>
        </w:p>
        <w:p w:rsidRPr="00A06AC8" w:rsidR="00A06AC8" w:rsidRDefault="00A06AC8" w14:paraId="2334906C" w14:textId="33DBB771">
          <w:pPr>
            <w:pStyle w:val="TOC2"/>
            <w:tabs>
              <w:tab w:val="right" w:leader="dot" w:pos="9016"/>
            </w:tabs>
            <w:rPr>
              <w:rFonts w:ascii="Arial" w:hAnsi="Arial" w:cs="Arial" w:eastAsiaTheme="minorEastAsia"/>
              <w:noProof/>
              <w:sz w:val="24"/>
              <w:szCs w:val="24"/>
              <w:lang w:val="en-US"/>
            </w:rPr>
          </w:pPr>
          <w:hyperlink w:history="1" w:anchor="_Toc239530832">
            <w:r w:rsidRPr="00A06AC8">
              <w:rPr>
                <w:rStyle w:val="Hyperlink"/>
                <w:rFonts w:ascii="Arial" w:hAnsi="Arial" w:eastAsia="Arial" w:cs="Arial"/>
                <w:noProof/>
                <w:sz w:val="24"/>
                <w:szCs w:val="24"/>
              </w:rPr>
              <w:t>Appendix 01: PRISMA Flow Chart</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_Toc239530832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72</w:t>
            </w:r>
            <w:r w:rsidRPr="00A06AC8">
              <w:rPr>
                <w:rFonts w:ascii="Arial" w:hAnsi="Arial" w:cs="Arial"/>
                <w:noProof/>
                <w:webHidden/>
                <w:sz w:val="24"/>
                <w:szCs w:val="24"/>
              </w:rPr>
              <w:fldChar w:fldCharType="end"/>
            </w:r>
          </w:hyperlink>
        </w:p>
        <w:p w:rsidR="00A06AC8" w:rsidRDefault="00A06AC8" w14:paraId="32953D80" w14:textId="25DD40E6">
          <w:pPr>
            <w:pStyle w:val="TOC2"/>
            <w:tabs>
              <w:tab w:val="right" w:leader="dot" w:pos="9016"/>
            </w:tabs>
            <w:rPr>
              <w:rFonts w:asciiTheme="minorHAnsi" w:hAnsiTheme="minorHAnsi" w:eastAsiaTheme="minorEastAsia" w:cstheme="minorBidi"/>
              <w:noProof/>
              <w:lang w:val="en-US"/>
            </w:rPr>
          </w:pPr>
          <w:hyperlink w:history="1" w:anchor="_Toc239530833">
            <w:r w:rsidRPr="00A06AC8">
              <w:rPr>
                <w:rStyle w:val="Hyperlink"/>
                <w:rFonts w:ascii="Arial" w:hAnsi="Arial" w:eastAsia="Arial" w:cs="Arial"/>
                <w:noProof/>
                <w:sz w:val="24"/>
                <w:szCs w:val="24"/>
              </w:rPr>
              <w:t>Appendix 02: Literature Summary</w:t>
            </w:r>
            <w:r w:rsidRPr="00A06AC8">
              <w:rPr>
                <w:rFonts w:ascii="Arial" w:hAnsi="Arial" w:cs="Arial"/>
                <w:noProof/>
                <w:webHidden/>
                <w:sz w:val="24"/>
                <w:szCs w:val="24"/>
              </w:rPr>
              <w:tab/>
            </w:r>
            <w:r w:rsidRPr="00A06AC8">
              <w:rPr>
                <w:rFonts w:ascii="Arial" w:hAnsi="Arial" w:cs="Arial"/>
                <w:noProof/>
                <w:webHidden/>
                <w:sz w:val="24"/>
                <w:szCs w:val="24"/>
              </w:rPr>
              <w:fldChar w:fldCharType="begin"/>
            </w:r>
            <w:r w:rsidRPr="00A06AC8">
              <w:rPr>
                <w:rFonts w:ascii="Arial" w:hAnsi="Arial" w:cs="Arial"/>
                <w:noProof/>
                <w:webHidden/>
                <w:sz w:val="24"/>
                <w:szCs w:val="24"/>
              </w:rPr>
              <w:instrText xml:space="preserve"> PAGEREF _Toc239530833 \h </w:instrText>
            </w:r>
            <w:r w:rsidRPr="00A06AC8">
              <w:rPr>
                <w:rFonts w:ascii="Arial" w:hAnsi="Arial" w:cs="Arial"/>
                <w:noProof/>
                <w:webHidden/>
                <w:sz w:val="24"/>
                <w:szCs w:val="24"/>
              </w:rPr>
            </w:r>
            <w:r w:rsidRPr="00A06AC8">
              <w:rPr>
                <w:rFonts w:ascii="Arial" w:hAnsi="Arial" w:cs="Arial"/>
                <w:noProof/>
                <w:webHidden/>
                <w:sz w:val="24"/>
                <w:szCs w:val="24"/>
              </w:rPr>
              <w:fldChar w:fldCharType="separate"/>
            </w:r>
            <w:r w:rsidR="00E87A2A">
              <w:rPr>
                <w:rFonts w:ascii="Arial" w:hAnsi="Arial" w:cs="Arial"/>
                <w:noProof/>
                <w:webHidden/>
                <w:sz w:val="24"/>
                <w:szCs w:val="24"/>
              </w:rPr>
              <w:t>73</w:t>
            </w:r>
            <w:r w:rsidRPr="00A06AC8">
              <w:rPr>
                <w:rFonts w:ascii="Arial" w:hAnsi="Arial" w:cs="Arial"/>
                <w:noProof/>
                <w:webHidden/>
                <w:sz w:val="24"/>
                <w:szCs w:val="24"/>
              </w:rPr>
              <w:fldChar w:fldCharType="end"/>
            </w:r>
          </w:hyperlink>
        </w:p>
        <w:p w:rsidRPr="00F55E4F" w:rsidR="00D63CA2" w:rsidP="00F55E4F" w:rsidRDefault="00BF2F3A" w14:paraId="392C6F0A" w14:textId="24B86548">
          <w:pPr>
            <w:spacing w:line="360" w:lineRule="auto"/>
            <w:jc w:val="both"/>
            <w:rPr>
              <w:rFonts w:ascii="Arial" w:hAnsi="Arial" w:eastAsia="Arial" w:cs="Arial"/>
              <w:sz w:val="24"/>
              <w:szCs w:val="24"/>
            </w:rPr>
          </w:pPr>
          <w:r w:rsidRPr="00F55E4F">
            <w:rPr>
              <w:rFonts w:ascii="Arial" w:hAnsi="Arial" w:cs="Arial"/>
              <w:sz w:val="24"/>
              <w:szCs w:val="24"/>
            </w:rPr>
            <w:fldChar w:fldCharType="end"/>
          </w:r>
        </w:p>
      </w:sdtContent>
      <w:sdtEndPr>
        <w:rPr>
          <w:rFonts w:ascii="Arial" w:hAnsi="Arial" w:cs="Arial"/>
          <w:sz w:val="24"/>
          <w:szCs w:val="24"/>
        </w:rPr>
      </w:sdtEndPr>
    </w:sdt>
    <w:p w:rsidRPr="005C1F7A" w:rsidR="00093C5D" w:rsidP="00F55E4F" w:rsidRDefault="00BF2F3A" w14:paraId="49EF15A7" w14:textId="0AB7C148">
      <w:pPr>
        <w:spacing w:line="360" w:lineRule="auto"/>
        <w:jc w:val="both"/>
        <w:rPr>
          <w:rFonts w:ascii="Arial" w:hAnsi="Arial" w:eastAsia="Arial" w:cs="Arial"/>
          <w:b/>
          <w:bCs/>
          <w:sz w:val="24"/>
          <w:szCs w:val="24"/>
        </w:rPr>
      </w:pPr>
      <w:r w:rsidRPr="00F55E4F">
        <w:rPr>
          <w:rFonts w:ascii="Arial" w:hAnsi="Arial" w:cs="Arial"/>
          <w:sz w:val="24"/>
          <w:szCs w:val="24"/>
        </w:rPr>
        <w:br w:type="page"/>
      </w:r>
      <w:r w:rsidRPr="005C1F7A" w:rsidR="00EA78D2">
        <w:rPr>
          <w:rFonts w:ascii="Arial" w:hAnsi="Arial" w:eastAsia="Arial" w:cs="Arial"/>
          <w:b/>
          <w:bCs/>
          <w:sz w:val="24"/>
          <w:szCs w:val="24"/>
        </w:rPr>
        <w:lastRenderedPageBreak/>
        <w:t>List of Figure</w:t>
      </w:r>
    </w:p>
    <w:p w:rsidRPr="005C1F7A" w:rsidR="005C1F7A" w:rsidP="005C1F7A" w:rsidRDefault="005C1F7A" w14:paraId="52F83DBA" w14:textId="7CDE923E">
      <w:pPr>
        <w:pStyle w:val="TableofFigures"/>
        <w:tabs>
          <w:tab w:val="right" w:leader="dot" w:pos="9016"/>
        </w:tabs>
        <w:spacing w:line="360" w:lineRule="auto"/>
        <w:jc w:val="center"/>
        <w:rPr>
          <w:rFonts w:ascii="Arial" w:hAnsi="Arial" w:cs="Arial" w:eastAsiaTheme="minorEastAsia"/>
          <w:noProof/>
          <w:kern w:val="2"/>
          <w:sz w:val="24"/>
          <w:szCs w:val="24"/>
          <w:lang w:val="en-IN" w:eastAsia="en-IN"/>
          <w14:ligatures w14:val="standardContextual"/>
        </w:rPr>
      </w:pPr>
      <w:r w:rsidRPr="005C1F7A">
        <w:rPr>
          <w:rFonts w:ascii="Arial" w:hAnsi="Arial" w:eastAsia="Arial" w:cs="Arial"/>
          <w:b/>
          <w:bCs/>
          <w:sz w:val="24"/>
          <w:szCs w:val="24"/>
        </w:rPr>
        <w:fldChar w:fldCharType="begin"/>
      </w:r>
      <w:r w:rsidRPr="005C1F7A">
        <w:rPr>
          <w:rFonts w:ascii="Arial" w:hAnsi="Arial" w:eastAsia="Arial" w:cs="Arial"/>
          <w:b/>
          <w:bCs/>
          <w:sz w:val="24"/>
          <w:szCs w:val="24"/>
        </w:rPr>
        <w:instrText xml:space="preserve"> TOC \h \z \t "Subtitle" \c </w:instrText>
      </w:r>
      <w:r w:rsidRPr="005C1F7A">
        <w:rPr>
          <w:rFonts w:ascii="Arial" w:hAnsi="Arial" w:eastAsia="Arial" w:cs="Arial"/>
          <w:b/>
          <w:bCs/>
          <w:sz w:val="24"/>
          <w:szCs w:val="24"/>
        </w:rPr>
        <w:fldChar w:fldCharType="separate"/>
      </w:r>
      <w:hyperlink w:history="1" w:anchor="_Toc239514372">
        <w:r w:rsidRPr="005C1F7A">
          <w:rPr>
            <w:rStyle w:val="Hyperlink"/>
            <w:rFonts w:ascii="Arial" w:hAnsi="Arial" w:cs="Arial"/>
            <w:noProof/>
            <w:sz w:val="24"/>
            <w:szCs w:val="24"/>
          </w:rPr>
          <w:t>Figure 1:Filling Gaps and Developing Approaches to Training</w:t>
        </w:r>
        <w:r w:rsidRPr="005C1F7A">
          <w:rPr>
            <w:rFonts w:ascii="Arial" w:hAnsi="Arial" w:cs="Arial"/>
            <w:noProof/>
            <w:webHidden/>
            <w:sz w:val="24"/>
            <w:szCs w:val="24"/>
          </w:rPr>
          <w:tab/>
        </w:r>
        <w:r w:rsidRPr="005C1F7A">
          <w:rPr>
            <w:rFonts w:ascii="Arial" w:hAnsi="Arial" w:cs="Arial"/>
            <w:noProof/>
            <w:webHidden/>
            <w:sz w:val="24"/>
            <w:szCs w:val="24"/>
          </w:rPr>
          <w:fldChar w:fldCharType="begin"/>
        </w:r>
        <w:r w:rsidRPr="005C1F7A">
          <w:rPr>
            <w:rFonts w:ascii="Arial" w:hAnsi="Arial" w:cs="Arial"/>
            <w:noProof/>
            <w:webHidden/>
            <w:sz w:val="24"/>
            <w:szCs w:val="24"/>
          </w:rPr>
          <w:instrText xml:space="preserve"> PAGEREF _Toc239514372 \h </w:instrText>
        </w:r>
        <w:r w:rsidRPr="005C1F7A">
          <w:rPr>
            <w:rFonts w:ascii="Arial" w:hAnsi="Arial" w:cs="Arial"/>
            <w:noProof/>
            <w:webHidden/>
            <w:sz w:val="24"/>
            <w:szCs w:val="24"/>
          </w:rPr>
        </w:r>
        <w:r w:rsidRPr="005C1F7A">
          <w:rPr>
            <w:rFonts w:ascii="Arial" w:hAnsi="Arial" w:cs="Arial"/>
            <w:noProof/>
            <w:webHidden/>
            <w:sz w:val="24"/>
            <w:szCs w:val="24"/>
          </w:rPr>
          <w:fldChar w:fldCharType="separate"/>
        </w:r>
        <w:r w:rsidR="0002450C">
          <w:rPr>
            <w:rFonts w:ascii="Arial" w:hAnsi="Arial" w:cs="Arial"/>
            <w:noProof/>
            <w:webHidden/>
            <w:sz w:val="24"/>
            <w:szCs w:val="24"/>
          </w:rPr>
          <w:t>23</w:t>
        </w:r>
        <w:r w:rsidRPr="005C1F7A">
          <w:rPr>
            <w:rFonts w:ascii="Arial" w:hAnsi="Arial" w:cs="Arial"/>
            <w:noProof/>
            <w:webHidden/>
            <w:sz w:val="24"/>
            <w:szCs w:val="24"/>
          </w:rPr>
          <w:fldChar w:fldCharType="end"/>
        </w:r>
      </w:hyperlink>
    </w:p>
    <w:p w:rsidRPr="005C1F7A" w:rsidR="005C1F7A" w:rsidP="005C1F7A" w:rsidRDefault="005C1F7A" w14:paraId="1864F72B" w14:textId="0DC7DE4D">
      <w:pPr>
        <w:pStyle w:val="TableofFigures"/>
        <w:tabs>
          <w:tab w:val="right" w:leader="dot" w:pos="9016"/>
        </w:tabs>
        <w:spacing w:line="360" w:lineRule="auto"/>
        <w:jc w:val="center"/>
        <w:rPr>
          <w:rFonts w:ascii="Arial" w:hAnsi="Arial" w:cs="Arial" w:eastAsiaTheme="minorEastAsia"/>
          <w:noProof/>
          <w:kern w:val="2"/>
          <w:sz w:val="24"/>
          <w:szCs w:val="24"/>
          <w:lang w:val="en-IN" w:eastAsia="en-IN"/>
          <w14:ligatures w14:val="standardContextual"/>
        </w:rPr>
      </w:pPr>
      <w:hyperlink w:history="1" w:anchor="_Toc239514373">
        <w:r w:rsidRPr="005C1F7A">
          <w:rPr>
            <w:rStyle w:val="Hyperlink"/>
            <w:rFonts w:ascii="Arial" w:hAnsi="Arial" w:cs="Arial"/>
            <w:noProof/>
            <w:sz w:val="24"/>
            <w:szCs w:val="24"/>
          </w:rPr>
          <w:t>Figure 2:Structural Path Model</w:t>
        </w:r>
        <w:r w:rsidRPr="005C1F7A">
          <w:rPr>
            <w:rFonts w:ascii="Arial" w:hAnsi="Arial" w:cs="Arial"/>
            <w:noProof/>
            <w:webHidden/>
            <w:sz w:val="24"/>
            <w:szCs w:val="24"/>
          </w:rPr>
          <w:tab/>
        </w:r>
        <w:r w:rsidRPr="005C1F7A">
          <w:rPr>
            <w:rFonts w:ascii="Arial" w:hAnsi="Arial" w:cs="Arial"/>
            <w:noProof/>
            <w:webHidden/>
            <w:sz w:val="24"/>
            <w:szCs w:val="24"/>
          </w:rPr>
          <w:fldChar w:fldCharType="begin"/>
        </w:r>
        <w:r w:rsidRPr="005C1F7A">
          <w:rPr>
            <w:rFonts w:ascii="Arial" w:hAnsi="Arial" w:cs="Arial"/>
            <w:noProof/>
            <w:webHidden/>
            <w:sz w:val="24"/>
            <w:szCs w:val="24"/>
          </w:rPr>
          <w:instrText xml:space="preserve"> PAGEREF _Toc239514373 \h </w:instrText>
        </w:r>
        <w:r w:rsidRPr="005C1F7A">
          <w:rPr>
            <w:rFonts w:ascii="Arial" w:hAnsi="Arial" w:cs="Arial"/>
            <w:noProof/>
            <w:webHidden/>
            <w:sz w:val="24"/>
            <w:szCs w:val="24"/>
          </w:rPr>
        </w:r>
        <w:r w:rsidRPr="005C1F7A">
          <w:rPr>
            <w:rFonts w:ascii="Arial" w:hAnsi="Arial" w:cs="Arial"/>
            <w:noProof/>
            <w:webHidden/>
            <w:sz w:val="24"/>
            <w:szCs w:val="24"/>
          </w:rPr>
          <w:fldChar w:fldCharType="separate"/>
        </w:r>
        <w:r w:rsidR="0002450C">
          <w:rPr>
            <w:rFonts w:ascii="Arial" w:hAnsi="Arial" w:cs="Arial"/>
            <w:noProof/>
            <w:webHidden/>
            <w:sz w:val="24"/>
            <w:szCs w:val="24"/>
          </w:rPr>
          <w:t>24</w:t>
        </w:r>
        <w:r w:rsidRPr="005C1F7A">
          <w:rPr>
            <w:rFonts w:ascii="Arial" w:hAnsi="Arial" w:cs="Arial"/>
            <w:noProof/>
            <w:webHidden/>
            <w:sz w:val="24"/>
            <w:szCs w:val="24"/>
          </w:rPr>
          <w:fldChar w:fldCharType="end"/>
        </w:r>
      </w:hyperlink>
    </w:p>
    <w:p w:rsidRPr="005C1F7A" w:rsidR="005C1F7A" w:rsidP="005C1F7A" w:rsidRDefault="005C1F7A" w14:paraId="746AE3FD" w14:textId="0F156CB9">
      <w:pPr>
        <w:pStyle w:val="TableofFigures"/>
        <w:tabs>
          <w:tab w:val="right" w:leader="dot" w:pos="9016"/>
        </w:tabs>
        <w:spacing w:line="360" w:lineRule="auto"/>
        <w:jc w:val="center"/>
        <w:rPr>
          <w:rFonts w:ascii="Arial" w:hAnsi="Arial" w:cs="Arial" w:eastAsiaTheme="minorEastAsia"/>
          <w:noProof/>
          <w:kern w:val="2"/>
          <w:sz w:val="24"/>
          <w:szCs w:val="24"/>
          <w:lang w:val="en-IN" w:eastAsia="en-IN"/>
          <w14:ligatures w14:val="standardContextual"/>
        </w:rPr>
      </w:pPr>
      <w:hyperlink w:history="1" w:anchor="_Toc239514374">
        <w:r w:rsidRPr="005C1F7A">
          <w:rPr>
            <w:rStyle w:val="Hyperlink"/>
            <w:rFonts w:ascii="Arial" w:hAnsi="Arial" w:cs="Arial"/>
            <w:noProof/>
            <w:sz w:val="24"/>
            <w:szCs w:val="24"/>
          </w:rPr>
          <w:t>Figure 3:Attitudinal Influences on Transfer of Training Framework</w:t>
        </w:r>
        <w:r w:rsidRPr="005C1F7A">
          <w:rPr>
            <w:rFonts w:ascii="Arial" w:hAnsi="Arial" w:cs="Arial"/>
            <w:noProof/>
            <w:webHidden/>
            <w:sz w:val="24"/>
            <w:szCs w:val="24"/>
          </w:rPr>
          <w:tab/>
        </w:r>
        <w:r w:rsidRPr="005C1F7A">
          <w:rPr>
            <w:rFonts w:ascii="Arial" w:hAnsi="Arial" w:cs="Arial"/>
            <w:noProof/>
            <w:webHidden/>
            <w:sz w:val="24"/>
            <w:szCs w:val="24"/>
          </w:rPr>
          <w:fldChar w:fldCharType="begin"/>
        </w:r>
        <w:r w:rsidRPr="005C1F7A">
          <w:rPr>
            <w:rFonts w:ascii="Arial" w:hAnsi="Arial" w:cs="Arial"/>
            <w:noProof/>
            <w:webHidden/>
            <w:sz w:val="24"/>
            <w:szCs w:val="24"/>
          </w:rPr>
          <w:instrText xml:space="preserve"> PAGEREF _Toc239514374 \h </w:instrText>
        </w:r>
        <w:r w:rsidRPr="005C1F7A">
          <w:rPr>
            <w:rFonts w:ascii="Arial" w:hAnsi="Arial" w:cs="Arial"/>
            <w:noProof/>
            <w:webHidden/>
            <w:sz w:val="24"/>
            <w:szCs w:val="24"/>
          </w:rPr>
        </w:r>
        <w:r w:rsidRPr="005C1F7A">
          <w:rPr>
            <w:rFonts w:ascii="Arial" w:hAnsi="Arial" w:cs="Arial"/>
            <w:noProof/>
            <w:webHidden/>
            <w:sz w:val="24"/>
            <w:szCs w:val="24"/>
          </w:rPr>
          <w:fldChar w:fldCharType="separate"/>
        </w:r>
        <w:r w:rsidR="0002450C">
          <w:rPr>
            <w:rFonts w:ascii="Arial" w:hAnsi="Arial" w:cs="Arial"/>
            <w:noProof/>
            <w:webHidden/>
            <w:sz w:val="24"/>
            <w:szCs w:val="24"/>
          </w:rPr>
          <w:t>27</w:t>
        </w:r>
        <w:r w:rsidRPr="005C1F7A">
          <w:rPr>
            <w:rFonts w:ascii="Arial" w:hAnsi="Arial" w:cs="Arial"/>
            <w:noProof/>
            <w:webHidden/>
            <w:sz w:val="24"/>
            <w:szCs w:val="24"/>
          </w:rPr>
          <w:fldChar w:fldCharType="end"/>
        </w:r>
      </w:hyperlink>
    </w:p>
    <w:p w:rsidRPr="005C1F7A" w:rsidR="005C1F7A" w:rsidP="005C1F7A" w:rsidRDefault="005C1F7A" w14:paraId="43B96A07" w14:textId="339D4812">
      <w:pPr>
        <w:pStyle w:val="TableofFigures"/>
        <w:tabs>
          <w:tab w:val="right" w:leader="dot" w:pos="9016"/>
        </w:tabs>
        <w:spacing w:line="360" w:lineRule="auto"/>
        <w:jc w:val="center"/>
        <w:rPr>
          <w:rFonts w:ascii="Arial" w:hAnsi="Arial" w:cs="Arial" w:eastAsiaTheme="minorEastAsia"/>
          <w:noProof/>
          <w:kern w:val="2"/>
          <w:sz w:val="24"/>
          <w:szCs w:val="24"/>
          <w:lang w:val="en-IN" w:eastAsia="en-IN"/>
          <w14:ligatures w14:val="standardContextual"/>
        </w:rPr>
      </w:pPr>
      <w:hyperlink w:history="1" w:anchor="_Toc239514375">
        <w:r w:rsidRPr="005C1F7A">
          <w:rPr>
            <w:rStyle w:val="Hyperlink"/>
            <w:rFonts w:ascii="Arial" w:hAnsi="Arial" w:cs="Arial"/>
            <w:noProof/>
            <w:sz w:val="24"/>
            <w:szCs w:val="24"/>
          </w:rPr>
          <w:t>Figure 4: Conceptual Framework</w:t>
        </w:r>
        <w:r w:rsidRPr="005C1F7A">
          <w:rPr>
            <w:rFonts w:ascii="Arial" w:hAnsi="Arial" w:cs="Arial"/>
            <w:noProof/>
            <w:webHidden/>
            <w:sz w:val="24"/>
            <w:szCs w:val="24"/>
          </w:rPr>
          <w:tab/>
        </w:r>
        <w:r w:rsidRPr="005C1F7A">
          <w:rPr>
            <w:rFonts w:ascii="Arial" w:hAnsi="Arial" w:cs="Arial"/>
            <w:noProof/>
            <w:webHidden/>
            <w:sz w:val="24"/>
            <w:szCs w:val="24"/>
          </w:rPr>
          <w:fldChar w:fldCharType="begin"/>
        </w:r>
        <w:r w:rsidRPr="005C1F7A">
          <w:rPr>
            <w:rFonts w:ascii="Arial" w:hAnsi="Arial" w:cs="Arial"/>
            <w:noProof/>
            <w:webHidden/>
            <w:sz w:val="24"/>
            <w:szCs w:val="24"/>
          </w:rPr>
          <w:instrText xml:space="preserve"> PAGEREF _Toc239514375 \h </w:instrText>
        </w:r>
        <w:r w:rsidRPr="005C1F7A">
          <w:rPr>
            <w:rFonts w:ascii="Arial" w:hAnsi="Arial" w:cs="Arial"/>
            <w:noProof/>
            <w:webHidden/>
            <w:sz w:val="24"/>
            <w:szCs w:val="24"/>
          </w:rPr>
        </w:r>
        <w:r w:rsidRPr="005C1F7A">
          <w:rPr>
            <w:rFonts w:ascii="Arial" w:hAnsi="Arial" w:cs="Arial"/>
            <w:noProof/>
            <w:webHidden/>
            <w:sz w:val="24"/>
            <w:szCs w:val="24"/>
          </w:rPr>
          <w:fldChar w:fldCharType="separate"/>
        </w:r>
        <w:r w:rsidR="0002450C">
          <w:rPr>
            <w:rFonts w:ascii="Arial" w:hAnsi="Arial" w:cs="Arial"/>
            <w:noProof/>
            <w:webHidden/>
            <w:sz w:val="24"/>
            <w:szCs w:val="24"/>
          </w:rPr>
          <w:t>50</w:t>
        </w:r>
        <w:r w:rsidRPr="005C1F7A">
          <w:rPr>
            <w:rFonts w:ascii="Arial" w:hAnsi="Arial" w:cs="Arial"/>
            <w:noProof/>
            <w:webHidden/>
            <w:sz w:val="24"/>
            <w:szCs w:val="24"/>
          </w:rPr>
          <w:fldChar w:fldCharType="end"/>
        </w:r>
      </w:hyperlink>
    </w:p>
    <w:p w:rsidRPr="005C1F7A" w:rsidR="005C1F7A" w:rsidP="005C1F7A" w:rsidRDefault="005C1F7A" w14:paraId="028064B5" w14:textId="3B2577F8">
      <w:pPr>
        <w:spacing w:line="360" w:lineRule="auto"/>
        <w:jc w:val="center"/>
        <w:rPr>
          <w:rFonts w:ascii="Arial" w:hAnsi="Arial" w:eastAsia="Arial" w:cs="Arial"/>
          <w:b/>
          <w:bCs/>
          <w:sz w:val="24"/>
          <w:szCs w:val="24"/>
        </w:rPr>
      </w:pPr>
      <w:r w:rsidRPr="005C1F7A">
        <w:rPr>
          <w:rFonts w:ascii="Arial" w:hAnsi="Arial" w:eastAsia="Arial" w:cs="Arial"/>
          <w:b/>
          <w:bCs/>
          <w:sz w:val="24"/>
          <w:szCs w:val="24"/>
        </w:rPr>
        <w:fldChar w:fldCharType="end"/>
      </w:r>
    </w:p>
    <w:p w:rsidRPr="0027235C" w:rsidR="00EA78D2" w:rsidP="005C1F7A" w:rsidRDefault="00EA78D2" w14:paraId="140FC704" w14:textId="6B8434EB">
      <w:pPr>
        <w:spacing w:line="360" w:lineRule="auto"/>
        <w:jc w:val="center"/>
        <w:rPr>
          <w:rFonts w:ascii="Arial" w:hAnsi="Arial" w:eastAsia="Arial" w:cs="Arial"/>
          <w:b/>
          <w:bCs/>
          <w:sz w:val="24"/>
          <w:szCs w:val="24"/>
        </w:rPr>
      </w:pPr>
      <w:r w:rsidRPr="0027235C">
        <w:rPr>
          <w:rFonts w:ascii="Arial" w:hAnsi="Arial" w:eastAsia="Arial" w:cs="Arial"/>
          <w:b/>
          <w:bCs/>
          <w:sz w:val="24"/>
          <w:szCs w:val="24"/>
        </w:rPr>
        <w:t>List of Table</w:t>
      </w:r>
    </w:p>
    <w:p w:rsidRPr="00F55E4F" w:rsidR="00F55E4F" w:rsidP="00A06AC8" w:rsidRDefault="00F55E4F" w14:paraId="3B5BD9B5" w14:textId="5DB4E5FD">
      <w:pPr>
        <w:pStyle w:val="TableofFigures"/>
        <w:tabs>
          <w:tab w:val="right" w:leader="dot" w:pos="9016"/>
        </w:tabs>
        <w:spacing w:line="360" w:lineRule="auto"/>
        <w:jc w:val="both"/>
        <w:rPr>
          <w:rFonts w:ascii="Arial" w:hAnsi="Arial" w:cs="Arial" w:eastAsiaTheme="minorEastAsia"/>
          <w:noProof/>
          <w:sz w:val="24"/>
          <w:szCs w:val="24"/>
          <w:lang w:val="en-US"/>
        </w:rPr>
      </w:pPr>
      <w:r w:rsidRPr="00F55E4F">
        <w:rPr>
          <w:rFonts w:ascii="Arial" w:hAnsi="Arial" w:eastAsia="Arial" w:cs="Arial"/>
          <w:sz w:val="24"/>
          <w:szCs w:val="24"/>
        </w:rPr>
        <w:fldChar w:fldCharType="begin"/>
      </w:r>
      <w:r w:rsidRPr="00F55E4F">
        <w:rPr>
          <w:rFonts w:ascii="Arial" w:hAnsi="Arial" w:eastAsia="Arial" w:cs="Arial"/>
          <w:sz w:val="24"/>
          <w:szCs w:val="24"/>
        </w:rPr>
        <w:instrText xml:space="preserve"> TOC \h \z \t "Subtitle" \c </w:instrText>
      </w:r>
      <w:r w:rsidRPr="00F55E4F">
        <w:rPr>
          <w:rFonts w:ascii="Arial" w:hAnsi="Arial" w:eastAsia="Arial" w:cs="Arial"/>
          <w:sz w:val="24"/>
          <w:szCs w:val="24"/>
        </w:rPr>
        <w:fldChar w:fldCharType="separate"/>
      </w:r>
      <w:hyperlink w:history="1" w:anchor="_Toc239530675">
        <w:r w:rsidRPr="00F55E4F">
          <w:rPr>
            <w:rStyle w:val="Hyperlink"/>
            <w:rFonts w:ascii="Arial" w:hAnsi="Arial" w:cs="Arial"/>
            <w:noProof/>
            <w:sz w:val="24"/>
            <w:szCs w:val="24"/>
          </w:rPr>
          <w:t>Table 1:Boolean Operator Usage in the Literature Search</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_Toc239530675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14</w:t>
        </w:r>
        <w:r w:rsidRPr="00F55E4F">
          <w:rPr>
            <w:rFonts w:ascii="Arial" w:hAnsi="Arial" w:cs="Arial"/>
            <w:noProof/>
            <w:webHidden/>
            <w:sz w:val="24"/>
            <w:szCs w:val="24"/>
          </w:rPr>
          <w:fldChar w:fldCharType="end"/>
        </w:r>
      </w:hyperlink>
    </w:p>
    <w:p w:rsidRPr="00F55E4F" w:rsidR="00F55E4F" w:rsidP="00A06AC8" w:rsidRDefault="00F55E4F" w14:paraId="4DBBCB38" w14:textId="09131DED">
      <w:pPr>
        <w:pStyle w:val="TableofFigures"/>
        <w:tabs>
          <w:tab w:val="right" w:leader="dot" w:pos="9016"/>
        </w:tabs>
        <w:spacing w:line="360" w:lineRule="auto"/>
        <w:jc w:val="both"/>
        <w:rPr>
          <w:rFonts w:ascii="Arial" w:hAnsi="Arial" w:cs="Arial" w:eastAsiaTheme="minorEastAsia"/>
          <w:noProof/>
          <w:sz w:val="24"/>
          <w:szCs w:val="24"/>
          <w:lang w:val="en-US"/>
        </w:rPr>
      </w:pPr>
      <w:hyperlink w:history="1" w:anchor="_Toc239530676">
        <w:r w:rsidRPr="00F55E4F">
          <w:rPr>
            <w:rStyle w:val="Hyperlink"/>
            <w:rFonts w:ascii="Arial" w:hAnsi="Arial" w:cs="Arial"/>
            <w:noProof/>
            <w:sz w:val="24"/>
            <w:szCs w:val="24"/>
          </w:rPr>
          <w:t>Table 2:Inclusion and exclusion criteria</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_Toc239530676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16</w:t>
        </w:r>
        <w:r w:rsidRPr="00F55E4F">
          <w:rPr>
            <w:rFonts w:ascii="Arial" w:hAnsi="Arial" w:cs="Arial"/>
            <w:noProof/>
            <w:webHidden/>
            <w:sz w:val="24"/>
            <w:szCs w:val="24"/>
          </w:rPr>
          <w:fldChar w:fldCharType="end"/>
        </w:r>
      </w:hyperlink>
    </w:p>
    <w:p w:rsidRPr="00F55E4F" w:rsidR="00F55E4F" w:rsidP="00A06AC8" w:rsidRDefault="00F55E4F" w14:paraId="387014B6" w14:textId="0E131E32">
      <w:pPr>
        <w:pStyle w:val="TableofFigures"/>
        <w:tabs>
          <w:tab w:val="right" w:leader="dot" w:pos="9016"/>
        </w:tabs>
        <w:spacing w:line="360" w:lineRule="auto"/>
        <w:jc w:val="both"/>
        <w:rPr>
          <w:rFonts w:ascii="Arial" w:hAnsi="Arial" w:cs="Arial" w:eastAsiaTheme="minorEastAsia"/>
          <w:noProof/>
          <w:sz w:val="24"/>
          <w:szCs w:val="24"/>
          <w:lang w:val="en-US"/>
        </w:rPr>
      </w:pPr>
      <w:hyperlink w:history="1" w:anchor="_Toc239530677">
        <w:r w:rsidRPr="00F55E4F">
          <w:rPr>
            <w:rStyle w:val="Hyperlink"/>
            <w:rFonts w:ascii="Arial" w:hAnsi="Arial" w:cs="Arial"/>
            <w:noProof/>
            <w:sz w:val="24"/>
            <w:szCs w:val="24"/>
          </w:rPr>
          <w:t>Table 3:Thematic Coding Table</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_Toc239530677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22</w:t>
        </w:r>
        <w:r w:rsidRPr="00F55E4F">
          <w:rPr>
            <w:rFonts w:ascii="Arial" w:hAnsi="Arial" w:cs="Arial"/>
            <w:noProof/>
            <w:webHidden/>
            <w:sz w:val="24"/>
            <w:szCs w:val="24"/>
          </w:rPr>
          <w:fldChar w:fldCharType="end"/>
        </w:r>
      </w:hyperlink>
    </w:p>
    <w:p w:rsidRPr="00F55E4F" w:rsidR="00F55E4F" w:rsidP="00A06AC8" w:rsidRDefault="00F55E4F" w14:paraId="3ED75D23" w14:textId="4D3F3FB7">
      <w:pPr>
        <w:pStyle w:val="TableofFigures"/>
        <w:tabs>
          <w:tab w:val="right" w:leader="dot" w:pos="9016"/>
        </w:tabs>
        <w:spacing w:line="360" w:lineRule="auto"/>
        <w:jc w:val="both"/>
        <w:rPr>
          <w:rFonts w:ascii="Arial" w:hAnsi="Arial" w:cs="Arial" w:eastAsiaTheme="minorEastAsia"/>
          <w:noProof/>
          <w:sz w:val="24"/>
          <w:szCs w:val="24"/>
          <w:lang w:val="en-US"/>
        </w:rPr>
      </w:pPr>
      <w:hyperlink w:history="1" w:anchor="_Toc239530678">
        <w:r w:rsidRPr="00F55E4F">
          <w:rPr>
            <w:rStyle w:val="Hyperlink"/>
            <w:rFonts w:ascii="Arial" w:hAnsi="Arial" w:cs="Arial"/>
            <w:noProof/>
            <w:sz w:val="24"/>
            <w:szCs w:val="24"/>
          </w:rPr>
          <w:t>Figure 1:Filling Gaps and Developing Approaches to Training</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_Toc239530678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23</w:t>
        </w:r>
        <w:r w:rsidRPr="00F55E4F">
          <w:rPr>
            <w:rFonts w:ascii="Arial" w:hAnsi="Arial" w:cs="Arial"/>
            <w:noProof/>
            <w:webHidden/>
            <w:sz w:val="24"/>
            <w:szCs w:val="24"/>
          </w:rPr>
          <w:fldChar w:fldCharType="end"/>
        </w:r>
      </w:hyperlink>
    </w:p>
    <w:p w:rsidRPr="00F55E4F" w:rsidR="00F55E4F" w:rsidP="00A06AC8" w:rsidRDefault="00F55E4F" w14:paraId="671CEB71" w14:textId="10FA3A7D">
      <w:pPr>
        <w:pStyle w:val="TableofFigures"/>
        <w:tabs>
          <w:tab w:val="right" w:leader="dot" w:pos="9016"/>
        </w:tabs>
        <w:spacing w:line="360" w:lineRule="auto"/>
        <w:jc w:val="both"/>
        <w:rPr>
          <w:rFonts w:ascii="Arial" w:hAnsi="Arial" w:cs="Arial" w:eastAsiaTheme="minorEastAsia"/>
          <w:noProof/>
          <w:sz w:val="24"/>
          <w:szCs w:val="24"/>
          <w:lang w:val="en-US"/>
        </w:rPr>
      </w:pPr>
      <w:hyperlink w:history="1" w:anchor="_Toc239530679">
        <w:r w:rsidRPr="00F55E4F">
          <w:rPr>
            <w:rStyle w:val="Hyperlink"/>
            <w:rFonts w:ascii="Arial" w:hAnsi="Arial" w:cs="Arial"/>
            <w:noProof/>
            <w:sz w:val="24"/>
            <w:szCs w:val="24"/>
          </w:rPr>
          <w:t>Figure 2:Structural Path Model</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_Toc239530679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24</w:t>
        </w:r>
        <w:r w:rsidRPr="00F55E4F">
          <w:rPr>
            <w:rFonts w:ascii="Arial" w:hAnsi="Arial" w:cs="Arial"/>
            <w:noProof/>
            <w:webHidden/>
            <w:sz w:val="24"/>
            <w:szCs w:val="24"/>
          </w:rPr>
          <w:fldChar w:fldCharType="end"/>
        </w:r>
      </w:hyperlink>
    </w:p>
    <w:p w:rsidRPr="00F55E4F" w:rsidR="00F55E4F" w:rsidP="00A06AC8" w:rsidRDefault="00F55E4F" w14:paraId="5B81452F" w14:textId="2845A4EE">
      <w:pPr>
        <w:pStyle w:val="TableofFigures"/>
        <w:tabs>
          <w:tab w:val="right" w:leader="dot" w:pos="9016"/>
        </w:tabs>
        <w:spacing w:line="360" w:lineRule="auto"/>
        <w:jc w:val="both"/>
        <w:rPr>
          <w:rFonts w:ascii="Arial" w:hAnsi="Arial" w:cs="Arial" w:eastAsiaTheme="minorEastAsia"/>
          <w:noProof/>
          <w:sz w:val="24"/>
          <w:szCs w:val="24"/>
          <w:lang w:val="en-US"/>
        </w:rPr>
      </w:pPr>
      <w:hyperlink w:history="1" w:anchor="_Toc239530680">
        <w:r w:rsidRPr="00F55E4F">
          <w:rPr>
            <w:rStyle w:val="Hyperlink"/>
            <w:rFonts w:ascii="Arial" w:hAnsi="Arial" w:cs="Arial"/>
            <w:noProof/>
            <w:sz w:val="24"/>
            <w:szCs w:val="24"/>
          </w:rPr>
          <w:t>Figure 3:Attitudinal Influences on Transfer of Training Framework</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_Toc239530680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27</w:t>
        </w:r>
        <w:r w:rsidRPr="00F55E4F">
          <w:rPr>
            <w:rFonts w:ascii="Arial" w:hAnsi="Arial" w:cs="Arial"/>
            <w:noProof/>
            <w:webHidden/>
            <w:sz w:val="24"/>
            <w:szCs w:val="24"/>
          </w:rPr>
          <w:fldChar w:fldCharType="end"/>
        </w:r>
      </w:hyperlink>
    </w:p>
    <w:p w:rsidRPr="00F55E4F" w:rsidR="00F55E4F" w:rsidP="00A06AC8" w:rsidRDefault="00F55E4F" w14:paraId="094814F0" w14:textId="6A4A3006">
      <w:pPr>
        <w:pStyle w:val="TableofFigures"/>
        <w:tabs>
          <w:tab w:val="right" w:leader="dot" w:pos="9016"/>
        </w:tabs>
        <w:spacing w:line="360" w:lineRule="auto"/>
        <w:jc w:val="both"/>
        <w:rPr>
          <w:rFonts w:ascii="Arial" w:hAnsi="Arial" w:cs="Arial" w:eastAsiaTheme="minorEastAsia"/>
          <w:noProof/>
          <w:sz w:val="24"/>
          <w:szCs w:val="24"/>
          <w:lang w:val="en-US"/>
        </w:rPr>
      </w:pPr>
      <w:hyperlink w:history="1" w:anchor="_Toc239530681">
        <w:r w:rsidRPr="00F55E4F">
          <w:rPr>
            <w:rStyle w:val="Hyperlink"/>
            <w:rFonts w:ascii="Arial" w:hAnsi="Arial" w:cs="Arial"/>
            <w:noProof/>
            <w:sz w:val="24"/>
            <w:szCs w:val="24"/>
          </w:rPr>
          <w:t>Figure 4: Conceptual Framework</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_Toc239530681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50</w:t>
        </w:r>
        <w:r w:rsidRPr="00F55E4F">
          <w:rPr>
            <w:rFonts w:ascii="Arial" w:hAnsi="Arial" w:cs="Arial"/>
            <w:noProof/>
            <w:webHidden/>
            <w:sz w:val="24"/>
            <w:szCs w:val="24"/>
          </w:rPr>
          <w:fldChar w:fldCharType="end"/>
        </w:r>
      </w:hyperlink>
    </w:p>
    <w:p w:rsidRPr="00F55E4F" w:rsidR="00F55E4F" w:rsidP="00A06AC8" w:rsidRDefault="00F55E4F" w14:paraId="2D57EE24" w14:textId="0538923F">
      <w:pPr>
        <w:pStyle w:val="TableofFigures"/>
        <w:tabs>
          <w:tab w:val="right" w:leader="dot" w:pos="9016"/>
        </w:tabs>
        <w:spacing w:line="360" w:lineRule="auto"/>
        <w:jc w:val="both"/>
        <w:rPr>
          <w:rFonts w:ascii="Arial" w:hAnsi="Arial" w:cs="Arial" w:eastAsiaTheme="minorEastAsia"/>
          <w:noProof/>
          <w:sz w:val="24"/>
          <w:szCs w:val="24"/>
          <w:lang w:val="en-US"/>
        </w:rPr>
      </w:pPr>
      <w:hyperlink w:history="1" w:anchor="_Toc239530682">
        <w:r w:rsidRPr="00F55E4F">
          <w:rPr>
            <w:rStyle w:val="Hyperlink"/>
            <w:rFonts w:ascii="Arial" w:hAnsi="Arial" w:cs="Arial"/>
            <w:noProof/>
            <w:sz w:val="24"/>
            <w:szCs w:val="24"/>
          </w:rPr>
          <w:t>Table 5: Systematic Table</w:t>
        </w:r>
        <w:r w:rsidRPr="00F55E4F">
          <w:rPr>
            <w:rFonts w:ascii="Arial" w:hAnsi="Arial" w:cs="Arial"/>
            <w:noProof/>
            <w:webHidden/>
            <w:sz w:val="24"/>
            <w:szCs w:val="24"/>
          </w:rPr>
          <w:tab/>
        </w:r>
        <w:r w:rsidRPr="00F55E4F">
          <w:rPr>
            <w:rFonts w:ascii="Arial" w:hAnsi="Arial" w:cs="Arial"/>
            <w:noProof/>
            <w:webHidden/>
            <w:sz w:val="24"/>
            <w:szCs w:val="24"/>
          </w:rPr>
          <w:fldChar w:fldCharType="begin"/>
        </w:r>
        <w:r w:rsidRPr="00F55E4F">
          <w:rPr>
            <w:rFonts w:ascii="Arial" w:hAnsi="Arial" w:cs="Arial"/>
            <w:noProof/>
            <w:webHidden/>
            <w:sz w:val="24"/>
            <w:szCs w:val="24"/>
          </w:rPr>
          <w:instrText xml:space="preserve"> PAGEREF _Toc239530682 \h </w:instrText>
        </w:r>
        <w:r w:rsidRPr="00F55E4F">
          <w:rPr>
            <w:rFonts w:ascii="Arial" w:hAnsi="Arial" w:cs="Arial"/>
            <w:noProof/>
            <w:webHidden/>
            <w:sz w:val="24"/>
            <w:szCs w:val="24"/>
          </w:rPr>
        </w:r>
        <w:r w:rsidRPr="00F55E4F">
          <w:rPr>
            <w:rFonts w:ascii="Arial" w:hAnsi="Arial" w:cs="Arial"/>
            <w:noProof/>
            <w:webHidden/>
            <w:sz w:val="24"/>
            <w:szCs w:val="24"/>
          </w:rPr>
          <w:fldChar w:fldCharType="separate"/>
        </w:r>
        <w:r w:rsidRPr="00F55E4F">
          <w:rPr>
            <w:rFonts w:ascii="Arial" w:hAnsi="Arial" w:cs="Arial"/>
            <w:noProof/>
            <w:webHidden/>
            <w:sz w:val="24"/>
            <w:szCs w:val="24"/>
          </w:rPr>
          <w:t>86</w:t>
        </w:r>
        <w:r w:rsidRPr="00F55E4F">
          <w:rPr>
            <w:rFonts w:ascii="Arial" w:hAnsi="Arial" w:cs="Arial"/>
            <w:noProof/>
            <w:webHidden/>
            <w:sz w:val="24"/>
            <w:szCs w:val="24"/>
          </w:rPr>
          <w:fldChar w:fldCharType="end"/>
        </w:r>
      </w:hyperlink>
    </w:p>
    <w:p w:rsidRPr="00F55E4F" w:rsidR="00EA78D2" w:rsidP="00A06AC8" w:rsidRDefault="00F55E4F" w14:paraId="744C3E55" w14:textId="5955581F">
      <w:pPr>
        <w:pStyle w:val="TableofFigures"/>
        <w:tabs>
          <w:tab w:val="right" w:leader="dot" w:pos="9016"/>
        </w:tabs>
        <w:spacing w:line="360" w:lineRule="auto"/>
        <w:jc w:val="both"/>
        <w:rPr>
          <w:rFonts w:ascii="Arial" w:hAnsi="Arial" w:cs="Arial" w:eastAsiaTheme="minorEastAsia"/>
          <w:noProof/>
          <w:kern w:val="2"/>
          <w:sz w:val="24"/>
          <w:szCs w:val="24"/>
          <w:lang w:eastAsia="en-IN"/>
          <w14:ligatures w14:val="standardContextual"/>
        </w:rPr>
      </w:pPr>
      <w:r w:rsidRPr="00F55E4F">
        <w:rPr>
          <w:rFonts w:ascii="Arial" w:hAnsi="Arial" w:eastAsia="Arial" w:cs="Arial"/>
          <w:sz w:val="24"/>
          <w:szCs w:val="24"/>
        </w:rPr>
        <w:fldChar w:fldCharType="end"/>
      </w:r>
      <w:r w:rsidRPr="00F55E4F" w:rsidR="00EA78D2">
        <w:rPr>
          <w:rFonts w:ascii="Arial" w:hAnsi="Arial" w:eastAsia="Arial" w:cs="Arial"/>
          <w:sz w:val="24"/>
          <w:szCs w:val="24"/>
        </w:rPr>
        <w:fldChar w:fldCharType="begin"/>
      </w:r>
      <w:r w:rsidRPr="00F55E4F" w:rsidR="00EA78D2">
        <w:rPr>
          <w:rFonts w:ascii="Arial" w:hAnsi="Arial" w:eastAsia="Arial" w:cs="Arial"/>
          <w:sz w:val="24"/>
          <w:szCs w:val="24"/>
        </w:rPr>
        <w:instrText xml:space="preserve"> TOC \h \z \c "Table" </w:instrText>
      </w:r>
      <w:r w:rsidRPr="00F55E4F" w:rsidR="00EA78D2">
        <w:rPr>
          <w:rFonts w:ascii="Arial" w:hAnsi="Arial" w:eastAsia="Arial" w:cs="Arial"/>
          <w:sz w:val="24"/>
          <w:szCs w:val="24"/>
        </w:rPr>
        <w:fldChar w:fldCharType="separate"/>
      </w:r>
    </w:p>
    <w:p w:rsidRPr="0027235C" w:rsidR="00093C5D" w:rsidP="00A06AC8" w:rsidRDefault="00EA78D2" w14:paraId="29A9746A" w14:textId="77777777">
      <w:pPr>
        <w:spacing w:line="360" w:lineRule="auto"/>
        <w:jc w:val="both"/>
        <w:rPr>
          <w:rFonts w:ascii="Arial" w:hAnsi="Arial" w:eastAsia="Arial" w:cs="Arial"/>
          <w:sz w:val="24"/>
          <w:szCs w:val="24"/>
        </w:rPr>
      </w:pPr>
      <w:r w:rsidRPr="00F55E4F">
        <w:rPr>
          <w:rFonts w:ascii="Arial" w:hAnsi="Arial" w:eastAsia="Arial" w:cs="Arial"/>
          <w:sz w:val="24"/>
          <w:szCs w:val="24"/>
        </w:rPr>
        <w:fldChar w:fldCharType="end"/>
      </w:r>
    </w:p>
    <w:p w:rsidRPr="0027235C" w:rsidR="00093C5D" w:rsidP="005C1F7A" w:rsidRDefault="00093C5D" w14:paraId="76103DE4" w14:textId="77777777">
      <w:pPr>
        <w:spacing w:line="360" w:lineRule="auto"/>
        <w:jc w:val="center"/>
        <w:rPr>
          <w:rFonts w:ascii="Arial" w:hAnsi="Arial" w:eastAsia="Arial" w:cs="Arial"/>
          <w:b/>
          <w:bCs/>
          <w:sz w:val="24"/>
          <w:szCs w:val="24"/>
        </w:rPr>
      </w:pPr>
      <w:r w:rsidRPr="0027235C">
        <w:rPr>
          <w:rFonts w:ascii="Arial" w:hAnsi="Arial" w:eastAsia="Arial" w:cs="Arial"/>
          <w:b/>
          <w:bCs/>
          <w:sz w:val="24"/>
          <w:szCs w:val="24"/>
        </w:rPr>
        <w:t>List of Abbreviations</w:t>
      </w:r>
    </w:p>
    <w:p w:rsidRPr="0027235C" w:rsidR="00093C5D" w:rsidP="005C1F7A" w:rsidRDefault="00093C5D" w14:paraId="6823554D" w14:textId="77777777">
      <w:pPr>
        <w:spacing w:line="360" w:lineRule="auto"/>
        <w:rPr>
          <w:rFonts w:ascii="Arial" w:hAnsi="Arial" w:eastAsia="Arial" w:cs="Arial"/>
          <w:sz w:val="24"/>
          <w:szCs w:val="24"/>
        </w:rPr>
      </w:pPr>
      <w:r w:rsidRPr="0027235C">
        <w:rPr>
          <w:rFonts w:ascii="Arial" w:hAnsi="Arial" w:eastAsia="Arial" w:cs="Arial"/>
          <w:b/>
          <w:bCs/>
          <w:sz w:val="24"/>
          <w:szCs w:val="24"/>
        </w:rPr>
        <w:t>ABDC</w:t>
      </w:r>
      <w:r w:rsidRPr="0027235C">
        <w:rPr>
          <w:rFonts w:ascii="Arial" w:hAnsi="Arial" w:eastAsia="Arial" w:cs="Arial"/>
          <w:sz w:val="24"/>
          <w:szCs w:val="24"/>
        </w:rPr>
        <w:t xml:space="preserve"> – Australian Business Deans Council</w:t>
      </w:r>
      <w:r w:rsidRPr="0027235C">
        <w:rPr>
          <w:rFonts w:ascii="Arial" w:hAnsi="Arial" w:eastAsia="Arial" w:cs="Arial"/>
          <w:sz w:val="24"/>
          <w:szCs w:val="24"/>
        </w:rPr>
        <w:br/>
      </w:r>
      <w:r w:rsidRPr="0027235C">
        <w:rPr>
          <w:rFonts w:ascii="Arial" w:hAnsi="Arial" w:eastAsia="Arial" w:cs="Arial"/>
          <w:b/>
          <w:bCs/>
          <w:sz w:val="24"/>
          <w:szCs w:val="24"/>
        </w:rPr>
        <w:t>ABS</w:t>
      </w:r>
      <w:r w:rsidRPr="0027235C">
        <w:rPr>
          <w:rFonts w:ascii="Arial" w:hAnsi="Arial" w:eastAsia="Arial" w:cs="Arial"/>
          <w:sz w:val="24"/>
          <w:szCs w:val="24"/>
        </w:rPr>
        <w:t xml:space="preserve"> – Association of Business Schools</w:t>
      </w:r>
      <w:r w:rsidRPr="0027235C">
        <w:rPr>
          <w:rFonts w:ascii="Arial" w:hAnsi="Arial" w:eastAsia="Arial" w:cs="Arial"/>
          <w:sz w:val="24"/>
          <w:szCs w:val="24"/>
        </w:rPr>
        <w:br/>
      </w:r>
      <w:r w:rsidRPr="0027235C">
        <w:rPr>
          <w:rFonts w:ascii="Arial" w:hAnsi="Arial" w:eastAsia="Arial" w:cs="Arial"/>
          <w:b/>
          <w:bCs/>
          <w:sz w:val="24"/>
          <w:szCs w:val="24"/>
        </w:rPr>
        <w:t>AI</w:t>
      </w:r>
      <w:r w:rsidRPr="0027235C">
        <w:rPr>
          <w:rFonts w:ascii="Arial" w:hAnsi="Arial" w:eastAsia="Arial" w:cs="Arial"/>
          <w:sz w:val="24"/>
          <w:szCs w:val="24"/>
        </w:rPr>
        <w:t xml:space="preserve"> – Artificial Intelligence</w:t>
      </w:r>
      <w:r w:rsidRPr="0027235C">
        <w:rPr>
          <w:rFonts w:ascii="Arial" w:hAnsi="Arial" w:eastAsia="Arial" w:cs="Arial"/>
          <w:sz w:val="24"/>
          <w:szCs w:val="24"/>
        </w:rPr>
        <w:br/>
      </w:r>
      <w:r w:rsidRPr="0027235C">
        <w:rPr>
          <w:rFonts w:ascii="Arial" w:hAnsi="Arial" w:eastAsia="Arial" w:cs="Arial"/>
          <w:b/>
          <w:bCs/>
          <w:sz w:val="24"/>
          <w:szCs w:val="24"/>
        </w:rPr>
        <w:t>HCM</w:t>
      </w:r>
      <w:r w:rsidRPr="0027235C">
        <w:rPr>
          <w:rFonts w:ascii="Arial" w:hAnsi="Arial" w:eastAsia="Arial" w:cs="Arial"/>
          <w:sz w:val="24"/>
          <w:szCs w:val="24"/>
        </w:rPr>
        <w:t xml:space="preserve"> – Human Capital Management</w:t>
      </w:r>
      <w:r w:rsidRPr="0027235C">
        <w:rPr>
          <w:rFonts w:ascii="Arial" w:hAnsi="Arial" w:eastAsia="Arial" w:cs="Arial"/>
          <w:sz w:val="24"/>
          <w:szCs w:val="24"/>
        </w:rPr>
        <w:br/>
      </w:r>
      <w:r w:rsidRPr="0027235C">
        <w:rPr>
          <w:rFonts w:ascii="Arial" w:hAnsi="Arial" w:eastAsia="Arial" w:cs="Arial"/>
          <w:b/>
          <w:bCs/>
          <w:sz w:val="24"/>
          <w:szCs w:val="24"/>
        </w:rPr>
        <w:t>HRD</w:t>
      </w:r>
      <w:r w:rsidRPr="0027235C">
        <w:rPr>
          <w:rFonts w:ascii="Arial" w:hAnsi="Arial" w:eastAsia="Arial" w:cs="Arial"/>
          <w:sz w:val="24"/>
          <w:szCs w:val="24"/>
        </w:rPr>
        <w:t xml:space="preserve"> – Human Resource Development</w:t>
      </w:r>
      <w:r w:rsidRPr="0027235C">
        <w:rPr>
          <w:rFonts w:ascii="Arial" w:hAnsi="Arial" w:eastAsia="Arial" w:cs="Arial"/>
          <w:sz w:val="24"/>
          <w:szCs w:val="24"/>
        </w:rPr>
        <w:br/>
      </w:r>
      <w:r w:rsidRPr="0027235C">
        <w:rPr>
          <w:rFonts w:ascii="Arial" w:hAnsi="Arial" w:eastAsia="Arial" w:cs="Arial"/>
          <w:b/>
          <w:bCs/>
          <w:sz w:val="24"/>
          <w:szCs w:val="24"/>
        </w:rPr>
        <w:t>HRM</w:t>
      </w:r>
      <w:r w:rsidRPr="0027235C">
        <w:rPr>
          <w:rFonts w:ascii="Arial" w:hAnsi="Arial" w:eastAsia="Arial" w:cs="Arial"/>
          <w:sz w:val="24"/>
          <w:szCs w:val="24"/>
        </w:rPr>
        <w:t xml:space="preserve"> – Human Resource Management</w:t>
      </w:r>
      <w:r w:rsidRPr="0027235C">
        <w:rPr>
          <w:rFonts w:ascii="Arial" w:hAnsi="Arial" w:eastAsia="Arial" w:cs="Arial"/>
          <w:sz w:val="24"/>
          <w:szCs w:val="24"/>
        </w:rPr>
        <w:br/>
      </w:r>
      <w:r w:rsidRPr="0027235C">
        <w:rPr>
          <w:rFonts w:ascii="Arial" w:hAnsi="Arial" w:eastAsia="Arial" w:cs="Arial"/>
          <w:b/>
          <w:bCs/>
          <w:sz w:val="24"/>
          <w:szCs w:val="24"/>
        </w:rPr>
        <w:t>PRISMA</w:t>
      </w:r>
      <w:r w:rsidRPr="0027235C">
        <w:rPr>
          <w:rFonts w:ascii="Arial" w:hAnsi="Arial" w:eastAsia="Arial" w:cs="Arial"/>
          <w:sz w:val="24"/>
          <w:szCs w:val="24"/>
        </w:rPr>
        <w:t xml:space="preserve"> – Preferred Reporting Items for Systematic Reviews and Meta-Analyses</w:t>
      </w:r>
      <w:r w:rsidRPr="0027235C">
        <w:rPr>
          <w:rFonts w:ascii="Arial" w:hAnsi="Arial" w:eastAsia="Arial" w:cs="Arial"/>
          <w:sz w:val="24"/>
          <w:szCs w:val="24"/>
        </w:rPr>
        <w:br/>
      </w:r>
      <w:r w:rsidRPr="0027235C">
        <w:rPr>
          <w:rFonts w:ascii="Arial" w:hAnsi="Arial" w:eastAsia="Arial" w:cs="Arial"/>
          <w:b/>
          <w:bCs/>
          <w:sz w:val="24"/>
          <w:szCs w:val="24"/>
        </w:rPr>
        <w:t>RBV</w:t>
      </w:r>
      <w:r w:rsidRPr="0027235C">
        <w:rPr>
          <w:rFonts w:ascii="Arial" w:hAnsi="Arial" w:eastAsia="Arial" w:cs="Arial"/>
          <w:sz w:val="24"/>
          <w:szCs w:val="24"/>
        </w:rPr>
        <w:t xml:space="preserve"> – Resource-Based View</w:t>
      </w:r>
      <w:r w:rsidRPr="0027235C">
        <w:rPr>
          <w:rFonts w:ascii="Arial" w:hAnsi="Arial" w:eastAsia="Arial" w:cs="Arial"/>
          <w:sz w:val="24"/>
          <w:szCs w:val="24"/>
        </w:rPr>
        <w:br/>
      </w:r>
      <w:r w:rsidRPr="0027235C">
        <w:rPr>
          <w:rFonts w:ascii="Arial" w:hAnsi="Arial" w:eastAsia="Arial" w:cs="Arial"/>
          <w:b/>
          <w:bCs/>
          <w:sz w:val="24"/>
          <w:szCs w:val="24"/>
        </w:rPr>
        <w:t>SET</w:t>
      </w:r>
      <w:r w:rsidRPr="0027235C">
        <w:rPr>
          <w:rFonts w:ascii="Arial" w:hAnsi="Arial" w:eastAsia="Arial" w:cs="Arial"/>
          <w:sz w:val="24"/>
          <w:szCs w:val="24"/>
        </w:rPr>
        <w:t xml:space="preserve"> – Social Exchange Theory</w:t>
      </w:r>
      <w:r w:rsidRPr="0027235C">
        <w:rPr>
          <w:rFonts w:ascii="Arial" w:hAnsi="Arial" w:eastAsia="Arial" w:cs="Arial"/>
          <w:sz w:val="24"/>
          <w:szCs w:val="24"/>
        </w:rPr>
        <w:br/>
      </w:r>
      <w:r w:rsidRPr="0027235C">
        <w:rPr>
          <w:rFonts w:ascii="Arial" w:hAnsi="Arial" w:eastAsia="Arial" w:cs="Arial"/>
          <w:b/>
          <w:bCs/>
          <w:sz w:val="24"/>
          <w:szCs w:val="24"/>
        </w:rPr>
        <w:t>SME/SMEs</w:t>
      </w:r>
      <w:r w:rsidRPr="0027235C">
        <w:rPr>
          <w:rFonts w:ascii="Arial" w:hAnsi="Arial" w:eastAsia="Arial" w:cs="Arial"/>
          <w:sz w:val="24"/>
          <w:szCs w:val="24"/>
        </w:rPr>
        <w:t xml:space="preserve"> – Small and Medium-sized Enterprise(s)</w:t>
      </w:r>
      <w:r w:rsidRPr="0027235C">
        <w:rPr>
          <w:rFonts w:ascii="Arial" w:hAnsi="Arial" w:eastAsia="Arial" w:cs="Arial"/>
          <w:sz w:val="24"/>
          <w:szCs w:val="24"/>
        </w:rPr>
        <w:br/>
      </w:r>
      <w:r w:rsidRPr="0027235C">
        <w:rPr>
          <w:rFonts w:ascii="Arial" w:hAnsi="Arial" w:eastAsia="Arial" w:cs="Arial"/>
          <w:b/>
          <w:bCs/>
          <w:sz w:val="24"/>
          <w:szCs w:val="24"/>
        </w:rPr>
        <w:t>UK</w:t>
      </w:r>
      <w:r w:rsidRPr="0027235C">
        <w:rPr>
          <w:rFonts w:ascii="Arial" w:hAnsi="Arial" w:eastAsia="Arial" w:cs="Arial"/>
          <w:sz w:val="24"/>
          <w:szCs w:val="24"/>
        </w:rPr>
        <w:t xml:space="preserve"> – United Kingdom</w:t>
      </w:r>
    </w:p>
    <w:p w:rsidRPr="0027235C" w:rsidR="00EA78D2" w:rsidP="005C1F7A" w:rsidRDefault="00EA78D2" w14:paraId="61A71E37" w14:textId="073A881B">
      <w:pPr>
        <w:spacing w:line="360" w:lineRule="auto"/>
        <w:rPr>
          <w:rFonts w:ascii="Arial" w:hAnsi="Arial" w:eastAsia="Arial" w:cs="Arial"/>
          <w:sz w:val="24"/>
          <w:szCs w:val="24"/>
        </w:rPr>
      </w:pPr>
      <w:r w:rsidRPr="0027235C">
        <w:rPr>
          <w:rFonts w:ascii="Arial" w:hAnsi="Arial" w:eastAsia="Arial" w:cs="Arial"/>
          <w:sz w:val="24"/>
          <w:szCs w:val="24"/>
        </w:rPr>
        <w:br w:type="page"/>
      </w:r>
    </w:p>
    <w:p w:rsidRPr="0027235C" w:rsidR="00D63CA2" w:rsidP="573B7504" w:rsidRDefault="00BF2F3A" w14:paraId="1458A483" w14:textId="3D46D6B1">
      <w:pPr>
        <w:pStyle w:val="Heading1"/>
        <w:jc w:val="center"/>
        <w:rPr>
          <w:rFonts w:eastAsia="Arial"/>
          <w:color w:val="auto"/>
        </w:rPr>
      </w:pPr>
      <w:bookmarkStart w:name="_Toc239530774" w:id="0"/>
      <w:r w:rsidRPr="573B7504" w:rsidR="00BF2F3A">
        <w:rPr>
          <w:rFonts w:eastAsia="Arial"/>
          <w:color w:val="auto"/>
        </w:rPr>
        <w:t>Chapter 1: Introduction</w:t>
      </w:r>
      <w:bookmarkEnd w:id="0"/>
    </w:p>
    <w:p w:rsidRPr="0027235C" w:rsidR="00D63CA2" w:rsidP="00EA78D2" w:rsidRDefault="00BF2F3A" w14:paraId="27ABDF7A" w14:textId="77777777">
      <w:pPr>
        <w:pStyle w:val="Heading2"/>
        <w:rPr>
          <w:rFonts w:eastAsia="Arial"/>
          <w:color w:val="auto"/>
        </w:rPr>
      </w:pPr>
      <w:bookmarkStart w:name="_Toc239530775" w:id="1"/>
      <w:r w:rsidRPr="0027235C">
        <w:rPr>
          <w:rFonts w:eastAsia="Arial"/>
          <w:color w:val="auto"/>
        </w:rPr>
        <w:t>1.1 Background of the Research Topic</w:t>
      </w:r>
      <w:bookmarkEnd w:id="1"/>
    </w:p>
    <w:p w:rsidRPr="0027235C" w:rsidR="00D63CA2" w:rsidP="00EA78D2" w:rsidRDefault="00BF2F3A" w14:paraId="07A91368" w14:textId="77777777">
      <w:pPr>
        <w:spacing w:line="360" w:lineRule="auto"/>
        <w:jc w:val="both"/>
        <w:rPr>
          <w:rFonts w:ascii="Arial" w:hAnsi="Arial" w:eastAsia="Arial" w:cs="Arial"/>
          <w:sz w:val="24"/>
          <w:szCs w:val="24"/>
        </w:rPr>
      </w:pPr>
      <w:r w:rsidRPr="0027235C">
        <w:rPr>
          <w:rFonts w:ascii="Arial" w:hAnsi="Arial" w:eastAsia="Arial" w:cs="Arial"/>
          <w:sz w:val="24"/>
          <w:szCs w:val="24"/>
        </w:rPr>
        <w:t>Human capital is now a fundamental competitive advantage in modern organisations as organisations rely on employee knowledge, skills, creativity and flexibility to attain strategic goals. Human Capital Management (HCM) is a paradigm of the time-honoured human resource administration to a strategic management approach that aims at developing, administering and capitalising on employee abilities to generate organisational worth. In this school of thought, employees are not considered as resources or tools of operation but as knowledge-based assets whose skills lead to innovation, productivity and long-term organisational performance. This has led to the importance of training and development of employees as strategic tools by which organisations develop workforce capability and remain competitive in volatile business conditions.</w:t>
      </w:r>
    </w:p>
    <w:p w:rsidRPr="0027235C" w:rsidR="00D63CA2" w:rsidP="00EA78D2" w:rsidRDefault="00BF2F3A" w14:paraId="7C5A2637" w14:textId="77777777">
      <w:pPr>
        <w:spacing w:line="360" w:lineRule="auto"/>
        <w:jc w:val="both"/>
        <w:rPr>
          <w:rFonts w:ascii="Arial" w:hAnsi="Arial" w:eastAsia="Arial" w:cs="Arial"/>
          <w:sz w:val="24"/>
          <w:szCs w:val="24"/>
        </w:rPr>
      </w:pPr>
      <w:r w:rsidRPr="0027235C">
        <w:rPr>
          <w:rFonts w:ascii="Arial" w:hAnsi="Arial" w:eastAsia="Arial" w:cs="Arial"/>
          <w:sz w:val="24"/>
          <w:szCs w:val="24"/>
        </w:rPr>
        <w:t>Training and development of employees is more than imparting temporary skills to employees. Training is mainly aimed at enhancing the existing job-related skills of the employees whilst development is aimed at growth in the long term by means of continuous learning, job growth, and leadership skills and flexibility. According to recent studies, the successful implementation of learning systems necessitates the correspondence between the opportunities of employee development, organisational goals and work environment since the results of the learning process do not rely solely on the acquisition of knowledge but also on the transfer and use of knowledge in organisational settings (Jiang et al., 2026). Thus, to comprehend the role of training and development in HCM, it is important to consider how learning investment is converted into employee and organisational functions that are valuable.</w:t>
      </w:r>
    </w:p>
    <w:p w:rsidRPr="0027235C" w:rsidR="00D63CA2" w:rsidP="00EA78D2" w:rsidRDefault="00BF2F3A" w14:paraId="2978F6FB"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The topicality of the given topic has only increased as a result of the accelerated technological progress, the introduction of artificial intelligence and the evolution of workforce skills demands. According to the World Economic Forum Future of Jobs Report 2025, skill gaps are the most significant obstacle to business transformation, and insufficient workforce capabilities were among the top challenges that employers believe they will face from 2025 to 2030. Moreover, 85 % of the organisations surveyed indicated that workforce upskilling would be a major approach of meeting future business needs (World Economic Forum, 2025). According to the same report, it is </w:t>
      </w:r>
      <w:r w:rsidRPr="0027235C">
        <w:rPr>
          <w:rFonts w:ascii="Arial" w:hAnsi="Arial" w:eastAsia="Arial" w:cs="Arial"/>
          <w:sz w:val="24"/>
          <w:szCs w:val="24"/>
        </w:rPr>
        <w:lastRenderedPageBreak/>
        <w:t>estimated that 39 % of current skills of the workers will be altered or become obsolete by 2030, which evidences the necessity of continuous learning and development of the employees (World Economic Forum, 2025). Academically, employee training and development are still important as they resonate with the key theoretical approaches, such as the Human Capital Theory and the Resource-Based View, which describe how the capabilities possessed by employees can create organisational value and long-term benefit. Recent work has broadened this debate by exploring the effectiveness of training in terms of learning transfer, developing employee abilities and organisational learning approaches, pointing out that the results of the training are related to the specifics of learners, work conditions, and the utilisation of the gained knowledge (</w:t>
      </w:r>
      <w:proofErr w:type="spellStart"/>
      <w:r w:rsidRPr="0027235C">
        <w:rPr>
          <w:rFonts w:ascii="Arial" w:hAnsi="Arial" w:eastAsia="Arial" w:cs="Arial"/>
          <w:sz w:val="24"/>
          <w:szCs w:val="24"/>
        </w:rPr>
        <w:t>Kraiger</w:t>
      </w:r>
      <w:proofErr w:type="spellEnd"/>
      <w:r w:rsidRPr="0027235C">
        <w:rPr>
          <w:rFonts w:ascii="Arial" w:hAnsi="Arial" w:eastAsia="Arial" w:cs="Arial"/>
          <w:sz w:val="24"/>
          <w:szCs w:val="24"/>
        </w:rPr>
        <w:t xml:space="preserve"> and Ford, 2021). Nevertheless, the current studies are still disjointed in terms of the role of training investments in the overall Human Capital Management results as opposed to the single-facet results like performance or satisfaction. In terms of industry, this relationship is becoming more and more significant as organisations need to create flexible, talented and robust employees to adjust to technological upheaval and changing markets. Thus, the critical look at the training and development of employees in the HCM would be useful in understanding how organisations can manage the capability of the workforce strategically in the future of work.</w:t>
      </w:r>
    </w:p>
    <w:p w:rsidRPr="0027235C" w:rsidR="00D63CA2" w:rsidP="00EA78D2" w:rsidRDefault="00BF2F3A" w14:paraId="20A7BD59" w14:textId="77777777">
      <w:pPr>
        <w:pStyle w:val="Heading2"/>
        <w:rPr>
          <w:rFonts w:eastAsia="Arial"/>
          <w:color w:val="auto"/>
        </w:rPr>
      </w:pPr>
      <w:bookmarkStart w:name="_Toc239530776" w:id="2"/>
      <w:r w:rsidRPr="0027235C">
        <w:rPr>
          <w:rFonts w:eastAsia="Arial"/>
          <w:color w:val="auto"/>
        </w:rPr>
        <w:t>1.2 Research Problem or Gap in the Literature</w:t>
      </w:r>
      <w:bookmarkEnd w:id="2"/>
    </w:p>
    <w:p w:rsidRPr="0027235C" w:rsidR="00D63CA2" w:rsidP="00EA78D2" w:rsidRDefault="00BF2F3A" w14:paraId="5E17C1B8"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Despite the fact that current studies have developed the importance of employee training and development, there are still considerable conceptual and methodological shortcomings. In general, the current research tends to look at the individual results such as performance, engagement or satisfaction independently, which gives minimal insight into the overall contribution of training to the overall outcomes of Human Capital Management. Moreover, the processes by which acquired knowledge and skills are translated into organisational value have not been adequately articulated by research, especially the aspects of learning transfer and workplace support (Kauffeld et al., 2025). The literature also depends on cross-sectional research on a particular organisational setting, and it is difficult to determine the generalisability. Training transfer research suggests that employee attributes and training design and organisational support affect the transfer of learning into practice, but these variables are not adequately incorporated into the HCM research (Bhat et al., 2022). Thus, </w:t>
      </w:r>
      <w:r w:rsidRPr="0027235C">
        <w:rPr>
          <w:rFonts w:ascii="Arial" w:hAnsi="Arial" w:eastAsia="Arial" w:cs="Arial"/>
          <w:sz w:val="24"/>
          <w:szCs w:val="24"/>
        </w:rPr>
        <w:lastRenderedPageBreak/>
        <w:t>critical literature review is needed to bring together the evidence pieces, assess theoretical explanations and explain how employee training and development generates sustainable human capital value.</w:t>
      </w:r>
    </w:p>
    <w:p w:rsidRPr="0027235C" w:rsidR="00D63CA2" w:rsidP="00EA78D2" w:rsidRDefault="00BF2F3A" w14:paraId="506F8722" w14:textId="77777777">
      <w:pPr>
        <w:pStyle w:val="Heading2"/>
        <w:rPr>
          <w:rFonts w:eastAsia="Arial"/>
          <w:color w:val="auto"/>
        </w:rPr>
      </w:pPr>
      <w:bookmarkStart w:name="_Toc239530777" w:id="3"/>
      <w:r w:rsidRPr="0027235C">
        <w:rPr>
          <w:rFonts w:eastAsia="Arial"/>
          <w:color w:val="auto"/>
        </w:rPr>
        <w:t>1.3 Urgency or Timeliness of the Topic</w:t>
      </w:r>
      <w:bookmarkEnd w:id="3"/>
    </w:p>
    <w:p w:rsidRPr="0027235C" w:rsidR="00D63CA2" w:rsidP="00EA78D2" w:rsidRDefault="00BF2F3A" w14:paraId="61A014A4" w14:textId="047F4D49">
      <w:pPr>
        <w:spacing w:line="360" w:lineRule="auto"/>
        <w:jc w:val="both"/>
        <w:rPr>
          <w:rFonts w:ascii="Arial" w:hAnsi="Arial" w:eastAsia="Arial" w:cs="Arial"/>
          <w:sz w:val="24"/>
          <w:szCs w:val="24"/>
        </w:rPr>
      </w:pPr>
      <w:r w:rsidRPr="0027235C">
        <w:rPr>
          <w:rFonts w:ascii="Arial" w:hAnsi="Arial" w:eastAsia="Arial" w:cs="Arial"/>
          <w:sz w:val="24"/>
          <w:szCs w:val="24"/>
        </w:rPr>
        <w:t>The recent high rate of technological change, changing job descriptions, and the need to have flexibility in the workforce has also prompted the significance of employee training and development. The digital transformation demands the employees to acquire new sets of technical, analytical and behavioural capabilities, thus constant learning is the key condition to organisational survival and competitiveness. Recent studies point to the fact that organisations struggle to identify and train the skills necessary to achieve successful digital transformation, which is why they should have systematic reskilling and upskilling processes (</w:t>
      </w:r>
      <w:proofErr w:type="spellStart"/>
      <w:r w:rsidRPr="0027235C">
        <w:rPr>
          <w:rFonts w:ascii="Arial" w:hAnsi="Arial" w:eastAsia="Arial" w:cs="Arial"/>
          <w:sz w:val="24"/>
          <w:szCs w:val="24"/>
        </w:rPr>
        <w:t>Bouwmans</w:t>
      </w:r>
      <w:proofErr w:type="spellEnd"/>
      <w:r w:rsidRPr="0027235C">
        <w:rPr>
          <w:rFonts w:ascii="Arial" w:hAnsi="Arial" w:eastAsia="Arial" w:cs="Arial"/>
          <w:sz w:val="24"/>
          <w:szCs w:val="24"/>
        </w:rPr>
        <w:t xml:space="preserve"> et al., 2024). Moreover, the use of AI and restructuring of workplaces are transforming the task requirements, making it more important that the organisations should prepare their employees to work in the technology-enabled working conditions. Good workforce development thus carries significant management implications in the sense that it helps organisations to adapt to the changing environment by ensuring that capability gaps are minimised and organisations are able to perform sustainably using the human capital developed through strategic means</w:t>
      </w:r>
      <w:r w:rsidR="00A024A5">
        <w:rPr>
          <w:rFonts w:ascii="Arial" w:hAnsi="Arial" w:eastAsia="Arial" w:cs="Arial"/>
          <w:sz w:val="24"/>
          <w:szCs w:val="24"/>
        </w:rPr>
        <w:t xml:space="preserve"> </w:t>
      </w:r>
      <w:r w:rsidRPr="0027235C">
        <w:rPr>
          <w:rFonts w:ascii="Arial" w:hAnsi="Arial" w:eastAsia="Arial" w:cs="Arial"/>
          <w:sz w:val="24"/>
          <w:szCs w:val="24"/>
        </w:rPr>
        <w:t>(</w:t>
      </w:r>
      <w:proofErr w:type="spellStart"/>
      <w:r w:rsidRPr="0027235C">
        <w:rPr>
          <w:rFonts w:ascii="Arial" w:hAnsi="Arial" w:eastAsia="Arial" w:cs="Arial"/>
          <w:sz w:val="24"/>
          <w:szCs w:val="24"/>
        </w:rPr>
        <w:t>Mhaske</w:t>
      </w:r>
      <w:proofErr w:type="spellEnd"/>
      <w:r w:rsidRPr="0027235C">
        <w:rPr>
          <w:rFonts w:ascii="Arial" w:hAnsi="Arial" w:eastAsia="Arial" w:cs="Arial"/>
          <w:sz w:val="24"/>
          <w:szCs w:val="24"/>
        </w:rPr>
        <w:t xml:space="preserve"> et al., 2025).</w:t>
      </w:r>
    </w:p>
    <w:p w:rsidRPr="0027235C" w:rsidR="00D63CA2" w:rsidP="00EA78D2" w:rsidRDefault="00BF2F3A" w14:paraId="5544C9FE" w14:textId="77777777">
      <w:pPr>
        <w:pStyle w:val="Heading2"/>
        <w:rPr>
          <w:rFonts w:eastAsia="Arial"/>
          <w:color w:val="auto"/>
        </w:rPr>
      </w:pPr>
      <w:bookmarkStart w:name="_Toc239530778" w:id="4"/>
      <w:r w:rsidRPr="0027235C">
        <w:rPr>
          <w:rFonts w:eastAsia="Arial"/>
          <w:color w:val="auto"/>
        </w:rPr>
        <w:t>1.4 Research Aim and Objectives</w:t>
      </w:r>
      <w:bookmarkEnd w:id="4"/>
    </w:p>
    <w:p w:rsidRPr="0027235C" w:rsidR="00D63CA2" w:rsidP="00EA78D2" w:rsidRDefault="00BF2F3A" w14:paraId="4B05FD20"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 xml:space="preserve">Research Aim: </w:t>
      </w:r>
      <w:r w:rsidRPr="0027235C">
        <w:rPr>
          <w:rFonts w:ascii="Arial" w:hAnsi="Arial" w:eastAsia="Arial" w:cs="Arial"/>
          <w:sz w:val="24"/>
          <w:szCs w:val="24"/>
        </w:rPr>
        <w:t>To critically examine the role of employee training and development in Human Capital Management.</w:t>
      </w:r>
    </w:p>
    <w:p w:rsidRPr="0027235C" w:rsidR="00D63CA2" w:rsidP="00EA78D2" w:rsidRDefault="00BF2F3A" w14:paraId="3FCC8506"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Research Objectives:</w:t>
      </w:r>
    </w:p>
    <w:p w:rsidRPr="0027235C" w:rsidR="00D63CA2" w:rsidP="00EA78D2" w:rsidRDefault="00BF2F3A" w14:paraId="24180D33" w14:textId="77777777">
      <w:pPr>
        <w:numPr>
          <w:ilvl w:val="0"/>
          <w:numId w:val="1"/>
        </w:numPr>
        <w:pBdr>
          <w:top w:val="nil"/>
          <w:left w:val="nil"/>
          <w:bottom w:val="nil"/>
          <w:right w:val="nil"/>
          <w:between w:val="nil"/>
        </w:pBdr>
        <w:spacing w:after="0" w:line="360" w:lineRule="auto"/>
        <w:jc w:val="both"/>
        <w:rPr>
          <w:rFonts w:ascii="Arial" w:hAnsi="Arial" w:eastAsia="Arial" w:cs="Arial"/>
          <w:sz w:val="24"/>
          <w:szCs w:val="24"/>
        </w:rPr>
      </w:pPr>
      <w:r w:rsidRPr="0027235C">
        <w:rPr>
          <w:rFonts w:ascii="Arial" w:hAnsi="Arial" w:eastAsia="Arial" w:cs="Arial"/>
          <w:sz w:val="24"/>
          <w:szCs w:val="24"/>
        </w:rPr>
        <w:t>To examine the theoretical bases of the connection between employee training and development and Human Capital Management.</w:t>
      </w:r>
    </w:p>
    <w:p w:rsidRPr="0027235C" w:rsidR="00D63CA2" w:rsidP="00EA78D2" w:rsidRDefault="00BF2F3A" w14:paraId="49BF2515" w14:textId="77777777">
      <w:pPr>
        <w:numPr>
          <w:ilvl w:val="0"/>
          <w:numId w:val="1"/>
        </w:numPr>
        <w:pBdr>
          <w:top w:val="nil"/>
          <w:left w:val="nil"/>
          <w:bottom w:val="nil"/>
          <w:right w:val="nil"/>
          <w:between w:val="nil"/>
        </w:pBdr>
        <w:spacing w:after="0" w:line="360" w:lineRule="auto"/>
        <w:jc w:val="both"/>
        <w:rPr>
          <w:rFonts w:ascii="Arial" w:hAnsi="Arial" w:eastAsia="Arial" w:cs="Arial"/>
          <w:sz w:val="24"/>
          <w:szCs w:val="24"/>
        </w:rPr>
      </w:pPr>
      <w:r w:rsidRPr="0027235C">
        <w:rPr>
          <w:rFonts w:ascii="Arial" w:hAnsi="Arial" w:eastAsia="Arial" w:cs="Arial"/>
          <w:sz w:val="24"/>
          <w:szCs w:val="24"/>
        </w:rPr>
        <w:t>To determine how employee training and development affects employee competencies, performance, engagement, satisfaction and retention.</w:t>
      </w:r>
    </w:p>
    <w:p w:rsidRPr="0027235C" w:rsidR="00D63CA2" w:rsidP="00EA78D2" w:rsidRDefault="00BF2F3A" w14:paraId="44FE8260" w14:textId="77777777">
      <w:pPr>
        <w:numPr>
          <w:ilvl w:val="0"/>
          <w:numId w:val="1"/>
        </w:numPr>
        <w:pBdr>
          <w:top w:val="nil"/>
          <w:left w:val="nil"/>
          <w:bottom w:val="nil"/>
          <w:right w:val="nil"/>
          <w:between w:val="nil"/>
        </w:pBdr>
        <w:spacing w:after="0" w:line="360" w:lineRule="auto"/>
        <w:jc w:val="both"/>
        <w:rPr>
          <w:rFonts w:ascii="Arial" w:hAnsi="Arial" w:eastAsia="Arial" w:cs="Arial"/>
          <w:sz w:val="24"/>
          <w:szCs w:val="24"/>
        </w:rPr>
      </w:pPr>
      <w:r w:rsidRPr="0027235C">
        <w:rPr>
          <w:rFonts w:ascii="Arial" w:hAnsi="Arial" w:eastAsia="Arial" w:cs="Arial"/>
          <w:sz w:val="24"/>
          <w:szCs w:val="24"/>
        </w:rPr>
        <w:t>To analyse the organisational and individual factors that determine the effectiveness of training and development initiatives.</w:t>
      </w:r>
    </w:p>
    <w:p w:rsidRPr="0027235C" w:rsidR="00D63CA2" w:rsidP="00EA78D2" w:rsidRDefault="00BF2F3A" w14:paraId="72DC7E5B" w14:textId="77777777">
      <w:pPr>
        <w:numPr>
          <w:ilvl w:val="0"/>
          <w:numId w:val="1"/>
        </w:numPr>
        <w:pBdr>
          <w:top w:val="nil"/>
          <w:left w:val="nil"/>
          <w:bottom w:val="nil"/>
          <w:right w:val="nil"/>
          <w:between w:val="nil"/>
        </w:pBdr>
        <w:spacing w:after="0" w:line="360" w:lineRule="auto"/>
        <w:jc w:val="both"/>
        <w:rPr>
          <w:rFonts w:ascii="Arial" w:hAnsi="Arial" w:eastAsia="Arial" w:cs="Arial"/>
          <w:sz w:val="24"/>
          <w:szCs w:val="24"/>
        </w:rPr>
      </w:pPr>
      <w:r w:rsidRPr="0027235C">
        <w:rPr>
          <w:rFonts w:ascii="Arial" w:hAnsi="Arial" w:eastAsia="Arial" w:cs="Arial"/>
          <w:sz w:val="24"/>
          <w:szCs w:val="24"/>
        </w:rPr>
        <w:t xml:space="preserve">To identify methodological and theoretical gaps within existing research on employee training, development and Human Capital Management. </w:t>
      </w:r>
    </w:p>
    <w:p w:rsidRPr="0027235C" w:rsidR="00D63CA2" w:rsidP="00EA78D2" w:rsidRDefault="00BF2F3A" w14:paraId="0FE84EF7" w14:textId="77777777">
      <w:pPr>
        <w:numPr>
          <w:ilvl w:val="0"/>
          <w:numId w:val="1"/>
        </w:numPr>
        <w:pBdr>
          <w:top w:val="nil"/>
          <w:left w:val="nil"/>
          <w:bottom w:val="nil"/>
          <w:right w:val="nil"/>
          <w:between w:val="nil"/>
        </w:pBdr>
        <w:spacing w:line="360" w:lineRule="auto"/>
        <w:jc w:val="both"/>
        <w:rPr>
          <w:rFonts w:ascii="Arial" w:hAnsi="Arial" w:eastAsia="Arial" w:cs="Arial"/>
          <w:sz w:val="24"/>
          <w:szCs w:val="24"/>
        </w:rPr>
      </w:pPr>
      <w:r w:rsidRPr="0027235C">
        <w:rPr>
          <w:rFonts w:ascii="Arial" w:hAnsi="Arial" w:eastAsia="Arial" w:cs="Arial"/>
          <w:sz w:val="24"/>
          <w:szCs w:val="24"/>
        </w:rPr>
        <w:lastRenderedPageBreak/>
        <w:t>To explore the implications of existing literature for Human Capital Management practice and future research.</w:t>
      </w:r>
    </w:p>
    <w:p w:rsidRPr="0027235C" w:rsidR="00D63CA2" w:rsidP="00EA78D2" w:rsidRDefault="00BF2F3A" w14:paraId="5E2A0E67" w14:textId="77777777">
      <w:pPr>
        <w:pStyle w:val="Heading2"/>
        <w:rPr>
          <w:rFonts w:eastAsia="Arial"/>
          <w:color w:val="auto"/>
        </w:rPr>
      </w:pPr>
      <w:bookmarkStart w:name="_Toc239530779" w:id="5"/>
      <w:r w:rsidRPr="0027235C">
        <w:rPr>
          <w:rFonts w:eastAsia="Arial"/>
          <w:color w:val="auto"/>
        </w:rPr>
        <w:t>1.5 Research Question</w:t>
      </w:r>
      <w:bookmarkEnd w:id="5"/>
    </w:p>
    <w:p w:rsidRPr="0027235C" w:rsidR="00D63CA2" w:rsidP="00EA78D2" w:rsidRDefault="00BF2F3A" w14:paraId="0E7779DC" w14:textId="77777777">
      <w:pPr>
        <w:spacing w:line="360" w:lineRule="auto"/>
        <w:jc w:val="both"/>
        <w:rPr>
          <w:rFonts w:ascii="Arial" w:hAnsi="Arial" w:eastAsia="Arial" w:cs="Arial"/>
          <w:sz w:val="24"/>
          <w:szCs w:val="24"/>
        </w:rPr>
      </w:pPr>
      <w:r w:rsidRPr="0027235C">
        <w:rPr>
          <w:rFonts w:ascii="Arial" w:hAnsi="Arial" w:eastAsia="Arial" w:cs="Arial"/>
          <w:sz w:val="24"/>
          <w:szCs w:val="24"/>
        </w:rPr>
        <w:t>How do employee training and development contribute to effective Human Capital Management?</w:t>
      </w:r>
    </w:p>
    <w:p w:rsidRPr="0027235C" w:rsidR="00D63CA2" w:rsidP="00EA78D2" w:rsidRDefault="00BF2F3A" w14:paraId="188AAABE" w14:textId="77777777">
      <w:pPr>
        <w:pStyle w:val="Heading2"/>
        <w:rPr>
          <w:rFonts w:eastAsia="Arial"/>
          <w:color w:val="auto"/>
        </w:rPr>
      </w:pPr>
      <w:bookmarkStart w:name="_Toc239530780" w:id="6"/>
      <w:r w:rsidRPr="0027235C">
        <w:rPr>
          <w:rFonts w:eastAsia="Arial"/>
          <w:color w:val="auto"/>
        </w:rPr>
        <w:t>1.6 Scope of the Review</w:t>
      </w:r>
      <w:bookmarkEnd w:id="6"/>
    </w:p>
    <w:p w:rsidRPr="0027235C" w:rsidR="00D63CA2" w:rsidP="00EA78D2" w:rsidRDefault="00BF2F3A" w14:paraId="1AC4E8E2" w14:textId="32EDDA7F">
      <w:pPr>
        <w:spacing w:line="360" w:lineRule="auto"/>
        <w:jc w:val="both"/>
        <w:rPr>
          <w:rFonts w:ascii="Arial" w:hAnsi="Arial" w:eastAsia="Arial" w:cs="Arial"/>
          <w:sz w:val="24"/>
          <w:szCs w:val="24"/>
        </w:rPr>
      </w:pPr>
      <w:r w:rsidRPr="0027235C">
        <w:rPr>
          <w:rFonts w:ascii="Arial" w:hAnsi="Arial" w:eastAsia="Arial" w:cs="Arial"/>
          <w:sz w:val="24"/>
          <w:szCs w:val="24"/>
        </w:rPr>
        <w:t xml:space="preserve">This review analyses the literature on employee training, development and Human Capital Management in organisational contexts. It is concentrated on learning transfer, ability development and employee results. The articles published in peer-reviewed journals between </w:t>
      </w:r>
      <w:r w:rsidR="00F55E4F">
        <w:rPr>
          <w:rFonts w:ascii="Arial" w:hAnsi="Arial" w:eastAsia="Arial" w:cs="Arial"/>
          <w:sz w:val="24"/>
          <w:szCs w:val="24"/>
        </w:rPr>
        <w:t>2016</w:t>
      </w:r>
      <w:r w:rsidRPr="0027235C">
        <w:rPr>
          <w:rFonts w:ascii="Arial" w:hAnsi="Arial" w:eastAsia="Arial" w:cs="Arial"/>
          <w:sz w:val="24"/>
          <w:szCs w:val="24"/>
        </w:rPr>
        <w:t xml:space="preserve"> to 2026 are taken into consideration as well as the theoretical foundations, such as the Human Capital Theory, Resource-Based View, Training Transfer Theory and Social Exchange Theory. There are no learning contexts of non-organisational and primary data collection.</w:t>
      </w:r>
    </w:p>
    <w:p w:rsidRPr="0027235C" w:rsidR="00D63CA2" w:rsidP="00EA78D2" w:rsidRDefault="00BF2F3A" w14:paraId="0F26DFE0" w14:textId="77777777">
      <w:pPr>
        <w:pStyle w:val="Heading2"/>
        <w:rPr>
          <w:rFonts w:eastAsia="Arial"/>
          <w:color w:val="auto"/>
        </w:rPr>
      </w:pPr>
      <w:bookmarkStart w:name="_Toc239530781" w:id="7"/>
      <w:r w:rsidRPr="0027235C">
        <w:rPr>
          <w:rFonts w:eastAsia="Arial"/>
          <w:color w:val="auto"/>
        </w:rPr>
        <w:t>1.7 Structure of the Dissertation</w:t>
      </w:r>
      <w:bookmarkEnd w:id="7"/>
    </w:p>
    <w:p w:rsidRPr="0027235C" w:rsidR="00D63CA2" w:rsidP="00EA78D2" w:rsidRDefault="00BF2F3A" w14:paraId="61674993" w14:textId="77777777">
      <w:pPr>
        <w:spacing w:line="360" w:lineRule="auto"/>
        <w:jc w:val="both"/>
        <w:rPr>
          <w:rFonts w:ascii="Arial" w:hAnsi="Arial" w:eastAsia="Arial" w:cs="Arial"/>
          <w:sz w:val="24"/>
          <w:szCs w:val="24"/>
        </w:rPr>
      </w:pPr>
      <w:r w:rsidRPr="0027235C">
        <w:rPr>
          <w:rFonts w:ascii="Arial" w:hAnsi="Arial" w:eastAsia="Arial" w:cs="Arial"/>
          <w:sz w:val="24"/>
          <w:szCs w:val="24"/>
        </w:rPr>
        <w:t>This dissertation has six chapters. Chapter 1 provides the research background, problem, aim, objectives, research question and scope. Chapter 2 will describe the methodology, search strategy and selection criteria. Chapter 3 will bring about the thematic literature review and theoretical discussions. The discussion and synthesis of findings are given in Chapter 4. Implications are described in Chapter 5 and limitations and future research directions are described in Chapter 6.</w:t>
      </w:r>
      <w:r w:rsidRPr="0027235C">
        <w:br w:type="page"/>
      </w:r>
    </w:p>
    <w:p w:rsidRPr="0027235C" w:rsidR="00D63CA2" w:rsidP="573B7504" w:rsidRDefault="00BF2F3A" w14:paraId="527E64E4" w14:textId="77777777">
      <w:pPr>
        <w:pStyle w:val="Heading1"/>
        <w:jc w:val="center"/>
        <w:rPr>
          <w:rFonts w:eastAsia="Arial"/>
          <w:color w:val="auto"/>
        </w:rPr>
      </w:pPr>
      <w:bookmarkStart w:name="_Toc239530782" w:id="8"/>
      <w:r w:rsidRPr="573B7504" w:rsidR="00BF2F3A">
        <w:rPr>
          <w:rFonts w:eastAsia="Arial"/>
          <w:color w:val="auto"/>
        </w:rPr>
        <w:t>Chapter 2: Methodology</w:t>
      </w:r>
      <w:bookmarkEnd w:id="8"/>
    </w:p>
    <w:p w:rsidRPr="0027235C" w:rsidR="00D63CA2" w:rsidP="00EA78D2" w:rsidRDefault="00BF2F3A" w14:paraId="55F16C86" w14:textId="77777777">
      <w:pPr>
        <w:pStyle w:val="Heading2"/>
        <w:rPr>
          <w:rFonts w:eastAsia="Arial"/>
          <w:color w:val="auto"/>
        </w:rPr>
      </w:pPr>
      <w:bookmarkStart w:name="_Toc239530783" w:id="9"/>
      <w:r w:rsidRPr="0027235C">
        <w:rPr>
          <w:rFonts w:eastAsia="Arial"/>
          <w:color w:val="auto"/>
        </w:rPr>
        <w:t>2.1 Search strategy</w:t>
      </w:r>
      <w:bookmarkEnd w:id="9"/>
    </w:p>
    <w:p w:rsidRPr="0027235C" w:rsidR="00D63CA2" w:rsidP="00EA78D2" w:rsidRDefault="00BF2F3A" w14:paraId="29DD2786"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Overall Approach</w:t>
      </w:r>
    </w:p>
    <w:p w:rsidRPr="0027235C" w:rsidR="00D63CA2" w:rsidP="00EA78D2" w:rsidRDefault="00BF2F3A" w14:paraId="2442072A"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The strategy chosen was a systematic literature review as the dissertation was completely grounded on secondary evidence and needed to be identified and selected transparently to the literature on employee training, development and Human Capital Management. According to Sauer and </w:t>
      </w:r>
      <w:proofErr w:type="spellStart"/>
      <w:r w:rsidRPr="0027235C">
        <w:rPr>
          <w:rFonts w:ascii="Arial" w:hAnsi="Arial" w:eastAsia="Arial" w:cs="Arial"/>
          <w:sz w:val="24"/>
          <w:szCs w:val="24"/>
        </w:rPr>
        <w:t>Seuring</w:t>
      </w:r>
      <w:proofErr w:type="spellEnd"/>
      <w:r w:rsidRPr="0027235C">
        <w:rPr>
          <w:rFonts w:ascii="Arial" w:hAnsi="Arial" w:eastAsia="Arial" w:cs="Arial"/>
          <w:sz w:val="24"/>
          <w:szCs w:val="24"/>
        </w:rPr>
        <w:t xml:space="preserve"> (2023), systematic reviews enhanced replicability by systematising literature retrieval and selection by a well-defined sequence. Thus, a systematic approach was deemed to be suitable to answer the research question that was set to determine the role of training and development in effective HCM.</w:t>
      </w:r>
    </w:p>
    <w:p w:rsidRPr="0027235C" w:rsidR="00D63CA2" w:rsidP="00EA78D2" w:rsidRDefault="00BF2F3A" w14:paraId="141994AD"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Rationale for the Strategy</w:t>
      </w:r>
    </w:p>
    <w:p w:rsidRPr="0027235C" w:rsidR="00D63CA2" w:rsidP="00EA78D2" w:rsidRDefault="00BF2F3A" w14:paraId="34697017" w14:textId="77777777">
      <w:pPr>
        <w:spacing w:line="360" w:lineRule="auto"/>
        <w:jc w:val="both"/>
        <w:rPr>
          <w:rFonts w:ascii="Arial" w:hAnsi="Arial" w:eastAsia="Arial" w:cs="Arial"/>
          <w:sz w:val="24"/>
          <w:szCs w:val="24"/>
        </w:rPr>
      </w:pPr>
      <w:r w:rsidRPr="0027235C">
        <w:rPr>
          <w:rFonts w:ascii="Arial" w:hAnsi="Arial" w:eastAsia="Arial" w:cs="Arial"/>
          <w:sz w:val="24"/>
          <w:szCs w:val="24"/>
        </w:rPr>
        <w:t>The strategy was chosen as the focus of the literature was on interrelated aspects such as employee competencies, performance, engagement, satisfaction, retention and learning transfer. Instead of examining these areas in isolation, the systematic approach allowed the evidence to be found and then synthesised in regard to the research objectives. According to Fan et al. (2022), rigour, scope and transparency are a list of desirable features of a high-quality literature-review methodology. Therefore, the search was systematic, which minimised the chances of biased selection of studies that would back up a-priori conclusions.</w:t>
      </w:r>
    </w:p>
    <w:p w:rsidRPr="0027235C" w:rsidR="00D63CA2" w:rsidP="00EA78D2" w:rsidRDefault="00BF2F3A" w14:paraId="4BFDE185"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Application of Boolean Operators</w:t>
      </w:r>
    </w:p>
    <w:p w:rsidRPr="0027235C" w:rsidR="00D63CA2" w:rsidP="00EA78D2" w:rsidRDefault="00BF2F3A" w14:paraId="65C189E0"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The search was balanced by the use of the Boolean operators. </w:t>
      </w:r>
      <w:proofErr w:type="spellStart"/>
      <w:r w:rsidRPr="0027235C">
        <w:rPr>
          <w:rFonts w:ascii="Arial" w:hAnsi="Arial" w:eastAsia="Arial" w:cs="Arial"/>
          <w:sz w:val="24"/>
          <w:szCs w:val="24"/>
        </w:rPr>
        <w:t>Gusenbauer</w:t>
      </w:r>
      <w:proofErr w:type="spellEnd"/>
      <w:r w:rsidRPr="0027235C">
        <w:rPr>
          <w:rFonts w:ascii="Arial" w:hAnsi="Arial" w:eastAsia="Arial" w:cs="Arial"/>
          <w:sz w:val="24"/>
          <w:szCs w:val="24"/>
        </w:rPr>
        <w:t xml:space="preserve"> and </w:t>
      </w:r>
      <w:proofErr w:type="spellStart"/>
      <w:r w:rsidRPr="0027235C">
        <w:rPr>
          <w:rFonts w:ascii="Arial" w:hAnsi="Arial" w:eastAsia="Arial" w:cs="Arial"/>
          <w:sz w:val="24"/>
          <w:szCs w:val="24"/>
        </w:rPr>
        <w:t>Gauster</w:t>
      </w:r>
      <w:proofErr w:type="spellEnd"/>
      <w:r w:rsidRPr="0027235C">
        <w:rPr>
          <w:rFonts w:ascii="Arial" w:hAnsi="Arial" w:eastAsia="Arial" w:cs="Arial"/>
          <w:sz w:val="24"/>
          <w:szCs w:val="24"/>
        </w:rPr>
        <w:t xml:space="preserve"> (2025) described that systematic searches had the advantage of synonym combination using OR and different conceptual group ties using AND, whereas NOT had to be carefully employed due to the possible unintentional elimination of relevant literature. As such, OR was expanded to searches of alternative terminology, AND was used to relate training to HCM-related concepts, and NOT was utilised in cases where the completely irrelevant educational literature had to be filtered out.</w:t>
      </w:r>
    </w:p>
    <w:p w:rsidRPr="0027235C" w:rsidR="00D63CA2" w:rsidP="00EA78D2" w:rsidRDefault="00D63CA2" w14:paraId="4CD3390E" w14:textId="08009AEE">
      <w:pPr>
        <w:spacing w:line="360" w:lineRule="auto"/>
        <w:jc w:val="both"/>
        <w:rPr>
          <w:rFonts w:ascii="Arial" w:hAnsi="Arial" w:eastAsia="Arial" w:cs="Arial"/>
          <w:b/>
          <w:bCs/>
          <w:sz w:val="24"/>
          <w:szCs w:val="24"/>
        </w:rPr>
      </w:pPr>
    </w:p>
    <w:tbl>
      <w:tblPr>
        <w:tblStyle w:val="a"/>
        <w:tblW w:w="9180" w:type="dxa"/>
        <w:tblBorders>
          <w:top w:val="nil"/>
          <w:left w:val="nil"/>
          <w:bottom w:val="nil"/>
          <w:right w:val="nil"/>
          <w:insideH w:val="nil"/>
          <w:insideV w:val="nil"/>
        </w:tblBorders>
        <w:tblLayout w:type="fixed"/>
        <w:tblLook w:val="0600" w:firstRow="0" w:lastRow="0" w:firstColumn="0" w:lastColumn="0" w:noHBand="1" w:noVBand="1"/>
      </w:tblPr>
      <w:tblGrid>
        <w:gridCol w:w="1620"/>
        <w:gridCol w:w="7560"/>
      </w:tblGrid>
      <w:tr w:rsidRPr="0027235C" w:rsidR="00D63CA2" w14:paraId="2A7A1C9A" w14:textId="77777777">
        <w:trPr>
          <w:trHeight w:val="900"/>
        </w:trPr>
        <w:tc>
          <w:tcPr>
            <w:tcW w:w="1620"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Pr="0027235C" w:rsidR="00D63CA2" w:rsidP="00EA78D2" w:rsidRDefault="00BF2F3A" w14:paraId="5E40B064"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lastRenderedPageBreak/>
              <w:t>Boolean operator</w:t>
            </w:r>
          </w:p>
        </w:tc>
        <w:tc>
          <w:tcPr>
            <w:tcW w:w="7560" w:type="dxa"/>
            <w:tcBorders>
              <w:top w:val="single" w:color="000000" w:sz="6" w:space="0"/>
              <w:left w:val="nil"/>
              <w:bottom w:val="single" w:color="000000" w:sz="6" w:space="0"/>
              <w:right w:val="single" w:color="000000" w:sz="6" w:space="0"/>
            </w:tcBorders>
            <w:tcMar>
              <w:top w:w="0" w:type="dxa"/>
              <w:left w:w="100" w:type="dxa"/>
              <w:bottom w:w="0" w:type="dxa"/>
              <w:right w:w="100" w:type="dxa"/>
            </w:tcMar>
          </w:tcPr>
          <w:p w:rsidRPr="0027235C" w:rsidR="00D63CA2" w:rsidP="00EA78D2" w:rsidRDefault="00BF2F3A" w14:paraId="72BBD227"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Example search</w:t>
            </w:r>
          </w:p>
        </w:tc>
      </w:tr>
      <w:tr w:rsidRPr="0027235C" w:rsidR="00D63CA2" w14:paraId="3C4FD3A0" w14:textId="77777777">
        <w:trPr>
          <w:trHeight w:val="540"/>
        </w:trPr>
        <w:tc>
          <w:tcPr>
            <w:tcW w:w="1620"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rsidRPr="0027235C" w:rsidR="00D63CA2" w:rsidP="00EA78D2" w:rsidRDefault="00BF2F3A" w14:paraId="29A8124B"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AND</w:t>
            </w:r>
          </w:p>
        </w:tc>
        <w:tc>
          <w:tcPr>
            <w:tcW w:w="7560" w:type="dxa"/>
            <w:tcBorders>
              <w:top w:val="nil"/>
              <w:left w:val="nil"/>
              <w:bottom w:val="single" w:color="000000" w:sz="6" w:space="0"/>
              <w:right w:val="single" w:color="000000" w:sz="6" w:space="0"/>
            </w:tcBorders>
            <w:tcMar>
              <w:top w:w="0" w:type="dxa"/>
              <w:left w:w="100" w:type="dxa"/>
              <w:bottom w:w="0" w:type="dxa"/>
              <w:right w:w="100" w:type="dxa"/>
            </w:tcMar>
          </w:tcPr>
          <w:p w:rsidRPr="0027235C" w:rsidR="00D63CA2" w:rsidP="00EA78D2" w:rsidRDefault="00BF2F3A" w14:paraId="2FD292A0" w14:textId="77777777">
            <w:pPr>
              <w:spacing w:line="360" w:lineRule="auto"/>
              <w:jc w:val="both"/>
              <w:rPr>
                <w:rFonts w:ascii="Arial" w:hAnsi="Arial" w:eastAsia="Arial" w:cs="Arial"/>
                <w:sz w:val="24"/>
                <w:szCs w:val="24"/>
              </w:rPr>
            </w:pPr>
            <w:r w:rsidRPr="0027235C">
              <w:rPr>
                <w:rFonts w:ascii="Arial" w:hAnsi="Arial" w:eastAsia="Arial" w:cs="Arial"/>
                <w:sz w:val="24"/>
                <w:szCs w:val="24"/>
              </w:rPr>
              <w:t>“</w:t>
            </w:r>
            <w:proofErr w:type="gramStart"/>
            <w:r w:rsidRPr="0027235C">
              <w:rPr>
                <w:rFonts w:ascii="Arial" w:hAnsi="Arial" w:eastAsia="Arial" w:cs="Arial"/>
                <w:sz w:val="24"/>
                <w:szCs w:val="24"/>
              </w:rPr>
              <w:t>employee</w:t>
            </w:r>
            <w:proofErr w:type="gramEnd"/>
            <w:r w:rsidRPr="0027235C">
              <w:rPr>
                <w:rFonts w:ascii="Arial" w:hAnsi="Arial" w:eastAsia="Arial" w:cs="Arial"/>
                <w:sz w:val="24"/>
                <w:szCs w:val="24"/>
              </w:rPr>
              <w:t xml:space="preserve"> training” </w:t>
            </w:r>
            <w:r w:rsidRPr="0027235C">
              <w:rPr>
                <w:rFonts w:ascii="Arial" w:hAnsi="Arial" w:eastAsia="Arial" w:cs="Arial"/>
                <w:b/>
                <w:bCs/>
                <w:sz w:val="24"/>
                <w:szCs w:val="24"/>
              </w:rPr>
              <w:t>AND</w:t>
            </w:r>
            <w:r w:rsidRPr="0027235C">
              <w:rPr>
                <w:rFonts w:ascii="Arial" w:hAnsi="Arial" w:eastAsia="Arial" w:cs="Arial"/>
                <w:sz w:val="24"/>
                <w:szCs w:val="24"/>
              </w:rPr>
              <w:t xml:space="preserve"> “human capital management”</w:t>
            </w:r>
          </w:p>
        </w:tc>
      </w:tr>
      <w:tr w:rsidRPr="0027235C" w:rsidR="00D63CA2" w14:paraId="28974D72" w14:textId="77777777">
        <w:trPr>
          <w:trHeight w:val="900"/>
        </w:trPr>
        <w:tc>
          <w:tcPr>
            <w:tcW w:w="1620"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rsidRPr="0027235C" w:rsidR="00D63CA2" w:rsidP="00EA78D2" w:rsidRDefault="00BF2F3A" w14:paraId="5D76703F"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OR</w:t>
            </w:r>
          </w:p>
        </w:tc>
        <w:tc>
          <w:tcPr>
            <w:tcW w:w="7560" w:type="dxa"/>
            <w:tcBorders>
              <w:top w:val="nil"/>
              <w:left w:val="nil"/>
              <w:bottom w:val="single" w:color="000000" w:sz="6" w:space="0"/>
              <w:right w:val="single" w:color="000000" w:sz="6" w:space="0"/>
            </w:tcBorders>
            <w:tcMar>
              <w:top w:w="0" w:type="dxa"/>
              <w:left w:w="100" w:type="dxa"/>
              <w:bottom w:w="0" w:type="dxa"/>
              <w:right w:w="100" w:type="dxa"/>
            </w:tcMar>
          </w:tcPr>
          <w:p w:rsidRPr="0027235C" w:rsidR="00D63CA2" w:rsidP="00EA78D2" w:rsidRDefault="00BF2F3A" w14:paraId="23BD19E6" w14:textId="77777777">
            <w:pPr>
              <w:spacing w:line="360" w:lineRule="auto"/>
              <w:jc w:val="both"/>
              <w:rPr>
                <w:rFonts w:ascii="Arial" w:hAnsi="Arial" w:eastAsia="Arial" w:cs="Arial"/>
                <w:sz w:val="24"/>
                <w:szCs w:val="24"/>
              </w:rPr>
            </w:pPr>
            <w:r w:rsidRPr="0027235C">
              <w:rPr>
                <w:rFonts w:ascii="Arial" w:hAnsi="Arial" w:eastAsia="Arial" w:cs="Arial"/>
                <w:sz w:val="24"/>
                <w:szCs w:val="24"/>
              </w:rPr>
              <w:t>“</w:t>
            </w:r>
            <w:proofErr w:type="gramStart"/>
            <w:r w:rsidRPr="0027235C">
              <w:rPr>
                <w:rFonts w:ascii="Arial" w:hAnsi="Arial" w:eastAsia="Arial" w:cs="Arial"/>
                <w:sz w:val="24"/>
                <w:szCs w:val="24"/>
              </w:rPr>
              <w:t>employee</w:t>
            </w:r>
            <w:proofErr w:type="gramEnd"/>
            <w:r w:rsidRPr="0027235C">
              <w:rPr>
                <w:rFonts w:ascii="Arial" w:hAnsi="Arial" w:eastAsia="Arial" w:cs="Arial"/>
                <w:sz w:val="24"/>
                <w:szCs w:val="24"/>
              </w:rPr>
              <w:t xml:space="preserve"> training” </w:t>
            </w:r>
            <w:r w:rsidRPr="0027235C">
              <w:rPr>
                <w:rFonts w:ascii="Arial" w:hAnsi="Arial" w:eastAsia="Arial" w:cs="Arial"/>
                <w:b/>
                <w:bCs/>
                <w:sz w:val="24"/>
                <w:szCs w:val="24"/>
              </w:rPr>
              <w:t>OR</w:t>
            </w:r>
            <w:r w:rsidRPr="0027235C">
              <w:rPr>
                <w:rFonts w:ascii="Arial" w:hAnsi="Arial" w:eastAsia="Arial" w:cs="Arial"/>
                <w:sz w:val="24"/>
                <w:szCs w:val="24"/>
              </w:rPr>
              <w:t xml:space="preserve"> “employee development” </w:t>
            </w:r>
            <w:r w:rsidRPr="0027235C">
              <w:rPr>
                <w:rFonts w:ascii="Arial" w:hAnsi="Arial" w:eastAsia="Arial" w:cs="Arial"/>
                <w:b/>
                <w:bCs/>
                <w:sz w:val="24"/>
                <w:szCs w:val="24"/>
              </w:rPr>
              <w:t>OR</w:t>
            </w:r>
            <w:r w:rsidRPr="0027235C">
              <w:rPr>
                <w:rFonts w:ascii="Arial" w:hAnsi="Arial" w:eastAsia="Arial" w:cs="Arial"/>
                <w:sz w:val="24"/>
                <w:szCs w:val="24"/>
              </w:rPr>
              <w:t xml:space="preserve"> “workplace learning”</w:t>
            </w:r>
          </w:p>
        </w:tc>
      </w:tr>
      <w:tr w:rsidRPr="0027235C" w:rsidR="00D63CA2" w14:paraId="401BD00D" w14:textId="77777777">
        <w:trPr>
          <w:trHeight w:val="900"/>
        </w:trPr>
        <w:tc>
          <w:tcPr>
            <w:tcW w:w="1620"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rsidRPr="0027235C" w:rsidR="00D63CA2" w:rsidP="00EA78D2" w:rsidRDefault="00BF2F3A" w14:paraId="4F82CD6E"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AND + OR</w:t>
            </w:r>
          </w:p>
        </w:tc>
        <w:tc>
          <w:tcPr>
            <w:tcW w:w="7560" w:type="dxa"/>
            <w:tcBorders>
              <w:top w:val="nil"/>
              <w:left w:val="nil"/>
              <w:bottom w:val="single" w:color="000000" w:sz="6" w:space="0"/>
              <w:right w:val="single" w:color="000000" w:sz="6" w:space="0"/>
            </w:tcBorders>
            <w:tcMar>
              <w:top w:w="0" w:type="dxa"/>
              <w:left w:w="100" w:type="dxa"/>
              <w:bottom w:w="0" w:type="dxa"/>
              <w:right w:w="100" w:type="dxa"/>
            </w:tcMar>
          </w:tcPr>
          <w:p w:rsidRPr="0027235C" w:rsidR="00D63CA2" w:rsidP="00EA78D2" w:rsidRDefault="00BF2F3A" w14:paraId="680FC595"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(“employee training” </w:t>
            </w:r>
            <w:r w:rsidRPr="0027235C">
              <w:rPr>
                <w:rFonts w:ascii="Arial" w:hAnsi="Arial" w:eastAsia="Arial" w:cs="Arial"/>
                <w:b/>
                <w:bCs/>
                <w:sz w:val="24"/>
                <w:szCs w:val="24"/>
              </w:rPr>
              <w:t>OR</w:t>
            </w:r>
            <w:r w:rsidRPr="0027235C">
              <w:rPr>
                <w:rFonts w:ascii="Arial" w:hAnsi="Arial" w:eastAsia="Arial" w:cs="Arial"/>
                <w:sz w:val="24"/>
                <w:szCs w:val="24"/>
              </w:rPr>
              <w:t xml:space="preserve"> “employee development”) </w:t>
            </w:r>
            <w:r w:rsidRPr="0027235C">
              <w:rPr>
                <w:rFonts w:ascii="Arial" w:hAnsi="Arial" w:eastAsia="Arial" w:cs="Arial"/>
                <w:b/>
                <w:bCs/>
                <w:sz w:val="24"/>
                <w:szCs w:val="24"/>
              </w:rPr>
              <w:t>AND</w:t>
            </w:r>
            <w:r w:rsidRPr="0027235C">
              <w:rPr>
                <w:rFonts w:ascii="Arial" w:hAnsi="Arial" w:eastAsia="Arial" w:cs="Arial"/>
                <w:sz w:val="24"/>
                <w:szCs w:val="24"/>
              </w:rPr>
              <w:t xml:space="preserve"> (“human capital management” </w:t>
            </w:r>
            <w:r w:rsidRPr="0027235C">
              <w:rPr>
                <w:rFonts w:ascii="Arial" w:hAnsi="Arial" w:eastAsia="Arial" w:cs="Arial"/>
                <w:b/>
                <w:bCs/>
                <w:sz w:val="24"/>
                <w:szCs w:val="24"/>
              </w:rPr>
              <w:t>OR</w:t>
            </w:r>
            <w:r w:rsidRPr="0027235C">
              <w:rPr>
                <w:rFonts w:ascii="Arial" w:hAnsi="Arial" w:eastAsia="Arial" w:cs="Arial"/>
                <w:sz w:val="24"/>
                <w:szCs w:val="24"/>
              </w:rPr>
              <w:t xml:space="preserve"> “human capital”)</w:t>
            </w:r>
          </w:p>
        </w:tc>
      </w:tr>
      <w:tr w:rsidRPr="0027235C" w:rsidR="00D63CA2" w14:paraId="3A4924AD" w14:textId="77777777">
        <w:trPr>
          <w:trHeight w:val="540"/>
        </w:trPr>
        <w:tc>
          <w:tcPr>
            <w:tcW w:w="1620"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rsidRPr="0027235C" w:rsidR="00D63CA2" w:rsidP="00EA78D2" w:rsidRDefault="00BF2F3A" w14:paraId="06096448"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NOT</w:t>
            </w:r>
          </w:p>
        </w:tc>
        <w:tc>
          <w:tcPr>
            <w:tcW w:w="7560" w:type="dxa"/>
            <w:tcBorders>
              <w:top w:val="nil"/>
              <w:left w:val="nil"/>
              <w:bottom w:val="single" w:color="000000" w:sz="6" w:space="0"/>
              <w:right w:val="single" w:color="000000" w:sz="6" w:space="0"/>
            </w:tcBorders>
            <w:tcMar>
              <w:top w:w="0" w:type="dxa"/>
              <w:left w:w="100" w:type="dxa"/>
              <w:bottom w:w="0" w:type="dxa"/>
              <w:right w:w="100" w:type="dxa"/>
            </w:tcMar>
          </w:tcPr>
          <w:p w:rsidRPr="0027235C" w:rsidR="00D63CA2" w:rsidP="00EA78D2" w:rsidRDefault="00BF2F3A" w14:paraId="3158E4AA" w14:textId="77777777">
            <w:pPr>
              <w:spacing w:line="360" w:lineRule="auto"/>
              <w:jc w:val="both"/>
              <w:rPr>
                <w:rFonts w:ascii="Arial" w:hAnsi="Arial" w:eastAsia="Arial" w:cs="Arial"/>
                <w:sz w:val="24"/>
                <w:szCs w:val="24"/>
              </w:rPr>
            </w:pPr>
            <w:r w:rsidRPr="0027235C">
              <w:rPr>
                <w:rFonts w:ascii="Arial" w:hAnsi="Arial" w:eastAsia="Arial" w:cs="Arial"/>
                <w:sz w:val="24"/>
                <w:szCs w:val="24"/>
              </w:rPr>
              <w:t>“</w:t>
            </w:r>
            <w:proofErr w:type="gramStart"/>
            <w:r w:rsidRPr="0027235C">
              <w:rPr>
                <w:rFonts w:ascii="Arial" w:hAnsi="Arial" w:eastAsia="Arial" w:cs="Arial"/>
                <w:sz w:val="24"/>
                <w:szCs w:val="24"/>
              </w:rPr>
              <w:t>employee</w:t>
            </w:r>
            <w:proofErr w:type="gramEnd"/>
            <w:r w:rsidRPr="0027235C">
              <w:rPr>
                <w:rFonts w:ascii="Arial" w:hAnsi="Arial" w:eastAsia="Arial" w:cs="Arial"/>
                <w:sz w:val="24"/>
                <w:szCs w:val="24"/>
              </w:rPr>
              <w:t xml:space="preserve"> training” </w:t>
            </w:r>
            <w:r w:rsidRPr="0027235C">
              <w:rPr>
                <w:rFonts w:ascii="Arial" w:hAnsi="Arial" w:eastAsia="Arial" w:cs="Arial"/>
                <w:b/>
                <w:bCs/>
                <w:sz w:val="24"/>
                <w:szCs w:val="24"/>
              </w:rPr>
              <w:t>AND</w:t>
            </w:r>
            <w:r w:rsidRPr="0027235C">
              <w:rPr>
                <w:rFonts w:ascii="Arial" w:hAnsi="Arial" w:eastAsia="Arial" w:cs="Arial"/>
                <w:sz w:val="24"/>
                <w:szCs w:val="24"/>
              </w:rPr>
              <w:t xml:space="preserve"> “human capital” </w:t>
            </w:r>
            <w:r w:rsidRPr="0027235C">
              <w:rPr>
                <w:rFonts w:ascii="Arial" w:hAnsi="Arial" w:eastAsia="Arial" w:cs="Arial"/>
                <w:b/>
                <w:bCs/>
                <w:sz w:val="24"/>
                <w:szCs w:val="24"/>
              </w:rPr>
              <w:t>NOT</w:t>
            </w:r>
            <w:r w:rsidRPr="0027235C">
              <w:rPr>
                <w:rFonts w:ascii="Arial" w:hAnsi="Arial" w:eastAsia="Arial" w:cs="Arial"/>
                <w:sz w:val="24"/>
                <w:szCs w:val="24"/>
              </w:rPr>
              <w:t xml:space="preserve"> “school education”</w:t>
            </w:r>
          </w:p>
        </w:tc>
      </w:tr>
    </w:tbl>
    <w:p w:rsidRPr="0027235C" w:rsidR="00EA78D2" w:rsidP="00F55E4F" w:rsidRDefault="00EA78D2" w14:paraId="55CB1407" w14:textId="625D6773">
      <w:pPr>
        <w:pStyle w:val="Subtitle"/>
      </w:pPr>
      <w:bookmarkStart w:name="_Toc238681795" w:id="10"/>
      <w:bookmarkStart w:name="_Toc239530675" w:id="11"/>
      <w:r w:rsidRPr="0027235C">
        <w:t xml:space="preserve">Table </w:t>
      </w:r>
      <w:r w:rsidRPr="0027235C">
        <w:fldChar w:fldCharType="begin"/>
      </w:r>
      <w:r w:rsidRPr="0027235C">
        <w:instrText xml:space="preserve"> SEQ Table \* ARABIC </w:instrText>
      </w:r>
      <w:r w:rsidRPr="0027235C">
        <w:fldChar w:fldCharType="separate"/>
      </w:r>
      <w:r w:rsidRPr="0027235C">
        <w:t>1</w:t>
      </w:r>
      <w:r w:rsidRPr="0027235C">
        <w:fldChar w:fldCharType="end"/>
      </w:r>
      <w:r w:rsidRPr="0027235C">
        <w:t>:Boolean Operator Usage in the Literature Search</w:t>
      </w:r>
      <w:bookmarkEnd w:id="10"/>
      <w:bookmarkEnd w:id="11"/>
    </w:p>
    <w:p w:rsidRPr="0027235C" w:rsidR="00D63CA2" w:rsidP="00EA78D2" w:rsidRDefault="00BF2F3A" w14:paraId="2310CF4D" w14:textId="4CC8FE28">
      <w:pPr>
        <w:pStyle w:val="Heading2"/>
        <w:rPr>
          <w:rFonts w:eastAsia="Arial"/>
          <w:color w:val="auto"/>
        </w:rPr>
      </w:pPr>
      <w:bookmarkStart w:name="_Toc239530784" w:id="12"/>
      <w:r w:rsidRPr="0027235C">
        <w:rPr>
          <w:rFonts w:eastAsia="Arial"/>
          <w:color w:val="auto"/>
        </w:rPr>
        <w:t>2.2 Databases and sources</w:t>
      </w:r>
      <w:bookmarkEnd w:id="12"/>
    </w:p>
    <w:p w:rsidRPr="0027235C" w:rsidR="00D63CA2" w:rsidP="00EA78D2" w:rsidRDefault="00BF2F3A" w14:paraId="56ED7744" w14:textId="77777777">
      <w:pPr>
        <w:spacing w:line="360" w:lineRule="auto"/>
        <w:jc w:val="both"/>
        <w:rPr>
          <w:rFonts w:ascii="Arial" w:hAnsi="Arial" w:eastAsia="Arial" w:cs="Arial"/>
          <w:sz w:val="24"/>
          <w:szCs w:val="24"/>
        </w:rPr>
      </w:pPr>
      <w:r w:rsidRPr="0027235C">
        <w:rPr>
          <w:rFonts w:ascii="Arial" w:hAnsi="Arial" w:eastAsia="Arial" w:cs="Arial"/>
          <w:sz w:val="24"/>
          <w:szCs w:val="24"/>
        </w:rPr>
        <w:t>Scopus, Web of Science, Business Source Premier, ScienceDirect and Emerald Insight databases, along with the use of Google Scholar (as a supplementary source of search results) were used to conduct the literature search. Several databases were employed to enhance coverage and minimise chances of missing pertinent studies. Phillips and Barker (2021) have highlighted that systematic reviews were also useful due to the possibility of searching multiple relevant databases as opposed to just one source.</w:t>
      </w:r>
    </w:p>
    <w:p w:rsidRPr="0027235C" w:rsidR="00D63CA2" w:rsidP="00EA78D2" w:rsidRDefault="00BF2F3A" w14:paraId="6F0551AE" w14:textId="77777777">
      <w:pPr>
        <w:spacing w:line="360" w:lineRule="auto"/>
        <w:jc w:val="both"/>
        <w:rPr>
          <w:rFonts w:ascii="Arial" w:hAnsi="Arial" w:eastAsia="Arial" w:cs="Arial"/>
          <w:sz w:val="24"/>
          <w:szCs w:val="24"/>
        </w:rPr>
      </w:pPr>
      <w:r w:rsidRPr="0027235C">
        <w:rPr>
          <w:rFonts w:ascii="Arial" w:hAnsi="Arial" w:eastAsia="Arial" w:cs="Arial"/>
          <w:sz w:val="24"/>
          <w:szCs w:val="24"/>
        </w:rPr>
        <w:t>Scopus and Web of Science were chosen due to their capability to offer multidisciplinary coverage and wide indexing of peer-reviewed management and organisational research. Visser, van Eck and Waltman (2021) showed that these databases provided extensive scholarly coverage but varied in the coverage of indexing. Business Source Premier was also utilised due to its particularity to business, management and Human Resource Management studies.</w:t>
      </w:r>
    </w:p>
    <w:p w:rsidRPr="0027235C" w:rsidR="00D63CA2" w:rsidP="00EA78D2" w:rsidRDefault="00BF2F3A" w14:paraId="3A1B6238"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The availability of literature on employee development, organisational behaviour and HCM was facilitated by ScienceDirect and Emerald Insight. </w:t>
      </w:r>
      <w:proofErr w:type="spellStart"/>
      <w:r w:rsidRPr="0027235C">
        <w:rPr>
          <w:rFonts w:ascii="Arial" w:hAnsi="Arial" w:eastAsia="Arial" w:cs="Arial"/>
          <w:sz w:val="24"/>
          <w:szCs w:val="24"/>
        </w:rPr>
        <w:t>Pranckutė</w:t>
      </w:r>
      <w:proofErr w:type="spellEnd"/>
      <w:r w:rsidRPr="0027235C">
        <w:rPr>
          <w:rFonts w:ascii="Arial" w:hAnsi="Arial" w:eastAsia="Arial" w:cs="Arial"/>
          <w:sz w:val="24"/>
          <w:szCs w:val="24"/>
        </w:rPr>
        <w:t xml:space="preserve"> (2021) emphasized the importance of known bibliographic databases in finding good scholarly evidence. Supplementary search was conducted in Google Scholar to locate potentially relevant studies that were not found in database searches.</w:t>
      </w:r>
    </w:p>
    <w:p w:rsidRPr="0027235C" w:rsidR="00D63CA2" w:rsidP="00EA78D2" w:rsidRDefault="00BF2F3A" w14:paraId="4793C84C" w14:textId="77777777">
      <w:pPr>
        <w:pStyle w:val="Heading2"/>
        <w:rPr>
          <w:rFonts w:eastAsia="Arial"/>
          <w:color w:val="auto"/>
        </w:rPr>
      </w:pPr>
      <w:bookmarkStart w:name="_Toc239530785" w:id="13"/>
      <w:r w:rsidRPr="0027235C">
        <w:rPr>
          <w:rFonts w:eastAsia="Arial"/>
          <w:color w:val="auto"/>
        </w:rPr>
        <w:lastRenderedPageBreak/>
        <w:t>2.3 Keywords and search terms</w:t>
      </w:r>
      <w:bookmarkEnd w:id="13"/>
    </w:p>
    <w:p w:rsidRPr="0027235C" w:rsidR="00D63CA2" w:rsidP="00EA78D2" w:rsidRDefault="00BF2F3A" w14:paraId="0B77F02B"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The search terms were created based on the research topic, research question and objectives. Core keywords included “employee training,” “employee development,” “Human Capital Management,” “human capital,” “training effectiveness,” “learning transfer,” “employee performance,” “employee engagement,” “job satisfaction” and “employee retention.” Related synonyms such as “workplace learning,” “staff development,” “skills development” and “workforce development” were included to enhance retrieval. </w:t>
      </w:r>
      <w:proofErr w:type="spellStart"/>
      <w:r w:rsidRPr="0027235C">
        <w:rPr>
          <w:rFonts w:ascii="Arial" w:hAnsi="Arial" w:eastAsia="Arial" w:cs="Arial"/>
          <w:sz w:val="24"/>
          <w:szCs w:val="24"/>
        </w:rPr>
        <w:t>Gusenbauer</w:t>
      </w:r>
      <w:proofErr w:type="spellEnd"/>
      <w:r w:rsidRPr="0027235C">
        <w:rPr>
          <w:rFonts w:ascii="Arial" w:hAnsi="Arial" w:eastAsia="Arial" w:cs="Arial"/>
          <w:sz w:val="24"/>
          <w:szCs w:val="24"/>
        </w:rPr>
        <w:t xml:space="preserve"> and </w:t>
      </w:r>
      <w:proofErr w:type="spellStart"/>
      <w:r w:rsidRPr="0027235C">
        <w:rPr>
          <w:rFonts w:ascii="Arial" w:hAnsi="Arial" w:eastAsia="Arial" w:cs="Arial"/>
          <w:sz w:val="24"/>
          <w:szCs w:val="24"/>
        </w:rPr>
        <w:t>Gauster</w:t>
      </w:r>
      <w:proofErr w:type="spellEnd"/>
      <w:r w:rsidRPr="0027235C">
        <w:rPr>
          <w:rFonts w:ascii="Arial" w:hAnsi="Arial" w:eastAsia="Arial" w:cs="Arial"/>
          <w:sz w:val="24"/>
          <w:szCs w:val="24"/>
        </w:rPr>
        <w:t xml:space="preserve"> (2025) highlighted that core concepts must be used with appropriate synonyms in systematic searches to enhance a comprehensive search.</w:t>
      </w:r>
    </w:p>
    <w:p w:rsidRPr="0027235C" w:rsidR="00D63CA2" w:rsidP="00EA78D2" w:rsidRDefault="00BF2F3A" w14:paraId="13454BF5"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Concept-based terminology was narrowed down following initial searches. Sauer and </w:t>
      </w:r>
      <w:proofErr w:type="spellStart"/>
      <w:r w:rsidRPr="0027235C">
        <w:rPr>
          <w:rFonts w:ascii="Arial" w:hAnsi="Arial" w:eastAsia="Arial" w:cs="Arial"/>
          <w:sz w:val="24"/>
          <w:szCs w:val="24"/>
        </w:rPr>
        <w:t>Seuring</w:t>
      </w:r>
      <w:proofErr w:type="spellEnd"/>
      <w:r w:rsidRPr="0027235C">
        <w:rPr>
          <w:rFonts w:ascii="Arial" w:hAnsi="Arial" w:eastAsia="Arial" w:cs="Arial"/>
          <w:sz w:val="24"/>
          <w:szCs w:val="24"/>
        </w:rPr>
        <w:t xml:space="preserve"> (2023) suggested the use of iterative refinement in order to enhance search relevance. The search string used was representative: (“employee training” OR “employee development”) AND (“Human Capital Management” OR “human capital”) AND (“performance” OR “engagement” OR “retention”).</w:t>
      </w:r>
    </w:p>
    <w:p w:rsidRPr="0027235C" w:rsidR="00D63CA2" w:rsidP="00EA78D2" w:rsidRDefault="00BF2F3A" w14:paraId="647FC188" w14:textId="77777777">
      <w:pPr>
        <w:pStyle w:val="Heading2"/>
        <w:rPr>
          <w:rFonts w:eastAsia="Arial"/>
          <w:color w:val="auto"/>
        </w:rPr>
      </w:pPr>
      <w:bookmarkStart w:name="_Toc239530786" w:id="14"/>
      <w:r w:rsidRPr="0027235C">
        <w:rPr>
          <w:rFonts w:eastAsia="Arial"/>
          <w:color w:val="auto"/>
        </w:rPr>
        <w:t>2.4 Time frame for included publications</w:t>
      </w:r>
      <w:bookmarkEnd w:id="14"/>
    </w:p>
    <w:p w:rsidRPr="0027235C" w:rsidR="00D63CA2" w:rsidP="00EA78D2" w:rsidRDefault="00BF2F3A" w14:paraId="14305BD8" w14:textId="6D8EB31C">
      <w:pPr>
        <w:spacing w:line="360" w:lineRule="auto"/>
        <w:jc w:val="both"/>
        <w:rPr>
          <w:rFonts w:ascii="Arial" w:hAnsi="Arial" w:eastAsia="Arial" w:cs="Arial"/>
          <w:sz w:val="24"/>
          <w:szCs w:val="24"/>
        </w:rPr>
      </w:pPr>
      <w:r w:rsidRPr="0027235C">
        <w:rPr>
          <w:rFonts w:ascii="Arial" w:hAnsi="Arial" w:eastAsia="Arial" w:cs="Arial"/>
          <w:sz w:val="24"/>
          <w:szCs w:val="24"/>
        </w:rPr>
        <w:t xml:space="preserve">The studies that were mainly reviewed were published within </w:t>
      </w:r>
      <w:r w:rsidR="00F55E4F">
        <w:rPr>
          <w:rFonts w:ascii="Arial" w:hAnsi="Arial" w:eastAsia="Arial" w:cs="Arial"/>
          <w:sz w:val="24"/>
          <w:szCs w:val="24"/>
        </w:rPr>
        <w:t>2016</w:t>
      </w:r>
      <w:r w:rsidRPr="0027235C">
        <w:rPr>
          <w:rFonts w:ascii="Arial" w:hAnsi="Arial" w:eastAsia="Arial" w:cs="Arial"/>
          <w:sz w:val="24"/>
          <w:szCs w:val="24"/>
        </w:rPr>
        <w:t xml:space="preserve">-2026, and this is because the evidence was up to date with the developments in employee training, workplace learning and Human Capital Management. The timing was right as the digitalisation that was taking place rapidly, shifting the skills demands and the technology empowered work had significantly altered the organisational learning behaviours. Barry, </w:t>
      </w:r>
      <w:proofErr w:type="spellStart"/>
      <w:r w:rsidRPr="0027235C">
        <w:rPr>
          <w:rFonts w:ascii="Arial" w:hAnsi="Arial" w:eastAsia="Arial" w:cs="Arial"/>
          <w:sz w:val="24"/>
          <w:szCs w:val="24"/>
        </w:rPr>
        <w:t>Merkebu</w:t>
      </w:r>
      <w:proofErr w:type="spellEnd"/>
      <w:r w:rsidRPr="0027235C">
        <w:rPr>
          <w:rFonts w:ascii="Arial" w:hAnsi="Arial" w:eastAsia="Arial" w:cs="Arial"/>
          <w:sz w:val="24"/>
          <w:szCs w:val="24"/>
        </w:rPr>
        <w:t xml:space="preserve"> and </w:t>
      </w:r>
      <w:proofErr w:type="spellStart"/>
      <w:r w:rsidRPr="0027235C">
        <w:rPr>
          <w:rFonts w:ascii="Arial" w:hAnsi="Arial" w:eastAsia="Arial" w:cs="Arial"/>
          <w:sz w:val="24"/>
          <w:szCs w:val="24"/>
        </w:rPr>
        <w:t>Varpio</w:t>
      </w:r>
      <w:proofErr w:type="spellEnd"/>
      <w:r w:rsidRPr="0027235C">
        <w:rPr>
          <w:rFonts w:ascii="Arial" w:hAnsi="Arial" w:eastAsia="Arial" w:cs="Arial"/>
          <w:sz w:val="24"/>
          <w:szCs w:val="24"/>
        </w:rPr>
        <w:t xml:space="preserve"> (2022) underscored that literature reviews ought to encompass how knowledge builds with time and define the present state of research. Previous seminal works were thus selectively incorporated as they were containing necessary theoretical underpinnings especially to the Human Capital Theory, Resource-Based View, Training Transfer Theory and Social Exchange Theory.</w:t>
      </w:r>
    </w:p>
    <w:p w:rsidRPr="0027235C" w:rsidR="00D63CA2" w:rsidP="00EA78D2" w:rsidRDefault="00BF2F3A" w14:paraId="1E40345A" w14:textId="77777777">
      <w:pPr>
        <w:pStyle w:val="Heading2"/>
        <w:rPr>
          <w:rFonts w:eastAsia="Arial"/>
          <w:color w:val="auto"/>
        </w:rPr>
      </w:pPr>
      <w:bookmarkStart w:name="_Toc239530787" w:id="15"/>
      <w:r w:rsidRPr="0027235C">
        <w:rPr>
          <w:rFonts w:eastAsia="Arial"/>
          <w:color w:val="auto"/>
        </w:rPr>
        <w:t>2.5 Inclusion and exclusion criteria</w:t>
      </w:r>
      <w:bookmarkEnd w:id="15"/>
    </w:p>
    <w:p w:rsidRPr="0027235C" w:rsidR="00D63CA2" w:rsidP="00EA78D2" w:rsidRDefault="00BF2F3A" w14:paraId="4E4C3690" w14:textId="6DD02649">
      <w:pPr>
        <w:spacing w:line="360" w:lineRule="auto"/>
        <w:jc w:val="both"/>
        <w:rPr>
          <w:rFonts w:ascii="Arial" w:hAnsi="Arial" w:eastAsia="Arial" w:cs="Arial"/>
          <w:sz w:val="24"/>
          <w:szCs w:val="24"/>
        </w:rPr>
      </w:pPr>
      <w:r w:rsidRPr="0027235C">
        <w:rPr>
          <w:rFonts w:ascii="Arial" w:hAnsi="Arial" w:eastAsia="Arial" w:cs="Arial"/>
          <w:sz w:val="24"/>
          <w:szCs w:val="24"/>
        </w:rPr>
        <w:t>Prior to screening, clear inclusion and exclusion criteria were set up to make the study selection consistent, relevant and transparent.</w:t>
      </w:r>
    </w:p>
    <w:p w:rsidRPr="0027235C" w:rsidR="00EA78D2" w:rsidP="00EA78D2" w:rsidRDefault="00EA78D2" w14:paraId="3A170915" w14:textId="77777777">
      <w:pPr>
        <w:spacing w:line="360" w:lineRule="auto"/>
        <w:jc w:val="both"/>
        <w:rPr>
          <w:rFonts w:ascii="Arial" w:hAnsi="Arial" w:eastAsia="Arial" w:cs="Arial"/>
          <w:sz w:val="24"/>
          <w:szCs w:val="24"/>
        </w:rPr>
      </w:pPr>
    </w:p>
    <w:tbl>
      <w:tblPr>
        <w:tblStyle w:val="a0"/>
        <w:tblW w:w="897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600" w:firstRow="0" w:lastRow="0" w:firstColumn="0" w:lastColumn="0" w:noHBand="1" w:noVBand="1"/>
      </w:tblPr>
      <w:tblGrid>
        <w:gridCol w:w="1785"/>
        <w:gridCol w:w="3810"/>
        <w:gridCol w:w="3375"/>
      </w:tblGrid>
      <w:tr w:rsidRPr="0027235C" w:rsidR="00D63CA2" w:rsidTr="00BF2F3A" w14:paraId="369347E2" w14:textId="77777777">
        <w:trPr>
          <w:trHeight w:val="540"/>
        </w:trPr>
        <w:tc>
          <w:tcPr>
            <w:tcW w:w="1785" w:type="dxa"/>
            <w:tcMar>
              <w:top w:w="0" w:type="dxa"/>
              <w:left w:w="100" w:type="dxa"/>
              <w:bottom w:w="0" w:type="dxa"/>
              <w:right w:w="100" w:type="dxa"/>
            </w:tcMar>
          </w:tcPr>
          <w:p w:rsidRPr="0027235C" w:rsidR="00D63CA2" w:rsidP="00EA78D2" w:rsidRDefault="00BF2F3A" w14:paraId="5CD614D7"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lastRenderedPageBreak/>
              <w:t>Criterion</w:t>
            </w:r>
          </w:p>
        </w:tc>
        <w:tc>
          <w:tcPr>
            <w:tcW w:w="3810" w:type="dxa"/>
            <w:tcMar>
              <w:top w:w="0" w:type="dxa"/>
              <w:left w:w="100" w:type="dxa"/>
              <w:bottom w:w="0" w:type="dxa"/>
              <w:right w:w="100" w:type="dxa"/>
            </w:tcMar>
          </w:tcPr>
          <w:p w:rsidRPr="0027235C" w:rsidR="00D63CA2" w:rsidP="00EA78D2" w:rsidRDefault="00BF2F3A" w14:paraId="1BEA76D7"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Inclusion criteria</w:t>
            </w:r>
          </w:p>
        </w:tc>
        <w:tc>
          <w:tcPr>
            <w:tcW w:w="3375" w:type="dxa"/>
            <w:tcMar>
              <w:top w:w="0" w:type="dxa"/>
              <w:left w:w="100" w:type="dxa"/>
              <w:bottom w:w="0" w:type="dxa"/>
              <w:right w:w="100" w:type="dxa"/>
            </w:tcMar>
          </w:tcPr>
          <w:p w:rsidRPr="0027235C" w:rsidR="00D63CA2" w:rsidP="00EA78D2" w:rsidRDefault="00BF2F3A" w14:paraId="0CDDDDD1"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Exclusion criteria</w:t>
            </w:r>
          </w:p>
        </w:tc>
      </w:tr>
      <w:tr w:rsidRPr="0027235C" w:rsidR="00D63CA2" w:rsidTr="00BF2F3A" w14:paraId="5AD990C2" w14:textId="77777777">
        <w:trPr>
          <w:trHeight w:val="1620"/>
        </w:trPr>
        <w:tc>
          <w:tcPr>
            <w:tcW w:w="1785" w:type="dxa"/>
            <w:tcMar>
              <w:top w:w="0" w:type="dxa"/>
              <w:left w:w="100" w:type="dxa"/>
              <w:bottom w:w="0" w:type="dxa"/>
              <w:right w:w="100" w:type="dxa"/>
            </w:tcMar>
          </w:tcPr>
          <w:p w:rsidRPr="0027235C" w:rsidR="00D63CA2" w:rsidP="00EA78D2" w:rsidRDefault="00BF2F3A" w14:paraId="4B398257"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Publication type</w:t>
            </w:r>
          </w:p>
        </w:tc>
        <w:tc>
          <w:tcPr>
            <w:tcW w:w="3810" w:type="dxa"/>
            <w:tcMar>
              <w:top w:w="0" w:type="dxa"/>
              <w:left w:w="100" w:type="dxa"/>
              <w:bottom w:w="0" w:type="dxa"/>
              <w:right w:w="100" w:type="dxa"/>
            </w:tcMar>
          </w:tcPr>
          <w:p w:rsidRPr="0027235C" w:rsidR="00D63CA2" w:rsidP="00EA78D2" w:rsidRDefault="00BF2F3A" w14:paraId="784A2A41" w14:textId="77777777">
            <w:pPr>
              <w:spacing w:line="360" w:lineRule="auto"/>
              <w:jc w:val="both"/>
              <w:rPr>
                <w:rFonts w:ascii="Arial" w:hAnsi="Arial" w:eastAsia="Arial" w:cs="Arial"/>
                <w:sz w:val="24"/>
                <w:szCs w:val="24"/>
              </w:rPr>
            </w:pPr>
            <w:r w:rsidRPr="0027235C">
              <w:rPr>
                <w:rFonts w:ascii="Arial" w:hAnsi="Arial" w:eastAsia="Arial" w:cs="Arial"/>
                <w:sz w:val="24"/>
                <w:szCs w:val="24"/>
              </w:rPr>
              <w:t>High-quality academic books or book chapters, as well as peer-reviewed journal articles, were included.</w:t>
            </w:r>
          </w:p>
        </w:tc>
        <w:tc>
          <w:tcPr>
            <w:tcW w:w="3375" w:type="dxa"/>
            <w:tcMar>
              <w:top w:w="0" w:type="dxa"/>
              <w:left w:w="100" w:type="dxa"/>
              <w:bottom w:w="0" w:type="dxa"/>
              <w:right w:w="100" w:type="dxa"/>
            </w:tcMar>
          </w:tcPr>
          <w:p w:rsidRPr="0027235C" w:rsidR="00D63CA2" w:rsidP="00EA78D2" w:rsidRDefault="00BF2F3A" w14:paraId="5043F9F8" w14:textId="77777777">
            <w:pPr>
              <w:spacing w:line="360" w:lineRule="auto"/>
              <w:jc w:val="both"/>
              <w:rPr>
                <w:rFonts w:ascii="Arial" w:hAnsi="Arial" w:eastAsia="Arial" w:cs="Arial"/>
                <w:sz w:val="24"/>
                <w:szCs w:val="24"/>
              </w:rPr>
            </w:pPr>
            <w:r w:rsidRPr="0027235C">
              <w:rPr>
                <w:rFonts w:ascii="Arial" w:hAnsi="Arial" w:eastAsia="Arial" w:cs="Arial"/>
                <w:sz w:val="24"/>
                <w:szCs w:val="24"/>
              </w:rPr>
              <w:t>Non-academic content such as opinion pieces, blogs, commercial websites, and so on were not included.</w:t>
            </w:r>
          </w:p>
        </w:tc>
      </w:tr>
      <w:tr w:rsidRPr="0027235C" w:rsidR="00D63CA2" w:rsidTr="00BF2F3A" w14:paraId="04B3BA2A" w14:textId="77777777">
        <w:trPr>
          <w:trHeight w:val="1980"/>
        </w:trPr>
        <w:tc>
          <w:tcPr>
            <w:tcW w:w="1785" w:type="dxa"/>
            <w:tcMar>
              <w:top w:w="0" w:type="dxa"/>
              <w:left w:w="100" w:type="dxa"/>
              <w:bottom w:w="0" w:type="dxa"/>
              <w:right w:w="100" w:type="dxa"/>
            </w:tcMar>
          </w:tcPr>
          <w:p w:rsidRPr="0027235C" w:rsidR="00D63CA2" w:rsidP="00EA78D2" w:rsidRDefault="00BF2F3A" w14:paraId="6793515E"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Publication period</w:t>
            </w:r>
          </w:p>
        </w:tc>
        <w:tc>
          <w:tcPr>
            <w:tcW w:w="3810" w:type="dxa"/>
            <w:tcMar>
              <w:top w:w="0" w:type="dxa"/>
              <w:left w:w="100" w:type="dxa"/>
              <w:bottom w:w="0" w:type="dxa"/>
              <w:right w:w="100" w:type="dxa"/>
            </w:tcMar>
          </w:tcPr>
          <w:p w:rsidRPr="0027235C" w:rsidR="00D63CA2" w:rsidP="00EA78D2" w:rsidRDefault="00BF2F3A" w14:paraId="19A57CC2" w14:textId="69F229E1">
            <w:pPr>
              <w:spacing w:line="360" w:lineRule="auto"/>
              <w:jc w:val="both"/>
              <w:rPr>
                <w:rFonts w:ascii="Arial" w:hAnsi="Arial" w:eastAsia="Arial" w:cs="Arial"/>
                <w:sz w:val="24"/>
                <w:szCs w:val="24"/>
              </w:rPr>
            </w:pPr>
            <w:r w:rsidRPr="0027235C">
              <w:rPr>
                <w:rFonts w:ascii="Arial" w:hAnsi="Arial" w:eastAsia="Arial" w:cs="Arial"/>
                <w:sz w:val="24"/>
                <w:szCs w:val="24"/>
              </w:rPr>
              <w:t xml:space="preserve">Publications </w:t>
            </w:r>
            <w:r w:rsidR="00D66DA1">
              <w:rPr>
                <w:rFonts w:ascii="Arial" w:hAnsi="Arial" w:eastAsia="Arial" w:cs="Arial"/>
                <w:sz w:val="24"/>
                <w:szCs w:val="24"/>
              </w:rPr>
              <w:t>between</w:t>
            </w:r>
            <w:r w:rsidRPr="0027235C">
              <w:rPr>
                <w:rFonts w:ascii="Arial" w:hAnsi="Arial" w:eastAsia="Arial" w:cs="Arial"/>
                <w:sz w:val="24"/>
                <w:szCs w:val="24"/>
              </w:rPr>
              <w:t xml:space="preserve"> </w:t>
            </w:r>
            <w:r w:rsidR="00F55E4F">
              <w:rPr>
                <w:rFonts w:ascii="Arial" w:hAnsi="Arial" w:eastAsia="Arial" w:cs="Arial"/>
                <w:sz w:val="24"/>
                <w:szCs w:val="24"/>
              </w:rPr>
              <w:t>2016</w:t>
            </w:r>
            <w:r w:rsidR="00D66DA1">
              <w:rPr>
                <w:rFonts w:ascii="Arial" w:hAnsi="Arial" w:eastAsia="Arial" w:cs="Arial"/>
                <w:sz w:val="24"/>
                <w:szCs w:val="24"/>
              </w:rPr>
              <w:t xml:space="preserve"> and </w:t>
            </w:r>
            <w:r w:rsidRPr="0027235C">
              <w:rPr>
                <w:rFonts w:ascii="Arial" w:hAnsi="Arial" w:eastAsia="Arial" w:cs="Arial"/>
                <w:sz w:val="24"/>
                <w:szCs w:val="24"/>
              </w:rPr>
              <w:t>2025 were utilised, and previous seminal theoretical works were maintained where they were important.</w:t>
            </w:r>
          </w:p>
        </w:tc>
        <w:tc>
          <w:tcPr>
            <w:tcW w:w="3375" w:type="dxa"/>
            <w:tcMar>
              <w:top w:w="0" w:type="dxa"/>
              <w:left w:w="100" w:type="dxa"/>
              <w:bottom w:w="0" w:type="dxa"/>
              <w:right w:w="100" w:type="dxa"/>
            </w:tcMar>
          </w:tcPr>
          <w:p w:rsidRPr="0027235C" w:rsidR="00D63CA2" w:rsidP="00EA78D2" w:rsidRDefault="00BF2F3A" w14:paraId="7CAFF0BF" w14:textId="753123F5">
            <w:pPr>
              <w:spacing w:line="360" w:lineRule="auto"/>
              <w:jc w:val="both"/>
              <w:rPr>
                <w:rFonts w:ascii="Arial" w:hAnsi="Arial" w:eastAsia="Arial" w:cs="Arial"/>
                <w:sz w:val="24"/>
                <w:szCs w:val="24"/>
              </w:rPr>
            </w:pPr>
            <w:r w:rsidRPr="0027235C">
              <w:rPr>
                <w:rFonts w:ascii="Arial" w:hAnsi="Arial" w:eastAsia="Arial" w:cs="Arial"/>
                <w:sz w:val="24"/>
                <w:szCs w:val="24"/>
              </w:rPr>
              <w:t xml:space="preserve">Articles published prior to </w:t>
            </w:r>
            <w:r w:rsidR="00F55E4F">
              <w:rPr>
                <w:rFonts w:ascii="Arial" w:hAnsi="Arial" w:eastAsia="Arial" w:cs="Arial"/>
                <w:sz w:val="24"/>
                <w:szCs w:val="24"/>
              </w:rPr>
              <w:t>2016</w:t>
            </w:r>
            <w:r w:rsidRPr="0027235C">
              <w:rPr>
                <w:rFonts w:ascii="Arial" w:hAnsi="Arial" w:eastAsia="Arial" w:cs="Arial"/>
                <w:sz w:val="24"/>
                <w:szCs w:val="24"/>
              </w:rPr>
              <w:t xml:space="preserve"> were not included unless they offered sufficient theoretical premises.</w:t>
            </w:r>
          </w:p>
        </w:tc>
      </w:tr>
      <w:tr w:rsidRPr="0027235C" w:rsidR="00D63CA2" w:rsidTr="00BF2F3A" w14:paraId="51A23EA5" w14:textId="77777777">
        <w:trPr>
          <w:trHeight w:val="1980"/>
        </w:trPr>
        <w:tc>
          <w:tcPr>
            <w:tcW w:w="1785" w:type="dxa"/>
            <w:tcMar>
              <w:top w:w="0" w:type="dxa"/>
              <w:left w:w="100" w:type="dxa"/>
              <w:bottom w:w="0" w:type="dxa"/>
              <w:right w:w="100" w:type="dxa"/>
            </w:tcMar>
          </w:tcPr>
          <w:p w:rsidRPr="0027235C" w:rsidR="00D63CA2" w:rsidP="00EA78D2" w:rsidRDefault="00BF2F3A" w14:paraId="7DF98A96"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Topic relevance</w:t>
            </w:r>
          </w:p>
        </w:tc>
        <w:tc>
          <w:tcPr>
            <w:tcW w:w="3810" w:type="dxa"/>
            <w:tcMar>
              <w:top w:w="0" w:type="dxa"/>
              <w:left w:w="100" w:type="dxa"/>
              <w:bottom w:w="0" w:type="dxa"/>
              <w:right w:w="100" w:type="dxa"/>
            </w:tcMar>
          </w:tcPr>
          <w:p w:rsidRPr="0027235C" w:rsidR="00D63CA2" w:rsidP="00EA78D2" w:rsidRDefault="00BF2F3A" w14:paraId="69469892" w14:textId="77777777">
            <w:pPr>
              <w:spacing w:line="360" w:lineRule="auto"/>
              <w:jc w:val="both"/>
              <w:rPr>
                <w:rFonts w:ascii="Arial" w:hAnsi="Arial" w:eastAsia="Arial" w:cs="Arial"/>
                <w:sz w:val="24"/>
                <w:szCs w:val="24"/>
              </w:rPr>
            </w:pPr>
            <w:r w:rsidRPr="0027235C">
              <w:rPr>
                <w:rFonts w:ascii="Arial" w:hAnsi="Arial" w:eastAsia="Arial" w:cs="Arial"/>
                <w:sz w:val="24"/>
                <w:szCs w:val="24"/>
              </w:rPr>
              <w:t>The literature that explicitly looked at the issue of employee training, development, workplace learning, human capital or HCM outcomes was considered.</w:t>
            </w:r>
          </w:p>
        </w:tc>
        <w:tc>
          <w:tcPr>
            <w:tcW w:w="3375" w:type="dxa"/>
            <w:tcMar>
              <w:top w:w="0" w:type="dxa"/>
              <w:left w:w="100" w:type="dxa"/>
              <w:bottom w:w="0" w:type="dxa"/>
              <w:right w:w="100" w:type="dxa"/>
            </w:tcMar>
          </w:tcPr>
          <w:p w:rsidRPr="0027235C" w:rsidR="00D63CA2" w:rsidP="00EA78D2" w:rsidRDefault="00BF2F3A" w14:paraId="54581173" w14:textId="77777777">
            <w:pPr>
              <w:spacing w:line="360" w:lineRule="auto"/>
              <w:jc w:val="both"/>
              <w:rPr>
                <w:rFonts w:ascii="Arial" w:hAnsi="Arial" w:eastAsia="Arial" w:cs="Arial"/>
                <w:sz w:val="24"/>
                <w:szCs w:val="24"/>
              </w:rPr>
            </w:pPr>
            <w:r w:rsidRPr="0027235C">
              <w:rPr>
                <w:rFonts w:ascii="Arial" w:hAnsi="Arial" w:eastAsia="Arial" w:cs="Arial"/>
                <w:sz w:val="24"/>
                <w:szCs w:val="24"/>
              </w:rPr>
              <w:t>Articles that were not related to employee development or Human Capital Management were left out.</w:t>
            </w:r>
          </w:p>
        </w:tc>
      </w:tr>
      <w:tr w:rsidRPr="0027235C" w:rsidR="00D63CA2" w:rsidTr="00BF2F3A" w14:paraId="220DAD23" w14:textId="77777777">
        <w:trPr>
          <w:trHeight w:val="1620"/>
        </w:trPr>
        <w:tc>
          <w:tcPr>
            <w:tcW w:w="1785" w:type="dxa"/>
            <w:tcMar>
              <w:top w:w="0" w:type="dxa"/>
              <w:left w:w="100" w:type="dxa"/>
              <w:bottom w:w="0" w:type="dxa"/>
              <w:right w:w="100" w:type="dxa"/>
            </w:tcMar>
          </w:tcPr>
          <w:p w:rsidRPr="0027235C" w:rsidR="00D63CA2" w:rsidP="00EA78D2" w:rsidRDefault="00BF2F3A" w14:paraId="584A1FEC"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Research context</w:t>
            </w:r>
          </w:p>
        </w:tc>
        <w:tc>
          <w:tcPr>
            <w:tcW w:w="3810" w:type="dxa"/>
            <w:tcMar>
              <w:top w:w="0" w:type="dxa"/>
              <w:left w:w="100" w:type="dxa"/>
              <w:bottom w:w="0" w:type="dxa"/>
              <w:right w:w="100" w:type="dxa"/>
            </w:tcMar>
          </w:tcPr>
          <w:p w:rsidRPr="0027235C" w:rsidR="00D63CA2" w:rsidP="00EA78D2" w:rsidRDefault="00BF2F3A" w14:paraId="2EB794BA" w14:textId="77777777">
            <w:pPr>
              <w:spacing w:line="360" w:lineRule="auto"/>
              <w:jc w:val="both"/>
              <w:rPr>
                <w:rFonts w:ascii="Arial" w:hAnsi="Arial" w:eastAsia="Arial" w:cs="Arial"/>
                <w:sz w:val="24"/>
                <w:szCs w:val="24"/>
              </w:rPr>
            </w:pPr>
            <w:r w:rsidRPr="0027235C">
              <w:rPr>
                <w:rFonts w:ascii="Arial" w:hAnsi="Arial" w:eastAsia="Arial" w:cs="Arial"/>
                <w:sz w:val="24"/>
                <w:szCs w:val="24"/>
              </w:rPr>
              <w:t>Research carried out in organisational and work environments was incorporated.</w:t>
            </w:r>
          </w:p>
        </w:tc>
        <w:tc>
          <w:tcPr>
            <w:tcW w:w="3375" w:type="dxa"/>
            <w:tcMar>
              <w:top w:w="0" w:type="dxa"/>
              <w:left w:w="100" w:type="dxa"/>
              <w:bottom w:w="0" w:type="dxa"/>
              <w:right w:w="100" w:type="dxa"/>
            </w:tcMar>
          </w:tcPr>
          <w:p w:rsidRPr="0027235C" w:rsidR="00D63CA2" w:rsidP="00EA78D2" w:rsidRDefault="00BF2F3A" w14:paraId="53D15DF0" w14:textId="77777777">
            <w:pPr>
              <w:spacing w:line="360" w:lineRule="auto"/>
              <w:jc w:val="both"/>
              <w:rPr>
                <w:rFonts w:ascii="Arial" w:hAnsi="Arial" w:eastAsia="Arial" w:cs="Arial"/>
                <w:sz w:val="24"/>
                <w:szCs w:val="24"/>
              </w:rPr>
            </w:pPr>
            <w:r w:rsidRPr="0027235C">
              <w:rPr>
                <w:rFonts w:ascii="Arial" w:hAnsi="Arial" w:eastAsia="Arial" w:cs="Arial"/>
                <w:sz w:val="24"/>
                <w:szCs w:val="24"/>
              </w:rPr>
              <w:t>Other non-organisational learning studies (school-based, general education) were not included.</w:t>
            </w:r>
          </w:p>
        </w:tc>
      </w:tr>
      <w:tr w:rsidRPr="0027235C" w:rsidR="00D63CA2" w:rsidTr="00BF2F3A" w14:paraId="6CFE7D7F" w14:textId="77777777">
        <w:trPr>
          <w:trHeight w:val="1980"/>
        </w:trPr>
        <w:tc>
          <w:tcPr>
            <w:tcW w:w="1785" w:type="dxa"/>
            <w:tcMar>
              <w:top w:w="0" w:type="dxa"/>
              <w:left w:w="100" w:type="dxa"/>
              <w:bottom w:w="0" w:type="dxa"/>
              <w:right w:w="100" w:type="dxa"/>
            </w:tcMar>
          </w:tcPr>
          <w:p w:rsidRPr="0027235C" w:rsidR="00D63CA2" w:rsidP="00EA78D2" w:rsidRDefault="00BF2F3A" w14:paraId="01B7CF3E"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Accessibility</w:t>
            </w:r>
          </w:p>
        </w:tc>
        <w:tc>
          <w:tcPr>
            <w:tcW w:w="3810" w:type="dxa"/>
            <w:tcMar>
              <w:top w:w="0" w:type="dxa"/>
              <w:left w:w="100" w:type="dxa"/>
              <w:bottom w:w="0" w:type="dxa"/>
              <w:right w:w="100" w:type="dxa"/>
            </w:tcMar>
          </w:tcPr>
          <w:p w:rsidRPr="0027235C" w:rsidR="00D63CA2" w:rsidP="00EA78D2" w:rsidRDefault="00BF2F3A" w14:paraId="0396217E" w14:textId="77777777">
            <w:pPr>
              <w:spacing w:line="360" w:lineRule="auto"/>
              <w:jc w:val="both"/>
              <w:rPr>
                <w:rFonts w:ascii="Arial" w:hAnsi="Arial" w:eastAsia="Arial" w:cs="Arial"/>
                <w:sz w:val="24"/>
                <w:szCs w:val="24"/>
              </w:rPr>
            </w:pPr>
            <w:r w:rsidRPr="0027235C">
              <w:rPr>
                <w:rFonts w:ascii="Arial" w:hAnsi="Arial" w:eastAsia="Arial" w:cs="Arial"/>
                <w:sz w:val="24"/>
                <w:szCs w:val="24"/>
              </w:rPr>
              <w:t>Academic publications in the form of full-text were stored to be assessed in detail.</w:t>
            </w:r>
          </w:p>
        </w:tc>
        <w:tc>
          <w:tcPr>
            <w:tcW w:w="3375" w:type="dxa"/>
            <w:tcMar>
              <w:top w:w="0" w:type="dxa"/>
              <w:left w:w="100" w:type="dxa"/>
              <w:bottom w:w="0" w:type="dxa"/>
              <w:right w:w="100" w:type="dxa"/>
            </w:tcMar>
          </w:tcPr>
          <w:p w:rsidRPr="0027235C" w:rsidR="00D63CA2" w:rsidP="00EA78D2" w:rsidRDefault="00BF2F3A" w14:paraId="318F9972" w14:textId="77777777">
            <w:pPr>
              <w:spacing w:line="360" w:lineRule="auto"/>
              <w:jc w:val="both"/>
              <w:rPr>
                <w:rFonts w:ascii="Arial" w:hAnsi="Arial" w:eastAsia="Arial" w:cs="Arial"/>
                <w:sz w:val="24"/>
                <w:szCs w:val="24"/>
              </w:rPr>
            </w:pPr>
            <w:r w:rsidRPr="0027235C">
              <w:rPr>
                <w:rFonts w:ascii="Arial" w:hAnsi="Arial" w:eastAsia="Arial" w:cs="Arial"/>
                <w:sz w:val="24"/>
                <w:szCs w:val="24"/>
              </w:rPr>
              <w:t>Sources that lacked enough full-text information were also filtered out because they were abstracts of conferences.</w:t>
            </w:r>
          </w:p>
        </w:tc>
      </w:tr>
      <w:tr w:rsidRPr="0027235C" w:rsidR="00D63CA2" w:rsidTr="00BF2F3A" w14:paraId="046AA572" w14:textId="77777777">
        <w:trPr>
          <w:trHeight w:val="1260"/>
        </w:trPr>
        <w:tc>
          <w:tcPr>
            <w:tcW w:w="1785" w:type="dxa"/>
            <w:tcMar>
              <w:top w:w="0" w:type="dxa"/>
              <w:left w:w="100" w:type="dxa"/>
              <w:bottom w:w="0" w:type="dxa"/>
              <w:right w:w="100" w:type="dxa"/>
            </w:tcMar>
          </w:tcPr>
          <w:p w:rsidRPr="0027235C" w:rsidR="00D63CA2" w:rsidP="00EA78D2" w:rsidRDefault="00BF2F3A" w14:paraId="7A2172F2"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Language</w:t>
            </w:r>
          </w:p>
        </w:tc>
        <w:tc>
          <w:tcPr>
            <w:tcW w:w="3810" w:type="dxa"/>
            <w:tcMar>
              <w:top w:w="0" w:type="dxa"/>
              <w:left w:w="100" w:type="dxa"/>
              <w:bottom w:w="0" w:type="dxa"/>
              <w:right w:w="100" w:type="dxa"/>
            </w:tcMar>
          </w:tcPr>
          <w:p w:rsidRPr="0027235C" w:rsidR="00D63CA2" w:rsidP="00EA78D2" w:rsidRDefault="00BF2F3A" w14:paraId="7043B59B" w14:textId="77777777">
            <w:pPr>
              <w:spacing w:line="360" w:lineRule="auto"/>
              <w:jc w:val="both"/>
              <w:rPr>
                <w:rFonts w:ascii="Arial" w:hAnsi="Arial" w:eastAsia="Arial" w:cs="Arial"/>
                <w:sz w:val="24"/>
                <w:szCs w:val="24"/>
              </w:rPr>
            </w:pPr>
            <w:r w:rsidRPr="0027235C">
              <w:rPr>
                <w:rFonts w:ascii="Arial" w:hAnsi="Arial" w:eastAsia="Arial" w:cs="Arial"/>
                <w:sz w:val="24"/>
                <w:szCs w:val="24"/>
              </w:rPr>
              <w:t>English publications were used to maintain a consistent interpretation.</w:t>
            </w:r>
          </w:p>
        </w:tc>
        <w:tc>
          <w:tcPr>
            <w:tcW w:w="3375" w:type="dxa"/>
            <w:tcMar>
              <w:top w:w="0" w:type="dxa"/>
              <w:left w:w="100" w:type="dxa"/>
              <w:bottom w:w="0" w:type="dxa"/>
              <w:right w:w="100" w:type="dxa"/>
            </w:tcMar>
          </w:tcPr>
          <w:p w:rsidRPr="0027235C" w:rsidR="00D63CA2" w:rsidP="00EA78D2" w:rsidRDefault="00BF2F3A" w14:paraId="709AF9B6" w14:textId="77777777">
            <w:pPr>
              <w:spacing w:line="360" w:lineRule="auto"/>
              <w:jc w:val="both"/>
              <w:rPr>
                <w:rFonts w:ascii="Arial" w:hAnsi="Arial" w:eastAsia="Arial" w:cs="Arial"/>
                <w:sz w:val="24"/>
                <w:szCs w:val="24"/>
              </w:rPr>
            </w:pPr>
            <w:r w:rsidRPr="0027235C">
              <w:rPr>
                <w:rFonts w:ascii="Arial" w:hAnsi="Arial" w:eastAsia="Arial" w:cs="Arial"/>
                <w:sz w:val="24"/>
                <w:szCs w:val="24"/>
              </w:rPr>
              <w:t>Publications that were not in English were excluded.</w:t>
            </w:r>
          </w:p>
        </w:tc>
      </w:tr>
    </w:tbl>
    <w:p w:rsidRPr="0027235C" w:rsidR="00EA78D2" w:rsidP="00F55E4F" w:rsidRDefault="00EA78D2" w14:paraId="234FEF1B" w14:textId="05E840A5">
      <w:pPr>
        <w:pStyle w:val="Subtitle"/>
        <w:rPr>
          <w:rFonts w:eastAsia="Arial"/>
        </w:rPr>
      </w:pPr>
      <w:bookmarkStart w:name="_Toc238681796" w:id="16"/>
      <w:bookmarkStart w:name="_Toc239530676" w:id="17"/>
      <w:r w:rsidRPr="0027235C">
        <w:t xml:space="preserve">Table </w:t>
      </w:r>
      <w:r w:rsidRPr="0027235C">
        <w:fldChar w:fldCharType="begin"/>
      </w:r>
      <w:r w:rsidRPr="0027235C">
        <w:instrText xml:space="preserve"> SEQ Table \* ARABIC </w:instrText>
      </w:r>
      <w:r w:rsidRPr="0027235C">
        <w:fldChar w:fldCharType="separate"/>
      </w:r>
      <w:r w:rsidRPr="0027235C">
        <w:t>2</w:t>
      </w:r>
      <w:r w:rsidRPr="0027235C">
        <w:fldChar w:fldCharType="end"/>
      </w:r>
      <w:r w:rsidRPr="0027235C">
        <w:t>:Inclusion and exclusion criteria</w:t>
      </w:r>
      <w:bookmarkEnd w:id="16"/>
      <w:bookmarkEnd w:id="17"/>
    </w:p>
    <w:p w:rsidR="00E87A2A" w:rsidRDefault="00E87A2A" w14:paraId="3EAF8DDF" w14:textId="77777777">
      <w:pPr>
        <w:rPr>
          <w:rFonts w:ascii="Arial" w:hAnsi="Arial" w:eastAsia="Arial" w:cs="Arial"/>
          <w:b/>
          <w:bCs/>
          <w:sz w:val="24"/>
          <w:szCs w:val="24"/>
        </w:rPr>
      </w:pPr>
      <w:r>
        <w:rPr>
          <w:rFonts w:ascii="Arial" w:hAnsi="Arial" w:eastAsia="Arial" w:cs="Arial"/>
          <w:b/>
          <w:bCs/>
          <w:sz w:val="24"/>
          <w:szCs w:val="24"/>
        </w:rPr>
        <w:br w:type="page"/>
      </w:r>
    </w:p>
    <w:p w:rsidRPr="0027235C" w:rsidR="00D63CA2" w:rsidP="00EA78D2" w:rsidRDefault="00BF2F3A" w14:paraId="0A59B04D" w14:textId="48675187">
      <w:pPr>
        <w:spacing w:line="360" w:lineRule="auto"/>
        <w:jc w:val="both"/>
        <w:rPr>
          <w:rFonts w:ascii="Arial" w:hAnsi="Arial" w:eastAsia="Arial" w:cs="Arial"/>
          <w:b/>
          <w:bCs/>
          <w:sz w:val="24"/>
          <w:szCs w:val="24"/>
        </w:rPr>
      </w:pPr>
      <w:r w:rsidRPr="0027235C">
        <w:rPr>
          <w:rFonts w:ascii="Arial" w:hAnsi="Arial" w:eastAsia="Arial" w:cs="Arial"/>
          <w:b/>
          <w:bCs/>
          <w:sz w:val="24"/>
          <w:szCs w:val="24"/>
        </w:rPr>
        <w:lastRenderedPageBreak/>
        <w:t>Justification of the Criteria</w:t>
      </w:r>
    </w:p>
    <w:p w:rsidRPr="0027235C" w:rsidR="00D63CA2" w:rsidP="00EA78D2" w:rsidRDefault="00BF2F3A" w14:paraId="2DCD420E"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These criteria also made sure that the decisions made in terms of selection were not taken subjectively but were applicable to the research question. </w:t>
      </w:r>
      <w:proofErr w:type="spellStart"/>
      <w:r w:rsidRPr="0027235C">
        <w:rPr>
          <w:rFonts w:ascii="Arial" w:hAnsi="Arial" w:eastAsia="Arial" w:cs="Arial"/>
          <w:sz w:val="24"/>
          <w:szCs w:val="24"/>
        </w:rPr>
        <w:t>Hiebl</w:t>
      </w:r>
      <w:proofErr w:type="spellEnd"/>
      <w:r w:rsidRPr="0027235C">
        <w:rPr>
          <w:rFonts w:ascii="Arial" w:hAnsi="Arial" w:eastAsia="Arial" w:cs="Arial"/>
          <w:sz w:val="24"/>
          <w:szCs w:val="24"/>
        </w:rPr>
        <w:t xml:space="preserve"> (2023) suggested that inclusion and exclusion criteria that were pre-established and reported enhanced transparency in literature reviews in management. Close screening was also needed as the wrong exclusions might exclude useful evidence (</w:t>
      </w:r>
      <w:proofErr w:type="spellStart"/>
      <w:r w:rsidRPr="0027235C">
        <w:rPr>
          <w:rFonts w:ascii="Arial" w:hAnsi="Arial" w:eastAsia="Arial" w:cs="Arial"/>
          <w:sz w:val="24"/>
          <w:szCs w:val="24"/>
        </w:rPr>
        <w:t>Affengruber</w:t>
      </w:r>
      <w:proofErr w:type="spellEnd"/>
      <w:r w:rsidRPr="0027235C">
        <w:rPr>
          <w:rFonts w:ascii="Arial" w:hAnsi="Arial" w:eastAsia="Arial" w:cs="Arial"/>
          <w:sz w:val="24"/>
          <w:szCs w:val="24"/>
        </w:rPr>
        <w:t xml:space="preserve"> et al., 2022)</w:t>
      </w:r>
    </w:p>
    <w:p w:rsidRPr="0027235C" w:rsidR="00D63CA2" w:rsidP="00EA78D2" w:rsidRDefault="00BF2F3A" w14:paraId="366BE2E3" w14:textId="77777777">
      <w:pPr>
        <w:pStyle w:val="Heading2"/>
        <w:rPr>
          <w:rFonts w:eastAsia="Arial"/>
          <w:color w:val="auto"/>
        </w:rPr>
      </w:pPr>
      <w:bookmarkStart w:name="_Toc239530788" w:id="18"/>
      <w:r w:rsidRPr="0027235C">
        <w:rPr>
          <w:rFonts w:eastAsia="Arial"/>
          <w:color w:val="auto"/>
        </w:rPr>
        <w:t>2.6 Screening process (PRISMA-style)</w:t>
      </w:r>
      <w:bookmarkEnd w:id="18"/>
    </w:p>
    <w:p w:rsidRPr="0027235C" w:rsidR="00D63CA2" w:rsidP="00EA78D2" w:rsidRDefault="00BF2F3A" w14:paraId="63EBE319"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Identification</w:t>
      </w:r>
    </w:p>
    <w:p w:rsidRPr="0027235C" w:rsidR="00D63CA2" w:rsidP="00EA78D2" w:rsidRDefault="00BF2F3A" w14:paraId="6B741E9B" w14:textId="77777777">
      <w:pPr>
        <w:spacing w:line="360" w:lineRule="auto"/>
        <w:jc w:val="both"/>
        <w:rPr>
          <w:rFonts w:ascii="Arial" w:hAnsi="Arial" w:eastAsia="Arial" w:cs="Arial"/>
          <w:sz w:val="24"/>
          <w:szCs w:val="24"/>
        </w:rPr>
      </w:pPr>
      <w:r w:rsidRPr="0027235C">
        <w:rPr>
          <w:rFonts w:ascii="Arial" w:hAnsi="Arial" w:eastAsia="Arial" w:cs="Arial"/>
          <w:sz w:val="24"/>
          <w:szCs w:val="24"/>
        </w:rPr>
        <w:t>The initial search of the database has found 438 records in Scopus, Web of science, Business source premier, science direct, and emerald insight and additional Google Scholar searching. According to Page et al. (2021), the identification stage was a process where all the retrieved references were recorded and then screened to ensure transparency and allow the process of search to be replicated.</w:t>
      </w:r>
    </w:p>
    <w:p w:rsidRPr="0027235C" w:rsidR="00D63CA2" w:rsidP="00EA78D2" w:rsidRDefault="00BF2F3A" w14:paraId="60C7090F"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Screening</w:t>
      </w:r>
    </w:p>
    <w:p w:rsidRPr="0027235C" w:rsidR="00D63CA2" w:rsidP="00EA78D2" w:rsidRDefault="00BF2F3A" w14:paraId="4EB35BE4" w14:textId="2058D912">
      <w:pPr>
        <w:spacing w:line="360" w:lineRule="auto"/>
        <w:jc w:val="both"/>
        <w:rPr>
          <w:rFonts w:ascii="Arial" w:hAnsi="Arial" w:eastAsia="Arial" w:cs="Arial"/>
          <w:sz w:val="24"/>
          <w:szCs w:val="24"/>
        </w:rPr>
      </w:pPr>
      <w:r w:rsidRPr="0027235C">
        <w:rPr>
          <w:rFonts w:ascii="Arial" w:hAnsi="Arial" w:eastAsia="Arial" w:cs="Arial"/>
          <w:sz w:val="24"/>
          <w:szCs w:val="24"/>
        </w:rPr>
        <w:t xml:space="preserve">When 76 duplicate records were eliminated, 362 studies were left to be screened in terms of titles and abstracts. At this level, 242 records were filtered out since they did not adequately cover employee training, development, workplace learning or Human Capital Management. Natukunda and </w:t>
      </w:r>
      <w:proofErr w:type="spellStart"/>
      <w:r w:rsidRPr="0027235C">
        <w:rPr>
          <w:rFonts w:ascii="Arial" w:hAnsi="Arial" w:eastAsia="Arial" w:cs="Arial"/>
          <w:sz w:val="24"/>
          <w:szCs w:val="24"/>
        </w:rPr>
        <w:t>Muchene</w:t>
      </w:r>
      <w:proofErr w:type="spellEnd"/>
      <w:r w:rsidRPr="0027235C">
        <w:rPr>
          <w:rFonts w:ascii="Arial" w:hAnsi="Arial" w:eastAsia="Arial" w:cs="Arial"/>
          <w:sz w:val="24"/>
          <w:szCs w:val="24"/>
        </w:rPr>
        <w:t xml:space="preserve"> (2023) emphasized that title and abstract screening should be done in a systematic manner to select potentially relevant research among irrelevant literature</w:t>
      </w:r>
      <w:r w:rsidRPr="0027235C" w:rsidR="00EA78D2">
        <w:rPr>
          <w:rFonts w:ascii="Arial" w:hAnsi="Arial" w:eastAsia="Arial" w:cs="Arial"/>
          <w:sz w:val="24"/>
          <w:szCs w:val="24"/>
        </w:rPr>
        <w:t xml:space="preserve"> </w:t>
      </w:r>
      <w:r w:rsidRPr="0027235C" w:rsidR="00EA78D2">
        <w:rPr>
          <w:rFonts w:ascii="Arial" w:hAnsi="Arial" w:eastAsia="Arial" w:cs="Arial"/>
          <w:b/>
          <w:bCs/>
          <w:i/>
          <w:iCs/>
          <w:sz w:val="24"/>
          <w:szCs w:val="24"/>
        </w:rPr>
        <w:t>(Refer to Appendix 1)</w:t>
      </w:r>
      <w:r w:rsidRPr="0027235C">
        <w:rPr>
          <w:rFonts w:ascii="Arial" w:hAnsi="Arial" w:eastAsia="Arial" w:cs="Arial"/>
          <w:sz w:val="24"/>
          <w:szCs w:val="24"/>
        </w:rPr>
        <w:t>.</w:t>
      </w:r>
    </w:p>
    <w:p w:rsidRPr="0027235C" w:rsidR="00D63CA2" w:rsidP="00EA78D2" w:rsidRDefault="00BF2F3A" w14:paraId="51D912B1"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Eligibility</w:t>
      </w:r>
    </w:p>
    <w:p w:rsidRPr="0027235C" w:rsidR="00D63CA2" w:rsidP="00EA78D2" w:rsidRDefault="00BF2F3A" w14:paraId="0FAEFA7A" w14:textId="6AB6A098">
      <w:pPr>
        <w:spacing w:line="360" w:lineRule="auto"/>
        <w:jc w:val="both"/>
        <w:rPr>
          <w:rFonts w:ascii="Arial" w:hAnsi="Arial" w:eastAsia="Arial" w:cs="Arial"/>
          <w:sz w:val="24"/>
          <w:szCs w:val="24"/>
        </w:rPr>
      </w:pPr>
      <w:r w:rsidRPr="0027235C">
        <w:rPr>
          <w:rFonts w:ascii="Arial" w:hAnsi="Arial" w:eastAsia="Arial" w:cs="Arial"/>
          <w:sz w:val="24"/>
          <w:szCs w:val="24"/>
        </w:rPr>
        <w:t>The rest of the articles 120 articles were assessed at full-text against the pre-established inclusion and exclusion criteria. In line with PRISMA principles, Page et al. (2021) allowed open reporting of exclusion reasons. Seventy studies were filtered out due to lack of relevance in topics, inappropriate settings, methodological drawbacks or lack of comprehensive textual support</w:t>
      </w:r>
      <w:r w:rsidRPr="0027235C" w:rsidR="00EA78D2">
        <w:rPr>
          <w:rFonts w:ascii="Arial" w:hAnsi="Arial" w:eastAsia="Arial" w:cs="Arial"/>
          <w:sz w:val="24"/>
          <w:szCs w:val="24"/>
        </w:rPr>
        <w:t xml:space="preserve"> </w:t>
      </w:r>
      <w:r w:rsidRPr="0027235C" w:rsidR="00EA78D2">
        <w:rPr>
          <w:rFonts w:ascii="Arial" w:hAnsi="Arial" w:eastAsia="Arial" w:cs="Arial"/>
          <w:b/>
          <w:bCs/>
          <w:i/>
          <w:iCs/>
          <w:sz w:val="24"/>
          <w:szCs w:val="24"/>
        </w:rPr>
        <w:t>(Refer to Appendix 1)</w:t>
      </w:r>
      <w:r w:rsidRPr="0027235C">
        <w:rPr>
          <w:rFonts w:ascii="Arial" w:hAnsi="Arial" w:eastAsia="Arial" w:cs="Arial"/>
          <w:sz w:val="24"/>
          <w:szCs w:val="24"/>
        </w:rPr>
        <w:t>.</w:t>
      </w:r>
    </w:p>
    <w:p w:rsidRPr="0027235C" w:rsidR="00D63CA2" w:rsidP="00EA78D2" w:rsidRDefault="00BF2F3A" w14:paraId="46CBDC8F"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Included Studies</w:t>
      </w:r>
    </w:p>
    <w:p w:rsidRPr="0027235C" w:rsidR="00D63CA2" w:rsidP="00EA78D2" w:rsidRDefault="00BF2F3A" w14:paraId="15D9234F"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Lastly, a total of 50 peer-reviewed articles met all the eligibility criteria and were included in the thematic analysis. These are the studies which constituted the ultimate </w:t>
      </w:r>
      <w:r w:rsidRPr="0027235C">
        <w:rPr>
          <w:rFonts w:ascii="Arial" w:hAnsi="Arial" w:eastAsia="Arial" w:cs="Arial"/>
          <w:sz w:val="24"/>
          <w:szCs w:val="24"/>
        </w:rPr>
        <w:lastRenderedPageBreak/>
        <w:t>evidence base to be used in addressing the research objectives and research question (Referred to Appendix 01).</w:t>
      </w:r>
    </w:p>
    <w:p w:rsidRPr="0027235C" w:rsidR="00D63CA2" w:rsidP="00EA78D2" w:rsidRDefault="00BF2F3A" w14:paraId="462C3A82" w14:textId="77777777">
      <w:pPr>
        <w:pStyle w:val="Heading2"/>
        <w:rPr>
          <w:rFonts w:eastAsia="Arial"/>
          <w:color w:val="auto"/>
        </w:rPr>
      </w:pPr>
      <w:bookmarkStart w:name="_Toc239530789" w:id="19"/>
      <w:r w:rsidRPr="0027235C">
        <w:rPr>
          <w:rFonts w:eastAsia="Arial"/>
          <w:color w:val="auto"/>
        </w:rPr>
        <w:t>2.7 Quality assessment of included studies</w:t>
      </w:r>
      <w:bookmarkEnd w:id="19"/>
    </w:p>
    <w:p w:rsidRPr="0027235C" w:rsidR="00D63CA2" w:rsidP="00EA78D2" w:rsidRDefault="00BF2F3A" w14:paraId="29CD5888"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Journal Quality and Relevance</w:t>
      </w:r>
    </w:p>
    <w:p w:rsidRPr="0027235C" w:rsidR="00D63CA2" w:rsidP="00EA78D2" w:rsidRDefault="00BF2F3A" w14:paraId="45CA21F0"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The quality evaluation initially looked at the academic credibility and relevance of each source. Peer-reviewed journals published in recognised ABS/Academic Journal Guide or ABDC rankings, in the management, HRM and organisational-behaviour journals, were given preference. </w:t>
      </w:r>
      <w:proofErr w:type="spellStart"/>
      <w:r w:rsidRPr="0027235C">
        <w:rPr>
          <w:rFonts w:ascii="Arial" w:hAnsi="Arial" w:eastAsia="Arial" w:cs="Arial"/>
          <w:sz w:val="24"/>
          <w:szCs w:val="24"/>
        </w:rPr>
        <w:t>Muchadeyi</w:t>
      </w:r>
      <w:proofErr w:type="spellEnd"/>
      <w:r w:rsidRPr="0027235C">
        <w:rPr>
          <w:rFonts w:ascii="Arial" w:hAnsi="Arial" w:eastAsia="Arial" w:cs="Arial"/>
          <w:sz w:val="24"/>
          <w:szCs w:val="24"/>
        </w:rPr>
        <w:t xml:space="preserve"> et al. (2024) highlighted the importance of appraisal of whether evidence was suitable to the purpose of review. The relevance of each article to the objectives of the research, direct relevance to employee training and development as well as Human Capital Management was thus evaluated.</w:t>
      </w:r>
    </w:p>
    <w:p w:rsidRPr="0027235C" w:rsidR="00D63CA2" w:rsidP="00EA78D2" w:rsidRDefault="00BF2F3A" w14:paraId="7684C76E"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Methodological Robustness</w:t>
      </w:r>
    </w:p>
    <w:p w:rsidRPr="0027235C" w:rsidR="00D63CA2" w:rsidP="00EA78D2" w:rsidRDefault="00BF2F3A" w14:paraId="5EE3BF98" w14:textId="77777777">
      <w:pPr>
        <w:spacing w:line="360" w:lineRule="auto"/>
        <w:jc w:val="both"/>
        <w:rPr>
          <w:rFonts w:ascii="Arial" w:hAnsi="Arial" w:eastAsia="Arial" w:cs="Arial"/>
          <w:sz w:val="24"/>
          <w:szCs w:val="24"/>
        </w:rPr>
      </w:pPr>
      <w:r w:rsidRPr="0027235C">
        <w:rPr>
          <w:rFonts w:ascii="Arial" w:hAnsi="Arial" w:eastAsia="Arial" w:cs="Arial"/>
          <w:sz w:val="24"/>
          <w:szCs w:val="24"/>
        </w:rPr>
        <w:t>A methodological quality was evaluated by the relevance of research design, adequacy of data collection and analysis, the adequacy of the sample, reliability, validity and clear reporting of limitations. Harrison et al. (2021) proved that quality appraisal must be able to fit the various research designs and methodological and reporting quality should be assessed. As a result, the studies were not evaluated based on the size of the sample; the suitability of the sample to the study objectives was also taken into account.</w:t>
      </w:r>
    </w:p>
    <w:p w:rsidRPr="0027235C" w:rsidR="00D63CA2" w:rsidP="00EA78D2" w:rsidRDefault="00BF2F3A" w14:paraId="623A1524"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Scoring and Theoretical Contribution</w:t>
      </w:r>
    </w:p>
    <w:p w:rsidRPr="0027235C" w:rsidR="00D63CA2" w:rsidP="00EA78D2" w:rsidRDefault="00BF2F3A" w14:paraId="6949E7A2" w14:textId="720C0540">
      <w:pPr>
        <w:spacing w:line="360" w:lineRule="auto"/>
        <w:jc w:val="both"/>
        <w:rPr>
          <w:rFonts w:ascii="Arial" w:hAnsi="Arial" w:eastAsia="Arial" w:cs="Arial"/>
          <w:sz w:val="24"/>
          <w:szCs w:val="24"/>
        </w:rPr>
      </w:pPr>
      <w:r w:rsidRPr="0027235C">
        <w:rPr>
          <w:rFonts w:ascii="Arial" w:hAnsi="Arial" w:eastAsia="Arial" w:cs="Arial"/>
          <w:sz w:val="24"/>
          <w:szCs w:val="24"/>
        </w:rPr>
        <w:t>A 10-point appraisal methodology was used based on five criteria; journal quality, methodological soundness, appropriateness of the research question</w:t>
      </w:r>
      <w:r w:rsidR="00C10424">
        <w:rPr>
          <w:rFonts w:ascii="Arial" w:hAnsi="Arial" w:eastAsia="Arial" w:cs="Arial"/>
          <w:sz w:val="24"/>
          <w:szCs w:val="24"/>
        </w:rPr>
        <w:t>,</w:t>
      </w:r>
      <w:r w:rsidRPr="0027235C">
        <w:rPr>
          <w:rFonts w:ascii="Arial" w:hAnsi="Arial" w:eastAsia="Arial" w:cs="Arial"/>
          <w:sz w:val="24"/>
          <w:szCs w:val="24"/>
        </w:rPr>
        <w:t xml:space="preserve"> contribution of the study</w:t>
      </w:r>
      <w:r w:rsidR="00C10424">
        <w:rPr>
          <w:rFonts w:ascii="Arial" w:hAnsi="Arial" w:eastAsia="Arial" w:cs="Arial"/>
          <w:sz w:val="24"/>
          <w:szCs w:val="24"/>
        </w:rPr>
        <w:t xml:space="preserve"> and </w:t>
      </w:r>
      <w:r w:rsidRPr="00C10424" w:rsidR="00C10424">
        <w:rPr>
          <w:rFonts w:ascii="Arial" w:hAnsi="Arial" w:eastAsia="Arial" w:cs="Arial"/>
          <w:sz w:val="24"/>
          <w:szCs w:val="24"/>
        </w:rPr>
        <w:t>Relevance to the research objectives</w:t>
      </w:r>
      <w:r w:rsidRPr="00C10424">
        <w:rPr>
          <w:rFonts w:ascii="Arial" w:hAnsi="Arial" w:eastAsia="Arial" w:cs="Arial"/>
          <w:sz w:val="24"/>
          <w:szCs w:val="24"/>
        </w:rPr>
        <w:t>.</w:t>
      </w:r>
      <w:r w:rsidRPr="0027235C">
        <w:rPr>
          <w:rFonts w:ascii="Arial" w:hAnsi="Arial" w:eastAsia="Arial" w:cs="Arial"/>
          <w:sz w:val="24"/>
          <w:szCs w:val="24"/>
        </w:rPr>
        <w:t xml:space="preserve"> All criteria were rated on 0-2 points, and studies that scored 6 or higher were regarded to be robust enough. As Barker et al. (2024) emphasized, critical appraisal aided in identifying possible bias and enhancing the interpretation of review evidence.</w:t>
      </w:r>
    </w:p>
    <w:p w:rsidRPr="0027235C" w:rsidR="00D63CA2" w:rsidP="00EA78D2" w:rsidRDefault="00BF2F3A" w14:paraId="53481EB9" w14:textId="77777777">
      <w:pPr>
        <w:pStyle w:val="Heading2"/>
        <w:rPr>
          <w:rFonts w:eastAsia="Arial"/>
          <w:color w:val="auto"/>
        </w:rPr>
      </w:pPr>
      <w:bookmarkStart w:name="_Toc239530790" w:id="20"/>
      <w:r w:rsidRPr="0027235C">
        <w:rPr>
          <w:rFonts w:eastAsia="Arial"/>
          <w:color w:val="auto"/>
        </w:rPr>
        <w:t>2.8 Analytical method: how the literature was examined</w:t>
      </w:r>
      <w:bookmarkEnd w:id="20"/>
    </w:p>
    <w:p w:rsidRPr="0027235C" w:rsidR="00D63CA2" w:rsidP="00EA78D2" w:rsidRDefault="00BF2F3A" w14:paraId="10CF7621"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Thematic Analysis</w:t>
      </w:r>
    </w:p>
    <w:p w:rsidRPr="0027235C" w:rsidR="00D63CA2" w:rsidP="00EA78D2" w:rsidRDefault="00BF2F3A" w14:paraId="01F37814"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Thematic analysis was used to analyse the remaining 50 studies since it allowed the identification of recurring patterns, relationships and differences in the literature in a </w:t>
      </w:r>
      <w:r w:rsidRPr="0027235C">
        <w:rPr>
          <w:rFonts w:ascii="Arial" w:hAnsi="Arial" w:eastAsia="Arial" w:cs="Arial"/>
          <w:sz w:val="24"/>
          <w:szCs w:val="24"/>
        </w:rPr>
        <w:lastRenderedPageBreak/>
        <w:t>systematic manner. Byrne (2022) showed that thematic analysis offered a flexible means of grouping complex evidence into significant themes. The analysis was then centred on the training outcomes, learning transfer, employee development and effectiveness in Human Capital Management.</w:t>
      </w:r>
    </w:p>
    <w:p w:rsidRPr="0027235C" w:rsidR="00D63CA2" w:rsidP="00EA78D2" w:rsidRDefault="00BF2F3A" w14:paraId="7452518F"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Theme Identification and Refinement</w:t>
      </w:r>
    </w:p>
    <w:p w:rsidRPr="0027235C" w:rsidR="00D63CA2" w:rsidP="00EA78D2" w:rsidRDefault="00BF2F3A" w14:paraId="150FC0EF" w14:textId="77777777">
      <w:pPr>
        <w:spacing w:line="360" w:lineRule="auto"/>
        <w:jc w:val="both"/>
        <w:rPr>
          <w:rFonts w:ascii="Arial" w:hAnsi="Arial" w:eastAsia="Arial" w:cs="Arial"/>
          <w:sz w:val="24"/>
          <w:szCs w:val="24"/>
        </w:rPr>
      </w:pPr>
      <w:r w:rsidRPr="0027235C">
        <w:rPr>
          <w:rFonts w:ascii="Arial" w:hAnsi="Arial" w:eastAsia="Arial" w:cs="Arial"/>
          <w:sz w:val="24"/>
          <w:szCs w:val="24"/>
        </w:rPr>
        <w:t>Coded findings of each study were relevant and compared with the evidence base. Braun and Clarke (2021) have stated that themes are expected to be meaningful patterns and not a mere summarisation of topics. The first codes were then clustered into larger themes, checked against the goals of the research, filtered to eliminate conceptual redundancy and later on evolved into the final themes that were used in the synthesis.</w:t>
      </w:r>
    </w:p>
    <w:p w:rsidRPr="0027235C" w:rsidR="00D63CA2" w:rsidP="00EA78D2" w:rsidRDefault="00BF2F3A" w14:paraId="18693D1C" w14:textId="77777777">
      <w:pPr>
        <w:spacing w:line="360" w:lineRule="auto"/>
        <w:jc w:val="both"/>
        <w:rPr>
          <w:rFonts w:ascii="Arial" w:hAnsi="Arial" w:eastAsia="Arial" w:cs="Arial"/>
          <w:b/>
          <w:bCs/>
          <w:sz w:val="24"/>
          <w:szCs w:val="24"/>
        </w:rPr>
      </w:pPr>
      <w:r w:rsidRPr="0027235C">
        <w:br w:type="page"/>
      </w:r>
    </w:p>
    <w:p w:rsidRPr="0027235C" w:rsidR="00D63CA2" w:rsidP="573B7504" w:rsidRDefault="00BF2F3A" w14:paraId="185A1C10" w14:textId="77777777">
      <w:pPr>
        <w:pStyle w:val="Heading1"/>
        <w:jc w:val="center"/>
        <w:rPr>
          <w:rFonts w:eastAsia="Arial"/>
          <w:color w:val="auto"/>
        </w:rPr>
      </w:pPr>
      <w:bookmarkStart w:name="_Toc239530791" w:id="21"/>
      <w:r w:rsidRPr="573B7504" w:rsidR="00BF2F3A">
        <w:rPr>
          <w:rFonts w:eastAsia="Arial"/>
          <w:color w:val="auto"/>
        </w:rPr>
        <w:t>Chapter 3: Thematic Review</w:t>
      </w:r>
      <w:bookmarkEnd w:id="21"/>
      <w:r w:rsidRPr="573B7504" w:rsidR="00BF2F3A">
        <w:rPr>
          <w:rFonts w:eastAsia="Arial"/>
          <w:color w:val="auto"/>
        </w:rPr>
        <w:t xml:space="preserve"> </w:t>
      </w:r>
    </w:p>
    <w:p w:rsidRPr="0027235C" w:rsidR="00D63CA2" w:rsidP="00EA78D2" w:rsidRDefault="00BF2F3A" w14:paraId="53F350D4" w14:textId="77777777">
      <w:pPr>
        <w:pStyle w:val="Heading2"/>
        <w:rPr>
          <w:rFonts w:eastAsia="Arial"/>
          <w:color w:val="auto"/>
        </w:rPr>
      </w:pPr>
      <w:bookmarkStart w:name="_Toc239530792" w:id="22"/>
      <w:r w:rsidRPr="0027235C">
        <w:rPr>
          <w:rFonts w:eastAsia="Arial"/>
          <w:color w:val="auto"/>
        </w:rPr>
        <w:t>3.1 Chapter Introduction</w:t>
      </w:r>
      <w:bookmarkEnd w:id="22"/>
    </w:p>
    <w:p w:rsidRPr="0027235C" w:rsidR="00D63CA2" w:rsidP="00EA78D2" w:rsidRDefault="00BF2F3A" w14:paraId="3870A5A4" w14:textId="77777777">
      <w:pPr>
        <w:spacing w:line="360" w:lineRule="auto"/>
        <w:jc w:val="both"/>
        <w:rPr>
          <w:rFonts w:ascii="Arial" w:hAnsi="Arial" w:eastAsia="Arial" w:cs="Arial"/>
          <w:sz w:val="24"/>
          <w:szCs w:val="24"/>
        </w:rPr>
      </w:pPr>
      <w:r w:rsidRPr="0027235C">
        <w:rPr>
          <w:rFonts w:ascii="Arial" w:hAnsi="Arial" w:eastAsia="Arial" w:cs="Arial"/>
          <w:sz w:val="24"/>
          <w:szCs w:val="24"/>
        </w:rPr>
        <w:t>This chapter is a critical review of the importance of employee training and development in effective Human Capital Management by categorising the literature on the subject under four common substantive themes. Instead of writing about individual authors individually or addressing the theoretical underpinnings as discrete topics, the empirical finding and research gaps are instead incorporated into each of the themes as they integrate the relevant theories, evidence, contradictions, methodological limitations and emerging debates. This method enables the links between investment in training, transfer of learning, employee performance and organisational worth to be assessed in a systematic manner.</w:t>
      </w:r>
    </w:p>
    <w:p w:rsidRPr="0027235C" w:rsidR="00D63CA2" w:rsidP="00EA78D2" w:rsidRDefault="00BF2F3A" w14:paraId="548F4923"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The former theme explores training and development as a strategic human capital investment with specific focus on Human Capital Theory and the Resource-Based View. The second theme explores the conversion of acquired learning to workplace competence and performance. It takes into account Training Transfer Theory and personal preparedness, design of programmes and organisational support since Kauffeld, Decius and </w:t>
      </w:r>
      <w:proofErr w:type="spellStart"/>
      <w:r w:rsidRPr="0027235C">
        <w:rPr>
          <w:rFonts w:ascii="Arial" w:hAnsi="Arial" w:eastAsia="Arial" w:cs="Arial"/>
          <w:sz w:val="24"/>
          <w:szCs w:val="24"/>
        </w:rPr>
        <w:t>Graßmann</w:t>
      </w:r>
      <w:proofErr w:type="spellEnd"/>
      <w:r w:rsidRPr="0027235C">
        <w:rPr>
          <w:rFonts w:ascii="Arial" w:hAnsi="Arial" w:eastAsia="Arial" w:cs="Arial"/>
          <w:sz w:val="24"/>
          <w:szCs w:val="24"/>
        </w:rPr>
        <w:t xml:space="preserve"> (2025) define a workplace application as a critical state of training effectiveness. The third theme determines the impact of access to development to engagement, satisfaction, organisational commitment and employee retention in light of the Social Exchange Theory. The fourth theme takes into account the digital transformation, artificial intelligence, reskilling and lifelong learning as the new demands towards creating future-ready human capital.</w:t>
      </w:r>
    </w:p>
    <w:p w:rsidRPr="0027235C" w:rsidR="00D63CA2" w:rsidP="00EA78D2" w:rsidRDefault="00BF2F3A" w14:paraId="17F5A546" w14:textId="77777777">
      <w:pPr>
        <w:spacing w:line="360" w:lineRule="auto"/>
        <w:jc w:val="both"/>
        <w:rPr>
          <w:rFonts w:ascii="Arial" w:hAnsi="Arial" w:eastAsia="Arial" w:cs="Arial"/>
          <w:sz w:val="24"/>
          <w:szCs w:val="24"/>
        </w:rPr>
      </w:pPr>
      <w:r w:rsidRPr="0027235C">
        <w:rPr>
          <w:rFonts w:ascii="Arial" w:hAnsi="Arial" w:eastAsia="Arial" w:cs="Arial"/>
          <w:sz w:val="24"/>
          <w:szCs w:val="24"/>
        </w:rPr>
        <w:t>In each theme, the results of multiple studies are integrated to determine areas of consensus, conflicting and ambiguous results. There are methodological differences that concern research design, measurement, sample characteristics and organisational context that are critically assessed to interpret differences in reported findings. At the end of each of the themes, each of them relates its findings to the research question: How do employee training and development contribute to effective Human Capital Management? An ultimate synthesis of cross-themes reveals the major gaps in theory, methodological and contextual and sets the groundwork on which to proceed with the discussion.</w:t>
      </w:r>
      <w:r w:rsidRPr="0027235C">
        <w:br w:type="page"/>
      </w:r>
    </w:p>
    <w:p w:rsidRPr="0027235C" w:rsidR="00BF2F3A" w:rsidP="00EA78D2" w:rsidRDefault="00BF2F3A" w14:paraId="2C45B21B" w14:textId="68497D1A">
      <w:pPr>
        <w:pStyle w:val="Heading2"/>
        <w:rPr>
          <w:rFonts w:eastAsia="Arial"/>
          <w:color w:val="auto"/>
        </w:rPr>
      </w:pPr>
      <w:bookmarkStart w:name="_Toc239530793" w:id="23"/>
      <w:r w:rsidRPr="0027235C">
        <w:rPr>
          <w:rFonts w:eastAsia="Arial"/>
          <w:color w:val="auto"/>
        </w:rPr>
        <w:lastRenderedPageBreak/>
        <w:t>3.2 Thematic Coding</w:t>
      </w:r>
      <w:bookmarkEnd w:id="23"/>
    </w:p>
    <w:tbl>
      <w:tblPr>
        <w:tblStyle w:val="TableGrid"/>
        <w:tblW w:w="9025" w:type="dxa"/>
        <w:tblLayout w:type="fixed"/>
        <w:tblLook w:val="0600" w:firstRow="0" w:lastRow="0" w:firstColumn="0" w:lastColumn="0" w:noHBand="1" w:noVBand="1"/>
      </w:tblPr>
      <w:tblGrid>
        <w:gridCol w:w="2055"/>
        <w:gridCol w:w="2267"/>
        <w:gridCol w:w="2817"/>
        <w:gridCol w:w="1886"/>
      </w:tblGrid>
      <w:tr w:rsidRPr="0027235C" w:rsidR="00D63CA2" w:rsidTr="00BF2F3A" w14:paraId="55065F01" w14:textId="77777777">
        <w:trPr>
          <w:trHeight w:val="1095"/>
        </w:trPr>
        <w:tc>
          <w:tcPr>
            <w:tcW w:w="2055" w:type="dxa"/>
          </w:tcPr>
          <w:p w:rsidRPr="0027235C" w:rsidR="00D63CA2" w:rsidP="00EA78D2" w:rsidRDefault="00BF2F3A" w14:paraId="08CE8443" w14:textId="77777777">
            <w:pPr>
              <w:spacing w:line="360" w:lineRule="auto"/>
              <w:jc w:val="center"/>
              <w:rPr>
                <w:rFonts w:ascii="Arial" w:hAnsi="Arial" w:eastAsia="Arial" w:cs="Arial"/>
                <w:b/>
                <w:bCs/>
                <w:sz w:val="24"/>
                <w:szCs w:val="24"/>
              </w:rPr>
            </w:pPr>
            <w:r w:rsidRPr="0027235C">
              <w:rPr>
                <w:rFonts w:ascii="Arial" w:hAnsi="Arial" w:eastAsia="Arial" w:cs="Arial"/>
                <w:b/>
                <w:bCs/>
                <w:sz w:val="24"/>
                <w:szCs w:val="24"/>
              </w:rPr>
              <w:t>Final theme</w:t>
            </w:r>
          </w:p>
        </w:tc>
        <w:tc>
          <w:tcPr>
            <w:tcW w:w="2266" w:type="dxa"/>
          </w:tcPr>
          <w:p w:rsidRPr="0027235C" w:rsidR="00D63CA2" w:rsidP="00EA78D2" w:rsidRDefault="00BF2F3A" w14:paraId="75B4B8A2" w14:textId="77777777">
            <w:pPr>
              <w:spacing w:line="360" w:lineRule="auto"/>
              <w:jc w:val="center"/>
              <w:rPr>
                <w:rFonts w:ascii="Arial" w:hAnsi="Arial" w:eastAsia="Arial" w:cs="Arial"/>
                <w:b/>
                <w:bCs/>
                <w:sz w:val="24"/>
                <w:szCs w:val="24"/>
              </w:rPr>
            </w:pPr>
            <w:r w:rsidRPr="0027235C">
              <w:rPr>
                <w:rFonts w:ascii="Arial" w:hAnsi="Arial" w:eastAsia="Arial" w:cs="Arial"/>
                <w:b/>
                <w:bCs/>
                <w:sz w:val="24"/>
                <w:szCs w:val="24"/>
              </w:rPr>
              <w:t>Central organising concept</w:t>
            </w:r>
          </w:p>
        </w:tc>
        <w:tc>
          <w:tcPr>
            <w:tcW w:w="2816" w:type="dxa"/>
          </w:tcPr>
          <w:p w:rsidRPr="0027235C" w:rsidR="00D63CA2" w:rsidP="00EA78D2" w:rsidRDefault="00BF2F3A" w14:paraId="311C04D5" w14:textId="77777777">
            <w:pPr>
              <w:spacing w:line="360" w:lineRule="auto"/>
              <w:jc w:val="center"/>
              <w:rPr>
                <w:rFonts w:ascii="Arial" w:hAnsi="Arial" w:eastAsia="Arial" w:cs="Arial"/>
                <w:b/>
                <w:bCs/>
                <w:sz w:val="24"/>
                <w:szCs w:val="24"/>
              </w:rPr>
            </w:pPr>
            <w:r w:rsidRPr="0027235C">
              <w:rPr>
                <w:rFonts w:ascii="Arial" w:hAnsi="Arial" w:eastAsia="Arial" w:cs="Arial"/>
                <w:b/>
                <w:bCs/>
                <w:sz w:val="24"/>
                <w:szCs w:val="24"/>
              </w:rPr>
              <w:t>Initial codes for the 50 articles</w:t>
            </w:r>
          </w:p>
        </w:tc>
        <w:tc>
          <w:tcPr>
            <w:tcW w:w="1886" w:type="dxa"/>
          </w:tcPr>
          <w:p w:rsidRPr="0027235C" w:rsidR="00D63CA2" w:rsidP="00EA78D2" w:rsidRDefault="00BF2F3A" w14:paraId="1AF21B19" w14:textId="77777777">
            <w:pPr>
              <w:spacing w:line="360" w:lineRule="auto"/>
              <w:jc w:val="center"/>
              <w:rPr>
                <w:rFonts w:ascii="Arial" w:hAnsi="Arial" w:eastAsia="Arial" w:cs="Arial"/>
                <w:b/>
                <w:bCs/>
                <w:sz w:val="24"/>
                <w:szCs w:val="24"/>
              </w:rPr>
            </w:pPr>
            <w:r w:rsidRPr="0027235C">
              <w:rPr>
                <w:rFonts w:ascii="Arial" w:hAnsi="Arial" w:eastAsia="Arial" w:cs="Arial"/>
                <w:b/>
                <w:bCs/>
                <w:sz w:val="24"/>
                <w:szCs w:val="24"/>
              </w:rPr>
              <w:t>Relevant theoretical foundation</w:t>
            </w:r>
          </w:p>
        </w:tc>
      </w:tr>
      <w:tr w:rsidRPr="0027235C" w:rsidR="00D63CA2" w:rsidTr="00BF2F3A" w14:paraId="0C073468" w14:textId="77777777">
        <w:trPr>
          <w:trHeight w:val="3300"/>
        </w:trPr>
        <w:tc>
          <w:tcPr>
            <w:tcW w:w="2055" w:type="dxa"/>
          </w:tcPr>
          <w:p w:rsidRPr="0027235C" w:rsidR="00D63CA2" w:rsidP="00EA78D2" w:rsidRDefault="00BF2F3A" w14:paraId="707789CB"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Theme 1: Strategic Human Capital Formation through Training and Development</w:t>
            </w:r>
          </w:p>
        </w:tc>
        <w:tc>
          <w:tcPr>
            <w:tcW w:w="2266" w:type="dxa"/>
          </w:tcPr>
          <w:p w:rsidRPr="0027235C" w:rsidR="00D63CA2" w:rsidP="00EA78D2" w:rsidRDefault="00BF2F3A" w14:paraId="34EE282F" w14:textId="77777777">
            <w:pPr>
              <w:spacing w:line="360" w:lineRule="auto"/>
              <w:jc w:val="both"/>
              <w:rPr>
                <w:rFonts w:ascii="Arial" w:hAnsi="Arial" w:eastAsia="Arial" w:cs="Arial"/>
                <w:sz w:val="24"/>
                <w:szCs w:val="24"/>
              </w:rPr>
            </w:pPr>
            <w:r w:rsidRPr="0027235C">
              <w:rPr>
                <w:rFonts w:ascii="Arial" w:hAnsi="Arial" w:eastAsia="Arial" w:cs="Arial"/>
                <w:sz w:val="24"/>
                <w:szCs w:val="24"/>
              </w:rPr>
              <w:t>Training and development build employees’ knowledge, skills and capabilities, transforming employees into strategically valuable human capital.</w:t>
            </w:r>
          </w:p>
        </w:tc>
        <w:tc>
          <w:tcPr>
            <w:tcW w:w="2816" w:type="dxa"/>
          </w:tcPr>
          <w:p w:rsidRPr="0027235C" w:rsidR="00D63CA2" w:rsidP="00EA78D2" w:rsidRDefault="00BF2F3A" w14:paraId="2F885B3B" w14:textId="77777777">
            <w:pPr>
              <w:spacing w:line="360" w:lineRule="auto"/>
              <w:jc w:val="both"/>
              <w:rPr>
                <w:rFonts w:ascii="Arial" w:hAnsi="Arial" w:eastAsia="Arial" w:cs="Arial"/>
                <w:sz w:val="24"/>
                <w:szCs w:val="24"/>
              </w:rPr>
            </w:pPr>
            <w:r w:rsidRPr="0027235C">
              <w:rPr>
                <w:rFonts w:ascii="Arial" w:hAnsi="Arial" w:eastAsia="Arial" w:cs="Arial"/>
                <w:sz w:val="24"/>
                <w:szCs w:val="24"/>
              </w:rPr>
              <w:t>Training investment, knowledge development, technical skills, soft skills, employee competency, leadership development, career development, adaptability, human-capital value, strategic alignment, competitive advantage</w:t>
            </w:r>
          </w:p>
        </w:tc>
        <w:tc>
          <w:tcPr>
            <w:tcW w:w="1886" w:type="dxa"/>
          </w:tcPr>
          <w:p w:rsidRPr="0027235C" w:rsidR="00D63CA2" w:rsidP="00EA78D2" w:rsidRDefault="00BF2F3A" w14:paraId="1D20BD34" w14:textId="77777777">
            <w:pPr>
              <w:spacing w:line="360" w:lineRule="auto"/>
              <w:jc w:val="both"/>
              <w:rPr>
                <w:rFonts w:ascii="Arial" w:hAnsi="Arial" w:eastAsia="Arial" w:cs="Arial"/>
                <w:sz w:val="24"/>
                <w:szCs w:val="24"/>
              </w:rPr>
            </w:pPr>
            <w:r w:rsidRPr="0027235C">
              <w:rPr>
                <w:rFonts w:ascii="Arial" w:hAnsi="Arial" w:eastAsia="Arial" w:cs="Arial"/>
                <w:sz w:val="24"/>
                <w:szCs w:val="24"/>
              </w:rPr>
              <w:t>Human Capital Theory and Resource-Based View</w:t>
            </w:r>
          </w:p>
        </w:tc>
      </w:tr>
      <w:tr w:rsidRPr="0027235C" w:rsidR="00D63CA2" w:rsidTr="00BF2F3A" w14:paraId="1649E8C0" w14:textId="77777777">
        <w:trPr>
          <w:trHeight w:val="4395"/>
        </w:trPr>
        <w:tc>
          <w:tcPr>
            <w:tcW w:w="2055" w:type="dxa"/>
          </w:tcPr>
          <w:p w:rsidRPr="0027235C" w:rsidR="00D63CA2" w:rsidP="00EA78D2" w:rsidRDefault="00BF2F3A" w14:paraId="0B723C52"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Theme 2: Learning Transfer and Human Capital Performance</w:t>
            </w:r>
          </w:p>
        </w:tc>
        <w:tc>
          <w:tcPr>
            <w:tcW w:w="2266" w:type="dxa"/>
          </w:tcPr>
          <w:p w:rsidRPr="0027235C" w:rsidR="00D63CA2" w:rsidP="00EA78D2" w:rsidRDefault="00BF2F3A" w14:paraId="3880D4A8" w14:textId="77777777">
            <w:pPr>
              <w:spacing w:line="360" w:lineRule="auto"/>
              <w:jc w:val="both"/>
              <w:rPr>
                <w:rFonts w:ascii="Arial" w:hAnsi="Arial" w:eastAsia="Arial" w:cs="Arial"/>
                <w:sz w:val="24"/>
                <w:szCs w:val="24"/>
              </w:rPr>
            </w:pPr>
            <w:r w:rsidRPr="0027235C">
              <w:rPr>
                <w:rFonts w:ascii="Arial" w:hAnsi="Arial" w:eastAsia="Arial" w:cs="Arial"/>
                <w:sz w:val="24"/>
                <w:szCs w:val="24"/>
              </w:rPr>
              <w:t>Training contributes to HCM when employees retain and apply acquired learning, producing improvements in behaviour, competence and performance.</w:t>
            </w:r>
          </w:p>
        </w:tc>
        <w:tc>
          <w:tcPr>
            <w:tcW w:w="2816" w:type="dxa"/>
          </w:tcPr>
          <w:p w:rsidRPr="0027235C" w:rsidR="00D63CA2" w:rsidP="00EA78D2" w:rsidRDefault="00BF2F3A" w14:paraId="416AF3B8" w14:textId="77777777">
            <w:pPr>
              <w:spacing w:line="360" w:lineRule="auto"/>
              <w:jc w:val="both"/>
              <w:rPr>
                <w:rFonts w:ascii="Arial" w:hAnsi="Arial" w:eastAsia="Arial" w:cs="Arial"/>
                <w:sz w:val="24"/>
                <w:szCs w:val="24"/>
              </w:rPr>
            </w:pPr>
            <w:r w:rsidRPr="0027235C">
              <w:rPr>
                <w:rFonts w:ascii="Arial" w:hAnsi="Arial" w:eastAsia="Arial" w:cs="Arial"/>
                <w:sz w:val="24"/>
                <w:szCs w:val="24"/>
              </w:rPr>
              <w:t>Learning acquisition, knowledge retention, training transfer, skills application, behavioural change, job competence, employee performance, productivity, innovation, service quality, organisational performance, training evaluation, return on investment</w:t>
            </w:r>
          </w:p>
        </w:tc>
        <w:tc>
          <w:tcPr>
            <w:tcW w:w="1886" w:type="dxa"/>
          </w:tcPr>
          <w:p w:rsidRPr="0027235C" w:rsidR="00D63CA2" w:rsidP="00EA78D2" w:rsidRDefault="00BF2F3A" w14:paraId="3F14A6A5" w14:textId="77777777">
            <w:pPr>
              <w:spacing w:line="360" w:lineRule="auto"/>
              <w:jc w:val="both"/>
              <w:rPr>
                <w:rFonts w:ascii="Arial" w:hAnsi="Arial" w:eastAsia="Arial" w:cs="Arial"/>
                <w:sz w:val="24"/>
                <w:szCs w:val="24"/>
              </w:rPr>
            </w:pPr>
            <w:r w:rsidRPr="0027235C">
              <w:rPr>
                <w:rFonts w:ascii="Arial" w:hAnsi="Arial" w:eastAsia="Arial" w:cs="Arial"/>
                <w:sz w:val="24"/>
                <w:szCs w:val="24"/>
              </w:rPr>
              <w:t>Training Transfer Theory and Human Capital Theory</w:t>
            </w:r>
          </w:p>
        </w:tc>
      </w:tr>
      <w:tr w:rsidRPr="0027235C" w:rsidR="00D63CA2" w:rsidTr="00BF2F3A" w14:paraId="4CA72976" w14:textId="77777777">
        <w:trPr>
          <w:trHeight w:val="3615"/>
        </w:trPr>
        <w:tc>
          <w:tcPr>
            <w:tcW w:w="2055" w:type="dxa"/>
          </w:tcPr>
          <w:p w:rsidRPr="0027235C" w:rsidR="00D63CA2" w:rsidP="00EA78D2" w:rsidRDefault="00BF2F3A" w14:paraId="2C72DB4D"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lastRenderedPageBreak/>
              <w:t>Theme 3: Developmental Investment, Employee Engagement and Human Capital Retention</w:t>
            </w:r>
          </w:p>
        </w:tc>
        <w:tc>
          <w:tcPr>
            <w:tcW w:w="2266" w:type="dxa"/>
          </w:tcPr>
          <w:p w:rsidRPr="0027235C" w:rsidR="00D63CA2" w:rsidP="00EA78D2" w:rsidRDefault="00BF2F3A" w14:paraId="4D53F2BC" w14:textId="77777777">
            <w:pPr>
              <w:spacing w:line="360" w:lineRule="auto"/>
              <w:jc w:val="both"/>
              <w:rPr>
                <w:rFonts w:ascii="Arial" w:hAnsi="Arial" w:eastAsia="Arial" w:cs="Arial"/>
                <w:sz w:val="24"/>
                <w:szCs w:val="24"/>
              </w:rPr>
            </w:pPr>
            <w:r w:rsidRPr="0027235C">
              <w:rPr>
                <w:rFonts w:ascii="Arial" w:hAnsi="Arial" w:eastAsia="Arial" w:cs="Arial"/>
                <w:sz w:val="24"/>
                <w:szCs w:val="24"/>
              </w:rPr>
              <w:t>Development opportunities communicate organisational support, encouraging employee motivation, satisfaction, commitment and retention.</w:t>
            </w:r>
          </w:p>
        </w:tc>
        <w:tc>
          <w:tcPr>
            <w:tcW w:w="2816" w:type="dxa"/>
          </w:tcPr>
          <w:p w:rsidRPr="0027235C" w:rsidR="00D63CA2" w:rsidP="00EA78D2" w:rsidRDefault="00BF2F3A" w14:paraId="2894075E" w14:textId="77777777">
            <w:pPr>
              <w:spacing w:line="360" w:lineRule="auto"/>
              <w:jc w:val="both"/>
              <w:rPr>
                <w:rFonts w:ascii="Arial" w:hAnsi="Arial" w:eastAsia="Arial" w:cs="Arial"/>
                <w:sz w:val="24"/>
                <w:szCs w:val="24"/>
              </w:rPr>
            </w:pPr>
            <w:r w:rsidRPr="0027235C">
              <w:rPr>
                <w:rFonts w:ascii="Arial" w:hAnsi="Arial" w:eastAsia="Arial" w:cs="Arial"/>
                <w:sz w:val="24"/>
                <w:szCs w:val="24"/>
              </w:rPr>
              <w:t>Perceived organisational support, reciprocity, motivation, employee engagement, job satisfaction, organisational commitment, loyalty, career progression, intention to stay, turnover intention, employee retention, employability</w:t>
            </w:r>
          </w:p>
        </w:tc>
        <w:tc>
          <w:tcPr>
            <w:tcW w:w="1886" w:type="dxa"/>
          </w:tcPr>
          <w:p w:rsidRPr="0027235C" w:rsidR="00D63CA2" w:rsidP="00EA78D2" w:rsidRDefault="00BF2F3A" w14:paraId="51EB584B" w14:textId="77777777">
            <w:pPr>
              <w:spacing w:line="360" w:lineRule="auto"/>
              <w:jc w:val="both"/>
              <w:rPr>
                <w:rFonts w:ascii="Arial" w:hAnsi="Arial" w:eastAsia="Arial" w:cs="Arial"/>
                <w:sz w:val="24"/>
                <w:szCs w:val="24"/>
              </w:rPr>
            </w:pPr>
            <w:r w:rsidRPr="0027235C">
              <w:rPr>
                <w:rFonts w:ascii="Arial" w:hAnsi="Arial" w:eastAsia="Arial" w:cs="Arial"/>
                <w:sz w:val="24"/>
                <w:szCs w:val="24"/>
              </w:rPr>
              <w:t>Social Exchange Theory</w:t>
            </w:r>
          </w:p>
        </w:tc>
      </w:tr>
      <w:tr w:rsidRPr="0027235C" w:rsidR="00D63CA2" w:rsidTr="00BF2F3A" w14:paraId="66A91370" w14:textId="77777777">
        <w:trPr>
          <w:trHeight w:val="4395"/>
        </w:trPr>
        <w:tc>
          <w:tcPr>
            <w:tcW w:w="2055" w:type="dxa"/>
          </w:tcPr>
          <w:p w:rsidRPr="0027235C" w:rsidR="00D63CA2" w:rsidP="00EA78D2" w:rsidRDefault="00BF2F3A" w14:paraId="43EE6324"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Theme 4: Individual and Organisational Conditions of Training Effectiveness</w:t>
            </w:r>
          </w:p>
        </w:tc>
        <w:tc>
          <w:tcPr>
            <w:tcW w:w="2266" w:type="dxa"/>
          </w:tcPr>
          <w:p w:rsidRPr="0027235C" w:rsidR="00D63CA2" w:rsidP="00EA78D2" w:rsidRDefault="00BF2F3A" w14:paraId="2B5E3CAA" w14:textId="77777777">
            <w:pPr>
              <w:spacing w:line="360" w:lineRule="auto"/>
              <w:jc w:val="both"/>
              <w:rPr>
                <w:rFonts w:ascii="Arial" w:hAnsi="Arial" w:eastAsia="Arial" w:cs="Arial"/>
                <w:sz w:val="24"/>
                <w:szCs w:val="24"/>
              </w:rPr>
            </w:pPr>
            <w:r w:rsidRPr="0027235C">
              <w:rPr>
                <w:rFonts w:ascii="Arial" w:hAnsi="Arial" w:eastAsia="Arial" w:cs="Arial"/>
                <w:sz w:val="24"/>
                <w:szCs w:val="24"/>
              </w:rPr>
              <w:t>The contribution of training to HCM depends on the characteristics of learners, programme design and the organisational environment.</w:t>
            </w:r>
          </w:p>
        </w:tc>
        <w:tc>
          <w:tcPr>
            <w:tcW w:w="2816" w:type="dxa"/>
          </w:tcPr>
          <w:p w:rsidRPr="0027235C" w:rsidR="00D63CA2" w:rsidP="00EA78D2" w:rsidRDefault="00BF2F3A" w14:paraId="5949FE67" w14:textId="77777777">
            <w:pPr>
              <w:spacing w:line="360" w:lineRule="auto"/>
              <w:jc w:val="both"/>
              <w:rPr>
                <w:rFonts w:ascii="Arial" w:hAnsi="Arial" w:eastAsia="Arial" w:cs="Arial"/>
                <w:sz w:val="24"/>
                <w:szCs w:val="24"/>
              </w:rPr>
            </w:pPr>
            <w:r w:rsidRPr="0027235C">
              <w:rPr>
                <w:rFonts w:ascii="Arial" w:hAnsi="Arial" w:eastAsia="Arial" w:cs="Arial"/>
                <w:sz w:val="24"/>
                <w:szCs w:val="24"/>
              </w:rPr>
              <w:t>Learning motivation, self-efficacy, readiness to learn, previous experience, training relevance, instructional design, training method, feedback, supervisor support, peer support, learning culture, organisational resources, transfer climate, opportunity to apply learning, equality of access</w:t>
            </w:r>
          </w:p>
        </w:tc>
        <w:tc>
          <w:tcPr>
            <w:tcW w:w="1886" w:type="dxa"/>
          </w:tcPr>
          <w:p w:rsidRPr="0027235C" w:rsidR="00D63CA2" w:rsidP="00EA78D2" w:rsidRDefault="00BF2F3A" w14:paraId="06B19B8D" w14:textId="77777777">
            <w:pPr>
              <w:spacing w:line="360" w:lineRule="auto"/>
              <w:jc w:val="both"/>
              <w:rPr>
                <w:rFonts w:ascii="Arial" w:hAnsi="Arial" w:eastAsia="Arial" w:cs="Arial"/>
                <w:sz w:val="24"/>
                <w:szCs w:val="24"/>
              </w:rPr>
            </w:pPr>
            <w:r w:rsidRPr="0027235C">
              <w:rPr>
                <w:rFonts w:ascii="Arial" w:hAnsi="Arial" w:eastAsia="Arial" w:cs="Arial"/>
                <w:sz w:val="24"/>
                <w:szCs w:val="24"/>
              </w:rPr>
              <w:t>Training Transfer Theory, Organisational Support Theory and Social Learning Theory</w:t>
            </w:r>
          </w:p>
        </w:tc>
      </w:tr>
    </w:tbl>
    <w:p w:rsidRPr="0027235C" w:rsidR="00D63CA2" w:rsidP="00F55E4F" w:rsidRDefault="00EA78D2" w14:paraId="7F5B97C2" w14:textId="1B6A7ED2">
      <w:pPr>
        <w:pStyle w:val="Subtitle"/>
        <w:rPr>
          <w:rFonts w:eastAsia="Arial"/>
        </w:rPr>
      </w:pPr>
      <w:bookmarkStart w:name="_Toc238681797" w:id="24"/>
      <w:bookmarkStart w:name="_Toc239530677" w:id="25"/>
      <w:r w:rsidRPr="0027235C">
        <w:t xml:space="preserve">Table </w:t>
      </w:r>
      <w:r w:rsidRPr="0027235C">
        <w:fldChar w:fldCharType="begin"/>
      </w:r>
      <w:r w:rsidRPr="0027235C">
        <w:instrText xml:space="preserve"> SEQ Table \* ARABIC </w:instrText>
      </w:r>
      <w:r w:rsidRPr="0027235C">
        <w:fldChar w:fldCharType="separate"/>
      </w:r>
      <w:r w:rsidRPr="0027235C">
        <w:t>3</w:t>
      </w:r>
      <w:r w:rsidRPr="0027235C">
        <w:fldChar w:fldCharType="end"/>
      </w:r>
      <w:r w:rsidRPr="0027235C">
        <w:t>:Thematic Coding Table</w:t>
      </w:r>
      <w:bookmarkEnd w:id="24"/>
      <w:bookmarkEnd w:id="25"/>
    </w:p>
    <w:p w:rsidRPr="0027235C" w:rsidR="00D63CA2" w:rsidP="00EA78D2" w:rsidRDefault="00BF2F3A" w14:paraId="77D9F924" w14:textId="77777777">
      <w:pPr>
        <w:pStyle w:val="Heading2"/>
        <w:rPr>
          <w:rFonts w:eastAsia="Arial"/>
          <w:color w:val="auto"/>
        </w:rPr>
      </w:pPr>
      <w:bookmarkStart w:name="_Toc239530794" w:id="26"/>
      <w:r w:rsidRPr="0027235C">
        <w:rPr>
          <w:rFonts w:eastAsia="Arial"/>
          <w:color w:val="auto"/>
        </w:rPr>
        <w:t>3.3 Thematic Analysis</w:t>
      </w:r>
      <w:bookmarkEnd w:id="26"/>
      <w:r w:rsidRPr="0027235C">
        <w:rPr>
          <w:rFonts w:eastAsia="Arial"/>
          <w:color w:val="auto"/>
        </w:rPr>
        <w:t xml:space="preserve">  </w:t>
      </w:r>
    </w:p>
    <w:p w:rsidRPr="0027235C" w:rsidR="00D63CA2" w:rsidP="00EA78D2" w:rsidRDefault="00BF2F3A" w14:paraId="0037CA1A"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Theme 1: Training and development of Strategic Human capital.</w:t>
      </w:r>
    </w:p>
    <w:p w:rsidRPr="0027235C" w:rsidR="00D63CA2" w:rsidP="00EA78D2" w:rsidRDefault="00BF2F3A" w14:paraId="7750E9D6"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Training and development develop strategic human capital by developing capabilities that employees can use to organisational goals. Human Capital Management (HCM) is not just limited to administration of the workforce, but development, deployment and retention of knowledge, skills and experience of employees. Training deals with </w:t>
      </w:r>
      <w:r w:rsidRPr="0027235C">
        <w:rPr>
          <w:rFonts w:ascii="Arial" w:hAnsi="Arial" w:eastAsia="Arial" w:cs="Arial"/>
          <w:sz w:val="24"/>
          <w:szCs w:val="24"/>
        </w:rPr>
        <w:lastRenderedPageBreak/>
        <w:t>current job capability, and development with expansion in the long term, flexibility and responsibilities. Sartori et al. (2018) relate development with competence, innovation and organisational change, and Boon et al. (2018) differentiate individual knowledge and collective human capital. When they are put together and utilised within an organisation, employee attributes yield strategic value. Attendance at training is thus not necessarily the formation of human capital since learning needs to be applied to practice in the workplace.</w:t>
      </w:r>
    </w:p>
    <w:p w:rsidRPr="0027235C" w:rsidR="00D63CA2" w:rsidP="00EA78D2" w:rsidRDefault="00BF2F3A" w14:paraId="76279EE4" w14:textId="77777777">
      <w:pPr>
        <w:spacing w:line="360" w:lineRule="auto"/>
        <w:jc w:val="center"/>
        <w:rPr>
          <w:rFonts w:ascii="Arial" w:hAnsi="Arial" w:eastAsia="Arial" w:cs="Arial"/>
          <w:sz w:val="24"/>
          <w:szCs w:val="24"/>
        </w:rPr>
      </w:pPr>
      <w:r w:rsidRPr="0027235C">
        <w:rPr>
          <w:rFonts w:ascii="Arial" w:hAnsi="Arial" w:eastAsia="Arial" w:cs="Arial"/>
          <w:noProof/>
          <w:sz w:val="24"/>
          <w:szCs w:val="24"/>
          <w:lang w:val="en-US"/>
        </w:rPr>
        <w:drawing>
          <wp:inline distT="114300" distB="114300" distL="114300" distR="114300" wp14:anchorId="7B9D4E6E" wp14:editId="5CD6D96D">
            <wp:extent cx="5043488" cy="26139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043488" cy="2613900"/>
                    </a:xfrm>
                    <a:prstGeom prst="rect">
                      <a:avLst/>
                    </a:prstGeom>
                    <a:ln w="25400">
                      <a:solidFill>
                        <a:srgbClr val="000000"/>
                      </a:solidFill>
                      <a:prstDash val="solid"/>
                    </a:ln>
                  </pic:spPr>
                </pic:pic>
              </a:graphicData>
            </a:graphic>
          </wp:inline>
        </w:drawing>
      </w:r>
    </w:p>
    <w:p w:rsidRPr="005C1F7A" w:rsidR="00D63CA2" w:rsidP="005C1F7A" w:rsidRDefault="00EA78D2" w14:paraId="69078B7C" w14:textId="39DEED32">
      <w:pPr>
        <w:pStyle w:val="Subtitle"/>
      </w:pPr>
      <w:bookmarkStart w:name="_Toc239514358" w:id="27"/>
      <w:bookmarkStart w:name="_Toc239514372" w:id="28"/>
      <w:bookmarkStart w:name="_Toc239530678" w:id="29"/>
      <w:r w:rsidRPr="005C1F7A">
        <w:t xml:space="preserve">Figure </w:t>
      </w:r>
      <w:r w:rsidRPr="005C1F7A">
        <w:fldChar w:fldCharType="begin"/>
      </w:r>
      <w:r w:rsidRPr="005C1F7A">
        <w:instrText xml:space="preserve"> SEQ Figure \* ARABIC </w:instrText>
      </w:r>
      <w:r w:rsidRPr="005C1F7A">
        <w:fldChar w:fldCharType="separate"/>
      </w:r>
      <w:r w:rsidRPr="005C1F7A">
        <w:t>1</w:t>
      </w:r>
      <w:r w:rsidRPr="005C1F7A">
        <w:fldChar w:fldCharType="end"/>
      </w:r>
      <w:r w:rsidRPr="005C1F7A">
        <w:t>:Filling Gaps and Developing Approaches to Training</w:t>
      </w:r>
      <w:bookmarkEnd w:id="27"/>
      <w:bookmarkEnd w:id="28"/>
      <w:bookmarkEnd w:id="29"/>
    </w:p>
    <w:p w:rsidRPr="0027235C" w:rsidR="00D63CA2" w:rsidP="00EA78D2" w:rsidRDefault="00BF2F3A" w14:paraId="617EFB39" w14:textId="77777777">
      <w:pPr>
        <w:spacing w:line="360" w:lineRule="auto"/>
        <w:jc w:val="center"/>
        <w:rPr>
          <w:rFonts w:ascii="Arial" w:hAnsi="Arial" w:eastAsia="Arial" w:cs="Arial"/>
          <w:sz w:val="24"/>
          <w:szCs w:val="24"/>
        </w:rPr>
      </w:pPr>
      <w:r w:rsidRPr="0027235C">
        <w:rPr>
          <w:rFonts w:ascii="Arial" w:hAnsi="Arial" w:eastAsia="Arial" w:cs="Arial"/>
          <w:b/>
          <w:bCs/>
          <w:sz w:val="24"/>
          <w:szCs w:val="24"/>
        </w:rPr>
        <w:t>Source:</w:t>
      </w:r>
      <w:r w:rsidRPr="0027235C">
        <w:rPr>
          <w:rFonts w:ascii="Arial" w:hAnsi="Arial" w:eastAsia="Arial" w:cs="Arial"/>
          <w:sz w:val="24"/>
          <w:szCs w:val="24"/>
        </w:rPr>
        <w:t xml:space="preserve"> (Sartori et al.,2018) </w:t>
      </w:r>
    </w:p>
    <w:p w:rsidRPr="0027235C" w:rsidR="00D63CA2" w:rsidP="00EA78D2" w:rsidRDefault="00BF2F3A" w14:paraId="5F78981D" w14:textId="27F3EFCE">
      <w:pPr>
        <w:spacing w:line="360" w:lineRule="auto"/>
        <w:jc w:val="both"/>
        <w:rPr>
          <w:rFonts w:ascii="Arial" w:hAnsi="Arial" w:eastAsia="Arial" w:cs="Arial"/>
          <w:sz w:val="24"/>
          <w:szCs w:val="24"/>
        </w:rPr>
      </w:pPr>
      <w:r w:rsidRPr="0027235C">
        <w:rPr>
          <w:rFonts w:ascii="Arial" w:hAnsi="Arial" w:eastAsia="Arial" w:cs="Arial"/>
          <w:sz w:val="24"/>
          <w:szCs w:val="24"/>
        </w:rPr>
        <w:t xml:space="preserve">Investment in employee capability is explained in Human Capital Theory and Resource-Based View. Human Capital Theory considers learning expenditure as an investment that is likely to enhance productivity and returns in the future. Resource-Based View further contends that benefit lies in combinations of resources of valuable capability which are scarce and difficult to replicate. Boon et al. (2018) describe the way HR practices relate individual features to the value in the group. Nevertheless, </w:t>
      </w:r>
      <w:proofErr w:type="spellStart"/>
      <w:r w:rsidRPr="0027235C">
        <w:rPr>
          <w:rFonts w:ascii="Arial" w:hAnsi="Arial" w:eastAsia="Arial" w:cs="Arial"/>
          <w:sz w:val="24"/>
          <w:szCs w:val="24"/>
        </w:rPr>
        <w:t>Garavan</w:t>
      </w:r>
      <w:proofErr w:type="spellEnd"/>
      <w:r w:rsidRPr="0027235C">
        <w:rPr>
          <w:rFonts w:ascii="Arial" w:hAnsi="Arial" w:eastAsia="Arial" w:cs="Arial"/>
          <w:sz w:val="24"/>
          <w:szCs w:val="24"/>
        </w:rPr>
        <w:t xml:space="preserve"> et al. (2021</w:t>
      </w:r>
      <w:r w:rsidR="00275EFF">
        <w:rPr>
          <w:rFonts w:ascii="Arial" w:hAnsi="Arial" w:eastAsia="Arial" w:cs="Arial"/>
          <w:sz w:val="24"/>
          <w:szCs w:val="24"/>
        </w:rPr>
        <w:t>a</w:t>
      </w:r>
      <w:r w:rsidRPr="0027235C">
        <w:rPr>
          <w:rFonts w:ascii="Arial" w:hAnsi="Arial" w:eastAsia="Arial" w:cs="Arial"/>
          <w:sz w:val="24"/>
          <w:szCs w:val="24"/>
        </w:rPr>
        <w:t>) state that based on their review of 207 quantitative studies, training expenditure does not directly translate into skills and performance. Their open systems approach reveals that performance is influenced by inputs into training, design, organisational support and processes in the workplace. The same is also shown by Sartori et al. (2018) who state that development allows adapting and being innovative rather than just closing the skills gap.</w:t>
      </w:r>
    </w:p>
    <w:p w:rsidRPr="0027235C" w:rsidR="00D63CA2" w:rsidP="00EA78D2" w:rsidRDefault="00BF2F3A" w14:paraId="30708BA5" w14:textId="63AE1E5B">
      <w:pPr>
        <w:spacing w:line="360" w:lineRule="auto"/>
        <w:jc w:val="both"/>
        <w:rPr>
          <w:rFonts w:ascii="Arial" w:hAnsi="Arial" w:eastAsia="Arial" w:cs="Arial"/>
          <w:sz w:val="24"/>
          <w:szCs w:val="24"/>
        </w:rPr>
      </w:pPr>
      <w:r w:rsidRPr="0027235C">
        <w:rPr>
          <w:rFonts w:ascii="Arial" w:hAnsi="Arial" w:eastAsia="Arial" w:cs="Arial"/>
          <w:sz w:val="24"/>
          <w:szCs w:val="24"/>
        </w:rPr>
        <w:lastRenderedPageBreak/>
        <w:t>Empirical data show that training investment is related to better organisational performance, however, on a conditional basis. Meta-analysis of 119 studies revealed that there was a positive training performance relationship that increased over time and was dependent on national performance orientation and labour costs (</w:t>
      </w:r>
      <w:proofErr w:type="spellStart"/>
      <w:r w:rsidRPr="0027235C">
        <w:rPr>
          <w:rFonts w:ascii="Arial" w:hAnsi="Arial" w:eastAsia="Arial" w:cs="Arial"/>
          <w:sz w:val="24"/>
          <w:szCs w:val="24"/>
        </w:rPr>
        <w:t>Garavan</w:t>
      </w:r>
      <w:proofErr w:type="spellEnd"/>
      <w:r w:rsidRPr="0027235C">
        <w:rPr>
          <w:rFonts w:ascii="Arial" w:hAnsi="Arial" w:eastAsia="Arial" w:cs="Arial"/>
          <w:sz w:val="24"/>
          <w:szCs w:val="24"/>
        </w:rPr>
        <w:t xml:space="preserve"> et al., 2021). Uslu et al. (2022) analy</w:t>
      </w:r>
      <w:r w:rsidR="0065284A">
        <w:rPr>
          <w:rFonts w:ascii="Arial" w:hAnsi="Arial" w:eastAsia="Arial" w:cs="Arial"/>
          <w:sz w:val="24"/>
          <w:szCs w:val="24"/>
        </w:rPr>
        <w:t>s</w:t>
      </w:r>
      <w:r w:rsidRPr="0027235C">
        <w:rPr>
          <w:rFonts w:ascii="Arial" w:hAnsi="Arial" w:eastAsia="Arial" w:cs="Arial"/>
          <w:sz w:val="24"/>
          <w:szCs w:val="24"/>
        </w:rPr>
        <w:t>ed 79 articles that included 107 independent outcomes and achieved motivation, job satisfaction, self-confidence and engagement outcomes. Some attitudes especially benefited with shorter programmes but other objectives demanded alternative methods of delivery</w:t>
      </w:r>
      <w:r w:rsidR="0065284A">
        <w:rPr>
          <w:rFonts w:ascii="Arial" w:hAnsi="Arial" w:eastAsia="Arial" w:cs="Arial"/>
          <w:sz w:val="24"/>
          <w:szCs w:val="24"/>
        </w:rPr>
        <w:t xml:space="preserve">. </w:t>
      </w:r>
      <w:r w:rsidRPr="0027235C">
        <w:rPr>
          <w:rFonts w:ascii="Arial" w:hAnsi="Arial" w:eastAsia="Arial" w:cs="Arial"/>
          <w:sz w:val="24"/>
          <w:szCs w:val="24"/>
        </w:rPr>
        <w:t>However, Uslu et al. (2022) warn that these differences make training not be considered a uniform intervention. The fact thus questions the supposition that more training will give proportionate human-capital returns.</w:t>
      </w:r>
    </w:p>
    <w:p w:rsidRPr="0027235C" w:rsidR="00D63CA2" w:rsidP="00EA78D2" w:rsidRDefault="00BF2F3A" w14:paraId="68A9FD20" w14:textId="77777777">
      <w:pPr>
        <w:spacing w:line="360" w:lineRule="auto"/>
        <w:jc w:val="center"/>
        <w:rPr>
          <w:rFonts w:ascii="Arial" w:hAnsi="Arial" w:eastAsia="Arial" w:cs="Arial"/>
          <w:sz w:val="24"/>
          <w:szCs w:val="24"/>
        </w:rPr>
      </w:pPr>
      <w:r w:rsidRPr="0027235C">
        <w:rPr>
          <w:rFonts w:ascii="Arial" w:hAnsi="Arial" w:eastAsia="Arial" w:cs="Arial"/>
          <w:noProof/>
          <w:sz w:val="24"/>
          <w:szCs w:val="24"/>
          <w:lang w:val="en-US"/>
        </w:rPr>
        <w:drawing>
          <wp:inline distT="114300" distB="114300" distL="114300" distR="114300" wp14:anchorId="396000FE" wp14:editId="3312D44F">
            <wp:extent cx="4833938" cy="3460842"/>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833938" cy="3460842"/>
                    </a:xfrm>
                    <a:prstGeom prst="rect">
                      <a:avLst/>
                    </a:prstGeom>
                    <a:ln w="25400">
                      <a:solidFill>
                        <a:srgbClr val="000000"/>
                      </a:solidFill>
                      <a:prstDash val="solid"/>
                    </a:ln>
                  </pic:spPr>
                </pic:pic>
              </a:graphicData>
            </a:graphic>
          </wp:inline>
        </w:drawing>
      </w:r>
    </w:p>
    <w:p w:rsidRPr="0027235C" w:rsidR="00D63CA2" w:rsidP="005C1F7A" w:rsidRDefault="00EA78D2" w14:paraId="5C6099B4" w14:textId="4545A6C7">
      <w:pPr>
        <w:pStyle w:val="Subtitle"/>
        <w:rPr>
          <w:rFonts w:eastAsia="Arial"/>
          <w:i/>
          <w:iCs/>
        </w:rPr>
      </w:pPr>
      <w:bookmarkStart w:name="_Toc239514359" w:id="30"/>
      <w:bookmarkStart w:name="_Toc239514373" w:id="31"/>
      <w:bookmarkStart w:name="_Toc239530679" w:id="32"/>
      <w:r w:rsidRPr="0027235C">
        <w:t xml:space="preserve">Figure </w:t>
      </w:r>
      <w:r w:rsidRPr="0027235C">
        <w:rPr>
          <w:i/>
          <w:iCs/>
        </w:rPr>
        <w:fldChar w:fldCharType="begin"/>
      </w:r>
      <w:r w:rsidRPr="0027235C">
        <w:instrText xml:space="preserve"> SEQ Figure \* ARABIC </w:instrText>
      </w:r>
      <w:r w:rsidRPr="0027235C">
        <w:rPr>
          <w:i/>
          <w:iCs/>
        </w:rPr>
        <w:fldChar w:fldCharType="separate"/>
      </w:r>
      <w:r w:rsidRPr="0027235C">
        <w:t>2</w:t>
      </w:r>
      <w:r w:rsidRPr="0027235C">
        <w:rPr>
          <w:i/>
          <w:iCs/>
        </w:rPr>
        <w:fldChar w:fldCharType="end"/>
      </w:r>
      <w:r w:rsidRPr="0027235C">
        <w:t>:Structural Path Model</w:t>
      </w:r>
      <w:bookmarkEnd w:id="30"/>
      <w:bookmarkEnd w:id="31"/>
      <w:bookmarkEnd w:id="32"/>
    </w:p>
    <w:p w:rsidRPr="0027235C" w:rsidR="00D63CA2" w:rsidP="00EA78D2" w:rsidRDefault="00BF2F3A" w14:paraId="00F56982" w14:textId="77777777">
      <w:pPr>
        <w:spacing w:line="360" w:lineRule="auto"/>
        <w:jc w:val="center"/>
        <w:rPr>
          <w:rFonts w:ascii="Arial" w:hAnsi="Arial" w:eastAsia="Arial" w:cs="Arial"/>
          <w:sz w:val="24"/>
          <w:szCs w:val="24"/>
        </w:rPr>
      </w:pPr>
      <w:r w:rsidRPr="0027235C">
        <w:rPr>
          <w:rFonts w:ascii="Arial" w:hAnsi="Arial" w:eastAsia="Arial" w:cs="Arial"/>
          <w:b/>
          <w:bCs/>
          <w:sz w:val="24"/>
          <w:szCs w:val="24"/>
        </w:rPr>
        <w:t>Source:</w:t>
      </w:r>
      <w:r w:rsidRPr="0027235C">
        <w:rPr>
          <w:rFonts w:ascii="Arial" w:hAnsi="Arial" w:eastAsia="Arial" w:cs="Arial"/>
          <w:sz w:val="24"/>
          <w:szCs w:val="24"/>
        </w:rPr>
        <w:t xml:space="preserve"> (Isah Leontes and Hoole,2024)</w:t>
      </w:r>
    </w:p>
    <w:p w:rsidRPr="0027235C" w:rsidR="00D63CA2" w:rsidP="00EA78D2" w:rsidRDefault="00BF2F3A" w14:paraId="61DD4EE8"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Human capital, knowledge management and social capital were empowered through development practices among 464 employees in the information and communication technology sector (Al-Tit et al., 2022). Knowledge management describes human-capital development and not social-capital development, which suggests that increased knowledge may not always be useful in strengthening workplace </w:t>
      </w:r>
      <w:r w:rsidRPr="0027235C">
        <w:rPr>
          <w:rFonts w:ascii="Arial" w:hAnsi="Arial" w:eastAsia="Arial" w:cs="Arial"/>
          <w:sz w:val="24"/>
          <w:szCs w:val="24"/>
        </w:rPr>
        <w:lastRenderedPageBreak/>
        <w:t xml:space="preserve">relationships. The data on 362 employees of hotels indicated that organisational commitment related training and career development to performance (Hosen et al., 2024). A similar mechanism was also found by </w:t>
      </w:r>
      <w:proofErr w:type="spellStart"/>
      <w:r w:rsidRPr="0027235C">
        <w:rPr>
          <w:rFonts w:ascii="Arial" w:hAnsi="Arial" w:eastAsia="Arial" w:cs="Arial"/>
          <w:sz w:val="24"/>
          <w:szCs w:val="24"/>
        </w:rPr>
        <w:t>Keltu</w:t>
      </w:r>
      <w:proofErr w:type="spellEnd"/>
      <w:r w:rsidRPr="0027235C">
        <w:rPr>
          <w:rFonts w:ascii="Arial" w:hAnsi="Arial" w:eastAsia="Arial" w:cs="Arial"/>
          <w:sz w:val="24"/>
          <w:szCs w:val="24"/>
        </w:rPr>
        <w:t xml:space="preserve"> (2024) who indicated that job satisfaction connected HRD and academic performance. Nevertheless, Isah Leontes and Hoole (2024) stress the importance of engagement, implying that the value of capability can be created only when employees are interested in its use.</w:t>
      </w:r>
    </w:p>
    <w:p w:rsidRPr="0027235C" w:rsidR="00D63CA2" w:rsidP="00EA78D2" w:rsidRDefault="00BF2F3A" w14:paraId="0228FA58" w14:textId="544372F3">
      <w:pPr>
        <w:spacing w:line="360" w:lineRule="auto"/>
        <w:jc w:val="both"/>
        <w:rPr>
          <w:rFonts w:ascii="Arial" w:hAnsi="Arial" w:eastAsia="Arial" w:cs="Arial"/>
          <w:sz w:val="24"/>
          <w:szCs w:val="24"/>
        </w:rPr>
      </w:pPr>
      <w:r w:rsidRPr="0027235C">
        <w:rPr>
          <w:rFonts w:ascii="Arial" w:hAnsi="Arial" w:eastAsia="Arial" w:cs="Arial"/>
          <w:sz w:val="24"/>
          <w:szCs w:val="24"/>
        </w:rPr>
        <w:t xml:space="preserve">One of the main contradictions is whether learning created by training results to be long-lasting workplace behaviour. </w:t>
      </w:r>
      <w:proofErr w:type="spellStart"/>
      <w:r w:rsidRPr="0027235C">
        <w:rPr>
          <w:rFonts w:ascii="Arial" w:hAnsi="Arial" w:eastAsia="Arial" w:cs="Arial"/>
          <w:sz w:val="24"/>
          <w:szCs w:val="24"/>
        </w:rPr>
        <w:t>Garavan</w:t>
      </w:r>
      <w:proofErr w:type="spellEnd"/>
      <w:r w:rsidRPr="0027235C">
        <w:rPr>
          <w:rFonts w:ascii="Arial" w:hAnsi="Arial" w:eastAsia="Arial" w:cs="Arial"/>
          <w:sz w:val="24"/>
          <w:szCs w:val="24"/>
        </w:rPr>
        <w:t xml:space="preserve"> et al. (2021</w:t>
      </w:r>
      <w:r w:rsidR="00275EFF">
        <w:rPr>
          <w:rFonts w:ascii="Arial" w:hAnsi="Arial" w:eastAsia="Arial" w:cs="Arial"/>
          <w:sz w:val="24"/>
          <w:szCs w:val="24"/>
        </w:rPr>
        <w:t>b</w:t>
      </w:r>
      <w:r w:rsidRPr="0027235C">
        <w:rPr>
          <w:rFonts w:ascii="Arial" w:hAnsi="Arial" w:eastAsia="Arial" w:cs="Arial"/>
          <w:sz w:val="24"/>
          <w:szCs w:val="24"/>
        </w:rPr>
        <w:t>) did not report any significant difference in the relationship between training-quality and training-quantity measures and organisational performance. On the other hand, the results of Uslu et al. (2022) demonstrated that programme characteristics affected results. Learning was enhanced by creativity training, and perceived creative capability was enhanced (McKay et al., 2024). Nevertheless, McKay et al. (2024) found less strong advances in observable behaviour, and delayed benefits were less than immediate outcomes. The completion of successful programmes hence needs to be differentiated with the learning transfer. When organisations evaluate human capital development using attendance, satisfaction or immediate tests and not retained competence and job behaviour, organisations may overestimate human capital development.</w:t>
      </w:r>
    </w:p>
    <w:p w:rsidRPr="0027235C" w:rsidR="00D63CA2" w:rsidP="00EA78D2" w:rsidRDefault="00BF2F3A" w14:paraId="7918BBA9"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The strategic value created depends on the training content and organisational environment. Sheehan et al. (2025) used two-wave evidence such as 816 knowledge intensive firms in four countries in Europe to determine that firm specific training enhanced incremental innovation whereas general training enhanced incremental and radical innovation. These advantages were reinforced through knowledge sharing, which illustrates that transferability of skills can facilitate value even though the skills are not specific to the organisation. </w:t>
      </w:r>
      <w:proofErr w:type="spellStart"/>
      <w:r w:rsidRPr="0027235C">
        <w:rPr>
          <w:rFonts w:ascii="Arial" w:hAnsi="Arial" w:eastAsia="Arial" w:cs="Arial"/>
          <w:sz w:val="24"/>
          <w:szCs w:val="24"/>
        </w:rPr>
        <w:t>Bouwmans</w:t>
      </w:r>
      <w:proofErr w:type="spellEnd"/>
      <w:r w:rsidRPr="0027235C">
        <w:rPr>
          <w:rFonts w:ascii="Arial" w:hAnsi="Arial" w:eastAsia="Arial" w:cs="Arial"/>
          <w:sz w:val="24"/>
          <w:szCs w:val="24"/>
        </w:rPr>
        <w:t xml:space="preserve"> et al. (2024) have reviewed 36 studies and created a digital-transformation framework that comprises six skillsets and 44 skills, such as digital working, evidence-based working, entrepreneurship, collaboration, communication and adaptation. </w:t>
      </w:r>
      <w:proofErr w:type="spellStart"/>
      <w:r w:rsidRPr="0027235C">
        <w:rPr>
          <w:rFonts w:ascii="Arial" w:hAnsi="Arial" w:eastAsia="Arial" w:cs="Arial"/>
          <w:sz w:val="24"/>
          <w:szCs w:val="24"/>
        </w:rPr>
        <w:t>Bouwmans</w:t>
      </w:r>
      <w:proofErr w:type="spellEnd"/>
      <w:r w:rsidRPr="0027235C">
        <w:rPr>
          <w:rFonts w:ascii="Arial" w:hAnsi="Arial" w:eastAsia="Arial" w:cs="Arial"/>
          <w:sz w:val="24"/>
          <w:szCs w:val="24"/>
        </w:rPr>
        <w:t xml:space="preserve"> et al. (2024) however, based the framework on literature as opposed to causal testing, which constrained certainty on the performance contribution of these skills.</w:t>
      </w:r>
    </w:p>
    <w:p w:rsidRPr="0027235C" w:rsidR="00D63CA2" w:rsidP="00EA78D2" w:rsidRDefault="00BF2F3A" w14:paraId="44E43D5B" w14:textId="3A9DA833">
      <w:pPr>
        <w:spacing w:line="360" w:lineRule="auto"/>
        <w:jc w:val="both"/>
        <w:rPr>
          <w:rFonts w:ascii="Arial" w:hAnsi="Arial" w:eastAsia="Arial" w:cs="Arial"/>
          <w:b/>
          <w:bCs/>
          <w:sz w:val="24"/>
          <w:szCs w:val="24"/>
        </w:rPr>
      </w:pPr>
      <w:r w:rsidRPr="0027235C">
        <w:rPr>
          <w:rFonts w:ascii="Arial" w:hAnsi="Arial" w:eastAsia="Arial" w:cs="Arial"/>
          <w:sz w:val="24"/>
          <w:szCs w:val="24"/>
        </w:rPr>
        <w:t xml:space="preserve">The seemingly unanimous view on training and human capital formation is undermined by methodological shortcomings. Meta-analyses are general evidence but pooling of </w:t>
      </w:r>
      <w:r w:rsidRPr="0027235C">
        <w:rPr>
          <w:rFonts w:ascii="Arial" w:hAnsi="Arial" w:eastAsia="Arial" w:cs="Arial"/>
          <w:sz w:val="24"/>
          <w:szCs w:val="24"/>
        </w:rPr>
        <w:lastRenderedPageBreak/>
        <w:t xml:space="preserve">studies with inconsistent definitions and performance measures. </w:t>
      </w:r>
      <w:proofErr w:type="spellStart"/>
      <w:r w:rsidRPr="0027235C">
        <w:rPr>
          <w:rFonts w:ascii="Arial" w:hAnsi="Arial" w:eastAsia="Arial" w:cs="Arial"/>
          <w:sz w:val="24"/>
          <w:szCs w:val="24"/>
        </w:rPr>
        <w:t>Garavan</w:t>
      </w:r>
      <w:proofErr w:type="spellEnd"/>
      <w:r w:rsidRPr="0027235C">
        <w:rPr>
          <w:rFonts w:ascii="Arial" w:hAnsi="Arial" w:eastAsia="Arial" w:cs="Arial"/>
          <w:sz w:val="24"/>
          <w:szCs w:val="24"/>
        </w:rPr>
        <w:t xml:space="preserve"> et al. (2021</w:t>
      </w:r>
      <w:r w:rsidR="00275EFF">
        <w:rPr>
          <w:rFonts w:ascii="Arial" w:hAnsi="Arial" w:eastAsia="Arial" w:cs="Arial"/>
          <w:sz w:val="24"/>
          <w:szCs w:val="24"/>
        </w:rPr>
        <w:t>a</w:t>
      </w:r>
      <w:r w:rsidRPr="0027235C">
        <w:rPr>
          <w:rFonts w:ascii="Arial" w:hAnsi="Arial" w:eastAsia="Arial" w:cs="Arial"/>
          <w:sz w:val="24"/>
          <w:szCs w:val="24"/>
        </w:rPr>
        <w:t xml:space="preserve">) identify threats related to internal and external validity, measurement and statistical inferences of constructs in 207 studies. Al-Tit et al. (2022), Hosen et al. (2024), </w:t>
      </w:r>
      <w:proofErr w:type="spellStart"/>
      <w:r w:rsidRPr="0027235C">
        <w:rPr>
          <w:rFonts w:ascii="Arial" w:hAnsi="Arial" w:eastAsia="Arial" w:cs="Arial"/>
          <w:sz w:val="24"/>
          <w:szCs w:val="24"/>
        </w:rPr>
        <w:t>Keltu</w:t>
      </w:r>
      <w:proofErr w:type="spellEnd"/>
      <w:r w:rsidRPr="0027235C">
        <w:rPr>
          <w:rFonts w:ascii="Arial" w:hAnsi="Arial" w:eastAsia="Arial" w:cs="Arial"/>
          <w:sz w:val="24"/>
          <w:szCs w:val="24"/>
        </w:rPr>
        <w:t xml:space="preserve"> (2024) and Isah Leontes and Hoole (2024) use cross-sectional studies, which do not require establishing chronology. Nevertheless, Sheehan et al. (2025) minimise common-method and timing bias due to two-wave, multi-respondent evidence but their sample of European knowledge-intensive limits generalisation. There is also a lack of research to explain how individual learning gets to be collective ability.</w:t>
      </w:r>
    </w:p>
    <w:p w:rsidRPr="0027235C" w:rsidR="00D63CA2" w:rsidP="00EA78D2" w:rsidRDefault="00BF2F3A" w14:paraId="03129950" w14:textId="77777777">
      <w:pPr>
        <w:spacing w:line="360" w:lineRule="auto"/>
        <w:jc w:val="both"/>
        <w:rPr>
          <w:rFonts w:ascii="Arial" w:hAnsi="Arial" w:eastAsia="Arial" w:cs="Arial"/>
          <w:sz w:val="24"/>
          <w:szCs w:val="24"/>
        </w:rPr>
      </w:pPr>
      <w:r w:rsidRPr="0027235C">
        <w:rPr>
          <w:rFonts w:ascii="Arial" w:hAnsi="Arial" w:eastAsia="Arial" w:cs="Arial"/>
          <w:sz w:val="24"/>
          <w:szCs w:val="24"/>
        </w:rPr>
        <w:t>The current studies do not provide a complete picture of strategic human capital formation. Not very many studies determine whether learning is retained, transferred, shared and converted into the collective capability. The areas of training investment, learning transfer, knowledge sharing, engagement and performance are rarely combined into a multilevel study. Small businesses, public organisations, less skilled occupations and various institutional settings have limited evidence. The longitudinal evidence is especially needed since the instant learning results will not be able to reveal the possibilities that the capabilities will be useful in the case of the change in the technologies, rights and duties, and the organisational priorities in the workplaces over the course of time. Boon et al. (2018) prove, however, that it is crucial to draw the line between individual and collective human capital. The mobility of employees, lack of equal access to development, informal learning and benefits allocation need additional investigation. Training and development are effective HCM contributors as they develop and refresh strategically valuable capabilities, contingent on the relevance of the programme, engagement, learning transfer, knowledge sharing conditions, and the organisations capacity to implement the acquired skills, in response to the research question.</w:t>
      </w:r>
    </w:p>
    <w:p w:rsidRPr="0027235C" w:rsidR="00D63CA2" w:rsidP="00EA78D2" w:rsidRDefault="00BF2F3A" w14:paraId="7B904FF3" w14:textId="77777777">
      <w:pPr>
        <w:spacing w:line="360" w:lineRule="auto"/>
        <w:jc w:val="both"/>
        <w:rPr>
          <w:rFonts w:ascii="Arial" w:hAnsi="Arial" w:eastAsia="Arial" w:cs="Arial"/>
          <w:sz w:val="24"/>
          <w:szCs w:val="24"/>
        </w:rPr>
      </w:pPr>
      <w:r w:rsidRPr="0027235C">
        <w:rPr>
          <w:rFonts w:ascii="Arial" w:hAnsi="Arial" w:eastAsia="Arial" w:cs="Arial"/>
          <w:sz w:val="24"/>
          <w:szCs w:val="24"/>
        </w:rPr>
        <w:t>On the whole, the evidence indicates that training and development will lead to successful HCM through the development of strategically valuable employee capabilities. Their organisational worth, however, is determined by the success of the transfer of learning to workplace performance.</w:t>
      </w:r>
    </w:p>
    <w:p w:rsidR="00E87A2A" w:rsidRDefault="00E87A2A" w14:paraId="5E258FD3" w14:textId="77777777">
      <w:pPr>
        <w:rPr>
          <w:rFonts w:ascii="Arial" w:hAnsi="Arial" w:eastAsia="Arial" w:cs="Arial"/>
          <w:b/>
          <w:bCs/>
          <w:sz w:val="24"/>
          <w:szCs w:val="24"/>
        </w:rPr>
      </w:pPr>
      <w:r>
        <w:rPr>
          <w:rFonts w:ascii="Arial" w:hAnsi="Arial" w:eastAsia="Arial" w:cs="Arial"/>
          <w:b/>
          <w:bCs/>
          <w:sz w:val="24"/>
          <w:szCs w:val="24"/>
        </w:rPr>
        <w:br w:type="page"/>
      </w:r>
    </w:p>
    <w:p w:rsidRPr="0027235C" w:rsidR="00D63CA2" w:rsidP="00EA78D2" w:rsidRDefault="00BF2F3A" w14:paraId="6A581ED4" w14:textId="6FE27814">
      <w:pPr>
        <w:spacing w:line="360" w:lineRule="auto"/>
        <w:jc w:val="both"/>
        <w:rPr>
          <w:rFonts w:ascii="Arial" w:hAnsi="Arial" w:eastAsia="Arial" w:cs="Arial"/>
          <w:b/>
          <w:bCs/>
          <w:sz w:val="24"/>
          <w:szCs w:val="24"/>
        </w:rPr>
      </w:pPr>
      <w:r w:rsidRPr="0027235C">
        <w:rPr>
          <w:rFonts w:ascii="Arial" w:hAnsi="Arial" w:eastAsia="Arial" w:cs="Arial"/>
          <w:b/>
          <w:bCs/>
          <w:sz w:val="24"/>
          <w:szCs w:val="24"/>
        </w:rPr>
        <w:lastRenderedPageBreak/>
        <w:t xml:space="preserve">Theme 2: Learning Transfer and Human Capital Performance </w:t>
      </w:r>
    </w:p>
    <w:p w:rsidRPr="0027235C" w:rsidR="00D63CA2" w:rsidP="00EA78D2" w:rsidRDefault="00BF2F3A" w14:paraId="51A39E08" w14:textId="5158F068">
      <w:pPr>
        <w:spacing w:line="360" w:lineRule="auto"/>
        <w:jc w:val="both"/>
        <w:rPr>
          <w:rFonts w:ascii="Arial" w:hAnsi="Arial" w:eastAsia="Arial" w:cs="Arial"/>
          <w:sz w:val="24"/>
          <w:szCs w:val="24"/>
        </w:rPr>
      </w:pPr>
      <w:r w:rsidRPr="0027235C">
        <w:rPr>
          <w:rFonts w:ascii="Arial" w:hAnsi="Arial" w:eastAsia="Arial" w:cs="Arial"/>
          <w:sz w:val="24"/>
          <w:szCs w:val="24"/>
        </w:rPr>
        <w:t xml:space="preserve">The process by which employee development is made usable human capital is referred to as learning transfer. According to Ford et al. (2018), transfer is defined as the generalisation of knowledge and skills to work and their continuation, whereas, according to </w:t>
      </w:r>
      <w:proofErr w:type="spellStart"/>
      <w:r w:rsidRPr="00985BB7" w:rsidR="00985BB7">
        <w:rPr>
          <w:rFonts w:ascii="Arial" w:hAnsi="Arial" w:eastAsia="Arial" w:cs="Arial"/>
          <w:sz w:val="24"/>
          <w:szCs w:val="24"/>
        </w:rPr>
        <w:t>Tonhäuser</w:t>
      </w:r>
      <w:proofErr w:type="spellEnd"/>
      <w:r w:rsidRPr="00985BB7" w:rsidR="00985BB7">
        <w:rPr>
          <w:rFonts w:ascii="Arial" w:hAnsi="Arial" w:eastAsia="Arial" w:cs="Arial"/>
          <w:sz w:val="24"/>
          <w:szCs w:val="24"/>
        </w:rPr>
        <w:t xml:space="preserve"> and </w:t>
      </w:r>
      <w:proofErr w:type="spellStart"/>
      <w:r w:rsidRPr="00985BB7" w:rsidR="00985BB7">
        <w:rPr>
          <w:rFonts w:ascii="Arial" w:hAnsi="Arial" w:eastAsia="Arial" w:cs="Arial"/>
          <w:sz w:val="24"/>
          <w:szCs w:val="24"/>
        </w:rPr>
        <w:t>Büker</w:t>
      </w:r>
      <w:proofErr w:type="spellEnd"/>
      <w:r w:rsidRPr="0027235C">
        <w:rPr>
          <w:rFonts w:ascii="Arial" w:hAnsi="Arial" w:eastAsia="Arial" w:cs="Arial"/>
          <w:sz w:val="24"/>
          <w:szCs w:val="24"/>
        </w:rPr>
        <w:t xml:space="preserve"> (2016), it is described as how the employees interact with each other, the design of training and work conditions. Both demonstrate that sustained application is different to programme learning. But Ford et al. (2018) synthesise heterogeneous measures of transfer, whereas </w:t>
      </w:r>
      <w:proofErr w:type="spellStart"/>
      <w:r w:rsidRPr="0027235C">
        <w:rPr>
          <w:rFonts w:ascii="Arial" w:hAnsi="Arial" w:eastAsia="Arial" w:cs="Arial"/>
          <w:sz w:val="24"/>
          <w:szCs w:val="24"/>
        </w:rPr>
        <w:t>Tonhhauser</w:t>
      </w:r>
      <w:proofErr w:type="spellEnd"/>
      <w:r w:rsidRPr="0027235C">
        <w:rPr>
          <w:rFonts w:ascii="Arial" w:hAnsi="Arial" w:eastAsia="Arial" w:cs="Arial"/>
          <w:sz w:val="24"/>
          <w:szCs w:val="24"/>
        </w:rPr>
        <w:t xml:space="preserve"> and Bueker (2016) report more evidence about individual rather than organisational ones, which restrict causal inferences. Attendance is therefore not a good indicator as compared to generalisation, maintenance and adaptation. This answers the research question by demonstrating that training can bring about effective HCM in cases where learning is turning out to be continuing workplace capability.</w:t>
      </w:r>
    </w:p>
    <w:p w:rsidRPr="0027235C" w:rsidR="00D63CA2" w:rsidP="00EA78D2" w:rsidRDefault="00BF2F3A" w14:paraId="0CF26BC8" w14:textId="77777777">
      <w:pPr>
        <w:spacing w:line="360" w:lineRule="auto"/>
        <w:jc w:val="center"/>
        <w:rPr>
          <w:rFonts w:ascii="Arial" w:hAnsi="Arial" w:eastAsia="Arial" w:cs="Arial"/>
          <w:sz w:val="24"/>
          <w:szCs w:val="24"/>
        </w:rPr>
      </w:pPr>
      <w:r w:rsidRPr="0027235C">
        <w:rPr>
          <w:rFonts w:ascii="Arial" w:hAnsi="Arial" w:eastAsia="Arial" w:cs="Arial"/>
          <w:noProof/>
          <w:sz w:val="24"/>
          <w:szCs w:val="24"/>
          <w:lang w:val="en-US"/>
        </w:rPr>
        <w:drawing>
          <wp:inline distT="114300" distB="114300" distL="114300" distR="114300" wp14:anchorId="7467B1D7" wp14:editId="491E6876">
            <wp:extent cx="4643438" cy="3702409"/>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643438" cy="3702409"/>
                    </a:xfrm>
                    <a:prstGeom prst="rect">
                      <a:avLst/>
                    </a:prstGeom>
                    <a:ln w="25400">
                      <a:solidFill>
                        <a:srgbClr val="000000"/>
                      </a:solidFill>
                      <a:prstDash val="solid"/>
                    </a:ln>
                  </pic:spPr>
                </pic:pic>
              </a:graphicData>
            </a:graphic>
          </wp:inline>
        </w:drawing>
      </w:r>
    </w:p>
    <w:p w:rsidRPr="0027235C" w:rsidR="00D63CA2" w:rsidP="005C1F7A" w:rsidRDefault="00EA78D2" w14:paraId="4B1D8716" w14:textId="05158FB8">
      <w:pPr>
        <w:pStyle w:val="Subtitle"/>
        <w:rPr>
          <w:rFonts w:eastAsia="Arial"/>
          <w:i/>
          <w:iCs/>
        </w:rPr>
      </w:pPr>
      <w:bookmarkStart w:name="_Toc239514360" w:id="33"/>
      <w:bookmarkStart w:name="_Toc239514374" w:id="34"/>
      <w:bookmarkStart w:name="_Toc239530680" w:id="35"/>
      <w:r w:rsidRPr="0027235C">
        <w:t xml:space="preserve">Figure </w:t>
      </w:r>
      <w:r w:rsidRPr="0027235C">
        <w:rPr>
          <w:i/>
          <w:iCs/>
        </w:rPr>
        <w:fldChar w:fldCharType="begin"/>
      </w:r>
      <w:r w:rsidRPr="0027235C">
        <w:instrText xml:space="preserve"> SEQ Figure \* ARABIC </w:instrText>
      </w:r>
      <w:r w:rsidRPr="0027235C">
        <w:rPr>
          <w:i/>
          <w:iCs/>
        </w:rPr>
        <w:fldChar w:fldCharType="separate"/>
      </w:r>
      <w:r w:rsidRPr="0027235C">
        <w:t>3</w:t>
      </w:r>
      <w:r w:rsidRPr="0027235C">
        <w:rPr>
          <w:i/>
          <w:iCs/>
        </w:rPr>
        <w:fldChar w:fldCharType="end"/>
      </w:r>
      <w:r w:rsidRPr="0027235C">
        <w:t>:Attitudinal Influences on Transfer of Training Framework</w:t>
      </w:r>
      <w:bookmarkEnd w:id="33"/>
      <w:bookmarkEnd w:id="34"/>
      <w:bookmarkEnd w:id="35"/>
    </w:p>
    <w:p w:rsidRPr="0027235C" w:rsidR="00D63CA2" w:rsidP="00EA78D2" w:rsidRDefault="00BF2F3A" w14:paraId="46D43002" w14:textId="77777777">
      <w:pPr>
        <w:spacing w:line="360" w:lineRule="auto"/>
        <w:jc w:val="center"/>
        <w:rPr>
          <w:rFonts w:ascii="Arial" w:hAnsi="Arial" w:eastAsia="Arial" w:cs="Arial"/>
          <w:sz w:val="24"/>
          <w:szCs w:val="24"/>
        </w:rPr>
      </w:pPr>
      <w:r w:rsidRPr="0027235C">
        <w:rPr>
          <w:rFonts w:ascii="Arial" w:hAnsi="Arial" w:eastAsia="Arial" w:cs="Arial"/>
          <w:b/>
          <w:bCs/>
          <w:sz w:val="24"/>
          <w:szCs w:val="24"/>
        </w:rPr>
        <w:t>Source:</w:t>
      </w:r>
      <w:r w:rsidRPr="0027235C">
        <w:rPr>
          <w:rFonts w:ascii="Arial" w:hAnsi="Arial" w:eastAsia="Arial" w:cs="Arial"/>
          <w:sz w:val="24"/>
          <w:szCs w:val="24"/>
        </w:rPr>
        <w:t xml:space="preserve"> (Yang and Watson,2022)</w:t>
      </w:r>
    </w:p>
    <w:p w:rsidRPr="0027235C" w:rsidR="00D63CA2" w:rsidP="00EA78D2" w:rsidRDefault="00BF2F3A" w14:paraId="55428E79" w14:textId="32A04AAF">
      <w:pPr>
        <w:spacing w:line="360" w:lineRule="auto"/>
        <w:jc w:val="both"/>
        <w:rPr>
          <w:rFonts w:ascii="Arial" w:hAnsi="Arial" w:eastAsia="Arial" w:cs="Arial"/>
          <w:sz w:val="24"/>
          <w:szCs w:val="24"/>
        </w:rPr>
      </w:pPr>
      <w:r w:rsidRPr="0027235C">
        <w:rPr>
          <w:rFonts w:ascii="Arial" w:hAnsi="Arial" w:eastAsia="Arial" w:cs="Arial"/>
          <w:sz w:val="24"/>
          <w:szCs w:val="24"/>
        </w:rPr>
        <w:t xml:space="preserve">In accordance with the personal readiness, the topical design and organisational opportunity are combined to ensure transfer effectiveness. </w:t>
      </w:r>
      <w:proofErr w:type="spellStart"/>
      <w:r w:rsidRPr="00985BB7" w:rsidR="00985BB7">
        <w:rPr>
          <w:rFonts w:ascii="Arial" w:hAnsi="Arial" w:eastAsia="Arial" w:cs="Arial"/>
          <w:sz w:val="24"/>
          <w:szCs w:val="24"/>
        </w:rPr>
        <w:t>Tonhäuser</w:t>
      </w:r>
      <w:proofErr w:type="spellEnd"/>
      <w:r w:rsidRPr="00985BB7" w:rsidR="00985BB7">
        <w:rPr>
          <w:rFonts w:ascii="Arial" w:hAnsi="Arial" w:eastAsia="Arial" w:cs="Arial"/>
          <w:sz w:val="24"/>
          <w:szCs w:val="24"/>
        </w:rPr>
        <w:t xml:space="preserve"> and </w:t>
      </w:r>
      <w:proofErr w:type="spellStart"/>
      <w:r w:rsidRPr="00985BB7" w:rsidR="00985BB7">
        <w:rPr>
          <w:rFonts w:ascii="Arial" w:hAnsi="Arial" w:eastAsia="Arial" w:cs="Arial"/>
          <w:sz w:val="24"/>
          <w:szCs w:val="24"/>
        </w:rPr>
        <w:t>Büker</w:t>
      </w:r>
      <w:proofErr w:type="spellEnd"/>
      <w:r w:rsidRPr="0027235C">
        <w:rPr>
          <w:rFonts w:ascii="Arial" w:hAnsi="Arial" w:eastAsia="Arial" w:cs="Arial"/>
          <w:sz w:val="24"/>
          <w:szCs w:val="24"/>
        </w:rPr>
        <w:t xml:space="preserve"> </w:t>
      </w:r>
      <w:r w:rsidRPr="0027235C">
        <w:rPr>
          <w:rFonts w:ascii="Arial" w:hAnsi="Arial" w:eastAsia="Arial" w:cs="Arial"/>
          <w:sz w:val="24"/>
          <w:szCs w:val="24"/>
        </w:rPr>
        <w:lastRenderedPageBreak/>
        <w:t xml:space="preserve">(2016) identify motivation and self-efficacy, job-related content and practice, and support, feedback and opportunities to perform. This framework is strengthened by </w:t>
      </w:r>
      <w:proofErr w:type="spellStart"/>
      <w:r w:rsidRPr="0027235C">
        <w:rPr>
          <w:rFonts w:ascii="Arial" w:hAnsi="Arial" w:eastAsia="Arial" w:cs="Arial"/>
          <w:sz w:val="24"/>
          <w:szCs w:val="24"/>
        </w:rPr>
        <w:t>Hakvoort</w:t>
      </w:r>
      <w:proofErr w:type="spellEnd"/>
      <w:r w:rsidRPr="0027235C">
        <w:rPr>
          <w:rFonts w:ascii="Arial" w:hAnsi="Arial" w:eastAsia="Arial" w:cs="Arial"/>
          <w:sz w:val="24"/>
          <w:szCs w:val="24"/>
        </w:rPr>
        <w:t xml:space="preserve"> et al. (2025) who combined these attributes in a single transfer instrument. The two studies argue in favour of complementarity: motivation will not be able to overcome the lack of opportunity, and organisational support will not be able to render the irrelevant learning usable. Nevertheless, </w:t>
      </w:r>
      <w:proofErr w:type="spellStart"/>
      <w:r w:rsidRPr="0027235C">
        <w:rPr>
          <w:rFonts w:ascii="Arial" w:hAnsi="Arial" w:eastAsia="Arial" w:cs="Arial"/>
          <w:sz w:val="24"/>
          <w:szCs w:val="24"/>
        </w:rPr>
        <w:t>Hakvoort</w:t>
      </w:r>
      <w:proofErr w:type="spellEnd"/>
      <w:r w:rsidRPr="0027235C">
        <w:rPr>
          <w:rFonts w:ascii="Arial" w:hAnsi="Arial" w:eastAsia="Arial" w:cs="Arial"/>
          <w:sz w:val="24"/>
          <w:szCs w:val="24"/>
        </w:rPr>
        <w:t xml:space="preserve"> et al. (2025) tested the instrument on more than 1,500 nurses in Dutch teaching hospitals, providing a considerable amount of evidence but restricting the applicability to other professions and nations. In the case of HCM, training value thus needs to be handled as a system that relates learners, programme design and post-training working conditions.</w:t>
      </w:r>
    </w:p>
    <w:p w:rsidRPr="0027235C" w:rsidR="00D63CA2" w:rsidP="00EA78D2" w:rsidRDefault="00BF2F3A" w14:paraId="75609850"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Transfer is triggered by motivation and attitudes but intention is not performance. Yang and Watson (2022) relate transfer to the tripartite attitude model of affective satisfaction, cognitive usefulness and self-efficacy, and behavioural readiness. In 37 studies, these relationships were mediated by motivation. Based on the Theory of Planned Behaviour, </w:t>
      </w:r>
      <w:proofErr w:type="spellStart"/>
      <w:r w:rsidRPr="0027235C">
        <w:rPr>
          <w:rFonts w:ascii="Arial" w:hAnsi="Arial" w:eastAsia="Arial" w:cs="Arial"/>
          <w:sz w:val="24"/>
          <w:szCs w:val="24"/>
        </w:rPr>
        <w:t>Gegenfurtner</w:t>
      </w:r>
      <w:proofErr w:type="spellEnd"/>
      <w:r w:rsidRPr="0027235C">
        <w:rPr>
          <w:rFonts w:ascii="Arial" w:hAnsi="Arial" w:eastAsia="Arial" w:cs="Arial"/>
          <w:sz w:val="24"/>
          <w:szCs w:val="24"/>
        </w:rPr>
        <w:t xml:space="preserve"> and Testers (2022) determined among 182 learners that intention and application a year later were predicted by attitudes and self-efficacy but not by social norms. Nevertheless, their longitudinal nature enhances temporal interpretation, but self-reported transfer between non-traditional students constrains generalisation; Yang and Watson (2022) also used inconsistent measures. HCM ought to build confidence and perceived value and check the intention whether it results in observable behaviour.</w:t>
      </w:r>
    </w:p>
    <w:p w:rsidRPr="0027235C" w:rsidR="00D63CA2" w:rsidP="00EA78D2" w:rsidRDefault="00BF2F3A" w14:paraId="15C02588"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The intention to transfer is transformed into application opportunities with the help of the support provided to employees at the workplace. Synthesising 32 studies and 5,487 participants, Reinhold et al. (2018) found that peer support had the greatest effect on motivation and feedback or coaching on transfer. Among 263 managers, Yaghi and Bates (2020) highlighted the importance of peers, but in their case; organisational support was more important in employee evaluation and supervisor support was significant in manager evaluation. Martins et al. (2019) observed that organisational support was more significant in employee evaluation and supervisor support was more important in manager evaluation. Such differences indicate that support functions by encouraging, providing resources and </w:t>
      </w:r>
      <w:proofErr w:type="spellStart"/>
      <w:proofErr w:type="gramStart"/>
      <w:r w:rsidRPr="0027235C">
        <w:rPr>
          <w:rFonts w:ascii="Arial" w:hAnsi="Arial" w:eastAsia="Arial" w:cs="Arial"/>
          <w:sz w:val="24"/>
          <w:szCs w:val="24"/>
        </w:rPr>
        <w:t>feedback.However</w:t>
      </w:r>
      <w:proofErr w:type="spellEnd"/>
      <w:proofErr w:type="gramEnd"/>
      <w:r w:rsidRPr="0027235C">
        <w:rPr>
          <w:rFonts w:ascii="Arial" w:hAnsi="Arial" w:eastAsia="Arial" w:cs="Arial"/>
          <w:sz w:val="24"/>
          <w:szCs w:val="24"/>
        </w:rPr>
        <w:t xml:space="preserve">, the synthesis of Reinhold et al. (2018) is more diverse, the sample of Yaghi and Bates (2020) is limited to the university, and the evidence presented by Martins et al. (2019) </w:t>
      </w:r>
      <w:r w:rsidRPr="0027235C">
        <w:rPr>
          <w:rFonts w:ascii="Arial" w:hAnsi="Arial" w:eastAsia="Arial" w:cs="Arial"/>
          <w:sz w:val="24"/>
          <w:szCs w:val="24"/>
        </w:rPr>
        <w:lastRenderedPageBreak/>
        <w:t>is more multi-source. HCM needs thus to harmonise the support of peers, managers and organisations.</w:t>
      </w:r>
    </w:p>
    <w:p w:rsidRPr="0027235C" w:rsidR="00D63CA2" w:rsidP="00EA78D2" w:rsidRDefault="00BF2F3A" w14:paraId="076C9E9D" w14:textId="77777777">
      <w:pPr>
        <w:spacing w:line="360" w:lineRule="auto"/>
        <w:jc w:val="both"/>
        <w:rPr>
          <w:rFonts w:ascii="Arial" w:hAnsi="Arial" w:eastAsia="Arial" w:cs="Arial"/>
          <w:sz w:val="24"/>
          <w:szCs w:val="24"/>
        </w:rPr>
      </w:pPr>
      <w:r w:rsidRPr="0027235C">
        <w:rPr>
          <w:rFonts w:ascii="Arial" w:hAnsi="Arial" w:eastAsia="Arial" w:cs="Arial"/>
          <w:sz w:val="24"/>
          <w:szCs w:val="24"/>
        </w:rPr>
        <w:t>Transferred learning creates human-capital value by enhancing performance and spreading it outside the trainee. Martins et al. (2019) relate behavioural transfer and job performance to application, training reactions and workplace support. Mehner et al. (2025) perpetuate this connection by connecting transfer to knowledge sharing, implying the possibility of collective knowledge being developed out of capability. Ford et al. (2018) conceptualise transfer as a dynamic trajectory and not an outcome. Nonetheless, the six-month employee-and-supervisor evidence by Martins et al. (2019) supports this relationship but is limited to one bank whereas Mehner et al. (2025) time-lagged design expands evidence but is self-reported. This supports the research question by demonstrating that training assists HCM by providing application and capability diffusion among teams.</w:t>
      </w:r>
    </w:p>
    <w:p w:rsidRPr="0027235C" w:rsidR="00D63CA2" w:rsidP="00EA78D2" w:rsidRDefault="00BF2F3A" w14:paraId="6D0D9618" w14:textId="77777777">
      <w:pPr>
        <w:spacing w:line="360" w:lineRule="auto"/>
        <w:jc w:val="both"/>
        <w:rPr>
          <w:rFonts w:ascii="Arial" w:hAnsi="Arial" w:eastAsia="Arial" w:cs="Arial"/>
          <w:sz w:val="24"/>
          <w:szCs w:val="24"/>
        </w:rPr>
      </w:pPr>
      <w:r w:rsidRPr="0027235C">
        <w:rPr>
          <w:rFonts w:ascii="Arial" w:hAnsi="Arial" w:eastAsia="Arial" w:cs="Arial"/>
          <w:sz w:val="24"/>
          <w:szCs w:val="24"/>
        </w:rPr>
        <w:t>The problem of transfer interventions is still controversial since the establishment of goals does not guarantee workplace implementation. Greenan (2023) uses implementation intentions: specifying when, where and how learning will be applied is more actionable than goals; they prompted transfer among 67 per cent of 15 individuals. On the other hand, de Jong et al. (2025) reported in 615 participants and 64 programmes that goal-setting did not alter intention or transfer, but rather motivational attributes that had been altered in six weeks. This means that goals need to be practiced, given a chance and encouragement. Nevertheless, the small uncontrolled sample of interviews used by Greenan (2023) does not allow one to make causal conclusions, and the more rigorous comparison carried out by de Jong et al. (2025) only included 233 participants. Application planning is only one aspect of a larger transfer system that should be approached by HCM.</w:t>
      </w:r>
    </w:p>
    <w:p w:rsidRPr="0027235C" w:rsidR="00D63CA2" w:rsidP="00EA78D2" w:rsidRDefault="00BF2F3A" w14:paraId="3D44053D"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Digital learning develops a new controversy regarding the understanding and assessment of the success of transfer. In a meta-analysis of 31 e-learning studies, O’Neill (2025) discovered that transfer was not </w:t>
      </w:r>
      <w:proofErr w:type="spellStart"/>
      <w:r w:rsidRPr="0027235C">
        <w:rPr>
          <w:rFonts w:ascii="Arial" w:hAnsi="Arial" w:eastAsia="Arial" w:cs="Arial"/>
          <w:sz w:val="24"/>
          <w:szCs w:val="24"/>
        </w:rPr>
        <w:t>frameworked</w:t>
      </w:r>
      <w:proofErr w:type="spellEnd"/>
      <w:r w:rsidRPr="0027235C">
        <w:rPr>
          <w:rFonts w:ascii="Arial" w:hAnsi="Arial" w:eastAsia="Arial" w:cs="Arial"/>
          <w:sz w:val="24"/>
          <w:szCs w:val="24"/>
        </w:rPr>
        <w:t xml:space="preserve"> or scaled, and was based on self-report. Martins et al. (2019) demonstrate that application and support in conjunction with delivery can impact job behaviour in online learning, whereas de Jong et al. (2025) found that effects of interventions varied between online and face-to-face learning. </w:t>
      </w:r>
      <w:proofErr w:type="spellStart"/>
      <w:r w:rsidRPr="0027235C">
        <w:rPr>
          <w:rFonts w:ascii="Arial" w:hAnsi="Arial" w:eastAsia="Arial" w:cs="Arial"/>
          <w:sz w:val="24"/>
          <w:szCs w:val="24"/>
        </w:rPr>
        <w:t>Hakvoort</w:t>
      </w:r>
      <w:proofErr w:type="spellEnd"/>
      <w:r w:rsidRPr="0027235C">
        <w:rPr>
          <w:rFonts w:ascii="Arial" w:hAnsi="Arial" w:eastAsia="Arial" w:cs="Arial"/>
          <w:sz w:val="24"/>
          <w:szCs w:val="24"/>
        </w:rPr>
        <w:t xml:space="preserve"> et al. (2025) provide multidimensional measurement, but in the </w:t>
      </w:r>
      <w:r w:rsidRPr="0027235C">
        <w:rPr>
          <w:rFonts w:ascii="Arial" w:hAnsi="Arial" w:eastAsia="Arial" w:cs="Arial"/>
          <w:sz w:val="24"/>
          <w:szCs w:val="24"/>
        </w:rPr>
        <w:lastRenderedPageBreak/>
        <w:t>context of specialised nursing practice. But, the systematic breadth of O’Neill (2025) reveals inconsistency throughout the field, and sector studies offer detail lacking this ability to generalise. A differentiation between near, far and adaptive transfer assists in answering the research question because it evaluates whether training can facilitate the use of capabilities in varying work situations.</w:t>
      </w:r>
    </w:p>
    <w:p w:rsidRPr="0027235C" w:rsidR="00D63CA2" w:rsidP="00EA78D2" w:rsidRDefault="00BF2F3A" w14:paraId="7589CC00" w14:textId="77777777">
      <w:pPr>
        <w:spacing w:line="360" w:lineRule="auto"/>
        <w:jc w:val="both"/>
        <w:rPr>
          <w:rFonts w:ascii="Arial" w:hAnsi="Arial" w:eastAsia="Arial" w:cs="Arial"/>
          <w:sz w:val="24"/>
          <w:szCs w:val="24"/>
        </w:rPr>
      </w:pPr>
      <w:r w:rsidRPr="0027235C">
        <w:rPr>
          <w:rFonts w:ascii="Arial" w:hAnsi="Arial" w:eastAsia="Arial" w:cs="Arial"/>
          <w:sz w:val="24"/>
          <w:szCs w:val="24"/>
        </w:rPr>
        <w:t>Individual transfer is more explained through literature as opposed to collective human-capital performance. Ford et al. (2018) require transfer paths, O’Neill (2025) points out the fragmentation of subjective measures, and Mehner et al. (2025) relate application to knowledge sharing. Collectively, they demonstrate loopholes in regard to objective productivity, innovation and service results, and transfer of learning between individuals and teams. But the focus of evidence is on banking, universities, healthcare and the judiciary, and even longitudinal studies are seldom tracked on organisational consequences over time. It is necessary to incorporate the employee, supervisor, and objective evidence at time points and levels in future studies. In general, the literature provides an answer to the research question demonstrating that training and development can be helpful in effective HCM provided that learning is generalised, sustained, supported, applied to performance and shared on an organisational level.</w:t>
      </w:r>
    </w:p>
    <w:p w:rsidRPr="0027235C" w:rsidR="00D63CA2" w:rsidP="00EA78D2" w:rsidRDefault="00BF2F3A" w14:paraId="426409D8" w14:textId="77777777">
      <w:pPr>
        <w:spacing w:line="360" w:lineRule="auto"/>
        <w:jc w:val="both"/>
        <w:rPr>
          <w:rFonts w:ascii="Arial" w:hAnsi="Arial" w:eastAsia="Arial" w:cs="Arial"/>
          <w:b/>
          <w:bCs/>
          <w:sz w:val="24"/>
          <w:szCs w:val="24"/>
        </w:rPr>
      </w:pPr>
      <w:r w:rsidRPr="0027235C">
        <w:rPr>
          <w:rFonts w:ascii="Arial" w:hAnsi="Arial" w:eastAsia="Arial" w:cs="Arial"/>
          <w:b/>
          <w:bCs/>
          <w:sz w:val="24"/>
          <w:szCs w:val="24"/>
        </w:rPr>
        <w:t xml:space="preserve">Theme 3: Developmental Investment, Employee Engagement and Human Capital Retention </w:t>
      </w:r>
    </w:p>
    <w:p w:rsidRPr="0027235C" w:rsidR="00D63CA2" w:rsidP="00EA78D2" w:rsidRDefault="00BF2F3A" w14:paraId="12DA8866" w14:textId="77777777">
      <w:pPr>
        <w:spacing w:line="360" w:lineRule="auto"/>
        <w:jc w:val="both"/>
        <w:rPr>
          <w:rFonts w:ascii="Arial" w:hAnsi="Arial" w:eastAsia="Arial" w:cs="Arial"/>
          <w:sz w:val="24"/>
          <w:szCs w:val="24"/>
        </w:rPr>
      </w:pPr>
      <w:r w:rsidRPr="0027235C">
        <w:rPr>
          <w:rFonts w:ascii="Arial" w:hAnsi="Arial" w:eastAsia="Arial" w:cs="Arial"/>
          <w:sz w:val="24"/>
          <w:szCs w:val="24"/>
        </w:rPr>
        <w:t xml:space="preserve">Developmental investment is the most effective way of enhancing Human Capital Management when the employees perceive training as organisational support and not as a tool of refining the job skills. This developing view changes the HCM to stop looking at employees as mere productive resources and to interpret development as a component of the employment relationship. The Social Exchange Theory (SET) comes in handy in explaining this change since employees with the feeling of favourable organisational treatment can pay back with increased engagement, commitment and willingness to stay. </w:t>
      </w:r>
      <w:proofErr w:type="spellStart"/>
      <w:r w:rsidRPr="0027235C">
        <w:rPr>
          <w:rFonts w:ascii="Arial" w:hAnsi="Arial" w:eastAsia="Arial" w:cs="Arial"/>
          <w:sz w:val="24"/>
          <w:szCs w:val="24"/>
        </w:rPr>
        <w:t>Xuecheng</w:t>
      </w:r>
      <w:proofErr w:type="spellEnd"/>
      <w:r w:rsidRPr="0027235C">
        <w:rPr>
          <w:rFonts w:ascii="Arial" w:hAnsi="Arial" w:eastAsia="Arial" w:cs="Arial"/>
          <w:sz w:val="24"/>
          <w:szCs w:val="24"/>
        </w:rPr>
        <w:t xml:space="preserve">, Iqbal and Saina (2022) discovered that training, job satisfaction and enabling working conditions were linked to a stronger employee retention, and that development has a greater impact when entrenched in a </w:t>
      </w:r>
      <w:proofErr w:type="spellStart"/>
      <w:r w:rsidRPr="0027235C">
        <w:rPr>
          <w:rFonts w:ascii="Arial" w:hAnsi="Arial" w:eastAsia="Arial" w:cs="Arial"/>
          <w:sz w:val="24"/>
          <w:szCs w:val="24"/>
        </w:rPr>
        <w:t>favorable</w:t>
      </w:r>
      <w:proofErr w:type="spellEnd"/>
      <w:r w:rsidRPr="0027235C">
        <w:rPr>
          <w:rFonts w:ascii="Arial" w:hAnsi="Arial" w:eastAsia="Arial" w:cs="Arial"/>
          <w:sz w:val="24"/>
          <w:szCs w:val="24"/>
        </w:rPr>
        <w:t xml:space="preserve"> employment experience. Similar findings were made by Mampuru, Mokoena and Isabirye (2024) who found out relationships between training and </w:t>
      </w:r>
      <w:r w:rsidRPr="0027235C">
        <w:rPr>
          <w:rFonts w:ascii="Arial" w:hAnsi="Arial" w:eastAsia="Arial" w:cs="Arial"/>
          <w:sz w:val="24"/>
          <w:szCs w:val="24"/>
        </w:rPr>
        <w:lastRenderedPageBreak/>
        <w:t>development, job satisfaction, loyalty and retention among academics. Taken together, these results contribute to the thesis that development value goes beyond acquisition of skills in employees to their perception that their organisation is willing to invest on them. Both studies, however, heavily use self-reported survey data, which introduces the possibility of a common-method bias, and does not allow making strong causal inferences. Moreover, the findings based on specific workplace environments might not be relevant to the other types of employees. The new argument is thus not that development is important, but that the employees feel that the investment is worthwhile that they can pay back. In relation to the research question, this implies that effective HCM must measure perceived developmental support in comparison to traditional training measures.</w:t>
      </w:r>
    </w:p>
    <w:p w:rsidRPr="0027235C" w:rsidR="00D63CA2" w:rsidP="00EA78D2" w:rsidRDefault="00BF2F3A" w14:paraId="64AF7E3B" w14:textId="714C0105">
      <w:pPr>
        <w:spacing w:line="360" w:lineRule="auto"/>
        <w:jc w:val="both"/>
        <w:rPr>
          <w:rFonts w:ascii="Arial" w:hAnsi="Arial" w:eastAsia="Arial" w:cs="Arial"/>
          <w:sz w:val="24"/>
          <w:szCs w:val="24"/>
        </w:rPr>
      </w:pPr>
      <w:r w:rsidRPr="0027235C">
        <w:rPr>
          <w:rFonts w:ascii="Arial" w:hAnsi="Arial" w:eastAsia="Arial" w:cs="Arial"/>
          <w:sz w:val="24"/>
          <w:szCs w:val="24"/>
        </w:rPr>
        <w:t xml:space="preserve">Training and development </w:t>
      </w:r>
      <w:r w:rsidRPr="0027235C" w:rsidR="0065284A">
        <w:rPr>
          <w:rFonts w:ascii="Arial" w:hAnsi="Arial" w:eastAsia="Arial" w:cs="Arial"/>
          <w:sz w:val="24"/>
          <w:szCs w:val="24"/>
        </w:rPr>
        <w:t>do</w:t>
      </w:r>
      <w:r w:rsidRPr="0027235C">
        <w:rPr>
          <w:rFonts w:ascii="Arial" w:hAnsi="Arial" w:eastAsia="Arial" w:cs="Arial"/>
          <w:sz w:val="24"/>
          <w:szCs w:val="24"/>
        </w:rPr>
        <w:t xml:space="preserve"> not seem to have a direct effect on employee retention; it is often mediated by engagement, morale and other psychological reactions. This questions the notion that more training will necessarily decrease turnover. Salunkhe et al. (2024) discovered that work engagement had a positive correlation with both satisfaction with training and access to developmental opportunities, whereas better engagement led to the minimi</w:t>
      </w:r>
      <w:r w:rsidR="0065284A">
        <w:rPr>
          <w:rFonts w:ascii="Arial" w:hAnsi="Arial" w:eastAsia="Arial" w:cs="Arial"/>
          <w:sz w:val="24"/>
          <w:szCs w:val="24"/>
        </w:rPr>
        <w:t>s</w:t>
      </w:r>
      <w:r w:rsidRPr="0027235C">
        <w:rPr>
          <w:rFonts w:ascii="Arial" w:hAnsi="Arial" w:eastAsia="Arial" w:cs="Arial"/>
          <w:sz w:val="24"/>
          <w:szCs w:val="24"/>
        </w:rPr>
        <w:t>ation of turnover intention. This means that training can work on the experience of employees working first before making a decision on organisational membership. The same study by Obeng et al. (2021) also revealed that high-performance work practices affected turnover intentions via employee morale, revealing that employee attitudes are a significant route between HR investment and retention. The results in general supplement SET since workers are able to reciprocate perceived organisational investment by psychological attachment and increased workplace involvement. However, there are still methodological tensions. Salunkhe et al. used convenience sampling and cross-sectional data, which imply that it is not possible to prove the direction of the relationship between engagement and development. Obeng et al. assessed training as part of a broader set of HR practices, and it becomes hard to determine the independent contribution of training. Thus, there is a growing literature on the existence of an indirect but not a deterministic relationship between development and retention. When answering the research question, organisations, in turn, need to consider whether training enhances engagement and morale instead of presupposing that the course completion, in its turn, is the evidence of effective HCM.</w:t>
      </w:r>
    </w:p>
    <w:p w:rsidRPr="0027235C" w:rsidR="00D63CA2" w:rsidP="00EA78D2" w:rsidRDefault="00BF2F3A" w14:paraId="4A92C427" w14:textId="77777777">
      <w:pPr>
        <w:spacing w:line="360" w:lineRule="auto"/>
        <w:jc w:val="both"/>
        <w:rPr>
          <w:rFonts w:ascii="Arial" w:hAnsi="Arial" w:eastAsia="Arial" w:cs="Arial"/>
          <w:sz w:val="24"/>
          <w:szCs w:val="24"/>
        </w:rPr>
      </w:pPr>
      <w:r w:rsidRPr="0027235C">
        <w:rPr>
          <w:rFonts w:ascii="Arial" w:hAnsi="Arial" w:eastAsia="Arial" w:cs="Arial"/>
          <w:sz w:val="24"/>
          <w:szCs w:val="24"/>
        </w:rPr>
        <w:lastRenderedPageBreak/>
        <w:t>Participative and employee-</w:t>
      </w:r>
      <w:proofErr w:type="spellStart"/>
      <w:r w:rsidRPr="0027235C">
        <w:rPr>
          <w:rFonts w:ascii="Arial" w:hAnsi="Arial" w:eastAsia="Arial" w:cs="Arial"/>
          <w:sz w:val="24"/>
          <w:szCs w:val="24"/>
        </w:rPr>
        <w:t>centered</w:t>
      </w:r>
      <w:proofErr w:type="spellEnd"/>
      <w:r w:rsidRPr="0027235C">
        <w:rPr>
          <w:rFonts w:ascii="Arial" w:hAnsi="Arial" w:eastAsia="Arial" w:cs="Arial"/>
          <w:sz w:val="24"/>
          <w:szCs w:val="24"/>
        </w:rPr>
        <w:t xml:space="preserve"> development can create more significant engagement than top-down training since worker control can enhance the perceived pertinence and worth of learning chances. This is a new significant point of view in HCM whereby customary development has often been developed by managers or HR departments. In a systematic review and meta-analysis, Bjork, Bolander and Forsman (2021) discovered that bottom-up interventions have the potential to enhance work engagement by allowing employees to marshal their strengths and psychological resources. This evidence hence explains that development can be more efficient when the employees are made active participants in how their capabilities are improved. Hizam et al. (2025) apply this view to the online workplaces and find connections between training and knowledge sharing, empowerment and engagement. The combination of these studies suggests that development is more and more conceptualised as an interactive process, as opposed to merely organisational provision of formal training. The systematic-review approach that Bjork, Bolander and Forsman employ offers fairly good evidence in terms of integrating the results of different studies, but the heterogeneity between interventions does not allow to find one universally applicable approach. Hizam et al., in turn, offer more context-based evidence, restricting the generalisation. The pattern can be explained with the help of SET since even participation and empowerment may be the signs of organisational trust and respect. Therefore, as far as the research question is concerned, effective HCM can be the need to involve the employees in making developmental decisions instead of using standardised training that is solely based on organisational priorities.</w:t>
      </w:r>
    </w:p>
    <w:p w:rsidRPr="0027235C" w:rsidR="00D63CA2" w:rsidP="00EA78D2" w:rsidRDefault="00BF2F3A" w14:paraId="7B7BE7CD" w14:textId="4A805F66">
      <w:pPr>
        <w:spacing w:line="360" w:lineRule="auto"/>
        <w:jc w:val="both"/>
        <w:rPr>
          <w:rFonts w:ascii="Arial" w:hAnsi="Arial" w:eastAsia="Arial" w:cs="Arial"/>
          <w:sz w:val="24"/>
          <w:szCs w:val="24"/>
        </w:rPr>
      </w:pPr>
      <w:r w:rsidRPr="0027235C">
        <w:rPr>
          <w:rFonts w:ascii="Arial" w:hAnsi="Arial" w:eastAsia="Arial" w:cs="Arial"/>
          <w:sz w:val="24"/>
          <w:szCs w:val="24"/>
        </w:rPr>
        <w:t>Career-growth opportunities can be more important drivers of engagement and retention than the monetary one since employees are increasingly considering development as a factor in future career development. This is a growing controversy to purely economic explanations of staff motivation. Huo (2021) discovered that career-growth opportunities facilitated employee prosperity by boosting learning and vitality, which, in turn, had a role in career outcomes. A two-wave nature of the study also enhances the methodological strength of the study since it minimi</w:t>
      </w:r>
      <w:r w:rsidR="0065284A">
        <w:rPr>
          <w:rFonts w:ascii="Arial" w:hAnsi="Arial" w:eastAsia="Arial" w:cs="Arial"/>
          <w:sz w:val="24"/>
          <w:szCs w:val="24"/>
        </w:rPr>
        <w:t>s</w:t>
      </w:r>
      <w:r w:rsidRPr="0027235C">
        <w:rPr>
          <w:rFonts w:ascii="Arial" w:hAnsi="Arial" w:eastAsia="Arial" w:cs="Arial"/>
          <w:sz w:val="24"/>
          <w:szCs w:val="24"/>
        </w:rPr>
        <w:t>es certain constraints related to single-time-point surveys, but it is limited by its hospitality setting and cannot be generali</w:t>
      </w:r>
      <w:r w:rsidR="0065284A">
        <w:rPr>
          <w:rFonts w:ascii="Arial" w:hAnsi="Arial" w:eastAsia="Arial" w:cs="Arial"/>
          <w:sz w:val="24"/>
          <w:szCs w:val="24"/>
        </w:rPr>
        <w:t>s</w:t>
      </w:r>
      <w:r w:rsidRPr="0027235C">
        <w:rPr>
          <w:rFonts w:ascii="Arial" w:hAnsi="Arial" w:eastAsia="Arial" w:cs="Arial"/>
          <w:sz w:val="24"/>
          <w:szCs w:val="24"/>
        </w:rPr>
        <w:t xml:space="preserve">ed. The perspective presented by Zhu and Song (2022) is complementary yet more challenging. They found that knowledge workers engaged by the development of professional-ability and career goal advancement led to </w:t>
      </w:r>
      <w:r w:rsidRPr="0027235C">
        <w:rPr>
          <w:rFonts w:ascii="Arial" w:hAnsi="Arial" w:eastAsia="Arial" w:cs="Arial"/>
          <w:sz w:val="24"/>
          <w:szCs w:val="24"/>
        </w:rPr>
        <w:lastRenderedPageBreak/>
        <w:t>engagement via perceived organisational support and affective commitment, but reward growth did not exhibit a similar impact. Collectively, the results suggest that employees are able to appreciate the chances to grow professionally outside short-term financial gains. The explanation of SET is useful since organisational support may be of a type other than financial, such as career advice, mentoring and exposure to significant development. Nevertheless, occupational differences cannot be ignored: professionals with high levels of knowledge might value professional development more than those who are placed in jobs with a low degree of progression. Hence, the discussion cannot back a blanket denial of monetary compensation. Rather, it suggests that effective HCM must strike the right balance between rewarding and visible career ladders, where the cultivated employees can see an internal future that reflects their expanding skills.</w:t>
      </w:r>
    </w:p>
    <w:p w:rsidRPr="0027235C" w:rsidR="00D63CA2" w:rsidP="00EA78D2" w:rsidRDefault="00BF2F3A" w14:paraId="5B78A94B" w14:textId="48F661A1">
      <w:pPr>
        <w:spacing w:line="360" w:lineRule="auto"/>
        <w:jc w:val="both"/>
        <w:rPr>
          <w:rFonts w:ascii="Arial" w:hAnsi="Arial" w:eastAsia="Arial" w:cs="Arial"/>
          <w:sz w:val="24"/>
          <w:szCs w:val="24"/>
        </w:rPr>
      </w:pPr>
      <w:r w:rsidRPr="0027235C">
        <w:rPr>
          <w:rFonts w:ascii="Arial" w:hAnsi="Arial" w:eastAsia="Arial" w:cs="Arial"/>
          <w:sz w:val="24"/>
          <w:szCs w:val="24"/>
        </w:rPr>
        <w:t xml:space="preserve">The practicality and applicability of growth also seem to be of more importance in employee commitment than the mere access or amount of training. This is a change of the measurement of developmental investment by hours spent in training, rates of participation or number of programmes to </w:t>
      </w:r>
      <w:r w:rsidRPr="0027235C" w:rsidR="0065284A">
        <w:rPr>
          <w:rFonts w:ascii="Arial" w:hAnsi="Arial" w:eastAsia="Arial" w:cs="Arial"/>
          <w:sz w:val="24"/>
          <w:szCs w:val="24"/>
        </w:rPr>
        <w:t>analysing</w:t>
      </w:r>
      <w:r w:rsidRPr="0027235C">
        <w:rPr>
          <w:rFonts w:ascii="Arial" w:hAnsi="Arial" w:eastAsia="Arial" w:cs="Arial"/>
          <w:sz w:val="24"/>
          <w:szCs w:val="24"/>
        </w:rPr>
        <w:t xml:space="preserve"> quality of the experience that the employees go through. Wu, Li and Zhang (2025) concluded that training relevance, the ability to use the knowledge learned, career prospects and knowledge sharing had an impact on satisfaction, engagement and organisational commitment. Their results indicate that development has low strategic value in cases where learning is not related to the role or career of the employees. This argument is supported by Ndlela, Tebele and Siwela (2026) through a qualitative approach that demonstrates that engineers may be aware of the presence of organisational retention initiatives, but still indicate flaws in mentorship, career development and communication. The contrast is especially significant as it shows a potential difference between what organisations think they are offering and what employees are experiencing. Quantitatively, the more extensive methodology is capable of detecting more extensive associations but qualitative interviews are more in-depth in relation to employee perceptions. The latter is limited to transferability by the small single-company sample, however. SET provides more insight into this argument: organisational investment will only produce reciprocity when employees feel that investment to be meaningful and fair. The implication is that effective HCM must assess the applicability, accessibility and </w:t>
      </w:r>
      <w:r w:rsidRPr="0027235C">
        <w:rPr>
          <w:rFonts w:ascii="Arial" w:hAnsi="Arial" w:eastAsia="Arial" w:cs="Arial"/>
          <w:sz w:val="24"/>
          <w:szCs w:val="24"/>
        </w:rPr>
        <w:lastRenderedPageBreak/>
        <w:t>utilisation of the development as opposed to believing that wide-ranging training provision will automatically generate engagement.</w:t>
      </w:r>
    </w:p>
    <w:p w:rsidRPr="0027235C" w:rsidR="00D63CA2" w:rsidP="00EA78D2" w:rsidRDefault="00BF2F3A" w14:paraId="3F038BF8" w14:textId="105F360D">
      <w:pPr>
        <w:spacing w:line="360" w:lineRule="auto"/>
        <w:jc w:val="both"/>
        <w:rPr>
          <w:rFonts w:ascii="Arial" w:hAnsi="Arial" w:eastAsia="Arial" w:cs="Arial"/>
          <w:sz w:val="24"/>
          <w:szCs w:val="24"/>
        </w:rPr>
      </w:pPr>
      <w:r w:rsidRPr="0027235C">
        <w:rPr>
          <w:rFonts w:ascii="Arial" w:hAnsi="Arial" w:eastAsia="Arial" w:cs="Arial"/>
          <w:sz w:val="24"/>
          <w:szCs w:val="24"/>
        </w:rPr>
        <w:t>Even positive intentions to stay should not be equated to employee retention as such, which poses one of the biggest methodological challenges in the existing research in HCM. A large proportion of literature assesses the retention indirectly, via turnover intention, intention to stay or job-search behaviour. In a systematic review of 27 studies, Shiri et al. (2023) identified positive associations between continuing professional development and intention to remain, less intention to leave and less job-search behaviour. The review has a more extensive empirical basis than the separate organisational studies and suggests a fairly stable developmental-retention relationship. However, most of the studies underlying the research were cross-sectional and focused within healthcare settings, whereas behavioural retention was less commonly measur</w:t>
      </w:r>
      <w:r w:rsidR="00F55E4F">
        <w:rPr>
          <w:rFonts w:ascii="Arial" w:hAnsi="Arial" w:eastAsia="Arial" w:cs="Arial"/>
          <w:sz w:val="24"/>
          <w:szCs w:val="24"/>
        </w:rPr>
        <w:t xml:space="preserve">ed as compared to intent. Saad et al. </w:t>
      </w:r>
      <w:r w:rsidRPr="0027235C">
        <w:rPr>
          <w:rFonts w:ascii="Arial" w:hAnsi="Arial" w:eastAsia="Arial" w:cs="Arial"/>
          <w:sz w:val="24"/>
          <w:szCs w:val="24"/>
        </w:rPr>
        <w:t>(2021) also showed that HRM practices were able to facilitate cognitive, emotional and behavioural engagement, but the application of the strategy did not reinforce these relationships as intended. This observation brings out a difference between what organisations want their HCM systems to accomplish and the actual response of employees. Having demonstrated their commitment at some point, employees might switch due to external opportunities, personal circumstances or changes in working conditions. Thus, the benefits of development on long-term retention may be overestimated by evidence based mainly on attitudes. To provide a more effective answer to the research question, actual turnover, tenure, internal promotion and post-training mobility, as well as attitudinal measures, should be used to evaluate effective HCM.</w:t>
      </w:r>
    </w:p>
    <w:p w:rsidRPr="0027235C" w:rsidR="00D63CA2" w:rsidP="00EA78D2" w:rsidRDefault="00BF2F3A" w14:paraId="061D8E40" w14:textId="0096A3DB">
      <w:pPr>
        <w:spacing w:line="360" w:lineRule="auto"/>
        <w:jc w:val="both"/>
        <w:rPr>
          <w:rFonts w:ascii="Arial" w:hAnsi="Arial" w:eastAsia="Arial" w:cs="Arial"/>
          <w:sz w:val="24"/>
          <w:szCs w:val="24"/>
        </w:rPr>
      </w:pPr>
      <w:r w:rsidRPr="0027235C">
        <w:rPr>
          <w:rFonts w:ascii="Arial" w:hAnsi="Arial" w:eastAsia="Arial" w:cs="Arial"/>
          <w:sz w:val="24"/>
          <w:szCs w:val="24"/>
        </w:rPr>
        <w:t xml:space="preserve">The development paradoxes strategic retention since the investment that drives organisational capability may also be the source of enhancing the external employability of employees. This is a growing tension that undermines the fact that investment in human capital has to lead to organisational ownership of such capital. The SET angle is that employees who have been awarded with meaningful developmental assistance will pay back by being more committed and staying a member, but it is not a prerequisite. Development can also boost competencies, confidence and labour-market value of employees that could lead to opportunities with competing employers. In situations where newly developed employees are faced with low internal mobility, poor recognition or lack of opportunity to apply their gained skills, </w:t>
      </w:r>
      <w:r w:rsidRPr="0027235C">
        <w:rPr>
          <w:rFonts w:ascii="Arial" w:hAnsi="Arial" w:eastAsia="Arial" w:cs="Arial"/>
          <w:sz w:val="24"/>
          <w:szCs w:val="24"/>
        </w:rPr>
        <w:lastRenderedPageBreak/>
        <w:t>the perceived exchange can be unbalanced although the organisation has made an initial investment. This discussion unites the evidence throughout the theme: engagement has the potential to mediate retention, career development can have greater impact than individual rewards, participative development can enhance perceived value, and training relevance has an impact on whether employees feel positively supported by an organisation. This has resulted in organisations having a two-fold task of ensuring that employees are developed to a level that they enhance human capital and at the same time provide an environment that motivates the increased capacity to stay within the organisation. The new view hence re-defines retention as a product of the general developmental association and not an automatic effect of training</w:t>
      </w:r>
      <w:r w:rsidR="00F55E4F">
        <w:rPr>
          <w:rFonts w:ascii="Arial" w:hAnsi="Arial" w:eastAsia="Arial" w:cs="Arial"/>
          <w:sz w:val="24"/>
          <w:szCs w:val="24"/>
        </w:rPr>
        <w:t xml:space="preserve"> (</w:t>
      </w:r>
      <w:r w:rsidR="00F55E4F">
        <w:rPr>
          <w:rStyle w:val="Strong"/>
          <w:rFonts w:ascii="Arial" w:hAnsi="Arial" w:cs="Arial"/>
          <w:b w:val="0"/>
          <w:sz w:val="24"/>
          <w:szCs w:val="24"/>
        </w:rPr>
        <w:t xml:space="preserve">Nabi et al, </w:t>
      </w:r>
      <w:r w:rsidRPr="00D97AB2" w:rsidR="00F55E4F">
        <w:rPr>
          <w:rStyle w:val="Strong"/>
          <w:rFonts w:ascii="Arial" w:hAnsi="Arial" w:cs="Arial"/>
          <w:b w:val="0"/>
          <w:sz w:val="24"/>
          <w:szCs w:val="24"/>
        </w:rPr>
        <w:t>2025)</w:t>
      </w:r>
      <w:r w:rsidRPr="0027235C">
        <w:rPr>
          <w:rFonts w:ascii="Arial" w:hAnsi="Arial" w:eastAsia="Arial" w:cs="Arial"/>
          <w:sz w:val="24"/>
          <w:szCs w:val="24"/>
        </w:rPr>
        <w:t>.</w:t>
      </w:r>
    </w:p>
    <w:p w:rsidRPr="0027235C" w:rsidR="00D63CA2" w:rsidP="00EA78D2" w:rsidRDefault="00BF2F3A" w14:paraId="36E6E8F8" w14:textId="5EF4ED57">
      <w:pPr>
        <w:spacing w:line="360" w:lineRule="auto"/>
        <w:jc w:val="both"/>
        <w:rPr>
          <w:rFonts w:ascii="Arial" w:hAnsi="Arial" w:eastAsia="Arial" w:cs="Arial"/>
          <w:sz w:val="24"/>
          <w:szCs w:val="24"/>
        </w:rPr>
      </w:pPr>
      <w:r w:rsidRPr="0027235C">
        <w:rPr>
          <w:rFonts w:ascii="Arial" w:hAnsi="Arial" w:eastAsia="Arial" w:cs="Arial"/>
          <w:sz w:val="24"/>
          <w:szCs w:val="24"/>
        </w:rPr>
        <w:t>On the whole, the new discussions indicate that the modern concept of training and development has gone beyond the simple argument that training enhances the skills and consequently retention. The conceptual landscape rather shows conflicts among direct and mediated impacts, top-down and staff-led growth, career advancement and monetary compensation, quantity and developmental significance of training, retention intention and real behaviour, and skill formation and outward employability. The social Exchange Theory is a significant interpretive approach in these debates since it gives an understanding of why employees might be prepared to reciprocate the purposeful organisational investment by engaging and committing themselves, and also understanding that the reciprocity can be determined by the manner in which the employment relationship is viewed</w:t>
      </w:r>
      <w:r w:rsidR="00F55E4F">
        <w:rPr>
          <w:rFonts w:ascii="Arial" w:hAnsi="Arial" w:eastAsia="Arial" w:cs="Arial"/>
          <w:sz w:val="24"/>
          <w:szCs w:val="24"/>
        </w:rPr>
        <w:t xml:space="preserve"> (</w:t>
      </w:r>
      <w:r w:rsidR="00F55E4F">
        <w:rPr>
          <w:rStyle w:val="Strong"/>
          <w:rFonts w:ascii="Arial" w:hAnsi="Arial" w:cs="Arial"/>
          <w:b w:val="0"/>
          <w:sz w:val="24"/>
          <w:szCs w:val="24"/>
        </w:rPr>
        <w:t>Tamayo-</w:t>
      </w:r>
      <w:proofErr w:type="spellStart"/>
      <w:r w:rsidR="00F55E4F">
        <w:rPr>
          <w:rStyle w:val="Strong"/>
          <w:rFonts w:ascii="Arial" w:hAnsi="Arial" w:cs="Arial"/>
          <w:b w:val="0"/>
          <w:sz w:val="24"/>
          <w:szCs w:val="24"/>
        </w:rPr>
        <w:t>Verleene</w:t>
      </w:r>
      <w:proofErr w:type="spellEnd"/>
      <w:r w:rsidR="00F55E4F">
        <w:rPr>
          <w:rStyle w:val="Strong"/>
          <w:rFonts w:ascii="Arial" w:hAnsi="Arial" w:cs="Arial"/>
          <w:b w:val="0"/>
          <w:sz w:val="24"/>
          <w:szCs w:val="24"/>
        </w:rPr>
        <w:t xml:space="preserve"> et al.2024)</w:t>
      </w:r>
      <w:r w:rsidRPr="0027235C">
        <w:rPr>
          <w:rFonts w:ascii="Arial" w:hAnsi="Arial" w:eastAsia="Arial" w:cs="Arial"/>
          <w:sz w:val="24"/>
          <w:szCs w:val="24"/>
        </w:rPr>
        <w:t>. The use of cross-sectional designs, self-reported measurements and industry-specific samples preclude causal inferences regarding long-term retention. Theme 3 directly related to the research question confirms that when training and development are relevant, participative developmental investment is transformed into engagement, career opportunity and reciprocal commitment, the training leads to effective HCM; however, training is not effective when training is viewed as a standalone HR activity. These unresolved tensions are also the basis of providing a logical ground to the Theme 4 which points out the definite gaps that cannot be filled by the evidence that exists.</w:t>
      </w:r>
    </w:p>
    <w:p w:rsidR="00E87A2A" w:rsidRDefault="00E87A2A" w14:paraId="6CA8C11D" w14:textId="77777777">
      <w:pPr>
        <w:rPr>
          <w:rFonts w:ascii="Arial" w:hAnsi="Arial" w:eastAsia="Arial" w:cs="Arial"/>
          <w:b/>
          <w:bCs/>
          <w:sz w:val="24"/>
          <w:szCs w:val="24"/>
        </w:rPr>
      </w:pPr>
      <w:r>
        <w:rPr>
          <w:rFonts w:ascii="Arial" w:hAnsi="Arial" w:eastAsia="Arial" w:cs="Arial"/>
          <w:b/>
          <w:bCs/>
          <w:sz w:val="24"/>
          <w:szCs w:val="24"/>
        </w:rPr>
        <w:br w:type="page"/>
      </w:r>
    </w:p>
    <w:p w:rsidRPr="0027235C" w:rsidR="00D63CA2" w:rsidP="00EA78D2" w:rsidRDefault="00BF2F3A" w14:paraId="53844304" w14:textId="620B7588">
      <w:pPr>
        <w:spacing w:line="360" w:lineRule="auto"/>
        <w:jc w:val="both"/>
        <w:rPr>
          <w:rFonts w:ascii="Arial" w:hAnsi="Arial" w:eastAsia="Arial" w:cs="Arial"/>
          <w:b/>
          <w:bCs/>
          <w:sz w:val="24"/>
          <w:szCs w:val="24"/>
        </w:rPr>
      </w:pPr>
      <w:r w:rsidRPr="0027235C">
        <w:rPr>
          <w:rFonts w:ascii="Arial" w:hAnsi="Arial" w:eastAsia="Arial" w:cs="Arial"/>
          <w:b/>
          <w:bCs/>
          <w:sz w:val="24"/>
          <w:szCs w:val="24"/>
        </w:rPr>
        <w:lastRenderedPageBreak/>
        <w:t>Theme 4: Individual and Organisational Conditions of Training Effectiveness</w:t>
      </w:r>
    </w:p>
    <w:p w:rsidR="00D63CA2" w:rsidP="00EA78D2" w:rsidRDefault="004225CC" w14:paraId="183E1B8A" w14:textId="7242D529">
      <w:pPr>
        <w:spacing w:before="240" w:after="240" w:line="360" w:lineRule="auto"/>
        <w:jc w:val="both"/>
        <w:rPr>
          <w:rFonts w:ascii="Arial" w:hAnsi="Arial" w:eastAsia="Arial" w:cs="Arial"/>
          <w:sz w:val="24"/>
          <w:szCs w:val="24"/>
        </w:rPr>
      </w:pPr>
      <w:r w:rsidRPr="004225CC">
        <w:rPr>
          <w:rFonts w:ascii="Arial" w:hAnsi="Arial" w:eastAsia="Arial" w:cs="Arial"/>
          <w:sz w:val="24"/>
          <w:szCs w:val="24"/>
        </w:rPr>
        <w:t>The effectiveness of training is not just based on the quality of the programme, but also the personal and organisational environment that determines the transfer of learning into workplace behaviour. Training Transfer Theory gives an account of how knowledge and skills gained in training will be generalised towards the job. Dixit (2022) demonstrates that transfer-support tools can reinforce application in the workplace and Gautam, Gautam and Basnet (2023) consider training design, transfer motivation, supervisory support and peer support to be significant factors. These results imply that acquisition of learning is not enough proof of a successful Human Capital Management (HCM). Nevertheless, these two studies are based on self-reported evidence as well as cross-sectional evidence; hence, restricting confidence on the lasting behaviour change. In the case of the research question, training can only help in effective HCM when capabilities obtained are put into practice at the workplace.</w:t>
      </w:r>
    </w:p>
    <w:p w:rsidR="004225CC" w:rsidP="00EA78D2" w:rsidRDefault="004225CC" w14:paraId="143970BC" w14:textId="0BA92775">
      <w:pPr>
        <w:spacing w:before="240" w:after="240" w:line="360" w:lineRule="auto"/>
        <w:jc w:val="both"/>
        <w:rPr>
          <w:rFonts w:ascii="Arial" w:hAnsi="Arial" w:eastAsia="Arial" w:cs="Arial"/>
          <w:sz w:val="24"/>
          <w:szCs w:val="24"/>
        </w:rPr>
      </w:pPr>
      <w:r w:rsidRPr="004225CC">
        <w:rPr>
          <w:rFonts w:ascii="Arial" w:hAnsi="Arial" w:eastAsia="Arial" w:cs="Arial"/>
          <w:sz w:val="24"/>
          <w:szCs w:val="24"/>
        </w:rPr>
        <w:t>One of the conditions is individual motivation as employees can get the same training, but perform differently depending on the level of readiness and desire to use learning. As Blume et al. (2023) prove, individual traits do not interact with supervisor support to influence training activity and transfer, and these aspects cannot be disentangled. Nielsen et al. (2023) also established that training outcomes did not consistently deliver positive results across the competencies to imply that employee reactions are complex instead of automatic. Training Transfer Theory thus implies that transfer is based on the ability and motivation following the learning process. Even though before-and-after designs are more convincing than one-time surveys, it is hard to determine whether the improvements would continue to happen as short evaluation periods are used. Effective HCM must consequently evaluate the learner preparedness and transfer motivation and attendance.</w:t>
      </w:r>
    </w:p>
    <w:p w:rsidR="004225CC" w:rsidP="00EA78D2" w:rsidRDefault="004225CC" w14:paraId="29679964" w14:textId="3E82651C">
      <w:pPr>
        <w:spacing w:before="240" w:after="240" w:line="360" w:lineRule="auto"/>
        <w:jc w:val="both"/>
        <w:rPr>
          <w:rFonts w:ascii="Arial" w:hAnsi="Arial" w:eastAsia="Arial" w:cs="Arial"/>
          <w:sz w:val="24"/>
          <w:szCs w:val="24"/>
        </w:rPr>
      </w:pPr>
      <w:r w:rsidRPr="004225CC">
        <w:rPr>
          <w:rFonts w:ascii="Arial" w:hAnsi="Arial" w:eastAsia="Arial" w:cs="Arial"/>
          <w:sz w:val="24"/>
          <w:szCs w:val="24"/>
        </w:rPr>
        <w:t xml:space="preserve">The importance of organisational support is also vital since employees would not maintain developed capabilities in the workplaces that have minimal encouragement, resources or opportunities to exercise the capabilities. According to the Organisational Support Theory, the employees will evaluate whether their organisation appreciates their input and growth. Mehner et al. (2025) discovered that training transfer and sharing of knowledge take place through the support at the workplace, and that knowledge can be propagated beyond the initial trainee by the provision of these </w:t>
      </w:r>
      <w:proofErr w:type="spellStart"/>
      <w:r w:rsidRPr="004225CC">
        <w:rPr>
          <w:rFonts w:ascii="Arial" w:hAnsi="Arial" w:eastAsia="Arial" w:cs="Arial"/>
          <w:sz w:val="24"/>
          <w:szCs w:val="24"/>
        </w:rPr>
        <w:lastRenderedPageBreak/>
        <w:t>favorable</w:t>
      </w:r>
      <w:proofErr w:type="spellEnd"/>
      <w:r w:rsidRPr="004225CC">
        <w:rPr>
          <w:rFonts w:ascii="Arial" w:hAnsi="Arial" w:eastAsia="Arial" w:cs="Arial"/>
          <w:sz w:val="24"/>
          <w:szCs w:val="24"/>
        </w:rPr>
        <w:t xml:space="preserve"> conditions. Similarly, Shukla et al. (2024) name organisational conditions as some of the determinants of online-training transfer. A lot of this evidence however is perceived and not objectively observed support. Training is thus more beneficial to HCM when the employees undergo after-training support as opposed to just being provided with formal development.</w:t>
      </w:r>
    </w:p>
    <w:p w:rsidR="004225CC" w:rsidP="00EA78D2" w:rsidRDefault="004225CC" w14:paraId="141D41C6" w14:textId="6FECD9A2">
      <w:pPr>
        <w:spacing w:before="240" w:after="240" w:line="360" w:lineRule="auto"/>
        <w:jc w:val="both"/>
        <w:rPr>
          <w:rFonts w:ascii="Arial" w:hAnsi="Arial" w:eastAsia="Arial" w:cs="Arial"/>
          <w:sz w:val="24"/>
          <w:szCs w:val="24"/>
        </w:rPr>
      </w:pPr>
      <w:r w:rsidRPr="004225CC">
        <w:rPr>
          <w:rFonts w:ascii="Arial" w:hAnsi="Arial" w:eastAsia="Arial" w:cs="Arial"/>
          <w:sz w:val="24"/>
          <w:szCs w:val="24"/>
        </w:rPr>
        <w:t>The training effectiveness depends on the managerial and peer support since the social environment defines whether employees are able to practise, reinforce and share skills or not. Gautam et al. (2023) focus on supervisory and colleague support, and Mehner et al. (2025) relate the supportive conditions in the workplace with sharing knowledge post-training. These results suggest that transfer is not an individual phenomenon but a social one. This is supported by the Organisational Support Theory, in which the supportive managers communicate that development is important. However, support may change as workload changes, depending on the quality of leadership and the priorities in an organisation, creating varying climates of transfer. Good HCM thus involves the managers reinforcing the learning with feedback, coaching and application opportunities.</w:t>
      </w:r>
    </w:p>
    <w:p w:rsidR="004225CC" w:rsidP="00EA78D2" w:rsidRDefault="004225CC" w14:paraId="689D5FAB" w14:textId="569BB85F">
      <w:pPr>
        <w:spacing w:before="240" w:after="240" w:line="360" w:lineRule="auto"/>
        <w:jc w:val="both"/>
        <w:rPr>
          <w:rFonts w:ascii="Arial" w:hAnsi="Arial" w:eastAsia="Arial" w:cs="Arial"/>
          <w:sz w:val="24"/>
          <w:szCs w:val="24"/>
        </w:rPr>
      </w:pPr>
      <w:r w:rsidRPr="004225CC">
        <w:rPr>
          <w:rFonts w:ascii="Arial" w:hAnsi="Arial" w:eastAsia="Arial" w:cs="Arial"/>
          <w:sz w:val="24"/>
          <w:szCs w:val="24"/>
        </w:rPr>
        <w:t>The effectiveness is also dictated by training design since the less the content has to do with the job requirements, the less the likelihood of a transfer to occur. Shukla et al. (2024) find design of training to be a factor that affects online transfer, and Langendorf and Khalid (2025) report that studies of digital-training are usually characterized by inconsistent evaluation, small sample size and lack of format comparisons. Online and blended education can raise the accessibility but not guarantee better transfer. The theory of Training Transfer thus ends up drawing the focus of delivery format to the relevance of the job, practice and reinforcement. The lack of methodological consistency does not allow making concrete conclusions about the best mode, and thus HCM should choose training based on its ability to help it to be put into practice.</w:t>
      </w:r>
    </w:p>
    <w:p w:rsidR="004225CC" w:rsidP="00EA78D2" w:rsidRDefault="004225CC" w14:paraId="093B912C" w14:textId="2AD40A8B">
      <w:pPr>
        <w:spacing w:before="240" w:after="240" w:line="360" w:lineRule="auto"/>
        <w:jc w:val="both"/>
        <w:rPr>
          <w:rFonts w:ascii="Arial" w:hAnsi="Arial" w:eastAsia="Arial" w:cs="Arial"/>
          <w:sz w:val="24"/>
          <w:szCs w:val="24"/>
        </w:rPr>
      </w:pPr>
      <w:r w:rsidRPr="004225CC">
        <w:rPr>
          <w:rFonts w:ascii="Arial" w:hAnsi="Arial" w:eastAsia="Arial" w:cs="Arial"/>
          <w:sz w:val="24"/>
          <w:szCs w:val="24"/>
        </w:rPr>
        <w:t xml:space="preserve">The issue of the climate of workplace learning expands the discussion since human-capital development can also be accomplished through informal learning not in organized courses. According to Wijga, </w:t>
      </w:r>
      <w:proofErr w:type="spellStart"/>
      <w:r w:rsidRPr="004225CC">
        <w:rPr>
          <w:rFonts w:ascii="Arial" w:hAnsi="Arial" w:eastAsia="Arial" w:cs="Arial"/>
          <w:sz w:val="24"/>
          <w:szCs w:val="24"/>
        </w:rPr>
        <w:t>Beausaert</w:t>
      </w:r>
      <w:proofErr w:type="spellEnd"/>
      <w:r w:rsidRPr="004225CC">
        <w:rPr>
          <w:rFonts w:ascii="Arial" w:hAnsi="Arial" w:eastAsia="Arial" w:cs="Arial"/>
          <w:sz w:val="24"/>
          <w:szCs w:val="24"/>
        </w:rPr>
        <w:t xml:space="preserve"> and </w:t>
      </w:r>
      <w:proofErr w:type="spellStart"/>
      <w:r w:rsidRPr="004225CC">
        <w:rPr>
          <w:rFonts w:ascii="Arial" w:hAnsi="Arial" w:eastAsia="Arial" w:cs="Arial"/>
          <w:sz w:val="24"/>
          <w:szCs w:val="24"/>
        </w:rPr>
        <w:t>Kyndt</w:t>
      </w:r>
      <w:proofErr w:type="spellEnd"/>
      <w:r w:rsidRPr="004225CC">
        <w:rPr>
          <w:rFonts w:ascii="Arial" w:hAnsi="Arial" w:eastAsia="Arial" w:cs="Arial"/>
          <w:sz w:val="24"/>
          <w:szCs w:val="24"/>
        </w:rPr>
        <w:t xml:space="preserve"> (2025), motivation, self-efficacy, learning climate and job demands are the factors that impact workplace learning. Barbosa and Borges-Andrade (2025) also show that formal training and </w:t>
      </w:r>
      <w:r w:rsidRPr="004225CC">
        <w:rPr>
          <w:rFonts w:ascii="Arial" w:hAnsi="Arial" w:eastAsia="Arial" w:cs="Arial"/>
          <w:sz w:val="24"/>
          <w:szCs w:val="24"/>
        </w:rPr>
        <w:lastRenderedPageBreak/>
        <w:t>informal learning behaviours are to be regarded as one. This questions methods of measuring development primarily by course participation since the employees can strengthen capabilities by providing feedback, collaborating and problem solving. The Organisational Support Theory is applicable as the presence of a good learning climate sends the message that development is supported. Nonetheless, the cross-national evidence can blur the occupational and organisational differences. Good HCM must thus be formal training with the constant learning in the workplace.</w:t>
      </w:r>
    </w:p>
    <w:p w:rsidR="004225CC" w:rsidP="00EA78D2" w:rsidRDefault="004225CC" w14:paraId="1D28A914" w14:textId="72731BF8">
      <w:pPr>
        <w:spacing w:before="240" w:after="240" w:line="360" w:lineRule="auto"/>
        <w:jc w:val="both"/>
        <w:rPr>
          <w:rFonts w:ascii="Arial" w:hAnsi="Arial" w:eastAsia="Arial" w:cs="Arial"/>
          <w:sz w:val="24"/>
          <w:szCs w:val="24"/>
        </w:rPr>
      </w:pPr>
      <w:r w:rsidRPr="004225CC">
        <w:rPr>
          <w:rFonts w:ascii="Arial" w:hAnsi="Arial" w:eastAsia="Arial" w:cs="Arial"/>
          <w:sz w:val="24"/>
          <w:szCs w:val="24"/>
        </w:rPr>
        <w:t>The effectiveness of training among employee groups might not be the same since not all employees will have equal access and opportunities to put the development into practice. Hwang and Yoon (2023) emphasize fewer and less-educated workers having weaker workplace-learning opportunities, whereas Kroese (2022) demonstrates that training research has typically assumed that gender is a gender-neutral factor in training experiences and outcomes. These results dispute the assumptions that development systems do not influence all workers in the same way. The Organisational Support Theory proposes that the perception of fairness and support may be diminished because of unequal access. Nonetheless, the literature review-based studies reveal the lack of longitudinal research studies that study various employee attributes. The effectiveness of HCM should thus be measured in the workforce groups, as opposed to the organisational averages.</w:t>
      </w:r>
    </w:p>
    <w:p w:rsidRPr="004225CC" w:rsidR="004225CC" w:rsidP="00EA78D2" w:rsidRDefault="004225CC" w14:paraId="2AD32313" w14:textId="0D899B6A">
      <w:pPr>
        <w:spacing w:before="240" w:after="240" w:line="360" w:lineRule="auto"/>
        <w:jc w:val="both"/>
        <w:rPr>
          <w:rFonts w:ascii="Arial" w:hAnsi="Arial" w:eastAsia="Arial" w:cs="Arial"/>
          <w:b/>
          <w:bCs/>
          <w:sz w:val="24"/>
          <w:szCs w:val="24"/>
          <w:lang w:val="en-IN"/>
        </w:rPr>
      </w:pPr>
      <w:r w:rsidRPr="004225CC">
        <w:rPr>
          <w:rFonts w:ascii="Arial" w:hAnsi="Arial" w:eastAsia="Arial" w:cs="Arial"/>
          <w:sz w:val="24"/>
          <w:szCs w:val="24"/>
          <w:lang w:val="en-IN"/>
        </w:rPr>
        <w:t xml:space="preserve">The Organisational Support Theory and Training Transfer Theory are complementary theories that explain training effectiveness. The former would be used to explain how learning transfers into job behaviour and the latter explain how support at the workplace promotes or limits the same. Islam and Amin (2022) demonstrate that human capital is the process of acquisition, development and utilisation as opposed to mere accumulation of skills. Poor support leads to employees learning but failing to transfer, and good workplaces are unable to offset low-quality training. In sum, successful HCM needs the presence of agreement among the readiness of employees, corresponding training design, managerial and peer support, learning climate and application opportunities. Causal inferences are limited by methodological weaknesses such as cross-sectional designs, self-reported measures. Directly relating to the research question, training and development will help in bringing about </w:t>
      </w:r>
      <w:r w:rsidRPr="004225CC">
        <w:rPr>
          <w:rFonts w:ascii="Arial" w:hAnsi="Arial" w:eastAsia="Arial" w:cs="Arial"/>
          <w:sz w:val="24"/>
          <w:szCs w:val="24"/>
          <w:lang w:val="en-IN"/>
        </w:rPr>
        <w:lastRenderedPageBreak/>
        <w:t>effective HCM where employees are able to transfer learning and organisational conditions translate the learning into long term workplace performance.</w:t>
      </w:r>
    </w:p>
    <w:p w:rsidRPr="0027235C" w:rsidR="00D63CA2" w:rsidP="00EA78D2" w:rsidRDefault="00BF2F3A" w14:paraId="21B32E96" w14:textId="77777777">
      <w:pPr>
        <w:pStyle w:val="Heading2"/>
        <w:rPr>
          <w:rFonts w:eastAsia="Arial"/>
          <w:color w:val="auto"/>
        </w:rPr>
      </w:pPr>
      <w:bookmarkStart w:name="_Toc239530795" w:id="36"/>
      <w:r w:rsidRPr="0027235C">
        <w:rPr>
          <w:rFonts w:eastAsia="Arial"/>
          <w:color w:val="auto"/>
        </w:rPr>
        <w:t>3.4 Chapter Conclusion</w:t>
      </w:r>
      <w:bookmarkEnd w:id="36"/>
      <w:r w:rsidRPr="0027235C">
        <w:rPr>
          <w:rFonts w:eastAsia="Arial"/>
          <w:color w:val="auto"/>
        </w:rPr>
        <w:t xml:space="preserve"> </w:t>
      </w:r>
    </w:p>
    <w:p w:rsidRPr="0027235C" w:rsidR="00D63CA2" w:rsidP="00EA78D2" w:rsidRDefault="00BF2F3A" w14:paraId="720F05D5"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This chapter critically examined the literature on training and development of employees and its role in the management of human capital (HCM). In all four themes, it was proven that training cannot be interpreted as a temporary task that can be performed to enhance the skills of employees. Rather, </w:t>
      </w:r>
      <w:proofErr w:type="spellStart"/>
      <w:r w:rsidRPr="0027235C">
        <w:rPr>
          <w:rFonts w:ascii="Arial" w:hAnsi="Arial" w:eastAsia="Arial" w:cs="Arial"/>
          <w:sz w:val="24"/>
          <w:szCs w:val="24"/>
        </w:rPr>
        <w:t>its</w:t>
      </w:r>
      <w:proofErr w:type="spellEnd"/>
      <w:r w:rsidRPr="0027235C">
        <w:rPr>
          <w:rFonts w:ascii="Arial" w:hAnsi="Arial" w:eastAsia="Arial" w:cs="Arial"/>
          <w:sz w:val="24"/>
          <w:szCs w:val="24"/>
        </w:rPr>
        <w:t xml:space="preserve"> worth will be determined by the effectiveness of organisations to develop, transfer, apply and retain employee capabilities in the work place.</w:t>
      </w:r>
    </w:p>
    <w:p w:rsidRPr="0027235C" w:rsidR="00D63CA2" w:rsidP="00EA78D2" w:rsidRDefault="00BF2F3A" w14:paraId="455FB84F"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The theoretical underpinnings were that the Human Capital Theory, Resource-Based Theory, Training Transfer Theory, Social Exchange Theory and Organisational Support Theory are complementary explanations of why organisations invest in employee development and how this investment can yield individual and organisational value. The empirical literature indicated a general consensus that training and development has the potential to enhance employee capability, performance, engagement and organisational outcomes, but these associations are seldom automatic nor homogenous. The transfer of learning was found to be of the utmost importance since training produces little HCM value when the learning is not translated to real work.</w:t>
      </w:r>
    </w:p>
    <w:p w:rsidRPr="0027235C" w:rsidR="00D63CA2" w:rsidP="00EA78D2" w:rsidRDefault="00BF2F3A" w14:paraId="042E9953"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The new debates also showed that development can enhance engagement and retention as long as employees see organisational investment in a positive way, can have meaningful career opportunities and are actively involved in their development. Training can however also have an external employability effect and there is a tension between developing and retaining good employees. Lastly, there was evidence that the individual and organisational conditions determine the effectiveness of training. The interaction of employee motivation, readiness and self-efficacy with the design of training, managerial support, peer support, learning climate and application opportunities.</w:t>
      </w:r>
    </w:p>
    <w:p w:rsidRPr="0027235C" w:rsidR="00570292" w:rsidP="00570292" w:rsidRDefault="00BF2F3A" w14:paraId="6E372D4D"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In general, the literature suggests that employee training and development have a role in effective HCM when learning is relevant, transferred to workplace practice and facilitated by the organisation and related to broader career and performance </w:t>
      </w:r>
      <w:r w:rsidRPr="0027235C">
        <w:rPr>
          <w:rFonts w:ascii="Arial" w:hAnsi="Arial" w:eastAsia="Arial" w:cs="Arial"/>
          <w:sz w:val="24"/>
          <w:szCs w:val="24"/>
        </w:rPr>
        <w:lastRenderedPageBreak/>
        <w:t>outcomes. However, the limitations of methods such as cross-sectional designs, self-reported and inconsistent definitions of effectiveness limit the ability to draw conclusive causal findings. The results give the conceptual and empirical rationale to study how organisations can transform developmental investment into a long-term human-capital val</w:t>
      </w:r>
      <w:r w:rsidRPr="0027235C" w:rsidR="00570292">
        <w:rPr>
          <w:rFonts w:ascii="Arial" w:hAnsi="Arial" w:eastAsia="Arial" w:cs="Arial"/>
          <w:sz w:val="24"/>
          <w:szCs w:val="24"/>
        </w:rPr>
        <w:t>ue.</w:t>
      </w:r>
    </w:p>
    <w:p w:rsidRPr="0027235C" w:rsidR="00570292" w:rsidRDefault="00570292" w14:paraId="242B0167" w14:textId="77777777">
      <w:pPr>
        <w:rPr>
          <w:rFonts w:ascii="Arial" w:hAnsi="Arial" w:eastAsia="Arial" w:cs="Arial"/>
          <w:sz w:val="24"/>
          <w:szCs w:val="24"/>
        </w:rPr>
      </w:pPr>
      <w:r w:rsidRPr="0027235C">
        <w:rPr>
          <w:rFonts w:ascii="Arial" w:hAnsi="Arial" w:eastAsia="Arial" w:cs="Arial"/>
          <w:sz w:val="24"/>
          <w:szCs w:val="24"/>
        </w:rPr>
        <w:br w:type="page"/>
      </w:r>
    </w:p>
    <w:p w:rsidRPr="0027235C" w:rsidR="00570292" w:rsidP="573B7504" w:rsidRDefault="00570292" w14:paraId="0A3894B9" w14:textId="55C3CBFA">
      <w:pPr>
        <w:pStyle w:val="Heading1"/>
        <w:jc w:val="center"/>
        <w:rPr>
          <w:rFonts w:eastAsia="Arial"/>
        </w:rPr>
      </w:pPr>
      <w:bookmarkStart w:name="_Toc239530796" w:id="37"/>
      <w:r w:rsidRPr="573B7504" w:rsidR="00570292">
        <w:rPr>
          <w:rFonts w:eastAsia="Arial"/>
        </w:rPr>
        <w:t>Chapter 4: Discussion</w:t>
      </w:r>
      <w:bookmarkEnd w:id="37"/>
    </w:p>
    <w:p w:rsidRPr="0027235C" w:rsidR="00570292" w:rsidP="00D61675" w:rsidRDefault="00570292" w14:paraId="0E22AF05" w14:textId="6FC9D1CB">
      <w:pPr>
        <w:pStyle w:val="Heading2"/>
        <w:rPr>
          <w:rFonts w:eastAsia="Arial"/>
        </w:rPr>
      </w:pPr>
      <w:bookmarkStart w:name="_Toc239530797" w:id="38"/>
      <w:r w:rsidRPr="0027235C">
        <w:rPr>
          <w:rFonts w:eastAsia="Arial"/>
        </w:rPr>
        <w:t>4.1 Integration of Findings</w:t>
      </w:r>
      <w:bookmarkEnd w:id="38"/>
    </w:p>
    <w:p w:rsidRPr="0027235C" w:rsidR="00BE66B8" w:rsidP="00D61675" w:rsidRDefault="00BE66B8" w14:paraId="508B92A0" w14:textId="77777777">
      <w:pPr>
        <w:pStyle w:val="Heading3"/>
      </w:pPr>
      <w:bookmarkStart w:name="_Toc239530798" w:id="39"/>
      <w:r w:rsidRPr="0027235C">
        <w:t>4.1.1 From Training Investment to Usable Human Capital</w:t>
      </w:r>
      <w:bookmarkEnd w:id="39"/>
    </w:p>
    <w:p w:rsidRPr="0027235C" w:rsidR="00BE66B8" w:rsidP="00BE66B8" w:rsidRDefault="0027235C" w14:paraId="247DC754" w14:textId="4D4A70C9">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The most consistent finding throughout the evidence base is that training must be viewed as a starting point of a capability-development process and not its end result. The Human Capital Theory justifies investing in employees since learning enhances knowledge and productive capacity; the review however indicates that spending and participation or course completion cannot solely result into effective Human Capital Management (HCM). </w:t>
      </w:r>
      <w:proofErr w:type="spellStart"/>
      <w:r w:rsidRPr="0027235C">
        <w:rPr>
          <w:rFonts w:ascii="Arial" w:hAnsi="Arial" w:eastAsia="Arial" w:cs="Arial"/>
          <w:sz w:val="24"/>
          <w:szCs w:val="24"/>
        </w:rPr>
        <w:t>Garavan</w:t>
      </w:r>
      <w:proofErr w:type="spellEnd"/>
      <w:r w:rsidRPr="0027235C">
        <w:rPr>
          <w:rFonts w:ascii="Arial" w:hAnsi="Arial" w:eastAsia="Arial" w:cs="Arial"/>
          <w:sz w:val="24"/>
          <w:szCs w:val="24"/>
        </w:rPr>
        <w:t xml:space="preserve"> et al. (2021</w:t>
      </w:r>
      <w:r w:rsidR="00275EFF">
        <w:rPr>
          <w:rFonts w:ascii="Arial" w:hAnsi="Arial" w:eastAsia="Arial" w:cs="Arial"/>
          <w:sz w:val="24"/>
          <w:szCs w:val="24"/>
        </w:rPr>
        <w:t>b</w:t>
      </w:r>
      <w:r w:rsidRPr="0027235C">
        <w:rPr>
          <w:rFonts w:ascii="Arial" w:hAnsi="Arial" w:eastAsia="Arial" w:cs="Arial"/>
          <w:sz w:val="24"/>
          <w:szCs w:val="24"/>
        </w:rPr>
        <w:t>) discovered that there was a positive, on the whole, training-performance relationship, yet they also revealed that the strength of the relationship depends on the organisational and contextual conditions. This is supported by the study by Schwarz et al. (2026), which examined 19,289 UK firm-years wherein they concluded that investment in managerial and staff training was related to productivity, and that the combination of managerial and staff training produced extra returns. Noteworthy, it was training intensity that mattered more than extensive coverage. This indicates that HCM generates value with the quality, positioning and complementarity of development investment as opposed to training volume.</w:t>
      </w:r>
    </w:p>
    <w:p w:rsidRPr="0027235C" w:rsidR="0027235C" w:rsidP="00BE66B8" w:rsidRDefault="0027235C" w14:paraId="2357E8DC" w14:textId="61887129">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This understanding also explains why competence ought to be considered as an intermediate resource as opposed to a conclusive HCM outcome. Al-Tit et al. (2022), Hosen et al. (2024) and </w:t>
      </w:r>
      <w:proofErr w:type="spellStart"/>
      <w:r w:rsidRPr="0027235C">
        <w:rPr>
          <w:rFonts w:ascii="Arial" w:hAnsi="Arial" w:eastAsia="Arial" w:cs="Arial"/>
          <w:sz w:val="24"/>
          <w:szCs w:val="24"/>
        </w:rPr>
        <w:t>Keltu</w:t>
      </w:r>
      <w:proofErr w:type="spellEnd"/>
      <w:r w:rsidRPr="0027235C">
        <w:rPr>
          <w:rFonts w:ascii="Arial" w:hAnsi="Arial" w:eastAsia="Arial" w:cs="Arial"/>
          <w:sz w:val="24"/>
          <w:szCs w:val="24"/>
        </w:rPr>
        <w:t xml:space="preserve"> (2024) relate development to human capital, performance and satisfaction, but their mostly cross-sectional data cannot definitively determine the chronological order, in which training is converted into organisational value. Recent evidence reinforces knowledge on this mechanism. Otoo (2024) discovered that HRD practices were associated with employee competencies via organisational learning culture, whereas Serenko, Abubakar and </w:t>
      </w:r>
      <w:proofErr w:type="spellStart"/>
      <w:r w:rsidRPr="0027235C">
        <w:rPr>
          <w:rFonts w:ascii="Arial" w:hAnsi="Arial" w:eastAsia="Arial" w:cs="Arial"/>
          <w:sz w:val="24"/>
          <w:szCs w:val="24"/>
        </w:rPr>
        <w:t>Bontis</w:t>
      </w:r>
      <w:proofErr w:type="spellEnd"/>
      <w:r w:rsidRPr="0027235C">
        <w:rPr>
          <w:rFonts w:ascii="Arial" w:hAnsi="Arial" w:eastAsia="Arial" w:cs="Arial"/>
          <w:sz w:val="24"/>
          <w:szCs w:val="24"/>
        </w:rPr>
        <w:t xml:space="preserve"> (2024) connected training and development opportunities to job satisfaction, lower turnover intention and human-capital outflow. All of these studies suggest that efficient HCM is not merely a matter of talented people but a system of an organisation that can mobilise, retain and assimilate such talent.</w:t>
      </w:r>
    </w:p>
    <w:p w:rsidRPr="0027235C" w:rsidR="00BE66B8" w:rsidP="00D61675" w:rsidRDefault="00BE66B8" w14:paraId="0854A45B" w14:textId="77777777">
      <w:pPr>
        <w:pStyle w:val="Heading3"/>
      </w:pPr>
      <w:bookmarkStart w:name="_Toc239530799" w:id="40"/>
      <w:r w:rsidRPr="0027235C">
        <w:lastRenderedPageBreak/>
        <w:t>4.1.2 Learning Transfer as the Conversion Mechanism</w:t>
      </w:r>
      <w:bookmarkEnd w:id="40"/>
    </w:p>
    <w:p w:rsidRPr="0027235C" w:rsidR="00BE66B8" w:rsidP="00BE66B8" w:rsidRDefault="0027235C" w14:paraId="4021D9E4" w14:textId="01CA8DAB">
      <w:pPr>
        <w:spacing w:before="240" w:after="240" w:line="360" w:lineRule="auto"/>
        <w:jc w:val="both"/>
        <w:rPr>
          <w:rFonts w:ascii="Arial" w:hAnsi="Arial" w:eastAsia="Arial" w:cs="Arial"/>
          <w:sz w:val="24"/>
          <w:szCs w:val="24"/>
        </w:rPr>
      </w:pPr>
      <w:r w:rsidRPr="0027235C">
        <w:rPr>
          <w:rFonts w:ascii="Arial" w:hAnsi="Arial" w:eastAsia="Arial" w:cs="Arial"/>
          <w:sz w:val="24"/>
          <w:szCs w:val="24"/>
        </w:rPr>
        <w:t>The synthesis recogni</w:t>
      </w:r>
      <w:r w:rsidR="0065284A">
        <w:rPr>
          <w:rFonts w:ascii="Arial" w:hAnsi="Arial" w:eastAsia="Arial" w:cs="Arial"/>
          <w:sz w:val="24"/>
          <w:szCs w:val="24"/>
        </w:rPr>
        <w:t>s</w:t>
      </w:r>
      <w:r w:rsidRPr="0027235C">
        <w:rPr>
          <w:rFonts w:ascii="Arial" w:hAnsi="Arial" w:eastAsia="Arial" w:cs="Arial"/>
          <w:sz w:val="24"/>
          <w:szCs w:val="24"/>
        </w:rPr>
        <w:t>es the learning transfer as the key conversion process between expenditure in development and the HCM outcomes. The conceptualisation of transfer proposed by Ford et al. (2018) was based on the generalisation and maintenance of learning at work, whereas the evidence synthesised earlier demonstrated that the readiness of learners, the relevance of training, and social support and a chance to use learning repeatedly decide whether such conversion takes place or not. This meaning is reinforced by Chen, Lin and Liu (2024), who discovered that social interaction, trust and shared vision had indirect influences on occupational commitment by transferring training, which varied depending on the presence of soft or hard skills during training. de Jong, Jansen in de Wal and Cornelissen (2025) also found that voluntary participation tended to increase transfer motivation, and the influence of mandatory participation varied depending on the presence of soft or hard skills during the training. Transfer cannot thus be seen as a homogenous post-training phase; it is a contextual process that is influenced at the same time by the employee, programme and workplace.</w:t>
      </w:r>
    </w:p>
    <w:p w:rsidRPr="0027235C" w:rsidR="0027235C" w:rsidP="00BE66B8" w:rsidRDefault="0027235C" w14:paraId="71F63262" w14:textId="0348A88D">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The same finds a conclusion when formal and informal learning are viewed as one. </w:t>
      </w:r>
      <w:proofErr w:type="spellStart"/>
      <w:r w:rsidRPr="0027235C">
        <w:rPr>
          <w:rFonts w:ascii="Arial" w:hAnsi="Arial" w:eastAsia="Arial" w:cs="Arial"/>
          <w:sz w:val="24"/>
          <w:szCs w:val="24"/>
        </w:rPr>
        <w:t>Gemmano</w:t>
      </w:r>
      <w:proofErr w:type="spellEnd"/>
      <w:r w:rsidRPr="0027235C">
        <w:rPr>
          <w:rFonts w:ascii="Arial" w:hAnsi="Arial" w:eastAsia="Arial" w:cs="Arial"/>
          <w:sz w:val="24"/>
          <w:szCs w:val="24"/>
        </w:rPr>
        <w:t xml:space="preserve">, </w:t>
      </w:r>
      <w:proofErr w:type="spellStart"/>
      <w:r w:rsidRPr="0027235C">
        <w:rPr>
          <w:rFonts w:ascii="Arial" w:hAnsi="Arial" w:eastAsia="Arial" w:cs="Arial"/>
          <w:sz w:val="24"/>
          <w:szCs w:val="24"/>
        </w:rPr>
        <w:t>Manuti</w:t>
      </w:r>
      <w:proofErr w:type="spellEnd"/>
      <w:r w:rsidRPr="0027235C">
        <w:rPr>
          <w:rFonts w:ascii="Arial" w:hAnsi="Arial" w:eastAsia="Arial" w:cs="Arial"/>
          <w:sz w:val="24"/>
          <w:szCs w:val="24"/>
        </w:rPr>
        <w:t xml:space="preserve"> and Gonzalez-Romana (2026) discovered that the relationship between HRD exposure and training transfer was mediated by formal training evaluation, and that informal learning behaviours reinforced the relationship between formal training evaluation and transfer. This builds on the previous observation by Mehner, </w:t>
      </w:r>
      <w:proofErr w:type="spellStart"/>
      <w:r w:rsidRPr="0027235C">
        <w:rPr>
          <w:rFonts w:ascii="Arial" w:hAnsi="Arial" w:eastAsia="Arial" w:cs="Arial"/>
          <w:sz w:val="24"/>
          <w:szCs w:val="24"/>
        </w:rPr>
        <w:t>Rothenbusch</w:t>
      </w:r>
      <w:proofErr w:type="spellEnd"/>
      <w:r w:rsidRPr="0027235C">
        <w:rPr>
          <w:rFonts w:ascii="Arial" w:hAnsi="Arial" w:eastAsia="Arial" w:cs="Arial"/>
          <w:sz w:val="24"/>
          <w:szCs w:val="24"/>
        </w:rPr>
        <w:t xml:space="preserve"> and Kauffeld (2025) that learning can be transferred past the trainee through social support and sharing of knowledge. The successful HCM then must be comprehended as a capability-circulation system: workers learn, use it, are reinforced, share it with other workers and increasingly instantiate learning in shared practices. Training strategic contribution is therefore not in what the employees learn but rather what the organisation is able to allow them to do with what they have learned.</w:t>
      </w:r>
    </w:p>
    <w:p w:rsidRPr="0027235C" w:rsidR="00BE66B8" w:rsidP="00D61675" w:rsidRDefault="00BE66B8" w14:paraId="6DB0CE20" w14:textId="77777777">
      <w:pPr>
        <w:pStyle w:val="Heading3"/>
      </w:pPr>
      <w:bookmarkStart w:name="_Toc239530800" w:id="41"/>
      <w:r w:rsidRPr="0027235C">
        <w:t>4.1.3 Engagement, Career Value and Retention</w:t>
      </w:r>
      <w:bookmarkEnd w:id="41"/>
    </w:p>
    <w:p w:rsidR="00BE66B8" w:rsidP="00BE66B8" w:rsidRDefault="0027235C" w14:paraId="6D9BFFF9" w14:textId="4BBA8FD2">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The third finding, which is integrated, is that development produces both relational and productive value. According to Xuecheng, Iqbal and Saina (2022), Mampuru, Mokoena </w:t>
      </w:r>
      <w:r w:rsidRPr="0027235C">
        <w:rPr>
          <w:rFonts w:ascii="Arial" w:hAnsi="Arial" w:eastAsia="Arial" w:cs="Arial"/>
          <w:sz w:val="24"/>
          <w:szCs w:val="24"/>
        </w:rPr>
        <w:lastRenderedPageBreak/>
        <w:t>and Isabirye (2024) and Shiri et al. (2023), development is capable of reinforcing the satisfaction, commitment and intention to remain. Nonetheless, a development paradox is also apparent in Chapter 3: as the capabilities of employees grow, they might also become more appealing in the external labour market. Oh et al. (2025) have more solid evidence that can be used to assess this tension. On the basis of longitudinal data 408 firms, they discovered that training investment minimi</w:t>
      </w:r>
      <w:r w:rsidR="0065284A">
        <w:rPr>
          <w:rFonts w:ascii="Arial" w:hAnsi="Arial" w:eastAsia="Arial" w:cs="Arial"/>
          <w:sz w:val="24"/>
          <w:szCs w:val="24"/>
        </w:rPr>
        <w:t>s</w:t>
      </w:r>
      <w:r w:rsidRPr="0027235C">
        <w:rPr>
          <w:rFonts w:ascii="Arial" w:hAnsi="Arial" w:eastAsia="Arial" w:cs="Arial"/>
          <w:sz w:val="24"/>
          <w:szCs w:val="24"/>
        </w:rPr>
        <w:t>ed voluntary turnover by enhancing employee commitment and that the hypothesized competence-mediated pathway to higher turnover was not statistically significant. This gives the relational explanation a greater foundation to stand than most cross-sectional studies, but which cannot prove the disappearance of the employability paradox in all occupations and labour markets.</w:t>
      </w:r>
    </w:p>
    <w:p w:rsidRPr="0027235C" w:rsidR="0027235C" w:rsidP="00BE66B8" w:rsidRDefault="0027235C" w14:paraId="4992DB60" w14:textId="5759668F">
      <w:pPr>
        <w:spacing w:before="240" w:after="240" w:line="360" w:lineRule="auto"/>
        <w:jc w:val="both"/>
        <w:rPr>
          <w:rFonts w:ascii="Arial" w:hAnsi="Arial" w:eastAsia="Arial" w:cs="Arial"/>
          <w:sz w:val="24"/>
          <w:szCs w:val="24"/>
        </w:rPr>
      </w:pPr>
      <w:r w:rsidRPr="0027235C">
        <w:rPr>
          <w:rFonts w:ascii="Arial" w:hAnsi="Arial" w:eastAsia="Arial" w:cs="Arial"/>
          <w:sz w:val="24"/>
          <w:szCs w:val="24"/>
        </w:rPr>
        <w:t>The synthesis hence implies that an attractive internal employment proposition is correlated with retention when there is development. The career development, purposeful work, and rewards and a chance to apply the newly gained skills determine whether employees view development as an important organisational investment. Training also helps HCM to retain workers, as the workers are allowed to translate enhanced ability into internal promotion. On the other hand, when there is a restriction in internal mobility or skill-utilisation, organisations can fund human-capital formation without necessarily being in a position to retain the resulting capability.</w:t>
      </w:r>
    </w:p>
    <w:p w:rsidRPr="0027235C" w:rsidR="00BE66B8" w:rsidP="00D61675" w:rsidRDefault="00BE66B8" w14:paraId="14B7D4B8" w14:textId="77777777">
      <w:pPr>
        <w:pStyle w:val="Heading3"/>
      </w:pPr>
      <w:bookmarkStart w:name="_Toc239530801" w:id="42"/>
      <w:r w:rsidRPr="0027235C">
        <w:t>4.1.4 Future-Ready Human Capital</w:t>
      </w:r>
      <w:bookmarkEnd w:id="42"/>
    </w:p>
    <w:p w:rsidR="00570292" w:rsidP="00570292" w:rsidRDefault="0027235C" w14:paraId="16F9979A" w14:textId="28929D82">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The last integration deals with technological change. The above review confirmed that digital transformation drives the need to engage in the continuous reskilling of the workforce, but recent data show that technology also alters the beneficiary of development, as well as the mixes of capabilities that generate value. </w:t>
      </w:r>
      <w:r w:rsidRPr="00985BB7" w:rsidR="00985BB7">
        <w:rPr>
          <w:rFonts w:ascii="Arial" w:hAnsi="Arial" w:eastAsia="Arial" w:cs="Arial"/>
          <w:sz w:val="24"/>
          <w:szCs w:val="24"/>
        </w:rPr>
        <w:t>Muehlemann</w:t>
      </w:r>
      <w:r w:rsidRPr="0027235C">
        <w:rPr>
          <w:rFonts w:ascii="Arial" w:hAnsi="Arial" w:eastAsia="Arial" w:cs="Arial"/>
          <w:sz w:val="24"/>
          <w:szCs w:val="24"/>
        </w:rPr>
        <w:t xml:space="preserve"> (2025) established that the adoption of AI corresponded with more apprenticeships in firms that already offer training and that the resources that continue training became more concentrated among the higher-skilled employees. Another argument that is being put forward by Tambe (2025) is that the organisational value of AI lies in the fact that it depends on a combination of domain knowledge and algorithmic literacy. Shatila (2026) also discovered that the relationship between digital reskilling and job performance was mediated by learning agility and perceived skill utilisation.</w:t>
      </w:r>
    </w:p>
    <w:p w:rsidRPr="0027235C" w:rsidR="0027235C" w:rsidP="00570292" w:rsidRDefault="0027235C" w14:paraId="7E00DAD8" w14:textId="24E1BD91">
      <w:pPr>
        <w:spacing w:before="240" w:after="240" w:line="360" w:lineRule="auto"/>
        <w:jc w:val="both"/>
        <w:rPr>
          <w:rFonts w:ascii="Arial" w:hAnsi="Arial" w:eastAsia="Arial" w:cs="Arial"/>
          <w:sz w:val="24"/>
          <w:szCs w:val="24"/>
        </w:rPr>
      </w:pPr>
      <w:r w:rsidRPr="0027235C">
        <w:rPr>
          <w:rFonts w:ascii="Arial" w:hAnsi="Arial" w:eastAsia="Arial" w:cs="Arial"/>
          <w:sz w:val="24"/>
          <w:szCs w:val="24"/>
        </w:rPr>
        <w:lastRenderedPageBreak/>
        <w:t>These findings take the research question further than how training builds human capital to the extent that HCM can keep on building and reusing human capital. They also disclose an equality issue which has been comparatively lacked in attention. When the development of AI starts to be disproportionately distributed among already highly skilled, then training can raise aggregate organisational capability at the same time as it raises developmental opportunity inequalities. Good HCM thus involves sustained reskilling, as well as access to said reskilling.</w:t>
      </w:r>
    </w:p>
    <w:p w:rsidRPr="0027235C" w:rsidR="00570292" w:rsidP="00D61675" w:rsidRDefault="00570292" w14:paraId="206D0A83" w14:textId="12685219">
      <w:pPr>
        <w:pStyle w:val="Heading2"/>
        <w:rPr>
          <w:rFonts w:eastAsia="Arial"/>
        </w:rPr>
      </w:pPr>
      <w:bookmarkStart w:name="_Toc239530802" w:id="43"/>
      <w:r w:rsidRPr="0027235C">
        <w:rPr>
          <w:rFonts w:eastAsia="Arial"/>
        </w:rPr>
        <w:t>4.2 Comparison Between Studies</w:t>
      </w:r>
      <w:bookmarkEnd w:id="43"/>
    </w:p>
    <w:p w:rsidRPr="0027235C" w:rsidR="00BE66B8" w:rsidP="00D61675" w:rsidRDefault="00BE66B8" w14:paraId="44D6B907" w14:textId="6BFC8067">
      <w:pPr>
        <w:pStyle w:val="Heading3"/>
      </w:pPr>
      <w:bookmarkStart w:name="_Toc239530803" w:id="44"/>
      <w:r w:rsidRPr="0027235C">
        <w:t>4.2.1 Training and Performance: Direct Effect or Conditional Relationship</w:t>
      </w:r>
      <w:bookmarkEnd w:id="44"/>
    </w:p>
    <w:p w:rsidR="00BE66B8" w:rsidP="00BE66B8" w:rsidRDefault="0027235C" w14:paraId="244A26F0" w14:textId="41C28CEA">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The most solid consensus among studies is that training is capable of improving performance, with disagreements over whether it is a direct relationship or not. </w:t>
      </w:r>
      <w:proofErr w:type="spellStart"/>
      <w:r w:rsidRPr="0027235C">
        <w:rPr>
          <w:rFonts w:ascii="Arial" w:hAnsi="Arial" w:eastAsia="Arial" w:cs="Arial"/>
          <w:sz w:val="24"/>
          <w:szCs w:val="24"/>
        </w:rPr>
        <w:t>Garavan</w:t>
      </w:r>
      <w:proofErr w:type="spellEnd"/>
      <w:r w:rsidRPr="0027235C">
        <w:rPr>
          <w:rFonts w:ascii="Arial" w:hAnsi="Arial" w:eastAsia="Arial" w:cs="Arial"/>
          <w:sz w:val="24"/>
          <w:szCs w:val="24"/>
        </w:rPr>
        <w:t xml:space="preserve"> et al. (2021a) reveal general meta-analytic evidence of a positive correlation, and Uslu, Marcus and </w:t>
      </w:r>
      <w:proofErr w:type="spellStart"/>
      <w:r w:rsidRPr="0027235C">
        <w:rPr>
          <w:rFonts w:ascii="Arial" w:hAnsi="Arial" w:eastAsia="Arial" w:cs="Arial"/>
          <w:sz w:val="24"/>
          <w:szCs w:val="24"/>
        </w:rPr>
        <w:t>Kisbu</w:t>
      </w:r>
      <w:proofErr w:type="spellEnd"/>
      <w:r w:rsidRPr="0027235C">
        <w:rPr>
          <w:rFonts w:ascii="Arial" w:hAnsi="Arial" w:eastAsia="Arial" w:cs="Arial"/>
          <w:sz w:val="24"/>
          <w:szCs w:val="24"/>
        </w:rPr>
        <w:t>-Sakarya (2022) prove that programme characteristics yield different attitudinal and behavioural results. McKay et al. (2024) also discovered that creativity training yielded greater effects on perceived creative capability compared to visible behaviour. Schwarz et al. (2026) give more powerful firm-level data based on a much larger multi-year UK dataset that expenditure intensity and manager staff complementarity are consequential.</w:t>
      </w:r>
    </w:p>
    <w:p w:rsidR="0027235C" w:rsidP="00BE66B8" w:rsidRDefault="0027235C" w14:paraId="10B4E112" w14:textId="1B4F6CAE">
      <w:pPr>
        <w:spacing w:before="240" w:after="240" w:line="360" w:lineRule="auto"/>
        <w:jc w:val="both"/>
        <w:rPr>
          <w:rFonts w:ascii="Arial" w:hAnsi="Arial" w:eastAsia="Arial" w:cs="Arial"/>
          <w:sz w:val="24"/>
          <w:szCs w:val="24"/>
        </w:rPr>
      </w:pPr>
      <w:r w:rsidRPr="0027235C">
        <w:rPr>
          <w:rFonts w:ascii="Arial" w:hAnsi="Arial" w:eastAsia="Arial" w:cs="Arial"/>
          <w:sz w:val="24"/>
          <w:szCs w:val="24"/>
        </w:rPr>
        <w:t>The apparent conflict is thus, in part, methodological, as opposed to a substantive one. Meta-analyses are as thorough as possible at the cost of combining studies with non-homogenous definitions of training and performance. Learning can be measured at a programme-level but might be limited to immediate effects, and firm-level productivity data is more powerful organisational evidence but less about psychological and behavioural mechanisms. These strategies thus signify various levels in the same motion instead of necessarily yielding incompatible findings.</w:t>
      </w:r>
    </w:p>
    <w:p w:rsidRPr="0027235C" w:rsidR="0027235C" w:rsidP="00BE66B8" w:rsidRDefault="0027235C" w14:paraId="042FA9BB" w14:textId="4D921AD9">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Another qualification is provided by Capatina et al. (2024), who demonstrate that gamified corporate training is able to reinforce knowledge retention, knowledge sharing and job performance. Nonetheless, their mixed-method research included 110 participants, which was significantly less than the number of firms that were represented in Schwarz et al. (2026). The comparison warns of the interpretation of a successful delivery method as a universal method of transfer. Gamification can </w:t>
      </w:r>
      <w:r w:rsidRPr="0027235C">
        <w:rPr>
          <w:rFonts w:ascii="Arial" w:hAnsi="Arial" w:eastAsia="Arial" w:cs="Arial"/>
          <w:sz w:val="24"/>
          <w:szCs w:val="24"/>
        </w:rPr>
        <w:lastRenderedPageBreak/>
        <w:t>enhance interest in learning</w:t>
      </w:r>
      <w:r>
        <w:rPr>
          <w:rFonts w:ascii="Arial" w:hAnsi="Arial" w:eastAsia="Arial" w:cs="Arial"/>
          <w:sz w:val="24"/>
          <w:szCs w:val="24"/>
        </w:rPr>
        <w:t>.</w:t>
      </w:r>
      <w:r w:rsidRPr="0027235C">
        <w:rPr>
          <w:rFonts w:ascii="Arial" w:hAnsi="Arial" w:eastAsia="Arial" w:cs="Arial"/>
          <w:sz w:val="24"/>
          <w:szCs w:val="24"/>
        </w:rPr>
        <w:t xml:space="preserve"> </w:t>
      </w:r>
      <w:r w:rsidR="0065284A">
        <w:rPr>
          <w:rFonts w:ascii="Arial" w:hAnsi="Arial" w:eastAsia="Arial" w:cs="Arial"/>
          <w:sz w:val="24"/>
          <w:szCs w:val="24"/>
        </w:rPr>
        <w:t>H</w:t>
      </w:r>
      <w:r w:rsidRPr="0027235C" w:rsidR="0065284A">
        <w:rPr>
          <w:rFonts w:ascii="Arial" w:hAnsi="Arial" w:eastAsia="Arial" w:cs="Arial"/>
          <w:sz w:val="24"/>
          <w:szCs w:val="24"/>
        </w:rPr>
        <w:t>owever,</w:t>
      </w:r>
      <w:r w:rsidRPr="0027235C">
        <w:rPr>
          <w:rFonts w:ascii="Arial" w:hAnsi="Arial" w:eastAsia="Arial" w:cs="Arial"/>
          <w:sz w:val="24"/>
          <w:szCs w:val="24"/>
        </w:rPr>
        <w:t xml:space="preserve"> the organisational value is reliant on the relevance of skills, transfer and match-up between programme material and organisational capability needs.</w:t>
      </w:r>
    </w:p>
    <w:p w:rsidRPr="0027235C" w:rsidR="00BE66B8" w:rsidP="00D61675" w:rsidRDefault="00BE66B8" w14:paraId="4BC482EE" w14:textId="05781CFB">
      <w:pPr>
        <w:pStyle w:val="Heading3"/>
      </w:pPr>
      <w:bookmarkStart w:name="_Toc239530804" w:id="45"/>
      <w:r w:rsidRPr="0027235C">
        <w:t>4.2.2 Transfer: Individual Motivation or Organisational Environment</w:t>
      </w:r>
      <w:bookmarkEnd w:id="45"/>
    </w:p>
    <w:p w:rsidR="00BE66B8" w:rsidP="00BE66B8" w:rsidRDefault="0027235C" w14:paraId="7F3D52B2" w14:textId="030101EB">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There is a consensus among transfer studies that motivation is important, but there is disagreement on the degree of explanatory power to be attributed to the individual employee. </w:t>
      </w:r>
      <w:proofErr w:type="spellStart"/>
      <w:r w:rsidRPr="0027235C">
        <w:rPr>
          <w:rFonts w:ascii="Arial" w:hAnsi="Arial" w:eastAsia="Arial" w:cs="Arial"/>
          <w:sz w:val="24"/>
          <w:szCs w:val="24"/>
        </w:rPr>
        <w:t>Gegenfurtner</w:t>
      </w:r>
      <w:proofErr w:type="spellEnd"/>
      <w:r w:rsidRPr="0027235C">
        <w:rPr>
          <w:rFonts w:ascii="Arial" w:hAnsi="Arial" w:eastAsia="Arial" w:cs="Arial"/>
          <w:sz w:val="24"/>
          <w:szCs w:val="24"/>
        </w:rPr>
        <w:t xml:space="preserve"> and Testers (2022) related attitudes and self-efficacy to further application, but Reinhold, </w:t>
      </w:r>
      <w:proofErr w:type="spellStart"/>
      <w:r w:rsidRPr="0027235C">
        <w:rPr>
          <w:rFonts w:ascii="Arial" w:hAnsi="Arial" w:eastAsia="Arial" w:cs="Arial"/>
          <w:sz w:val="24"/>
          <w:szCs w:val="24"/>
        </w:rPr>
        <w:t>Gegenfurtner</w:t>
      </w:r>
      <w:proofErr w:type="spellEnd"/>
      <w:r w:rsidRPr="0027235C">
        <w:rPr>
          <w:rFonts w:ascii="Arial" w:hAnsi="Arial" w:eastAsia="Arial" w:cs="Arial"/>
          <w:sz w:val="24"/>
          <w:szCs w:val="24"/>
        </w:rPr>
        <w:t xml:space="preserve"> and </w:t>
      </w:r>
      <w:proofErr w:type="spellStart"/>
      <w:r w:rsidRPr="0027235C">
        <w:rPr>
          <w:rFonts w:ascii="Arial" w:hAnsi="Arial" w:eastAsia="Arial" w:cs="Arial"/>
          <w:sz w:val="24"/>
          <w:szCs w:val="24"/>
        </w:rPr>
        <w:t>Lewalter</w:t>
      </w:r>
      <w:proofErr w:type="spellEnd"/>
      <w:r w:rsidRPr="0027235C">
        <w:rPr>
          <w:rFonts w:ascii="Arial" w:hAnsi="Arial" w:eastAsia="Arial" w:cs="Arial"/>
          <w:sz w:val="24"/>
          <w:szCs w:val="24"/>
        </w:rPr>
        <w:t xml:space="preserve"> (2018) found significant contributions of peer support, feedback and coaching. </w:t>
      </w:r>
      <w:proofErr w:type="spellStart"/>
      <w:r w:rsidRPr="0027235C">
        <w:rPr>
          <w:rFonts w:ascii="Arial" w:hAnsi="Arial" w:eastAsia="Arial" w:cs="Arial"/>
          <w:sz w:val="24"/>
          <w:szCs w:val="24"/>
        </w:rPr>
        <w:t>Hakvoort</w:t>
      </w:r>
      <w:proofErr w:type="spellEnd"/>
      <w:r w:rsidRPr="0027235C">
        <w:rPr>
          <w:rFonts w:ascii="Arial" w:hAnsi="Arial" w:eastAsia="Arial" w:cs="Arial"/>
          <w:sz w:val="24"/>
          <w:szCs w:val="24"/>
        </w:rPr>
        <w:t xml:space="preserve"> et al. (2025) combine multiple dimensions into their transfer measurement but test the measure in the context of nursing, which is a specialised area. Chen, Lin and Liu (2024), in contrast, pay more attention to the social capital and indicate that interaction, trust and shared vision have an impact on the results due to transfer.</w:t>
      </w:r>
    </w:p>
    <w:p w:rsidR="0027235C" w:rsidP="00BE66B8" w:rsidRDefault="0027235C" w14:paraId="4DAF7247" w14:textId="3A452F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Gemmano</w:t>
      </w:r>
      <w:proofErr w:type="spellEnd"/>
      <w:r w:rsidRPr="0027235C">
        <w:rPr>
          <w:rFonts w:ascii="Arial" w:hAnsi="Arial" w:eastAsia="Arial" w:cs="Arial"/>
          <w:sz w:val="24"/>
          <w:szCs w:val="24"/>
        </w:rPr>
        <w:t xml:space="preserve">, </w:t>
      </w:r>
      <w:proofErr w:type="spellStart"/>
      <w:r w:rsidRPr="0027235C">
        <w:rPr>
          <w:rFonts w:ascii="Arial" w:hAnsi="Arial" w:eastAsia="Arial" w:cs="Arial"/>
          <w:sz w:val="24"/>
          <w:szCs w:val="24"/>
        </w:rPr>
        <w:t>Manuti</w:t>
      </w:r>
      <w:proofErr w:type="spellEnd"/>
      <w:r w:rsidRPr="0027235C">
        <w:rPr>
          <w:rFonts w:ascii="Arial" w:hAnsi="Arial" w:eastAsia="Arial" w:cs="Arial"/>
          <w:sz w:val="24"/>
          <w:szCs w:val="24"/>
        </w:rPr>
        <w:t xml:space="preserve"> and Gonzalo (2026) confirm that formal evaluation and informal learning work together and de Jong, Jansen in de Wal and Cornelissen (2025) show that conditions of participation and training content can change transfer motivation. These results disrupt the individualistic explanations of transfer failure. Employee who is highly motivated may lack time, management support or practice; on the other hand, an abundance of organisational support will never be able to offset irrelevant or ineffective learning.</w:t>
      </w:r>
    </w:p>
    <w:p w:rsidRPr="0027235C" w:rsidR="0027235C" w:rsidP="00BE66B8" w:rsidRDefault="0027235C" w14:paraId="3C6A9B2E" w14:textId="21408D42">
      <w:pPr>
        <w:spacing w:before="240" w:after="240" w:line="360" w:lineRule="auto"/>
        <w:jc w:val="both"/>
        <w:rPr>
          <w:rFonts w:ascii="Arial" w:hAnsi="Arial" w:eastAsia="Arial" w:cs="Arial"/>
          <w:b/>
          <w:bCs/>
          <w:sz w:val="24"/>
          <w:szCs w:val="24"/>
          <w:lang w:val="en-IN"/>
        </w:rPr>
      </w:pPr>
      <w:r w:rsidRPr="0027235C">
        <w:rPr>
          <w:rFonts w:ascii="Arial" w:hAnsi="Arial" w:eastAsia="Arial" w:cs="Arial"/>
          <w:sz w:val="24"/>
          <w:szCs w:val="24"/>
          <w:lang w:val="en-IN"/>
        </w:rPr>
        <w:t>Context also assists in the explanation of divergent findings. The autonomy, regulations, complexity of tasks and the possibility of direct application of skills vary in nursing, higher education, banking and high-technology jobs. Thus, effectiveness cannot be explained by any single learner or organisational variable. The more robust conclusion is configurational: The higher the likelihood of transfer is the more the readiness of the learner, the design of the programme and the workplace environment work in harmony.</w:t>
      </w:r>
    </w:p>
    <w:p w:rsidRPr="0027235C" w:rsidR="00BE66B8" w:rsidP="00D61675" w:rsidRDefault="00BE66B8" w14:paraId="6E9A7909" w14:textId="7C312C29">
      <w:pPr>
        <w:pStyle w:val="Heading3"/>
      </w:pPr>
      <w:bookmarkStart w:name="_Toc239530805" w:id="46"/>
      <w:r w:rsidRPr="0027235C">
        <w:t>4.2.3 Development and Retention: Commitment or Increased Mobility</w:t>
      </w:r>
      <w:bookmarkEnd w:id="46"/>
    </w:p>
    <w:p w:rsidR="00570292" w:rsidP="00570292" w:rsidRDefault="0065284A" w14:paraId="110275D6" w14:textId="4353761B">
      <w:pPr>
        <w:spacing w:before="240" w:after="240" w:line="360" w:lineRule="auto"/>
        <w:jc w:val="both"/>
        <w:rPr>
          <w:rFonts w:ascii="Arial" w:hAnsi="Arial" w:eastAsia="Arial" w:cs="Arial"/>
          <w:sz w:val="24"/>
          <w:szCs w:val="24"/>
        </w:rPr>
      </w:pPr>
      <w:r w:rsidRPr="0065284A">
        <w:rPr>
          <w:rFonts w:ascii="Arial" w:hAnsi="Arial" w:eastAsia="Arial" w:cs="Arial"/>
          <w:sz w:val="24"/>
          <w:szCs w:val="24"/>
        </w:rPr>
        <w:t xml:space="preserve">Retention brings on a more substantive disagreement. According to Xuecheng, Iqbal and Saina (2022) and Mampuru, Mokoena and Isabirye (2024), there are positive </w:t>
      </w:r>
      <w:r w:rsidRPr="0065284A">
        <w:rPr>
          <w:rFonts w:ascii="Arial" w:hAnsi="Arial" w:eastAsia="Arial" w:cs="Arial"/>
          <w:sz w:val="24"/>
          <w:szCs w:val="24"/>
        </w:rPr>
        <w:lastRenderedPageBreak/>
        <w:t>relationships between development and retention related attitudes, whereby Shiri et al. (2023) indicate that continuing professional development is positively associated with higher intentions to stay. However, intentionality cannot be conflated with turnover which is observed. This is a significant measurement limitation of previous evidence.</w:t>
      </w:r>
    </w:p>
    <w:p w:rsidR="0065284A" w:rsidP="00570292" w:rsidRDefault="0065284A" w14:paraId="3625129A" w14:textId="765E4D4F">
      <w:pPr>
        <w:spacing w:before="240" w:after="240" w:line="360" w:lineRule="auto"/>
        <w:jc w:val="both"/>
        <w:rPr>
          <w:rFonts w:ascii="Arial" w:hAnsi="Arial" w:eastAsia="Arial" w:cs="Arial"/>
          <w:sz w:val="24"/>
          <w:szCs w:val="24"/>
        </w:rPr>
      </w:pPr>
      <w:r w:rsidRPr="0065284A">
        <w:rPr>
          <w:rFonts w:ascii="Arial" w:hAnsi="Arial" w:eastAsia="Arial" w:cs="Arial"/>
          <w:sz w:val="24"/>
          <w:szCs w:val="24"/>
        </w:rPr>
        <w:t>Oh et al. (2025) enhance it with a longitudinal study with 1,037 observations of 408 companies. Their results confirm the role played by employee commitment as an avenue in which training investment lowers voluntary turnover, but the role played by increased competence was not significant in increasing voluntary turnover. This disparity can be partially due to level of analysis and measurement: the surveys of employees focus on perceived development and intentions, and the longitudinal organisational evidence can help to determine the temporal orders and the observable mobility of workforce better.</w:t>
      </w:r>
    </w:p>
    <w:p w:rsidRPr="0027235C" w:rsidR="0065284A" w:rsidP="00570292" w:rsidRDefault="0065284A" w14:paraId="7960EEC1" w14:textId="6ABBB89F">
      <w:pPr>
        <w:spacing w:before="240" w:after="240" w:line="360" w:lineRule="auto"/>
        <w:jc w:val="both"/>
        <w:rPr>
          <w:rFonts w:ascii="Arial" w:hAnsi="Arial" w:eastAsia="Arial" w:cs="Arial"/>
          <w:sz w:val="24"/>
          <w:szCs w:val="24"/>
        </w:rPr>
      </w:pPr>
      <w:r w:rsidRPr="0065284A">
        <w:rPr>
          <w:rFonts w:ascii="Arial" w:hAnsi="Arial" w:eastAsia="Arial" w:cs="Arial"/>
          <w:sz w:val="24"/>
          <w:szCs w:val="24"/>
        </w:rPr>
        <w:t>However, the results are not sufficient to make a general conclusion that training helps to retain employees. The previous evidence of Zhu and Song (2022) shows that the engagement is stimulated by the professional-ability development and career advancement through the perceived organisational support and influence by affective commitment. Training would thus be most apt in promoting retention in case there is improved ability with viable internal career prospects. This clears up a lot of the seemingly conflicting situation: development raises the value of employees, and the organisational environment is what defines where that greater value is then used.</w:t>
      </w:r>
    </w:p>
    <w:p w:rsidRPr="0027235C" w:rsidR="00570292" w:rsidP="00D61675" w:rsidRDefault="00570292" w14:paraId="07C1E864" w14:textId="1CC6EF67">
      <w:pPr>
        <w:pStyle w:val="Heading2"/>
        <w:rPr>
          <w:rFonts w:eastAsia="Arial"/>
        </w:rPr>
      </w:pPr>
      <w:bookmarkStart w:name="_Toc239530806" w:id="47"/>
      <w:r w:rsidRPr="0027235C">
        <w:rPr>
          <w:rFonts w:eastAsia="Arial"/>
        </w:rPr>
        <w:t>4.3 Theoretical Implications</w:t>
      </w:r>
      <w:bookmarkEnd w:id="47"/>
    </w:p>
    <w:p w:rsidR="00570292" w:rsidP="00570292" w:rsidRDefault="0065284A" w14:paraId="50F2AABA" w14:textId="63E82C59">
      <w:pPr>
        <w:spacing w:before="240" w:after="240" w:line="360" w:lineRule="auto"/>
        <w:jc w:val="both"/>
        <w:rPr>
          <w:rFonts w:ascii="Arial" w:hAnsi="Arial" w:eastAsia="Arial" w:cs="Arial"/>
          <w:sz w:val="24"/>
          <w:szCs w:val="24"/>
        </w:rPr>
      </w:pPr>
      <w:r w:rsidRPr="0065284A">
        <w:rPr>
          <w:rFonts w:ascii="Arial" w:hAnsi="Arial" w:eastAsia="Arial" w:cs="Arial"/>
          <w:sz w:val="24"/>
          <w:szCs w:val="24"/>
        </w:rPr>
        <w:t xml:space="preserve">The results are conducive to Human Capital Theory, although they render the logic of its investment a lot more conditional. Training can enhance productive capability as shown by </w:t>
      </w:r>
      <w:proofErr w:type="spellStart"/>
      <w:r w:rsidRPr="0065284A">
        <w:rPr>
          <w:rFonts w:ascii="Arial" w:hAnsi="Arial" w:eastAsia="Arial" w:cs="Arial"/>
          <w:sz w:val="24"/>
          <w:szCs w:val="24"/>
        </w:rPr>
        <w:t>Garavan</w:t>
      </w:r>
      <w:proofErr w:type="spellEnd"/>
      <w:r w:rsidRPr="0065284A">
        <w:rPr>
          <w:rFonts w:ascii="Arial" w:hAnsi="Arial" w:eastAsia="Arial" w:cs="Arial"/>
          <w:sz w:val="24"/>
          <w:szCs w:val="24"/>
        </w:rPr>
        <w:t xml:space="preserve"> et al. (2021b) and more so at firm level by Schwarz et al. (2026). The synthesis however demonstrates that acquired knowledge is simply potential human capital, before it is utili</w:t>
      </w:r>
      <w:r>
        <w:rPr>
          <w:rFonts w:ascii="Arial" w:hAnsi="Arial" w:eastAsia="Arial" w:cs="Arial"/>
          <w:sz w:val="24"/>
          <w:szCs w:val="24"/>
        </w:rPr>
        <w:t>s</w:t>
      </w:r>
      <w:r w:rsidRPr="0065284A">
        <w:rPr>
          <w:rFonts w:ascii="Arial" w:hAnsi="Arial" w:eastAsia="Arial" w:cs="Arial"/>
          <w:sz w:val="24"/>
          <w:szCs w:val="24"/>
        </w:rPr>
        <w:t>ed productively. The interpretation of Human Capital Theory needs to be in terms of an investment-transfer-utilisation-return chain and not a direct investment-return correlation. This extension explains the fact that similar amounts of training expenditure can have dramatically different organisational outcomes.</w:t>
      </w:r>
    </w:p>
    <w:p w:rsidR="0065284A" w:rsidP="00570292" w:rsidRDefault="0065284A" w14:paraId="0C0BF6E2" w14:textId="584C6299">
      <w:pPr>
        <w:spacing w:before="240" w:after="240" w:line="360" w:lineRule="auto"/>
        <w:jc w:val="both"/>
        <w:rPr>
          <w:rFonts w:ascii="Arial" w:hAnsi="Arial" w:eastAsia="Arial" w:cs="Arial"/>
          <w:sz w:val="24"/>
          <w:szCs w:val="24"/>
        </w:rPr>
      </w:pPr>
      <w:r w:rsidRPr="0065284A">
        <w:rPr>
          <w:rFonts w:ascii="Arial" w:hAnsi="Arial" w:eastAsia="Arial" w:cs="Arial"/>
          <w:sz w:val="24"/>
          <w:szCs w:val="24"/>
        </w:rPr>
        <w:lastRenderedPageBreak/>
        <w:t>The Resource-Based View (RBV) is also supported but improved. Boon et al. (2018) stress the significance of converting personal knowledge into a strategically valuable group human capital. The current synthesis shows that the skill rarity/quality does not necessarily be strategic. Whether capability is embedded in an organisation or not is determined by knowledge sharing, the development of social relationships and complementary development across levels of organisations. The evidence of a complementary effect of managerial and staff development can be found by Schwarz et al. (2026), whereas Chen, Lin and Liu (2024) prove the role of social capital in transfer. As a result, the ability to mobilise, integrate and store knowledge developed is as a result not the capability of an employee but the strategic resource that is the employee who has undergone training.</w:t>
      </w:r>
    </w:p>
    <w:p w:rsidR="0065284A" w:rsidP="00570292" w:rsidRDefault="0065284A" w14:paraId="6D7390B4" w14:textId="0DB024CD">
      <w:pPr>
        <w:spacing w:before="240" w:after="240" w:line="360" w:lineRule="auto"/>
        <w:jc w:val="both"/>
        <w:rPr>
          <w:rFonts w:ascii="Arial" w:hAnsi="Arial" w:eastAsia="Arial" w:cs="Arial"/>
          <w:sz w:val="24"/>
          <w:szCs w:val="24"/>
        </w:rPr>
      </w:pPr>
      <w:r w:rsidRPr="0065284A">
        <w:rPr>
          <w:rFonts w:ascii="Arial" w:hAnsi="Arial" w:eastAsia="Arial" w:cs="Arial"/>
          <w:sz w:val="24"/>
          <w:szCs w:val="24"/>
        </w:rPr>
        <w:t xml:space="preserve">The main theoretical linkage between the Human Capital Theory and the RBV is found in Training Transfer Theory. Ford et al. (2018) clarify the reasons why learning should be generalised and persistent, whereas de Jong, Jansen in de Wal and Cornelissen (2025) and </w:t>
      </w:r>
      <w:proofErr w:type="spellStart"/>
      <w:r w:rsidRPr="0065284A">
        <w:rPr>
          <w:rFonts w:ascii="Arial" w:hAnsi="Arial" w:eastAsia="Arial" w:cs="Arial"/>
          <w:sz w:val="24"/>
          <w:szCs w:val="24"/>
        </w:rPr>
        <w:t>Gemmano</w:t>
      </w:r>
      <w:proofErr w:type="spellEnd"/>
      <w:r w:rsidRPr="0065284A">
        <w:rPr>
          <w:rFonts w:ascii="Arial" w:hAnsi="Arial" w:eastAsia="Arial" w:cs="Arial"/>
          <w:sz w:val="24"/>
          <w:szCs w:val="24"/>
        </w:rPr>
        <w:t xml:space="preserve">, </w:t>
      </w:r>
      <w:proofErr w:type="spellStart"/>
      <w:r w:rsidRPr="0065284A">
        <w:rPr>
          <w:rFonts w:ascii="Arial" w:hAnsi="Arial" w:eastAsia="Arial" w:cs="Arial"/>
          <w:sz w:val="24"/>
          <w:szCs w:val="24"/>
        </w:rPr>
        <w:t>Manuti</w:t>
      </w:r>
      <w:proofErr w:type="spellEnd"/>
      <w:r w:rsidRPr="0065284A">
        <w:rPr>
          <w:rFonts w:ascii="Arial" w:hAnsi="Arial" w:eastAsia="Arial" w:cs="Arial"/>
          <w:sz w:val="24"/>
          <w:szCs w:val="24"/>
        </w:rPr>
        <w:t xml:space="preserve"> and González-</w:t>
      </w:r>
      <w:proofErr w:type="spellStart"/>
      <w:r w:rsidRPr="0065284A">
        <w:rPr>
          <w:rFonts w:ascii="Arial" w:hAnsi="Arial" w:eastAsia="Arial" w:cs="Arial"/>
          <w:sz w:val="24"/>
          <w:szCs w:val="24"/>
        </w:rPr>
        <w:t>Romá</w:t>
      </w:r>
      <w:proofErr w:type="spellEnd"/>
      <w:r w:rsidRPr="0065284A">
        <w:rPr>
          <w:rFonts w:ascii="Arial" w:hAnsi="Arial" w:eastAsia="Arial" w:cs="Arial"/>
          <w:sz w:val="24"/>
          <w:szCs w:val="24"/>
        </w:rPr>
        <w:t xml:space="preserve"> (2026) demonstrate that the transfer is dependent on the participation conditions, evaluation and informal learning at the workplace. The theory thus is expanded by viewing transfer as a process but not an outcome as a single post-course outcome.</w:t>
      </w:r>
    </w:p>
    <w:p w:rsidRPr="0027235C" w:rsidR="0065284A" w:rsidP="00570292" w:rsidRDefault="0065284A" w14:paraId="46BCAEF1" w14:textId="51EA1240">
      <w:pPr>
        <w:spacing w:before="240" w:after="240" w:line="360" w:lineRule="auto"/>
        <w:jc w:val="both"/>
        <w:rPr>
          <w:rFonts w:ascii="Arial" w:hAnsi="Arial" w:eastAsia="Arial" w:cs="Arial"/>
          <w:sz w:val="24"/>
          <w:szCs w:val="24"/>
        </w:rPr>
      </w:pPr>
      <w:r w:rsidRPr="0065284A">
        <w:rPr>
          <w:rFonts w:ascii="Arial" w:hAnsi="Arial" w:eastAsia="Arial" w:cs="Arial"/>
          <w:sz w:val="24"/>
          <w:szCs w:val="24"/>
        </w:rPr>
        <w:t>A different, but complementary pathway is explicated by the Social Exchange Theory and Organisational Support Theory. Development translates organisational investment in employees and thus can stimulate the mutual engagement and commitment. However, the concept of reciprocity varies with the perceived relevance, usefulness and fairness of developmental opportunities. Oh et al. (2025) offer more longitudinal evidence to commitment as a retention mechanism. The general theoretical implication is thus that successful HCM works via two interlocking pathways: a capability pathway, where development becomes performance via transfer and utilisation, and a relational pathway, where development creates engagement and retention via perceived support and reciprocity. The complete evidence cannot be attributed to either of the theoretical pathways separately.</w:t>
      </w:r>
    </w:p>
    <w:p w:rsidRPr="0027235C" w:rsidR="00570292" w:rsidP="00D61675" w:rsidRDefault="00570292" w14:paraId="68D8E6B5" w14:textId="068BDABD">
      <w:pPr>
        <w:pStyle w:val="Heading2"/>
        <w:rPr>
          <w:rFonts w:eastAsia="Arial"/>
        </w:rPr>
      </w:pPr>
      <w:bookmarkStart w:name="_Toc239530807" w:id="48"/>
      <w:r w:rsidRPr="0027235C">
        <w:rPr>
          <w:rFonts w:eastAsia="Arial"/>
        </w:rPr>
        <w:lastRenderedPageBreak/>
        <w:t>4.4 Identification of gaps</w:t>
      </w:r>
      <w:bookmarkEnd w:id="48"/>
    </w:p>
    <w:p w:rsidR="00570292" w:rsidP="00570292" w:rsidRDefault="0065284A" w14:paraId="43C8041B" w14:textId="620FD2D5">
      <w:pPr>
        <w:spacing w:before="240" w:after="240" w:line="360" w:lineRule="auto"/>
        <w:jc w:val="both"/>
        <w:rPr>
          <w:rFonts w:ascii="Arial" w:hAnsi="Arial" w:eastAsia="Arial" w:cs="Arial"/>
          <w:sz w:val="24"/>
          <w:szCs w:val="24"/>
        </w:rPr>
      </w:pPr>
      <w:r w:rsidRPr="0065284A">
        <w:rPr>
          <w:rFonts w:ascii="Arial" w:hAnsi="Arial" w:eastAsia="Arial" w:cs="Arial"/>
          <w:sz w:val="24"/>
          <w:szCs w:val="24"/>
        </w:rPr>
        <w:t>The first gap is significant and is causal and temporal. To a large extent the literature is cross-sectional and relies on self-reported measures to measure competence, satisfaction, engagement or transfer. This is despite the fact that even in situations where positive relationships seem to be consistent, reverse causality can still be a possibility since it is also possible that high-performing or highly-engaged employees are also more likely to get development. Longitudinal designs like Oh et al. (2025) and large multi-year firm designs like Schwarz et al. (2026) have stronger designs, but are relatively rare. The research in the future ought to relate the pre-trainings conditions, learning acquisition, transfer, goal performance and real retention with time in a series of time periods.</w:t>
      </w:r>
    </w:p>
    <w:p w:rsidR="0065284A" w:rsidP="00570292" w:rsidRDefault="0065284A" w14:paraId="06BDFBDF" w14:textId="5F715607">
      <w:pPr>
        <w:spacing w:before="240" w:after="240" w:line="360" w:lineRule="auto"/>
        <w:jc w:val="both"/>
        <w:rPr>
          <w:rFonts w:ascii="Arial" w:hAnsi="Arial" w:eastAsia="Arial" w:cs="Arial"/>
          <w:sz w:val="24"/>
          <w:szCs w:val="24"/>
        </w:rPr>
      </w:pPr>
      <w:r w:rsidRPr="0065284A">
        <w:rPr>
          <w:rFonts w:ascii="Arial" w:hAnsi="Arial" w:eastAsia="Arial" w:cs="Arial"/>
          <w:sz w:val="24"/>
          <w:szCs w:val="24"/>
        </w:rPr>
        <w:t>The second gap is related to levels of analysis. The current literature often halts at competence of employees, attitudes or self-reported performance despite the fact that HCM is, after all, about the overall organisational ability. The sharing of knowledge is becoming more appreciated, yet there is limited research to examine the way that knowledge gained by a single employee can be translated into team practices, process enhancement, innovations or long-term organisational efficiency. The existing dissertation fills this conceptual gap by incorporating the individual learning, transfer, knowledge sharing and organisational outcomes in a single explanatory chain. This, however, is a contribution to synthesis as opposed to empirical evidence and the proposed relations are yet to be tested at multilevel longitudinally.</w:t>
      </w:r>
    </w:p>
    <w:p w:rsidR="0065284A" w:rsidP="00570292" w:rsidRDefault="0065284A" w14:paraId="7490160F" w14:textId="520DA41C">
      <w:pPr>
        <w:spacing w:before="240" w:after="240" w:line="360" w:lineRule="auto"/>
        <w:jc w:val="both"/>
        <w:rPr>
          <w:rFonts w:ascii="Arial" w:hAnsi="Arial" w:eastAsia="Arial" w:cs="Arial"/>
          <w:sz w:val="24"/>
          <w:szCs w:val="24"/>
        </w:rPr>
      </w:pPr>
      <w:r w:rsidRPr="0065284A">
        <w:rPr>
          <w:rFonts w:ascii="Arial" w:hAnsi="Arial" w:eastAsia="Arial" w:cs="Arial"/>
          <w:sz w:val="24"/>
          <w:szCs w:val="24"/>
        </w:rPr>
        <w:t xml:space="preserve">Third, there is still a fragmented measurement. Hours of training, spending, desire to leave, self-reported transfer and firm productivity are often used as a measure of training effectiveness, despite being used to measure different phases. Schwarz et al. (2026) differentiate between training coverage and investment intensity and </w:t>
      </w:r>
      <w:proofErr w:type="spellStart"/>
      <w:r w:rsidRPr="0065284A">
        <w:rPr>
          <w:rFonts w:ascii="Arial" w:hAnsi="Arial" w:eastAsia="Arial" w:cs="Arial"/>
          <w:sz w:val="24"/>
          <w:szCs w:val="24"/>
        </w:rPr>
        <w:t>Gemmano</w:t>
      </w:r>
      <w:proofErr w:type="spellEnd"/>
      <w:r w:rsidRPr="0065284A">
        <w:rPr>
          <w:rFonts w:ascii="Arial" w:hAnsi="Arial" w:eastAsia="Arial" w:cs="Arial"/>
          <w:sz w:val="24"/>
          <w:szCs w:val="24"/>
        </w:rPr>
        <w:t xml:space="preserve">, </w:t>
      </w:r>
      <w:proofErr w:type="spellStart"/>
      <w:r w:rsidRPr="0065284A">
        <w:rPr>
          <w:rFonts w:ascii="Arial" w:hAnsi="Arial" w:eastAsia="Arial" w:cs="Arial"/>
          <w:sz w:val="24"/>
          <w:szCs w:val="24"/>
        </w:rPr>
        <w:t>Manuti</w:t>
      </w:r>
      <w:proofErr w:type="spellEnd"/>
      <w:r w:rsidRPr="0065284A">
        <w:rPr>
          <w:rFonts w:ascii="Arial" w:hAnsi="Arial" w:eastAsia="Arial" w:cs="Arial"/>
          <w:sz w:val="24"/>
          <w:szCs w:val="24"/>
        </w:rPr>
        <w:t xml:space="preserve"> and González-</w:t>
      </w:r>
      <w:proofErr w:type="spellStart"/>
      <w:r w:rsidRPr="0065284A">
        <w:rPr>
          <w:rFonts w:ascii="Arial" w:hAnsi="Arial" w:eastAsia="Arial" w:cs="Arial"/>
          <w:sz w:val="24"/>
          <w:szCs w:val="24"/>
        </w:rPr>
        <w:t>Romá</w:t>
      </w:r>
      <w:proofErr w:type="spellEnd"/>
      <w:r w:rsidRPr="0065284A">
        <w:rPr>
          <w:rFonts w:ascii="Arial" w:hAnsi="Arial" w:eastAsia="Arial" w:cs="Arial"/>
          <w:sz w:val="24"/>
          <w:szCs w:val="24"/>
        </w:rPr>
        <w:t xml:space="preserve"> (2026) differentiate between HRD exposure, formal evaluation and transfer. Future research needs to involve unity of learning measures, behavioural measures, career measures and organisational measures as opposed to choosing a single proxy and using it as an indicator of overall HCM efficacy.</w:t>
      </w:r>
    </w:p>
    <w:p w:rsidRPr="0027235C" w:rsidR="0065284A" w:rsidP="00570292" w:rsidRDefault="0065284A" w14:paraId="494496D4" w14:textId="046D11E8">
      <w:pPr>
        <w:spacing w:before="240" w:after="240" w:line="360" w:lineRule="auto"/>
        <w:jc w:val="both"/>
        <w:rPr>
          <w:rFonts w:ascii="Arial" w:hAnsi="Arial" w:eastAsia="Arial" w:cs="Arial"/>
          <w:sz w:val="24"/>
          <w:szCs w:val="24"/>
        </w:rPr>
      </w:pPr>
      <w:r w:rsidRPr="0065284A">
        <w:rPr>
          <w:rFonts w:ascii="Arial" w:hAnsi="Arial" w:eastAsia="Arial" w:cs="Arial"/>
          <w:sz w:val="24"/>
          <w:szCs w:val="24"/>
        </w:rPr>
        <w:lastRenderedPageBreak/>
        <w:t xml:space="preserve">Lastly, there is still significant contextual, technological and equality discrepancies. Current evidence is focused on specific jobs, organisations and country contexts, which restricts its use to SMEs, governmental organisations, less skilled work and other institutional contexts. This gap is boosted by AI. </w:t>
      </w:r>
      <w:r w:rsidRPr="00985BB7" w:rsidR="00985BB7">
        <w:rPr>
          <w:rFonts w:ascii="Arial" w:hAnsi="Arial" w:eastAsia="Arial" w:cs="Arial"/>
          <w:sz w:val="24"/>
          <w:szCs w:val="24"/>
        </w:rPr>
        <w:t>Muehlemann</w:t>
      </w:r>
      <w:r w:rsidRPr="0065284A">
        <w:rPr>
          <w:rFonts w:ascii="Arial" w:hAnsi="Arial" w:eastAsia="Arial" w:cs="Arial"/>
          <w:sz w:val="24"/>
          <w:szCs w:val="24"/>
        </w:rPr>
        <w:t xml:space="preserve"> (2025) shows that the continuing-training materials might shift to the already more skilled employees after the adoption of AI. Future studies on HCM must thus look at the beneficiaries of reskilling, rather than the issue of whether reskilling increases aggregate performance. This dissertation is a significant synthesis gap, as it links the above concepts of capability formation, transfer, engagement, retention and continuous skill renewal, but empirical studies are needed to determine how these processes vary between groups of employees and organisational settings.</w:t>
      </w:r>
    </w:p>
    <w:p w:rsidRPr="0027235C" w:rsidR="00570292" w:rsidP="00D61675" w:rsidRDefault="00570292" w14:paraId="184477E9" w14:textId="07813425">
      <w:pPr>
        <w:pStyle w:val="Heading2"/>
        <w:rPr>
          <w:rFonts w:eastAsia="Arial"/>
        </w:rPr>
      </w:pPr>
      <w:bookmarkStart w:name="_Toc239530808" w:id="49"/>
      <w:r w:rsidRPr="0027235C">
        <w:rPr>
          <w:rFonts w:eastAsia="Arial"/>
        </w:rPr>
        <w:t>4.5 Conceptual Framework</w:t>
      </w:r>
      <w:bookmarkEnd w:id="49"/>
    </w:p>
    <w:p w:rsidRPr="0027235C" w:rsidR="00B03CE9" w:rsidP="00570292" w:rsidRDefault="0065284A" w14:paraId="46D93951" w14:textId="60FD9F83">
      <w:pPr>
        <w:spacing w:before="240" w:after="240" w:line="360" w:lineRule="auto"/>
        <w:jc w:val="both"/>
        <w:rPr>
          <w:rFonts w:ascii="Arial" w:hAnsi="Arial" w:eastAsia="Arial" w:cs="Arial"/>
          <w:sz w:val="24"/>
          <w:szCs w:val="24"/>
        </w:rPr>
      </w:pPr>
      <w:r w:rsidRPr="0065284A">
        <w:rPr>
          <w:rFonts w:ascii="Arial" w:hAnsi="Arial" w:eastAsia="Arial" w:cs="Arial"/>
          <w:sz w:val="24"/>
          <w:szCs w:val="24"/>
        </w:rPr>
        <w:t>This dissertation offers a Strategic Training-to-Human-Capital Value Framework based on the above synthesis. The framework starts with strategic training and development investment which is influenced in collaboration with the organisational capability requirements and the requirement of employee’s development. Learning and acquisition of capability is brought about by the investment, but the transfer conditions, such as employee motivation and self-efficacy, relevance of the programme, managerial and peer support, training evaluation, and the possibility to put learning into practice and facilitating learning culture are all needed to progress to HCM value. Effective transfer then leads to skill-utilisation and sharing of knowledge and two parallel routes are formed.</w:t>
      </w:r>
    </w:p>
    <w:p w:rsidRPr="0027235C" w:rsidR="00B03CE9" w:rsidP="00B03CE9" w:rsidRDefault="00B03CE9" w14:paraId="2EF15129" w14:textId="5A5A45DB">
      <w:pPr>
        <w:spacing w:before="240" w:after="240" w:line="360" w:lineRule="auto"/>
        <w:jc w:val="center"/>
        <w:rPr>
          <w:rFonts w:ascii="Arial" w:hAnsi="Arial" w:eastAsia="Arial" w:cs="Arial"/>
          <w:sz w:val="24"/>
          <w:szCs w:val="24"/>
        </w:rPr>
      </w:pPr>
      <w:r w:rsidRPr="0027235C">
        <w:rPr>
          <w:rFonts w:ascii="Arial" w:hAnsi="Arial" w:eastAsia="Arial" w:cs="Arial"/>
          <w:noProof/>
          <w:sz w:val="24"/>
          <w:szCs w:val="24"/>
          <w:lang w:val="en-US"/>
        </w:rPr>
        <w:lastRenderedPageBreak/>
        <w:drawing>
          <wp:inline distT="0" distB="0" distL="0" distR="0" wp14:anchorId="44CDD8A7" wp14:editId="6113FCA7">
            <wp:extent cx="5676900" cy="3257550"/>
            <wp:effectExtent l="76200" t="76200" r="133350" b="133350"/>
            <wp:docPr id="16208588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83095" cy="3261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7A698C" w:rsidR="00B03CE9" w:rsidP="00F55E4F" w:rsidRDefault="00B03CE9" w14:paraId="7AAE1AFA" w14:textId="2E2058D9">
      <w:pPr>
        <w:pStyle w:val="Subtitle"/>
      </w:pPr>
      <w:bookmarkStart w:name="_Toc239514375" w:id="50"/>
      <w:bookmarkStart w:name="_Toc239530681" w:id="51"/>
      <w:r w:rsidRPr="007A698C">
        <w:t xml:space="preserve">Figure 4: </w:t>
      </w:r>
      <w:r w:rsidRPr="00F55E4F">
        <w:t>Conceptual</w:t>
      </w:r>
      <w:r w:rsidRPr="007A698C">
        <w:t xml:space="preserve"> Framework</w:t>
      </w:r>
      <w:bookmarkEnd w:id="50"/>
      <w:bookmarkEnd w:id="51"/>
      <w:r w:rsidRPr="007A698C">
        <w:t xml:space="preserve"> </w:t>
      </w:r>
    </w:p>
    <w:p w:rsidRPr="0027235C" w:rsidR="00B03CE9" w:rsidP="00B03CE9" w:rsidRDefault="00B03CE9" w14:paraId="72BA06C8" w14:textId="6AC5694D">
      <w:pPr>
        <w:spacing w:before="240" w:after="240" w:line="360" w:lineRule="auto"/>
        <w:jc w:val="center"/>
        <w:rPr>
          <w:rFonts w:ascii="Arial" w:hAnsi="Arial" w:eastAsia="Arial" w:cs="Arial"/>
          <w:sz w:val="24"/>
          <w:szCs w:val="24"/>
        </w:rPr>
      </w:pPr>
      <w:r w:rsidRPr="0027235C">
        <w:rPr>
          <w:rFonts w:ascii="Arial" w:hAnsi="Arial" w:eastAsia="Arial" w:cs="Arial"/>
          <w:b/>
          <w:bCs/>
          <w:sz w:val="24"/>
          <w:szCs w:val="24"/>
        </w:rPr>
        <w:t>Source:</w:t>
      </w:r>
      <w:r w:rsidRPr="0027235C">
        <w:rPr>
          <w:rFonts w:ascii="Arial" w:hAnsi="Arial" w:eastAsia="Arial" w:cs="Arial"/>
          <w:sz w:val="24"/>
          <w:szCs w:val="24"/>
        </w:rPr>
        <w:t xml:space="preserve"> Created by the author</w:t>
      </w:r>
    </w:p>
    <w:p w:rsidRPr="0027235C" w:rsidR="00570292" w:rsidP="00570292" w:rsidRDefault="0065284A" w14:paraId="38AF707E" w14:textId="0C64DCC4">
      <w:pPr>
        <w:spacing w:before="240" w:after="240" w:line="360" w:lineRule="auto"/>
        <w:jc w:val="both"/>
        <w:rPr>
          <w:rFonts w:ascii="Arial" w:hAnsi="Arial" w:eastAsia="Arial" w:cs="Arial"/>
          <w:sz w:val="24"/>
          <w:szCs w:val="24"/>
        </w:rPr>
      </w:pPr>
      <w:r w:rsidRPr="0065284A">
        <w:rPr>
          <w:rFonts w:ascii="Arial" w:hAnsi="Arial" w:eastAsia="Arial" w:cs="Arial"/>
          <w:sz w:val="24"/>
          <w:szCs w:val="24"/>
        </w:rPr>
        <w:t>The former is a capability pathway and results in employee competence, performance, innovation and organisational productivity, the latter is a relational pathway and results in engagement, satisfaction, commitment and retention. These channels lead to a sustainable human-capital value in the end. Career opportunities, employment context, equality of developmental access and technological change are moderating conditions and organisational outcomes provide a feedback mechanism to guide further training priorities. The framework thus builds on the current Human Capital, Resource-Based, Training Transfer and Social Exchange explanations, by theorising the effectiveness of training as a multi-stage, two-way and organisationally internalised process, not an immediate linkage between training delivery and HCM performance.</w:t>
      </w:r>
    </w:p>
    <w:p w:rsidR="00D61675" w:rsidRDefault="00D61675" w14:paraId="4BDBC354" w14:textId="77777777">
      <w:pPr>
        <w:rPr>
          <w:rFonts w:ascii="Arial" w:hAnsi="Arial" w:eastAsia="Arial" w:cs="Arial"/>
          <w:b/>
          <w:bCs/>
          <w:sz w:val="24"/>
          <w:szCs w:val="24"/>
        </w:rPr>
      </w:pPr>
      <w:r>
        <w:rPr>
          <w:rFonts w:ascii="Arial" w:hAnsi="Arial" w:eastAsia="Arial" w:cs="Arial"/>
          <w:b/>
          <w:bCs/>
          <w:sz w:val="24"/>
          <w:szCs w:val="24"/>
        </w:rPr>
        <w:br w:type="page"/>
      </w:r>
    </w:p>
    <w:p w:rsidRPr="0027235C" w:rsidR="00570292" w:rsidP="573B7504" w:rsidRDefault="00570292" w14:paraId="2B16B072" w14:textId="60BCF3A4">
      <w:pPr>
        <w:pStyle w:val="Heading1"/>
        <w:jc w:val="center"/>
        <w:rPr>
          <w:rFonts w:eastAsia="Arial"/>
        </w:rPr>
      </w:pPr>
      <w:bookmarkStart w:name="_Toc239530809" w:id="52"/>
      <w:r w:rsidRPr="573B7504" w:rsidR="00570292">
        <w:rPr>
          <w:rFonts w:eastAsia="Arial"/>
        </w:rPr>
        <w:t>Chapter 5: Implications</w:t>
      </w:r>
      <w:bookmarkEnd w:id="52"/>
    </w:p>
    <w:p w:rsidRPr="0027235C" w:rsidR="00570292" w:rsidP="00D61675" w:rsidRDefault="00CC70A8" w14:paraId="01009B26" w14:textId="1793A991">
      <w:pPr>
        <w:pStyle w:val="Heading2"/>
        <w:rPr>
          <w:rFonts w:eastAsia="Arial"/>
        </w:rPr>
      </w:pPr>
      <w:bookmarkStart w:name="_Toc239530810" w:id="53"/>
      <w:r w:rsidRPr="0027235C">
        <w:rPr>
          <w:rFonts w:eastAsia="Arial"/>
        </w:rPr>
        <w:t>5.1 Theoretical Implications</w:t>
      </w:r>
      <w:bookmarkEnd w:id="53"/>
    </w:p>
    <w:p w:rsidRPr="0027235C" w:rsidR="002A6AA9" w:rsidP="00D61675" w:rsidRDefault="002A6AA9" w14:paraId="5422291A" w14:textId="77777777">
      <w:pPr>
        <w:pStyle w:val="Heading3"/>
      </w:pPr>
      <w:bookmarkStart w:name="_Toc239530811" w:id="54"/>
      <w:r w:rsidRPr="0027235C">
        <w:t>5.1.1 Refining Existing Theories</w:t>
      </w:r>
      <w:bookmarkEnd w:id="54"/>
    </w:p>
    <w:p w:rsidR="002A6AA9" w:rsidP="002A6AA9" w:rsidRDefault="0065284A" w14:paraId="4928A701" w14:textId="43696E2B">
      <w:pPr>
        <w:spacing w:before="240" w:after="240" w:line="360" w:lineRule="auto"/>
        <w:jc w:val="both"/>
        <w:rPr>
          <w:rFonts w:ascii="Arial" w:hAnsi="Arial" w:eastAsia="Arial" w:cs="Arial"/>
          <w:sz w:val="24"/>
          <w:szCs w:val="24"/>
        </w:rPr>
      </w:pPr>
      <w:r w:rsidRPr="0065284A">
        <w:rPr>
          <w:rFonts w:ascii="Arial" w:hAnsi="Arial" w:eastAsia="Arial" w:cs="Arial"/>
          <w:sz w:val="24"/>
          <w:szCs w:val="24"/>
        </w:rPr>
        <w:t>The results indicate that researchers need to end the inclination of viewing training as a direct input that automatically leads to performance. Human Capital Theory is not obsolete since the productive knowledge and skills are developed through training</w:t>
      </w:r>
      <w:r>
        <w:rPr>
          <w:rFonts w:ascii="Arial" w:hAnsi="Arial" w:eastAsia="Arial" w:cs="Arial"/>
          <w:sz w:val="24"/>
          <w:szCs w:val="24"/>
        </w:rPr>
        <w:t>.</w:t>
      </w:r>
      <w:r w:rsidRPr="0065284A">
        <w:rPr>
          <w:rFonts w:ascii="Arial" w:hAnsi="Arial" w:eastAsia="Arial" w:cs="Arial"/>
          <w:sz w:val="24"/>
          <w:szCs w:val="24"/>
        </w:rPr>
        <w:t xml:space="preserve"> </w:t>
      </w:r>
      <w:r>
        <w:rPr>
          <w:rFonts w:ascii="Arial" w:hAnsi="Arial" w:eastAsia="Arial" w:cs="Arial"/>
          <w:sz w:val="24"/>
          <w:szCs w:val="24"/>
        </w:rPr>
        <w:t>H</w:t>
      </w:r>
      <w:r w:rsidRPr="0065284A">
        <w:rPr>
          <w:rFonts w:ascii="Arial" w:hAnsi="Arial" w:eastAsia="Arial" w:cs="Arial"/>
          <w:sz w:val="24"/>
          <w:szCs w:val="24"/>
        </w:rPr>
        <w:t>owever, the synthesis shows that only potential value is brought about by investment until the transfer, utilisation and sharing of learning takes place. The way Human Capital Theory should be applied in the future ought to have a series of investment, so as to acquire capability, transfer, utilisation and organisational return. This polishing is aligned with Beier et al. (2025), stating that the alteration of work conditions presupposes the necessity of ongoing learning in the workplace and the empowered person-centred stance towards the skill development. The Resource-Based View ought to also go beyond the ownership of talented workers to how the organisation can integrate, store and spread their talents. The framework that emerged in Chapter 4 thus defines transfer, knowledge sharing and learning climate, as channels whereby individual capability is transformed into a resource that is strategically embedded in an organisation.</w:t>
      </w:r>
    </w:p>
    <w:p w:rsidRPr="0065284A" w:rsidR="0065284A" w:rsidP="002A6AA9" w:rsidRDefault="0065284A" w14:paraId="25B2AA8C" w14:textId="09A1EA6E">
      <w:pPr>
        <w:spacing w:before="240" w:after="240" w:line="360" w:lineRule="auto"/>
        <w:jc w:val="both"/>
        <w:rPr>
          <w:rFonts w:ascii="Arial" w:hAnsi="Arial" w:eastAsia="Arial" w:cs="Arial"/>
          <w:b/>
          <w:bCs/>
          <w:sz w:val="24"/>
          <w:szCs w:val="24"/>
          <w:lang w:val="en-IN"/>
        </w:rPr>
      </w:pPr>
      <w:r w:rsidRPr="0065284A">
        <w:rPr>
          <w:rFonts w:ascii="Arial" w:hAnsi="Arial" w:eastAsia="Arial" w:cs="Arial"/>
          <w:sz w:val="24"/>
          <w:szCs w:val="24"/>
          <w:lang w:val="en-IN"/>
        </w:rPr>
        <w:t xml:space="preserve">Transfer Theory of training should be extended as well. Instead of only theorising transfer in terms of a directional flow between a training course and a job, the given framework views it as a two-way flow that never ends and is embedded within a social context. Wahl and </w:t>
      </w:r>
      <w:proofErr w:type="spellStart"/>
      <w:r w:rsidRPr="0065284A">
        <w:rPr>
          <w:rFonts w:ascii="Arial" w:hAnsi="Arial" w:eastAsia="Arial" w:cs="Arial"/>
          <w:sz w:val="24"/>
          <w:szCs w:val="24"/>
          <w:lang w:val="en-IN"/>
        </w:rPr>
        <w:t>Hybertsen</w:t>
      </w:r>
      <w:proofErr w:type="spellEnd"/>
      <w:r w:rsidRPr="0065284A">
        <w:rPr>
          <w:rFonts w:ascii="Arial" w:hAnsi="Arial" w:eastAsia="Arial" w:cs="Arial"/>
          <w:sz w:val="24"/>
          <w:szCs w:val="24"/>
          <w:lang w:val="en-IN"/>
        </w:rPr>
        <w:t xml:space="preserve"> (2025) illustrate how workplace experience may be the source of the feedback on further training episodes, whereas Hirv-Biene et al. (2025) focus on personal learning patterns and context-specific assistance. Transfer is not an event that takes place after training, but as a continuous interaction between the learners, the training design and the conditions at the workplace, and scholars ought to analyse it as such. Social Exchange Theory and Organisational Support Theory are useful in explaining the relationship course identified in Chapter 4 but this paper proposes that perceived organisational investment results in engagement and commitment especially when development is applicable, available and utilised. The theories are thus substantiated, but their limits of explanation are narrowed down.</w:t>
      </w:r>
    </w:p>
    <w:p w:rsidRPr="0027235C" w:rsidR="002A6AA9" w:rsidP="00D61675" w:rsidRDefault="002A6AA9" w14:paraId="379BA968" w14:textId="77777777">
      <w:pPr>
        <w:pStyle w:val="Heading3"/>
      </w:pPr>
      <w:bookmarkStart w:name="_Toc239530812" w:id="55"/>
      <w:r w:rsidRPr="0027235C">
        <w:lastRenderedPageBreak/>
        <w:t>5.1.2 Academic Contribution of the Proposed Framework</w:t>
      </w:r>
      <w:bookmarkEnd w:id="55"/>
    </w:p>
    <w:p w:rsidRPr="0027235C" w:rsidR="00CC70A8" w:rsidP="00570292" w:rsidRDefault="0065284A" w14:paraId="47BEFF19" w14:textId="684BA93E">
      <w:pPr>
        <w:spacing w:before="240" w:after="240" w:line="360" w:lineRule="auto"/>
        <w:jc w:val="both"/>
        <w:rPr>
          <w:rFonts w:ascii="Arial" w:hAnsi="Arial" w:eastAsia="Arial" w:cs="Arial"/>
          <w:sz w:val="24"/>
          <w:szCs w:val="24"/>
        </w:rPr>
      </w:pPr>
      <w:r w:rsidRPr="0065284A">
        <w:rPr>
          <w:rFonts w:ascii="Arial" w:hAnsi="Arial" w:eastAsia="Arial" w:cs="Arial"/>
          <w:sz w:val="24"/>
          <w:szCs w:val="24"/>
        </w:rPr>
        <w:t>Strategic Training-to-Human-Capital Value Framework is an integrative lens that links the formation of capabilities and relational outcomes into one process. The current literature often separates out performance, transfer, engagement or retention, but the framework suggests that they are interdependent steps and similar routes. The scholars ought to thus examine capability and relational implications jointly and not repeatedly test discrete training-outcome associations. Mitschelen and Kauffeld (2025) show that workplace development is increasingly integrating formal, informal and self-regulated learning, which facilitates a more inclusive perspective of the ways of developing capability beyond formal courses. The framework also presents the HCM outcomes to future development priorities feedback, thus, conceptualising HCM as a recursive learning system, instead of the linear intervention. Its input is purely conceptual and not empirically causal in that it should be applied by researchers as a model to develop hypotheses and test them empirically.</w:t>
      </w:r>
    </w:p>
    <w:p w:rsidRPr="0027235C" w:rsidR="00CC70A8" w:rsidP="00D61675" w:rsidRDefault="00CC70A8" w14:paraId="2FC0092B" w14:textId="354AAE30">
      <w:pPr>
        <w:pStyle w:val="Heading2"/>
        <w:rPr>
          <w:rFonts w:eastAsia="Arial"/>
        </w:rPr>
      </w:pPr>
      <w:bookmarkStart w:name="_Toc239530813" w:id="56"/>
      <w:r w:rsidRPr="0027235C">
        <w:rPr>
          <w:rFonts w:eastAsia="Arial"/>
        </w:rPr>
        <w:t>5.2 Practical &amp; Managerial Implications</w:t>
      </w:r>
      <w:bookmarkEnd w:id="56"/>
    </w:p>
    <w:p w:rsidRPr="0027235C" w:rsidR="002A6AA9" w:rsidP="00D61675" w:rsidRDefault="002A6AA9" w14:paraId="276EA98C" w14:textId="77777777">
      <w:pPr>
        <w:pStyle w:val="Heading3"/>
      </w:pPr>
      <w:bookmarkStart w:name="_Toc239530814" w:id="57"/>
      <w:r w:rsidRPr="0027235C">
        <w:t>5.2.1 Strategic Training and Transfer Management</w:t>
      </w:r>
      <w:bookmarkEnd w:id="57"/>
    </w:p>
    <w:p w:rsidR="002A6AA9" w:rsidP="002A6AA9" w:rsidRDefault="0065284A" w14:paraId="394CB3D3" w14:textId="6A2FB77F">
      <w:pPr>
        <w:spacing w:before="240" w:after="240" w:line="360" w:lineRule="auto"/>
        <w:jc w:val="both"/>
        <w:rPr>
          <w:rFonts w:ascii="Arial" w:hAnsi="Arial" w:eastAsia="Arial" w:cs="Arial"/>
          <w:sz w:val="24"/>
          <w:szCs w:val="24"/>
        </w:rPr>
      </w:pPr>
      <w:r w:rsidRPr="0065284A">
        <w:rPr>
          <w:rFonts w:ascii="Arial" w:hAnsi="Arial" w:eastAsia="Arial" w:cs="Arial"/>
          <w:sz w:val="24"/>
          <w:szCs w:val="24"/>
        </w:rPr>
        <w:t xml:space="preserve">The completion of courses should not be the priority of managers over transfer. The training needs must be first associated with the role requirement, the gaps in the organisational capability, which is followed by the programmes to offer realistic practice, allowance to practise in the workplace, post training coaching and explicit transfer expectations. As illustrated by Koch and </w:t>
      </w:r>
      <w:proofErr w:type="spellStart"/>
      <w:r w:rsidRPr="0065284A">
        <w:rPr>
          <w:rFonts w:ascii="Arial" w:hAnsi="Arial" w:eastAsia="Arial" w:cs="Arial"/>
          <w:sz w:val="24"/>
          <w:szCs w:val="24"/>
        </w:rPr>
        <w:t>Wisshak</w:t>
      </w:r>
      <w:proofErr w:type="spellEnd"/>
      <w:r w:rsidRPr="0065284A">
        <w:rPr>
          <w:rFonts w:ascii="Arial" w:hAnsi="Arial" w:eastAsia="Arial" w:cs="Arial"/>
          <w:sz w:val="24"/>
          <w:szCs w:val="24"/>
        </w:rPr>
        <w:t xml:space="preserve"> (2025), learning characteristics of the learners, programme design and working environment help the trainers to enhance the transfer. HR departments should not be held responsible as line managers and trainers should be held in charge of the application of training post training. This suggestion clearly indicates what Chapter 4 concluded, which is the creation of organisational value once acquired capability is practicable workplace behaviour.</w:t>
      </w:r>
    </w:p>
    <w:p w:rsidRPr="0027235C" w:rsidR="0065284A" w:rsidP="002A6AA9" w:rsidRDefault="0065284A" w14:paraId="4172E2D2" w14:textId="785DF553">
      <w:pPr>
        <w:spacing w:before="240" w:after="240" w:line="360" w:lineRule="auto"/>
        <w:jc w:val="both"/>
        <w:rPr>
          <w:rFonts w:ascii="Arial" w:hAnsi="Arial" w:eastAsia="Arial" w:cs="Arial"/>
          <w:sz w:val="24"/>
          <w:szCs w:val="24"/>
        </w:rPr>
      </w:pPr>
      <w:r w:rsidRPr="0065284A">
        <w:rPr>
          <w:rFonts w:ascii="Arial" w:hAnsi="Arial" w:eastAsia="Arial" w:cs="Arial"/>
          <w:sz w:val="24"/>
          <w:szCs w:val="24"/>
        </w:rPr>
        <w:t xml:space="preserve">Assessment must hence cease to be in terms of attendance, satisfaction questionnaires and post-assessment quizzes. The organisations ought to gauge the retention, application and sharing of competencies and whether they produce behavioural, service or performance results. </w:t>
      </w:r>
      <w:proofErr w:type="spellStart"/>
      <w:r w:rsidRPr="0065284A">
        <w:rPr>
          <w:rFonts w:ascii="Arial" w:hAnsi="Arial" w:eastAsia="Arial" w:cs="Arial"/>
          <w:sz w:val="24"/>
          <w:szCs w:val="24"/>
        </w:rPr>
        <w:t>Ardondi</w:t>
      </w:r>
      <w:proofErr w:type="spellEnd"/>
      <w:r w:rsidRPr="0065284A">
        <w:rPr>
          <w:rFonts w:ascii="Arial" w:hAnsi="Arial" w:eastAsia="Arial" w:cs="Arial"/>
          <w:sz w:val="24"/>
          <w:szCs w:val="24"/>
        </w:rPr>
        <w:t xml:space="preserve"> et al. (2026) find that there is a </w:t>
      </w:r>
      <w:r w:rsidRPr="0065284A">
        <w:rPr>
          <w:rFonts w:ascii="Arial" w:hAnsi="Arial" w:eastAsia="Arial" w:cs="Arial"/>
          <w:sz w:val="24"/>
          <w:szCs w:val="24"/>
        </w:rPr>
        <w:lastRenderedPageBreak/>
        <w:t>significant lack of cohesiveness in the current training-transfer evaluation tools, which supports the necessity to have a more standardi</w:t>
      </w:r>
      <w:r>
        <w:rPr>
          <w:rFonts w:ascii="Arial" w:hAnsi="Arial" w:eastAsia="Arial" w:cs="Arial"/>
          <w:sz w:val="24"/>
          <w:szCs w:val="24"/>
        </w:rPr>
        <w:t>s</w:t>
      </w:r>
      <w:r w:rsidRPr="0065284A">
        <w:rPr>
          <w:rFonts w:ascii="Arial" w:hAnsi="Arial" w:eastAsia="Arial" w:cs="Arial"/>
          <w:sz w:val="24"/>
          <w:szCs w:val="24"/>
        </w:rPr>
        <w:t>ed method of measurement. Such a process of needs diagnosis, programme design, transfer planning, workplace reinforcement, outcome evaluation and redesign should therefore be a recurring process that managers should set. This operationalises the feedback process that is part of the conceptual framework and transforms training evaluation into a strategic HCM activity and not an administrative process.</w:t>
      </w:r>
    </w:p>
    <w:p w:rsidRPr="0027235C" w:rsidR="002A6AA9" w:rsidP="00D61675" w:rsidRDefault="002A6AA9" w14:paraId="4E9B7381" w14:textId="77777777">
      <w:pPr>
        <w:pStyle w:val="Heading3"/>
      </w:pPr>
      <w:bookmarkStart w:name="_Toc239530815" w:id="58"/>
      <w:r w:rsidRPr="0027235C">
        <w:t>5.2.2 Employee Support, Retention and Inclusive Development</w:t>
      </w:r>
      <w:bookmarkEnd w:id="58"/>
    </w:p>
    <w:p w:rsidR="002A6AA9" w:rsidP="002A6AA9" w:rsidRDefault="0065284A" w14:paraId="040B7E4D" w14:textId="6242DCF6">
      <w:pPr>
        <w:spacing w:before="240" w:after="240" w:line="360" w:lineRule="auto"/>
        <w:jc w:val="both"/>
        <w:rPr>
          <w:rFonts w:ascii="Arial" w:hAnsi="Arial" w:eastAsia="Arial" w:cs="Arial"/>
          <w:sz w:val="24"/>
          <w:szCs w:val="24"/>
        </w:rPr>
      </w:pPr>
      <w:r w:rsidRPr="0065284A">
        <w:rPr>
          <w:rFonts w:ascii="Arial" w:hAnsi="Arial" w:eastAsia="Arial" w:cs="Arial"/>
          <w:sz w:val="24"/>
          <w:szCs w:val="24"/>
        </w:rPr>
        <w:t>Managers must also consider development as a component of employment relationship and not just a productivity mechanism. These newly acquired capabilities would have to be matched by positive possibilities of skill application, in-house growth and reward or the organisations might end up creating employees without necessarily enhancing their loyalty to the organisation. There should also be increased participation in development. Schettino et al. (2024) also discovered that perceived behavioural control and continuous-learning culture had an impact on digital learning transfer intentions. Managers are hence advised to engage employees in setting the development objectives and to proactively eliminate barriers to transfer like overworking of employees, ineffective supervisory-motivation or lack of a chance to utili</w:t>
      </w:r>
      <w:r>
        <w:rPr>
          <w:rFonts w:ascii="Arial" w:hAnsi="Arial" w:eastAsia="Arial" w:cs="Arial"/>
          <w:sz w:val="24"/>
          <w:szCs w:val="24"/>
        </w:rPr>
        <w:t>s</w:t>
      </w:r>
      <w:r w:rsidRPr="0065284A">
        <w:rPr>
          <w:rFonts w:ascii="Arial" w:hAnsi="Arial" w:eastAsia="Arial" w:cs="Arial"/>
          <w:sz w:val="24"/>
          <w:szCs w:val="24"/>
        </w:rPr>
        <w:t>e new skills.</w:t>
      </w:r>
    </w:p>
    <w:p w:rsidRPr="0027235C" w:rsidR="0065284A" w:rsidP="002A6AA9" w:rsidRDefault="0065284A" w14:paraId="6C8BB766" w14:textId="5A37F3FC">
      <w:pPr>
        <w:spacing w:before="240" w:after="240" w:line="360" w:lineRule="auto"/>
        <w:jc w:val="both"/>
        <w:rPr>
          <w:rFonts w:ascii="Arial" w:hAnsi="Arial" w:eastAsia="Arial" w:cs="Arial"/>
          <w:sz w:val="24"/>
          <w:szCs w:val="24"/>
        </w:rPr>
      </w:pPr>
      <w:r w:rsidRPr="0065284A">
        <w:rPr>
          <w:rFonts w:ascii="Arial" w:hAnsi="Arial" w:eastAsia="Arial" w:cs="Arial"/>
          <w:sz w:val="24"/>
          <w:szCs w:val="24"/>
        </w:rPr>
        <w:t>Development should be an equal opportunity HCM responsibility. Beier et al. (2025) urge organisational strategies of learning that accommodate the growth of people, as well as employees who might have lesser access to organisational learning opportunities. Instead of believing that aggregate training expenditure is fair development, organisations ought to consider development participation and career progression over occupational levels and employment arrangements. This is becoming more critical in the context of digitalisation as future employability will be based on lifelong learning, and disparities in access to development could further increase the existing gap in capabilities in organisations.</w:t>
      </w:r>
    </w:p>
    <w:p w:rsidRPr="0027235C" w:rsidR="002A6AA9" w:rsidP="00D61675" w:rsidRDefault="002A6AA9" w14:paraId="47F9089E" w14:textId="77777777">
      <w:pPr>
        <w:pStyle w:val="Heading3"/>
      </w:pPr>
      <w:bookmarkStart w:name="_Toc239530816" w:id="59"/>
      <w:r w:rsidRPr="0027235C">
        <w:t>5.2.3 Policy, Industry and Action Implications</w:t>
      </w:r>
      <w:bookmarkEnd w:id="59"/>
    </w:p>
    <w:p w:rsidRPr="0027235C" w:rsidR="00CC70A8" w:rsidP="00570292" w:rsidRDefault="0065284A" w14:paraId="7E9F0CE4" w14:textId="700FE421">
      <w:pPr>
        <w:spacing w:before="240" w:after="240" w:line="360" w:lineRule="auto"/>
        <w:jc w:val="both"/>
        <w:rPr>
          <w:rFonts w:ascii="Arial" w:hAnsi="Arial" w:eastAsia="Arial" w:cs="Arial"/>
          <w:sz w:val="24"/>
          <w:szCs w:val="24"/>
        </w:rPr>
      </w:pPr>
      <w:r w:rsidRPr="0065284A">
        <w:rPr>
          <w:rFonts w:ascii="Arial" w:hAnsi="Arial" w:eastAsia="Arial" w:cs="Arial"/>
          <w:sz w:val="24"/>
          <w:szCs w:val="24"/>
        </w:rPr>
        <w:t xml:space="preserve">Instead of using the number of training hours or spending as the primary measure of workforce development, policy makers and industry bodies are advised to ensure </w:t>
      </w:r>
      <w:r w:rsidRPr="0065284A">
        <w:rPr>
          <w:rFonts w:ascii="Arial" w:hAnsi="Arial" w:eastAsia="Arial" w:cs="Arial"/>
          <w:sz w:val="24"/>
          <w:szCs w:val="24"/>
        </w:rPr>
        <w:lastRenderedPageBreak/>
        <w:t xml:space="preserve">organisations exhibit quality of development and transfer of capabilities. Regulated or safety-critical activities should also have periodic retraining that includes structured reflection on workplace experience since Wahl and </w:t>
      </w:r>
      <w:proofErr w:type="spellStart"/>
      <w:r w:rsidRPr="0065284A">
        <w:rPr>
          <w:rFonts w:ascii="Arial" w:hAnsi="Arial" w:eastAsia="Arial" w:cs="Arial"/>
          <w:sz w:val="24"/>
          <w:szCs w:val="24"/>
        </w:rPr>
        <w:t>Hybertsen</w:t>
      </w:r>
      <w:proofErr w:type="spellEnd"/>
      <w:r w:rsidRPr="0065284A">
        <w:rPr>
          <w:rFonts w:ascii="Arial" w:hAnsi="Arial" w:eastAsia="Arial" w:cs="Arial"/>
          <w:sz w:val="24"/>
          <w:szCs w:val="24"/>
        </w:rPr>
        <w:t xml:space="preserve"> (2025) indicate that transfer can be reciprocally between work and formal training. Guidance that is provided to the industry should thus focus more on sustained competence, employment prospects, feedback and ongoing learning. The strategic change at organisational level which is required is the shift form just offering training to the circulation of capability. Zahrani (2026) also correlates integrated training and employee development with employee performance and organisational sustainability, which supports the strategic, but not administrative, purpose of development.</w:t>
      </w:r>
    </w:p>
    <w:p w:rsidRPr="0027235C" w:rsidR="00CC70A8" w:rsidP="00D61675" w:rsidRDefault="00CC70A8" w14:paraId="35CCA178" w14:textId="31065C61">
      <w:pPr>
        <w:pStyle w:val="Heading2"/>
        <w:rPr>
          <w:rFonts w:eastAsia="Arial"/>
        </w:rPr>
      </w:pPr>
      <w:bookmarkStart w:name="_Toc239530817" w:id="60"/>
      <w:r w:rsidRPr="0027235C">
        <w:rPr>
          <w:rFonts w:eastAsia="Arial"/>
        </w:rPr>
        <w:t>5.3 Research Implications (Future Directions)</w:t>
      </w:r>
      <w:bookmarkEnd w:id="60"/>
    </w:p>
    <w:p w:rsidRPr="0027235C" w:rsidR="002A6AA9" w:rsidP="00D61675" w:rsidRDefault="002A6AA9" w14:paraId="448563E2" w14:textId="77777777">
      <w:pPr>
        <w:pStyle w:val="Heading3"/>
      </w:pPr>
      <w:bookmarkStart w:name="_Toc239530818" w:id="61"/>
      <w:r w:rsidRPr="0027235C">
        <w:t>5.3.1 Boundaries of the Study</w:t>
      </w:r>
      <w:bookmarkEnd w:id="61"/>
    </w:p>
    <w:p w:rsidRPr="0027235C" w:rsidR="002A6AA9" w:rsidP="002A6AA9" w:rsidRDefault="0065284A" w14:paraId="4C55BFA6" w14:textId="43B9E496">
      <w:pPr>
        <w:spacing w:before="240" w:after="240" w:line="360" w:lineRule="auto"/>
        <w:jc w:val="both"/>
        <w:rPr>
          <w:rFonts w:ascii="Arial" w:hAnsi="Arial" w:eastAsia="Arial" w:cs="Arial"/>
          <w:sz w:val="24"/>
          <w:szCs w:val="24"/>
        </w:rPr>
      </w:pPr>
      <w:r w:rsidRPr="0065284A">
        <w:rPr>
          <w:rFonts w:ascii="Arial" w:hAnsi="Arial" w:eastAsia="Arial" w:cs="Arial"/>
          <w:sz w:val="24"/>
          <w:szCs w:val="24"/>
        </w:rPr>
        <w:t xml:space="preserve">These implications are to be interpreted within the confines of this dissertation. The review was based solely on secondary evidence and focused mostly on English language organisational literature released in the identified </w:t>
      </w:r>
      <w:r w:rsidR="00F55E4F">
        <w:rPr>
          <w:rFonts w:ascii="Arial" w:hAnsi="Arial" w:eastAsia="Arial" w:cs="Arial"/>
          <w:sz w:val="24"/>
          <w:szCs w:val="24"/>
        </w:rPr>
        <w:t>2016</w:t>
      </w:r>
      <w:r>
        <w:rPr>
          <w:rFonts w:ascii="Arial" w:hAnsi="Arial" w:eastAsia="Arial" w:cs="Arial"/>
          <w:sz w:val="24"/>
          <w:szCs w:val="24"/>
        </w:rPr>
        <w:t>-</w:t>
      </w:r>
      <w:r w:rsidRPr="0065284A">
        <w:rPr>
          <w:rFonts w:ascii="Arial" w:hAnsi="Arial" w:eastAsia="Arial" w:cs="Arial"/>
          <w:sz w:val="24"/>
          <w:szCs w:val="24"/>
        </w:rPr>
        <w:t>2026 timeframe. The evidence was quite different based on the industry, geography, measurement and methodology, and most of the studies relied on cross-sectional surveys and self-reported results. The conceptual framework, therefore, incorporates the recurrent relationships that have been found throughout the literature but fails to prove the causality on its own. It might also be less applicable to micro-enterprises, informal and institutional employment, which were underrepresented in the examined studies. Future researchers are thus advised not to assume the framework to be universally tested till these contextual limits are established to be tested.</w:t>
      </w:r>
    </w:p>
    <w:p w:rsidRPr="0027235C" w:rsidR="002A6AA9" w:rsidP="00D61675" w:rsidRDefault="002A6AA9" w14:paraId="10A62863" w14:textId="77777777">
      <w:pPr>
        <w:pStyle w:val="Heading3"/>
      </w:pPr>
      <w:bookmarkStart w:name="_Toc239530819" w:id="62"/>
      <w:r w:rsidRPr="0027235C">
        <w:t>5.3.2 Future Research Agenda</w:t>
      </w:r>
      <w:bookmarkEnd w:id="62"/>
    </w:p>
    <w:p w:rsidRPr="0027235C" w:rsidR="00CC70A8" w:rsidP="00570292" w:rsidRDefault="0065284A" w14:paraId="55C7C4A8" w14:textId="74F2C2E5">
      <w:pPr>
        <w:spacing w:before="240" w:after="240" w:line="360" w:lineRule="auto"/>
        <w:jc w:val="both"/>
        <w:rPr>
          <w:rFonts w:ascii="Arial" w:hAnsi="Arial" w:eastAsia="Arial" w:cs="Arial"/>
          <w:sz w:val="24"/>
          <w:szCs w:val="24"/>
        </w:rPr>
      </w:pPr>
      <w:r w:rsidRPr="0065284A">
        <w:rPr>
          <w:rFonts w:ascii="Arial" w:hAnsi="Arial" w:eastAsia="Arial" w:cs="Arial"/>
          <w:sz w:val="24"/>
          <w:szCs w:val="24"/>
        </w:rPr>
        <w:t xml:space="preserve">Future scholars ought to empirically validate the proposed framework by conducting longitudinal and multilevel studies that track the employees under pre-training conditions up to their learning acquisition, transfer, knowledge sharing, performance and actual retention. Employee and supervisor measurements should be supplemented by objective indicators since </w:t>
      </w:r>
      <w:proofErr w:type="spellStart"/>
      <w:r w:rsidRPr="0065284A">
        <w:rPr>
          <w:rFonts w:ascii="Arial" w:hAnsi="Arial" w:eastAsia="Arial" w:cs="Arial"/>
          <w:sz w:val="24"/>
          <w:szCs w:val="24"/>
        </w:rPr>
        <w:t>Ardondi</w:t>
      </w:r>
      <w:proofErr w:type="spellEnd"/>
      <w:r w:rsidRPr="0065284A">
        <w:rPr>
          <w:rFonts w:ascii="Arial" w:hAnsi="Arial" w:eastAsia="Arial" w:cs="Arial"/>
          <w:sz w:val="24"/>
          <w:szCs w:val="24"/>
        </w:rPr>
        <w:t xml:space="preserve"> et al. (2026) show that there is still a fragmentation of how transfer in the workplace is measured. Alternative transfer-support practices should be compared using experimental and quasi-experimental </w:t>
      </w:r>
      <w:r w:rsidRPr="0065284A">
        <w:rPr>
          <w:rFonts w:ascii="Arial" w:hAnsi="Arial" w:eastAsia="Arial" w:cs="Arial"/>
          <w:sz w:val="24"/>
          <w:szCs w:val="24"/>
        </w:rPr>
        <w:lastRenderedPageBreak/>
        <w:t>designs and cross-sector and cross-country studies should determine whether the proposed relationships are different in organisational and institutional settings. It should also be investigated whether formal, informal and self-regulated learning support each other in the long term, and in this way, the patterns of workplace-learning that are integrated, as identified by Mitschelen and Kauffeld (2025). Lastly, researchers ought to explore the question of whether disparities in access to digital reskilling increase human-capital disparities and whether the suggested capability pathway and relational pathway work independently, sequentially or in a reinforcing manner.</w:t>
      </w:r>
    </w:p>
    <w:p w:rsidR="00D61675" w:rsidRDefault="00D61675" w14:paraId="52B40196" w14:textId="77777777">
      <w:pPr>
        <w:rPr>
          <w:rFonts w:ascii="Arial" w:hAnsi="Arial" w:eastAsia="Arial" w:cs="Times New Roman"/>
          <w:b/>
          <w:bCs/>
          <w:color w:val="000000"/>
          <w:sz w:val="24"/>
          <w:szCs w:val="24"/>
        </w:rPr>
      </w:pPr>
      <w:r>
        <w:rPr>
          <w:rFonts w:eastAsia="Arial"/>
        </w:rPr>
        <w:br w:type="page"/>
      </w:r>
    </w:p>
    <w:p w:rsidRPr="0027235C" w:rsidR="002A6AA9" w:rsidP="573B7504" w:rsidRDefault="00570292" w14:paraId="6FFC96E4" w14:textId="55A5BF98">
      <w:pPr>
        <w:pStyle w:val="Heading1"/>
        <w:jc w:val="center"/>
        <w:rPr>
          <w:rFonts w:eastAsia="Arial"/>
        </w:rPr>
      </w:pPr>
      <w:bookmarkStart w:name="_Toc239530820" w:id="63"/>
      <w:r w:rsidRPr="573B7504" w:rsidR="00570292">
        <w:rPr>
          <w:rFonts w:eastAsia="Arial"/>
        </w:rPr>
        <w:t>Chapter 6:</w:t>
      </w:r>
      <w:r w:rsidR="00570292">
        <w:rPr/>
        <w:t xml:space="preserve"> </w:t>
      </w:r>
      <w:r w:rsidRPr="573B7504" w:rsidR="00570292">
        <w:rPr>
          <w:rFonts w:eastAsia="Arial"/>
        </w:rPr>
        <w:t>Conclusion</w:t>
      </w:r>
      <w:bookmarkEnd w:id="63"/>
    </w:p>
    <w:p w:rsidRPr="0027235C" w:rsidR="002A6AA9" w:rsidP="00D61675" w:rsidRDefault="002A6AA9" w14:paraId="078D167B" w14:textId="030B0BD8">
      <w:pPr>
        <w:pStyle w:val="Heading2"/>
        <w:rPr>
          <w:rFonts w:eastAsia="Arial"/>
        </w:rPr>
      </w:pPr>
      <w:bookmarkStart w:name="_Toc239530821" w:id="64"/>
      <w:r w:rsidRPr="0027235C">
        <w:rPr>
          <w:rFonts w:eastAsia="Arial"/>
        </w:rPr>
        <w:t>6.1 Answering the research question</w:t>
      </w:r>
      <w:bookmarkEnd w:id="64"/>
    </w:p>
    <w:p w:rsidRPr="0027235C" w:rsidR="002A6AA9" w:rsidP="00D61675" w:rsidRDefault="002A6AA9" w14:paraId="3725F2CC" w14:textId="77777777">
      <w:pPr>
        <w:pStyle w:val="Heading3"/>
      </w:pPr>
      <w:bookmarkStart w:name="_Toc239530822" w:id="65"/>
      <w:r w:rsidRPr="0027235C">
        <w:t>6.1.1 Final Answer to the Research Question</w:t>
      </w:r>
      <w:bookmarkEnd w:id="65"/>
    </w:p>
    <w:p w:rsidR="002A6AA9" w:rsidP="00570292" w:rsidRDefault="0065284A" w14:paraId="576E92EE" w14:textId="566945C6">
      <w:pPr>
        <w:spacing w:before="240" w:after="240" w:line="360" w:lineRule="auto"/>
        <w:jc w:val="both"/>
        <w:rPr>
          <w:rFonts w:ascii="Arial" w:hAnsi="Arial" w:eastAsia="Arial" w:cs="Arial"/>
          <w:sz w:val="24"/>
          <w:szCs w:val="24"/>
        </w:rPr>
      </w:pPr>
      <w:r w:rsidRPr="0065284A">
        <w:rPr>
          <w:rFonts w:ascii="Arial" w:hAnsi="Arial" w:eastAsia="Arial" w:cs="Arial"/>
          <w:sz w:val="24"/>
          <w:szCs w:val="24"/>
        </w:rPr>
        <w:t>The aim of this dissertation was to respond to the following research question: How do training and development of employees help in effective Human Capital Management? The critical review finds that training and development lead to effective HCM when it is employed as an integrated process where employee knowledge and capabilities are built, transferred to workplace practice, used productively and retained in the organisation. Provision of training itself does not bring about sustainable human-capital value. Its contribution hinges on whether or not acquired learning turns into meaningful workplace capability and whether or not organisational circumstances permit employees to apply, share and further develop that capability.</w:t>
      </w:r>
    </w:p>
    <w:p w:rsidR="0065284A" w:rsidP="00570292" w:rsidRDefault="0065284A" w14:paraId="02FF248A" w14:textId="219C1477">
      <w:pPr>
        <w:spacing w:before="240" w:after="240" w:line="360" w:lineRule="auto"/>
        <w:jc w:val="both"/>
        <w:rPr>
          <w:rFonts w:ascii="Arial" w:hAnsi="Arial" w:eastAsia="Arial" w:cs="Arial"/>
          <w:sz w:val="24"/>
          <w:szCs w:val="24"/>
        </w:rPr>
      </w:pPr>
      <w:r w:rsidRPr="0065284A">
        <w:rPr>
          <w:rFonts w:ascii="Arial" w:hAnsi="Arial" w:eastAsia="Arial" w:cs="Arial"/>
          <w:sz w:val="24"/>
          <w:szCs w:val="24"/>
        </w:rPr>
        <w:t>There were four noteworthy conclusions. To begin with, training and development is a strategic human-capital investment since it enhances the knowledge, competence, flexibility and ability of employees, to cope with evolving organisational needs. But this investment is not a value that is automatic. Second, learning transfer became the primary process that links training and performance of employees and organisations. The conversion of development into sustained workplace behaviour is influenced by motivation, relevance of the programme, managerial and peer support, learning climate and opportunities to apply the knowledge gained.</w:t>
      </w:r>
    </w:p>
    <w:p w:rsidRPr="0027235C" w:rsidR="0065284A" w:rsidP="00570292" w:rsidRDefault="0065284A" w14:paraId="27FACF3F" w14:textId="31AFD58B">
      <w:pPr>
        <w:spacing w:before="240" w:after="240" w:line="360" w:lineRule="auto"/>
        <w:jc w:val="both"/>
        <w:rPr>
          <w:rFonts w:ascii="Arial" w:hAnsi="Arial" w:eastAsia="Arial" w:cs="Arial"/>
          <w:sz w:val="24"/>
          <w:szCs w:val="24"/>
        </w:rPr>
      </w:pPr>
      <w:r w:rsidRPr="0065284A">
        <w:rPr>
          <w:rFonts w:ascii="Arial" w:hAnsi="Arial" w:eastAsia="Arial" w:cs="Arial"/>
          <w:sz w:val="24"/>
          <w:szCs w:val="24"/>
        </w:rPr>
        <w:t>Third, development also brings about relational and capability-based results. When employees are able to view training as an organisational investment that is meaningful, as well as opportunities to grow their careers and apply their skills, engagement, satisfaction, organisational commitment and retention can be enhanced. Nevertheless, development is not always associated with retention as external employability can also improve with increased capabilities. Fourth, a change in technology has raised the value of continuous reskilling and at the same time, it has brought issues of unequal access to developmental opportunities into the limelight. Good HCM thus demands sustained, participative and workforce development that is strategically aligned as opposed to individual training initiatives.</w:t>
      </w:r>
    </w:p>
    <w:p w:rsidRPr="0027235C" w:rsidR="002A6AA9" w:rsidP="00D61675" w:rsidRDefault="002A6AA9" w14:paraId="579B650A" w14:textId="58265935">
      <w:pPr>
        <w:pStyle w:val="Heading2"/>
        <w:rPr>
          <w:rFonts w:eastAsia="Arial"/>
        </w:rPr>
      </w:pPr>
      <w:bookmarkStart w:name="_Toc239530823" w:id="66"/>
      <w:r w:rsidRPr="0027235C">
        <w:rPr>
          <w:rFonts w:eastAsia="Arial"/>
        </w:rPr>
        <w:lastRenderedPageBreak/>
        <w:t>6.2 Contributions</w:t>
      </w:r>
      <w:bookmarkEnd w:id="66"/>
    </w:p>
    <w:p w:rsidRPr="0027235C" w:rsidR="002A6AA9" w:rsidP="00D61675" w:rsidRDefault="002A6AA9" w14:paraId="5D50964B" w14:textId="77777777">
      <w:pPr>
        <w:pStyle w:val="Heading3"/>
      </w:pPr>
      <w:bookmarkStart w:name="_Toc239530824" w:id="67"/>
      <w:r w:rsidRPr="0027235C">
        <w:t>6.2.1 Academic Contribution</w:t>
      </w:r>
      <w:bookmarkEnd w:id="67"/>
    </w:p>
    <w:p w:rsidR="0065284A" w:rsidP="002A6AA9" w:rsidRDefault="0065284A" w14:paraId="0B20E011" w14:textId="0B4CAED0">
      <w:pPr>
        <w:spacing w:before="240" w:after="240" w:line="360" w:lineRule="auto"/>
        <w:jc w:val="both"/>
        <w:rPr>
          <w:rFonts w:ascii="Arial" w:hAnsi="Arial" w:eastAsia="Arial" w:cs="Arial"/>
          <w:sz w:val="24"/>
          <w:szCs w:val="24"/>
        </w:rPr>
      </w:pPr>
      <w:r w:rsidRPr="0065284A">
        <w:rPr>
          <w:rFonts w:ascii="Arial" w:hAnsi="Arial" w:eastAsia="Arial" w:cs="Arial"/>
          <w:sz w:val="24"/>
          <w:szCs w:val="24"/>
        </w:rPr>
        <w:t>The dissertation is scholarly in that it combines the spheres that have often been looked at independently. The current studies usually explore the performance of training, learning transfer, employee engagement or retention separately. This review united these relations and showed them to be interrelated steps and directions of the broader process of human-capital development.</w:t>
      </w:r>
    </w:p>
    <w:p w:rsidR="002A6AA9" w:rsidP="00D61675" w:rsidRDefault="0065284A" w14:paraId="39D714FB" w14:textId="3CA2789A">
      <w:pPr>
        <w:spacing w:line="360" w:lineRule="auto"/>
        <w:jc w:val="both"/>
        <w:rPr>
          <w:rFonts w:ascii="Arial" w:hAnsi="Arial" w:eastAsia="Arial" w:cs="Arial"/>
          <w:sz w:val="24"/>
          <w:szCs w:val="24"/>
        </w:rPr>
      </w:pPr>
      <w:r w:rsidRPr="0065284A">
        <w:rPr>
          <w:rFonts w:ascii="Arial" w:hAnsi="Arial" w:eastAsia="Arial" w:cs="Arial"/>
          <w:sz w:val="24"/>
          <w:szCs w:val="24"/>
        </w:rPr>
        <w:t>One of the significant contributions was the Strategic Training to Human Capability Value Framework. The framework also conceptualises the training effectiveness as a process that starts with investment in the development and then advances to the acquisition and transfer of capabilities and then breaks down into two processes namely; the capability and relational paths. The capability pathway articulates how the utilisation of skills, sharing of knowledge, performance and innovation are being built as part of organisational human capital whereas the relational pathway articulates how development could actually impact engagement, satisfaction, commitment and retention. This process is further impacted by contextual conditions and continuous feedback.</w:t>
      </w:r>
    </w:p>
    <w:p w:rsidRPr="0065284A" w:rsidR="0065284A" w:rsidP="00D61675" w:rsidRDefault="0065284A" w14:paraId="2DAD628C" w14:textId="78F98F44">
      <w:pPr>
        <w:spacing w:before="240" w:after="240" w:line="360" w:lineRule="auto"/>
        <w:jc w:val="both"/>
        <w:rPr>
          <w:rFonts w:ascii="Arial" w:hAnsi="Arial" w:eastAsia="Arial" w:cs="Arial"/>
          <w:b/>
          <w:bCs/>
          <w:sz w:val="24"/>
          <w:szCs w:val="24"/>
          <w:lang w:val="en-IN"/>
        </w:rPr>
      </w:pPr>
      <w:r w:rsidRPr="0065284A">
        <w:rPr>
          <w:rFonts w:ascii="Arial" w:hAnsi="Arial" w:eastAsia="Arial" w:cs="Arial"/>
          <w:sz w:val="24"/>
          <w:szCs w:val="24"/>
          <w:lang w:val="en-IN"/>
        </w:rPr>
        <w:t>The framework thus fills a perceived gap in the existing theoretical literature by incorporating into a more unified account of training effectiveness the Human Capital Theory, the Resource-Based View, the Training transfer Theory, the Social Exchange Theory and the Organisational Support Theory. The dissertation does not substitute these theories but proves the possibility of relating their areas of explanation.</w:t>
      </w:r>
    </w:p>
    <w:p w:rsidRPr="0027235C" w:rsidR="002A6AA9" w:rsidP="00D61675" w:rsidRDefault="002A6AA9" w14:paraId="0740AAF8" w14:textId="77777777">
      <w:pPr>
        <w:pStyle w:val="Heading3"/>
      </w:pPr>
      <w:bookmarkStart w:name="_Toc239530825" w:id="68"/>
      <w:r w:rsidRPr="0027235C">
        <w:t>6.2.2 Practitioner Contribution</w:t>
      </w:r>
      <w:bookmarkEnd w:id="68"/>
    </w:p>
    <w:p w:rsidR="002A6AA9" w:rsidP="00570292" w:rsidRDefault="0065284A" w14:paraId="0E8679CB" w14:textId="2229BACF">
      <w:pPr>
        <w:spacing w:before="240" w:after="240" w:line="360" w:lineRule="auto"/>
        <w:jc w:val="both"/>
        <w:rPr>
          <w:rFonts w:ascii="Arial" w:hAnsi="Arial" w:eastAsia="Arial" w:cs="Arial"/>
          <w:sz w:val="24"/>
          <w:szCs w:val="24"/>
        </w:rPr>
      </w:pPr>
      <w:r w:rsidRPr="0065284A">
        <w:rPr>
          <w:rFonts w:ascii="Arial" w:hAnsi="Arial" w:eastAsia="Arial" w:cs="Arial"/>
          <w:sz w:val="24"/>
          <w:szCs w:val="24"/>
        </w:rPr>
        <w:t>To practitioners, the research redefines the focus of providing training to address the management of capability development and utilisation. Participation, hours of training and immediate satisfaction should not be the main criteria used by organisations to assess the success of training. Having an effective HCM means that managers must pay attention to whether the learning is retained, transferred, used, shared and connected to organisational priorities.</w:t>
      </w:r>
    </w:p>
    <w:p w:rsidRPr="0027235C" w:rsidR="0065284A" w:rsidP="00570292" w:rsidRDefault="0065284A" w14:paraId="3903FE6C" w14:textId="1D83A636">
      <w:pPr>
        <w:spacing w:before="240" w:after="240" w:line="360" w:lineRule="auto"/>
        <w:jc w:val="both"/>
        <w:rPr>
          <w:rFonts w:ascii="Arial" w:hAnsi="Arial" w:eastAsia="Arial" w:cs="Arial"/>
          <w:sz w:val="24"/>
          <w:szCs w:val="24"/>
        </w:rPr>
      </w:pPr>
      <w:r w:rsidRPr="0065284A">
        <w:rPr>
          <w:rFonts w:ascii="Arial" w:hAnsi="Arial" w:eastAsia="Arial" w:cs="Arial"/>
          <w:sz w:val="24"/>
          <w:szCs w:val="24"/>
        </w:rPr>
        <w:lastRenderedPageBreak/>
        <w:t>The dissertation also shows that the effectiveness of training should not be left to the HR departments alone. The overall impact of managers, supervisors, employees and organisational systems on whether learning will be usable human capital. Therefore, the workforce development must be tied to performance management, career development, managerial support, knowledge sharing and future workforce planning.</w:t>
      </w:r>
    </w:p>
    <w:p w:rsidRPr="0027235C" w:rsidR="002A6AA9" w:rsidP="00D61675" w:rsidRDefault="002A6AA9" w14:paraId="761AD8AC" w14:textId="06D89E07">
      <w:pPr>
        <w:pStyle w:val="Heading2"/>
        <w:rPr>
          <w:rFonts w:eastAsia="Arial"/>
        </w:rPr>
      </w:pPr>
      <w:bookmarkStart w:name="_Toc239530826" w:id="69"/>
      <w:r w:rsidRPr="0027235C">
        <w:rPr>
          <w:rFonts w:eastAsia="Arial"/>
        </w:rPr>
        <w:t>6.3 Limitations</w:t>
      </w:r>
      <w:bookmarkEnd w:id="69"/>
      <w:r w:rsidRPr="0027235C">
        <w:rPr>
          <w:rFonts w:eastAsia="Arial"/>
        </w:rPr>
        <w:t xml:space="preserve"> </w:t>
      </w:r>
    </w:p>
    <w:p w:rsidRPr="0027235C" w:rsidR="002A6AA9" w:rsidP="00D61675" w:rsidRDefault="002A6AA9" w14:paraId="64BCF502" w14:textId="77777777">
      <w:pPr>
        <w:pStyle w:val="Heading3"/>
      </w:pPr>
      <w:bookmarkStart w:name="_Toc239530827" w:id="70"/>
      <w:r w:rsidRPr="0027235C">
        <w:t>6.3.1 Boundaries of the Review</w:t>
      </w:r>
      <w:bookmarkEnd w:id="70"/>
    </w:p>
    <w:p w:rsidR="002A6AA9" w:rsidP="00570292" w:rsidRDefault="0065284A" w14:paraId="5C9943C2" w14:textId="7084D023">
      <w:pPr>
        <w:spacing w:before="240" w:after="240" w:line="360" w:lineRule="auto"/>
        <w:jc w:val="both"/>
        <w:rPr>
          <w:rFonts w:ascii="Arial" w:hAnsi="Arial" w:eastAsia="Arial" w:cs="Arial"/>
          <w:sz w:val="24"/>
          <w:szCs w:val="24"/>
        </w:rPr>
      </w:pPr>
      <w:r w:rsidRPr="0065284A">
        <w:rPr>
          <w:rFonts w:ascii="Arial" w:hAnsi="Arial" w:eastAsia="Arial" w:cs="Arial"/>
          <w:sz w:val="24"/>
          <w:szCs w:val="24"/>
        </w:rPr>
        <w:t>These conclusions have a number of limitations which should be taken into consideration when interpreting them. The dissertation relied purely on secondary research and thus, was subject to the quality, scope and methodological decisions of earlier published research. It was able to synthesise relationships and determine patterns but not determine causality on its own.</w:t>
      </w:r>
    </w:p>
    <w:p w:rsidR="0065284A" w:rsidP="00570292" w:rsidRDefault="0065284A" w14:paraId="28637DDB" w14:textId="3B309C3E">
      <w:pPr>
        <w:spacing w:before="240" w:after="240" w:line="360" w:lineRule="auto"/>
        <w:jc w:val="both"/>
        <w:rPr>
          <w:rFonts w:ascii="Arial" w:hAnsi="Arial" w:eastAsia="Arial" w:cs="Arial"/>
          <w:sz w:val="24"/>
          <w:szCs w:val="24"/>
        </w:rPr>
      </w:pPr>
      <w:r w:rsidRPr="0065284A">
        <w:rPr>
          <w:rFonts w:ascii="Arial" w:hAnsi="Arial" w:eastAsia="Arial" w:cs="Arial"/>
          <w:sz w:val="24"/>
          <w:szCs w:val="24"/>
        </w:rPr>
        <w:t xml:space="preserve">The review mostly incorporated English-language publications that were published between </w:t>
      </w:r>
      <w:r w:rsidR="00F55E4F">
        <w:rPr>
          <w:rFonts w:ascii="Arial" w:hAnsi="Arial" w:eastAsia="Arial" w:cs="Arial"/>
          <w:sz w:val="24"/>
          <w:szCs w:val="24"/>
        </w:rPr>
        <w:t>2016</w:t>
      </w:r>
      <w:r w:rsidRPr="0065284A">
        <w:rPr>
          <w:rFonts w:ascii="Arial" w:hAnsi="Arial" w:eastAsia="Arial" w:cs="Arial"/>
          <w:sz w:val="24"/>
          <w:szCs w:val="24"/>
        </w:rPr>
        <w:t xml:space="preserve"> and 2026 and some previous theoretical literature. The outside boundaries of these boundaries may have resulted in the exclusion of relevant evidence. Moreover, the literature involved various industries, jobs and national settings and this restricted the uniformity of one conclusion to all organisations.</w:t>
      </w:r>
    </w:p>
    <w:p w:rsidRPr="0027235C" w:rsidR="0065284A" w:rsidP="00570292" w:rsidRDefault="0065284A" w14:paraId="318A040D" w14:textId="115E6D47">
      <w:pPr>
        <w:spacing w:before="240" w:after="240" w:line="360" w:lineRule="auto"/>
        <w:jc w:val="both"/>
        <w:rPr>
          <w:rFonts w:ascii="Arial" w:hAnsi="Arial" w:eastAsia="Arial" w:cs="Arial"/>
          <w:sz w:val="24"/>
          <w:szCs w:val="24"/>
        </w:rPr>
      </w:pPr>
      <w:r w:rsidRPr="0065284A">
        <w:rPr>
          <w:rFonts w:ascii="Arial" w:hAnsi="Arial" w:eastAsia="Arial" w:cs="Arial"/>
          <w:sz w:val="24"/>
          <w:szCs w:val="24"/>
        </w:rPr>
        <w:t>Another weakness is related to the evidence itself. Numerous studies reviewed were based on cross-sectional surveys, self-reported transfer, employee attitudes and intentions instead of objective performance or actual retention. There was also a great diversity of definitions and measurements of training effectiveness. Such differences in methodology imply that the conceptual framework constructed in this dissertation can be seen as a theoretically based synthesis that needs additional empirical support instead of a causal model that has been proved universally.</w:t>
      </w:r>
    </w:p>
    <w:p w:rsidRPr="0027235C" w:rsidR="002A6AA9" w:rsidP="00D61675" w:rsidRDefault="002A6AA9" w14:paraId="280CE214" w14:textId="6DE26DF5">
      <w:pPr>
        <w:pStyle w:val="Heading2"/>
        <w:rPr>
          <w:rFonts w:eastAsia="Arial"/>
        </w:rPr>
      </w:pPr>
      <w:bookmarkStart w:name="_Toc239530828" w:id="71"/>
      <w:r w:rsidRPr="0027235C">
        <w:rPr>
          <w:rFonts w:eastAsia="Arial"/>
        </w:rPr>
        <w:t>6.4 Final recommendations and future research</w:t>
      </w:r>
      <w:bookmarkEnd w:id="71"/>
    </w:p>
    <w:p w:rsidRPr="0027235C" w:rsidR="002A6AA9" w:rsidP="00D61675" w:rsidRDefault="002A6AA9" w14:paraId="5DB11AE3" w14:textId="77777777">
      <w:pPr>
        <w:pStyle w:val="Heading3"/>
      </w:pPr>
      <w:bookmarkStart w:name="_Toc239530829" w:id="72"/>
      <w:r w:rsidRPr="0027235C">
        <w:t>6.4.1 Recommendations for Scholarship and Practice</w:t>
      </w:r>
      <w:bookmarkEnd w:id="72"/>
    </w:p>
    <w:p w:rsidR="002A6AA9" w:rsidP="00570292" w:rsidRDefault="0065284A" w14:paraId="20136413" w14:textId="50C8A553">
      <w:pPr>
        <w:spacing w:before="240" w:after="240" w:line="360" w:lineRule="auto"/>
        <w:jc w:val="both"/>
        <w:rPr>
          <w:rFonts w:ascii="Arial" w:hAnsi="Arial" w:eastAsia="Arial" w:cs="Arial"/>
          <w:sz w:val="24"/>
          <w:szCs w:val="24"/>
        </w:rPr>
      </w:pPr>
      <w:r w:rsidRPr="0065284A">
        <w:rPr>
          <w:rFonts w:ascii="Arial" w:hAnsi="Arial" w:eastAsia="Arial" w:cs="Arial"/>
          <w:sz w:val="24"/>
          <w:szCs w:val="24"/>
        </w:rPr>
        <w:t xml:space="preserve">The Strategic Training-to-Human-Capital Value Framework has to be first empirically tested in future research with longitudinal and multilevel designs. The acquisition, transfer, knowledge sharing, performance and retention of employees should be </w:t>
      </w:r>
      <w:r w:rsidRPr="0065284A">
        <w:rPr>
          <w:rFonts w:ascii="Arial" w:hAnsi="Arial" w:eastAsia="Arial" w:cs="Arial"/>
          <w:sz w:val="24"/>
          <w:szCs w:val="24"/>
        </w:rPr>
        <w:lastRenderedPageBreak/>
        <w:t>tracked since pre-training conditions to learning transfer is still fragmented in existing transfer measurement (</w:t>
      </w:r>
      <w:proofErr w:type="spellStart"/>
      <w:r w:rsidRPr="0065284A">
        <w:rPr>
          <w:rFonts w:ascii="Arial" w:hAnsi="Arial" w:eastAsia="Arial" w:cs="Arial"/>
          <w:sz w:val="24"/>
          <w:szCs w:val="24"/>
        </w:rPr>
        <w:t>Ardondi</w:t>
      </w:r>
      <w:proofErr w:type="spellEnd"/>
      <w:r w:rsidRPr="0065284A">
        <w:rPr>
          <w:rFonts w:ascii="Arial" w:hAnsi="Arial" w:eastAsia="Arial" w:cs="Arial"/>
          <w:sz w:val="24"/>
          <w:szCs w:val="24"/>
        </w:rPr>
        <w:t xml:space="preserve"> et al., 2026). The research ought to involve employee reports as well as manager evaluations as well as objective organisational measures as opposed to single-source evidence.</w:t>
      </w:r>
    </w:p>
    <w:p w:rsidR="0065284A" w:rsidP="00570292" w:rsidRDefault="0065284A" w14:paraId="2125FA09" w14:textId="6381C0CA">
      <w:pPr>
        <w:spacing w:before="240" w:after="240" w:line="360" w:lineRule="auto"/>
        <w:jc w:val="both"/>
        <w:rPr>
          <w:rFonts w:ascii="Arial" w:hAnsi="Arial" w:eastAsia="Arial" w:cs="Arial"/>
          <w:sz w:val="24"/>
          <w:szCs w:val="24"/>
        </w:rPr>
      </w:pPr>
      <w:r w:rsidRPr="0065284A">
        <w:rPr>
          <w:rFonts w:ascii="Arial" w:hAnsi="Arial" w:eastAsia="Arial" w:cs="Arial"/>
          <w:sz w:val="24"/>
          <w:szCs w:val="24"/>
        </w:rPr>
        <w:t>Second, scholars need to explore the longitudinal relationship between formal, informal and self-regulated workplace learning. This is especially relevant as modern workforce development is becoming more and more a part of non-traditional training programmes and lifelong learning in the workplace (Mitschelen and Kauffeld, 2025).</w:t>
      </w:r>
    </w:p>
    <w:p w:rsidR="0065284A" w:rsidP="00570292" w:rsidRDefault="0065284A" w14:paraId="048EA996" w14:textId="1D3E308F">
      <w:pPr>
        <w:spacing w:before="240" w:after="240" w:line="360" w:lineRule="auto"/>
        <w:jc w:val="both"/>
        <w:rPr>
          <w:rFonts w:ascii="Arial" w:hAnsi="Arial" w:eastAsia="Arial" w:cs="Arial"/>
          <w:sz w:val="24"/>
          <w:szCs w:val="24"/>
        </w:rPr>
      </w:pPr>
      <w:r w:rsidRPr="0065284A">
        <w:rPr>
          <w:rFonts w:ascii="Arial" w:hAnsi="Arial" w:eastAsia="Arial" w:cs="Arial"/>
          <w:sz w:val="24"/>
          <w:szCs w:val="24"/>
        </w:rPr>
        <w:t>Third, the focus should be directed towards inclusive reskilling and the contextual differences. Future researchers need to contrast lower and higher skilled workers, SMEs and larger organisations, public and privately-owned organisations and in various national contexts. Organisations also need to check on those who are given the development opportunity and the possibility of use of the new capabilities. The workplace learning should be able to be adaptive to the changing needs of the workforce, as well as acknowledge the distinctions between workers and the workplace conditions (Beier et al., 2025).</w:t>
      </w:r>
    </w:p>
    <w:p w:rsidRPr="0065284A" w:rsidR="0065284A" w:rsidP="00570292" w:rsidRDefault="0065284A" w14:paraId="24CC5174" w14:textId="3D646D7D">
      <w:pPr>
        <w:spacing w:before="240" w:after="240" w:line="360" w:lineRule="auto"/>
        <w:jc w:val="both"/>
        <w:rPr>
          <w:rFonts w:ascii="Arial" w:hAnsi="Arial" w:eastAsia="Arial" w:cs="Arial"/>
          <w:b/>
          <w:bCs/>
          <w:sz w:val="24"/>
          <w:szCs w:val="24"/>
          <w:lang w:val="en-IN"/>
        </w:rPr>
      </w:pPr>
      <w:r w:rsidRPr="0065284A">
        <w:rPr>
          <w:rFonts w:ascii="Arial" w:hAnsi="Arial" w:eastAsia="Arial" w:cs="Arial"/>
          <w:sz w:val="24"/>
          <w:szCs w:val="24"/>
          <w:lang w:val="en-IN"/>
        </w:rPr>
        <w:t>In the end, this dissertation finds that training inherently gains strategic significance not when employees simply undergo training but when organisations are able to convert the training into practised, distributed, stored and ever-renewed human capital.</w:t>
      </w:r>
    </w:p>
    <w:p w:rsidRPr="0027235C" w:rsidR="00D63CA2" w:rsidP="00570292" w:rsidRDefault="00BF2F3A" w14:paraId="19FC3FCF" w14:textId="34F289C0">
      <w:pPr>
        <w:spacing w:before="240" w:after="240" w:line="360" w:lineRule="auto"/>
        <w:jc w:val="both"/>
        <w:rPr>
          <w:rFonts w:ascii="Arial" w:hAnsi="Arial" w:eastAsia="Arial" w:cs="Arial"/>
          <w:b/>
          <w:bCs/>
          <w:sz w:val="24"/>
          <w:szCs w:val="24"/>
        </w:rPr>
      </w:pPr>
      <w:r w:rsidRPr="0027235C">
        <w:br w:type="page"/>
      </w:r>
    </w:p>
    <w:p w:rsidRPr="0027235C" w:rsidR="00D63CA2" w:rsidP="00EA78D2" w:rsidRDefault="00BF2F3A" w14:paraId="7D28A051" w14:textId="77777777">
      <w:pPr>
        <w:pStyle w:val="Heading1"/>
        <w:rPr>
          <w:rFonts w:eastAsia="Arial"/>
          <w:color w:val="auto"/>
        </w:rPr>
      </w:pPr>
      <w:bookmarkStart w:name="_Toc239530830" w:id="73"/>
      <w:r w:rsidRPr="0027235C">
        <w:rPr>
          <w:rFonts w:eastAsia="Arial"/>
          <w:color w:val="auto"/>
        </w:rPr>
        <w:lastRenderedPageBreak/>
        <w:t>References</w:t>
      </w:r>
      <w:bookmarkEnd w:id="73"/>
    </w:p>
    <w:p w:rsidRPr="0027235C" w:rsidR="00976C63" w:rsidP="00B40E50" w:rsidRDefault="00976C63" w14:paraId="4C04B9DD"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Affengruber</w:t>
      </w:r>
      <w:proofErr w:type="spellEnd"/>
      <w:r w:rsidRPr="0027235C">
        <w:rPr>
          <w:rFonts w:ascii="Arial" w:hAnsi="Arial" w:eastAsia="Arial" w:cs="Arial"/>
          <w:sz w:val="24"/>
          <w:szCs w:val="24"/>
        </w:rPr>
        <w:t xml:space="preserve">, L., Dobrescu, A., Persad, E., </w:t>
      </w:r>
      <w:proofErr w:type="spellStart"/>
      <w:r w:rsidRPr="0027235C">
        <w:rPr>
          <w:rFonts w:ascii="Arial" w:hAnsi="Arial" w:eastAsia="Arial" w:cs="Arial"/>
          <w:sz w:val="24"/>
          <w:szCs w:val="24"/>
        </w:rPr>
        <w:t>Klerings</w:t>
      </w:r>
      <w:proofErr w:type="spellEnd"/>
      <w:r w:rsidRPr="0027235C">
        <w:rPr>
          <w:rFonts w:ascii="Arial" w:hAnsi="Arial" w:eastAsia="Arial" w:cs="Arial"/>
          <w:sz w:val="24"/>
          <w:szCs w:val="24"/>
        </w:rPr>
        <w:t xml:space="preserve">, I., Wagner, G., Sommer, I. et al. (2022) ‘Characteristics and recovery methods of studies falsely excluded during literature screening—a systematic review’, </w:t>
      </w:r>
      <w:r w:rsidRPr="0027235C">
        <w:rPr>
          <w:rFonts w:ascii="Arial" w:hAnsi="Arial" w:eastAsia="Arial" w:cs="Arial"/>
          <w:i/>
          <w:iCs/>
          <w:sz w:val="24"/>
          <w:szCs w:val="24"/>
        </w:rPr>
        <w:t>Systematic Reviews</w:t>
      </w:r>
      <w:r w:rsidRPr="0027235C">
        <w:rPr>
          <w:rFonts w:ascii="Arial" w:hAnsi="Arial" w:eastAsia="Arial" w:cs="Arial"/>
          <w:sz w:val="24"/>
          <w:szCs w:val="24"/>
        </w:rPr>
        <w:t xml:space="preserve">, 11, 236. Available at: </w:t>
      </w:r>
      <w:hyperlink w:history="1" r:id="rId14">
        <w:r w:rsidRPr="0027235C">
          <w:rPr>
            <w:rStyle w:val="Hyperlink"/>
            <w:rFonts w:ascii="Arial" w:hAnsi="Arial" w:eastAsia="Arial" w:cs="Arial"/>
            <w:sz w:val="24"/>
            <w:szCs w:val="24"/>
          </w:rPr>
          <w:t>https://doi.org/10.1186/s13643-022-02109-w</w:t>
        </w:r>
      </w:hyperlink>
      <w:r w:rsidRPr="0027235C">
        <w:rPr>
          <w:rFonts w:ascii="Arial" w:hAnsi="Arial" w:eastAsia="Arial" w:cs="Arial"/>
          <w:sz w:val="24"/>
          <w:szCs w:val="24"/>
        </w:rPr>
        <w:t>.</w:t>
      </w:r>
    </w:p>
    <w:p w:rsidRPr="0027235C" w:rsidR="00976C63" w:rsidP="00B40E50" w:rsidRDefault="00976C63" w14:paraId="6C5B227B"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Al-Tit, A.A., Al-Ayed, S., </w:t>
      </w:r>
      <w:proofErr w:type="spellStart"/>
      <w:r w:rsidRPr="0027235C">
        <w:rPr>
          <w:rFonts w:ascii="Arial" w:hAnsi="Arial" w:eastAsia="Arial" w:cs="Arial"/>
          <w:sz w:val="24"/>
          <w:szCs w:val="24"/>
        </w:rPr>
        <w:t>Alhammadi</w:t>
      </w:r>
      <w:proofErr w:type="spellEnd"/>
      <w:r w:rsidRPr="0027235C">
        <w:rPr>
          <w:rFonts w:ascii="Arial" w:hAnsi="Arial" w:eastAsia="Arial" w:cs="Arial"/>
          <w:sz w:val="24"/>
          <w:szCs w:val="24"/>
        </w:rPr>
        <w:t xml:space="preserve">, A., </w:t>
      </w:r>
      <w:proofErr w:type="spellStart"/>
      <w:r w:rsidRPr="0027235C">
        <w:rPr>
          <w:rFonts w:ascii="Arial" w:hAnsi="Arial" w:eastAsia="Arial" w:cs="Arial"/>
          <w:sz w:val="24"/>
          <w:szCs w:val="24"/>
        </w:rPr>
        <w:t>Hunitie</w:t>
      </w:r>
      <w:proofErr w:type="spellEnd"/>
      <w:r w:rsidRPr="0027235C">
        <w:rPr>
          <w:rFonts w:ascii="Arial" w:hAnsi="Arial" w:eastAsia="Arial" w:cs="Arial"/>
          <w:sz w:val="24"/>
          <w:szCs w:val="24"/>
        </w:rPr>
        <w:t xml:space="preserve">, M., </w:t>
      </w:r>
      <w:proofErr w:type="spellStart"/>
      <w:r w:rsidRPr="0027235C">
        <w:rPr>
          <w:rFonts w:ascii="Arial" w:hAnsi="Arial" w:eastAsia="Arial" w:cs="Arial"/>
          <w:sz w:val="24"/>
          <w:szCs w:val="24"/>
        </w:rPr>
        <w:t>Alsarayreh</w:t>
      </w:r>
      <w:proofErr w:type="spellEnd"/>
      <w:r w:rsidRPr="0027235C">
        <w:rPr>
          <w:rFonts w:ascii="Arial" w:hAnsi="Arial" w:eastAsia="Arial" w:cs="Arial"/>
          <w:sz w:val="24"/>
          <w:szCs w:val="24"/>
        </w:rPr>
        <w:t xml:space="preserve">, A. and </w:t>
      </w:r>
      <w:proofErr w:type="spellStart"/>
      <w:r w:rsidRPr="0027235C">
        <w:rPr>
          <w:rFonts w:ascii="Arial" w:hAnsi="Arial" w:eastAsia="Arial" w:cs="Arial"/>
          <w:sz w:val="24"/>
          <w:szCs w:val="24"/>
        </w:rPr>
        <w:t>Albassam</w:t>
      </w:r>
      <w:proofErr w:type="spellEnd"/>
      <w:r w:rsidRPr="0027235C">
        <w:rPr>
          <w:rFonts w:ascii="Arial" w:hAnsi="Arial" w:eastAsia="Arial" w:cs="Arial"/>
          <w:sz w:val="24"/>
          <w:szCs w:val="24"/>
        </w:rPr>
        <w:t xml:space="preserve">, W. (2022) ‘The impact of employee development practices on human capital and social capital: The mediating contribution of knowledge management’, </w:t>
      </w:r>
      <w:r w:rsidRPr="0027235C">
        <w:rPr>
          <w:rFonts w:ascii="Arial" w:hAnsi="Arial" w:eastAsia="Arial" w:cs="Arial"/>
          <w:i/>
          <w:iCs/>
          <w:sz w:val="24"/>
          <w:szCs w:val="24"/>
        </w:rPr>
        <w:t>Journal of Open Innovation: Technology, Market, and Complexity</w:t>
      </w:r>
      <w:r w:rsidRPr="0027235C">
        <w:rPr>
          <w:rFonts w:ascii="Arial" w:hAnsi="Arial" w:eastAsia="Arial" w:cs="Arial"/>
          <w:sz w:val="24"/>
          <w:szCs w:val="24"/>
        </w:rPr>
        <w:t xml:space="preserve">, 8(4), 218. Available at: </w:t>
      </w:r>
      <w:hyperlink w:history="1" r:id="rId15">
        <w:r w:rsidRPr="0027235C">
          <w:rPr>
            <w:rStyle w:val="Hyperlink"/>
            <w:rFonts w:ascii="Arial" w:hAnsi="Arial" w:eastAsia="Arial" w:cs="Arial"/>
            <w:sz w:val="24"/>
            <w:szCs w:val="24"/>
          </w:rPr>
          <w:t>https://doi.org/10.3390/joitmc8040218</w:t>
        </w:r>
      </w:hyperlink>
      <w:r w:rsidRPr="0027235C">
        <w:rPr>
          <w:rFonts w:ascii="Arial" w:hAnsi="Arial" w:eastAsia="Arial" w:cs="Arial"/>
          <w:sz w:val="24"/>
          <w:szCs w:val="24"/>
        </w:rPr>
        <w:t>.</w:t>
      </w:r>
    </w:p>
    <w:p w:rsidRPr="0027235C" w:rsidR="00976C63" w:rsidP="00B40E50" w:rsidRDefault="00976C63" w14:paraId="7F46C8A8"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Ardondi</w:t>
      </w:r>
      <w:proofErr w:type="spellEnd"/>
      <w:r w:rsidRPr="0027235C">
        <w:rPr>
          <w:rFonts w:ascii="Arial" w:hAnsi="Arial" w:eastAsia="Arial" w:cs="Arial"/>
          <w:sz w:val="24"/>
          <w:szCs w:val="24"/>
        </w:rPr>
        <w:t xml:space="preserve">, M., Fortunato, E., </w:t>
      </w:r>
      <w:proofErr w:type="spellStart"/>
      <w:r w:rsidRPr="0027235C">
        <w:rPr>
          <w:rFonts w:ascii="Arial" w:hAnsi="Arial" w:eastAsia="Arial" w:cs="Arial"/>
          <w:sz w:val="24"/>
          <w:szCs w:val="24"/>
        </w:rPr>
        <w:t>Ruozi</w:t>
      </w:r>
      <w:proofErr w:type="spellEnd"/>
      <w:r w:rsidRPr="0027235C">
        <w:rPr>
          <w:rFonts w:ascii="Arial" w:hAnsi="Arial" w:eastAsia="Arial" w:cs="Arial"/>
          <w:sz w:val="24"/>
          <w:szCs w:val="24"/>
        </w:rPr>
        <w:t xml:space="preserve">, C., Di Fronzo, P., Saffioti, A., Ferrari, I., Bassi, M.C., Ghirotto, L. and Pedroni, C. (2026) ‘Workplace training transfer: A systematic scoping review of evaluation tools for adult learning’, </w:t>
      </w:r>
      <w:r w:rsidRPr="0027235C">
        <w:rPr>
          <w:rFonts w:ascii="Arial" w:hAnsi="Arial" w:eastAsia="Arial" w:cs="Arial"/>
          <w:i/>
          <w:iCs/>
          <w:sz w:val="24"/>
          <w:szCs w:val="24"/>
        </w:rPr>
        <w:t>Journal of Workplace Learning</w:t>
      </w:r>
      <w:r w:rsidRPr="0027235C">
        <w:rPr>
          <w:rFonts w:ascii="Arial" w:hAnsi="Arial" w:eastAsia="Arial" w:cs="Arial"/>
          <w:sz w:val="24"/>
          <w:szCs w:val="24"/>
        </w:rPr>
        <w:t xml:space="preserve">, 38(1), pp. 1–21. Available at: </w:t>
      </w:r>
      <w:hyperlink w:history="1" r:id="rId16">
        <w:r w:rsidRPr="0027235C">
          <w:rPr>
            <w:rStyle w:val="Hyperlink"/>
            <w:rFonts w:ascii="Arial" w:hAnsi="Arial" w:eastAsia="Arial" w:cs="Arial"/>
            <w:sz w:val="24"/>
            <w:szCs w:val="24"/>
          </w:rPr>
          <w:t>https://doi.org/10.1108/JWL-03-2025-0068</w:t>
        </w:r>
      </w:hyperlink>
      <w:r w:rsidRPr="0027235C">
        <w:rPr>
          <w:rFonts w:ascii="Arial" w:hAnsi="Arial" w:eastAsia="Arial" w:cs="Arial"/>
          <w:sz w:val="24"/>
          <w:szCs w:val="24"/>
        </w:rPr>
        <w:t>.</w:t>
      </w:r>
    </w:p>
    <w:p w:rsidRPr="0027235C" w:rsidR="00976C63" w:rsidP="00B40E50" w:rsidRDefault="00976C63" w14:paraId="598CDE86"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Barker, T.H., Habibi, N., </w:t>
      </w:r>
      <w:proofErr w:type="spellStart"/>
      <w:r w:rsidRPr="0027235C">
        <w:rPr>
          <w:rFonts w:ascii="Arial" w:hAnsi="Arial" w:eastAsia="Arial" w:cs="Arial"/>
          <w:sz w:val="24"/>
          <w:szCs w:val="24"/>
        </w:rPr>
        <w:t>Aromataris</w:t>
      </w:r>
      <w:proofErr w:type="spellEnd"/>
      <w:r w:rsidRPr="0027235C">
        <w:rPr>
          <w:rFonts w:ascii="Arial" w:hAnsi="Arial" w:eastAsia="Arial" w:cs="Arial"/>
          <w:sz w:val="24"/>
          <w:szCs w:val="24"/>
        </w:rPr>
        <w:t xml:space="preserve">, E., Stone, J.C., Leonardi-Bee, J., Sears, K., Hasanoff, S., </w:t>
      </w:r>
      <w:proofErr w:type="spellStart"/>
      <w:r w:rsidRPr="0027235C">
        <w:rPr>
          <w:rFonts w:ascii="Arial" w:hAnsi="Arial" w:eastAsia="Arial" w:cs="Arial"/>
          <w:sz w:val="24"/>
          <w:szCs w:val="24"/>
        </w:rPr>
        <w:t>Klugar</w:t>
      </w:r>
      <w:proofErr w:type="spellEnd"/>
      <w:r w:rsidRPr="0027235C">
        <w:rPr>
          <w:rFonts w:ascii="Arial" w:hAnsi="Arial" w:eastAsia="Arial" w:cs="Arial"/>
          <w:sz w:val="24"/>
          <w:szCs w:val="24"/>
        </w:rPr>
        <w:t xml:space="preserve">, M., </w:t>
      </w:r>
      <w:proofErr w:type="spellStart"/>
      <w:r w:rsidRPr="0027235C">
        <w:rPr>
          <w:rFonts w:ascii="Arial" w:hAnsi="Arial" w:eastAsia="Arial" w:cs="Arial"/>
          <w:sz w:val="24"/>
          <w:szCs w:val="24"/>
        </w:rPr>
        <w:t>Tufanaru</w:t>
      </w:r>
      <w:proofErr w:type="spellEnd"/>
      <w:r w:rsidRPr="0027235C">
        <w:rPr>
          <w:rFonts w:ascii="Arial" w:hAnsi="Arial" w:eastAsia="Arial" w:cs="Arial"/>
          <w:sz w:val="24"/>
          <w:szCs w:val="24"/>
        </w:rPr>
        <w:t xml:space="preserve">, C., Moola, S. and Munn, Z. (2024) ‘The revised JBI critical appraisal tool for the assessment of risk of bias for quasi-experimental studies’, </w:t>
      </w:r>
      <w:r w:rsidRPr="0027235C">
        <w:rPr>
          <w:rFonts w:ascii="Arial" w:hAnsi="Arial" w:eastAsia="Arial" w:cs="Arial"/>
          <w:i/>
          <w:iCs/>
          <w:sz w:val="24"/>
          <w:szCs w:val="24"/>
        </w:rPr>
        <w:t>JBI Evidence Synthesis</w:t>
      </w:r>
      <w:r w:rsidRPr="0027235C">
        <w:rPr>
          <w:rFonts w:ascii="Arial" w:hAnsi="Arial" w:eastAsia="Arial" w:cs="Arial"/>
          <w:sz w:val="24"/>
          <w:szCs w:val="24"/>
        </w:rPr>
        <w:t xml:space="preserve">, 22(3), pp. 378–388. Available at: </w:t>
      </w:r>
      <w:hyperlink w:history="1" r:id="rId17">
        <w:r w:rsidRPr="0027235C">
          <w:rPr>
            <w:rStyle w:val="Hyperlink"/>
            <w:rFonts w:ascii="Arial" w:hAnsi="Arial" w:eastAsia="Arial" w:cs="Arial"/>
            <w:sz w:val="24"/>
            <w:szCs w:val="24"/>
          </w:rPr>
          <w:t>https://doi.org/10.11124/JBIES-23-00268</w:t>
        </w:r>
      </w:hyperlink>
      <w:r w:rsidRPr="0027235C">
        <w:rPr>
          <w:rFonts w:ascii="Arial" w:hAnsi="Arial" w:eastAsia="Arial" w:cs="Arial"/>
          <w:sz w:val="24"/>
          <w:szCs w:val="24"/>
        </w:rPr>
        <w:t>.</w:t>
      </w:r>
    </w:p>
    <w:p w:rsidRPr="0027235C" w:rsidR="00976C63" w:rsidP="00B40E50" w:rsidRDefault="00976C63" w14:paraId="0C41A083"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Barry, E.S., </w:t>
      </w:r>
      <w:proofErr w:type="spellStart"/>
      <w:r w:rsidRPr="0027235C">
        <w:rPr>
          <w:rFonts w:ascii="Arial" w:hAnsi="Arial" w:eastAsia="Arial" w:cs="Arial"/>
          <w:sz w:val="24"/>
          <w:szCs w:val="24"/>
        </w:rPr>
        <w:t>Merkebu</w:t>
      </w:r>
      <w:proofErr w:type="spellEnd"/>
      <w:r w:rsidRPr="0027235C">
        <w:rPr>
          <w:rFonts w:ascii="Arial" w:hAnsi="Arial" w:eastAsia="Arial" w:cs="Arial"/>
          <w:sz w:val="24"/>
          <w:szCs w:val="24"/>
        </w:rPr>
        <w:t xml:space="preserve">, J. and </w:t>
      </w:r>
      <w:proofErr w:type="spellStart"/>
      <w:r w:rsidRPr="0027235C">
        <w:rPr>
          <w:rFonts w:ascii="Arial" w:hAnsi="Arial" w:eastAsia="Arial" w:cs="Arial"/>
          <w:sz w:val="24"/>
          <w:szCs w:val="24"/>
        </w:rPr>
        <w:t>Varpio</w:t>
      </w:r>
      <w:proofErr w:type="spellEnd"/>
      <w:r w:rsidRPr="0027235C">
        <w:rPr>
          <w:rFonts w:ascii="Arial" w:hAnsi="Arial" w:eastAsia="Arial" w:cs="Arial"/>
          <w:sz w:val="24"/>
          <w:szCs w:val="24"/>
        </w:rPr>
        <w:t xml:space="preserve">, L. (2022) ‘State-of-the-art literature review methodology: A six-step approach for knowledge synthesis’, </w:t>
      </w:r>
      <w:r w:rsidRPr="0027235C">
        <w:rPr>
          <w:rFonts w:ascii="Arial" w:hAnsi="Arial" w:eastAsia="Arial" w:cs="Arial"/>
          <w:i/>
          <w:iCs/>
          <w:sz w:val="24"/>
          <w:szCs w:val="24"/>
        </w:rPr>
        <w:t>Perspectives on Medical Education</w:t>
      </w:r>
      <w:r w:rsidRPr="0027235C">
        <w:rPr>
          <w:rFonts w:ascii="Arial" w:hAnsi="Arial" w:eastAsia="Arial" w:cs="Arial"/>
          <w:sz w:val="24"/>
          <w:szCs w:val="24"/>
        </w:rPr>
        <w:t xml:space="preserve">, 11, pp. 281–288. Available at: </w:t>
      </w:r>
      <w:hyperlink w:history="1" r:id="rId18">
        <w:r w:rsidRPr="0027235C">
          <w:rPr>
            <w:rStyle w:val="Hyperlink"/>
            <w:rFonts w:ascii="Arial" w:hAnsi="Arial" w:eastAsia="Arial" w:cs="Arial"/>
            <w:sz w:val="24"/>
            <w:szCs w:val="24"/>
          </w:rPr>
          <w:t>https://doi.org/10.1007/s40037-022-00725-9</w:t>
        </w:r>
      </w:hyperlink>
      <w:r w:rsidRPr="0027235C">
        <w:rPr>
          <w:rFonts w:ascii="Arial" w:hAnsi="Arial" w:eastAsia="Arial" w:cs="Arial"/>
          <w:sz w:val="24"/>
          <w:szCs w:val="24"/>
        </w:rPr>
        <w:t>.</w:t>
      </w:r>
    </w:p>
    <w:p w:rsidRPr="0027235C" w:rsidR="00976C63" w:rsidP="00B40E50" w:rsidRDefault="00976C63" w14:paraId="4CB76F4C"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Beier, M.E., Saxena, M., Kraiger, K., Costanza, D.P., Rudolph, C.W., Cadiz, D.M., Petery, G.A. and Fisher, G.G. (2025) ‘Workplace learning and the future of work’, </w:t>
      </w:r>
      <w:r w:rsidRPr="0027235C">
        <w:rPr>
          <w:rFonts w:ascii="Arial" w:hAnsi="Arial" w:eastAsia="Arial" w:cs="Arial"/>
          <w:i/>
          <w:iCs/>
          <w:sz w:val="24"/>
          <w:szCs w:val="24"/>
        </w:rPr>
        <w:t>Industrial and Organizational Psychology</w:t>
      </w:r>
      <w:r w:rsidRPr="0027235C">
        <w:rPr>
          <w:rFonts w:ascii="Arial" w:hAnsi="Arial" w:eastAsia="Arial" w:cs="Arial"/>
          <w:sz w:val="24"/>
          <w:szCs w:val="24"/>
        </w:rPr>
        <w:t xml:space="preserve">, 18(1), pp. 84–109. Available at: </w:t>
      </w:r>
      <w:hyperlink w:history="1" r:id="rId19">
        <w:r w:rsidRPr="0027235C">
          <w:rPr>
            <w:rStyle w:val="Hyperlink"/>
            <w:rFonts w:ascii="Arial" w:hAnsi="Arial" w:eastAsia="Arial" w:cs="Arial"/>
            <w:sz w:val="24"/>
            <w:szCs w:val="24"/>
          </w:rPr>
          <w:t>https://doi.org/10.1017/iop.2024.57</w:t>
        </w:r>
      </w:hyperlink>
      <w:r w:rsidRPr="0027235C">
        <w:rPr>
          <w:rFonts w:ascii="Arial" w:hAnsi="Arial" w:eastAsia="Arial" w:cs="Arial"/>
          <w:sz w:val="24"/>
          <w:szCs w:val="24"/>
        </w:rPr>
        <w:t>.</w:t>
      </w:r>
    </w:p>
    <w:p w:rsidRPr="0027235C" w:rsidR="00976C63" w:rsidP="00B40E50" w:rsidRDefault="00976C63" w14:paraId="343588CF"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lastRenderedPageBreak/>
        <w:t xml:space="preserve">Bhat, Z.H., Mir, R.A., Rameez, R. and </w:t>
      </w:r>
      <w:proofErr w:type="spellStart"/>
      <w:r w:rsidRPr="0027235C">
        <w:rPr>
          <w:rFonts w:ascii="Arial" w:hAnsi="Arial" w:eastAsia="Arial" w:cs="Arial"/>
          <w:sz w:val="24"/>
          <w:szCs w:val="24"/>
        </w:rPr>
        <w:t>Rainayee</w:t>
      </w:r>
      <w:proofErr w:type="spellEnd"/>
      <w:r w:rsidRPr="0027235C">
        <w:rPr>
          <w:rFonts w:ascii="Arial" w:hAnsi="Arial" w:eastAsia="Arial" w:cs="Arial"/>
          <w:sz w:val="24"/>
          <w:szCs w:val="24"/>
        </w:rPr>
        <w:t xml:space="preserve">, R.A. (2022) ‘The influence of learner characteristics, instructional design and work environment on the transfer of training’, </w:t>
      </w:r>
      <w:r w:rsidRPr="0027235C">
        <w:rPr>
          <w:rFonts w:ascii="Arial" w:hAnsi="Arial" w:eastAsia="Arial" w:cs="Arial"/>
          <w:i/>
          <w:iCs/>
          <w:sz w:val="24"/>
          <w:szCs w:val="24"/>
        </w:rPr>
        <w:t>Industrial and Commercial Training</w:t>
      </w:r>
      <w:r w:rsidRPr="0027235C">
        <w:rPr>
          <w:rFonts w:ascii="Arial" w:hAnsi="Arial" w:eastAsia="Arial" w:cs="Arial"/>
          <w:sz w:val="24"/>
          <w:szCs w:val="24"/>
        </w:rPr>
        <w:t>, 54(4), pp. 566–588.</w:t>
      </w:r>
    </w:p>
    <w:p w:rsidRPr="0027235C" w:rsidR="00976C63" w:rsidP="00B40E50" w:rsidRDefault="00976C63" w14:paraId="04CE2AA5"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Björk, J.M., Bolander, P. and Forsman, A.K. (2021) ‘Bottom-up interventions effective in promoting work engagement: A systematic review and meta-analysis’, </w:t>
      </w:r>
      <w:r w:rsidRPr="0027235C">
        <w:rPr>
          <w:rFonts w:ascii="Arial" w:hAnsi="Arial" w:eastAsia="Arial" w:cs="Arial"/>
          <w:i/>
          <w:iCs/>
          <w:sz w:val="24"/>
          <w:szCs w:val="24"/>
        </w:rPr>
        <w:t>Frontiers in Psychology</w:t>
      </w:r>
      <w:r w:rsidRPr="0027235C">
        <w:rPr>
          <w:rFonts w:ascii="Arial" w:hAnsi="Arial" w:eastAsia="Arial" w:cs="Arial"/>
          <w:sz w:val="24"/>
          <w:szCs w:val="24"/>
        </w:rPr>
        <w:t xml:space="preserve">, 12, 730421. Available at: </w:t>
      </w:r>
      <w:hyperlink w:history="1" r:id="rId20">
        <w:r w:rsidRPr="0027235C">
          <w:rPr>
            <w:rStyle w:val="Hyperlink"/>
            <w:rFonts w:ascii="Arial" w:hAnsi="Arial" w:eastAsia="Arial" w:cs="Arial"/>
            <w:sz w:val="24"/>
            <w:szCs w:val="24"/>
          </w:rPr>
          <w:t>https://doi.org/10.3389/fpsyg.2021.730421</w:t>
        </w:r>
      </w:hyperlink>
      <w:r w:rsidRPr="0027235C">
        <w:rPr>
          <w:rFonts w:ascii="Arial" w:hAnsi="Arial" w:eastAsia="Arial" w:cs="Arial"/>
          <w:sz w:val="24"/>
          <w:szCs w:val="24"/>
        </w:rPr>
        <w:t>.</w:t>
      </w:r>
    </w:p>
    <w:p w:rsidRPr="0027235C" w:rsidR="00976C63" w:rsidP="00B40E50" w:rsidRDefault="00976C63" w14:paraId="7446AD51"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Blume, B.D., Huang, J.L., Wang, Z. and Ford, J.K. (2023) ‘Promoting transfer of hybrid training: Interaction of task-contingent conscientiousness and supervisor support’, </w:t>
      </w:r>
      <w:r w:rsidRPr="0027235C">
        <w:rPr>
          <w:rFonts w:ascii="Arial" w:hAnsi="Arial" w:eastAsia="Arial" w:cs="Arial"/>
          <w:i/>
          <w:iCs/>
          <w:sz w:val="24"/>
          <w:szCs w:val="24"/>
        </w:rPr>
        <w:t>Human Resource Development Quarterly</w:t>
      </w:r>
      <w:r w:rsidRPr="0027235C">
        <w:rPr>
          <w:rFonts w:ascii="Arial" w:hAnsi="Arial" w:eastAsia="Arial" w:cs="Arial"/>
          <w:sz w:val="24"/>
          <w:szCs w:val="24"/>
        </w:rPr>
        <w:t xml:space="preserve">, 34(3), pp. 265–287. Available at: </w:t>
      </w:r>
      <w:hyperlink w:history="1" r:id="rId21">
        <w:r w:rsidRPr="0027235C">
          <w:rPr>
            <w:rStyle w:val="Hyperlink"/>
            <w:rFonts w:ascii="Arial" w:hAnsi="Arial" w:eastAsia="Arial" w:cs="Arial"/>
            <w:sz w:val="24"/>
            <w:szCs w:val="24"/>
          </w:rPr>
          <w:t>https://doi.org/10.1002/hrdq.21473</w:t>
        </w:r>
      </w:hyperlink>
      <w:r w:rsidRPr="0027235C">
        <w:rPr>
          <w:rFonts w:ascii="Arial" w:hAnsi="Arial" w:eastAsia="Arial" w:cs="Arial"/>
          <w:sz w:val="24"/>
          <w:szCs w:val="24"/>
        </w:rPr>
        <w:t>.</w:t>
      </w:r>
    </w:p>
    <w:p w:rsidRPr="0027235C" w:rsidR="00976C63" w:rsidP="00B40E50" w:rsidRDefault="00976C63" w14:paraId="5673F12A"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Boon, C., Eckardt, R., Lepak, D.P. and </w:t>
      </w:r>
      <w:proofErr w:type="spellStart"/>
      <w:r w:rsidRPr="0027235C">
        <w:rPr>
          <w:rFonts w:ascii="Arial" w:hAnsi="Arial" w:eastAsia="Arial" w:cs="Arial"/>
          <w:sz w:val="24"/>
          <w:szCs w:val="24"/>
        </w:rPr>
        <w:t>Boselie</w:t>
      </w:r>
      <w:proofErr w:type="spellEnd"/>
      <w:r w:rsidRPr="0027235C">
        <w:rPr>
          <w:rFonts w:ascii="Arial" w:hAnsi="Arial" w:eastAsia="Arial" w:cs="Arial"/>
          <w:sz w:val="24"/>
          <w:szCs w:val="24"/>
        </w:rPr>
        <w:t xml:space="preserve">, P. (2018) ‘Integrating strategic human capital and strategic human resource management’, </w:t>
      </w:r>
      <w:r w:rsidRPr="0027235C">
        <w:rPr>
          <w:rFonts w:ascii="Arial" w:hAnsi="Arial" w:eastAsia="Arial" w:cs="Arial"/>
          <w:i/>
          <w:iCs/>
          <w:sz w:val="24"/>
          <w:szCs w:val="24"/>
        </w:rPr>
        <w:t>The International Journal of Human Resource Management</w:t>
      </w:r>
      <w:r w:rsidRPr="0027235C">
        <w:rPr>
          <w:rFonts w:ascii="Arial" w:hAnsi="Arial" w:eastAsia="Arial" w:cs="Arial"/>
          <w:sz w:val="24"/>
          <w:szCs w:val="24"/>
        </w:rPr>
        <w:t xml:space="preserve">, 29(1), pp. 34–67. Available at: </w:t>
      </w:r>
      <w:hyperlink w:history="1" r:id="rId22">
        <w:r w:rsidRPr="0027235C">
          <w:rPr>
            <w:rStyle w:val="Hyperlink"/>
            <w:rFonts w:ascii="Arial" w:hAnsi="Arial" w:eastAsia="Arial" w:cs="Arial"/>
            <w:sz w:val="24"/>
            <w:szCs w:val="24"/>
          </w:rPr>
          <w:t>https://doi.org/10.1080/09585192.2017.1380063</w:t>
        </w:r>
      </w:hyperlink>
      <w:r w:rsidRPr="0027235C">
        <w:rPr>
          <w:rFonts w:ascii="Arial" w:hAnsi="Arial" w:eastAsia="Arial" w:cs="Arial"/>
          <w:sz w:val="24"/>
          <w:szCs w:val="24"/>
        </w:rPr>
        <w:t>.</w:t>
      </w:r>
    </w:p>
    <w:p w:rsidRPr="0027235C" w:rsidR="00976C63" w:rsidP="00B40E50" w:rsidRDefault="00976C63" w14:paraId="38F7B219"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Bouwmans</w:t>
      </w:r>
      <w:proofErr w:type="spellEnd"/>
      <w:r w:rsidRPr="0027235C">
        <w:rPr>
          <w:rFonts w:ascii="Arial" w:hAnsi="Arial" w:eastAsia="Arial" w:cs="Arial"/>
          <w:sz w:val="24"/>
          <w:szCs w:val="24"/>
        </w:rPr>
        <w:t xml:space="preserve">, M., Lub, X., Orlowski, M. and Nguyen, T.-V. (2024) ‘Developing the digital transformation skills framework: A systematic literature review approach’, </w:t>
      </w:r>
      <w:r w:rsidRPr="0027235C">
        <w:rPr>
          <w:rFonts w:ascii="Arial" w:hAnsi="Arial" w:eastAsia="Arial" w:cs="Arial"/>
          <w:i/>
          <w:iCs/>
          <w:sz w:val="24"/>
          <w:szCs w:val="24"/>
        </w:rPr>
        <w:t>PLOS ONE</w:t>
      </w:r>
      <w:r w:rsidRPr="0027235C">
        <w:rPr>
          <w:rFonts w:ascii="Arial" w:hAnsi="Arial" w:eastAsia="Arial" w:cs="Arial"/>
          <w:sz w:val="24"/>
          <w:szCs w:val="24"/>
        </w:rPr>
        <w:t xml:space="preserve">, 19(7), e0304127. Available at: </w:t>
      </w:r>
      <w:hyperlink w:history="1" r:id="rId23">
        <w:r w:rsidRPr="0027235C">
          <w:rPr>
            <w:rStyle w:val="Hyperlink"/>
            <w:rFonts w:ascii="Arial" w:hAnsi="Arial" w:eastAsia="Arial" w:cs="Arial"/>
            <w:sz w:val="24"/>
            <w:szCs w:val="24"/>
          </w:rPr>
          <w:t>https://doi.org/10.1371/journal.pone.0304127</w:t>
        </w:r>
      </w:hyperlink>
      <w:r w:rsidRPr="0027235C">
        <w:rPr>
          <w:rFonts w:ascii="Arial" w:hAnsi="Arial" w:eastAsia="Arial" w:cs="Arial"/>
          <w:sz w:val="24"/>
          <w:szCs w:val="24"/>
        </w:rPr>
        <w:t>.</w:t>
      </w:r>
    </w:p>
    <w:p w:rsidRPr="0027235C" w:rsidR="00976C63" w:rsidP="00B40E50" w:rsidRDefault="00976C63" w14:paraId="11783AC2"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Braun, V. and Clarke, V. (2021) ‘One size </w:t>
      </w:r>
      <w:proofErr w:type="gramStart"/>
      <w:r w:rsidRPr="0027235C">
        <w:rPr>
          <w:rFonts w:ascii="Arial" w:hAnsi="Arial" w:eastAsia="Arial" w:cs="Arial"/>
          <w:sz w:val="24"/>
          <w:szCs w:val="24"/>
        </w:rPr>
        <w:t>fits</w:t>
      </w:r>
      <w:proofErr w:type="gramEnd"/>
      <w:r w:rsidRPr="0027235C">
        <w:rPr>
          <w:rFonts w:ascii="Arial" w:hAnsi="Arial" w:eastAsia="Arial" w:cs="Arial"/>
          <w:sz w:val="24"/>
          <w:szCs w:val="24"/>
        </w:rPr>
        <w:t xml:space="preserve"> all? What counts as quality practice in (reflexive) thematic analysis?’, </w:t>
      </w:r>
      <w:r w:rsidRPr="0027235C">
        <w:rPr>
          <w:rFonts w:ascii="Arial" w:hAnsi="Arial" w:eastAsia="Arial" w:cs="Arial"/>
          <w:i/>
          <w:iCs/>
          <w:sz w:val="24"/>
          <w:szCs w:val="24"/>
        </w:rPr>
        <w:t>Qualitative Research in Psychology</w:t>
      </w:r>
      <w:r w:rsidRPr="0027235C">
        <w:rPr>
          <w:rFonts w:ascii="Arial" w:hAnsi="Arial" w:eastAsia="Arial" w:cs="Arial"/>
          <w:sz w:val="24"/>
          <w:szCs w:val="24"/>
        </w:rPr>
        <w:t xml:space="preserve">, 18(3), pp. 328–352. Available at: </w:t>
      </w:r>
      <w:hyperlink w:history="1" r:id="rId24">
        <w:r w:rsidRPr="0027235C">
          <w:rPr>
            <w:rStyle w:val="Hyperlink"/>
            <w:rFonts w:ascii="Arial" w:hAnsi="Arial" w:eastAsia="Arial" w:cs="Arial"/>
            <w:sz w:val="24"/>
            <w:szCs w:val="24"/>
          </w:rPr>
          <w:t>https://doi.org/10.1080/14780887.2020.1769238</w:t>
        </w:r>
      </w:hyperlink>
      <w:r w:rsidRPr="0027235C">
        <w:rPr>
          <w:rFonts w:ascii="Arial" w:hAnsi="Arial" w:eastAsia="Arial" w:cs="Arial"/>
          <w:sz w:val="24"/>
          <w:szCs w:val="24"/>
        </w:rPr>
        <w:t>.</w:t>
      </w:r>
    </w:p>
    <w:p w:rsidRPr="0027235C" w:rsidR="00976C63" w:rsidP="00B40E50" w:rsidRDefault="00976C63" w14:paraId="4C72D781"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Byrne, D. (2022) ‘A worked example of Braun and Clarke’s approach to reflexive thematic analysis’, </w:t>
      </w:r>
      <w:r w:rsidRPr="0027235C">
        <w:rPr>
          <w:rFonts w:ascii="Arial" w:hAnsi="Arial" w:eastAsia="Arial" w:cs="Arial"/>
          <w:i/>
          <w:iCs/>
          <w:sz w:val="24"/>
          <w:szCs w:val="24"/>
        </w:rPr>
        <w:t>Quality &amp; Quantity</w:t>
      </w:r>
      <w:r w:rsidRPr="0027235C">
        <w:rPr>
          <w:rFonts w:ascii="Arial" w:hAnsi="Arial" w:eastAsia="Arial" w:cs="Arial"/>
          <w:sz w:val="24"/>
          <w:szCs w:val="24"/>
        </w:rPr>
        <w:t xml:space="preserve">, 56(3), pp. 1391–1412. Available at: </w:t>
      </w:r>
      <w:hyperlink w:history="1" r:id="rId25">
        <w:r w:rsidRPr="0027235C">
          <w:rPr>
            <w:rStyle w:val="Hyperlink"/>
            <w:rFonts w:ascii="Arial" w:hAnsi="Arial" w:eastAsia="Arial" w:cs="Arial"/>
            <w:sz w:val="24"/>
            <w:szCs w:val="24"/>
          </w:rPr>
          <w:t>https://doi.org/10.1007/s11135-021-01182-y</w:t>
        </w:r>
      </w:hyperlink>
      <w:r w:rsidRPr="0027235C">
        <w:rPr>
          <w:rFonts w:ascii="Arial" w:hAnsi="Arial" w:eastAsia="Arial" w:cs="Arial"/>
          <w:sz w:val="24"/>
          <w:szCs w:val="24"/>
        </w:rPr>
        <w:t>.</w:t>
      </w:r>
    </w:p>
    <w:p w:rsidRPr="0027235C" w:rsidR="00976C63" w:rsidP="00B40E50" w:rsidRDefault="00976C63" w14:paraId="6CC23E16"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Capatina, A., Juárez </w:t>
      </w:r>
      <w:proofErr w:type="spellStart"/>
      <w:r w:rsidRPr="0027235C">
        <w:rPr>
          <w:rFonts w:ascii="Arial" w:hAnsi="Arial" w:eastAsia="Arial" w:cs="Arial"/>
          <w:sz w:val="24"/>
          <w:szCs w:val="24"/>
        </w:rPr>
        <w:t>Varón</w:t>
      </w:r>
      <w:proofErr w:type="spellEnd"/>
      <w:r w:rsidRPr="0027235C">
        <w:rPr>
          <w:rFonts w:ascii="Arial" w:hAnsi="Arial" w:eastAsia="Arial" w:cs="Arial"/>
          <w:sz w:val="24"/>
          <w:szCs w:val="24"/>
        </w:rPr>
        <w:t>, D., Micu, A. and Micu, A.E. (2024) ‘</w:t>
      </w:r>
      <w:proofErr w:type="spellStart"/>
      <w:r w:rsidRPr="0027235C">
        <w:rPr>
          <w:rFonts w:ascii="Arial" w:hAnsi="Arial" w:eastAsia="Arial" w:cs="Arial"/>
          <w:sz w:val="24"/>
          <w:szCs w:val="24"/>
        </w:rPr>
        <w:t>Leveling</w:t>
      </w:r>
      <w:proofErr w:type="spellEnd"/>
      <w:r w:rsidRPr="0027235C">
        <w:rPr>
          <w:rFonts w:ascii="Arial" w:hAnsi="Arial" w:eastAsia="Arial" w:cs="Arial"/>
          <w:sz w:val="24"/>
          <w:szCs w:val="24"/>
        </w:rPr>
        <w:t xml:space="preserve"> up in corporate training: Unveiling the power of gamification to enhance knowledge retention, knowledge sharing, and job performance’, </w:t>
      </w:r>
      <w:r w:rsidRPr="0027235C">
        <w:rPr>
          <w:rFonts w:ascii="Arial" w:hAnsi="Arial" w:eastAsia="Arial" w:cs="Arial"/>
          <w:i/>
          <w:iCs/>
          <w:sz w:val="24"/>
          <w:szCs w:val="24"/>
        </w:rPr>
        <w:t>Journal of Innovation &amp; Knowledge</w:t>
      </w:r>
      <w:r w:rsidRPr="0027235C">
        <w:rPr>
          <w:rFonts w:ascii="Arial" w:hAnsi="Arial" w:eastAsia="Arial" w:cs="Arial"/>
          <w:sz w:val="24"/>
          <w:szCs w:val="24"/>
        </w:rPr>
        <w:t xml:space="preserve">, 9(3), 100530. Available at: </w:t>
      </w:r>
      <w:hyperlink w:history="1" r:id="rId26">
        <w:r w:rsidRPr="0027235C">
          <w:rPr>
            <w:rStyle w:val="Hyperlink"/>
            <w:rFonts w:ascii="Arial" w:hAnsi="Arial" w:eastAsia="Arial" w:cs="Arial"/>
            <w:sz w:val="24"/>
            <w:szCs w:val="24"/>
          </w:rPr>
          <w:t>https://doi.org/10.1016/j.jik.2024.100530</w:t>
        </w:r>
      </w:hyperlink>
      <w:r w:rsidRPr="0027235C">
        <w:rPr>
          <w:rFonts w:ascii="Arial" w:hAnsi="Arial" w:eastAsia="Arial" w:cs="Arial"/>
          <w:sz w:val="24"/>
          <w:szCs w:val="24"/>
        </w:rPr>
        <w:t>.</w:t>
      </w:r>
    </w:p>
    <w:p w:rsidRPr="0027235C" w:rsidR="00976C63" w:rsidP="00B40E50" w:rsidRDefault="00976C63" w14:paraId="72D4C41B"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Chen, K.-J., Lin, C.-P. and Liu, C.-M. (2024) ‘</w:t>
      </w:r>
      <w:proofErr w:type="spellStart"/>
      <w:r w:rsidRPr="0027235C">
        <w:rPr>
          <w:rFonts w:ascii="Arial" w:hAnsi="Arial" w:eastAsia="Arial" w:cs="Arial"/>
          <w:sz w:val="24"/>
          <w:szCs w:val="24"/>
        </w:rPr>
        <w:t>Modeling</w:t>
      </w:r>
      <w:proofErr w:type="spellEnd"/>
      <w:r w:rsidRPr="0027235C">
        <w:rPr>
          <w:rFonts w:ascii="Arial" w:hAnsi="Arial" w:eastAsia="Arial" w:cs="Arial"/>
          <w:sz w:val="24"/>
          <w:szCs w:val="24"/>
        </w:rPr>
        <w:t xml:space="preserve"> social capital, training transfer, and occupational commitment: Moderation of learning value of the job’, </w:t>
      </w:r>
      <w:r w:rsidRPr="0027235C">
        <w:rPr>
          <w:rFonts w:ascii="Arial" w:hAnsi="Arial" w:eastAsia="Arial" w:cs="Arial"/>
          <w:i/>
          <w:iCs/>
          <w:sz w:val="24"/>
          <w:szCs w:val="24"/>
        </w:rPr>
        <w:t xml:space="preserve">Total Quality </w:t>
      </w:r>
      <w:r w:rsidRPr="0027235C">
        <w:rPr>
          <w:rFonts w:ascii="Arial" w:hAnsi="Arial" w:eastAsia="Arial" w:cs="Arial"/>
          <w:i/>
          <w:iCs/>
          <w:sz w:val="24"/>
          <w:szCs w:val="24"/>
        </w:rPr>
        <w:lastRenderedPageBreak/>
        <w:t>Management &amp; Business Excellence</w:t>
      </w:r>
      <w:r w:rsidRPr="0027235C">
        <w:rPr>
          <w:rFonts w:ascii="Arial" w:hAnsi="Arial" w:eastAsia="Arial" w:cs="Arial"/>
          <w:sz w:val="24"/>
          <w:szCs w:val="24"/>
        </w:rPr>
        <w:t xml:space="preserve">, 35(9–10), pp. 1167–1181. Available at: </w:t>
      </w:r>
      <w:hyperlink w:history="1" r:id="rId27">
        <w:r w:rsidRPr="0027235C">
          <w:rPr>
            <w:rStyle w:val="Hyperlink"/>
            <w:rFonts w:ascii="Arial" w:hAnsi="Arial" w:eastAsia="Arial" w:cs="Arial"/>
            <w:sz w:val="24"/>
            <w:szCs w:val="24"/>
          </w:rPr>
          <w:t>https://doi.org/10.1080/14783363.2024.2358396</w:t>
        </w:r>
      </w:hyperlink>
      <w:r w:rsidRPr="0027235C">
        <w:rPr>
          <w:rFonts w:ascii="Arial" w:hAnsi="Arial" w:eastAsia="Arial" w:cs="Arial"/>
          <w:sz w:val="24"/>
          <w:szCs w:val="24"/>
        </w:rPr>
        <w:t>.</w:t>
      </w:r>
    </w:p>
    <w:p w:rsidRPr="0027235C" w:rsidR="00976C63" w:rsidP="00B40E50" w:rsidRDefault="00976C63" w14:paraId="67743239"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de Jong, B., Cornelissen, F., Jansen in de Wal, J. and </w:t>
      </w:r>
      <w:proofErr w:type="spellStart"/>
      <w:r w:rsidRPr="0027235C">
        <w:rPr>
          <w:rFonts w:ascii="Arial" w:hAnsi="Arial" w:eastAsia="Arial" w:cs="Arial"/>
          <w:sz w:val="24"/>
          <w:szCs w:val="24"/>
        </w:rPr>
        <w:t>Peetsma</w:t>
      </w:r>
      <w:proofErr w:type="spellEnd"/>
      <w:r w:rsidRPr="0027235C">
        <w:rPr>
          <w:rFonts w:ascii="Arial" w:hAnsi="Arial" w:eastAsia="Arial" w:cs="Arial"/>
          <w:sz w:val="24"/>
          <w:szCs w:val="24"/>
        </w:rPr>
        <w:t xml:space="preserve">, T. (2025) ‘Chasing the goal(s): How a goal-setting intervention influences transfer motivation, its antecedents and transfer of training for different training types’, </w:t>
      </w:r>
      <w:r w:rsidRPr="0027235C">
        <w:rPr>
          <w:rFonts w:ascii="Arial" w:hAnsi="Arial" w:eastAsia="Arial" w:cs="Arial"/>
          <w:i/>
          <w:iCs/>
          <w:sz w:val="24"/>
          <w:szCs w:val="24"/>
        </w:rPr>
        <w:t>European Journal of Work and Organizational Psychology</w:t>
      </w:r>
      <w:r w:rsidRPr="0027235C">
        <w:rPr>
          <w:rFonts w:ascii="Arial" w:hAnsi="Arial" w:eastAsia="Arial" w:cs="Arial"/>
          <w:sz w:val="24"/>
          <w:szCs w:val="24"/>
        </w:rPr>
        <w:t xml:space="preserve">, 34(2), pp. 188–200. Available at: </w:t>
      </w:r>
      <w:hyperlink w:history="1" r:id="rId28">
        <w:r w:rsidRPr="0027235C">
          <w:rPr>
            <w:rStyle w:val="Hyperlink"/>
            <w:rFonts w:ascii="Arial" w:hAnsi="Arial" w:eastAsia="Arial" w:cs="Arial"/>
            <w:sz w:val="24"/>
            <w:szCs w:val="24"/>
          </w:rPr>
          <w:t>https://doi.org/10.1080/1359432X.2024.2384665</w:t>
        </w:r>
      </w:hyperlink>
      <w:r w:rsidRPr="0027235C">
        <w:rPr>
          <w:rFonts w:ascii="Arial" w:hAnsi="Arial" w:eastAsia="Arial" w:cs="Arial"/>
          <w:sz w:val="24"/>
          <w:szCs w:val="24"/>
        </w:rPr>
        <w:t>.</w:t>
      </w:r>
    </w:p>
    <w:p w:rsidRPr="0027235C" w:rsidR="00976C63" w:rsidP="00B40E50" w:rsidRDefault="00976C63" w14:paraId="6FB79CA1"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de Jong, B., Jansen in de Wal, J. and Cornelissen, F. (2025) ‘The effects of voluntary and mandatory training participation on the dynamics of transfer of training for different training types’, </w:t>
      </w:r>
      <w:r w:rsidRPr="0027235C">
        <w:rPr>
          <w:rFonts w:ascii="Arial" w:hAnsi="Arial" w:eastAsia="Arial" w:cs="Arial"/>
          <w:i/>
          <w:iCs/>
          <w:sz w:val="24"/>
          <w:szCs w:val="24"/>
        </w:rPr>
        <w:t>International Journal of Training and Development</w:t>
      </w:r>
      <w:r w:rsidRPr="0027235C">
        <w:rPr>
          <w:rFonts w:ascii="Arial" w:hAnsi="Arial" w:eastAsia="Arial" w:cs="Arial"/>
          <w:sz w:val="24"/>
          <w:szCs w:val="24"/>
        </w:rPr>
        <w:t xml:space="preserve">, 29, pp. 419–432. Available at: </w:t>
      </w:r>
      <w:hyperlink w:history="1" r:id="rId29">
        <w:r w:rsidRPr="0027235C">
          <w:rPr>
            <w:rStyle w:val="Hyperlink"/>
            <w:rFonts w:ascii="Arial" w:hAnsi="Arial" w:eastAsia="Arial" w:cs="Arial"/>
            <w:sz w:val="24"/>
            <w:szCs w:val="24"/>
          </w:rPr>
          <w:t>https://doi.org/10.1111/ijtd.12371</w:t>
        </w:r>
      </w:hyperlink>
      <w:r w:rsidRPr="0027235C">
        <w:rPr>
          <w:rFonts w:ascii="Arial" w:hAnsi="Arial" w:eastAsia="Arial" w:cs="Arial"/>
          <w:sz w:val="24"/>
          <w:szCs w:val="24"/>
        </w:rPr>
        <w:t>.</w:t>
      </w:r>
    </w:p>
    <w:p w:rsidRPr="0027235C" w:rsidR="00976C63" w:rsidP="00B40E50" w:rsidRDefault="00976C63" w14:paraId="7200CA37"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Dixit, R. and Sinha, V. (2022) ‘Investigating tools and techniques to promote workplace training transfer’, </w:t>
      </w:r>
      <w:r w:rsidRPr="0027235C">
        <w:rPr>
          <w:rFonts w:ascii="Arial" w:hAnsi="Arial" w:eastAsia="Arial" w:cs="Arial"/>
          <w:i/>
          <w:iCs/>
          <w:sz w:val="24"/>
          <w:szCs w:val="24"/>
        </w:rPr>
        <w:t>Journal of Workplace Learning</w:t>
      </w:r>
      <w:r w:rsidRPr="0027235C">
        <w:rPr>
          <w:rFonts w:ascii="Arial" w:hAnsi="Arial" w:eastAsia="Arial" w:cs="Arial"/>
          <w:sz w:val="24"/>
          <w:szCs w:val="24"/>
        </w:rPr>
        <w:t xml:space="preserve">, 34(6), pp. 513–531. Available at: </w:t>
      </w:r>
      <w:hyperlink w:history="1" r:id="rId30">
        <w:r w:rsidRPr="0027235C">
          <w:rPr>
            <w:rStyle w:val="Hyperlink"/>
            <w:rFonts w:ascii="Arial" w:hAnsi="Arial" w:eastAsia="Arial" w:cs="Arial"/>
            <w:sz w:val="24"/>
            <w:szCs w:val="24"/>
          </w:rPr>
          <w:t>https://doi.org/10.1108/JWL-04-2021-0052</w:t>
        </w:r>
      </w:hyperlink>
      <w:r w:rsidRPr="0027235C">
        <w:rPr>
          <w:rFonts w:ascii="Arial" w:hAnsi="Arial" w:eastAsia="Arial" w:cs="Arial"/>
          <w:sz w:val="24"/>
          <w:szCs w:val="24"/>
        </w:rPr>
        <w:t>.</w:t>
      </w:r>
    </w:p>
    <w:p w:rsidRPr="0027235C" w:rsidR="00976C63" w:rsidP="00B40E50" w:rsidRDefault="00976C63" w14:paraId="235A9864"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Fan, D., Breslin, D., Callahan, J.L. and </w:t>
      </w:r>
      <w:proofErr w:type="spellStart"/>
      <w:r w:rsidRPr="0027235C">
        <w:rPr>
          <w:rFonts w:ascii="Arial" w:hAnsi="Arial" w:eastAsia="Arial" w:cs="Arial"/>
          <w:sz w:val="24"/>
          <w:szCs w:val="24"/>
        </w:rPr>
        <w:t>Iszatt</w:t>
      </w:r>
      <w:proofErr w:type="spellEnd"/>
      <w:r w:rsidRPr="0027235C">
        <w:rPr>
          <w:rFonts w:ascii="Arial" w:hAnsi="Arial" w:eastAsia="Arial" w:cs="Arial"/>
          <w:sz w:val="24"/>
          <w:szCs w:val="24"/>
        </w:rPr>
        <w:t xml:space="preserve">-White, M. (2022) ‘Advancing literature review methodology through rigour, generativity, scope and transparency’, </w:t>
      </w:r>
      <w:r w:rsidRPr="0027235C">
        <w:rPr>
          <w:rFonts w:ascii="Arial" w:hAnsi="Arial" w:eastAsia="Arial" w:cs="Arial"/>
          <w:i/>
          <w:iCs/>
          <w:sz w:val="24"/>
          <w:szCs w:val="24"/>
        </w:rPr>
        <w:t>International Journal of Management Reviews</w:t>
      </w:r>
      <w:r w:rsidRPr="0027235C">
        <w:rPr>
          <w:rFonts w:ascii="Arial" w:hAnsi="Arial" w:eastAsia="Arial" w:cs="Arial"/>
          <w:sz w:val="24"/>
          <w:szCs w:val="24"/>
        </w:rPr>
        <w:t xml:space="preserve">, 24(2), pp. 171–180. Available at: </w:t>
      </w:r>
      <w:hyperlink w:history="1" r:id="rId31">
        <w:r w:rsidRPr="0027235C">
          <w:rPr>
            <w:rStyle w:val="Hyperlink"/>
            <w:rFonts w:ascii="Arial" w:hAnsi="Arial" w:eastAsia="Arial" w:cs="Arial"/>
            <w:sz w:val="24"/>
            <w:szCs w:val="24"/>
          </w:rPr>
          <w:t>https://doi.org/10.1111/ijmr.12291</w:t>
        </w:r>
      </w:hyperlink>
      <w:r w:rsidRPr="0027235C">
        <w:rPr>
          <w:rFonts w:ascii="Arial" w:hAnsi="Arial" w:eastAsia="Arial" w:cs="Arial"/>
          <w:sz w:val="24"/>
          <w:szCs w:val="24"/>
        </w:rPr>
        <w:t>.</w:t>
      </w:r>
    </w:p>
    <w:p w:rsidRPr="0027235C" w:rsidR="00976C63" w:rsidP="00B40E50" w:rsidRDefault="00976C63" w14:paraId="65950A45"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Ford, J.K., Baldwin, T.T. and Prasad, J. (2018) ‘Transfer of training: The known and the unknown’, </w:t>
      </w:r>
      <w:r w:rsidRPr="0027235C">
        <w:rPr>
          <w:rFonts w:ascii="Arial" w:hAnsi="Arial" w:eastAsia="Arial" w:cs="Arial"/>
          <w:i/>
          <w:iCs/>
          <w:sz w:val="24"/>
          <w:szCs w:val="24"/>
        </w:rPr>
        <w:t xml:space="preserve">Annual Review of Organizational Psychology and Organizational </w:t>
      </w:r>
      <w:proofErr w:type="spellStart"/>
      <w:r w:rsidRPr="0027235C">
        <w:rPr>
          <w:rFonts w:ascii="Arial" w:hAnsi="Arial" w:eastAsia="Arial" w:cs="Arial"/>
          <w:i/>
          <w:iCs/>
          <w:sz w:val="24"/>
          <w:szCs w:val="24"/>
        </w:rPr>
        <w:t>Behavior</w:t>
      </w:r>
      <w:proofErr w:type="spellEnd"/>
      <w:r w:rsidRPr="0027235C">
        <w:rPr>
          <w:rFonts w:ascii="Arial" w:hAnsi="Arial" w:eastAsia="Arial" w:cs="Arial"/>
          <w:sz w:val="24"/>
          <w:szCs w:val="24"/>
        </w:rPr>
        <w:t xml:space="preserve">, 5, pp. 201–225. Available at: </w:t>
      </w:r>
      <w:hyperlink w:history="1" r:id="rId32">
        <w:r w:rsidRPr="0027235C">
          <w:rPr>
            <w:rStyle w:val="Hyperlink"/>
            <w:rFonts w:ascii="Arial" w:hAnsi="Arial" w:eastAsia="Arial" w:cs="Arial"/>
            <w:sz w:val="24"/>
            <w:szCs w:val="24"/>
          </w:rPr>
          <w:t>https://doi.org/10.1146/annurev-orgpsych-032117-104443</w:t>
        </w:r>
      </w:hyperlink>
      <w:r w:rsidRPr="0027235C">
        <w:rPr>
          <w:rFonts w:ascii="Arial" w:hAnsi="Arial" w:eastAsia="Arial" w:cs="Arial"/>
          <w:sz w:val="24"/>
          <w:szCs w:val="24"/>
        </w:rPr>
        <w:t>.</w:t>
      </w:r>
    </w:p>
    <w:p w:rsidRPr="0027235C" w:rsidR="00976C63" w:rsidP="00B40E50" w:rsidRDefault="00976C63" w14:paraId="21B7E005"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Garavan</w:t>
      </w:r>
      <w:proofErr w:type="spellEnd"/>
      <w:r w:rsidRPr="0027235C">
        <w:rPr>
          <w:rFonts w:ascii="Arial" w:hAnsi="Arial" w:eastAsia="Arial" w:cs="Arial"/>
          <w:sz w:val="24"/>
          <w:szCs w:val="24"/>
        </w:rPr>
        <w:t xml:space="preserve">, T.N., McCarthy, A., Lai, Y., Clarke, N., Carbery, R., Gubbins, C., Sheehan, M. and Saunders, M.N.K. (2021) ‘Putting the system back into training and firm performance research: A review and research agenda’, </w:t>
      </w:r>
      <w:r w:rsidRPr="0027235C">
        <w:rPr>
          <w:rFonts w:ascii="Arial" w:hAnsi="Arial" w:eastAsia="Arial" w:cs="Arial"/>
          <w:i/>
          <w:iCs/>
          <w:sz w:val="24"/>
          <w:szCs w:val="24"/>
        </w:rPr>
        <w:t>Human Resource Management Journal</w:t>
      </w:r>
      <w:r w:rsidRPr="0027235C">
        <w:rPr>
          <w:rFonts w:ascii="Arial" w:hAnsi="Arial" w:eastAsia="Arial" w:cs="Arial"/>
          <w:sz w:val="24"/>
          <w:szCs w:val="24"/>
        </w:rPr>
        <w:t xml:space="preserve">, 31(4), pp. 870–903. Available at: </w:t>
      </w:r>
      <w:hyperlink w:history="1" r:id="rId33">
        <w:r w:rsidRPr="0027235C">
          <w:rPr>
            <w:rStyle w:val="Hyperlink"/>
            <w:rFonts w:ascii="Arial" w:hAnsi="Arial" w:eastAsia="Arial" w:cs="Arial"/>
            <w:sz w:val="24"/>
            <w:szCs w:val="24"/>
          </w:rPr>
          <w:t>https://doi.org/10.1111/1748-8583.12337</w:t>
        </w:r>
      </w:hyperlink>
      <w:r w:rsidRPr="0027235C">
        <w:rPr>
          <w:rFonts w:ascii="Arial" w:hAnsi="Arial" w:eastAsia="Arial" w:cs="Arial"/>
          <w:sz w:val="24"/>
          <w:szCs w:val="24"/>
        </w:rPr>
        <w:t>.</w:t>
      </w:r>
    </w:p>
    <w:p w:rsidRPr="0027235C" w:rsidR="00976C63" w:rsidP="00B40E50" w:rsidRDefault="00976C63" w14:paraId="2619E953"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Garavan</w:t>
      </w:r>
      <w:proofErr w:type="spellEnd"/>
      <w:r w:rsidRPr="0027235C">
        <w:rPr>
          <w:rFonts w:ascii="Arial" w:hAnsi="Arial" w:eastAsia="Arial" w:cs="Arial"/>
          <w:sz w:val="24"/>
          <w:szCs w:val="24"/>
        </w:rPr>
        <w:t xml:space="preserve">, T.N., McCarthy, A., Lai, Y., Murphy, K., Sheehan, M. and Carbery, R. (2021) ‘Training and organisational performance: A meta-analysis of temporal, institutional </w:t>
      </w:r>
      <w:r w:rsidRPr="0027235C">
        <w:rPr>
          <w:rFonts w:ascii="Arial" w:hAnsi="Arial" w:eastAsia="Arial" w:cs="Arial"/>
          <w:sz w:val="24"/>
          <w:szCs w:val="24"/>
        </w:rPr>
        <w:lastRenderedPageBreak/>
        <w:t xml:space="preserve">and organisational context moderators’, </w:t>
      </w:r>
      <w:r w:rsidRPr="0027235C">
        <w:rPr>
          <w:rFonts w:ascii="Arial" w:hAnsi="Arial" w:eastAsia="Arial" w:cs="Arial"/>
          <w:i/>
          <w:iCs/>
          <w:sz w:val="24"/>
          <w:szCs w:val="24"/>
        </w:rPr>
        <w:t>Human Resource Management Journal</w:t>
      </w:r>
      <w:r w:rsidRPr="0027235C">
        <w:rPr>
          <w:rFonts w:ascii="Arial" w:hAnsi="Arial" w:eastAsia="Arial" w:cs="Arial"/>
          <w:sz w:val="24"/>
          <w:szCs w:val="24"/>
        </w:rPr>
        <w:t xml:space="preserve">, 31(1), pp. 93–119. Available at: </w:t>
      </w:r>
      <w:hyperlink w:history="1" r:id="rId34">
        <w:r w:rsidRPr="0027235C">
          <w:rPr>
            <w:rStyle w:val="Hyperlink"/>
            <w:rFonts w:ascii="Arial" w:hAnsi="Arial" w:eastAsia="Arial" w:cs="Arial"/>
            <w:sz w:val="24"/>
            <w:szCs w:val="24"/>
          </w:rPr>
          <w:t>https://doi.org/10.1111/1748-8583.12284</w:t>
        </w:r>
      </w:hyperlink>
      <w:r w:rsidRPr="0027235C">
        <w:rPr>
          <w:rFonts w:ascii="Arial" w:hAnsi="Arial" w:eastAsia="Arial" w:cs="Arial"/>
          <w:sz w:val="24"/>
          <w:szCs w:val="24"/>
        </w:rPr>
        <w:t>.</w:t>
      </w:r>
    </w:p>
    <w:p w:rsidRPr="0027235C" w:rsidR="00976C63" w:rsidP="00B40E50" w:rsidRDefault="00976C63" w14:paraId="4B18CFE5"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Gautam, P.K., Gautam, D.K. and Basnet, D. (2023) ‘Social support for training effectiveness: Mediating training transfer motivation and moderating transfer design’, </w:t>
      </w:r>
      <w:r w:rsidRPr="0027235C">
        <w:rPr>
          <w:rFonts w:ascii="Arial" w:hAnsi="Arial" w:eastAsia="Arial" w:cs="Arial"/>
          <w:i/>
          <w:iCs/>
          <w:sz w:val="24"/>
          <w:szCs w:val="24"/>
        </w:rPr>
        <w:t>FIIB Business Review</w:t>
      </w:r>
      <w:r w:rsidRPr="0027235C">
        <w:rPr>
          <w:rFonts w:ascii="Arial" w:hAnsi="Arial" w:eastAsia="Arial" w:cs="Arial"/>
          <w:sz w:val="24"/>
          <w:szCs w:val="24"/>
        </w:rPr>
        <w:t xml:space="preserve">, pp. 1–14. Available at: </w:t>
      </w:r>
      <w:hyperlink w:history="1" r:id="rId35">
        <w:r w:rsidRPr="0027235C">
          <w:rPr>
            <w:rStyle w:val="Hyperlink"/>
            <w:rFonts w:ascii="Arial" w:hAnsi="Arial" w:eastAsia="Arial" w:cs="Arial"/>
            <w:sz w:val="24"/>
            <w:szCs w:val="24"/>
          </w:rPr>
          <w:t>https://doi.org/10.1177/23197145231187487</w:t>
        </w:r>
      </w:hyperlink>
      <w:r w:rsidRPr="0027235C">
        <w:rPr>
          <w:rFonts w:ascii="Arial" w:hAnsi="Arial" w:eastAsia="Arial" w:cs="Arial"/>
          <w:sz w:val="24"/>
          <w:szCs w:val="24"/>
        </w:rPr>
        <w:t>.</w:t>
      </w:r>
    </w:p>
    <w:p w:rsidRPr="0027235C" w:rsidR="00976C63" w:rsidP="00B40E50" w:rsidRDefault="00976C63" w14:paraId="11EC6D9E"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Gegenfurtner</w:t>
      </w:r>
      <w:proofErr w:type="spellEnd"/>
      <w:r w:rsidRPr="0027235C">
        <w:rPr>
          <w:rFonts w:ascii="Arial" w:hAnsi="Arial" w:eastAsia="Arial" w:cs="Arial"/>
          <w:sz w:val="24"/>
          <w:szCs w:val="24"/>
        </w:rPr>
        <w:t xml:space="preserve">, A. and Testers, L. (2022) ‘Transfer of training among non-traditional students in higher education: Testing the theory of planned </w:t>
      </w:r>
      <w:proofErr w:type="spellStart"/>
      <w:r w:rsidRPr="0027235C">
        <w:rPr>
          <w:rFonts w:ascii="Arial" w:hAnsi="Arial" w:eastAsia="Arial" w:cs="Arial"/>
          <w:sz w:val="24"/>
          <w:szCs w:val="24"/>
        </w:rPr>
        <w:t>behavior</w:t>
      </w:r>
      <w:proofErr w:type="spellEnd"/>
      <w:r w:rsidRPr="0027235C">
        <w:rPr>
          <w:rFonts w:ascii="Arial" w:hAnsi="Arial" w:eastAsia="Arial" w:cs="Arial"/>
          <w:sz w:val="24"/>
          <w:szCs w:val="24"/>
        </w:rPr>
        <w:t xml:space="preserve">’, </w:t>
      </w:r>
      <w:r w:rsidRPr="0027235C">
        <w:rPr>
          <w:rFonts w:ascii="Arial" w:hAnsi="Arial" w:eastAsia="Arial" w:cs="Arial"/>
          <w:i/>
          <w:iCs/>
          <w:sz w:val="24"/>
          <w:szCs w:val="24"/>
        </w:rPr>
        <w:t>Frontiers in Education</w:t>
      </w:r>
      <w:r w:rsidRPr="0027235C">
        <w:rPr>
          <w:rFonts w:ascii="Arial" w:hAnsi="Arial" w:eastAsia="Arial" w:cs="Arial"/>
          <w:sz w:val="24"/>
          <w:szCs w:val="24"/>
        </w:rPr>
        <w:t xml:space="preserve">, 7, 928996. Available at: </w:t>
      </w:r>
      <w:hyperlink w:history="1" r:id="rId36">
        <w:r w:rsidRPr="0027235C">
          <w:rPr>
            <w:rStyle w:val="Hyperlink"/>
            <w:rFonts w:ascii="Arial" w:hAnsi="Arial" w:eastAsia="Arial" w:cs="Arial"/>
            <w:sz w:val="24"/>
            <w:szCs w:val="24"/>
          </w:rPr>
          <w:t>https://doi.org/10.3389/feduc.2022.928996</w:t>
        </w:r>
      </w:hyperlink>
      <w:r w:rsidRPr="0027235C">
        <w:rPr>
          <w:rFonts w:ascii="Arial" w:hAnsi="Arial" w:eastAsia="Arial" w:cs="Arial"/>
          <w:sz w:val="24"/>
          <w:szCs w:val="24"/>
        </w:rPr>
        <w:t>.</w:t>
      </w:r>
    </w:p>
    <w:p w:rsidRPr="0027235C" w:rsidR="00976C63" w:rsidP="00B40E50" w:rsidRDefault="00976C63" w14:paraId="36360FAE"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Gemmano</w:t>
      </w:r>
      <w:proofErr w:type="spellEnd"/>
      <w:r w:rsidRPr="0027235C">
        <w:rPr>
          <w:rFonts w:ascii="Arial" w:hAnsi="Arial" w:eastAsia="Arial" w:cs="Arial"/>
          <w:sz w:val="24"/>
          <w:szCs w:val="24"/>
        </w:rPr>
        <w:t xml:space="preserve">, C.G., </w:t>
      </w:r>
      <w:proofErr w:type="spellStart"/>
      <w:r w:rsidRPr="0027235C">
        <w:rPr>
          <w:rFonts w:ascii="Arial" w:hAnsi="Arial" w:eastAsia="Arial" w:cs="Arial"/>
          <w:sz w:val="24"/>
          <w:szCs w:val="24"/>
        </w:rPr>
        <w:t>Manuti</w:t>
      </w:r>
      <w:proofErr w:type="spellEnd"/>
      <w:r w:rsidRPr="0027235C">
        <w:rPr>
          <w:rFonts w:ascii="Arial" w:hAnsi="Arial" w:eastAsia="Arial" w:cs="Arial"/>
          <w:sz w:val="24"/>
          <w:szCs w:val="24"/>
        </w:rPr>
        <w:t>, A. and González-</w:t>
      </w:r>
      <w:proofErr w:type="spellStart"/>
      <w:r w:rsidRPr="0027235C">
        <w:rPr>
          <w:rFonts w:ascii="Arial" w:hAnsi="Arial" w:eastAsia="Arial" w:cs="Arial"/>
          <w:sz w:val="24"/>
          <w:szCs w:val="24"/>
        </w:rPr>
        <w:t>Romá</w:t>
      </w:r>
      <w:proofErr w:type="spellEnd"/>
      <w:r w:rsidRPr="0027235C">
        <w:rPr>
          <w:rFonts w:ascii="Arial" w:hAnsi="Arial" w:eastAsia="Arial" w:cs="Arial"/>
          <w:sz w:val="24"/>
          <w:szCs w:val="24"/>
        </w:rPr>
        <w:t xml:space="preserve">, V. (2026) ‘Employee exposure to HRD and training transfer: The mediating role of formal training evaluation and the moderating role of informal learning </w:t>
      </w:r>
      <w:proofErr w:type="spellStart"/>
      <w:r w:rsidRPr="0027235C">
        <w:rPr>
          <w:rFonts w:ascii="Arial" w:hAnsi="Arial" w:eastAsia="Arial" w:cs="Arial"/>
          <w:sz w:val="24"/>
          <w:szCs w:val="24"/>
        </w:rPr>
        <w:t>behaviors</w:t>
      </w:r>
      <w:proofErr w:type="spellEnd"/>
      <w:r w:rsidRPr="0027235C">
        <w:rPr>
          <w:rFonts w:ascii="Arial" w:hAnsi="Arial" w:eastAsia="Arial" w:cs="Arial"/>
          <w:sz w:val="24"/>
          <w:szCs w:val="24"/>
        </w:rPr>
        <w:t xml:space="preserve">’, </w:t>
      </w:r>
      <w:r w:rsidRPr="0027235C">
        <w:rPr>
          <w:rFonts w:ascii="Arial" w:hAnsi="Arial" w:eastAsia="Arial" w:cs="Arial"/>
          <w:i/>
          <w:iCs/>
          <w:sz w:val="24"/>
          <w:szCs w:val="24"/>
        </w:rPr>
        <w:t>The Learning Organization</w:t>
      </w:r>
      <w:r w:rsidRPr="0027235C">
        <w:rPr>
          <w:rFonts w:ascii="Arial" w:hAnsi="Arial" w:eastAsia="Arial" w:cs="Arial"/>
          <w:sz w:val="24"/>
          <w:szCs w:val="24"/>
        </w:rPr>
        <w:t xml:space="preserve">, 33(7), pp. 92–111. Available at: </w:t>
      </w:r>
      <w:hyperlink w:history="1" r:id="rId37">
        <w:r w:rsidRPr="0027235C">
          <w:rPr>
            <w:rStyle w:val="Hyperlink"/>
            <w:rFonts w:ascii="Arial" w:hAnsi="Arial" w:eastAsia="Arial" w:cs="Arial"/>
            <w:sz w:val="24"/>
            <w:szCs w:val="24"/>
          </w:rPr>
          <w:t>https://doi.org/10.1108/TLO-07-2025-0177</w:t>
        </w:r>
      </w:hyperlink>
      <w:r w:rsidRPr="0027235C">
        <w:rPr>
          <w:rFonts w:ascii="Arial" w:hAnsi="Arial" w:eastAsia="Arial" w:cs="Arial"/>
          <w:sz w:val="24"/>
          <w:szCs w:val="24"/>
        </w:rPr>
        <w:t>.</w:t>
      </w:r>
    </w:p>
    <w:p w:rsidRPr="0027235C" w:rsidR="00976C63" w:rsidP="00B40E50" w:rsidRDefault="00976C63" w14:paraId="5304526A"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Greenan, P. (2023) ‘The impact of implementation intentions on the transfer of training from a management development program’, </w:t>
      </w:r>
      <w:r w:rsidRPr="0027235C">
        <w:rPr>
          <w:rFonts w:ascii="Arial" w:hAnsi="Arial" w:eastAsia="Arial" w:cs="Arial"/>
          <w:i/>
          <w:iCs/>
          <w:sz w:val="24"/>
          <w:szCs w:val="24"/>
        </w:rPr>
        <w:t>Human Resource Development International</w:t>
      </w:r>
      <w:r w:rsidRPr="0027235C">
        <w:rPr>
          <w:rFonts w:ascii="Arial" w:hAnsi="Arial" w:eastAsia="Arial" w:cs="Arial"/>
          <w:sz w:val="24"/>
          <w:szCs w:val="24"/>
        </w:rPr>
        <w:t xml:space="preserve">, 26(5), pp. 577–602. Available at: </w:t>
      </w:r>
      <w:hyperlink w:history="1" r:id="rId38">
        <w:r w:rsidRPr="0027235C">
          <w:rPr>
            <w:rStyle w:val="Hyperlink"/>
            <w:rFonts w:ascii="Arial" w:hAnsi="Arial" w:eastAsia="Arial" w:cs="Arial"/>
            <w:sz w:val="24"/>
            <w:szCs w:val="24"/>
          </w:rPr>
          <w:t>https://doi.org/10.1080/13678868.2023.2174976</w:t>
        </w:r>
      </w:hyperlink>
      <w:r w:rsidRPr="0027235C">
        <w:rPr>
          <w:rFonts w:ascii="Arial" w:hAnsi="Arial" w:eastAsia="Arial" w:cs="Arial"/>
          <w:sz w:val="24"/>
          <w:szCs w:val="24"/>
        </w:rPr>
        <w:t>.</w:t>
      </w:r>
    </w:p>
    <w:p w:rsidRPr="0027235C" w:rsidR="00976C63" w:rsidP="00B40E50" w:rsidRDefault="00976C63" w14:paraId="67DA7BEE"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Gusenbauer, M. and </w:t>
      </w:r>
      <w:proofErr w:type="spellStart"/>
      <w:r w:rsidRPr="0027235C">
        <w:rPr>
          <w:rFonts w:ascii="Arial" w:hAnsi="Arial" w:eastAsia="Arial" w:cs="Arial"/>
          <w:sz w:val="24"/>
          <w:szCs w:val="24"/>
        </w:rPr>
        <w:t>Gauster</w:t>
      </w:r>
      <w:proofErr w:type="spellEnd"/>
      <w:r w:rsidRPr="0027235C">
        <w:rPr>
          <w:rFonts w:ascii="Arial" w:hAnsi="Arial" w:eastAsia="Arial" w:cs="Arial"/>
          <w:sz w:val="24"/>
          <w:szCs w:val="24"/>
        </w:rPr>
        <w:t xml:space="preserve">, S.P. (2025) ‘How to search for literature in systematic reviews and meta-analyses: A comprehensive step-by-step guide’, </w:t>
      </w:r>
      <w:r w:rsidRPr="0027235C">
        <w:rPr>
          <w:rFonts w:ascii="Arial" w:hAnsi="Arial" w:eastAsia="Arial" w:cs="Arial"/>
          <w:i/>
          <w:iCs/>
          <w:sz w:val="24"/>
          <w:szCs w:val="24"/>
        </w:rPr>
        <w:t>Technological Forecasting and Social Change</w:t>
      </w:r>
      <w:r w:rsidRPr="0027235C">
        <w:rPr>
          <w:rFonts w:ascii="Arial" w:hAnsi="Arial" w:eastAsia="Arial" w:cs="Arial"/>
          <w:sz w:val="24"/>
          <w:szCs w:val="24"/>
        </w:rPr>
        <w:t xml:space="preserve">, 212, 123833. Available at: </w:t>
      </w:r>
      <w:hyperlink w:history="1" r:id="rId39">
        <w:r w:rsidRPr="0027235C">
          <w:rPr>
            <w:rStyle w:val="Hyperlink"/>
            <w:rFonts w:ascii="Arial" w:hAnsi="Arial" w:eastAsia="Arial" w:cs="Arial"/>
            <w:sz w:val="24"/>
            <w:szCs w:val="24"/>
          </w:rPr>
          <w:t>https://doi.org/10.1016/j.techfore.2024.123833</w:t>
        </w:r>
      </w:hyperlink>
      <w:r w:rsidRPr="0027235C">
        <w:rPr>
          <w:rFonts w:ascii="Arial" w:hAnsi="Arial" w:eastAsia="Arial" w:cs="Arial"/>
          <w:sz w:val="24"/>
          <w:szCs w:val="24"/>
        </w:rPr>
        <w:t>.</w:t>
      </w:r>
    </w:p>
    <w:p w:rsidRPr="0027235C" w:rsidR="00976C63" w:rsidP="00B40E50" w:rsidRDefault="00976C63" w14:paraId="43D147FB"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Hakvoort</w:t>
      </w:r>
      <w:proofErr w:type="spellEnd"/>
      <w:r w:rsidRPr="0027235C">
        <w:rPr>
          <w:rFonts w:ascii="Arial" w:hAnsi="Arial" w:eastAsia="Arial" w:cs="Arial"/>
          <w:sz w:val="24"/>
          <w:szCs w:val="24"/>
        </w:rPr>
        <w:t xml:space="preserve">, L., </w:t>
      </w:r>
      <w:proofErr w:type="spellStart"/>
      <w:r w:rsidRPr="0027235C">
        <w:rPr>
          <w:rFonts w:ascii="Arial" w:hAnsi="Arial" w:eastAsia="Arial" w:cs="Arial"/>
          <w:sz w:val="24"/>
          <w:szCs w:val="24"/>
        </w:rPr>
        <w:t>Dikken</w:t>
      </w:r>
      <w:proofErr w:type="spellEnd"/>
      <w:r w:rsidRPr="0027235C">
        <w:rPr>
          <w:rFonts w:ascii="Arial" w:hAnsi="Arial" w:eastAsia="Arial" w:cs="Arial"/>
          <w:sz w:val="24"/>
          <w:szCs w:val="24"/>
        </w:rPr>
        <w:t xml:space="preserve">, J., Dinh Xuan, L.T., van der Schaaf, M. and Schuurmans, M. (2025) ‘Integrated measure for training transfer in nursing practice: Development and validation study’, </w:t>
      </w:r>
      <w:r w:rsidRPr="0027235C">
        <w:rPr>
          <w:rFonts w:ascii="Arial" w:hAnsi="Arial" w:eastAsia="Arial" w:cs="Arial"/>
          <w:i/>
          <w:iCs/>
          <w:sz w:val="24"/>
          <w:szCs w:val="24"/>
        </w:rPr>
        <w:t>Nurse Education Today</w:t>
      </w:r>
      <w:r w:rsidRPr="0027235C">
        <w:rPr>
          <w:rFonts w:ascii="Arial" w:hAnsi="Arial" w:eastAsia="Arial" w:cs="Arial"/>
          <w:sz w:val="24"/>
          <w:szCs w:val="24"/>
        </w:rPr>
        <w:t xml:space="preserve">, 144, 106482. Available at: </w:t>
      </w:r>
      <w:hyperlink w:history="1" r:id="rId40">
        <w:r w:rsidRPr="0027235C">
          <w:rPr>
            <w:rStyle w:val="Hyperlink"/>
            <w:rFonts w:ascii="Arial" w:hAnsi="Arial" w:eastAsia="Arial" w:cs="Arial"/>
            <w:sz w:val="24"/>
            <w:szCs w:val="24"/>
          </w:rPr>
          <w:t>https://doi.org/10.1016/j.nedt.2024.106482</w:t>
        </w:r>
      </w:hyperlink>
      <w:r w:rsidRPr="0027235C">
        <w:rPr>
          <w:rFonts w:ascii="Arial" w:hAnsi="Arial" w:eastAsia="Arial" w:cs="Arial"/>
          <w:sz w:val="24"/>
          <w:szCs w:val="24"/>
        </w:rPr>
        <w:t>.</w:t>
      </w:r>
    </w:p>
    <w:p w:rsidRPr="0027235C" w:rsidR="00976C63" w:rsidP="00B40E50" w:rsidRDefault="00976C63" w14:paraId="4EC33EF3"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Harrison, R., Jones, B., Gardner, P. and Lawton, R. (2021) ‘Quality assessment with diverse studies (</w:t>
      </w:r>
      <w:proofErr w:type="spellStart"/>
      <w:r w:rsidRPr="0027235C">
        <w:rPr>
          <w:rFonts w:ascii="Arial" w:hAnsi="Arial" w:eastAsia="Arial" w:cs="Arial"/>
          <w:sz w:val="24"/>
          <w:szCs w:val="24"/>
        </w:rPr>
        <w:t>QuADS</w:t>
      </w:r>
      <w:proofErr w:type="spellEnd"/>
      <w:r w:rsidRPr="0027235C">
        <w:rPr>
          <w:rFonts w:ascii="Arial" w:hAnsi="Arial" w:eastAsia="Arial" w:cs="Arial"/>
          <w:sz w:val="24"/>
          <w:szCs w:val="24"/>
        </w:rPr>
        <w:t xml:space="preserve">): An appraisal tool for methodological and reporting quality in systematic reviews of mixed- or multi-method studies’, </w:t>
      </w:r>
      <w:r w:rsidRPr="0027235C">
        <w:rPr>
          <w:rFonts w:ascii="Arial" w:hAnsi="Arial" w:eastAsia="Arial" w:cs="Arial"/>
          <w:i/>
          <w:iCs/>
          <w:sz w:val="24"/>
          <w:szCs w:val="24"/>
        </w:rPr>
        <w:t>BMC Health Services Research</w:t>
      </w:r>
      <w:r w:rsidRPr="0027235C">
        <w:rPr>
          <w:rFonts w:ascii="Arial" w:hAnsi="Arial" w:eastAsia="Arial" w:cs="Arial"/>
          <w:sz w:val="24"/>
          <w:szCs w:val="24"/>
        </w:rPr>
        <w:t xml:space="preserve">, 21, 144. Available at: </w:t>
      </w:r>
      <w:hyperlink w:history="1" r:id="rId41">
        <w:r w:rsidRPr="0027235C">
          <w:rPr>
            <w:rStyle w:val="Hyperlink"/>
            <w:rFonts w:ascii="Arial" w:hAnsi="Arial" w:eastAsia="Arial" w:cs="Arial"/>
            <w:sz w:val="24"/>
            <w:szCs w:val="24"/>
          </w:rPr>
          <w:t>https://doi.org/10.1186/s12913-021-06122-y</w:t>
        </w:r>
      </w:hyperlink>
      <w:r w:rsidRPr="0027235C">
        <w:rPr>
          <w:rFonts w:ascii="Arial" w:hAnsi="Arial" w:eastAsia="Arial" w:cs="Arial"/>
          <w:sz w:val="24"/>
          <w:szCs w:val="24"/>
        </w:rPr>
        <w:t>.</w:t>
      </w:r>
    </w:p>
    <w:p w:rsidRPr="0027235C" w:rsidR="00976C63" w:rsidP="00B40E50" w:rsidRDefault="00976C63" w14:paraId="3352D728"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lastRenderedPageBreak/>
        <w:t>Hiebl</w:t>
      </w:r>
      <w:proofErr w:type="spellEnd"/>
      <w:r w:rsidRPr="0027235C">
        <w:rPr>
          <w:rFonts w:ascii="Arial" w:hAnsi="Arial" w:eastAsia="Arial" w:cs="Arial"/>
          <w:sz w:val="24"/>
          <w:szCs w:val="24"/>
        </w:rPr>
        <w:t xml:space="preserve">, M.R.W. (2023) ‘Sample selection in systematic literature reviews of management research’, </w:t>
      </w:r>
      <w:r w:rsidRPr="0027235C">
        <w:rPr>
          <w:rFonts w:ascii="Arial" w:hAnsi="Arial" w:eastAsia="Arial" w:cs="Arial"/>
          <w:i/>
          <w:iCs/>
          <w:sz w:val="24"/>
          <w:szCs w:val="24"/>
        </w:rPr>
        <w:t>Organizational Research Methods</w:t>
      </w:r>
      <w:r w:rsidRPr="0027235C">
        <w:rPr>
          <w:rFonts w:ascii="Arial" w:hAnsi="Arial" w:eastAsia="Arial" w:cs="Arial"/>
          <w:sz w:val="24"/>
          <w:szCs w:val="24"/>
        </w:rPr>
        <w:t xml:space="preserve">, 26(2), pp. 229–261. Available at: </w:t>
      </w:r>
      <w:hyperlink w:history="1" r:id="rId42">
        <w:r w:rsidRPr="0027235C">
          <w:rPr>
            <w:rStyle w:val="Hyperlink"/>
            <w:rFonts w:ascii="Arial" w:hAnsi="Arial" w:eastAsia="Arial" w:cs="Arial"/>
            <w:sz w:val="24"/>
            <w:szCs w:val="24"/>
          </w:rPr>
          <w:t>https://doi.org/10.1177/1094428120986851</w:t>
        </w:r>
      </w:hyperlink>
      <w:r w:rsidRPr="0027235C">
        <w:rPr>
          <w:rFonts w:ascii="Arial" w:hAnsi="Arial" w:eastAsia="Arial" w:cs="Arial"/>
          <w:sz w:val="24"/>
          <w:szCs w:val="24"/>
        </w:rPr>
        <w:t>.</w:t>
      </w:r>
    </w:p>
    <w:p w:rsidRPr="0027235C" w:rsidR="00976C63" w:rsidP="00B40E50" w:rsidRDefault="00976C63" w14:paraId="0C14DC12"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Hirv-Biene, J., Tammets, K., Ley, T. and Wagner, M. (2025) ‘Enhancing learning transfer from continuing education to the workplace through an actor-oriented approach: A design-based research study’, </w:t>
      </w:r>
      <w:r w:rsidRPr="0027235C">
        <w:rPr>
          <w:rFonts w:ascii="Arial" w:hAnsi="Arial" w:eastAsia="Arial" w:cs="Arial"/>
          <w:i/>
          <w:iCs/>
          <w:sz w:val="24"/>
          <w:szCs w:val="24"/>
        </w:rPr>
        <w:t>International Journal of Training and Development</w:t>
      </w:r>
      <w:r w:rsidRPr="0027235C">
        <w:rPr>
          <w:rFonts w:ascii="Arial" w:hAnsi="Arial" w:eastAsia="Arial" w:cs="Arial"/>
          <w:sz w:val="24"/>
          <w:szCs w:val="24"/>
        </w:rPr>
        <w:t xml:space="preserve">, 29, pp. 267–279. Available at: </w:t>
      </w:r>
      <w:hyperlink w:history="1" r:id="rId43">
        <w:r w:rsidRPr="0027235C">
          <w:rPr>
            <w:rStyle w:val="Hyperlink"/>
            <w:rFonts w:ascii="Arial" w:hAnsi="Arial" w:eastAsia="Arial" w:cs="Arial"/>
            <w:sz w:val="24"/>
            <w:szCs w:val="24"/>
          </w:rPr>
          <w:t>https://doi.org/10.1111/ijtd.12354</w:t>
        </w:r>
      </w:hyperlink>
      <w:r w:rsidRPr="0027235C">
        <w:rPr>
          <w:rFonts w:ascii="Arial" w:hAnsi="Arial" w:eastAsia="Arial" w:cs="Arial"/>
          <w:sz w:val="24"/>
          <w:szCs w:val="24"/>
        </w:rPr>
        <w:t>.</w:t>
      </w:r>
    </w:p>
    <w:p w:rsidRPr="0027235C" w:rsidR="00976C63" w:rsidP="00B40E50" w:rsidRDefault="00976C63" w14:paraId="174B5D68"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Hizam, S.M., Akter, H., Ahmed, W. and Sentosa, I. (2025) ‘Assimilating talent-centric approaches to digital workplace engagement behaviours’, </w:t>
      </w:r>
      <w:r w:rsidRPr="0027235C">
        <w:rPr>
          <w:rFonts w:ascii="Arial" w:hAnsi="Arial" w:eastAsia="Arial" w:cs="Arial"/>
          <w:i/>
          <w:iCs/>
          <w:sz w:val="24"/>
          <w:szCs w:val="24"/>
        </w:rPr>
        <w:t>SA Journal of Human Resource Management</w:t>
      </w:r>
      <w:r w:rsidRPr="0027235C">
        <w:rPr>
          <w:rFonts w:ascii="Arial" w:hAnsi="Arial" w:eastAsia="Arial" w:cs="Arial"/>
          <w:sz w:val="24"/>
          <w:szCs w:val="24"/>
        </w:rPr>
        <w:t xml:space="preserve">, 23, a2947. Available at: </w:t>
      </w:r>
      <w:hyperlink w:history="1" r:id="rId44">
        <w:r w:rsidRPr="0027235C">
          <w:rPr>
            <w:rStyle w:val="Hyperlink"/>
            <w:rFonts w:ascii="Arial" w:hAnsi="Arial" w:eastAsia="Arial" w:cs="Arial"/>
            <w:sz w:val="24"/>
            <w:szCs w:val="24"/>
          </w:rPr>
          <w:t>https://doi.org/10.4102/sajhrm.v23i0.2947</w:t>
        </w:r>
      </w:hyperlink>
      <w:r w:rsidRPr="0027235C">
        <w:rPr>
          <w:rFonts w:ascii="Arial" w:hAnsi="Arial" w:eastAsia="Arial" w:cs="Arial"/>
          <w:sz w:val="24"/>
          <w:szCs w:val="24"/>
        </w:rPr>
        <w:t>.</w:t>
      </w:r>
    </w:p>
    <w:p w:rsidRPr="0027235C" w:rsidR="00976C63" w:rsidP="00B40E50" w:rsidRDefault="00976C63" w14:paraId="414B2178"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Hosen, S., Hamzah, S.R., Ismail, I.A., Alias, S.N., Abd Aziz, M.F. and Rahman, M.M. (2024) ‘Training and development, career development, and organizational commitment as the predictor of work performance’, </w:t>
      </w:r>
      <w:proofErr w:type="spellStart"/>
      <w:r w:rsidRPr="0027235C">
        <w:rPr>
          <w:rFonts w:ascii="Arial" w:hAnsi="Arial" w:eastAsia="Arial" w:cs="Arial"/>
          <w:i/>
          <w:iCs/>
          <w:sz w:val="24"/>
          <w:szCs w:val="24"/>
        </w:rPr>
        <w:t>Heliyon</w:t>
      </w:r>
      <w:proofErr w:type="spellEnd"/>
      <w:r w:rsidRPr="0027235C">
        <w:rPr>
          <w:rFonts w:ascii="Arial" w:hAnsi="Arial" w:eastAsia="Arial" w:cs="Arial"/>
          <w:sz w:val="24"/>
          <w:szCs w:val="24"/>
        </w:rPr>
        <w:t xml:space="preserve">, 10(1), e23903. Available at: </w:t>
      </w:r>
      <w:hyperlink w:history="1" r:id="rId45">
        <w:r w:rsidRPr="0027235C">
          <w:rPr>
            <w:rStyle w:val="Hyperlink"/>
            <w:rFonts w:ascii="Arial" w:hAnsi="Arial" w:eastAsia="Arial" w:cs="Arial"/>
            <w:sz w:val="24"/>
            <w:szCs w:val="24"/>
          </w:rPr>
          <w:t>https://doi.org/10.1016/j.heliyon.2023.e23903</w:t>
        </w:r>
      </w:hyperlink>
      <w:r w:rsidRPr="0027235C">
        <w:rPr>
          <w:rFonts w:ascii="Arial" w:hAnsi="Arial" w:eastAsia="Arial" w:cs="Arial"/>
          <w:sz w:val="24"/>
          <w:szCs w:val="24"/>
        </w:rPr>
        <w:t>.</w:t>
      </w:r>
    </w:p>
    <w:p w:rsidRPr="0027235C" w:rsidR="00976C63" w:rsidP="00B40E50" w:rsidRDefault="00976C63" w14:paraId="7A4FC564"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Huo, M.-L. (2021) ‘Career growth opportunities, thriving at work and career outcomes: Can COVID-19 anxiety make a difference?’, </w:t>
      </w:r>
      <w:r w:rsidRPr="0027235C">
        <w:rPr>
          <w:rFonts w:ascii="Arial" w:hAnsi="Arial" w:eastAsia="Arial" w:cs="Arial"/>
          <w:i/>
          <w:iCs/>
          <w:sz w:val="24"/>
          <w:szCs w:val="24"/>
        </w:rPr>
        <w:t>Journal of Hospitality and Tourism Management</w:t>
      </w:r>
      <w:r w:rsidRPr="0027235C">
        <w:rPr>
          <w:rFonts w:ascii="Arial" w:hAnsi="Arial" w:eastAsia="Arial" w:cs="Arial"/>
          <w:sz w:val="24"/>
          <w:szCs w:val="24"/>
        </w:rPr>
        <w:t xml:space="preserve">, 48, pp. 174–181. Available at: </w:t>
      </w:r>
      <w:hyperlink w:history="1" r:id="rId46">
        <w:r w:rsidRPr="0027235C">
          <w:rPr>
            <w:rStyle w:val="Hyperlink"/>
            <w:rFonts w:ascii="Arial" w:hAnsi="Arial" w:eastAsia="Arial" w:cs="Arial"/>
            <w:sz w:val="24"/>
            <w:szCs w:val="24"/>
          </w:rPr>
          <w:t>https://doi.org/10.1016/j.jhtm.2021.06.007</w:t>
        </w:r>
      </w:hyperlink>
      <w:r w:rsidRPr="0027235C">
        <w:rPr>
          <w:rFonts w:ascii="Arial" w:hAnsi="Arial" w:eastAsia="Arial" w:cs="Arial"/>
          <w:sz w:val="24"/>
          <w:szCs w:val="24"/>
        </w:rPr>
        <w:t>.</w:t>
      </w:r>
    </w:p>
    <w:p w:rsidRPr="0027235C" w:rsidR="00976C63" w:rsidP="00B40E50" w:rsidRDefault="00976C63" w14:paraId="6154947F"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Hwang, J. and Yoon, S.W. (2023) ‘Workplace learning for the disadvantaged: Perspectives from adult education and human resource development’, </w:t>
      </w:r>
      <w:r w:rsidRPr="0027235C">
        <w:rPr>
          <w:rFonts w:ascii="Arial" w:hAnsi="Arial" w:eastAsia="Arial" w:cs="Arial"/>
          <w:i/>
          <w:iCs/>
          <w:sz w:val="24"/>
          <w:szCs w:val="24"/>
        </w:rPr>
        <w:t>New Directions for Adult and Continuing Education</w:t>
      </w:r>
      <w:r w:rsidRPr="0027235C">
        <w:rPr>
          <w:rFonts w:ascii="Arial" w:hAnsi="Arial" w:eastAsia="Arial" w:cs="Arial"/>
          <w:sz w:val="24"/>
          <w:szCs w:val="24"/>
        </w:rPr>
        <w:t xml:space="preserve">, 2023(179), pp. 91–104. Available at: </w:t>
      </w:r>
      <w:hyperlink w:history="1" r:id="rId47">
        <w:r w:rsidRPr="0027235C">
          <w:rPr>
            <w:rStyle w:val="Hyperlink"/>
            <w:rFonts w:ascii="Arial" w:hAnsi="Arial" w:eastAsia="Arial" w:cs="Arial"/>
            <w:sz w:val="24"/>
            <w:szCs w:val="24"/>
          </w:rPr>
          <w:t>https://doi.org/10.1002/ace.20505</w:t>
        </w:r>
      </w:hyperlink>
      <w:r w:rsidRPr="0027235C">
        <w:rPr>
          <w:rFonts w:ascii="Arial" w:hAnsi="Arial" w:eastAsia="Arial" w:cs="Arial"/>
          <w:sz w:val="24"/>
          <w:szCs w:val="24"/>
        </w:rPr>
        <w:t>.</w:t>
      </w:r>
    </w:p>
    <w:p w:rsidRPr="0027235C" w:rsidR="00976C63" w:rsidP="00B40E50" w:rsidRDefault="00976C63" w14:paraId="04D1C00E"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Isah Leontes, N. and Hoole, C. (2024) ‘Bridging the gap: Exploring the impact of human capital management on employee performance through work engagement’, </w:t>
      </w:r>
      <w:r w:rsidRPr="0027235C">
        <w:rPr>
          <w:rFonts w:ascii="Arial" w:hAnsi="Arial" w:eastAsia="Arial" w:cs="Arial"/>
          <w:i/>
          <w:iCs/>
          <w:sz w:val="24"/>
          <w:szCs w:val="24"/>
        </w:rPr>
        <w:t>Administrative Sciences</w:t>
      </w:r>
      <w:r w:rsidRPr="0027235C">
        <w:rPr>
          <w:rFonts w:ascii="Arial" w:hAnsi="Arial" w:eastAsia="Arial" w:cs="Arial"/>
          <w:sz w:val="24"/>
          <w:szCs w:val="24"/>
        </w:rPr>
        <w:t xml:space="preserve">, 14(6), 129. Available at: </w:t>
      </w:r>
      <w:hyperlink w:history="1" r:id="rId48">
        <w:r w:rsidRPr="0027235C">
          <w:rPr>
            <w:rStyle w:val="Hyperlink"/>
            <w:rFonts w:ascii="Arial" w:hAnsi="Arial" w:eastAsia="Arial" w:cs="Arial"/>
            <w:sz w:val="24"/>
            <w:szCs w:val="24"/>
          </w:rPr>
          <w:t>https://doi.org/10.3390/admsci14060129</w:t>
        </w:r>
      </w:hyperlink>
      <w:r w:rsidRPr="0027235C">
        <w:rPr>
          <w:rFonts w:ascii="Arial" w:hAnsi="Arial" w:eastAsia="Arial" w:cs="Arial"/>
          <w:sz w:val="24"/>
          <w:szCs w:val="24"/>
        </w:rPr>
        <w:t>.</w:t>
      </w:r>
    </w:p>
    <w:p w:rsidRPr="0027235C" w:rsidR="00976C63" w:rsidP="00B40E50" w:rsidRDefault="00976C63" w14:paraId="7DC18C7C"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Islam, M.S. and Amin, M. (2022) ‘A systematic review of human capital and employee well-being: Putting human capital back on the track’, </w:t>
      </w:r>
      <w:r w:rsidRPr="0027235C">
        <w:rPr>
          <w:rFonts w:ascii="Arial" w:hAnsi="Arial" w:eastAsia="Arial" w:cs="Arial"/>
          <w:i/>
          <w:iCs/>
          <w:sz w:val="24"/>
          <w:szCs w:val="24"/>
        </w:rPr>
        <w:t xml:space="preserve">European Journal of Training and </w:t>
      </w:r>
      <w:r w:rsidRPr="0027235C">
        <w:rPr>
          <w:rFonts w:ascii="Arial" w:hAnsi="Arial" w:eastAsia="Arial" w:cs="Arial"/>
          <w:i/>
          <w:iCs/>
          <w:sz w:val="24"/>
          <w:szCs w:val="24"/>
        </w:rPr>
        <w:lastRenderedPageBreak/>
        <w:t>Development</w:t>
      </w:r>
      <w:r w:rsidRPr="0027235C">
        <w:rPr>
          <w:rFonts w:ascii="Arial" w:hAnsi="Arial" w:eastAsia="Arial" w:cs="Arial"/>
          <w:sz w:val="24"/>
          <w:szCs w:val="24"/>
        </w:rPr>
        <w:t xml:space="preserve">, 46(5/6), pp. 504–534. Available at: </w:t>
      </w:r>
      <w:hyperlink w:history="1" r:id="rId49">
        <w:r w:rsidRPr="0027235C">
          <w:rPr>
            <w:rStyle w:val="Hyperlink"/>
            <w:rFonts w:ascii="Arial" w:hAnsi="Arial" w:eastAsia="Arial" w:cs="Arial"/>
            <w:sz w:val="24"/>
            <w:szCs w:val="24"/>
          </w:rPr>
          <w:t>https://doi.org/10.1108/EJTD-12-2020-0177</w:t>
        </w:r>
      </w:hyperlink>
      <w:r w:rsidRPr="0027235C">
        <w:rPr>
          <w:rFonts w:ascii="Arial" w:hAnsi="Arial" w:eastAsia="Arial" w:cs="Arial"/>
          <w:sz w:val="24"/>
          <w:szCs w:val="24"/>
        </w:rPr>
        <w:t>.</w:t>
      </w:r>
    </w:p>
    <w:p w:rsidRPr="0027235C" w:rsidR="00976C63" w:rsidP="00B40E50" w:rsidRDefault="00976C63" w14:paraId="0537621E"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Jiang, Z., Wu, C.H., Xu, A.J. and Van De Voorde, K. (2026) ‘Thriving at work: A synthesis of human resource management perspectives and a future research agenda’, </w:t>
      </w:r>
      <w:r w:rsidRPr="0027235C">
        <w:rPr>
          <w:rFonts w:ascii="Arial" w:hAnsi="Arial" w:eastAsia="Arial" w:cs="Arial"/>
          <w:i/>
          <w:iCs/>
          <w:sz w:val="24"/>
          <w:szCs w:val="24"/>
        </w:rPr>
        <w:t>Human Resource Management</w:t>
      </w:r>
      <w:r w:rsidRPr="0027235C">
        <w:rPr>
          <w:rFonts w:ascii="Arial" w:hAnsi="Arial" w:eastAsia="Arial" w:cs="Arial"/>
          <w:sz w:val="24"/>
          <w:szCs w:val="24"/>
        </w:rPr>
        <w:t>, 65(1), pp. 133–149.</w:t>
      </w:r>
    </w:p>
    <w:p w:rsidRPr="0027235C" w:rsidR="00976C63" w:rsidP="00B40E50" w:rsidRDefault="00976C63" w14:paraId="38BBD01F"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Junça</w:t>
      </w:r>
      <w:proofErr w:type="spellEnd"/>
      <w:r w:rsidRPr="0027235C">
        <w:rPr>
          <w:rFonts w:ascii="Arial" w:hAnsi="Arial" w:eastAsia="Arial" w:cs="Arial"/>
          <w:sz w:val="24"/>
          <w:szCs w:val="24"/>
        </w:rPr>
        <w:t xml:space="preserve"> Silva, A. and Pinto, D. (2024) ‘Training under an extreme context: The role of organizational support and adaptability on the motivation transfer and performance after training’, </w:t>
      </w:r>
      <w:r w:rsidRPr="0027235C">
        <w:rPr>
          <w:rFonts w:ascii="Arial" w:hAnsi="Arial" w:eastAsia="Arial" w:cs="Arial"/>
          <w:i/>
          <w:iCs/>
          <w:sz w:val="24"/>
          <w:szCs w:val="24"/>
        </w:rPr>
        <w:t>Personnel Review</w:t>
      </w:r>
      <w:r w:rsidRPr="0027235C">
        <w:rPr>
          <w:rFonts w:ascii="Arial" w:hAnsi="Arial" w:eastAsia="Arial" w:cs="Arial"/>
          <w:sz w:val="24"/>
          <w:szCs w:val="24"/>
        </w:rPr>
        <w:t xml:space="preserve">, 53(3), pp. 743–770. Available at: </w:t>
      </w:r>
      <w:hyperlink w:history="1" r:id="rId50">
        <w:r w:rsidRPr="0027235C">
          <w:rPr>
            <w:rStyle w:val="Hyperlink"/>
            <w:rFonts w:ascii="Arial" w:hAnsi="Arial" w:eastAsia="Arial" w:cs="Arial"/>
            <w:sz w:val="24"/>
            <w:szCs w:val="24"/>
          </w:rPr>
          <w:t>https://doi.org/10.1108/PR-09-2022-0629</w:t>
        </w:r>
      </w:hyperlink>
      <w:r w:rsidRPr="0027235C">
        <w:rPr>
          <w:rFonts w:ascii="Arial" w:hAnsi="Arial" w:eastAsia="Arial" w:cs="Arial"/>
          <w:sz w:val="24"/>
          <w:szCs w:val="24"/>
        </w:rPr>
        <w:t>.</w:t>
      </w:r>
    </w:p>
    <w:p w:rsidRPr="0027235C" w:rsidR="00976C63" w:rsidP="00B40E50" w:rsidRDefault="00976C63" w14:paraId="182C0A15"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Kauffeld, S., Decius, J. and Graßmann, C. (2025) ‘Learning and transfer in organisations: How it works and can be supported’, </w:t>
      </w:r>
      <w:r w:rsidRPr="0027235C">
        <w:rPr>
          <w:rFonts w:ascii="Arial" w:hAnsi="Arial" w:eastAsia="Arial" w:cs="Arial"/>
          <w:i/>
          <w:iCs/>
          <w:sz w:val="24"/>
          <w:szCs w:val="24"/>
        </w:rPr>
        <w:t>European Journal of Work and Organizational Psychology</w:t>
      </w:r>
      <w:r w:rsidRPr="0027235C">
        <w:rPr>
          <w:rFonts w:ascii="Arial" w:hAnsi="Arial" w:eastAsia="Arial" w:cs="Arial"/>
          <w:sz w:val="24"/>
          <w:szCs w:val="24"/>
        </w:rPr>
        <w:t>, 34(2), pp. 161–174.</w:t>
      </w:r>
    </w:p>
    <w:p w:rsidRPr="0027235C" w:rsidR="00976C63" w:rsidP="00B40E50" w:rsidRDefault="00976C63" w14:paraId="6C8B92C8"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Keltu</w:t>
      </w:r>
      <w:proofErr w:type="spellEnd"/>
      <w:r w:rsidRPr="0027235C">
        <w:rPr>
          <w:rFonts w:ascii="Arial" w:hAnsi="Arial" w:eastAsia="Arial" w:cs="Arial"/>
          <w:sz w:val="24"/>
          <w:szCs w:val="24"/>
        </w:rPr>
        <w:t xml:space="preserve">, T.T. (2024) ‘The effect of human resource development practice on employee performance with the mediating role of job satisfaction among Mizan Tepi University’s academic staff in Southwestern Ethiopia’, </w:t>
      </w:r>
      <w:proofErr w:type="spellStart"/>
      <w:r w:rsidRPr="0027235C">
        <w:rPr>
          <w:rFonts w:ascii="Arial" w:hAnsi="Arial" w:eastAsia="Arial" w:cs="Arial"/>
          <w:i/>
          <w:iCs/>
          <w:sz w:val="24"/>
          <w:szCs w:val="24"/>
        </w:rPr>
        <w:t>Heliyon</w:t>
      </w:r>
      <w:proofErr w:type="spellEnd"/>
      <w:r w:rsidRPr="0027235C">
        <w:rPr>
          <w:rFonts w:ascii="Arial" w:hAnsi="Arial" w:eastAsia="Arial" w:cs="Arial"/>
          <w:sz w:val="24"/>
          <w:szCs w:val="24"/>
        </w:rPr>
        <w:t xml:space="preserve">, 10(8), e29821. Available at: </w:t>
      </w:r>
      <w:hyperlink w:history="1" r:id="rId51">
        <w:r w:rsidRPr="0027235C">
          <w:rPr>
            <w:rStyle w:val="Hyperlink"/>
            <w:rFonts w:ascii="Arial" w:hAnsi="Arial" w:eastAsia="Arial" w:cs="Arial"/>
            <w:sz w:val="24"/>
            <w:szCs w:val="24"/>
          </w:rPr>
          <w:t>https://doi.org/10.1016/j.heliyon.2024.e29821</w:t>
        </w:r>
      </w:hyperlink>
      <w:r w:rsidRPr="0027235C">
        <w:rPr>
          <w:rFonts w:ascii="Arial" w:hAnsi="Arial" w:eastAsia="Arial" w:cs="Arial"/>
          <w:sz w:val="24"/>
          <w:szCs w:val="24"/>
        </w:rPr>
        <w:t>.</w:t>
      </w:r>
    </w:p>
    <w:p w:rsidRPr="0027235C" w:rsidR="00976C63" w:rsidP="00B40E50" w:rsidRDefault="00976C63" w14:paraId="418AE39D"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Koch, A. and </w:t>
      </w:r>
      <w:proofErr w:type="spellStart"/>
      <w:r w:rsidRPr="0027235C">
        <w:rPr>
          <w:rFonts w:ascii="Arial" w:hAnsi="Arial" w:eastAsia="Arial" w:cs="Arial"/>
          <w:sz w:val="24"/>
          <w:szCs w:val="24"/>
        </w:rPr>
        <w:t>Wisshak</w:t>
      </w:r>
      <w:proofErr w:type="spellEnd"/>
      <w:r w:rsidRPr="0027235C">
        <w:rPr>
          <w:rFonts w:ascii="Arial" w:hAnsi="Arial" w:eastAsia="Arial" w:cs="Arial"/>
          <w:sz w:val="24"/>
          <w:szCs w:val="24"/>
        </w:rPr>
        <w:t xml:space="preserve">, S. (2025) ‘Strengthening trainers’ transfer knowledge: An intervention study’, </w:t>
      </w:r>
      <w:r w:rsidRPr="0027235C">
        <w:rPr>
          <w:rFonts w:ascii="Arial" w:hAnsi="Arial" w:eastAsia="Arial" w:cs="Arial"/>
          <w:i/>
          <w:iCs/>
          <w:sz w:val="24"/>
          <w:szCs w:val="24"/>
        </w:rPr>
        <w:t>International Journal of Training and Development</w:t>
      </w:r>
      <w:r w:rsidRPr="0027235C">
        <w:rPr>
          <w:rFonts w:ascii="Arial" w:hAnsi="Arial" w:eastAsia="Arial" w:cs="Arial"/>
          <w:sz w:val="24"/>
          <w:szCs w:val="24"/>
        </w:rPr>
        <w:t xml:space="preserve">, 29, pp. 255–265. Available at: </w:t>
      </w:r>
      <w:hyperlink w:history="1" r:id="rId52">
        <w:r w:rsidRPr="0027235C">
          <w:rPr>
            <w:rStyle w:val="Hyperlink"/>
            <w:rFonts w:ascii="Arial" w:hAnsi="Arial" w:eastAsia="Arial" w:cs="Arial"/>
            <w:sz w:val="24"/>
            <w:szCs w:val="24"/>
          </w:rPr>
          <w:t>https://doi.org/10.1111/ijtd.12349</w:t>
        </w:r>
      </w:hyperlink>
      <w:r w:rsidRPr="0027235C">
        <w:rPr>
          <w:rFonts w:ascii="Arial" w:hAnsi="Arial" w:eastAsia="Arial" w:cs="Arial"/>
          <w:sz w:val="24"/>
          <w:szCs w:val="24"/>
        </w:rPr>
        <w:t>.</w:t>
      </w:r>
    </w:p>
    <w:p w:rsidRPr="0027235C" w:rsidR="00976C63" w:rsidP="00B40E50" w:rsidRDefault="00976C63" w14:paraId="084AD9AD"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Kraiger, K. and Ford, J.K. (2021) ‘The science of workplace instruction: Learning and development applied to work’, </w:t>
      </w:r>
      <w:r w:rsidRPr="0027235C">
        <w:rPr>
          <w:rFonts w:ascii="Arial" w:hAnsi="Arial" w:eastAsia="Arial" w:cs="Arial"/>
          <w:i/>
          <w:iCs/>
          <w:sz w:val="24"/>
          <w:szCs w:val="24"/>
        </w:rPr>
        <w:t xml:space="preserve">Annual Review of Organizational Psychology and Organizational </w:t>
      </w:r>
      <w:proofErr w:type="spellStart"/>
      <w:r w:rsidRPr="0027235C">
        <w:rPr>
          <w:rFonts w:ascii="Arial" w:hAnsi="Arial" w:eastAsia="Arial" w:cs="Arial"/>
          <w:i/>
          <w:iCs/>
          <w:sz w:val="24"/>
          <w:szCs w:val="24"/>
        </w:rPr>
        <w:t>Behavior</w:t>
      </w:r>
      <w:proofErr w:type="spellEnd"/>
      <w:r w:rsidRPr="0027235C">
        <w:rPr>
          <w:rFonts w:ascii="Arial" w:hAnsi="Arial" w:eastAsia="Arial" w:cs="Arial"/>
          <w:sz w:val="24"/>
          <w:szCs w:val="24"/>
        </w:rPr>
        <w:t xml:space="preserve">, 8, pp. 45–72. Available at: </w:t>
      </w:r>
      <w:hyperlink w:history="1" r:id="rId53">
        <w:r w:rsidRPr="0027235C">
          <w:rPr>
            <w:rStyle w:val="Hyperlink"/>
            <w:rFonts w:ascii="Arial" w:hAnsi="Arial" w:eastAsia="Arial" w:cs="Arial"/>
            <w:sz w:val="24"/>
            <w:szCs w:val="24"/>
          </w:rPr>
          <w:t>https://doi.org/10.1146/annurev-orgpsych-012420-060109</w:t>
        </w:r>
      </w:hyperlink>
      <w:r w:rsidRPr="0027235C">
        <w:rPr>
          <w:rFonts w:ascii="Arial" w:hAnsi="Arial" w:eastAsia="Arial" w:cs="Arial"/>
          <w:sz w:val="24"/>
          <w:szCs w:val="24"/>
        </w:rPr>
        <w:t>.</w:t>
      </w:r>
    </w:p>
    <w:p w:rsidRPr="0027235C" w:rsidR="00976C63" w:rsidP="00B40E50" w:rsidRDefault="00976C63" w14:paraId="3A8D7AF2"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Kroese, I. (2022) ‘Is employee training really gender-neutral? Introducing a sex/gender-sensitive model of training’, </w:t>
      </w:r>
      <w:r w:rsidRPr="0027235C">
        <w:rPr>
          <w:rFonts w:ascii="Arial" w:hAnsi="Arial" w:eastAsia="Arial" w:cs="Arial"/>
          <w:i/>
          <w:iCs/>
          <w:sz w:val="24"/>
          <w:szCs w:val="24"/>
        </w:rPr>
        <w:t>Human Resource Management Review</w:t>
      </w:r>
      <w:r w:rsidRPr="0027235C">
        <w:rPr>
          <w:rFonts w:ascii="Arial" w:hAnsi="Arial" w:eastAsia="Arial" w:cs="Arial"/>
          <w:sz w:val="24"/>
          <w:szCs w:val="24"/>
        </w:rPr>
        <w:t xml:space="preserve">, 32(4), 100890. Available at: </w:t>
      </w:r>
      <w:hyperlink w:history="1" r:id="rId54">
        <w:r w:rsidRPr="0027235C">
          <w:rPr>
            <w:rStyle w:val="Hyperlink"/>
            <w:rFonts w:ascii="Arial" w:hAnsi="Arial" w:eastAsia="Arial" w:cs="Arial"/>
            <w:sz w:val="24"/>
            <w:szCs w:val="24"/>
          </w:rPr>
          <w:t>https://doi.org/10.1016/j.hrmr.2021.100890</w:t>
        </w:r>
      </w:hyperlink>
      <w:r w:rsidRPr="0027235C">
        <w:rPr>
          <w:rFonts w:ascii="Arial" w:hAnsi="Arial" w:eastAsia="Arial" w:cs="Arial"/>
          <w:sz w:val="24"/>
          <w:szCs w:val="24"/>
        </w:rPr>
        <w:t>.</w:t>
      </w:r>
    </w:p>
    <w:p w:rsidRPr="0027235C" w:rsidR="00976C63" w:rsidP="00B40E50" w:rsidRDefault="00976C63" w14:paraId="60B25920"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Langendorf, L.N. and Khalid, M.S. (2025) ‘Systematic literature review on usability and training outcomes of using digital training technologies in industry’, </w:t>
      </w:r>
      <w:r w:rsidRPr="0027235C">
        <w:rPr>
          <w:rFonts w:ascii="Arial" w:hAnsi="Arial" w:eastAsia="Arial" w:cs="Arial"/>
          <w:i/>
          <w:iCs/>
          <w:sz w:val="24"/>
          <w:szCs w:val="24"/>
        </w:rPr>
        <w:t xml:space="preserve">Computers in </w:t>
      </w:r>
      <w:r w:rsidRPr="0027235C">
        <w:rPr>
          <w:rFonts w:ascii="Arial" w:hAnsi="Arial" w:eastAsia="Arial" w:cs="Arial"/>
          <w:i/>
          <w:iCs/>
          <w:sz w:val="24"/>
          <w:szCs w:val="24"/>
        </w:rPr>
        <w:lastRenderedPageBreak/>
        <w:t xml:space="preserve">Human </w:t>
      </w:r>
      <w:proofErr w:type="spellStart"/>
      <w:r w:rsidRPr="0027235C">
        <w:rPr>
          <w:rFonts w:ascii="Arial" w:hAnsi="Arial" w:eastAsia="Arial" w:cs="Arial"/>
          <w:i/>
          <w:iCs/>
          <w:sz w:val="24"/>
          <w:szCs w:val="24"/>
        </w:rPr>
        <w:t>Behavior</w:t>
      </w:r>
      <w:proofErr w:type="spellEnd"/>
      <w:r w:rsidRPr="0027235C">
        <w:rPr>
          <w:rFonts w:ascii="Arial" w:hAnsi="Arial" w:eastAsia="Arial" w:cs="Arial"/>
          <w:i/>
          <w:iCs/>
          <w:sz w:val="24"/>
          <w:szCs w:val="24"/>
        </w:rPr>
        <w:t xml:space="preserve"> Reports</w:t>
      </w:r>
      <w:r w:rsidRPr="0027235C">
        <w:rPr>
          <w:rFonts w:ascii="Arial" w:hAnsi="Arial" w:eastAsia="Arial" w:cs="Arial"/>
          <w:sz w:val="24"/>
          <w:szCs w:val="24"/>
        </w:rPr>
        <w:t xml:space="preserve">, 17, 100604. Available at: </w:t>
      </w:r>
      <w:hyperlink w:history="1" r:id="rId55">
        <w:r w:rsidRPr="0027235C">
          <w:rPr>
            <w:rStyle w:val="Hyperlink"/>
            <w:rFonts w:ascii="Arial" w:hAnsi="Arial" w:eastAsia="Arial" w:cs="Arial"/>
            <w:sz w:val="24"/>
            <w:szCs w:val="24"/>
          </w:rPr>
          <w:t>https://doi.org/10.1016/j.chbr.2025.100604</w:t>
        </w:r>
      </w:hyperlink>
      <w:r w:rsidRPr="0027235C">
        <w:rPr>
          <w:rFonts w:ascii="Arial" w:hAnsi="Arial" w:eastAsia="Arial" w:cs="Arial"/>
          <w:sz w:val="24"/>
          <w:szCs w:val="24"/>
        </w:rPr>
        <w:t>.</w:t>
      </w:r>
    </w:p>
    <w:p w:rsidRPr="0027235C" w:rsidR="00976C63" w:rsidP="00B40E50" w:rsidRDefault="00976C63" w14:paraId="3511F7D8"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Lucena Barbosa, F. and Borges-Andrade, J.E. (2025) ‘The role of participation in training in the relationship between informal learning and its antecedents’, </w:t>
      </w:r>
      <w:r w:rsidRPr="0027235C">
        <w:rPr>
          <w:rFonts w:ascii="Arial" w:hAnsi="Arial" w:eastAsia="Arial" w:cs="Arial"/>
          <w:i/>
          <w:iCs/>
          <w:sz w:val="24"/>
          <w:szCs w:val="24"/>
        </w:rPr>
        <w:t>International Journal of Training and Development</w:t>
      </w:r>
      <w:r w:rsidRPr="0027235C">
        <w:rPr>
          <w:rFonts w:ascii="Arial" w:hAnsi="Arial" w:eastAsia="Arial" w:cs="Arial"/>
          <w:sz w:val="24"/>
          <w:szCs w:val="24"/>
        </w:rPr>
        <w:t xml:space="preserve">, 29(1), pp. 16–37. Available at: </w:t>
      </w:r>
      <w:hyperlink w:history="1" r:id="rId56">
        <w:r w:rsidRPr="0027235C">
          <w:rPr>
            <w:rStyle w:val="Hyperlink"/>
            <w:rFonts w:ascii="Arial" w:hAnsi="Arial" w:eastAsia="Arial" w:cs="Arial"/>
            <w:sz w:val="24"/>
            <w:szCs w:val="24"/>
          </w:rPr>
          <w:t>https://doi.org/10.1111/ijtd.12339</w:t>
        </w:r>
      </w:hyperlink>
      <w:r w:rsidRPr="0027235C">
        <w:rPr>
          <w:rFonts w:ascii="Arial" w:hAnsi="Arial" w:eastAsia="Arial" w:cs="Arial"/>
          <w:sz w:val="24"/>
          <w:szCs w:val="24"/>
        </w:rPr>
        <w:t>.</w:t>
      </w:r>
    </w:p>
    <w:p w:rsidRPr="0027235C" w:rsidR="00976C63" w:rsidP="00B40E50" w:rsidRDefault="00976C63" w14:paraId="0D5DDD6F"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Mampuru, M.P., Mokoena, B.A. and Isabirye, A.K. (2024) ‘Training and development impact on job satisfaction, loyalty and retention among academics’, </w:t>
      </w:r>
      <w:r w:rsidRPr="0027235C">
        <w:rPr>
          <w:rFonts w:ascii="Arial" w:hAnsi="Arial" w:eastAsia="Arial" w:cs="Arial"/>
          <w:i/>
          <w:iCs/>
          <w:sz w:val="24"/>
          <w:szCs w:val="24"/>
        </w:rPr>
        <w:t>SA Journal of Human Resource Management</w:t>
      </w:r>
      <w:r w:rsidRPr="0027235C">
        <w:rPr>
          <w:rFonts w:ascii="Arial" w:hAnsi="Arial" w:eastAsia="Arial" w:cs="Arial"/>
          <w:sz w:val="24"/>
          <w:szCs w:val="24"/>
        </w:rPr>
        <w:t xml:space="preserve">, 22, a2420, pp. 1–10. Available at: </w:t>
      </w:r>
      <w:hyperlink w:history="1" r:id="rId57">
        <w:r w:rsidRPr="0027235C">
          <w:rPr>
            <w:rStyle w:val="Hyperlink"/>
            <w:rFonts w:ascii="Arial" w:hAnsi="Arial" w:eastAsia="Arial" w:cs="Arial"/>
            <w:sz w:val="24"/>
            <w:szCs w:val="24"/>
          </w:rPr>
          <w:t>https://doi.org/10.4102/sajhrm.v22i0.2420</w:t>
        </w:r>
      </w:hyperlink>
      <w:r w:rsidRPr="0027235C">
        <w:rPr>
          <w:rFonts w:ascii="Arial" w:hAnsi="Arial" w:eastAsia="Arial" w:cs="Arial"/>
          <w:sz w:val="24"/>
          <w:szCs w:val="24"/>
        </w:rPr>
        <w:t>.</w:t>
      </w:r>
    </w:p>
    <w:p w:rsidRPr="0027235C" w:rsidR="00976C63" w:rsidP="00B40E50" w:rsidRDefault="00976C63" w14:paraId="65049522"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Martins, L.B., Zerbini, T. and Medina, F.J. (2019) ‘Impact of online training on </w:t>
      </w:r>
      <w:proofErr w:type="spellStart"/>
      <w:r w:rsidRPr="0027235C">
        <w:rPr>
          <w:rFonts w:ascii="Arial" w:hAnsi="Arial" w:eastAsia="Arial" w:cs="Arial"/>
          <w:sz w:val="24"/>
          <w:szCs w:val="24"/>
        </w:rPr>
        <w:t>behavioral</w:t>
      </w:r>
      <w:proofErr w:type="spellEnd"/>
      <w:r w:rsidRPr="0027235C">
        <w:rPr>
          <w:rFonts w:ascii="Arial" w:hAnsi="Arial" w:eastAsia="Arial" w:cs="Arial"/>
          <w:sz w:val="24"/>
          <w:szCs w:val="24"/>
        </w:rPr>
        <w:t xml:space="preserve"> transfer and job performance in a large organization’, </w:t>
      </w:r>
      <w:r w:rsidRPr="0027235C">
        <w:rPr>
          <w:rFonts w:ascii="Arial" w:hAnsi="Arial" w:eastAsia="Arial" w:cs="Arial"/>
          <w:i/>
          <w:iCs/>
          <w:sz w:val="24"/>
          <w:szCs w:val="24"/>
        </w:rPr>
        <w:t>Journal of Work and Organizational Psychology</w:t>
      </w:r>
      <w:r w:rsidRPr="0027235C">
        <w:rPr>
          <w:rFonts w:ascii="Arial" w:hAnsi="Arial" w:eastAsia="Arial" w:cs="Arial"/>
          <w:sz w:val="24"/>
          <w:szCs w:val="24"/>
        </w:rPr>
        <w:t xml:space="preserve">, 35(1), pp. 27–37. Available at: </w:t>
      </w:r>
      <w:hyperlink w:history="1" r:id="rId58">
        <w:r w:rsidRPr="0027235C">
          <w:rPr>
            <w:rStyle w:val="Hyperlink"/>
            <w:rFonts w:ascii="Arial" w:hAnsi="Arial" w:eastAsia="Arial" w:cs="Arial"/>
            <w:sz w:val="24"/>
            <w:szCs w:val="24"/>
          </w:rPr>
          <w:t>https://doi.org/10.5093/jwop2019a4</w:t>
        </w:r>
      </w:hyperlink>
      <w:r w:rsidRPr="0027235C">
        <w:rPr>
          <w:rFonts w:ascii="Arial" w:hAnsi="Arial" w:eastAsia="Arial" w:cs="Arial"/>
          <w:sz w:val="24"/>
          <w:szCs w:val="24"/>
        </w:rPr>
        <w:t>.</w:t>
      </w:r>
    </w:p>
    <w:p w:rsidRPr="0027235C" w:rsidR="00976C63" w:rsidP="00B40E50" w:rsidRDefault="00976C63" w14:paraId="7BDA20D3"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McKay, A.S., Reiter-</w:t>
      </w:r>
      <w:proofErr w:type="spellStart"/>
      <w:r w:rsidRPr="0027235C">
        <w:rPr>
          <w:rFonts w:ascii="Arial" w:hAnsi="Arial" w:eastAsia="Arial" w:cs="Arial"/>
          <w:sz w:val="24"/>
          <w:szCs w:val="24"/>
        </w:rPr>
        <w:t>Palmon</w:t>
      </w:r>
      <w:proofErr w:type="spellEnd"/>
      <w:r w:rsidRPr="0027235C">
        <w:rPr>
          <w:rFonts w:ascii="Arial" w:hAnsi="Arial" w:eastAsia="Arial" w:cs="Arial"/>
          <w:sz w:val="24"/>
          <w:szCs w:val="24"/>
        </w:rPr>
        <w:t xml:space="preserve">, R., Coombes, S.M.T. and Coombs, J.E. (2024) ‘A meta-analysis of creativity training in organizational settings’, </w:t>
      </w:r>
      <w:r w:rsidRPr="0027235C">
        <w:rPr>
          <w:rFonts w:ascii="Arial" w:hAnsi="Arial" w:eastAsia="Arial" w:cs="Arial"/>
          <w:i/>
          <w:iCs/>
          <w:sz w:val="24"/>
          <w:szCs w:val="24"/>
        </w:rPr>
        <w:t>Creativity and Innovation Management</w:t>
      </w:r>
      <w:r w:rsidRPr="0027235C">
        <w:rPr>
          <w:rFonts w:ascii="Arial" w:hAnsi="Arial" w:eastAsia="Arial" w:cs="Arial"/>
          <w:sz w:val="24"/>
          <w:szCs w:val="24"/>
        </w:rPr>
        <w:t xml:space="preserve">, 33(4), pp. 587–602. Available at: </w:t>
      </w:r>
      <w:hyperlink w:history="1" r:id="rId59">
        <w:r w:rsidRPr="0027235C">
          <w:rPr>
            <w:rStyle w:val="Hyperlink"/>
            <w:rFonts w:ascii="Arial" w:hAnsi="Arial" w:eastAsia="Arial" w:cs="Arial"/>
            <w:sz w:val="24"/>
            <w:szCs w:val="24"/>
          </w:rPr>
          <w:t>https://doi.org/10.1111/caim.12605</w:t>
        </w:r>
      </w:hyperlink>
      <w:r w:rsidRPr="0027235C">
        <w:rPr>
          <w:rFonts w:ascii="Arial" w:hAnsi="Arial" w:eastAsia="Arial" w:cs="Arial"/>
          <w:sz w:val="24"/>
          <w:szCs w:val="24"/>
        </w:rPr>
        <w:t>.</w:t>
      </w:r>
    </w:p>
    <w:p w:rsidRPr="0027235C" w:rsidR="00976C63" w:rsidP="00B40E50" w:rsidRDefault="00976C63" w14:paraId="7A2A38EF"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Mehner, L., </w:t>
      </w:r>
      <w:proofErr w:type="spellStart"/>
      <w:r w:rsidRPr="0027235C">
        <w:rPr>
          <w:rFonts w:ascii="Arial" w:hAnsi="Arial" w:eastAsia="Arial" w:cs="Arial"/>
          <w:sz w:val="24"/>
          <w:szCs w:val="24"/>
        </w:rPr>
        <w:t>Rothenbusch</w:t>
      </w:r>
      <w:proofErr w:type="spellEnd"/>
      <w:r w:rsidRPr="0027235C">
        <w:rPr>
          <w:rFonts w:ascii="Arial" w:hAnsi="Arial" w:eastAsia="Arial" w:cs="Arial"/>
          <w:sz w:val="24"/>
          <w:szCs w:val="24"/>
        </w:rPr>
        <w:t xml:space="preserve">, S. and Kauffeld, S. (2025) ‘How to maximize the impact of workplace training: A mixed-method analysis of social support, training transfer and knowledge sharing’, </w:t>
      </w:r>
      <w:r w:rsidRPr="0027235C">
        <w:rPr>
          <w:rFonts w:ascii="Arial" w:hAnsi="Arial" w:eastAsia="Arial" w:cs="Arial"/>
          <w:i/>
          <w:iCs/>
          <w:sz w:val="24"/>
          <w:szCs w:val="24"/>
        </w:rPr>
        <w:t>European Journal of Work and Organizational Psychology</w:t>
      </w:r>
      <w:r w:rsidRPr="0027235C">
        <w:rPr>
          <w:rFonts w:ascii="Arial" w:hAnsi="Arial" w:eastAsia="Arial" w:cs="Arial"/>
          <w:sz w:val="24"/>
          <w:szCs w:val="24"/>
        </w:rPr>
        <w:t xml:space="preserve">, 34(2), pp. 201–217. Available at: </w:t>
      </w:r>
      <w:hyperlink w:history="1" r:id="rId60">
        <w:r w:rsidRPr="0027235C">
          <w:rPr>
            <w:rStyle w:val="Hyperlink"/>
            <w:rFonts w:ascii="Arial" w:hAnsi="Arial" w:eastAsia="Arial" w:cs="Arial"/>
            <w:sz w:val="24"/>
            <w:szCs w:val="24"/>
          </w:rPr>
          <w:t>https://doi.org/10.1080/1359432X.2024.2319082</w:t>
        </w:r>
      </w:hyperlink>
      <w:r w:rsidRPr="0027235C">
        <w:rPr>
          <w:rFonts w:ascii="Arial" w:hAnsi="Arial" w:eastAsia="Arial" w:cs="Arial"/>
          <w:sz w:val="24"/>
          <w:szCs w:val="24"/>
        </w:rPr>
        <w:t>.</w:t>
      </w:r>
    </w:p>
    <w:p w:rsidRPr="0027235C" w:rsidR="00976C63" w:rsidP="00B40E50" w:rsidRDefault="00976C63" w14:paraId="40D71373"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Mhaske, P., Bhattacharjee, B., Haldar, N., Upadhyay, P. and Mandal, A. (2025) ‘Bridging digital skill gaps in the global workforce: A synthesis and conceptual framework building’, </w:t>
      </w:r>
      <w:r w:rsidRPr="0027235C">
        <w:rPr>
          <w:rFonts w:ascii="Arial" w:hAnsi="Arial" w:eastAsia="Arial" w:cs="Arial"/>
          <w:i/>
          <w:iCs/>
          <w:sz w:val="24"/>
          <w:szCs w:val="24"/>
        </w:rPr>
        <w:t>Research in Globalization</w:t>
      </w:r>
      <w:r w:rsidRPr="0027235C">
        <w:rPr>
          <w:rFonts w:ascii="Arial" w:hAnsi="Arial" w:eastAsia="Arial" w:cs="Arial"/>
          <w:sz w:val="24"/>
          <w:szCs w:val="24"/>
        </w:rPr>
        <w:t xml:space="preserve">, 11, 100311. Available at: </w:t>
      </w:r>
      <w:hyperlink w:history="1" r:id="rId61">
        <w:r w:rsidRPr="0027235C">
          <w:rPr>
            <w:rStyle w:val="Hyperlink"/>
            <w:rFonts w:ascii="Arial" w:hAnsi="Arial" w:eastAsia="Arial" w:cs="Arial"/>
            <w:sz w:val="24"/>
            <w:szCs w:val="24"/>
          </w:rPr>
          <w:t>https://doi.org/10.1016/j.resglo.2025.100311</w:t>
        </w:r>
      </w:hyperlink>
      <w:r w:rsidRPr="0027235C">
        <w:rPr>
          <w:rFonts w:ascii="Arial" w:hAnsi="Arial" w:eastAsia="Arial" w:cs="Arial"/>
          <w:sz w:val="24"/>
          <w:szCs w:val="24"/>
        </w:rPr>
        <w:t>.</w:t>
      </w:r>
    </w:p>
    <w:p w:rsidRPr="0027235C" w:rsidR="00976C63" w:rsidP="00B40E50" w:rsidRDefault="00976C63" w14:paraId="1611E88A"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Mitschelen, A. and Kauffeld, S. (2025) ‘Workplace learning during organizational onboarding: Integrating formal, informal, and self-regulated workplace learning’, </w:t>
      </w:r>
      <w:r w:rsidRPr="0027235C">
        <w:rPr>
          <w:rFonts w:ascii="Arial" w:hAnsi="Arial" w:eastAsia="Arial" w:cs="Arial"/>
          <w:i/>
          <w:iCs/>
          <w:sz w:val="24"/>
          <w:szCs w:val="24"/>
        </w:rPr>
        <w:t>Frontiers in Organizational Psychology</w:t>
      </w:r>
      <w:r w:rsidRPr="0027235C">
        <w:rPr>
          <w:rFonts w:ascii="Arial" w:hAnsi="Arial" w:eastAsia="Arial" w:cs="Arial"/>
          <w:sz w:val="24"/>
          <w:szCs w:val="24"/>
        </w:rPr>
        <w:t xml:space="preserve">, 3, 1569098. Available at: </w:t>
      </w:r>
      <w:hyperlink w:history="1" r:id="rId62">
        <w:r w:rsidRPr="0027235C">
          <w:rPr>
            <w:rStyle w:val="Hyperlink"/>
            <w:rFonts w:ascii="Arial" w:hAnsi="Arial" w:eastAsia="Arial" w:cs="Arial"/>
            <w:sz w:val="24"/>
            <w:szCs w:val="24"/>
          </w:rPr>
          <w:t>https://doi.org/10.3389/forgp.2025.1569098</w:t>
        </w:r>
      </w:hyperlink>
      <w:r w:rsidRPr="0027235C">
        <w:rPr>
          <w:rFonts w:ascii="Arial" w:hAnsi="Arial" w:eastAsia="Arial" w:cs="Arial"/>
          <w:sz w:val="24"/>
          <w:szCs w:val="24"/>
        </w:rPr>
        <w:t>.</w:t>
      </w:r>
    </w:p>
    <w:p w:rsidRPr="0027235C" w:rsidR="00976C63" w:rsidP="00B40E50" w:rsidRDefault="00976C63" w14:paraId="4812ADBB"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lastRenderedPageBreak/>
        <w:t>Muchadeyi</w:t>
      </w:r>
      <w:proofErr w:type="spellEnd"/>
      <w:r w:rsidRPr="0027235C">
        <w:rPr>
          <w:rFonts w:ascii="Arial" w:hAnsi="Arial" w:eastAsia="Arial" w:cs="Arial"/>
          <w:sz w:val="24"/>
          <w:szCs w:val="24"/>
        </w:rPr>
        <w:t xml:space="preserve">, M.T., Hernandez-Villafuerte, K., Di Tanna, G.L. et al. (2024) ‘Quality appraisal in systematic literature reviews of studies eliciting health state utility values: Conceptual considerations’, </w:t>
      </w:r>
      <w:proofErr w:type="spellStart"/>
      <w:r w:rsidRPr="0027235C">
        <w:rPr>
          <w:rFonts w:ascii="Arial" w:hAnsi="Arial" w:eastAsia="Arial" w:cs="Arial"/>
          <w:i/>
          <w:iCs/>
          <w:sz w:val="24"/>
          <w:szCs w:val="24"/>
        </w:rPr>
        <w:t>PharmacoEconomics</w:t>
      </w:r>
      <w:proofErr w:type="spellEnd"/>
      <w:r w:rsidRPr="0027235C">
        <w:rPr>
          <w:rFonts w:ascii="Arial" w:hAnsi="Arial" w:eastAsia="Arial" w:cs="Arial"/>
          <w:sz w:val="24"/>
          <w:szCs w:val="24"/>
        </w:rPr>
        <w:t xml:space="preserve">, 42, pp. 767–782. Available at: </w:t>
      </w:r>
      <w:hyperlink w:history="1" r:id="rId63">
        <w:r w:rsidRPr="0027235C">
          <w:rPr>
            <w:rStyle w:val="Hyperlink"/>
            <w:rFonts w:ascii="Arial" w:hAnsi="Arial" w:eastAsia="Arial" w:cs="Arial"/>
            <w:sz w:val="24"/>
            <w:szCs w:val="24"/>
          </w:rPr>
          <w:t>https://doi.org/10.1007/s40273-024-01365-z</w:t>
        </w:r>
      </w:hyperlink>
      <w:r w:rsidRPr="0027235C">
        <w:rPr>
          <w:rFonts w:ascii="Arial" w:hAnsi="Arial" w:eastAsia="Arial" w:cs="Arial"/>
          <w:sz w:val="24"/>
          <w:szCs w:val="24"/>
        </w:rPr>
        <w:t>.</w:t>
      </w:r>
    </w:p>
    <w:p w:rsidRPr="0027235C" w:rsidR="00976C63" w:rsidP="00B40E50" w:rsidRDefault="00976C63" w14:paraId="0F9FB03C"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Muehlemann, S. (2025) ‘Artificial intelligence adoption and workplace training’, </w:t>
      </w:r>
      <w:r w:rsidRPr="0027235C">
        <w:rPr>
          <w:rFonts w:ascii="Arial" w:hAnsi="Arial" w:eastAsia="Arial" w:cs="Arial"/>
          <w:i/>
          <w:iCs/>
          <w:sz w:val="24"/>
          <w:szCs w:val="24"/>
        </w:rPr>
        <w:t xml:space="preserve">Journal of Economic </w:t>
      </w:r>
      <w:proofErr w:type="spellStart"/>
      <w:r w:rsidRPr="0027235C">
        <w:rPr>
          <w:rFonts w:ascii="Arial" w:hAnsi="Arial" w:eastAsia="Arial" w:cs="Arial"/>
          <w:i/>
          <w:iCs/>
          <w:sz w:val="24"/>
          <w:szCs w:val="24"/>
        </w:rPr>
        <w:t>Behavior</w:t>
      </w:r>
      <w:proofErr w:type="spellEnd"/>
      <w:r w:rsidRPr="0027235C">
        <w:rPr>
          <w:rFonts w:ascii="Arial" w:hAnsi="Arial" w:eastAsia="Arial" w:cs="Arial"/>
          <w:i/>
          <w:iCs/>
          <w:sz w:val="24"/>
          <w:szCs w:val="24"/>
        </w:rPr>
        <w:t xml:space="preserve"> &amp; Organization</w:t>
      </w:r>
      <w:r w:rsidRPr="0027235C">
        <w:rPr>
          <w:rFonts w:ascii="Arial" w:hAnsi="Arial" w:eastAsia="Arial" w:cs="Arial"/>
          <w:sz w:val="24"/>
          <w:szCs w:val="24"/>
        </w:rPr>
        <w:t xml:space="preserve">, 238, 107206. Available at: </w:t>
      </w:r>
      <w:hyperlink w:history="1" r:id="rId64">
        <w:r w:rsidRPr="0027235C">
          <w:rPr>
            <w:rStyle w:val="Hyperlink"/>
            <w:rFonts w:ascii="Arial" w:hAnsi="Arial" w:eastAsia="Arial" w:cs="Arial"/>
            <w:sz w:val="24"/>
            <w:szCs w:val="24"/>
          </w:rPr>
          <w:t>https://doi.org/10.1016/j.jebo.2025.107206</w:t>
        </w:r>
      </w:hyperlink>
      <w:r w:rsidRPr="0027235C">
        <w:rPr>
          <w:rFonts w:ascii="Arial" w:hAnsi="Arial" w:eastAsia="Arial" w:cs="Arial"/>
          <w:sz w:val="24"/>
          <w:szCs w:val="24"/>
        </w:rPr>
        <w:t>.</w:t>
      </w:r>
    </w:p>
    <w:p w:rsidRPr="00976C63" w:rsidR="00976C63" w:rsidP="00976C63" w:rsidRDefault="00976C63" w14:paraId="7C38A457" w14:textId="77777777">
      <w:pPr>
        <w:pStyle w:val="NormalWeb"/>
        <w:jc w:val="both"/>
        <w:rPr>
          <w:rFonts w:ascii="Arial" w:hAnsi="Arial" w:cs="Arial"/>
        </w:rPr>
      </w:pPr>
      <w:r w:rsidRPr="00976C63">
        <w:rPr>
          <w:rStyle w:val="Strong"/>
          <w:rFonts w:ascii="Arial" w:hAnsi="Arial" w:cs="Arial"/>
          <w:b w:val="0"/>
        </w:rPr>
        <w:t>Nabi, M.N., Miah, M.S., Hossain, M.S., Islam, M.F., Sultana, S., Yesmin, M. and Hasan, E. (2025)</w:t>
      </w:r>
      <w:r w:rsidRPr="00976C63">
        <w:rPr>
          <w:rFonts w:ascii="Arial" w:hAnsi="Arial" w:cs="Arial"/>
        </w:rPr>
        <w:t xml:space="preserve"> ‘Navigating the training satisfaction effects on organizational performance: examining multiple mediating paths with PLS-SEM and IPMA’, </w:t>
      </w:r>
      <w:r w:rsidRPr="00976C63">
        <w:rPr>
          <w:rStyle w:val="Emphasis"/>
          <w:rFonts w:ascii="Arial" w:hAnsi="Arial" w:cs="Arial"/>
        </w:rPr>
        <w:t>Social Sciences &amp; Humanities Open</w:t>
      </w:r>
      <w:r w:rsidRPr="00976C63">
        <w:rPr>
          <w:rFonts w:ascii="Arial" w:hAnsi="Arial" w:cs="Arial"/>
        </w:rPr>
        <w:t xml:space="preserve">, 12, 101858. Available at: https://doi.org/10.1016/j.ssaho.2025.101858. </w:t>
      </w:r>
    </w:p>
    <w:p w:rsidRPr="0027235C" w:rsidR="00976C63" w:rsidP="00B40E50" w:rsidRDefault="00976C63" w14:paraId="2405A6CD"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Natukunda, A. and </w:t>
      </w:r>
      <w:proofErr w:type="spellStart"/>
      <w:r w:rsidRPr="0027235C">
        <w:rPr>
          <w:rFonts w:ascii="Arial" w:hAnsi="Arial" w:eastAsia="Arial" w:cs="Arial"/>
          <w:sz w:val="24"/>
          <w:szCs w:val="24"/>
        </w:rPr>
        <w:t>Muchene</w:t>
      </w:r>
      <w:proofErr w:type="spellEnd"/>
      <w:r w:rsidRPr="0027235C">
        <w:rPr>
          <w:rFonts w:ascii="Arial" w:hAnsi="Arial" w:eastAsia="Arial" w:cs="Arial"/>
          <w:sz w:val="24"/>
          <w:szCs w:val="24"/>
        </w:rPr>
        <w:t xml:space="preserve">, L.K. (2023) ‘Unsupervised title and abstract screening for systematic review: A retrospective case-study using topic modelling methodology’, </w:t>
      </w:r>
      <w:r w:rsidRPr="0027235C">
        <w:rPr>
          <w:rFonts w:ascii="Arial" w:hAnsi="Arial" w:eastAsia="Arial" w:cs="Arial"/>
          <w:i/>
          <w:iCs/>
          <w:sz w:val="24"/>
          <w:szCs w:val="24"/>
        </w:rPr>
        <w:t>Systematic Reviews</w:t>
      </w:r>
      <w:r w:rsidRPr="0027235C">
        <w:rPr>
          <w:rFonts w:ascii="Arial" w:hAnsi="Arial" w:eastAsia="Arial" w:cs="Arial"/>
          <w:sz w:val="24"/>
          <w:szCs w:val="24"/>
        </w:rPr>
        <w:t xml:space="preserve">, 12, 1. Available at: </w:t>
      </w:r>
      <w:hyperlink w:history="1" r:id="rId65">
        <w:r w:rsidRPr="0027235C">
          <w:rPr>
            <w:rStyle w:val="Hyperlink"/>
            <w:rFonts w:ascii="Arial" w:hAnsi="Arial" w:eastAsia="Arial" w:cs="Arial"/>
            <w:sz w:val="24"/>
            <w:szCs w:val="24"/>
          </w:rPr>
          <w:t>https://doi.org/10.1186/s13643-022-02163-4</w:t>
        </w:r>
      </w:hyperlink>
      <w:r w:rsidRPr="0027235C">
        <w:rPr>
          <w:rFonts w:ascii="Arial" w:hAnsi="Arial" w:eastAsia="Arial" w:cs="Arial"/>
          <w:sz w:val="24"/>
          <w:szCs w:val="24"/>
        </w:rPr>
        <w:t>.</w:t>
      </w:r>
    </w:p>
    <w:p w:rsidRPr="0027235C" w:rsidR="00976C63" w:rsidP="00B40E50" w:rsidRDefault="00976C63" w14:paraId="07DCD06E"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Ndlela, Z.P., Tebele, C. and Siwela, S. (2026) ‘Employee perceptions of their company’s employee retention strategy: A case study of a manufacturing company’, </w:t>
      </w:r>
      <w:r w:rsidRPr="0027235C">
        <w:rPr>
          <w:rFonts w:ascii="Arial" w:hAnsi="Arial" w:eastAsia="Arial" w:cs="Arial"/>
          <w:i/>
          <w:iCs/>
          <w:sz w:val="24"/>
          <w:szCs w:val="24"/>
        </w:rPr>
        <w:t>Administrative Sciences</w:t>
      </w:r>
      <w:r w:rsidRPr="0027235C">
        <w:rPr>
          <w:rFonts w:ascii="Arial" w:hAnsi="Arial" w:eastAsia="Arial" w:cs="Arial"/>
          <w:sz w:val="24"/>
          <w:szCs w:val="24"/>
        </w:rPr>
        <w:t xml:space="preserve">, 16(6), 271. Available at: </w:t>
      </w:r>
      <w:hyperlink w:history="1" r:id="rId66">
        <w:r w:rsidRPr="0027235C">
          <w:rPr>
            <w:rStyle w:val="Hyperlink"/>
            <w:rFonts w:ascii="Arial" w:hAnsi="Arial" w:eastAsia="Arial" w:cs="Arial"/>
            <w:sz w:val="24"/>
            <w:szCs w:val="24"/>
          </w:rPr>
          <w:t>https://doi.org/10.3390/admsci16060271</w:t>
        </w:r>
      </w:hyperlink>
      <w:r w:rsidRPr="0027235C">
        <w:rPr>
          <w:rFonts w:ascii="Arial" w:hAnsi="Arial" w:eastAsia="Arial" w:cs="Arial"/>
          <w:sz w:val="24"/>
          <w:szCs w:val="24"/>
        </w:rPr>
        <w:t>.</w:t>
      </w:r>
    </w:p>
    <w:p w:rsidRPr="0027235C" w:rsidR="00976C63" w:rsidP="00B40E50" w:rsidRDefault="00976C63" w14:paraId="3D34CA27"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Nielsen, K., Ng, K., Vignoli, M., Lorente, L. and Peiró, J.M. (2023) ‘A mixed methods study of the training transfer and outcomes of safety training for low-skilled workers in construction’, </w:t>
      </w:r>
      <w:r w:rsidRPr="0027235C">
        <w:rPr>
          <w:rFonts w:ascii="Arial" w:hAnsi="Arial" w:eastAsia="Arial" w:cs="Arial"/>
          <w:i/>
          <w:iCs/>
          <w:sz w:val="24"/>
          <w:szCs w:val="24"/>
        </w:rPr>
        <w:t>Work &amp; Stress</w:t>
      </w:r>
      <w:r w:rsidRPr="0027235C">
        <w:rPr>
          <w:rFonts w:ascii="Arial" w:hAnsi="Arial" w:eastAsia="Arial" w:cs="Arial"/>
          <w:sz w:val="24"/>
          <w:szCs w:val="24"/>
        </w:rPr>
        <w:t xml:space="preserve">, 37(2), pp. 127–147. Available at: </w:t>
      </w:r>
      <w:hyperlink w:history="1" r:id="rId67">
        <w:r w:rsidRPr="0027235C">
          <w:rPr>
            <w:rStyle w:val="Hyperlink"/>
            <w:rFonts w:ascii="Arial" w:hAnsi="Arial" w:eastAsia="Arial" w:cs="Arial"/>
            <w:sz w:val="24"/>
            <w:szCs w:val="24"/>
          </w:rPr>
          <w:t>https://doi.org/10.1080/02678373.2022.2086646</w:t>
        </w:r>
      </w:hyperlink>
      <w:r w:rsidRPr="0027235C">
        <w:rPr>
          <w:rFonts w:ascii="Arial" w:hAnsi="Arial" w:eastAsia="Arial" w:cs="Arial"/>
          <w:sz w:val="24"/>
          <w:szCs w:val="24"/>
        </w:rPr>
        <w:t>.</w:t>
      </w:r>
    </w:p>
    <w:p w:rsidRPr="0027235C" w:rsidR="00976C63" w:rsidP="00B40E50" w:rsidRDefault="00976C63" w14:paraId="2D3C0ADE"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O’Neill, A. (2025) ‘Transfer of workplace e-learning: A systematic literature review’, </w:t>
      </w:r>
      <w:r w:rsidRPr="0027235C">
        <w:rPr>
          <w:rFonts w:ascii="Arial" w:hAnsi="Arial" w:eastAsia="Arial" w:cs="Arial"/>
          <w:i/>
          <w:iCs/>
          <w:sz w:val="24"/>
          <w:szCs w:val="24"/>
        </w:rPr>
        <w:t>Social Sciences &amp; Humanities Open</w:t>
      </w:r>
      <w:r w:rsidRPr="0027235C">
        <w:rPr>
          <w:rFonts w:ascii="Arial" w:hAnsi="Arial" w:eastAsia="Arial" w:cs="Arial"/>
          <w:sz w:val="24"/>
          <w:szCs w:val="24"/>
        </w:rPr>
        <w:t xml:space="preserve">, 11, 101407. Available at: </w:t>
      </w:r>
      <w:hyperlink w:history="1" r:id="rId68">
        <w:r w:rsidRPr="0027235C">
          <w:rPr>
            <w:rStyle w:val="Hyperlink"/>
            <w:rFonts w:ascii="Arial" w:hAnsi="Arial" w:eastAsia="Arial" w:cs="Arial"/>
            <w:sz w:val="24"/>
            <w:szCs w:val="24"/>
          </w:rPr>
          <w:t>https://doi.org/10.1016/j.ssaho.2025.101407</w:t>
        </w:r>
      </w:hyperlink>
      <w:r w:rsidRPr="0027235C">
        <w:rPr>
          <w:rFonts w:ascii="Arial" w:hAnsi="Arial" w:eastAsia="Arial" w:cs="Arial"/>
          <w:sz w:val="24"/>
          <w:szCs w:val="24"/>
        </w:rPr>
        <w:t>.</w:t>
      </w:r>
    </w:p>
    <w:p w:rsidRPr="0027235C" w:rsidR="00976C63" w:rsidP="00B40E50" w:rsidRDefault="00976C63" w14:paraId="7379B22C"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Obeng, A.F., Zhu, Y., Quansah, P.E., </w:t>
      </w:r>
      <w:proofErr w:type="spellStart"/>
      <w:r w:rsidRPr="0027235C">
        <w:rPr>
          <w:rFonts w:ascii="Arial" w:hAnsi="Arial" w:eastAsia="Arial" w:cs="Arial"/>
          <w:sz w:val="24"/>
          <w:szCs w:val="24"/>
        </w:rPr>
        <w:t>Ntarmah</w:t>
      </w:r>
      <w:proofErr w:type="spellEnd"/>
      <w:r w:rsidRPr="0027235C">
        <w:rPr>
          <w:rFonts w:ascii="Arial" w:hAnsi="Arial" w:eastAsia="Arial" w:cs="Arial"/>
          <w:sz w:val="24"/>
          <w:szCs w:val="24"/>
        </w:rPr>
        <w:t xml:space="preserve">, A.H. and </w:t>
      </w:r>
      <w:proofErr w:type="spellStart"/>
      <w:r w:rsidRPr="0027235C">
        <w:rPr>
          <w:rFonts w:ascii="Arial" w:hAnsi="Arial" w:eastAsia="Arial" w:cs="Arial"/>
          <w:sz w:val="24"/>
          <w:szCs w:val="24"/>
        </w:rPr>
        <w:t>Cobbinah</w:t>
      </w:r>
      <w:proofErr w:type="spellEnd"/>
      <w:r w:rsidRPr="0027235C">
        <w:rPr>
          <w:rFonts w:ascii="Arial" w:hAnsi="Arial" w:eastAsia="Arial" w:cs="Arial"/>
          <w:sz w:val="24"/>
          <w:szCs w:val="24"/>
        </w:rPr>
        <w:t xml:space="preserve">, E. (2021) ‘High-performance work practices and turnover intention: Investigating the mediating role of employee morale and the moderating role of psychological capital’, </w:t>
      </w:r>
      <w:r w:rsidRPr="0027235C">
        <w:rPr>
          <w:rFonts w:ascii="Arial" w:hAnsi="Arial" w:eastAsia="Arial" w:cs="Arial"/>
          <w:i/>
          <w:iCs/>
          <w:sz w:val="24"/>
          <w:szCs w:val="24"/>
        </w:rPr>
        <w:t>SAGE Open</w:t>
      </w:r>
      <w:r w:rsidRPr="0027235C">
        <w:rPr>
          <w:rFonts w:ascii="Arial" w:hAnsi="Arial" w:eastAsia="Arial" w:cs="Arial"/>
          <w:sz w:val="24"/>
          <w:szCs w:val="24"/>
        </w:rPr>
        <w:t xml:space="preserve">, 11(1), 2158244020988557. Available at: </w:t>
      </w:r>
      <w:hyperlink w:history="1" r:id="rId69">
        <w:r w:rsidRPr="0027235C">
          <w:rPr>
            <w:rStyle w:val="Hyperlink"/>
            <w:rFonts w:ascii="Arial" w:hAnsi="Arial" w:eastAsia="Arial" w:cs="Arial"/>
            <w:sz w:val="24"/>
            <w:szCs w:val="24"/>
          </w:rPr>
          <w:t>https://doi.org/10.1177/2158244020988557</w:t>
        </w:r>
      </w:hyperlink>
      <w:r w:rsidRPr="0027235C">
        <w:rPr>
          <w:rFonts w:ascii="Arial" w:hAnsi="Arial" w:eastAsia="Arial" w:cs="Arial"/>
          <w:sz w:val="24"/>
          <w:szCs w:val="24"/>
        </w:rPr>
        <w:t>.</w:t>
      </w:r>
    </w:p>
    <w:p w:rsidRPr="0027235C" w:rsidR="00976C63" w:rsidP="00B40E50" w:rsidRDefault="00976C63" w14:paraId="1EB545C9"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lastRenderedPageBreak/>
        <w:t xml:space="preserve">Oh, S., Choi, D., Ok, C. and Park, O. (2025) ‘Does investment in training help firms retain talent? Testing the commitment and human capital perspectives’, </w:t>
      </w:r>
      <w:r w:rsidRPr="0027235C">
        <w:rPr>
          <w:rFonts w:ascii="Arial" w:hAnsi="Arial" w:eastAsia="Arial" w:cs="Arial"/>
          <w:i/>
          <w:iCs/>
          <w:sz w:val="24"/>
          <w:szCs w:val="24"/>
        </w:rPr>
        <w:t>International Journal of Manpower</w:t>
      </w:r>
      <w:r w:rsidRPr="0027235C">
        <w:rPr>
          <w:rFonts w:ascii="Arial" w:hAnsi="Arial" w:eastAsia="Arial" w:cs="Arial"/>
          <w:sz w:val="24"/>
          <w:szCs w:val="24"/>
        </w:rPr>
        <w:t xml:space="preserve">, 46(7), pp. 1373–1387. Available at: </w:t>
      </w:r>
      <w:hyperlink w:history="1" r:id="rId70">
        <w:r w:rsidRPr="0027235C">
          <w:rPr>
            <w:rStyle w:val="Hyperlink"/>
            <w:rFonts w:ascii="Arial" w:hAnsi="Arial" w:eastAsia="Arial" w:cs="Arial"/>
            <w:sz w:val="24"/>
            <w:szCs w:val="24"/>
          </w:rPr>
          <w:t>https://doi.org/10.1108/IJM-09-2024-0614</w:t>
        </w:r>
      </w:hyperlink>
      <w:r w:rsidRPr="0027235C">
        <w:rPr>
          <w:rFonts w:ascii="Arial" w:hAnsi="Arial" w:eastAsia="Arial" w:cs="Arial"/>
          <w:sz w:val="24"/>
          <w:szCs w:val="24"/>
        </w:rPr>
        <w:t>.</w:t>
      </w:r>
    </w:p>
    <w:p w:rsidRPr="0027235C" w:rsidR="00976C63" w:rsidP="00B40E50" w:rsidRDefault="00976C63" w14:paraId="2B42F6FA"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Opatha</w:t>
      </w:r>
      <w:proofErr w:type="spellEnd"/>
      <w:r w:rsidRPr="0027235C">
        <w:rPr>
          <w:rFonts w:ascii="Arial" w:hAnsi="Arial" w:eastAsia="Arial" w:cs="Arial"/>
          <w:sz w:val="24"/>
          <w:szCs w:val="24"/>
        </w:rPr>
        <w:t xml:space="preserve">, I.M. and Takahashi, Y. (2024) ‘Does social and organizational support moderate emotional intelligence training effectiveness?’, </w:t>
      </w:r>
      <w:proofErr w:type="spellStart"/>
      <w:r w:rsidRPr="0027235C">
        <w:rPr>
          <w:rFonts w:ascii="Arial" w:hAnsi="Arial" w:eastAsia="Arial" w:cs="Arial"/>
          <w:i/>
          <w:iCs/>
          <w:sz w:val="24"/>
          <w:szCs w:val="24"/>
        </w:rPr>
        <w:t>Behavioral</w:t>
      </w:r>
      <w:proofErr w:type="spellEnd"/>
      <w:r w:rsidRPr="0027235C">
        <w:rPr>
          <w:rFonts w:ascii="Arial" w:hAnsi="Arial" w:eastAsia="Arial" w:cs="Arial"/>
          <w:i/>
          <w:iCs/>
          <w:sz w:val="24"/>
          <w:szCs w:val="24"/>
        </w:rPr>
        <w:t xml:space="preserve"> Sciences</w:t>
      </w:r>
      <w:r w:rsidRPr="0027235C">
        <w:rPr>
          <w:rFonts w:ascii="Arial" w:hAnsi="Arial" w:eastAsia="Arial" w:cs="Arial"/>
          <w:sz w:val="24"/>
          <w:szCs w:val="24"/>
        </w:rPr>
        <w:t xml:space="preserve">, 14(4), 276. Available at: </w:t>
      </w:r>
      <w:hyperlink w:history="1" r:id="rId71">
        <w:r w:rsidRPr="0027235C">
          <w:rPr>
            <w:rStyle w:val="Hyperlink"/>
            <w:rFonts w:ascii="Arial" w:hAnsi="Arial" w:eastAsia="Arial" w:cs="Arial"/>
            <w:sz w:val="24"/>
            <w:szCs w:val="24"/>
          </w:rPr>
          <w:t>https://doi.org/10.3390/bs14040276</w:t>
        </w:r>
      </w:hyperlink>
      <w:r w:rsidRPr="0027235C">
        <w:rPr>
          <w:rFonts w:ascii="Arial" w:hAnsi="Arial" w:eastAsia="Arial" w:cs="Arial"/>
          <w:sz w:val="24"/>
          <w:szCs w:val="24"/>
        </w:rPr>
        <w:t>.</w:t>
      </w:r>
    </w:p>
    <w:p w:rsidRPr="0027235C" w:rsidR="00976C63" w:rsidP="00B40E50" w:rsidRDefault="00976C63" w14:paraId="4309AF2F"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Otoo, F.N.K. (2024) ‘The mediating role of organizational learning culture in the nexus of human resource development practices and employee competencies’, </w:t>
      </w:r>
      <w:r w:rsidRPr="0027235C">
        <w:rPr>
          <w:rFonts w:ascii="Arial" w:hAnsi="Arial" w:eastAsia="Arial" w:cs="Arial"/>
          <w:i/>
          <w:iCs/>
          <w:sz w:val="24"/>
          <w:szCs w:val="24"/>
        </w:rPr>
        <w:t>African Journal of Economic and Management Studies</w:t>
      </w:r>
      <w:r w:rsidRPr="0027235C">
        <w:rPr>
          <w:rFonts w:ascii="Arial" w:hAnsi="Arial" w:eastAsia="Arial" w:cs="Arial"/>
          <w:sz w:val="24"/>
          <w:szCs w:val="24"/>
        </w:rPr>
        <w:t xml:space="preserve">, 15(4), pp. 720–763. Available at: </w:t>
      </w:r>
      <w:hyperlink w:history="1" r:id="rId72">
        <w:r w:rsidRPr="0027235C">
          <w:rPr>
            <w:rStyle w:val="Hyperlink"/>
            <w:rFonts w:ascii="Arial" w:hAnsi="Arial" w:eastAsia="Arial" w:cs="Arial"/>
            <w:sz w:val="24"/>
            <w:szCs w:val="24"/>
          </w:rPr>
          <w:t>https://doi.org/10.1108/AJEMS-10-2023-0387</w:t>
        </w:r>
      </w:hyperlink>
      <w:r w:rsidRPr="0027235C">
        <w:rPr>
          <w:rFonts w:ascii="Arial" w:hAnsi="Arial" w:eastAsia="Arial" w:cs="Arial"/>
          <w:sz w:val="24"/>
          <w:szCs w:val="24"/>
        </w:rPr>
        <w:t>.</w:t>
      </w:r>
    </w:p>
    <w:p w:rsidRPr="0027235C" w:rsidR="00976C63" w:rsidP="00B40E50" w:rsidRDefault="00976C63" w14:paraId="65927A29"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Page, M.J., McKenzie, J.E., Bossuyt, P.M., </w:t>
      </w:r>
      <w:proofErr w:type="spellStart"/>
      <w:r w:rsidRPr="0027235C">
        <w:rPr>
          <w:rFonts w:ascii="Arial" w:hAnsi="Arial" w:eastAsia="Arial" w:cs="Arial"/>
          <w:sz w:val="24"/>
          <w:szCs w:val="24"/>
        </w:rPr>
        <w:t>Boutron</w:t>
      </w:r>
      <w:proofErr w:type="spellEnd"/>
      <w:r w:rsidRPr="0027235C">
        <w:rPr>
          <w:rFonts w:ascii="Arial" w:hAnsi="Arial" w:eastAsia="Arial" w:cs="Arial"/>
          <w:sz w:val="24"/>
          <w:szCs w:val="24"/>
        </w:rPr>
        <w:t xml:space="preserve">, I., Hoffmann, T.C., Mulrow, C.D. et al. (2021) ‘The PRISMA 2020 statement: An updated guideline for reporting systematic reviews’, </w:t>
      </w:r>
      <w:r w:rsidRPr="0027235C">
        <w:rPr>
          <w:rFonts w:ascii="Arial" w:hAnsi="Arial" w:eastAsia="Arial" w:cs="Arial"/>
          <w:i/>
          <w:iCs/>
          <w:sz w:val="24"/>
          <w:szCs w:val="24"/>
        </w:rPr>
        <w:t>BMJ</w:t>
      </w:r>
      <w:r w:rsidRPr="0027235C">
        <w:rPr>
          <w:rFonts w:ascii="Arial" w:hAnsi="Arial" w:eastAsia="Arial" w:cs="Arial"/>
          <w:sz w:val="24"/>
          <w:szCs w:val="24"/>
        </w:rPr>
        <w:t xml:space="preserve">, 372, n71. Available at: </w:t>
      </w:r>
      <w:hyperlink w:history="1" r:id="rId73">
        <w:r w:rsidRPr="0027235C">
          <w:rPr>
            <w:rStyle w:val="Hyperlink"/>
            <w:rFonts w:ascii="Arial" w:hAnsi="Arial" w:eastAsia="Arial" w:cs="Arial"/>
            <w:sz w:val="24"/>
            <w:szCs w:val="24"/>
          </w:rPr>
          <w:t>https://doi.org/10.1136/bmj.n71</w:t>
        </w:r>
      </w:hyperlink>
      <w:r w:rsidRPr="0027235C">
        <w:rPr>
          <w:rFonts w:ascii="Arial" w:hAnsi="Arial" w:eastAsia="Arial" w:cs="Arial"/>
          <w:sz w:val="24"/>
          <w:szCs w:val="24"/>
        </w:rPr>
        <w:t>.</w:t>
      </w:r>
    </w:p>
    <w:p w:rsidRPr="0027235C" w:rsidR="00976C63" w:rsidP="00B40E50" w:rsidRDefault="00976C63" w14:paraId="3F6559CD"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Phillips, V. and Barker, E. (2021) ‘Systematic reviews: Structure, form and content’, </w:t>
      </w:r>
      <w:r w:rsidRPr="0027235C">
        <w:rPr>
          <w:rFonts w:ascii="Arial" w:hAnsi="Arial" w:eastAsia="Arial" w:cs="Arial"/>
          <w:i/>
          <w:iCs/>
          <w:sz w:val="24"/>
          <w:szCs w:val="24"/>
        </w:rPr>
        <w:t>Journal of Perioperative Practice</w:t>
      </w:r>
      <w:r w:rsidRPr="0027235C">
        <w:rPr>
          <w:rFonts w:ascii="Arial" w:hAnsi="Arial" w:eastAsia="Arial" w:cs="Arial"/>
          <w:sz w:val="24"/>
          <w:szCs w:val="24"/>
        </w:rPr>
        <w:t xml:space="preserve">, 31(9), pp. 349–353. Available at: </w:t>
      </w:r>
      <w:hyperlink w:history="1" r:id="rId74">
        <w:r w:rsidRPr="0027235C">
          <w:rPr>
            <w:rStyle w:val="Hyperlink"/>
            <w:rFonts w:ascii="Arial" w:hAnsi="Arial" w:eastAsia="Arial" w:cs="Arial"/>
            <w:sz w:val="24"/>
            <w:szCs w:val="24"/>
          </w:rPr>
          <w:t>https://doi.org/10.1177/1750458921994693</w:t>
        </w:r>
      </w:hyperlink>
      <w:r w:rsidRPr="0027235C">
        <w:rPr>
          <w:rFonts w:ascii="Arial" w:hAnsi="Arial" w:eastAsia="Arial" w:cs="Arial"/>
          <w:sz w:val="24"/>
          <w:szCs w:val="24"/>
        </w:rPr>
        <w:t>.</w:t>
      </w:r>
    </w:p>
    <w:p w:rsidRPr="0027235C" w:rsidR="00976C63" w:rsidP="00B40E50" w:rsidRDefault="00976C63" w14:paraId="2E32DE52"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Pranckutė</w:t>
      </w:r>
      <w:proofErr w:type="spellEnd"/>
      <w:r w:rsidRPr="0027235C">
        <w:rPr>
          <w:rFonts w:ascii="Arial" w:hAnsi="Arial" w:eastAsia="Arial" w:cs="Arial"/>
          <w:sz w:val="24"/>
          <w:szCs w:val="24"/>
        </w:rPr>
        <w:t>, R. (2021) ‘Web of Science (</w:t>
      </w:r>
      <w:proofErr w:type="spellStart"/>
      <w:r w:rsidRPr="0027235C">
        <w:rPr>
          <w:rFonts w:ascii="Arial" w:hAnsi="Arial" w:eastAsia="Arial" w:cs="Arial"/>
          <w:sz w:val="24"/>
          <w:szCs w:val="24"/>
        </w:rPr>
        <w:t>WoS</w:t>
      </w:r>
      <w:proofErr w:type="spellEnd"/>
      <w:r w:rsidRPr="0027235C">
        <w:rPr>
          <w:rFonts w:ascii="Arial" w:hAnsi="Arial" w:eastAsia="Arial" w:cs="Arial"/>
          <w:sz w:val="24"/>
          <w:szCs w:val="24"/>
        </w:rPr>
        <w:t xml:space="preserve">) and Scopus: The titans of bibliographic information in today’s academic world’, </w:t>
      </w:r>
      <w:r w:rsidRPr="0027235C">
        <w:rPr>
          <w:rFonts w:ascii="Arial" w:hAnsi="Arial" w:eastAsia="Arial" w:cs="Arial"/>
          <w:i/>
          <w:iCs/>
          <w:sz w:val="24"/>
          <w:szCs w:val="24"/>
        </w:rPr>
        <w:t>Publications</w:t>
      </w:r>
      <w:r w:rsidRPr="0027235C">
        <w:rPr>
          <w:rFonts w:ascii="Arial" w:hAnsi="Arial" w:eastAsia="Arial" w:cs="Arial"/>
          <w:sz w:val="24"/>
          <w:szCs w:val="24"/>
        </w:rPr>
        <w:t xml:space="preserve">, 9(1), 12. Available at: </w:t>
      </w:r>
      <w:hyperlink w:history="1" r:id="rId75">
        <w:r w:rsidRPr="0027235C">
          <w:rPr>
            <w:rStyle w:val="Hyperlink"/>
            <w:rFonts w:ascii="Arial" w:hAnsi="Arial" w:eastAsia="Arial" w:cs="Arial"/>
            <w:sz w:val="24"/>
            <w:szCs w:val="24"/>
          </w:rPr>
          <w:t>https://doi.org/10.3390/publications9010012</w:t>
        </w:r>
      </w:hyperlink>
      <w:r w:rsidRPr="0027235C">
        <w:rPr>
          <w:rFonts w:ascii="Arial" w:hAnsi="Arial" w:eastAsia="Arial" w:cs="Arial"/>
          <w:sz w:val="24"/>
          <w:szCs w:val="24"/>
        </w:rPr>
        <w:t>.</w:t>
      </w:r>
    </w:p>
    <w:p w:rsidRPr="0027235C" w:rsidR="00976C63" w:rsidP="00B40E50" w:rsidRDefault="00976C63" w14:paraId="7087C940"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Reinhold, S., </w:t>
      </w:r>
      <w:proofErr w:type="spellStart"/>
      <w:r w:rsidRPr="0027235C">
        <w:rPr>
          <w:rFonts w:ascii="Arial" w:hAnsi="Arial" w:eastAsia="Arial" w:cs="Arial"/>
          <w:sz w:val="24"/>
          <w:szCs w:val="24"/>
        </w:rPr>
        <w:t>Gegenfurtner</w:t>
      </w:r>
      <w:proofErr w:type="spellEnd"/>
      <w:r w:rsidRPr="0027235C">
        <w:rPr>
          <w:rFonts w:ascii="Arial" w:hAnsi="Arial" w:eastAsia="Arial" w:cs="Arial"/>
          <w:sz w:val="24"/>
          <w:szCs w:val="24"/>
        </w:rPr>
        <w:t xml:space="preserve">, A. and </w:t>
      </w:r>
      <w:proofErr w:type="spellStart"/>
      <w:r w:rsidRPr="0027235C">
        <w:rPr>
          <w:rFonts w:ascii="Arial" w:hAnsi="Arial" w:eastAsia="Arial" w:cs="Arial"/>
          <w:sz w:val="24"/>
          <w:szCs w:val="24"/>
        </w:rPr>
        <w:t>Lewalter</w:t>
      </w:r>
      <w:proofErr w:type="spellEnd"/>
      <w:r w:rsidRPr="0027235C">
        <w:rPr>
          <w:rFonts w:ascii="Arial" w:hAnsi="Arial" w:eastAsia="Arial" w:cs="Arial"/>
          <w:sz w:val="24"/>
          <w:szCs w:val="24"/>
        </w:rPr>
        <w:t xml:space="preserve">, D. (2018) ‘Social support and motivation to transfer as predictors of training transfer: Testing full and partial mediation using meta-analytic structural equation modelling’, </w:t>
      </w:r>
      <w:r w:rsidRPr="0027235C">
        <w:rPr>
          <w:rFonts w:ascii="Arial" w:hAnsi="Arial" w:eastAsia="Arial" w:cs="Arial"/>
          <w:i/>
          <w:iCs/>
          <w:sz w:val="24"/>
          <w:szCs w:val="24"/>
        </w:rPr>
        <w:t>International Journal of Training and Development</w:t>
      </w:r>
      <w:r w:rsidRPr="0027235C">
        <w:rPr>
          <w:rFonts w:ascii="Arial" w:hAnsi="Arial" w:eastAsia="Arial" w:cs="Arial"/>
          <w:sz w:val="24"/>
          <w:szCs w:val="24"/>
        </w:rPr>
        <w:t xml:space="preserve">, 22(1), pp. 1–14. Available at: </w:t>
      </w:r>
      <w:hyperlink w:history="1" r:id="rId76">
        <w:r w:rsidRPr="0027235C">
          <w:rPr>
            <w:rStyle w:val="Hyperlink"/>
            <w:rFonts w:ascii="Arial" w:hAnsi="Arial" w:eastAsia="Arial" w:cs="Arial"/>
            <w:sz w:val="24"/>
            <w:szCs w:val="24"/>
          </w:rPr>
          <w:t>https://doi.org/10.1111/ijtd.12115</w:t>
        </w:r>
      </w:hyperlink>
      <w:r w:rsidRPr="0027235C">
        <w:rPr>
          <w:rFonts w:ascii="Arial" w:hAnsi="Arial" w:eastAsia="Arial" w:cs="Arial"/>
          <w:sz w:val="24"/>
          <w:szCs w:val="24"/>
        </w:rPr>
        <w:t>.</w:t>
      </w:r>
    </w:p>
    <w:p w:rsidRPr="0027235C" w:rsidR="00976C63" w:rsidP="00B40E50" w:rsidRDefault="00976C63" w14:paraId="244097CF"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Saad, M.M., Gaber, H.R. and Labib, A.A. (2021) ‘Investigating the impact of human resource management practices on employee engagement, and the moderating role of strategy implementation in Egypt’, </w:t>
      </w:r>
      <w:r w:rsidRPr="0027235C">
        <w:rPr>
          <w:rFonts w:ascii="Arial" w:hAnsi="Arial" w:eastAsia="Arial" w:cs="Arial"/>
          <w:i/>
          <w:iCs/>
          <w:sz w:val="24"/>
          <w:szCs w:val="24"/>
        </w:rPr>
        <w:t>SA Journal of Human Resource Management</w:t>
      </w:r>
      <w:r w:rsidRPr="0027235C">
        <w:rPr>
          <w:rFonts w:ascii="Arial" w:hAnsi="Arial" w:eastAsia="Arial" w:cs="Arial"/>
          <w:sz w:val="24"/>
          <w:szCs w:val="24"/>
        </w:rPr>
        <w:t xml:space="preserve">, 19, a1412. Available at: </w:t>
      </w:r>
      <w:hyperlink w:history="1" r:id="rId77">
        <w:r w:rsidRPr="0027235C">
          <w:rPr>
            <w:rStyle w:val="Hyperlink"/>
            <w:rFonts w:ascii="Arial" w:hAnsi="Arial" w:eastAsia="Arial" w:cs="Arial"/>
            <w:sz w:val="24"/>
            <w:szCs w:val="24"/>
          </w:rPr>
          <w:t>https://doi.org/10.4102/sajhrm.v19i0.1412</w:t>
        </w:r>
      </w:hyperlink>
      <w:r w:rsidRPr="0027235C">
        <w:rPr>
          <w:rFonts w:ascii="Arial" w:hAnsi="Arial" w:eastAsia="Arial" w:cs="Arial"/>
          <w:sz w:val="24"/>
          <w:szCs w:val="24"/>
        </w:rPr>
        <w:t>.</w:t>
      </w:r>
    </w:p>
    <w:p w:rsidRPr="0027235C" w:rsidR="00976C63" w:rsidP="00B40E50" w:rsidRDefault="00976C63" w14:paraId="5D0CA7E7"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lastRenderedPageBreak/>
        <w:t xml:space="preserve">Salunkhe, H.A., Jain, D., Hinge, P. and </w:t>
      </w:r>
      <w:proofErr w:type="spellStart"/>
      <w:r w:rsidRPr="0027235C">
        <w:rPr>
          <w:rFonts w:ascii="Arial" w:hAnsi="Arial" w:eastAsia="Arial" w:cs="Arial"/>
          <w:sz w:val="24"/>
          <w:szCs w:val="24"/>
        </w:rPr>
        <w:t>Boralkar</w:t>
      </w:r>
      <w:proofErr w:type="spellEnd"/>
      <w:r w:rsidRPr="0027235C">
        <w:rPr>
          <w:rFonts w:ascii="Arial" w:hAnsi="Arial" w:eastAsia="Arial" w:cs="Arial"/>
          <w:sz w:val="24"/>
          <w:szCs w:val="24"/>
        </w:rPr>
        <w:t xml:space="preserve">, M. (2024) ‘Impact of human resource practice on work engagement and turnover intention in information technology companies’, </w:t>
      </w:r>
      <w:r w:rsidRPr="0027235C">
        <w:rPr>
          <w:rFonts w:ascii="Arial" w:hAnsi="Arial" w:eastAsia="Arial" w:cs="Arial"/>
          <w:i/>
          <w:iCs/>
          <w:sz w:val="24"/>
          <w:szCs w:val="24"/>
        </w:rPr>
        <w:t>SA Journal of Human Resource Management</w:t>
      </w:r>
      <w:r w:rsidRPr="0027235C">
        <w:rPr>
          <w:rFonts w:ascii="Arial" w:hAnsi="Arial" w:eastAsia="Arial" w:cs="Arial"/>
          <w:sz w:val="24"/>
          <w:szCs w:val="24"/>
        </w:rPr>
        <w:t xml:space="preserve">, 22, a2723. Available at: </w:t>
      </w:r>
      <w:hyperlink w:history="1" r:id="rId78">
        <w:r w:rsidRPr="0027235C">
          <w:rPr>
            <w:rStyle w:val="Hyperlink"/>
            <w:rFonts w:ascii="Arial" w:hAnsi="Arial" w:eastAsia="Arial" w:cs="Arial"/>
            <w:sz w:val="24"/>
            <w:szCs w:val="24"/>
          </w:rPr>
          <w:t>https://doi.org/10.4102/sajhrm.v22i0.2723</w:t>
        </w:r>
      </w:hyperlink>
      <w:r w:rsidRPr="0027235C">
        <w:rPr>
          <w:rFonts w:ascii="Arial" w:hAnsi="Arial" w:eastAsia="Arial" w:cs="Arial"/>
          <w:sz w:val="24"/>
          <w:szCs w:val="24"/>
        </w:rPr>
        <w:t>.</w:t>
      </w:r>
    </w:p>
    <w:p w:rsidRPr="0027235C" w:rsidR="00976C63" w:rsidP="00B40E50" w:rsidRDefault="00976C63" w14:paraId="4992429A"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Sartori, R., Costantini, A., Ceschi, A. and Tommasi, F. (2018) ‘How do you manage change in organizations? Training, development, innovation, and their relationships’, </w:t>
      </w:r>
      <w:r w:rsidRPr="0027235C">
        <w:rPr>
          <w:rFonts w:ascii="Arial" w:hAnsi="Arial" w:eastAsia="Arial" w:cs="Arial"/>
          <w:i/>
          <w:iCs/>
          <w:sz w:val="24"/>
          <w:szCs w:val="24"/>
        </w:rPr>
        <w:t>Frontiers in Psychology</w:t>
      </w:r>
      <w:r w:rsidRPr="0027235C">
        <w:rPr>
          <w:rFonts w:ascii="Arial" w:hAnsi="Arial" w:eastAsia="Arial" w:cs="Arial"/>
          <w:sz w:val="24"/>
          <w:szCs w:val="24"/>
        </w:rPr>
        <w:t xml:space="preserve">, 9, 313. Available at: </w:t>
      </w:r>
      <w:hyperlink w:history="1" r:id="rId79">
        <w:r w:rsidRPr="0027235C">
          <w:rPr>
            <w:rStyle w:val="Hyperlink"/>
            <w:rFonts w:ascii="Arial" w:hAnsi="Arial" w:eastAsia="Arial" w:cs="Arial"/>
            <w:sz w:val="24"/>
            <w:szCs w:val="24"/>
          </w:rPr>
          <w:t>https://doi.org/10.3389/fpsyg.2018.00313</w:t>
        </w:r>
      </w:hyperlink>
      <w:r w:rsidRPr="0027235C">
        <w:rPr>
          <w:rFonts w:ascii="Arial" w:hAnsi="Arial" w:eastAsia="Arial" w:cs="Arial"/>
          <w:sz w:val="24"/>
          <w:szCs w:val="24"/>
        </w:rPr>
        <w:t>.</w:t>
      </w:r>
    </w:p>
    <w:p w:rsidRPr="0027235C" w:rsidR="00976C63" w:rsidP="00B40E50" w:rsidRDefault="00976C63" w14:paraId="0B11E730"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Sauer, P.C. and </w:t>
      </w:r>
      <w:proofErr w:type="spellStart"/>
      <w:r w:rsidRPr="0027235C">
        <w:rPr>
          <w:rFonts w:ascii="Arial" w:hAnsi="Arial" w:eastAsia="Arial" w:cs="Arial"/>
          <w:sz w:val="24"/>
          <w:szCs w:val="24"/>
        </w:rPr>
        <w:t>Seuring</w:t>
      </w:r>
      <w:proofErr w:type="spellEnd"/>
      <w:r w:rsidRPr="0027235C">
        <w:rPr>
          <w:rFonts w:ascii="Arial" w:hAnsi="Arial" w:eastAsia="Arial" w:cs="Arial"/>
          <w:sz w:val="24"/>
          <w:szCs w:val="24"/>
        </w:rPr>
        <w:t xml:space="preserve">, S. (2023) ‘How to conduct systematic literature reviews in management research: A guide in 6 steps and 14 decisions’, </w:t>
      </w:r>
      <w:r w:rsidRPr="0027235C">
        <w:rPr>
          <w:rFonts w:ascii="Arial" w:hAnsi="Arial" w:eastAsia="Arial" w:cs="Arial"/>
          <w:i/>
          <w:iCs/>
          <w:sz w:val="24"/>
          <w:szCs w:val="24"/>
        </w:rPr>
        <w:t>Review of Managerial Science</w:t>
      </w:r>
      <w:r w:rsidRPr="0027235C">
        <w:rPr>
          <w:rFonts w:ascii="Arial" w:hAnsi="Arial" w:eastAsia="Arial" w:cs="Arial"/>
          <w:sz w:val="24"/>
          <w:szCs w:val="24"/>
        </w:rPr>
        <w:t xml:space="preserve">, 17, pp. 1899–1933. Available at: </w:t>
      </w:r>
      <w:hyperlink w:history="1" r:id="rId80">
        <w:r w:rsidRPr="0027235C">
          <w:rPr>
            <w:rStyle w:val="Hyperlink"/>
            <w:rFonts w:ascii="Arial" w:hAnsi="Arial" w:eastAsia="Arial" w:cs="Arial"/>
            <w:sz w:val="24"/>
            <w:szCs w:val="24"/>
          </w:rPr>
          <w:t>https://doi.org/10.1007/s11846-023-00668-3</w:t>
        </w:r>
      </w:hyperlink>
      <w:r w:rsidRPr="0027235C">
        <w:rPr>
          <w:rFonts w:ascii="Arial" w:hAnsi="Arial" w:eastAsia="Arial" w:cs="Arial"/>
          <w:sz w:val="24"/>
          <w:szCs w:val="24"/>
        </w:rPr>
        <w:t>.</w:t>
      </w:r>
    </w:p>
    <w:p w:rsidRPr="0027235C" w:rsidR="00976C63" w:rsidP="00B40E50" w:rsidRDefault="00976C63" w14:paraId="48DEDCBA"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Schettino, G., Hodačová, L., Caso, D. and Capone, V. (2024) ‘Physicians’ adoption of massive open online courses content in the workplace: An investigation on the training transfer process through the Theory of Planned </w:t>
      </w:r>
      <w:proofErr w:type="spellStart"/>
      <w:r w:rsidRPr="0027235C">
        <w:rPr>
          <w:rFonts w:ascii="Arial" w:hAnsi="Arial" w:eastAsia="Arial" w:cs="Arial"/>
          <w:sz w:val="24"/>
          <w:szCs w:val="24"/>
        </w:rPr>
        <w:t>Behavior</w:t>
      </w:r>
      <w:proofErr w:type="spellEnd"/>
      <w:r w:rsidRPr="0027235C">
        <w:rPr>
          <w:rFonts w:ascii="Arial" w:hAnsi="Arial" w:eastAsia="Arial" w:cs="Arial"/>
          <w:sz w:val="24"/>
          <w:szCs w:val="24"/>
        </w:rPr>
        <w:t xml:space="preserve">’, </w:t>
      </w:r>
      <w:r w:rsidRPr="0027235C">
        <w:rPr>
          <w:rFonts w:ascii="Arial" w:hAnsi="Arial" w:eastAsia="Arial" w:cs="Arial"/>
          <w:i/>
          <w:iCs/>
          <w:sz w:val="24"/>
          <w:szCs w:val="24"/>
        </w:rPr>
        <w:t xml:space="preserve">Computers in Human </w:t>
      </w:r>
      <w:proofErr w:type="spellStart"/>
      <w:r w:rsidRPr="0027235C">
        <w:rPr>
          <w:rFonts w:ascii="Arial" w:hAnsi="Arial" w:eastAsia="Arial" w:cs="Arial"/>
          <w:i/>
          <w:iCs/>
          <w:sz w:val="24"/>
          <w:szCs w:val="24"/>
        </w:rPr>
        <w:t>Behavior</w:t>
      </w:r>
      <w:proofErr w:type="spellEnd"/>
      <w:r w:rsidRPr="0027235C">
        <w:rPr>
          <w:rFonts w:ascii="Arial" w:hAnsi="Arial" w:eastAsia="Arial" w:cs="Arial"/>
          <w:sz w:val="24"/>
          <w:szCs w:val="24"/>
        </w:rPr>
        <w:t xml:space="preserve">, 154, 108151. Available at: </w:t>
      </w:r>
      <w:hyperlink w:history="1" r:id="rId81">
        <w:r w:rsidRPr="0027235C">
          <w:rPr>
            <w:rStyle w:val="Hyperlink"/>
            <w:rFonts w:ascii="Arial" w:hAnsi="Arial" w:eastAsia="Arial" w:cs="Arial"/>
            <w:sz w:val="24"/>
            <w:szCs w:val="24"/>
          </w:rPr>
          <w:t>https://doi.org/10.1016/j.chb.2024.108151</w:t>
        </w:r>
      </w:hyperlink>
      <w:r w:rsidRPr="0027235C">
        <w:rPr>
          <w:rFonts w:ascii="Arial" w:hAnsi="Arial" w:eastAsia="Arial" w:cs="Arial"/>
          <w:sz w:val="24"/>
          <w:szCs w:val="24"/>
        </w:rPr>
        <w:t>.</w:t>
      </w:r>
    </w:p>
    <w:p w:rsidRPr="0027235C" w:rsidR="00976C63" w:rsidP="00B40E50" w:rsidRDefault="00976C63" w14:paraId="28C69F91"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Schwarz, S., Du, J., Nduka, U. and Zhang, L. (2026) ‘The impact of staff and manager training on firm productivity: Differential and interaction effects’, </w:t>
      </w:r>
      <w:r w:rsidRPr="0027235C">
        <w:rPr>
          <w:rFonts w:ascii="Arial" w:hAnsi="Arial" w:eastAsia="Arial" w:cs="Arial"/>
          <w:i/>
          <w:iCs/>
          <w:sz w:val="24"/>
          <w:szCs w:val="24"/>
        </w:rPr>
        <w:t>British Journal of Industrial Relations</w:t>
      </w:r>
      <w:r w:rsidRPr="0027235C">
        <w:rPr>
          <w:rFonts w:ascii="Arial" w:hAnsi="Arial" w:eastAsia="Arial" w:cs="Arial"/>
          <w:sz w:val="24"/>
          <w:szCs w:val="24"/>
        </w:rPr>
        <w:t xml:space="preserve">, 64(1), pp. 148–167. Available at: </w:t>
      </w:r>
      <w:hyperlink w:history="1" r:id="rId82">
        <w:r w:rsidRPr="0027235C">
          <w:rPr>
            <w:rStyle w:val="Hyperlink"/>
            <w:rFonts w:ascii="Arial" w:hAnsi="Arial" w:eastAsia="Arial" w:cs="Arial"/>
            <w:sz w:val="24"/>
            <w:szCs w:val="24"/>
          </w:rPr>
          <w:t>https://doi.org/10.1111/bjir.70020</w:t>
        </w:r>
      </w:hyperlink>
      <w:r w:rsidRPr="0027235C">
        <w:rPr>
          <w:rFonts w:ascii="Arial" w:hAnsi="Arial" w:eastAsia="Arial" w:cs="Arial"/>
          <w:sz w:val="24"/>
          <w:szCs w:val="24"/>
        </w:rPr>
        <w:t>.</w:t>
      </w:r>
    </w:p>
    <w:p w:rsidRPr="0027235C" w:rsidR="00976C63" w:rsidP="00B40E50" w:rsidRDefault="00976C63" w14:paraId="66E448E7"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Serenko, A., Abubakar, A.M. and </w:t>
      </w:r>
      <w:proofErr w:type="spellStart"/>
      <w:r w:rsidRPr="0027235C">
        <w:rPr>
          <w:rFonts w:ascii="Arial" w:hAnsi="Arial" w:eastAsia="Arial" w:cs="Arial"/>
          <w:sz w:val="24"/>
          <w:szCs w:val="24"/>
        </w:rPr>
        <w:t>Bontis</w:t>
      </w:r>
      <w:proofErr w:type="spellEnd"/>
      <w:r w:rsidRPr="0027235C">
        <w:rPr>
          <w:rFonts w:ascii="Arial" w:hAnsi="Arial" w:eastAsia="Arial" w:cs="Arial"/>
          <w:sz w:val="24"/>
          <w:szCs w:val="24"/>
        </w:rPr>
        <w:t xml:space="preserve">, N. (2024) ‘Understanding the drivers of organizational business performance from the human capital perspective’, </w:t>
      </w:r>
      <w:r w:rsidRPr="0027235C">
        <w:rPr>
          <w:rFonts w:ascii="Arial" w:hAnsi="Arial" w:eastAsia="Arial" w:cs="Arial"/>
          <w:i/>
          <w:iCs/>
          <w:sz w:val="24"/>
          <w:szCs w:val="24"/>
        </w:rPr>
        <w:t>Knowledge and Process Management</w:t>
      </w:r>
      <w:r w:rsidRPr="0027235C">
        <w:rPr>
          <w:rFonts w:ascii="Arial" w:hAnsi="Arial" w:eastAsia="Arial" w:cs="Arial"/>
          <w:sz w:val="24"/>
          <w:szCs w:val="24"/>
        </w:rPr>
        <w:t xml:space="preserve">, 31(1), pp. 48–59. Available at: </w:t>
      </w:r>
      <w:hyperlink w:history="1" r:id="rId83">
        <w:r w:rsidRPr="0027235C">
          <w:rPr>
            <w:rStyle w:val="Hyperlink"/>
            <w:rFonts w:ascii="Arial" w:hAnsi="Arial" w:eastAsia="Arial" w:cs="Arial"/>
            <w:sz w:val="24"/>
            <w:szCs w:val="24"/>
          </w:rPr>
          <w:t>https://doi.org/10.1002/kpm.1763</w:t>
        </w:r>
      </w:hyperlink>
      <w:r w:rsidRPr="0027235C">
        <w:rPr>
          <w:rFonts w:ascii="Arial" w:hAnsi="Arial" w:eastAsia="Arial" w:cs="Arial"/>
          <w:sz w:val="24"/>
          <w:szCs w:val="24"/>
        </w:rPr>
        <w:t>.</w:t>
      </w:r>
    </w:p>
    <w:p w:rsidRPr="0027235C" w:rsidR="00976C63" w:rsidP="00B40E50" w:rsidRDefault="00976C63" w14:paraId="5ECDADD8"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Shatila, K. (2026) ‘From digital reskilling to job performance: The mediating roles of perceived learning agility and skill utilization’, </w:t>
      </w:r>
      <w:r w:rsidRPr="0027235C">
        <w:rPr>
          <w:rFonts w:ascii="Arial" w:hAnsi="Arial" w:eastAsia="Arial" w:cs="Arial"/>
          <w:i/>
          <w:iCs/>
          <w:sz w:val="24"/>
          <w:szCs w:val="24"/>
        </w:rPr>
        <w:t>European Journal of Training and Development</w:t>
      </w:r>
      <w:r w:rsidRPr="0027235C">
        <w:rPr>
          <w:rFonts w:ascii="Arial" w:hAnsi="Arial" w:eastAsia="Arial" w:cs="Arial"/>
          <w:sz w:val="24"/>
          <w:szCs w:val="24"/>
        </w:rPr>
        <w:t xml:space="preserve">, pp. 1–18. Available at: </w:t>
      </w:r>
      <w:hyperlink w:history="1" r:id="rId84">
        <w:r w:rsidRPr="0027235C">
          <w:rPr>
            <w:rStyle w:val="Hyperlink"/>
            <w:rFonts w:ascii="Arial" w:hAnsi="Arial" w:eastAsia="Arial" w:cs="Arial"/>
            <w:sz w:val="24"/>
            <w:szCs w:val="24"/>
          </w:rPr>
          <w:t>https://doi.org/10.1108/EJTD-11-2025-0258</w:t>
        </w:r>
      </w:hyperlink>
      <w:r w:rsidRPr="0027235C">
        <w:rPr>
          <w:rFonts w:ascii="Arial" w:hAnsi="Arial" w:eastAsia="Arial" w:cs="Arial"/>
          <w:sz w:val="24"/>
          <w:szCs w:val="24"/>
        </w:rPr>
        <w:t>.</w:t>
      </w:r>
    </w:p>
    <w:p w:rsidRPr="0027235C" w:rsidR="00976C63" w:rsidP="00B40E50" w:rsidRDefault="00976C63" w14:paraId="13930ED7"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Sheehan, M., </w:t>
      </w:r>
      <w:proofErr w:type="spellStart"/>
      <w:r w:rsidRPr="0027235C">
        <w:rPr>
          <w:rFonts w:ascii="Arial" w:hAnsi="Arial" w:eastAsia="Arial" w:cs="Arial"/>
          <w:sz w:val="24"/>
          <w:szCs w:val="24"/>
        </w:rPr>
        <w:t>Garavan</w:t>
      </w:r>
      <w:proofErr w:type="spellEnd"/>
      <w:r w:rsidRPr="0027235C">
        <w:rPr>
          <w:rFonts w:ascii="Arial" w:hAnsi="Arial" w:eastAsia="Arial" w:cs="Arial"/>
          <w:sz w:val="24"/>
          <w:szCs w:val="24"/>
        </w:rPr>
        <w:t xml:space="preserve">, T. and Morley, M. (2025) ‘Training investments and innovation gains in knowledge intensive businesses: The role of firm level human capital and </w:t>
      </w:r>
      <w:r w:rsidRPr="0027235C">
        <w:rPr>
          <w:rFonts w:ascii="Arial" w:hAnsi="Arial" w:eastAsia="Arial" w:cs="Arial"/>
          <w:sz w:val="24"/>
          <w:szCs w:val="24"/>
        </w:rPr>
        <w:lastRenderedPageBreak/>
        <w:t xml:space="preserve">knowledge sharing climate’, </w:t>
      </w:r>
      <w:r w:rsidRPr="0027235C">
        <w:rPr>
          <w:rFonts w:ascii="Arial" w:hAnsi="Arial" w:eastAsia="Arial" w:cs="Arial"/>
          <w:i/>
          <w:iCs/>
          <w:sz w:val="24"/>
          <w:szCs w:val="24"/>
        </w:rPr>
        <w:t>Human Resource Management Journal</w:t>
      </w:r>
      <w:r w:rsidRPr="0027235C">
        <w:rPr>
          <w:rFonts w:ascii="Arial" w:hAnsi="Arial" w:eastAsia="Arial" w:cs="Arial"/>
          <w:sz w:val="24"/>
          <w:szCs w:val="24"/>
        </w:rPr>
        <w:t xml:space="preserve">, 35(3), pp. 667–686. Available at: </w:t>
      </w:r>
      <w:hyperlink w:history="1" r:id="rId85">
        <w:r w:rsidRPr="0027235C">
          <w:rPr>
            <w:rStyle w:val="Hyperlink"/>
            <w:rFonts w:ascii="Arial" w:hAnsi="Arial" w:eastAsia="Arial" w:cs="Arial"/>
            <w:sz w:val="24"/>
            <w:szCs w:val="24"/>
          </w:rPr>
          <w:t>https://doi.org/10.1111/1748-8583.12586</w:t>
        </w:r>
      </w:hyperlink>
      <w:r w:rsidRPr="0027235C">
        <w:rPr>
          <w:rFonts w:ascii="Arial" w:hAnsi="Arial" w:eastAsia="Arial" w:cs="Arial"/>
          <w:sz w:val="24"/>
          <w:szCs w:val="24"/>
        </w:rPr>
        <w:t>.</w:t>
      </w:r>
    </w:p>
    <w:p w:rsidRPr="0027235C" w:rsidR="00976C63" w:rsidP="00B40E50" w:rsidRDefault="00976C63" w14:paraId="0BACF9A4"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Shiri, R., El-Metwally, A., Sallinen, M., Pöyry, M., Härmä, M. and </w:t>
      </w:r>
      <w:proofErr w:type="spellStart"/>
      <w:r w:rsidRPr="0027235C">
        <w:rPr>
          <w:rFonts w:ascii="Arial" w:hAnsi="Arial" w:eastAsia="Arial" w:cs="Arial"/>
          <w:sz w:val="24"/>
          <w:szCs w:val="24"/>
        </w:rPr>
        <w:t>Toppinen</w:t>
      </w:r>
      <w:proofErr w:type="spellEnd"/>
      <w:r w:rsidRPr="0027235C">
        <w:rPr>
          <w:rFonts w:ascii="Arial" w:hAnsi="Arial" w:eastAsia="Arial" w:cs="Arial"/>
          <w:sz w:val="24"/>
          <w:szCs w:val="24"/>
        </w:rPr>
        <w:t xml:space="preserve">-Tanner, S. (2023) ‘The role of continuing professional training or development in maintaining current employment: A systematic review’, </w:t>
      </w:r>
      <w:r w:rsidRPr="0027235C">
        <w:rPr>
          <w:rFonts w:ascii="Arial" w:hAnsi="Arial" w:eastAsia="Arial" w:cs="Arial"/>
          <w:i/>
          <w:iCs/>
          <w:sz w:val="24"/>
          <w:szCs w:val="24"/>
        </w:rPr>
        <w:t>Healthcare</w:t>
      </w:r>
      <w:r w:rsidRPr="0027235C">
        <w:rPr>
          <w:rFonts w:ascii="Arial" w:hAnsi="Arial" w:eastAsia="Arial" w:cs="Arial"/>
          <w:sz w:val="24"/>
          <w:szCs w:val="24"/>
        </w:rPr>
        <w:t xml:space="preserve">, 11(21), 2900. Available at: </w:t>
      </w:r>
      <w:hyperlink w:history="1" r:id="rId86">
        <w:r w:rsidRPr="0027235C">
          <w:rPr>
            <w:rStyle w:val="Hyperlink"/>
            <w:rFonts w:ascii="Arial" w:hAnsi="Arial" w:eastAsia="Arial" w:cs="Arial"/>
            <w:sz w:val="24"/>
            <w:szCs w:val="24"/>
          </w:rPr>
          <w:t>https://doi.org/10.3390/healthcare11212900</w:t>
        </w:r>
      </w:hyperlink>
      <w:r w:rsidRPr="0027235C">
        <w:rPr>
          <w:rFonts w:ascii="Arial" w:hAnsi="Arial" w:eastAsia="Arial" w:cs="Arial"/>
          <w:sz w:val="24"/>
          <w:szCs w:val="24"/>
        </w:rPr>
        <w:t>.</w:t>
      </w:r>
    </w:p>
    <w:p w:rsidRPr="0027235C" w:rsidR="00976C63" w:rsidP="00B40E50" w:rsidRDefault="00976C63" w14:paraId="05F1D083"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Shukla, A., Dash, S. and Kumar, A. (2024) ‘Factors affecting transfer of online training: A systematic literature review and proposed taxonomy’, </w:t>
      </w:r>
      <w:r w:rsidRPr="0027235C">
        <w:rPr>
          <w:rFonts w:ascii="Arial" w:hAnsi="Arial" w:eastAsia="Arial" w:cs="Arial"/>
          <w:i/>
          <w:iCs/>
          <w:sz w:val="24"/>
          <w:szCs w:val="24"/>
        </w:rPr>
        <w:t>Human Resource Development Quarterly</w:t>
      </w:r>
      <w:r w:rsidRPr="0027235C">
        <w:rPr>
          <w:rFonts w:ascii="Arial" w:hAnsi="Arial" w:eastAsia="Arial" w:cs="Arial"/>
          <w:sz w:val="24"/>
          <w:szCs w:val="24"/>
        </w:rPr>
        <w:t xml:space="preserve">, 35(3), pp. 363–390. Available at: </w:t>
      </w:r>
      <w:hyperlink w:history="1" r:id="rId87">
        <w:r w:rsidRPr="0027235C">
          <w:rPr>
            <w:rStyle w:val="Hyperlink"/>
            <w:rFonts w:ascii="Arial" w:hAnsi="Arial" w:eastAsia="Arial" w:cs="Arial"/>
            <w:sz w:val="24"/>
            <w:szCs w:val="24"/>
          </w:rPr>
          <w:t>https://doi.org/10.1002/hrdq.21518</w:t>
        </w:r>
      </w:hyperlink>
      <w:r w:rsidRPr="0027235C">
        <w:rPr>
          <w:rFonts w:ascii="Arial" w:hAnsi="Arial" w:eastAsia="Arial" w:cs="Arial"/>
          <w:sz w:val="24"/>
          <w:szCs w:val="24"/>
        </w:rPr>
        <w:t>.</w:t>
      </w:r>
    </w:p>
    <w:p w:rsidRPr="00976C63" w:rsidR="00976C63" w:rsidP="00976C63" w:rsidRDefault="00976C63" w14:paraId="28D8F374" w14:textId="77777777">
      <w:pPr>
        <w:pStyle w:val="pdq2pgselectionanchorcontainer"/>
        <w:jc w:val="both"/>
        <w:rPr>
          <w:rFonts w:ascii="Arial" w:hAnsi="Arial" w:cs="Arial"/>
        </w:rPr>
      </w:pPr>
      <w:r w:rsidRPr="00976C63">
        <w:rPr>
          <w:rStyle w:val="Strong"/>
          <w:rFonts w:ascii="Arial" w:hAnsi="Arial" w:cs="Arial"/>
          <w:b w:val="0"/>
        </w:rPr>
        <w:t>Tamayo-</w:t>
      </w:r>
      <w:proofErr w:type="spellStart"/>
      <w:r w:rsidRPr="00976C63">
        <w:rPr>
          <w:rStyle w:val="Strong"/>
          <w:rFonts w:ascii="Arial" w:hAnsi="Arial" w:cs="Arial"/>
          <w:b w:val="0"/>
        </w:rPr>
        <w:t>Verleene</w:t>
      </w:r>
      <w:proofErr w:type="spellEnd"/>
      <w:r w:rsidRPr="00976C63">
        <w:rPr>
          <w:rStyle w:val="Strong"/>
          <w:rFonts w:ascii="Arial" w:hAnsi="Arial" w:cs="Arial"/>
          <w:b w:val="0"/>
        </w:rPr>
        <w:t>, K., Giangreco, A., Maes, J. and Della Torre, E. (2024)</w:t>
      </w:r>
      <w:r w:rsidRPr="00976C63">
        <w:rPr>
          <w:rFonts w:ascii="Arial" w:hAnsi="Arial" w:cs="Arial"/>
        </w:rPr>
        <w:t xml:space="preserve"> ‘Unpacking the Black Box of the Training-Performance Relationship: Evidence from Philippine Call Centers’, </w:t>
      </w:r>
      <w:proofErr w:type="spellStart"/>
      <w:r w:rsidRPr="00976C63">
        <w:rPr>
          <w:rStyle w:val="Emphasis"/>
          <w:rFonts w:ascii="Arial" w:hAnsi="Arial" w:cs="Arial"/>
        </w:rPr>
        <w:t>M@n@gement</w:t>
      </w:r>
      <w:proofErr w:type="spellEnd"/>
      <w:r w:rsidRPr="00976C63">
        <w:rPr>
          <w:rFonts w:ascii="Arial" w:hAnsi="Arial" w:cs="Arial"/>
        </w:rPr>
        <w:t xml:space="preserve">, 28(2), pp. 1–16. Available at: https://doi.org/10.37725/mgmt.2024.7799. </w:t>
      </w:r>
    </w:p>
    <w:p w:rsidRPr="0027235C" w:rsidR="00976C63" w:rsidP="00B40E50" w:rsidRDefault="00976C63" w14:paraId="26007605"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Tambe, P.B. (2025) ‘Reskilling the workforce for AI: Domain expertise and algorithmic literacy’, </w:t>
      </w:r>
      <w:r w:rsidRPr="0027235C">
        <w:rPr>
          <w:rFonts w:ascii="Arial" w:hAnsi="Arial" w:eastAsia="Arial" w:cs="Arial"/>
          <w:i/>
          <w:iCs/>
          <w:sz w:val="24"/>
          <w:szCs w:val="24"/>
        </w:rPr>
        <w:t>Management Science</w:t>
      </w:r>
      <w:r w:rsidRPr="0027235C">
        <w:rPr>
          <w:rFonts w:ascii="Arial" w:hAnsi="Arial" w:eastAsia="Arial" w:cs="Arial"/>
          <w:sz w:val="24"/>
          <w:szCs w:val="24"/>
        </w:rPr>
        <w:t xml:space="preserve">, 72(1), pp. 515–537. Available at: </w:t>
      </w:r>
      <w:hyperlink w:history="1" r:id="rId88">
        <w:r w:rsidRPr="0027235C">
          <w:rPr>
            <w:rStyle w:val="Hyperlink"/>
            <w:rFonts w:ascii="Arial" w:hAnsi="Arial" w:eastAsia="Arial" w:cs="Arial"/>
            <w:sz w:val="24"/>
            <w:szCs w:val="24"/>
          </w:rPr>
          <w:t>https://doi.org/10.1287/mnsc.2022.03968</w:t>
        </w:r>
      </w:hyperlink>
      <w:r w:rsidRPr="0027235C">
        <w:rPr>
          <w:rFonts w:ascii="Arial" w:hAnsi="Arial" w:eastAsia="Arial" w:cs="Arial"/>
          <w:sz w:val="24"/>
          <w:szCs w:val="24"/>
        </w:rPr>
        <w:t>.</w:t>
      </w:r>
    </w:p>
    <w:p w:rsidRPr="0027235C" w:rsidR="00976C63" w:rsidP="00B40E50" w:rsidRDefault="00976C63" w14:paraId="7ABC5F3A"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Tonhäuser</w:t>
      </w:r>
      <w:proofErr w:type="spellEnd"/>
      <w:r w:rsidRPr="0027235C">
        <w:rPr>
          <w:rFonts w:ascii="Arial" w:hAnsi="Arial" w:eastAsia="Arial" w:cs="Arial"/>
          <w:sz w:val="24"/>
          <w:szCs w:val="24"/>
        </w:rPr>
        <w:t xml:space="preserve">, C. and </w:t>
      </w:r>
      <w:proofErr w:type="spellStart"/>
      <w:r w:rsidRPr="0027235C">
        <w:rPr>
          <w:rFonts w:ascii="Arial" w:hAnsi="Arial" w:eastAsia="Arial" w:cs="Arial"/>
          <w:sz w:val="24"/>
          <w:szCs w:val="24"/>
        </w:rPr>
        <w:t>Büker</w:t>
      </w:r>
      <w:proofErr w:type="spellEnd"/>
      <w:r w:rsidRPr="0027235C">
        <w:rPr>
          <w:rFonts w:ascii="Arial" w:hAnsi="Arial" w:eastAsia="Arial" w:cs="Arial"/>
          <w:sz w:val="24"/>
          <w:szCs w:val="24"/>
        </w:rPr>
        <w:t xml:space="preserve">, L. (2016) ‘Determinants of transfer of training: A comprehensive literature review’, </w:t>
      </w:r>
      <w:r w:rsidRPr="0027235C">
        <w:rPr>
          <w:rFonts w:ascii="Arial" w:hAnsi="Arial" w:eastAsia="Arial" w:cs="Arial"/>
          <w:i/>
          <w:iCs/>
          <w:sz w:val="24"/>
          <w:szCs w:val="24"/>
        </w:rPr>
        <w:t>International Journal for Research in Vocational Education and Training</w:t>
      </w:r>
      <w:r w:rsidRPr="0027235C">
        <w:rPr>
          <w:rFonts w:ascii="Arial" w:hAnsi="Arial" w:eastAsia="Arial" w:cs="Arial"/>
          <w:sz w:val="24"/>
          <w:szCs w:val="24"/>
        </w:rPr>
        <w:t xml:space="preserve">, 3(2), pp. 127–165. Available at: </w:t>
      </w:r>
      <w:hyperlink w:history="1" r:id="rId89">
        <w:r w:rsidRPr="0027235C">
          <w:rPr>
            <w:rStyle w:val="Hyperlink"/>
            <w:rFonts w:ascii="Arial" w:hAnsi="Arial" w:eastAsia="Arial" w:cs="Arial"/>
            <w:sz w:val="24"/>
            <w:szCs w:val="24"/>
          </w:rPr>
          <w:t>https://doi.org/10.13152/IJRVET.3.2.4</w:t>
        </w:r>
      </w:hyperlink>
      <w:r w:rsidRPr="0027235C">
        <w:rPr>
          <w:rFonts w:ascii="Arial" w:hAnsi="Arial" w:eastAsia="Arial" w:cs="Arial"/>
          <w:sz w:val="24"/>
          <w:szCs w:val="24"/>
        </w:rPr>
        <w:t>.</w:t>
      </w:r>
    </w:p>
    <w:p w:rsidRPr="0027235C" w:rsidR="00976C63" w:rsidP="00B40E50" w:rsidRDefault="00976C63" w14:paraId="279E23DD"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Uslu, D., Marcus, J. and </w:t>
      </w:r>
      <w:proofErr w:type="spellStart"/>
      <w:r w:rsidRPr="0027235C">
        <w:rPr>
          <w:rFonts w:ascii="Arial" w:hAnsi="Arial" w:eastAsia="Arial" w:cs="Arial"/>
          <w:sz w:val="24"/>
          <w:szCs w:val="24"/>
        </w:rPr>
        <w:t>Kisbu</w:t>
      </w:r>
      <w:proofErr w:type="spellEnd"/>
      <w:r w:rsidRPr="0027235C">
        <w:rPr>
          <w:rFonts w:ascii="Arial" w:hAnsi="Arial" w:eastAsia="Arial" w:cs="Arial"/>
          <w:sz w:val="24"/>
          <w:szCs w:val="24"/>
        </w:rPr>
        <w:t xml:space="preserve">-Sakarya, Y. (2022) ‘Toward optimized effectiveness of employee training programs: A meta-analysis’, </w:t>
      </w:r>
      <w:r w:rsidRPr="0027235C">
        <w:rPr>
          <w:rFonts w:ascii="Arial" w:hAnsi="Arial" w:eastAsia="Arial" w:cs="Arial"/>
          <w:i/>
          <w:iCs/>
          <w:sz w:val="24"/>
          <w:szCs w:val="24"/>
        </w:rPr>
        <w:t>Journal of Personnel Psychology</w:t>
      </w:r>
      <w:r w:rsidRPr="0027235C">
        <w:rPr>
          <w:rFonts w:ascii="Arial" w:hAnsi="Arial" w:eastAsia="Arial" w:cs="Arial"/>
          <w:sz w:val="24"/>
          <w:szCs w:val="24"/>
        </w:rPr>
        <w:t xml:space="preserve">, 21(2), pp. 49–65. Available at: </w:t>
      </w:r>
      <w:hyperlink w:history="1" r:id="rId90">
        <w:r w:rsidRPr="0027235C">
          <w:rPr>
            <w:rStyle w:val="Hyperlink"/>
            <w:rFonts w:ascii="Arial" w:hAnsi="Arial" w:eastAsia="Arial" w:cs="Arial"/>
            <w:sz w:val="24"/>
            <w:szCs w:val="24"/>
          </w:rPr>
          <w:t>https://doi.org/10.1027/1866-5888/a000290</w:t>
        </w:r>
      </w:hyperlink>
      <w:r w:rsidRPr="0027235C">
        <w:rPr>
          <w:rFonts w:ascii="Arial" w:hAnsi="Arial" w:eastAsia="Arial" w:cs="Arial"/>
          <w:sz w:val="24"/>
          <w:szCs w:val="24"/>
        </w:rPr>
        <w:t>.</w:t>
      </w:r>
    </w:p>
    <w:p w:rsidRPr="0027235C" w:rsidR="00976C63" w:rsidP="00B40E50" w:rsidRDefault="00976C63" w14:paraId="78D2AF6C"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Visser, M., van Eck, N.J. and Waltman, L. (2021) ‘Large-scale comparison of bibliographic data sources: Scopus, Web of Science, Dimensions, </w:t>
      </w:r>
      <w:proofErr w:type="spellStart"/>
      <w:r w:rsidRPr="0027235C">
        <w:rPr>
          <w:rFonts w:ascii="Arial" w:hAnsi="Arial" w:eastAsia="Arial" w:cs="Arial"/>
          <w:sz w:val="24"/>
          <w:szCs w:val="24"/>
        </w:rPr>
        <w:t>Crossref</w:t>
      </w:r>
      <w:proofErr w:type="spellEnd"/>
      <w:r w:rsidRPr="0027235C">
        <w:rPr>
          <w:rFonts w:ascii="Arial" w:hAnsi="Arial" w:eastAsia="Arial" w:cs="Arial"/>
          <w:sz w:val="24"/>
          <w:szCs w:val="24"/>
        </w:rPr>
        <w:t xml:space="preserve">, and Microsoft Academic’, </w:t>
      </w:r>
      <w:r w:rsidRPr="0027235C">
        <w:rPr>
          <w:rFonts w:ascii="Arial" w:hAnsi="Arial" w:eastAsia="Arial" w:cs="Arial"/>
          <w:i/>
          <w:iCs/>
          <w:sz w:val="24"/>
          <w:szCs w:val="24"/>
        </w:rPr>
        <w:t>Quantitative Science Studies</w:t>
      </w:r>
      <w:r w:rsidRPr="0027235C">
        <w:rPr>
          <w:rFonts w:ascii="Arial" w:hAnsi="Arial" w:eastAsia="Arial" w:cs="Arial"/>
          <w:sz w:val="24"/>
          <w:szCs w:val="24"/>
        </w:rPr>
        <w:t xml:space="preserve">, 2(1), pp. 20–41. Available at: </w:t>
      </w:r>
      <w:hyperlink w:history="1" r:id="rId91">
        <w:r w:rsidRPr="0027235C">
          <w:rPr>
            <w:rStyle w:val="Hyperlink"/>
            <w:rFonts w:ascii="Arial" w:hAnsi="Arial" w:eastAsia="Arial" w:cs="Arial"/>
            <w:sz w:val="24"/>
            <w:szCs w:val="24"/>
          </w:rPr>
          <w:t>https://doi.org/10.1162/qss_a_00112</w:t>
        </w:r>
      </w:hyperlink>
      <w:r w:rsidRPr="0027235C">
        <w:rPr>
          <w:rFonts w:ascii="Arial" w:hAnsi="Arial" w:eastAsia="Arial" w:cs="Arial"/>
          <w:sz w:val="24"/>
          <w:szCs w:val="24"/>
        </w:rPr>
        <w:t>.</w:t>
      </w:r>
    </w:p>
    <w:p w:rsidRPr="0027235C" w:rsidR="00976C63" w:rsidP="00B40E50" w:rsidRDefault="00976C63" w14:paraId="45A0AFC8"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lastRenderedPageBreak/>
        <w:t xml:space="preserve">Wahl, A.M. and </w:t>
      </w:r>
      <w:proofErr w:type="spellStart"/>
      <w:r w:rsidRPr="0027235C">
        <w:rPr>
          <w:rFonts w:ascii="Arial" w:hAnsi="Arial" w:eastAsia="Arial" w:cs="Arial"/>
          <w:sz w:val="24"/>
          <w:szCs w:val="24"/>
        </w:rPr>
        <w:t>Hybertsen</w:t>
      </w:r>
      <w:proofErr w:type="spellEnd"/>
      <w:r w:rsidRPr="0027235C">
        <w:rPr>
          <w:rFonts w:ascii="Arial" w:hAnsi="Arial" w:eastAsia="Arial" w:cs="Arial"/>
          <w:sz w:val="24"/>
          <w:szCs w:val="24"/>
        </w:rPr>
        <w:t xml:space="preserve">, I.D. (2025) ‘Reverse training transfer: The social dynamics of developing safe work practices’, </w:t>
      </w:r>
      <w:r w:rsidRPr="0027235C">
        <w:rPr>
          <w:rFonts w:ascii="Arial" w:hAnsi="Arial" w:eastAsia="Arial" w:cs="Arial"/>
          <w:i/>
          <w:iCs/>
          <w:sz w:val="24"/>
          <w:szCs w:val="24"/>
        </w:rPr>
        <w:t>Safety Science</w:t>
      </w:r>
      <w:r w:rsidRPr="0027235C">
        <w:rPr>
          <w:rFonts w:ascii="Arial" w:hAnsi="Arial" w:eastAsia="Arial" w:cs="Arial"/>
          <w:sz w:val="24"/>
          <w:szCs w:val="24"/>
        </w:rPr>
        <w:t xml:space="preserve">, 191, 106920. Available at: </w:t>
      </w:r>
      <w:hyperlink w:history="1" r:id="rId92">
        <w:r w:rsidRPr="0027235C">
          <w:rPr>
            <w:rStyle w:val="Hyperlink"/>
            <w:rFonts w:ascii="Arial" w:hAnsi="Arial" w:eastAsia="Arial" w:cs="Arial"/>
            <w:sz w:val="24"/>
            <w:szCs w:val="24"/>
          </w:rPr>
          <w:t>https://doi.org/10.1016/j.ssci.2025.106920</w:t>
        </w:r>
      </w:hyperlink>
      <w:r w:rsidRPr="0027235C">
        <w:rPr>
          <w:rFonts w:ascii="Arial" w:hAnsi="Arial" w:eastAsia="Arial" w:cs="Arial"/>
          <w:sz w:val="24"/>
          <w:szCs w:val="24"/>
        </w:rPr>
        <w:t>.</w:t>
      </w:r>
    </w:p>
    <w:p w:rsidRPr="0027235C" w:rsidR="00976C63" w:rsidP="00B40E50" w:rsidRDefault="00976C63" w14:paraId="408454B6"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Wijga, M., Beausaert, S. and Kyndt, E. (2025) ‘What drives workplace learning: A systematic review of key antecedents’, </w:t>
      </w:r>
      <w:r w:rsidRPr="0027235C">
        <w:rPr>
          <w:rFonts w:ascii="Arial" w:hAnsi="Arial" w:eastAsia="Arial" w:cs="Arial"/>
          <w:i/>
          <w:iCs/>
          <w:sz w:val="24"/>
          <w:szCs w:val="24"/>
        </w:rPr>
        <w:t>Journal of Workplace Learning</w:t>
      </w:r>
      <w:r w:rsidRPr="0027235C">
        <w:rPr>
          <w:rFonts w:ascii="Arial" w:hAnsi="Arial" w:eastAsia="Arial" w:cs="Arial"/>
          <w:sz w:val="24"/>
          <w:szCs w:val="24"/>
        </w:rPr>
        <w:t xml:space="preserve">, 37(9), pp. 90–113. Available at: </w:t>
      </w:r>
      <w:hyperlink w:history="1" r:id="rId93">
        <w:r w:rsidRPr="0027235C">
          <w:rPr>
            <w:rStyle w:val="Hyperlink"/>
            <w:rFonts w:ascii="Arial" w:hAnsi="Arial" w:eastAsia="Arial" w:cs="Arial"/>
            <w:sz w:val="24"/>
            <w:szCs w:val="24"/>
          </w:rPr>
          <w:t>https://doi.org/10.1108/JWL-05-2025-0119</w:t>
        </w:r>
      </w:hyperlink>
      <w:r w:rsidRPr="0027235C">
        <w:rPr>
          <w:rFonts w:ascii="Arial" w:hAnsi="Arial" w:eastAsia="Arial" w:cs="Arial"/>
          <w:sz w:val="24"/>
          <w:szCs w:val="24"/>
        </w:rPr>
        <w:t>.</w:t>
      </w:r>
    </w:p>
    <w:p w:rsidRPr="0027235C" w:rsidR="00976C63" w:rsidP="00B40E50" w:rsidRDefault="00976C63" w14:paraId="2FB2A7C7"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World Economic Forum (2025) </w:t>
      </w:r>
      <w:r w:rsidRPr="0027235C">
        <w:rPr>
          <w:rFonts w:ascii="Arial" w:hAnsi="Arial" w:eastAsia="Arial" w:cs="Arial"/>
          <w:i/>
          <w:iCs/>
          <w:sz w:val="24"/>
          <w:szCs w:val="24"/>
        </w:rPr>
        <w:t>The Future of Jobs Report 2025</w:t>
      </w:r>
      <w:r w:rsidRPr="0027235C">
        <w:rPr>
          <w:rFonts w:ascii="Arial" w:hAnsi="Arial" w:eastAsia="Arial" w:cs="Arial"/>
          <w:sz w:val="24"/>
          <w:szCs w:val="24"/>
        </w:rPr>
        <w:t xml:space="preserve">. Geneva: World Economic Forum. Available at: </w:t>
      </w:r>
      <w:hyperlink w:history="1" r:id="rId94">
        <w:r w:rsidRPr="0027235C">
          <w:rPr>
            <w:rStyle w:val="Hyperlink"/>
            <w:rFonts w:ascii="Arial" w:hAnsi="Arial" w:eastAsia="Arial" w:cs="Arial"/>
            <w:sz w:val="24"/>
            <w:szCs w:val="24"/>
          </w:rPr>
          <w:t>https://www.weforum.org/publications/the-future-of-jobs-report-2025/</w:t>
        </w:r>
      </w:hyperlink>
      <w:r w:rsidRPr="0027235C">
        <w:rPr>
          <w:rFonts w:ascii="Arial" w:hAnsi="Arial" w:eastAsia="Arial" w:cs="Arial"/>
          <w:sz w:val="24"/>
          <w:szCs w:val="24"/>
        </w:rPr>
        <w:t>.</w:t>
      </w:r>
    </w:p>
    <w:p w:rsidRPr="0027235C" w:rsidR="00976C63" w:rsidP="00B40E50" w:rsidRDefault="00976C63" w14:paraId="73DB5914"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Wu, Z., Li, Q. and Zhang, B. (2025) ‘The role of innovation and entrepreneurship employee training programs in enhancing organizational commitment from the perspective of industry–education integration’, </w:t>
      </w:r>
      <w:r w:rsidRPr="0027235C">
        <w:rPr>
          <w:rFonts w:ascii="Arial" w:hAnsi="Arial" w:eastAsia="Arial" w:cs="Arial"/>
          <w:i/>
          <w:iCs/>
          <w:sz w:val="24"/>
          <w:szCs w:val="24"/>
        </w:rPr>
        <w:t>Frontiers in Psychology</w:t>
      </w:r>
      <w:r w:rsidRPr="0027235C">
        <w:rPr>
          <w:rFonts w:ascii="Arial" w:hAnsi="Arial" w:eastAsia="Arial" w:cs="Arial"/>
          <w:sz w:val="24"/>
          <w:szCs w:val="24"/>
        </w:rPr>
        <w:t xml:space="preserve">, 16, 1527741. Available at: </w:t>
      </w:r>
      <w:hyperlink w:history="1" r:id="rId95">
        <w:r w:rsidRPr="0027235C">
          <w:rPr>
            <w:rStyle w:val="Hyperlink"/>
            <w:rFonts w:ascii="Arial" w:hAnsi="Arial" w:eastAsia="Arial" w:cs="Arial"/>
            <w:sz w:val="24"/>
            <w:szCs w:val="24"/>
          </w:rPr>
          <w:t>https://doi.org/10.3389/fpsyg.2025.1527741</w:t>
        </w:r>
      </w:hyperlink>
      <w:r w:rsidRPr="0027235C">
        <w:rPr>
          <w:rFonts w:ascii="Arial" w:hAnsi="Arial" w:eastAsia="Arial" w:cs="Arial"/>
          <w:sz w:val="24"/>
          <w:szCs w:val="24"/>
        </w:rPr>
        <w:t>.</w:t>
      </w:r>
    </w:p>
    <w:p w:rsidRPr="0027235C" w:rsidR="00976C63" w:rsidP="00B40E50" w:rsidRDefault="00976C63" w14:paraId="40F541A9" w14:textId="77777777">
      <w:pPr>
        <w:spacing w:before="240" w:after="240" w:line="360" w:lineRule="auto"/>
        <w:jc w:val="both"/>
        <w:rPr>
          <w:rFonts w:ascii="Arial" w:hAnsi="Arial" w:eastAsia="Arial" w:cs="Arial"/>
          <w:sz w:val="24"/>
          <w:szCs w:val="24"/>
        </w:rPr>
      </w:pPr>
      <w:proofErr w:type="spellStart"/>
      <w:r w:rsidRPr="0027235C">
        <w:rPr>
          <w:rFonts w:ascii="Arial" w:hAnsi="Arial" w:eastAsia="Arial" w:cs="Arial"/>
          <w:sz w:val="24"/>
          <w:szCs w:val="24"/>
        </w:rPr>
        <w:t>Xuecheng</w:t>
      </w:r>
      <w:proofErr w:type="spellEnd"/>
      <w:r w:rsidRPr="0027235C">
        <w:rPr>
          <w:rFonts w:ascii="Arial" w:hAnsi="Arial" w:eastAsia="Arial" w:cs="Arial"/>
          <w:sz w:val="24"/>
          <w:szCs w:val="24"/>
        </w:rPr>
        <w:t xml:space="preserve">, W., Iqbal, Q. and Saina, B. (2022) ‘Factors affecting employee’s retention: Integration of situational leadership with Social Exchange Theory’, </w:t>
      </w:r>
      <w:r w:rsidRPr="0027235C">
        <w:rPr>
          <w:rFonts w:ascii="Arial" w:hAnsi="Arial" w:eastAsia="Arial" w:cs="Arial"/>
          <w:i/>
          <w:iCs/>
          <w:sz w:val="24"/>
          <w:szCs w:val="24"/>
        </w:rPr>
        <w:t>Frontiers in Psychology</w:t>
      </w:r>
      <w:r w:rsidRPr="0027235C">
        <w:rPr>
          <w:rFonts w:ascii="Arial" w:hAnsi="Arial" w:eastAsia="Arial" w:cs="Arial"/>
          <w:sz w:val="24"/>
          <w:szCs w:val="24"/>
        </w:rPr>
        <w:t xml:space="preserve">, 13, 872105. Available at: </w:t>
      </w:r>
      <w:hyperlink w:history="1" r:id="rId96">
        <w:r w:rsidRPr="0027235C">
          <w:rPr>
            <w:rStyle w:val="Hyperlink"/>
            <w:rFonts w:ascii="Arial" w:hAnsi="Arial" w:eastAsia="Arial" w:cs="Arial"/>
            <w:sz w:val="24"/>
            <w:szCs w:val="24"/>
          </w:rPr>
          <w:t>https://doi.org/10.3389/fpsyg.2022.872105</w:t>
        </w:r>
      </w:hyperlink>
      <w:r w:rsidRPr="0027235C">
        <w:rPr>
          <w:rFonts w:ascii="Arial" w:hAnsi="Arial" w:eastAsia="Arial" w:cs="Arial"/>
          <w:sz w:val="24"/>
          <w:szCs w:val="24"/>
        </w:rPr>
        <w:t>.</w:t>
      </w:r>
    </w:p>
    <w:p w:rsidRPr="0027235C" w:rsidR="00976C63" w:rsidP="00B40E50" w:rsidRDefault="00976C63" w14:paraId="1BE4D1BB"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Yaghi, A. and Bates, R. (2020) ‘The role of supervisor and peer support in training transfer in institutions of higher education’, </w:t>
      </w:r>
      <w:r w:rsidRPr="0027235C">
        <w:rPr>
          <w:rFonts w:ascii="Arial" w:hAnsi="Arial" w:eastAsia="Arial" w:cs="Arial"/>
          <w:i/>
          <w:iCs/>
          <w:sz w:val="24"/>
          <w:szCs w:val="24"/>
        </w:rPr>
        <w:t>International Journal of Training and Development</w:t>
      </w:r>
      <w:r w:rsidRPr="0027235C">
        <w:rPr>
          <w:rFonts w:ascii="Arial" w:hAnsi="Arial" w:eastAsia="Arial" w:cs="Arial"/>
          <w:sz w:val="24"/>
          <w:szCs w:val="24"/>
        </w:rPr>
        <w:t xml:space="preserve">, 24(2), pp. 89–104. Available at: </w:t>
      </w:r>
      <w:hyperlink w:history="1" r:id="rId97">
        <w:r w:rsidRPr="0027235C">
          <w:rPr>
            <w:rStyle w:val="Hyperlink"/>
            <w:rFonts w:ascii="Arial" w:hAnsi="Arial" w:eastAsia="Arial" w:cs="Arial"/>
            <w:sz w:val="24"/>
            <w:szCs w:val="24"/>
          </w:rPr>
          <w:t>https://doi.org/10.1111/ijtd.12173</w:t>
        </w:r>
      </w:hyperlink>
      <w:r w:rsidRPr="0027235C">
        <w:rPr>
          <w:rFonts w:ascii="Arial" w:hAnsi="Arial" w:eastAsia="Arial" w:cs="Arial"/>
          <w:sz w:val="24"/>
          <w:szCs w:val="24"/>
        </w:rPr>
        <w:t>.</w:t>
      </w:r>
    </w:p>
    <w:p w:rsidRPr="0027235C" w:rsidR="00976C63" w:rsidP="00B40E50" w:rsidRDefault="00976C63" w14:paraId="344EA48A"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Yang, M. and Watson, S.L. (2022) ‘Attitudinal influences on transfer of training: A systematic literature review’, </w:t>
      </w:r>
      <w:r w:rsidRPr="0027235C">
        <w:rPr>
          <w:rFonts w:ascii="Arial" w:hAnsi="Arial" w:eastAsia="Arial" w:cs="Arial"/>
          <w:i/>
          <w:iCs/>
          <w:sz w:val="24"/>
          <w:szCs w:val="24"/>
        </w:rPr>
        <w:t>Performance Improvement Quarterly</w:t>
      </w:r>
      <w:r w:rsidRPr="0027235C">
        <w:rPr>
          <w:rFonts w:ascii="Arial" w:hAnsi="Arial" w:eastAsia="Arial" w:cs="Arial"/>
          <w:sz w:val="24"/>
          <w:szCs w:val="24"/>
        </w:rPr>
        <w:t xml:space="preserve">, 34(4), pp. 327–365. Available at: </w:t>
      </w:r>
      <w:hyperlink w:history="1" r:id="rId98">
        <w:r w:rsidRPr="0027235C">
          <w:rPr>
            <w:rStyle w:val="Hyperlink"/>
            <w:rFonts w:ascii="Arial" w:hAnsi="Arial" w:eastAsia="Arial" w:cs="Arial"/>
            <w:sz w:val="24"/>
            <w:szCs w:val="24"/>
          </w:rPr>
          <w:t>https://doi.org/10.1002/piq.21351</w:t>
        </w:r>
      </w:hyperlink>
      <w:r w:rsidRPr="0027235C">
        <w:rPr>
          <w:rFonts w:ascii="Arial" w:hAnsi="Arial" w:eastAsia="Arial" w:cs="Arial"/>
          <w:sz w:val="24"/>
          <w:szCs w:val="24"/>
        </w:rPr>
        <w:t>.</w:t>
      </w:r>
    </w:p>
    <w:p w:rsidRPr="0027235C" w:rsidR="00976C63" w:rsidP="00B40E50" w:rsidRDefault="00976C63" w14:paraId="480AFF0D"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Zahrani, A.A. (2026) ‘Developing a new model for talent management and employee performance: The role of training and employee development in the sustainability of organizations’, </w:t>
      </w:r>
      <w:r w:rsidRPr="0027235C">
        <w:rPr>
          <w:rFonts w:ascii="Arial" w:hAnsi="Arial" w:eastAsia="Arial" w:cs="Arial"/>
          <w:i/>
          <w:iCs/>
          <w:sz w:val="24"/>
          <w:szCs w:val="24"/>
        </w:rPr>
        <w:t>Frontiers in Sustainability</w:t>
      </w:r>
      <w:r w:rsidRPr="0027235C">
        <w:rPr>
          <w:rFonts w:ascii="Arial" w:hAnsi="Arial" w:eastAsia="Arial" w:cs="Arial"/>
          <w:sz w:val="24"/>
          <w:szCs w:val="24"/>
        </w:rPr>
        <w:t xml:space="preserve">, 7, 1741640. Available at: </w:t>
      </w:r>
      <w:hyperlink w:history="1" r:id="rId99">
        <w:r w:rsidRPr="0027235C">
          <w:rPr>
            <w:rStyle w:val="Hyperlink"/>
            <w:rFonts w:ascii="Arial" w:hAnsi="Arial" w:eastAsia="Arial" w:cs="Arial"/>
            <w:sz w:val="24"/>
            <w:szCs w:val="24"/>
          </w:rPr>
          <w:t>https://doi.org/10.3389/frsus.2026.1741640</w:t>
        </w:r>
      </w:hyperlink>
      <w:r w:rsidRPr="0027235C">
        <w:rPr>
          <w:rFonts w:ascii="Arial" w:hAnsi="Arial" w:eastAsia="Arial" w:cs="Arial"/>
          <w:sz w:val="24"/>
          <w:szCs w:val="24"/>
        </w:rPr>
        <w:t>.</w:t>
      </w:r>
    </w:p>
    <w:p w:rsidR="00976C63" w:rsidP="00B40E50" w:rsidRDefault="00976C63" w14:paraId="68E7630C" w14:textId="77777777">
      <w:pPr>
        <w:spacing w:before="240" w:after="240" w:line="360" w:lineRule="auto"/>
        <w:jc w:val="both"/>
        <w:rPr>
          <w:rFonts w:ascii="Arial" w:hAnsi="Arial" w:eastAsia="Arial" w:cs="Arial"/>
          <w:sz w:val="24"/>
          <w:szCs w:val="24"/>
        </w:rPr>
      </w:pPr>
      <w:r w:rsidRPr="0027235C">
        <w:rPr>
          <w:rFonts w:ascii="Arial" w:hAnsi="Arial" w:eastAsia="Arial" w:cs="Arial"/>
          <w:sz w:val="24"/>
          <w:szCs w:val="24"/>
        </w:rPr>
        <w:t xml:space="preserve">Zhu, J.-J. and Song, H.-M. (2022) ‘The impact of career growth on knowledge-based employee engagement: The mediating role of affective commitment and the </w:t>
      </w:r>
      <w:r w:rsidRPr="0027235C">
        <w:rPr>
          <w:rFonts w:ascii="Arial" w:hAnsi="Arial" w:eastAsia="Arial" w:cs="Arial"/>
          <w:sz w:val="24"/>
          <w:szCs w:val="24"/>
        </w:rPr>
        <w:lastRenderedPageBreak/>
        <w:t xml:space="preserve">moderating role of perceived organizational support’, </w:t>
      </w:r>
      <w:r w:rsidRPr="0027235C">
        <w:rPr>
          <w:rFonts w:ascii="Arial" w:hAnsi="Arial" w:eastAsia="Arial" w:cs="Arial"/>
          <w:i/>
          <w:iCs/>
          <w:sz w:val="24"/>
          <w:szCs w:val="24"/>
        </w:rPr>
        <w:t>Frontiers in Psychology</w:t>
      </w:r>
      <w:r w:rsidRPr="0027235C">
        <w:rPr>
          <w:rFonts w:ascii="Arial" w:hAnsi="Arial" w:eastAsia="Arial" w:cs="Arial"/>
          <w:sz w:val="24"/>
          <w:szCs w:val="24"/>
        </w:rPr>
        <w:t xml:space="preserve">, 13, 805208. Available at: </w:t>
      </w:r>
      <w:hyperlink w:history="1" r:id="rId100">
        <w:r w:rsidRPr="0027235C">
          <w:rPr>
            <w:rStyle w:val="Hyperlink"/>
            <w:rFonts w:ascii="Arial" w:hAnsi="Arial" w:eastAsia="Arial" w:cs="Arial"/>
            <w:sz w:val="24"/>
            <w:szCs w:val="24"/>
          </w:rPr>
          <w:t>https://doi.org/10.3389/fpsyg.2022.805208</w:t>
        </w:r>
      </w:hyperlink>
      <w:r w:rsidRPr="0027235C">
        <w:rPr>
          <w:rFonts w:ascii="Arial" w:hAnsi="Arial" w:eastAsia="Arial" w:cs="Arial"/>
          <w:sz w:val="24"/>
          <w:szCs w:val="24"/>
        </w:rPr>
        <w:t>.</w:t>
      </w:r>
    </w:p>
    <w:p w:rsidRPr="0027235C" w:rsidR="00976C63" w:rsidP="00976C63" w:rsidRDefault="00976C63" w14:paraId="44D65F6A" w14:textId="77777777">
      <w:pPr>
        <w:spacing w:before="240" w:after="240" w:line="360" w:lineRule="auto"/>
        <w:jc w:val="both"/>
        <w:rPr>
          <w:rFonts w:ascii="Arial" w:hAnsi="Arial" w:eastAsia="Arial" w:cs="Arial"/>
          <w:sz w:val="24"/>
          <w:szCs w:val="24"/>
        </w:rPr>
      </w:pPr>
    </w:p>
    <w:p w:rsidRPr="0027235C" w:rsidR="00BF2F3A" w:rsidP="00976C63" w:rsidRDefault="00BF2F3A" w14:paraId="4E96E291" w14:textId="5CBF40CD">
      <w:pPr>
        <w:spacing w:before="240" w:after="240" w:line="360" w:lineRule="auto"/>
        <w:jc w:val="both"/>
        <w:rPr>
          <w:rFonts w:ascii="Arial" w:hAnsi="Arial" w:eastAsia="Arial" w:cs="Arial"/>
          <w:sz w:val="24"/>
          <w:szCs w:val="24"/>
        </w:rPr>
      </w:pPr>
    </w:p>
    <w:p w:rsidRPr="0027235C" w:rsidR="00D63CA2" w:rsidP="00EA78D2" w:rsidRDefault="00D63CA2" w14:paraId="0D7EA899" w14:textId="77777777">
      <w:pPr>
        <w:spacing w:before="240" w:after="240" w:line="360" w:lineRule="auto"/>
        <w:jc w:val="both"/>
        <w:rPr>
          <w:rFonts w:ascii="Arial" w:hAnsi="Arial" w:eastAsia="Arial" w:cs="Arial"/>
        </w:rPr>
      </w:pPr>
    </w:p>
    <w:p w:rsidRPr="0027235C" w:rsidR="00D63CA2" w:rsidP="00EA78D2" w:rsidRDefault="00D63CA2" w14:paraId="4F16B9D7" w14:textId="77777777">
      <w:pPr>
        <w:spacing w:before="240" w:after="240" w:line="360" w:lineRule="auto"/>
        <w:jc w:val="both"/>
        <w:rPr>
          <w:rFonts w:ascii="Arial" w:hAnsi="Arial" w:eastAsia="Arial" w:cs="Arial"/>
        </w:rPr>
      </w:pPr>
    </w:p>
    <w:p w:rsidRPr="0027235C" w:rsidR="00D63CA2" w:rsidP="00EA78D2" w:rsidRDefault="00D63CA2" w14:paraId="35E45927" w14:textId="77777777">
      <w:pPr>
        <w:spacing w:after="0" w:line="360" w:lineRule="auto"/>
        <w:jc w:val="both"/>
        <w:rPr>
          <w:rFonts w:ascii="Arial" w:hAnsi="Arial" w:eastAsia="Arial" w:cs="Arial"/>
        </w:rPr>
      </w:pPr>
    </w:p>
    <w:p w:rsidRPr="0027235C" w:rsidR="00D63CA2" w:rsidP="00EA78D2" w:rsidRDefault="00BF2F3A" w14:paraId="143D042A" w14:textId="77777777">
      <w:pPr>
        <w:spacing w:line="360" w:lineRule="auto"/>
        <w:jc w:val="both"/>
        <w:rPr>
          <w:rFonts w:ascii="Arial" w:hAnsi="Arial" w:eastAsia="Arial" w:cs="Arial"/>
          <w:sz w:val="24"/>
          <w:szCs w:val="24"/>
        </w:rPr>
      </w:pPr>
      <w:r w:rsidRPr="0027235C">
        <w:br w:type="page"/>
      </w:r>
    </w:p>
    <w:p w:rsidRPr="0027235C" w:rsidR="00D63CA2" w:rsidP="00EA78D2" w:rsidRDefault="00BF2F3A" w14:paraId="03D56E51" w14:textId="77777777">
      <w:pPr>
        <w:pStyle w:val="Heading1"/>
        <w:rPr>
          <w:rFonts w:eastAsia="Arial"/>
          <w:color w:val="auto"/>
        </w:rPr>
      </w:pPr>
      <w:bookmarkStart w:name="_Toc239530831" w:id="74"/>
      <w:r w:rsidRPr="0027235C">
        <w:rPr>
          <w:rFonts w:eastAsia="Arial"/>
          <w:color w:val="auto"/>
        </w:rPr>
        <w:lastRenderedPageBreak/>
        <w:t>Appendices</w:t>
      </w:r>
      <w:bookmarkEnd w:id="74"/>
      <w:r w:rsidRPr="0027235C">
        <w:rPr>
          <w:rFonts w:eastAsia="Arial"/>
          <w:color w:val="auto"/>
        </w:rPr>
        <w:t xml:space="preserve"> </w:t>
      </w:r>
    </w:p>
    <w:p w:rsidRPr="0027235C" w:rsidR="00D63CA2" w:rsidP="00EA78D2" w:rsidRDefault="00BF2F3A" w14:paraId="2DF5CF9A" w14:textId="77777777">
      <w:pPr>
        <w:pStyle w:val="Heading2"/>
        <w:rPr>
          <w:rFonts w:eastAsia="Arial"/>
          <w:color w:val="auto"/>
        </w:rPr>
      </w:pPr>
      <w:bookmarkStart w:name="_Toc239530832" w:id="75"/>
      <w:r w:rsidRPr="0027235C">
        <w:rPr>
          <w:rFonts w:eastAsia="Arial"/>
          <w:color w:val="auto"/>
        </w:rPr>
        <w:t>Appendix 01: PRISMA Flow Chart</w:t>
      </w:r>
      <w:bookmarkEnd w:id="75"/>
    </w:p>
    <w:p w:rsidRPr="0027235C" w:rsidR="00D63CA2" w:rsidP="00EA78D2" w:rsidRDefault="00BF2F3A" w14:paraId="4A2A06EF" w14:textId="77777777">
      <w:pPr>
        <w:spacing w:line="360" w:lineRule="auto"/>
        <w:jc w:val="center"/>
        <w:rPr>
          <w:rFonts w:ascii="Arial" w:hAnsi="Arial" w:eastAsia="Arial" w:cs="Arial"/>
          <w:sz w:val="24"/>
          <w:szCs w:val="24"/>
        </w:rPr>
      </w:pPr>
      <w:r w:rsidRPr="0027235C">
        <w:rPr>
          <w:rFonts w:ascii="Arial" w:hAnsi="Arial" w:eastAsia="Arial" w:cs="Arial"/>
          <w:noProof/>
          <w:sz w:val="24"/>
          <w:szCs w:val="24"/>
          <w:lang w:val="en-US"/>
        </w:rPr>
        <w:drawing>
          <wp:inline distT="114300" distB="114300" distL="114300" distR="114300" wp14:anchorId="712EFB69" wp14:editId="42EC00F6">
            <wp:extent cx="5733160" cy="6447430"/>
            <wp:effectExtent l="76200" t="76200" r="134620" b="125095"/>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1"/>
                    <a:srcRect/>
                    <a:stretch>
                      <a:fillRect/>
                    </a:stretch>
                  </pic:blipFill>
                  <pic:spPr>
                    <a:xfrm>
                      <a:off x="0" y="0"/>
                      <a:ext cx="5738369" cy="64532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55E4F" w:rsidP="00EA78D2" w:rsidRDefault="00BF2F3A" w14:paraId="4958DD4F" w14:textId="68235CC5">
      <w:pPr>
        <w:spacing w:line="360" w:lineRule="auto"/>
        <w:jc w:val="center"/>
        <w:rPr>
          <w:rFonts w:ascii="Arial" w:hAnsi="Arial" w:eastAsia="Arial" w:cs="Arial"/>
          <w:sz w:val="24"/>
          <w:szCs w:val="24"/>
        </w:rPr>
      </w:pPr>
      <w:r w:rsidRPr="0027235C">
        <w:rPr>
          <w:rFonts w:ascii="Arial" w:hAnsi="Arial" w:eastAsia="Arial" w:cs="Arial"/>
          <w:b/>
          <w:bCs/>
          <w:sz w:val="24"/>
          <w:szCs w:val="24"/>
        </w:rPr>
        <w:t>Source</w:t>
      </w:r>
      <w:r w:rsidRPr="0027235C">
        <w:rPr>
          <w:rFonts w:ascii="Arial" w:hAnsi="Arial" w:eastAsia="Arial" w:cs="Arial"/>
          <w:sz w:val="24"/>
          <w:szCs w:val="24"/>
        </w:rPr>
        <w:t xml:space="preserve">: Self-Created by the Authors and Adapted from Page et al. (2021) </w:t>
      </w:r>
    </w:p>
    <w:p w:rsidR="00F55E4F" w:rsidRDefault="00F55E4F" w14:paraId="2FAAF01F" w14:textId="77777777">
      <w:pPr>
        <w:rPr>
          <w:rFonts w:ascii="Arial" w:hAnsi="Arial" w:eastAsia="Arial" w:cs="Arial"/>
          <w:sz w:val="24"/>
          <w:szCs w:val="24"/>
        </w:rPr>
      </w:pPr>
      <w:r>
        <w:rPr>
          <w:rFonts w:ascii="Arial" w:hAnsi="Arial" w:eastAsia="Arial" w:cs="Arial"/>
          <w:sz w:val="24"/>
          <w:szCs w:val="24"/>
        </w:rPr>
        <w:br w:type="page"/>
      </w:r>
    </w:p>
    <w:p w:rsidR="00D63CA2" w:rsidP="00EA78D2" w:rsidRDefault="00D63CA2" w14:paraId="39E382F2" w14:textId="77777777">
      <w:pPr>
        <w:spacing w:line="360" w:lineRule="auto"/>
        <w:jc w:val="center"/>
        <w:rPr>
          <w:rFonts w:ascii="Arial" w:hAnsi="Arial" w:eastAsia="Arial" w:cs="Arial"/>
          <w:sz w:val="24"/>
          <w:szCs w:val="24"/>
        </w:rPr>
      </w:pPr>
    </w:p>
    <w:p w:rsidR="00D97AB2" w:rsidP="00D97AB2" w:rsidRDefault="00D97AB2" w14:paraId="60F84F2D" w14:textId="09CE783C">
      <w:pPr>
        <w:pStyle w:val="Heading2"/>
        <w:rPr>
          <w:rFonts w:eastAsia="Arial"/>
        </w:rPr>
      </w:pPr>
      <w:bookmarkStart w:name="_Toc239530833" w:id="76"/>
      <w:r>
        <w:rPr>
          <w:rFonts w:eastAsia="Arial"/>
        </w:rPr>
        <w:t xml:space="preserve">Appendix 02: </w:t>
      </w:r>
      <w:r w:rsidRPr="00D97AB2">
        <w:rPr>
          <w:rFonts w:eastAsia="Arial"/>
        </w:rPr>
        <w:t>Literature</w:t>
      </w:r>
      <w:r>
        <w:rPr>
          <w:rFonts w:eastAsia="Arial"/>
        </w:rPr>
        <w:t xml:space="preserve"> Summary</w:t>
      </w:r>
      <w:bookmarkEnd w:id="76"/>
      <w:r>
        <w:rPr>
          <w:rFonts w:eastAsia="Arial"/>
        </w:rPr>
        <w:t xml:space="preserve"> </w:t>
      </w:r>
    </w:p>
    <w:tbl>
      <w:tblPr>
        <w:tblStyle w:val="TableGrid"/>
        <w:tblW w:w="5000" w:type="pct"/>
        <w:tblLook w:val="04A0" w:firstRow="1" w:lastRow="0" w:firstColumn="1" w:lastColumn="0" w:noHBand="0" w:noVBand="1"/>
      </w:tblPr>
      <w:tblGrid>
        <w:gridCol w:w="454"/>
        <w:gridCol w:w="1087"/>
        <w:gridCol w:w="1819"/>
        <w:gridCol w:w="1753"/>
        <w:gridCol w:w="1761"/>
        <w:gridCol w:w="693"/>
        <w:gridCol w:w="1449"/>
      </w:tblGrid>
      <w:tr w:rsidRPr="00D97AB2" w:rsidR="00D97AB2" w:rsidTr="00F55E4F" w14:paraId="1C82C5E2" w14:textId="77777777">
        <w:tc>
          <w:tcPr>
            <w:tcW w:w="252" w:type="pct"/>
            <w:hideMark/>
          </w:tcPr>
          <w:p w:rsidRPr="00535205" w:rsidR="00D97AB2" w:rsidRDefault="00D97AB2" w14:paraId="14611C07" w14:textId="77777777">
            <w:pPr>
              <w:jc w:val="right"/>
              <w:rPr>
                <w:rFonts w:ascii="Arial" w:hAnsi="Arial" w:cs="Arial"/>
                <w:b/>
                <w:bCs/>
                <w:sz w:val="24"/>
                <w:szCs w:val="24"/>
                <w:lang w:val="en-US"/>
              </w:rPr>
            </w:pPr>
            <w:r w:rsidRPr="00535205">
              <w:rPr>
                <w:rFonts w:ascii="Arial" w:hAnsi="Arial" w:cs="Arial"/>
                <w:b/>
                <w:bCs/>
                <w:sz w:val="24"/>
                <w:szCs w:val="24"/>
              </w:rPr>
              <w:t>No.</w:t>
            </w:r>
          </w:p>
        </w:tc>
        <w:tc>
          <w:tcPr>
            <w:tcW w:w="603" w:type="pct"/>
            <w:hideMark/>
          </w:tcPr>
          <w:p w:rsidRPr="00535205" w:rsidR="00D97AB2" w:rsidRDefault="00D97AB2" w14:paraId="6C7CE56C" w14:textId="77777777">
            <w:pPr>
              <w:jc w:val="center"/>
              <w:rPr>
                <w:rFonts w:ascii="Arial" w:hAnsi="Arial" w:cs="Arial"/>
                <w:b/>
                <w:bCs/>
                <w:sz w:val="24"/>
                <w:szCs w:val="24"/>
              </w:rPr>
            </w:pPr>
            <w:r w:rsidRPr="00535205">
              <w:rPr>
                <w:rFonts w:ascii="Arial" w:hAnsi="Arial" w:cs="Arial"/>
                <w:b/>
                <w:bCs/>
                <w:sz w:val="24"/>
                <w:szCs w:val="24"/>
              </w:rPr>
              <w:t>Author(s), year</w:t>
            </w:r>
          </w:p>
        </w:tc>
        <w:tc>
          <w:tcPr>
            <w:tcW w:w="1009" w:type="pct"/>
            <w:hideMark/>
          </w:tcPr>
          <w:p w:rsidRPr="00535205" w:rsidR="00D97AB2" w:rsidRDefault="00D97AB2" w14:paraId="0E7A58DF" w14:textId="77777777">
            <w:pPr>
              <w:jc w:val="center"/>
              <w:rPr>
                <w:rFonts w:ascii="Arial" w:hAnsi="Arial" w:cs="Arial"/>
                <w:b/>
                <w:bCs/>
                <w:sz w:val="24"/>
                <w:szCs w:val="24"/>
              </w:rPr>
            </w:pPr>
            <w:r w:rsidRPr="00535205">
              <w:rPr>
                <w:rFonts w:ascii="Arial" w:hAnsi="Arial" w:cs="Arial"/>
                <w:b/>
                <w:bCs/>
                <w:sz w:val="24"/>
                <w:szCs w:val="24"/>
              </w:rPr>
              <w:t>Purpose/focus of study</w:t>
            </w:r>
          </w:p>
        </w:tc>
        <w:tc>
          <w:tcPr>
            <w:tcW w:w="972" w:type="pct"/>
            <w:hideMark/>
          </w:tcPr>
          <w:p w:rsidRPr="00535205" w:rsidR="00D97AB2" w:rsidRDefault="00D97AB2" w14:paraId="06B02793" w14:textId="77777777">
            <w:pPr>
              <w:jc w:val="center"/>
              <w:rPr>
                <w:rFonts w:ascii="Arial" w:hAnsi="Arial" w:cs="Arial"/>
                <w:b/>
                <w:bCs/>
                <w:sz w:val="24"/>
                <w:szCs w:val="24"/>
              </w:rPr>
            </w:pPr>
            <w:r w:rsidRPr="00535205">
              <w:rPr>
                <w:rFonts w:ascii="Arial" w:hAnsi="Arial" w:cs="Arial"/>
                <w:b/>
                <w:bCs/>
                <w:sz w:val="24"/>
                <w:szCs w:val="24"/>
              </w:rPr>
              <w:t>Country/region</w:t>
            </w:r>
          </w:p>
        </w:tc>
        <w:tc>
          <w:tcPr>
            <w:tcW w:w="977" w:type="pct"/>
            <w:hideMark/>
          </w:tcPr>
          <w:p w:rsidRPr="00535205" w:rsidR="00D97AB2" w:rsidRDefault="00D97AB2" w14:paraId="2EEAED99" w14:textId="77777777">
            <w:pPr>
              <w:jc w:val="center"/>
              <w:rPr>
                <w:rFonts w:ascii="Arial" w:hAnsi="Arial" w:cs="Arial"/>
                <w:b/>
                <w:bCs/>
                <w:sz w:val="24"/>
                <w:szCs w:val="24"/>
              </w:rPr>
            </w:pPr>
            <w:r w:rsidRPr="00535205">
              <w:rPr>
                <w:rFonts w:ascii="Arial" w:hAnsi="Arial" w:cs="Arial"/>
                <w:b/>
                <w:bCs/>
                <w:sz w:val="24"/>
                <w:szCs w:val="24"/>
              </w:rPr>
              <w:t>Type of research</w:t>
            </w:r>
          </w:p>
        </w:tc>
        <w:tc>
          <w:tcPr>
            <w:tcW w:w="384" w:type="pct"/>
            <w:hideMark/>
          </w:tcPr>
          <w:p w:rsidRPr="00535205" w:rsidR="00D97AB2" w:rsidRDefault="00D97AB2" w14:paraId="05A9CD18" w14:textId="77777777">
            <w:pPr>
              <w:jc w:val="center"/>
              <w:rPr>
                <w:rFonts w:ascii="Arial" w:hAnsi="Arial" w:cs="Arial"/>
                <w:b/>
                <w:bCs/>
                <w:sz w:val="24"/>
                <w:szCs w:val="24"/>
              </w:rPr>
            </w:pPr>
            <w:r w:rsidRPr="00535205">
              <w:rPr>
                <w:rFonts w:ascii="Arial" w:hAnsi="Arial" w:cs="Arial"/>
                <w:b/>
                <w:bCs/>
                <w:sz w:val="24"/>
                <w:szCs w:val="24"/>
              </w:rPr>
              <w:t>Theme</w:t>
            </w:r>
          </w:p>
        </w:tc>
        <w:tc>
          <w:tcPr>
            <w:tcW w:w="804" w:type="pct"/>
            <w:hideMark/>
          </w:tcPr>
          <w:p w:rsidRPr="00535205" w:rsidR="00D97AB2" w:rsidRDefault="00D97AB2" w14:paraId="5E2DC245" w14:textId="77777777">
            <w:pPr>
              <w:jc w:val="center"/>
              <w:rPr>
                <w:rFonts w:ascii="Arial" w:hAnsi="Arial" w:cs="Arial"/>
                <w:b/>
                <w:bCs/>
                <w:sz w:val="24"/>
                <w:szCs w:val="24"/>
              </w:rPr>
            </w:pPr>
            <w:r w:rsidRPr="00535205">
              <w:rPr>
                <w:rFonts w:ascii="Arial" w:hAnsi="Arial" w:cs="Arial"/>
                <w:b/>
                <w:bCs/>
                <w:sz w:val="24"/>
                <w:szCs w:val="24"/>
              </w:rPr>
              <w:t>Relevant data/findings</w:t>
            </w:r>
          </w:p>
        </w:tc>
      </w:tr>
      <w:tr w:rsidRPr="00D97AB2" w:rsidR="00D97AB2" w:rsidTr="00F55E4F" w14:paraId="61B7278C" w14:textId="77777777">
        <w:tc>
          <w:tcPr>
            <w:tcW w:w="252" w:type="pct"/>
            <w:hideMark/>
          </w:tcPr>
          <w:p w:rsidRPr="00D97AB2" w:rsidR="00D97AB2" w:rsidRDefault="00D97AB2" w14:paraId="5FEE2965" w14:textId="77777777">
            <w:pPr>
              <w:jc w:val="right"/>
              <w:rPr>
                <w:rFonts w:ascii="Arial" w:hAnsi="Arial" w:cs="Arial"/>
                <w:sz w:val="24"/>
                <w:szCs w:val="24"/>
              </w:rPr>
            </w:pPr>
            <w:r w:rsidRPr="00D97AB2">
              <w:rPr>
                <w:rFonts w:ascii="Arial" w:hAnsi="Arial" w:cs="Arial"/>
                <w:sz w:val="24"/>
                <w:szCs w:val="24"/>
              </w:rPr>
              <w:t>1</w:t>
            </w:r>
          </w:p>
        </w:tc>
        <w:tc>
          <w:tcPr>
            <w:tcW w:w="603" w:type="pct"/>
            <w:hideMark/>
          </w:tcPr>
          <w:p w:rsidRPr="00D97AB2" w:rsidR="00D97AB2" w:rsidRDefault="00D97AB2" w14:paraId="4EB6EDAB" w14:textId="77777777">
            <w:pPr>
              <w:rPr>
                <w:rFonts w:ascii="Arial" w:hAnsi="Arial" w:cs="Arial"/>
                <w:sz w:val="24"/>
                <w:szCs w:val="24"/>
              </w:rPr>
            </w:pPr>
            <w:r w:rsidRPr="00D97AB2">
              <w:rPr>
                <w:rFonts w:ascii="Arial" w:hAnsi="Arial" w:cs="Arial"/>
                <w:sz w:val="24"/>
                <w:szCs w:val="24"/>
              </w:rPr>
              <w:t xml:space="preserve">Kauffeld, Decius &amp; </w:t>
            </w:r>
            <w:proofErr w:type="spellStart"/>
            <w:r w:rsidRPr="00D97AB2">
              <w:rPr>
                <w:rFonts w:ascii="Arial" w:hAnsi="Arial" w:cs="Arial"/>
                <w:sz w:val="24"/>
                <w:szCs w:val="24"/>
              </w:rPr>
              <w:t>Graßmann</w:t>
            </w:r>
            <w:proofErr w:type="spellEnd"/>
            <w:r w:rsidRPr="00D97AB2">
              <w:rPr>
                <w:rFonts w:ascii="Arial" w:hAnsi="Arial" w:cs="Arial"/>
                <w:sz w:val="24"/>
                <w:szCs w:val="24"/>
              </w:rPr>
              <w:t xml:space="preserve"> (2025)</w:t>
            </w:r>
          </w:p>
        </w:tc>
        <w:tc>
          <w:tcPr>
            <w:tcW w:w="1009" w:type="pct"/>
            <w:hideMark/>
          </w:tcPr>
          <w:p w:rsidRPr="00D97AB2" w:rsidR="00D97AB2" w:rsidP="00535205" w:rsidRDefault="00D97AB2" w14:paraId="5AC89B20" w14:textId="77777777">
            <w:pPr>
              <w:jc w:val="both"/>
              <w:rPr>
                <w:rFonts w:ascii="Arial" w:hAnsi="Arial" w:cs="Arial"/>
                <w:sz w:val="24"/>
                <w:szCs w:val="24"/>
              </w:rPr>
            </w:pPr>
            <w:r w:rsidRPr="00D97AB2">
              <w:rPr>
                <w:rFonts w:ascii="Arial" w:hAnsi="Arial" w:cs="Arial"/>
                <w:sz w:val="24"/>
                <w:szCs w:val="24"/>
              </w:rPr>
              <w:t>Examine organisational learning and how learning is transferred into work</w:t>
            </w:r>
          </w:p>
        </w:tc>
        <w:tc>
          <w:tcPr>
            <w:tcW w:w="972" w:type="pct"/>
            <w:hideMark/>
          </w:tcPr>
          <w:p w:rsidRPr="00D97AB2" w:rsidR="00D97AB2" w:rsidP="00535205" w:rsidRDefault="00D97AB2" w14:paraId="5CF40AF1" w14:textId="77777777">
            <w:pPr>
              <w:jc w:val="both"/>
              <w:rPr>
                <w:rFonts w:ascii="Arial" w:hAnsi="Arial" w:cs="Arial"/>
                <w:sz w:val="24"/>
                <w:szCs w:val="24"/>
              </w:rPr>
            </w:pPr>
            <w:r w:rsidRPr="00D97AB2">
              <w:rPr>
                <w:rFonts w:ascii="Arial" w:hAnsi="Arial" w:cs="Arial"/>
                <w:sz w:val="24"/>
                <w:szCs w:val="24"/>
              </w:rPr>
              <w:t>International/European perspective</w:t>
            </w:r>
          </w:p>
        </w:tc>
        <w:tc>
          <w:tcPr>
            <w:tcW w:w="977" w:type="pct"/>
            <w:hideMark/>
          </w:tcPr>
          <w:p w:rsidRPr="00D97AB2" w:rsidR="00D97AB2" w:rsidP="00535205" w:rsidRDefault="00D97AB2" w14:paraId="1954A41B" w14:textId="77777777">
            <w:pPr>
              <w:jc w:val="both"/>
              <w:rPr>
                <w:rFonts w:ascii="Arial" w:hAnsi="Arial" w:cs="Arial"/>
                <w:sz w:val="24"/>
                <w:szCs w:val="24"/>
              </w:rPr>
            </w:pPr>
            <w:r w:rsidRPr="00D97AB2">
              <w:rPr>
                <w:rFonts w:ascii="Arial" w:hAnsi="Arial" w:cs="Arial"/>
                <w:sz w:val="24"/>
                <w:szCs w:val="24"/>
              </w:rPr>
              <w:t>Conceptual/review</w:t>
            </w:r>
          </w:p>
        </w:tc>
        <w:tc>
          <w:tcPr>
            <w:tcW w:w="384" w:type="pct"/>
            <w:hideMark/>
          </w:tcPr>
          <w:p w:rsidRPr="00D97AB2" w:rsidR="00D97AB2" w:rsidP="00535205" w:rsidRDefault="00D97AB2" w14:paraId="5F287081" w14:textId="77777777">
            <w:pPr>
              <w:jc w:val="both"/>
              <w:rPr>
                <w:rFonts w:ascii="Arial" w:hAnsi="Arial" w:cs="Arial"/>
                <w:sz w:val="24"/>
                <w:szCs w:val="24"/>
              </w:rPr>
            </w:pPr>
            <w:r w:rsidRPr="00D97AB2">
              <w:rPr>
                <w:rFonts w:ascii="Arial" w:hAnsi="Arial" w:cs="Arial"/>
                <w:sz w:val="24"/>
                <w:szCs w:val="24"/>
              </w:rPr>
              <w:t>T2, T4</w:t>
            </w:r>
          </w:p>
        </w:tc>
        <w:tc>
          <w:tcPr>
            <w:tcW w:w="804" w:type="pct"/>
            <w:hideMark/>
          </w:tcPr>
          <w:p w:rsidRPr="00D97AB2" w:rsidR="00D97AB2" w:rsidP="00535205" w:rsidRDefault="00D97AB2" w14:paraId="2D70F6C1" w14:textId="77777777">
            <w:pPr>
              <w:jc w:val="both"/>
              <w:rPr>
                <w:rFonts w:ascii="Arial" w:hAnsi="Arial" w:cs="Arial"/>
                <w:sz w:val="24"/>
                <w:szCs w:val="24"/>
              </w:rPr>
            </w:pPr>
            <w:r w:rsidRPr="00D97AB2">
              <w:rPr>
                <w:rFonts w:ascii="Arial" w:hAnsi="Arial" w:cs="Arial"/>
                <w:sz w:val="24"/>
                <w:szCs w:val="24"/>
              </w:rPr>
              <w:t>Shows that workplace application is a critical stage of training effectiveness.</w:t>
            </w:r>
          </w:p>
        </w:tc>
      </w:tr>
      <w:tr w:rsidRPr="00D97AB2" w:rsidR="00D97AB2" w:rsidTr="00F55E4F" w14:paraId="443E539B" w14:textId="77777777">
        <w:tc>
          <w:tcPr>
            <w:tcW w:w="252" w:type="pct"/>
            <w:hideMark/>
          </w:tcPr>
          <w:p w:rsidRPr="00D97AB2" w:rsidR="00D97AB2" w:rsidRDefault="00D97AB2" w14:paraId="4A75131B" w14:textId="77777777">
            <w:pPr>
              <w:jc w:val="right"/>
              <w:rPr>
                <w:rFonts w:ascii="Arial" w:hAnsi="Arial" w:cs="Arial"/>
                <w:sz w:val="24"/>
                <w:szCs w:val="24"/>
              </w:rPr>
            </w:pPr>
            <w:r w:rsidRPr="00D97AB2">
              <w:rPr>
                <w:rFonts w:ascii="Arial" w:hAnsi="Arial" w:cs="Arial"/>
                <w:sz w:val="24"/>
                <w:szCs w:val="24"/>
              </w:rPr>
              <w:t>2</w:t>
            </w:r>
          </w:p>
        </w:tc>
        <w:tc>
          <w:tcPr>
            <w:tcW w:w="603" w:type="pct"/>
            <w:hideMark/>
          </w:tcPr>
          <w:p w:rsidRPr="00D97AB2" w:rsidR="00D97AB2" w:rsidRDefault="00D97AB2" w14:paraId="086AC635" w14:textId="77777777">
            <w:pPr>
              <w:rPr>
                <w:rFonts w:ascii="Arial" w:hAnsi="Arial" w:cs="Arial"/>
                <w:sz w:val="24"/>
                <w:szCs w:val="24"/>
              </w:rPr>
            </w:pPr>
            <w:r w:rsidRPr="00D97AB2">
              <w:rPr>
                <w:rFonts w:ascii="Arial" w:hAnsi="Arial" w:cs="Arial"/>
                <w:sz w:val="24"/>
                <w:szCs w:val="24"/>
              </w:rPr>
              <w:t>Sartori et al. (2018)</w:t>
            </w:r>
          </w:p>
        </w:tc>
        <w:tc>
          <w:tcPr>
            <w:tcW w:w="1009" w:type="pct"/>
            <w:hideMark/>
          </w:tcPr>
          <w:p w:rsidRPr="00D97AB2" w:rsidR="00D97AB2" w:rsidP="00535205" w:rsidRDefault="00D97AB2" w14:paraId="0342991A" w14:textId="77777777">
            <w:pPr>
              <w:jc w:val="both"/>
              <w:rPr>
                <w:rFonts w:ascii="Arial" w:hAnsi="Arial" w:cs="Arial"/>
                <w:sz w:val="24"/>
                <w:szCs w:val="24"/>
              </w:rPr>
            </w:pPr>
            <w:r w:rsidRPr="00D97AB2">
              <w:rPr>
                <w:rFonts w:ascii="Arial" w:hAnsi="Arial" w:cs="Arial"/>
                <w:sz w:val="24"/>
                <w:szCs w:val="24"/>
              </w:rPr>
              <w:t>Examine relationships between training, development, organisational change and innovation</w:t>
            </w:r>
          </w:p>
        </w:tc>
        <w:tc>
          <w:tcPr>
            <w:tcW w:w="972" w:type="pct"/>
            <w:hideMark/>
          </w:tcPr>
          <w:p w:rsidRPr="00D97AB2" w:rsidR="00D97AB2" w:rsidP="00535205" w:rsidRDefault="00D97AB2" w14:paraId="2CF8369D" w14:textId="77777777">
            <w:pPr>
              <w:jc w:val="both"/>
              <w:rPr>
                <w:rFonts w:ascii="Arial" w:hAnsi="Arial" w:cs="Arial"/>
                <w:sz w:val="24"/>
                <w:szCs w:val="24"/>
              </w:rPr>
            </w:pPr>
            <w:r w:rsidRPr="00D97AB2">
              <w:rPr>
                <w:rFonts w:ascii="Arial" w:hAnsi="Arial" w:cs="Arial"/>
                <w:sz w:val="24"/>
                <w:szCs w:val="24"/>
              </w:rPr>
              <w:t>Italy/European perspective</w:t>
            </w:r>
          </w:p>
        </w:tc>
        <w:tc>
          <w:tcPr>
            <w:tcW w:w="977" w:type="pct"/>
            <w:hideMark/>
          </w:tcPr>
          <w:p w:rsidRPr="00D97AB2" w:rsidR="00D97AB2" w:rsidP="00535205" w:rsidRDefault="00D97AB2" w14:paraId="4953F968" w14:textId="77777777">
            <w:pPr>
              <w:jc w:val="both"/>
              <w:rPr>
                <w:rFonts w:ascii="Arial" w:hAnsi="Arial" w:cs="Arial"/>
                <w:sz w:val="24"/>
                <w:szCs w:val="24"/>
              </w:rPr>
            </w:pPr>
            <w:r w:rsidRPr="00D97AB2">
              <w:rPr>
                <w:rFonts w:ascii="Arial" w:hAnsi="Arial" w:cs="Arial"/>
                <w:sz w:val="24"/>
                <w:szCs w:val="24"/>
              </w:rPr>
              <w:t>Conceptual/perspective paper</w:t>
            </w:r>
          </w:p>
        </w:tc>
        <w:tc>
          <w:tcPr>
            <w:tcW w:w="384" w:type="pct"/>
            <w:hideMark/>
          </w:tcPr>
          <w:p w:rsidRPr="00D97AB2" w:rsidR="00D97AB2" w:rsidP="00535205" w:rsidRDefault="00D97AB2" w14:paraId="3593E97E" w14:textId="77777777">
            <w:pPr>
              <w:jc w:val="both"/>
              <w:rPr>
                <w:rFonts w:ascii="Arial" w:hAnsi="Arial" w:cs="Arial"/>
                <w:sz w:val="24"/>
                <w:szCs w:val="24"/>
              </w:rPr>
            </w:pPr>
            <w:r w:rsidRPr="00D97AB2">
              <w:rPr>
                <w:rFonts w:ascii="Arial" w:hAnsi="Arial" w:cs="Arial"/>
                <w:sz w:val="24"/>
                <w:szCs w:val="24"/>
              </w:rPr>
              <w:t>T1</w:t>
            </w:r>
          </w:p>
        </w:tc>
        <w:tc>
          <w:tcPr>
            <w:tcW w:w="804" w:type="pct"/>
            <w:hideMark/>
          </w:tcPr>
          <w:p w:rsidRPr="00D97AB2" w:rsidR="00D97AB2" w:rsidP="00535205" w:rsidRDefault="00D97AB2" w14:paraId="06715108" w14:textId="77777777">
            <w:pPr>
              <w:jc w:val="both"/>
              <w:rPr>
                <w:rFonts w:ascii="Arial" w:hAnsi="Arial" w:cs="Arial"/>
                <w:sz w:val="24"/>
                <w:szCs w:val="24"/>
              </w:rPr>
            </w:pPr>
            <w:r w:rsidRPr="00D97AB2">
              <w:rPr>
                <w:rFonts w:ascii="Arial" w:hAnsi="Arial" w:cs="Arial"/>
                <w:sz w:val="24"/>
                <w:szCs w:val="24"/>
              </w:rPr>
              <w:t>Development supports competence, adaptation, innovation and organisational change.</w:t>
            </w:r>
          </w:p>
        </w:tc>
      </w:tr>
      <w:tr w:rsidRPr="00D97AB2" w:rsidR="00D97AB2" w:rsidTr="00F55E4F" w14:paraId="13C09674" w14:textId="77777777">
        <w:tc>
          <w:tcPr>
            <w:tcW w:w="252" w:type="pct"/>
            <w:hideMark/>
          </w:tcPr>
          <w:p w:rsidRPr="00D97AB2" w:rsidR="00D97AB2" w:rsidRDefault="00D97AB2" w14:paraId="261A47E3" w14:textId="77777777">
            <w:pPr>
              <w:jc w:val="right"/>
              <w:rPr>
                <w:rFonts w:ascii="Arial" w:hAnsi="Arial" w:cs="Arial"/>
                <w:sz w:val="24"/>
                <w:szCs w:val="24"/>
              </w:rPr>
            </w:pPr>
            <w:r w:rsidRPr="00D97AB2">
              <w:rPr>
                <w:rFonts w:ascii="Arial" w:hAnsi="Arial" w:cs="Arial"/>
                <w:sz w:val="24"/>
                <w:szCs w:val="24"/>
              </w:rPr>
              <w:t>3</w:t>
            </w:r>
          </w:p>
        </w:tc>
        <w:tc>
          <w:tcPr>
            <w:tcW w:w="603" w:type="pct"/>
            <w:hideMark/>
          </w:tcPr>
          <w:p w:rsidRPr="00D97AB2" w:rsidR="00D97AB2" w:rsidRDefault="00D97AB2" w14:paraId="59449C7D" w14:textId="77777777">
            <w:pPr>
              <w:rPr>
                <w:rFonts w:ascii="Arial" w:hAnsi="Arial" w:cs="Arial"/>
                <w:sz w:val="24"/>
                <w:szCs w:val="24"/>
              </w:rPr>
            </w:pPr>
            <w:r w:rsidRPr="00D97AB2">
              <w:rPr>
                <w:rFonts w:ascii="Arial" w:hAnsi="Arial" w:cs="Arial"/>
                <w:sz w:val="24"/>
                <w:szCs w:val="24"/>
              </w:rPr>
              <w:t>Boon et al. (2018)</w:t>
            </w:r>
          </w:p>
        </w:tc>
        <w:tc>
          <w:tcPr>
            <w:tcW w:w="1009" w:type="pct"/>
            <w:hideMark/>
          </w:tcPr>
          <w:p w:rsidRPr="00D97AB2" w:rsidR="00D97AB2" w:rsidP="00535205" w:rsidRDefault="00D97AB2" w14:paraId="38345D20" w14:textId="77777777">
            <w:pPr>
              <w:jc w:val="both"/>
              <w:rPr>
                <w:rFonts w:ascii="Arial" w:hAnsi="Arial" w:cs="Arial"/>
                <w:sz w:val="24"/>
                <w:szCs w:val="24"/>
              </w:rPr>
            </w:pPr>
            <w:r w:rsidRPr="00D97AB2">
              <w:rPr>
                <w:rFonts w:ascii="Arial" w:hAnsi="Arial" w:cs="Arial"/>
                <w:sz w:val="24"/>
                <w:szCs w:val="24"/>
              </w:rPr>
              <w:t>Explain how individual knowledge contributes to collective human-capital resources</w:t>
            </w:r>
          </w:p>
        </w:tc>
        <w:tc>
          <w:tcPr>
            <w:tcW w:w="972" w:type="pct"/>
            <w:hideMark/>
          </w:tcPr>
          <w:p w:rsidRPr="00D97AB2" w:rsidR="00D97AB2" w:rsidP="00535205" w:rsidRDefault="00D97AB2" w14:paraId="4BE555D0" w14:textId="77777777">
            <w:pPr>
              <w:jc w:val="both"/>
              <w:rPr>
                <w:rFonts w:ascii="Arial" w:hAnsi="Arial" w:cs="Arial"/>
                <w:sz w:val="24"/>
                <w:szCs w:val="24"/>
              </w:rPr>
            </w:pPr>
            <w:r w:rsidRPr="00D97AB2">
              <w:rPr>
                <w:rFonts w:ascii="Arial" w:hAnsi="Arial" w:cs="Arial"/>
                <w:sz w:val="24"/>
                <w:szCs w:val="24"/>
              </w:rPr>
              <w:t>International/theoretical</w:t>
            </w:r>
          </w:p>
        </w:tc>
        <w:tc>
          <w:tcPr>
            <w:tcW w:w="977" w:type="pct"/>
            <w:hideMark/>
          </w:tcPr>
          <w:p w:rsidRPr="00D97AB2" w:rsidR="00D97AB2" w:rsidP="00535205" w:rsidRDefault="00D97AB2" w14:paraId="3819E774" w14:textId="77777777">
            <w:pPr>
              <w:jc w:val="both"/>
              <w:rPr>
                <w:rFonts w:ascii="Arial" w:hAnsi="Arial" w:cs="Arial"/>
                <w:sz w:val="24"/>
                <w:szCs w:val="24"/>
              </w:rPr>
            </w:pPr>
            <w:r w:rsidRPr="00D97AB2">
              <w:rPr>
                <w:rFonts w:ascii="Arial" w:hAnsi="Arial" w:cs="Arial"/>
                <w:sz w:val="24"/>
                <w:szCs w:val="24"/>
              </w:rPr>
              <w:t>Conceptual/review</w:t>
            </w:r>
          </w:p>
        </w:tc>
        <w:tc>
          <w:tcPr>
            <w:tcW w:w="384" w:type="pct"/>
            <w:hideMark/>
          </w:tcPr>
          <w:p w:rsidRPr="00D97AB2" w:rsidR="00D97AB2" w:rsidP="00535205" w:rsidRDefault="00D97AB2" w14:paraId="54D10D47" w14:textId="77777777">
            <w:pPr>
              <w:jc w:val="both"/>
              <w:rPr>
                <w:rFonts w:ascii="Arial" w:hAnsi="Arial" w:cs="Arial"/>
                <w:sz w:val="24"/>
                <w:szCs w:val="24"/>
              </w:rPr>
            </w:pPr>
            <w:r w:rsidRPr="00D97AB2">
              <w:rPr>
                <w:rFonts w:ascii="Arial" w:hAnsi="Arial" w:cs="Arial"/>
                <w:sz w:val="24"/>
                <w:szCs w:val="24"/>
              </w:rPr>
              <w:t>T1</w:t>
            </w:r>
          </w:p>
        </w:tc>
        <w:tc>
          <w:tcPr>
            <w:tcW w:w="804" w:type="pct"/>
            <w:hideMark/>
          </w:tcPr>
          <w:p w:rsidRPr="00D97AB2" w:rsidR="00D97AB2" w:rsidP="00535205" w:rsidRDefault="00D97AB2" w14:paraId="72F74936" w14:textId="77777777">
            <w:pPr>
              <w:jc w:val="both"/>
              <w:rPr>
                <w:rFonts w:ascii="Arial" w:hAnsi="Arial" w:cs="Arial"/>
                <w:sz w:val="24"/>
                <w:szCs w:val="24"/>
              </w:rPr>
            </w:pPr>
            <w:r w:rsidRPr="00D97AB2">
              <w:rPr>
                <w:rFonts w:ascii="Arial" w:hAnsi="Arial" w:cs="Arial"/>
                <w:sz w:val="24"/>
                <w:szCs w:val="24"/>
              </w:rPr>
              <w:t>Distinguishes individual human capital from collective strategically valuable capability.</w:t>
            </w:r>
          </w:p>
        </w:tc>
      </w:tr>
      <w:tr w:rsidRPr="00D97AB2" w:rsidR="00D97AB2" w:rsidTr="00F55E4F" w14:paraId="50C7A186" w14:textId="77777777">
        <w:tc>
          <w:tcPr>
            <w:tcW w:w="252" w:type="pct"/>
            <w:hideMark/>
          </w:tcPr>
          <w:p w:rsidRPr="00D97AB2" w:rsidR="00D97AB2" w:rsidRDefault="00D97AB2" w14:paraId="5E58A11A" w14:textId="77777777">
            <w:pPr>
              <w:jc w:val="right"/>
              <w:rPr>
                <w:rFonts w:ascii="Arial" w:hAnsi="Arial" w:cs="Arial"/>
                <w:sz w:val="24"/>
                <w:szCs w:val="24"/>
              </w:rPr>
            </w:pPr>
            <w:r w:rsidRPr="00D97AB2">
              <w:rPr>
                <w:rFonts w:ascii="Arial" w:hAnsi="Arial" w:cs="Arial"/>
                <w:sz w:val="24"/>
                <w:szCs w:val="24"/>
              </w:rPr>
              <w:t>4</w:t>
            </w:r>
          </w:p>
        </w:tc>
        <w:tc>
          <w:tcPr>
            <w:tcW w:w="603" w:type="pct"/>
            <w:hideMark/>
          </w:tcPr>
          <w:p w:rsidRPr="00D97AB2" w:rsidR="00D97AB2" w:rsidRDefault="00D97AB2" w14:paraId="09294ECC" w14:textId="77777777">
            <w:pPr>
              <w:rPr>
                <w:rFonts w:ascii="Arial" w:hAnsi="Arial" w:cs="Arial"/>
                <w:sz w:val="24"/>
                <w:szCs w:val="24"/>
              </w:rPr>
            </w:pPr>
            <w:proofErr w:type="spellStart"/>
            <w:r w:rsidRPr="00D97AB2">
              <w:rPr>
                <w:rFonts w:ascii="Arial" w:hAnsi="Arial" w:cs="Arial"/>
                <w:sz w:val="24"/>
                <w:szCs w:val="24"/>
              </w:rPr>
              <w:t>Garavan</w:t>
            </w:r>
            <w:proofErr w:type="spellEnd"/>
            <w:r w:rsidRPr="00D97AB2">
              <w:rPr>
                <w:rFonts w:ascii="Arial" w:hAnsi="Arial" w:cs="Arial"/>
                <w:sz w:val="24"/>
                <w:szCs w:val="24"/>
              </w:rPr>
              <w:t xml:space="preserve"> et al. (2021a)</w:t>
            </w:r>
          </w:p>
        </w:tc>
        <w:tc>
          <w:tcPr>
            <w:tcW w:w="1009" w:type="pct"/>
            <w:hideMark/>
          </w:tcPr>
          <w:p w:rsidRPr="00D97AB2" w:rsidR="00D97AB2" w:rsidP="00535205" w:rsidRDefault="00D97AB2" w14:paraId="10C08E40" w14:textId="77777777">
            <w:pPr>
              <w:jc w:val="both"/>
              <w:rPr>
                <w:rFonts w:ascii="Arial" w:hAnsi="Arial" w:cs="Arial"/>
                <w:sz w:val="24"/>
                <w:szCs w:val="24"/>
              </w:rPr>
            </w:pPr>
            <w:r w:rsidRPr="00D97AB2">
              <w:rPr>
                <w:rFonts w:ascii="Arial" w:hAnsi="Arial" w:cs="Arial"/>
                <w:sz w:val="24"/>
                <w:szCs w:val="24"/>
              </w:rPr>
              <w:t>Review the training–firm performance literature through a systems perspective</w:t>
            </w:r>
          </w:p>
        </w:tc>
        <w:tc>
          <w:tcPr>
            <w:tcW w:w="972" w:type="pct"/>
            <w:hideMark/>
          </w:tcPr>
          <w:p w:rsidRPr="00D97AB2" w:rsidR="00D97AB2" w:rsidP="00535205" w:rsidRDefault="00D97AB2" w14:paraId="461DF22F"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05E0D31D" w14:textId="77777777">
            <w:pPr>
              <w:jc w:val="both"/>
              <w:rPr>
                <w:rFonts w:ascii="Arial" w:hAnsi="Arial" w:cs="Arial"/>
                <w:sz w:val="24"/>
                <w:szCs w:val="24"/>
              </w:rPr>
            </w:pPr>
            <w:r w:rsidRPr="00D97AB2">
              <w:rPr>
                <w:rFonts w:ascii="Arial" w:hAnsi="Arial" w:cs="Arial"/>
                <w:sz w:val="24"/>
                <w:szCs w:val="24"/>
              </w:rPr>
              <w:t>Systematic/review paper</w:t>
            </w:r>
          </w:p>
        </w:tc>
        <w:tc>
          <w:tcPr>
            <w:tcW w:w="384" w:type="pct"/>
            <w:hideMark/>
          </w:tcPr>
          <w:p w:rsidRPr="00D97AB2" w:rsidR="00D97AB2" w:rsidP="00535205" w:rsidRDefault="00D97AB2" w14:paraId="1D0FB171" w14:textId="77777777">
            <w:pPr>
              <w:jc w:val="both"/>
              <w:rPr>
                <w:rFonts w:ascii="Arial" w:hAnsi="Arial" w:cs="Arial"/>
                <w:sz w:val="24"/>
                <w:szCs w:val="24"/>
              </w:rPr>
            </w:pPr>
            <w:r w:rsidRPr="00D97AB2">
              <w:rPr>
                <w:rFonts w:ascii="Arial" w:hAnsi="Arial" w:cs="Arial"/>
                <w:sz w:val="24"/>
                <w:szCs w:val="24"/>
              </w:rPr>
              <w:t>T1, T4</w:t>
            </w:r>
          </w:p>
        </w:tc>
        <w:tc>
          <w:tcPr>
            <w:tcW w:w="804" w:type="pct"/>
            <w:hideMark/>
          </w:tcPr>
          <w:p w:rsidRPr="00D97AB2" w:rsidR="00D97AB2" w:rsidP="00535205" w:rsidRDefault="00D97AB2" w14:paraId="7E16EE79" w14:textId="77777777">
            <w:pPr>
              <w:jc w:val="both"/>
              <w:rPr>
                <w:rFonts w:ascii="Arial" w:hAnsi="Arial" w:cs="Arial"/>
                <w:sz w:val="24"/>
                <w:szCs w:val="24"/>
              </w:rPr>
            </w:pPr>
            <w:r w:rsidRPr="00D97AB2">
              <w:rPr>
                <w:rFonts w:ascii="Arial" w:hAnsi="Arial" w:cs="Arial"/>
                <w:sz w:val="24"/>
                <w:szCs w:val="24"/>
              </w:rPr>
              <w:t xml:space="preserve">Reviewed </w:t>
            </w:r>
            <w:r w:rsidRPr="00D97AB2">
              <w:rPr>
                <w:rStyle w:val="Strong"/>
                <w:rFonts w:ascii="Arial" w:hAnsi="Arial" w:cs="Arial"/>
                <w:sz w:val="24"/>
                <w:szCs w:val="24"/>
              </w:rPr>
              <w:t>207 quantitative studies</w:t>
            </w:r>
            <w:r w:rsidRPr="00D97AB2">
              <w:rPr>
                <w:rFonts w:ascii="Arial" w:hAnsi="Arial" w:cs="Arial"/>
                <w:sz w:val="24"/>
                <w:szCs w:val="24"/>
              </w:rPr>
              <w:t>; training outcomes depend on inputs, design, workplace processes and organisational support.</w:t>
            </w:r>
          </w:p>
        </w:tc>
      </w:tr>
      <w:tr w:rsidRPr="00D97AB2" w:rsidR="00D97AB2" w:rsidTr="00F55E4F" w14:paraId="669142F0" w14:textId="77777777">
        <w:tc>
          <w:tcPr>
            <w:tcW w:w="252" w:type="pct"/>
            <w:hideMark/>
          </w:tcPr>
          <w:p w:rsidRPr="00D97AB2" w:rsidR="00D97AB2" w:rsidRDefault="00D97AB2" w14:paraId="158C7E67" w14:textId="77777777">
            <w:pPr>
              <w:jc w:val="right"/>
              <w:rPr>
                <w:rFonts w:ascii="Arial" w:hAnsi="Arial" w:cs="Arial"/>
                <w:sz w:val="24"/>
                <w:szCs w:val="24"/>
              </w:rPr>
            </w:pPr>
            <w:r w:rsidRPr="00D97AB2">
              <w:rPr>
                <w:rFonts w:ascii="Arial" w:hAnsi="Arial" w:cs="Arial"/>
                <w:sz w:val="24"/>
                <w:szCs w:val="24"/>
              </w:rPr>
              <w:lastRenderedPageBreak/>
              <w:t>5</w:t>
            </w:r>
          </w:p>
        </w:tc>
        <w:tc>
          <w:tcPr>
            <w:tcW w:w="603" w:type="pct"/>
            <w:hideMark/>
          </w:tcPr>
          <w:p w:rsidRPr="00D97AB2" w:rsidR="00D97AB2" w:rsidRDefault="00D97AB2" w14:paraId="49D9FE66" w14:textId="77777777">
            <w:pPr>
              <w:rPr>
                <w:rFonts w:ascii="Arial" w:hAnsi="Arial" w:cs="Arial"/>
                <w:sz w:val="24"/>
                <w:szCs w:val="24"/>
              </w:rPr>
            </w:pPr>
            <w:proofErr w:type="spellStart"/>
            <w:r w:rsidRPr="00D97AB2">
              <w:rPr>
                <w:rFonts w:ascii="Arial" w:hAnsi="Arial" w:cs="Arial"/>
                <w:sz w:val="24"/>
                <w:szCs w:val="24"/>
              </w:rPr>
              <w:t>Garavan</w:t>
            </w:r>
            <w:proofErr w:type="spellEnd"/>
            <w:r w:rsidRPr="00D97AB2">
              <w:rPr>
                <w:rFonts w:ascii="Arial" w:hAnsi="Arial" w:cs="Arial"/>
                <w:sz w:val="24"/>
                <w:szCs w:val="24"/>
              </w:rPr>
              <w:t xml:space="preserve"> et al. (2021b)</w:t>
            </w:r>
          </w:p>
        </w:tc>
        <w:tc>
          <w:tcPr>
            <w:tcW w:w="1009" w:type="pct"/>
            <w:hideMark/>
          </w:tcPr>
          <w:p w:rsidRPr="00D97AB2" w:rsidR="00D97AB2" w:rsidP="00535205" w:rsidRDefault="00D97AB2" w14:paraId="4B0165BF" w14:textId="77777777">
            <w:pPr>
              <w:jc w:val="both"/>
              <w:rPr>
                <w:rFonts w:ascii="Arial" w:hAnsi="Arial" w:cs="Arial"/>
                <w:sz w:val="24"/>
                <w:szCs w:val="24"/>
              </w:rPr>
            </w:pPr>
            <w:r w:rsidRPr="00D97AB2">
              <w:rPr>
                <w:rFonts w:ascii="Arial" w:hAnsi="Arial" w:cs="Arial"/>
                <w:sz w:val="24"/>
                <w:szCs w:val="24"/>
              </w:rPr>
              <w:t>Determine the overall relationship between training and organisational performance</w:t>
            </w:r>
          </w:p>
        </w:tc>
        <w:tc>
          <w:tcPr>
            <w:tcW w:w="972" w:type="pct"/>
            <w:hideMark/>
          </w:tcPr>
          <w:p w:rsidRPr="00D97AB2" w:rsidR="00D97AB2" w:rsidP="00535205" w:rsidRDefault="00D97AB2" w14:paraId="0FA9304C"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68AE9A44" w14:textId="77777777">
            <w:pPr>
              <w:jc w:val="both"/>
              <w:rPr>
                <w:rFonts w:ascii="Arial" w:hAnsi="Arial" w:cs="Arial"/>
                <w:sz w:val="24"/>
                <w:szCs w:val="24"/>
              </w:rPr>
            </w:pPr>
            <w:r w:rsidRPr="00D97AB2">
              <w:rPr>
                <w:rFonts w:ascii="Arial" w:hAnsi="Arial" w:cs="Arial"/>
                <w:sz w:val="24"/>
                <w:szCs w:val="24"/>
              </w:rPr>
              <w:t>Meta-analysis</w:t>
            </w:r>
          </w:p>
        </w:tc>
        <w:tc>
          <w:tcPr>
            <w:tcW w:w="384" w:type="pct"/>
            <w:hideMark/>
          </w:tcPr>
          <w:p w:rsidRPr="00D97AB2" w:rsidR="00D97AB2" w:rsidP="00535205" w:rsidRDefault="00D97AB2" w14:paraId="0D61078F" w14:textId="77777777">
            <w:pPr>
              <w:jc w:val="both"/>
              <w:rPr>
                <w:rFonts w:ascii="Arial" w:hAnsi="Arial" w:cs="Arial"/>
                <w:sz w:val="24"/>
                <w:szCs w:val="24"/>
              </w:rPr>
            </w:pPr>
            <w:r w:rsidRPr="00D97AB2">
              <w:rPr>
                <w:rFonts w:ascii="Arial" w:hAnsi="Arial" w:cs="Arial"/>
                <w:sz w:val="24"/>
                <w:szCs w:val="24"/>
              </w:rPr>
              <w:t>T1</w:t>
            </w:r>
          </w:p>
        </w:tc>
        <w:tc>
          <w:tcPr>
            <w:tcW w:w="804" w:type="pct"/>
            <w:hideMark/>
          </w:tcPr>
          <w:p w:rsidRPr="00D97AB2" w:rsidR="00D97AB2" w:rsidP="00535205" w:rsidRDefault="00D97AB2" w14:paraId="5E6BBF28" w14:textId="77777777">
            <w:pPr>
              <w:jc w:val="both"/>
              <w:rPr>
                <w:rFonts w:ascii="Arial" w:hAnsi="Arial" w:cs="Arial"/>
                <w:sz w:val="24"/>
                <w:szCs w:val="24"/>
              </w:rPr>
            </w:pPr>
            <w:r w:rsidRPr="00D97AB2">
              <w:rPr>
                <w:rFonts w:ascii="Arial" w:hAnsi="Arial" w:cs="Arial"/>
                <w:sz w:val="24"/>
                <w:szCs w:val="24"/>
              </w:rPr>
              <w:t xml:space="preserve">Meta-analysis of </w:t>
            </w:r>
            <w:r w:rsidRPr="00D97AB2">
              <w:rPr>
                <w:rStyle w:val="Strong"/>
                <w:rFonts w:ascii="Arial" w:hAnsi="Arial" w:cs="Arial"/>
                <w:sz w:val="24"/>
                <w:szCs w:val="24"/>
              </w:rPr>
              <w:t>119 studies</w:t>
            </w:r>
            <w:r w:rsidRPr="00D97AB2">
              <w:rPr>
                <w:rFonts w:ascii="Arial" w:hAnsi="Arial" w:cs="Arial"/>
                <w:sz w:val="24"/>
                <w:szCs w:val="24"/>
              </w:rPr>
              <w:t xml:space="preserve"> identified a positive training–performance relationship influenced by time and contextual factors.</w:t>
            </w:r>
          </w:p>
        </w:tc>
      </w:tr>
      <w:tr w:rsidRPr="00D97AB2" w:rsidR="00D97AB2" w:rsidTr="00F55E4F" w14:paraId="40D27CDC" w14:textId="77777777">
        <w:tc>
          <w:tcPr>
            <w:tcW w:w="252" w:type="pct"/>
            <w:hideMark/>
          </w:tcPr>
          <w:p w:rsidRPr="00D97AB2" w:rsidR="00D97AB2" w:rsidRDefault="00D97AB2" w14:paraId="6DC1D01F" w14:textId="77777777">
            <w:pPr>
              <w:jc w:val="right"/>
              <w:rPr>
                <w:rFonts w:ascii="Arial" w:hAnsi="Arial" w:cs="Arial"/>
                <w:sz w:val="24"/>
                <w:szCs w:val="24"/>
              </w:rPr>
            </w:pPr>
            <w:r w:rsidRPr="00D97AB2">
              <w:rPr>
                <w:rFonts w:ascii="Arial" w:hAnsi="Arial" w:cs="Arial"/>
                <w:sz w:val="24"/>
                <w:szCs w:val="24"/>
              </w:rPr>
              <w:t>6</w:t>
            </w:r>
          </w:p>
        </w:tc>
        <w:tc>
          <w:tcPr>
            <w:tcW w:w="603" w:type="pct"/>
            <w:hideMark/>
          </w:tcPr>
          <w:p w:rsidRPr="00D97AB2" w:rsidR="00D97AB2" w:rsidRDefault="00D97AB2" w14:paraId="3F5A146C" w14:textId="77777777">
            <w:pPr>
              <w:rPr>
                <w:rFonts w:ascii="Arial" w:hAnsi="Arial" w:cs="Arial"/>
                <w:sz w:val="24"/>
                <w:szCs w:val="24"/>
              </w:rPr>
            </w:pPr>
            <w:r w:rsidRPr="00D97AB2">
              <w:rPr>
                <w:rFonts w:ascii="Arial" w:hAnsi="Arial" w:cs="Arial"/>
                <w:sz w:val="24"/>
                <w:szCs w:val="24"/>
              </w:rPr>
              <w:t>Uslu et al. (2022)</w:t>
            </w:r>
          </w:p>
        </w:tc>
        <w:tc>
          <w:tcPr>
            <w:tcW w:w="1009" w:type="pct"/>
            <w:hideMark/>
          </w:tcPr>
          <w:p w:rsidRPr="00D97AB2" w:rsidR="00D97AB2" w:rsidP="00535205" w:rsidRDefault="00D97AB2" w14:paraId="7DCE4115" w14:textId="77777777">
            <w:pPr>
              <w:jc w:val="both"/>
              <w:rPr>
                <w:rFonts w:ascii="Arial" w:hAnsi="Arial" w:cs="Arial"/>
                <w:sz w:val="24"/>
                <w:szCs w:val="24"/>
              </w:rPr>
            </w:pPr>
            <w:r w:rsidRPr="00D97AB2">
              <w:rPr>
                <w:rFonts w:ascii="Arial" w:hAnsi="Arial" w:cs="Arial"/>
                <w:sz w:val="24"/>
                <w:szCs w:val="24"/>
              </w:rPr>
              <w:t>Assess the outcomes produced by different forms of training</w:t>
            </w:r>
          </w:p>
        </w:tc>
        <w:tc>
          <w:tcPr>
            <w:tcW w:w="972" w:type="pct"/>
            <w:hideMark/>
          </w:tcPr>
          <w:p w:rsidRPr="00D97AB2" w:rsidR="00D97AB2" w:rsidP="00535205" w:rsidRDefault="00D97AB2" w14:paraId="6CA3B844"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5FE0E96F" w14:textId="77777777">
            <w:pPr>
              <w:jc w:val="both"/>
              <w:rPr>
                <w:rFonts w:ascii="Arial" w:hAnsi="Arial" w:cs="Arial"/>
                <w:sz w:val="24"/>
                <w:szCs w:val="24"/>
              </w:rPr>
            </w:pPr>
            <w:r w:rsidRPr="00D97AB2">
              <w:rPr>
                <w:rFonts w:ascii="Arial" w:hAnsi="Arial" w:cs="Arial"/>
                <w:sz w:val="24"/>
                <w:szCs w:val="24"/>
              </w:rPr>
              <w:t>Meta-analysis/review</w:t>
            </w:r>
          </w:p>
        </w:tc>
        <w:tc>
          <w:tcPr>
            <w:tcW w:w="384" w:type="pct"/>
            <w:hideMark/>
          </w:tcPr>
          <w:p w:rsidRPr="00D97AB2" w:rsidR="00D97AB2" w:rsidP="00535205" w:rsidRDefault="00D97AB2" w14:paraId="52683458" w14:textId="77777777">
            <w:pPr>
              <w:jc w:val="both"/>
              <w:rPr>
                <w:rFonts w:ascii="Arial" w:hAnsi="Arial" w:cs="Arial"/>
                <w:sz w:val="24"/>
                <w:szCs w:val="24"/>
              </w:rPr>
            </w:pPr>
            <w:r w:rsidRPr="00D97AB2">
              <w:rPr>
                <w:rFonts w:ascii="Arial" w:hAnsi="Arial" w:cs="Arial"/>
                <w:sz w:val="24"/>
                <w:szCs w:val="24"/>
              </w:rPr>
              <w:t>T1</w:t>
            </w:r>
          </w:p>
        </w:tc>
        <w:tc>
          <w:tcPr>
            <w:tcW w:w="804" w:type="pct"/>
            <w:hideMark/>
          </w:tcPr>
          <w:p w:rsidRPr="00D97AB2" w:rsidR="00D97AB2" w:rsidP="00535205" w:rsidRDefault="00D97AB2" w14:paraId="02ACF8D4" w14:textId="77777777">
            <w:pPr>
              <w:jc w:val="both"/>
              <w:rPr>
                <w:rFonts w:ascii="Arial" w:hAnsi="Arial" w:cs="Arial"/>
                <w:sz w:val="24"/>
                <w:szCs w:val="24"/>
              </w:rPr>
            </w:pPr>
            <w:r w:rsidRPr="00D97AB2">
              <w:rPr>
                <w:rStyle w:val="Strong"/>
                <w:rFonts w:ascii="Arial" w:hAnsi="Arial" w:cs="Arial"/>
                <w:b w:val="0"/>
                <w:sz w:val="24"/>
                <w:szCs w:val="24"/>
              </w:rPr>
              <w:t>79 articles and 107 outcomes</w:t>
            </w:r>
            <w:r w:rsidRPr="00D97AB2">
              <w:rPr>
                <w:rFonts w:ascii="Arial" w:hAnsi="Arial" w:cs="Arial"/>
                <w:sz w:val="24"/>
                <w:szCs w:val="24"/>
              </w:rPr>
              <w:t>; benefits included motivation, satisfaction, confidence and engagement, but effects varied by programme.</w:t>
            </w:r>
          </w:p>
        </w:tc>
      </w:tr>
      <w:tr w:rsidRPr="00D97AB2" w:rsidR="00D97AB2" w:rsidTr="00F55E4F" w14:paraId="04FF340F" w14:textId="77777777">
        <w:tc>
          <w:tcPr>
            <w:tcW w:w="252" w:type="pct"/>
            <w:hideMark/>
          </w:tcPr>
          <w:p w:rsidRPr="00D97AB2" w:rsidR="00D97AB2" w:rsidRDefault="00D97AB2" w14:paraId="660CE554" w14:textId="77777777">
            <w:pPr>
              <w:jc w:val="right"/>
              <w:rPr>
                <w:rFonts w:ascii="Arial" w:hAnsi="Arial" w:cs="Arial"/>
                <w:sz w:val="24"/>
                <w:szCs w:val="24"/>
              </w:rPr>
            </w:pPr>
            <w:r w:rsidRPr="00D97AB2">
              <w:rPr>
                <w:rFonts w:ascii="Arial" w:hAnsi="Arial" w:cs="Arial"/>
                <w:sz w:val="24"/>
                <w:szCs w:val="24"/>
              </w:rPr>
              <w:t>7</w:t>
            </w:r>
          </w:p>
        </w:tc>
        <w:tc>
          <w:tcPr>
            <w:tcW w:w="603" w:type="pct"/>
            <w:hideMark/>
          </w:tcPr>
          <w:p w:rsidRPr="00D97AB2" w:rsidR="00D97AB2" w:rsidRDefault="00D97AB2" w14:paraId="17C6BD75" w14:textId="77777777">
            <w:pPr>
              <w:rPr>
                <w:rFonts w:ascii="Arial" w:hAnsi="Arial" w:cs="Arial"/>
                <w:sz w:val="24"/>
                <w:szCs w:val="24"/>
              </w:rPr>
            </w:pPr>
            <w:r w:rsidRPr="00D97AB2">
              <w:rPr>
                <w:rFonts w:ascii="Arial" w:hAnsi="Arial" w:cs="Arial"/>
                <w:sz w:val="24"/>
                <w:szCs w:val="24"/>
              </w:rPr>
              <w:t>Isah Leontes &amp; Hoole (2024)</w:t>
            </w:r>
          </w:p>
        </w:tc>
        <w:tc>
          <w:tcPr>
            <w:tcW w:w="1009" w:type="pct"/>
            <w:hideMark/>
          </w:tcPr>
          <w:p w:rsidRPr="00D97AB2" w:rsidR="00D97AB2" w:rsidP="00535205" w:rsidRDefault="00D97AB2" w14:paraId="3E5EE13C" w14:textId="77777777">
            <w:pPr>
              <w:jc w:val="both"/>
              <w:rPr>
                <w:rFonts w:ascii="Arial" w:hAnsi="Arial" w:cs="Arial"/>
                <w:sz w:val="24"/>
                <w:szCs w:val="24"/>
              </w:rPr>
            </w:pPr>
            <w:r w:rsidRPr="00D97AB2">
              <w:rPr>
                <w:rFonts w:ascii="Arial" w:hAnsi="Arial" w:cs="Arial"/>
                <w:sz w:val="24"/>
                <w:szCs w:val="24"/>
              </w:rPr>
              <w:t>Examine HCM practices, employee engagement and performance</w:t>
            </w:r>
          </w:p>
        </w:tc>
        <w:tc>
          <w:tcPr>
            <w:tcW w:w="972" w:type="pct"/>
            <w:hideMark/>
          </w:tcPr>
          <w:p w:rsidRPr="00D97AB2" w:rsidR="00D97AB2" w:rsidP="00535205" w:rsidRDefault="00D97AB2" w14:paraId="58F38952" w14:textId="77777777">
            <w:pPr>
              <w:jc w:val="both"/>
              <w:rPr>
                <w:rFonts w:ascii="Arial" w:hAnsi="Arial" w:cs="Arial"/>
                <w:sz w:val="24"/>
                <w:szCs w:val="24"/>
              </w:rPr>
            </w:pPr>
            <w:r w:rsidRPr="00D97AB2">
              <w:rPr>
                <w:rFonts w:ascii="Arial" w:hAnsi="Arial" w:cs="Arial"/>
                <w:sz w:val="24"/>
                <w:szCs w:val="24"/>
              </w:rPr>
              <w:t>South Africa</w:t>
            </w:r>
          </w:p>
        </w:tc>
        <w:tc>
          <w:tcPr>
            <w:tcW w:w="977" w:type="pct"/>
            <w:hideMark/>
          </w:tcPr>
          <w:p w:rsidRPr="00D97AB2" w:rsidR="00D97AB2" w:rsidP="00535205" w:rsidRDefault="00D97AB2" w14:paraId="11E7F66B" w14:textId="77777777">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rsidRPr="00D97AB2" w:rsidR="00D97AB2" w:rsidP="00535205" w:rsidRDefault="00D97AB2" w14:paraId="0AE5225E" w14:textId="77777777">
            <w:pPr>
              <w:jc w:val="both"/>
              <w:rPr>
                <w:rFonts w:ascii="Arial" w:hAnsi="Arial" w:cs="Arial"/>
                <w:sz w:val="24"/>
                <w:szCs w:val="24"/>
              </w:rPr>
            </w:pPr>
            <w:r w:rsidRPr="00D97AB2">
              <w:rPr>
                <w:rFonts w:ascii="Arial" w:hAnsi="Arial" w:cs="Arial"/>
                <w:sz w:val="24"/>
                <w:szCs w:val="24"/>
              </w:rPr>
              <w:t>T1, T3</w:t>
            </w:r>
          </w:p>
        </w:tc>
        <w:tc>
          <w:tcPr>
            <w:tcW w:w="804" w:type="pct"/>
            <w:hideMark/>
          </w:tcPr>
          <w:p w:rsidRPr="00D97AB2" w:rsidR="00D97AB2" w:rsidP="00535205" w:rsidRDefault="00D97AB2" w14:paraId="13642C2B" w14:textId="77777777">
            <w:pPr>
              <w:jc w:val="both"/>
              <w:rPr>
                <w:rFonts w:ascii="Arial" w:hAnsi="Arial" w:cs="Arial"/>
                <w:sz w:val="24"/>
                <w:szCs w:val="24"/>
              </w:rPr>
            </w:pPr>
            <w:r w:rsidRPr="00D97AB2">
              <w:rPr>
                <w:rFonts w:ascii="Arial" w:hAnsi="Arial" w:cs="Arial"/>
                <w:sz w:val="24"/>
                <w:szCs w:val="24"/>
              </w:rPr>
              <w:t>Shows that engagement is an important mechanism through which human-capital practices contribute to performance.</w:t>
            </w:r>
          </w:p>
        </w:tc>
      </w:tr>
      <w:tr w:rsidRPr="00D97AB2" w:rsidR="00D97AB2" w:rsidTr="00F55E4F" w14:paraId="613231E3" w14:textId="77777777">
        <w:tc>
          <w:tcPr>
            <w:tcW w:w="252" w:type="pct"/>
            <w:hideMark/>
          </w:tcPr>
          <w:p w:rsidRPr="00D97AB2" w:rsidR="00D97AB2" w:rsidRDefault="00D97AB2" w14:paraId="4D7CCD09" w14:textId="77777777">
            <w:pPr>
              <w:jc w:val="right"/>
              <w:rPr>
                <w:rFonts w:ascii="Arial" w:hAnsi="Arial" w:cs="Arial"/>
                <w:sz w:val="24"/>
                <w:szCs w:val="24"/>
              </w:rPr>
            </w:pPr>
            <w:r w:rsidRPr="00D97AB2">
              <w:rPr>
                <w:rFonts w:ascii="Arial" w:hAnsi="Arial" w:cs="Arial"/>
                <w:sz w:val="24"/>
                <w:szCs w:val="24"/>
              </w:rPr>
              <w:t>8</w:t>
            </w:r>
          </w:p>
        </w:tc>
        <w:tc>
          <w:tcPr>
            <w:tcW w:w="603" w:type="pct"/>
            <w:hideMark/>
          </w:tcPr>
          <w:p w:rsidRPr="00D97AB2" w:rsidR="00D97AB2" w:rsidRDefault="00D97AB2" w14:paraId="47D2A4D7" w14:textId="77777777">
            <w:pPr>
              <w:rPr>
                <w:rFonts w:ascii="Arial" w:hAnsi="Arial" w:cs="Arial"/>
                <w:sz w:val="24"/>
                <w:szCs w:val="24"/>
              </w:rPr>
            </w:pPr>
            <w:r w:rsidRPr="00D97AB2">
              <w:rPr>
                <w:rFonts w:ascii="Arial" w:hAnsi="Arial" w:cs="Arial"/>
                <w:sz w:val="24"/>
                <w:szCs w:val="24"/>
              </w:rPr>
              <w:t>Al-Tit et al. (2022)</w:t>
            </w:r>
          </w:p>
        </w:tc>
        <w:tc>
          <w:tcPr>
            <w:tcW w:w="1009" w:type="pct"/>
            <w:hideMark/>
          </w:tcPr>
          <w:p w:rsidRPr="00D97AB2" w:rsidR="00D97AB2" w:rsidP="00535205" w:rsidRDefault="00D97AB2" w14:paraId="770AAC63" w14:textId="77777777">
            <w:pPr>
              <w:jc w:val="both"/>
              <w:rPr>
                <w:rFonts w:ascii="Arial" w:hAnsi="Arial" w:cs="Arial"/>
                <w:sz w:val="24"/>
                <w:szCs w:val="24"/>
              </w:rPr>
            </w:pPr>
            <w:r w:rsidRPr="00D97AB2">
              <w:rPr>
                <w:rFonts w:ascii="Arial" w:hAnsi="Arial" w:cs="Arial"/>
                <w:sz w:val="24"/>
                <w:szCs w:val="24"/>
              </w:rPr>
              <w:t xml:space="preserve">Examine employee-development practices, human capital, social capital </w:t>
            </w:r>
            <w:r w:rsidRPr="00D97AB2">
              <w:rPr>
                <w:rFonts w:ascii="Arial" w:hAnsi="Arial" w:cs="Arial"/>
                <w:sz w:val="24"/>
                <w:szCs w:val="24"/>
              </w:rPr>
              <w:lastRenderedPageBreak/>
              <w:t>and knowledge management</w:t>
            </w:r>
          </w:p>
        </w:tc>
        <w:tc>
          <w:tcPr>
            <w:tcW w:w="972" w:type="pct"/>
            <w:hideMark/>
          </w:tcPr>
          <w:p w:rsidRPr="00D97AB2" w:rsidR="00D97AB2" w:rsidP="00535205" w:rsidRDefault="00D97AB2" w14:paraId="6F843B76" w14:textId="77777777">
            <w:pPr>
              <w:jc w:val="both"/>
              <w:rPr>
                <w:rFonts w:ascii="Arial" w:hAnsi="Arial" w:cs="Arial"/>
                <w:sz w:val="24"/>
                <w:szCs w:val="24"/>
              </w:rPr>
            </w:pPr>
            <w:r w:rsidRPr="00D97AB2">
              <w:rPr>
                <w:rFonts w:ascii="Arial" w:hAnsi="Arial" w:cs="Arial"/>
                <w:sz w:val="24"/>
                <w:szCs w:val="24"/>
              </w:rPr>
              <w:lastRenderedPageBreak/>
              <w:t>ICT-sector context</w:t>
            </w:r>
          </w:p>
        </w:tc>
        <w:tc>
          <w:tcPr>
            <w:tcW w:w="977" w:type="pct"/>
            <w:hideMark/>
          </w:tcPr>
          <w:p w:rsidRPr="00D97AB2" w:rsidR="00D97AB2" w:rsidP="00535205" w:rsidRDefault="00D97AB2" w14:paraId="3EEA147B" w14:textId="77777777">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rsidRPr="00D97AB2" w:rsidR="00D97AB2" w:rsidP="00535205" w:rsidRDefault="00D97AB2" w14:paraId="35207AD7" w14:textId="77777777">
            <w:pPr>
              <w:jc w:val="both"/>
              <w:rPr>
                <w:rFonts w:ascii="Arial" w:hAnsi="Arial" w:cs="Arial"/>
                <w:sz w:val="24"/>
                <w:szCs w:val="24"/>
              </w:rPr>
            </w:pPr>
            <w:r w:rsidRPr="00D97AB2">
              <w:rPr>
                <w:rFonts w:ascii="Arial" w:hAnsi="Arial" w:cs="Arial"/>
                <w:sz w:val="24"/>
                <w:szCs w:val="24"/>
              </w:rPr>
              <w:t>T1</w:t>
            </w:r>
          </w:p>
        </w:tc>
        <w:tc>
          <w:tcPr>
            <w:tcW w:w="804" w:type="pct"/>
            <w:hideMark/>
          </w:tcPr>
          <w:p w:rsidRPr="00D97AB2" w:rsidR="00D97AB2" w:rsidP="00535205" w:rsidRDefault="00D97AB2" w14:paraId="3A1560E0" w14:textId="77777777">
            <w:pPr>
              <w:jc w:val="both"/>
              <w:rPr>
                <w:rFonts w:ascii="Arial" w:hAnsi="Arial" w:cs="Arial"/>
                <w:sz w:val="24"/>
                <w:szCs w:val="24"/>
              </w:rPr>
            </w:pPr>
            <w:r w:rsidRPr="00D97AB2">
              <w:rPr>
                <w:rStyle w:val="Strong"/>
                <w:rFonts w:ascii="Arial" w:hAnsi="Arial" w:cs="Arial"/>
                <w:b w:val="0"/>
                <w:sz w:val="24"/>
                <w:szCs w:val="24"/>
              </w:rPr>
              <w:t>464 employees</w:t>
            </w:r>
            <w:r w:rsidRPr="00D97AB2">
              <w:rPr>
                <w:rFonts w:ascii="Arial" w:hAnsi="Arial" w:cs="Arial"/>
                <w:sz w:val="24"/>
                <w:szCs w:val="24"/>
              </w:rPr>
              <w:t xml:space="preserve">; development strengthened human </w:t>
            </w:r>
            <w:r w:rsidRPr="00D97AB2">
              <w:rPr>
                <w:rFonts w:ascii="Arial" w:hAnsi="Arial" w:cs="Arial"/>
                <w:sz w:val="24"/>
                <w:szCs w:val="24"/>
              </w:rPr>
              <w:lastRenderedPageBreak/>
              <w:t>capital, while knowledge management contributed to translating development into value.</w:t>
            </w:r>
          </w:p>
        </w:tc>
      </w:tr>
      <w:tr w:rsidRPr="00D97AB2" w:rsidR="00D97AB2" w:rsidTr="00F55E4F" w14:paraId="229A1280" w14:textId="77777777">
        <w:tc>
          <w:tcPr>
            <w:tcW w:w="252" w:type="pct"/>
            <w:hideMark/>
          </w:tcPr>
          <w:p w:rsidRPr="00D97AB2" w:rsidR="00D97AB2" w:rsidRDefault="00D97AB2" w14:paraId="5DB0BA5D" w14:textId="77777777">
            <w:pPr>
              <w:jc w:val="right"/>
              <w:rPr>
                <w:rFonts w:ascii="Arial" w:hAnsi="Arial" w:cs="Arial"/>
                <w:sz w:val="24"/>
                <w:szCs w:val="24"/>
              </w:rPr>
            </w:pPr>
            <w:r w:rsidRPr="00D97AB2">
              <w:rPr>
                <w:rFonts w:ascii="Arial" w:hAnsi="Arial" w:cs="Arial"/>
                <w:sz w:val="24"/>
                <w:szCs w:val="24"/>
              </w:rPr>
              <w:lastRenderedPageBreak/>
              <w:t>9</w:t>
            </w:r>
          </w:p>
        </w:tc>
        <w:tc>
          <w:tcPr>
            <w:tcW w:w="603" w:type="pct"/>
            <w:hideMark/>
          </w:tcPr>
          <w:p w:rsidRPr="00D97AB2" w:rsidR="00D97AB2" w:rsidRDefault="00D97AB2" w14:paraId="5FEA6703" w14:textId="77777777">
            <w:pPr>
              <w:rPr>
                <w:rFonts w:ascii="Arial" w:hAnsi="Arial" w:cs="Arial"/>
                <w:sz w:val="24"/>
                <w:szCs w:val="24"/>
              </w:rPr>
            </w:pPr>
            <w:r w:rsidRPr="00D97AB2">
              <w:rPr>
                <w:rFonts w:ascii="Arial" w:hAnsi="Arial" w:cs="Arial"/>
                <w:sz w:val="24"/>
                <w:szCs w:val="24"/>
              </w:rPr>
              <w:t>Hosen et al. (2024)</w:t>
            </w:r>
          </w:p>
        </w:tc>
        <w:tc>
          <w:tcPr>
            <w:tcW w:w="1009" w:type="pct"/>
            <w:hideMark/>
          </w:tcPr>
          <w:p w:rsidRPr="00D97AB2" w:rsidR="00D97AB2" w:rsidP="00535205" w:rsidRDefault="00D97AB2" w14:paraId="3E7EC724" w14:textId="77777777">
            <w:pPr>
              <w:jc w:val="both"/>
              <w:rPr>
                <w:rFonts w:ascii="Arial" w:hAnsi="Arial" w:cs="Arial"/>
                <w:sz w:val="24"/>
                <w:szCs w:val="24"/>
              </w:rPr>
            </w:pPr>
            <w:r w:rsidRPr="00D97AB2">
              <w:rPr>
                <w:rFonts w:ascii="Arial" w:hAnsi="Arial" w:cs="Arial"/>
                <w:sz w:val="24"/>
                <w:szCs w:val="24"/>
              </w:rPr>
              <w:t>Examine training, career development, organisational commitment and employee performance</w:t>
            </w:r>
          </w:p>
        </w:tc>
        <w:tc>
          <w:tcPr>
            <w:tcW w:w="972" w:type="pct"/>
            <w:hideMark/>
          </w:tcPr>
          <w:p w:rsidRPr="00D97AB2" w:rsidR="00D97AB2" w:rsidP="00535205" w:rsidRDefault="00D97AB2" w14:paraId="20AA7CE2" w14:textId="77777777">
            <w:pPr>
              <w:jc w:val="both"/>
              <w:rPr>
                <w:rFonts w:ascii="Arial" w:hAnsi="Arial" w:cs="Arial"/>
                <w:sz w:val="24"/>
                <w:szCs w:val="24"/>
              </w:rPr>
            </w:pPr>
            <w:r w:rsidRPr="00D97AB2">
              <w:rPr>
                <w:rFonts w:ascii="Arial" w:hAnsi="Arial" w:cs="Arial"/>
                <w:sz w:val="24"/>
                <w:szCs w:val="24"/>
              </w:rPr>
              <w:t>Hotel-sector context</w:t>
            </w:r>
          </w:p>
        </w:tc>
        <w:tc>
          <w:tcPr>
            <w:tcW w:w="977" w:type="pct"/>
            <w:hideMark/>
          </w:tcPr>
          <w:p w:rsidRPr="00D97AB2" w:rsidR="00D97AB2" w:rsidP="00535205" w:rsidRDefault="00D97AB2" w14:paraId="4785A48C" w14:textId="77777777">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rsidRPr="00D97AB2" w:rsidR="00D97AB2" w:rsidP="00535205" w:rsidRDefault="00D97AB2" w14:paraId="6D065C68" w14:textId="77777777">
            <w:pPr>
              <w:jc w:val="both"/>
              <w:rPr>
                <w:rFonts w:ascii="Arial" w:hAnsi="Arial" w:cs="Arial"/>
                <w:sz w:val="24"/>
                <w:szCs w:val="24"/>
              </w:rPr>
            </w:pPr>
            <w:r w:rsidRPr="00D97AB2">
              <w:rPr>
                <w:rFonts w:ascii="Arial" w:hAnsi="Arial" w:cs="Arial"/>
                <w:sz w:val="24"/>
                <w:szCs w:val="24"/>
              </w:rPr>
              <w:t>T1, T3</w:t>
            </w:r>
          </w:p>
        </w:tc>
        <w:tc>
          <w:tcPr>
            <w:tcW w:w="804" w:type="pct"/>
            <w:hideMark/>
          </w:tcPr>
          <w:p w:rsidRPr="00D97AB2" w:rsidR="00D97AB2" w:rsidP="00535205" w:rsidRDefault="00D97AB2" w14:paraId="281401E9" w14:textId="77777777">
            <w:pPr>
              <w:jc w:val="both"/>
              <w:rPr>
                <w:rFonts w:ascii="Arial" w:hAnsi="Arial" w:cs="Arial"/>
                <w:sz w:val="24"/>
                <w:szCs w:val="24"/>
              </w:rPr>
            </w:pPr>
            <w:r w:rsidRPr="00D97AB2">
              <w:rPr>
                <w:rStyle w:val="Strong"/>
                <w:rFonts w:ascii="Arial" w:hAnsi="Arial" w:cs="Arial"/>
                <w:b w:val="0"/>
                <w:sz w:val="24"/>
                <w:szCs w:val="24"/>
              </w:rPr>
              <w:t>362 hotel employees</w:t>
            </w:r>
            <w:r w:rsidRPr="00D97AB2">
              <w:rPr>
                <w:rFonts w:ascii="Arial" w:hAnsi="Arial" w:cs="Arial"/>
                <w:sz w:val="24"/>
                <w:szCs w:val="24"/>
              </w:rPr>
              <w:t>; organisational commitment connected training/career development with performance.</w:t>
            </w:r>
          </w:p>
        </w:tc>
      </w:tr>
      <w:tr w:rsidRPr="00D97AB2" w:rsidR="00D97AB2" w:rsidTr="00F55E4F" w14:paraId="5CC2EBD7" w14:textId="77777777">
        <w:tc>
          <w:tcPr>
            <w:tcW w:w="252" w:type="pct"/>
            <w:hideMark/>
          </w:tcPr>
          <w:p w:rsidRPr="00D97AB2" w:rsidR="00D97AB2" w:rsidRDefault="00D97AB2" w14:paraId="0BC47D96" w14:textId="77777777">
            <w:pPr>
              <w:jc w:val="right"/>
              <w:rPr>
                <w:rFonts w:ascii="Arial" w:hAnsi="Arial" w:cs="Arial"/>
                <w:sz w:val="24"/>
                <w:szCs w:val="24"/>
              </w:rPr>
            </w:pPr>
            <w:r w:rsidRPr="00D97AB2">
              <w:rPr>
                <w:rFonts w:ascii="Arial" w:hAnsi="Arial" w:cs="Arial"/>
                <w:sz w:val="24"/>
                <w:szCs w:val="24"/>
              </w:rPr>
              <w:t>10</w:t>
            </w:r>
          </w:p>
        </w:tc>
        <w:tc>
          <w:tcPr>
            <w:tcW w:w="603" w:type="pct"/>
            <w:hideMark/>
          </w:tcPr>
          <w:p w:rsidRPr="00D97AB2" w:rsidR="00D97AB2" w:rsidRDefault="00D97AB2" w14:paraId="0C12A91B" w14:textId="77777777">
            <w:pPr>
              <w:rPr>
                <w:rFonts w:ascii="Arial" w:hAnsi="Arial" w:cs="Arial"/>
                <w:sz w:val="24"/>
                <w:szCs w:val="24"/>
              </w:rPr>
            </w:pPr>
            <w:proofErr w:type="spellStart"/>
            <w:r w:rsidRPr="00D97AB2">
              <w:rPr>
                <w:rFonts w:ascii="Arial" w:hAnsi="Arial" w:cs="Arial"/>
                <w:sz w:val="24"/>
                <w:szCs w:val="24"/>
              </w:rPr>
              <w:t>Keltu</w:t>
            </w:r>
            <w:proofErr w:type="spellEnd"/>
            <w:r w:rsidRPr="00D97AB2">
              <w:rPr>
                <w:rFonts w:ascii="Arial" w:hAnsi="Arial" w:cs="Arial"/>
                <w:sz w:val="24"/>
                <w:szCs w:val="24"/>
              </w:rPr>
              <w:t xml:space="preserve"> (2024)</w:t>
            </w:r>
          </w:p>
        </w:tc>
        <w:tc>
          <w:tcPr>
            <w:tcW w:w="1009" w:type="pct"/>
            <w:hideMark/>
          </w:tcPr>
          <w:p w:rsidRPr="00D97AB2" w:rsidR="00D97AB2" w:rsidP="00535205" w:rsidRDefault="00D97AB2" w14:paraId="42EE1A78" w14:textId="77777777">
            <w:pPr>
              <w:jc w:val="both"/>
              <w:rPr>
                <w:rFonts w:ascii="Arial" w:hAnsi="Arial" w:cs="Arial"/>
                <w:sz w:val="24"/>
                <w:szCs w:val="24"/>
              </w:rPr>
            </w:pPr>
            <w:r w:rsidRPr="00D97AB2">
              <w:rPr>
                <w:rFonts w:ascii="Arial" w:hAnsi="Arial" w:cs="Arial"/>
                <w:sz w:val="24"/>
                <w:szCs w:val="24"/>
              </w:rPr>
              <w:t>Investigate HR development practices, job satisfaction and employee performance</w:t>
            </w:r>
          </w:p>
        </w:tc>
        <w:tc>
          <w:tcPr>
            <w:tcW w:w="972" w:type="pct"/>
            <w:hideMark/>
          </w:tcPr>
          <w:p w:rsidRPr="00D97AB2" w:rsidR="00D97AB2" w:rsidP="00535205" w:rsidRDefault="00D97AB2" w14:paraId="437A4722" w14:textId="77777777">
            <w:pPr>
              <w:jc w:val="both"/>
              <w:rPr>
                <w:rFonts w:ascii="Arial" w:hAnsi="Arial" w:cs="Arial"/>
                <w:sz w:val="24"/>
                <w:szCs w:val="24"/>
              </w:rPr>
            </w:pPr>
            <w:r w:rsidRPr="00D97AB2">
              <w:rPr>
                <w:rFonts w:ascii="Arial" w:hAnsi="Arial" w:cs="Arial"/>
                <w:sz w:val="24"/>
                <w:szCs w:val="24"/>
              </w:rPr>
              <w:t>Ethiopia</w:t>
            </w:r>
          </w:p>
        </w:tc>
        <w:tc>
          <w:tcPr>
            <w:tcW w:w="977" w:type="pct"/>
            <w:hideMark/>
          </w:tcPr>
          <w:p w:rsidRPr="00D97AB2" w:rsidR="00D97AB2" w:rsidP="00535205" w:rsidRDefault="00D97AB2" w14:paraId="4507BF83" w14:textId="77777777">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rsidRPr="00D97AB2" w:rsidR="00D97AB2" w:rsidP="00535205" w:rsidRDefault="00D97AB2" w14:paraId="554AEE76" w14:textId="77777777">
            <w:pPr>
              <w:jc w:val="both"/>
              <w:rPr>
                <w:rFonts w:ascii="Arial" w:hAnsi="Arial" w:cs="Arial"/>
                <w:sz w:val="24"/>
                <w:szCs w:val="24"/>
              </w:rPr>
            </w:pPr>
            <w:r w:rsidRPr="00D97AB2">
              <w:rPr>
                <w:rFonts w:ascii="Arial" w:hAnsi="Arial" w:cs="Arial"/>
                <w:sz w:val="24"/>
                <w:szCs w:val="24"/>
              </w:rPr>
              <w:t>T1, T3</w:t>
            </w:r>
          </w:p>
        </w:tc>
        <w:tc>
          <w:tcPr>
            <w:tcW w:w="804" w:type="pct"/>
            <w:hideMark/>
          </w:tcPr>
          <w:p w:rsidRPr="00D97AB2" w:rsidR="00D97AB2" w:rsidP="00535205" w:rsidRDefault="00D97AB2" w14:paraId="36AB17F5" w14:textId="77777777">
            <w:pPr>
              <w:jc w:val="both"/>
              <w:rPr>
                <w:rFonts w:ascii="Arial" w:hAnsi="Arial" w:cs="Arial"/>
                <w:sz w:val="24"/>
                <w:szCs w:val="24"/>
              </w:rPr>
            </w:pPr>
            <w:r w:rsidRPr="00D97AB2">
              <w:rPr>
                <w:rFonts w:ascii="Arial" w:hAnsi="Arial" w:cs="Arial"/>
                <w:sz w:val="24"/>
                <w:szCs w:val="24"/>
              </w:rPr>
              <w:t>Job satisfaction acted as a mechanism connecting HRD practices with performance.</w:t>
            </w:r>
          </w:p>
        </w:tc>
      </w:tr>
      <w:tr w:rsidRPr="00D97AB2" w:rsidR="00D97AB2" w:rsidTr="00F55E4F" w14:paraId="534A115C" w14:textId="77777777">
        <w:tc>
          <w:tcPr>
            <w:tcW w:w="252" w:type="pct"/>
            <w:hideMark/>
          </w:tcPr>
          <w:p w:rsidRPr="00D97AB2" w:rsidR="00D97AB2" w:rsidRDefault="00D97AB2" w14:paraId="3CDE8F24" w14:textId="77777777">
            <w:pPr>
              <w:jc w:val="right"/>
              <w:rPr>
                <w:rFonts w:ascii="Arial" w:hAnsi="Arial" w:cs="Arial"/>
                <w:sz w:val="24"/>
                <w:szCs w:val="24"/>
              </w:rPr>
            </w:pPr>
            <w:r w:rsidRPr="00D97AB2">
              <w:rPr>
                <w:rFonts w:ascii="Arial" w:hAnsi="Arial" w:cs="Arial"/>
                <w:sz w:val="24"/>
                <w:szCs w:val="24"/>
              </w:rPr>
              <w:t>11</w:t>
            </w:r>
          </w:p>
        </w:tc>
        <w:tc>
          <w:tcPr>
            <w:tcW w:w="603" w:type="pct"/>
            <w:hideMark/>
          </w:tcPr>
          <w:p w:rsidRPr="00D97AB2" w:rsidR="00D97AB2" w:rsidRDefault="00D97AB2" w14:paraId="41263178" w14:textId="77777777">
            <w:pPr>
              <w:rPr>
                <w:rFonts w:ascii="Arial" w:hAnsi="Arial" w:cs="Arial"/>
                <w:sz w:val="24"/>
                <w:szCs w:val="24"/>
              </w:rPr>
            </w:pPr>
            <w:r w:rsidRPr="00D97AB2">
              <w:rPr>
                <w:rFonts w:ascii="Arial" w:hAnsi="Arial" w:cs="Arial"/>
                <w:sz w:val="24"/>
                <w:szCs w:val="24"/>
              </w:rPr>
              <w:t>McKay et al. (2024)</w:t>
            </w:r>
          </w:p>
        </w:tc>
        <w:tc>
          <w:tcPr>
            <w:tcW w:w="1009" w:type="pct"/>
            <w:hideMark/>
          </w:tcPr>
          <w:p w:rsidRPr="00D97AB2" w:rsidR="00D97AB2" w:rsidP="00535205" w:rsidRDefault="00D97AB2" w14:paraId="714496D1" w14:textId="77777777">
            <w:pPr>
              <w:jc w:val="both"/>
              <w:rPr>
                <w:rFonts w:ascii="Arial" w:hAnsi="Arial" w:cs="Arial"/>
                <w:sz w:val="24"/>
                <w:szCs w:val="24"/>
              </w:rPr>
            </w:pPr>
            <w:r w:rsidRPr="00D97AB2">
              <w:rPr>
                <w:rFonts w:ascii="Arial" w:hAnsi="Arial" w:cs="Arial"/>
                <w:sz w:val="24"/>
                <w:szCs w:val="24"/>
              </w:rPr>
              <w:t>Evaluate whether creativity training improves learning and workplace behaviour</w:t>
            </w:r>
          </w:p>
        </w:tc>
        <w:tc>
          <w:tcPr>
            <w:tcW w:w="972" w:type="pct"/>
            <w:hideMark/>
          </w:tcPr>
          <w:p w:rsidRPr="00D97AB2" w:rsidR="00D97AB2" w:rsidP="00535205" w:rsidRDefault="00D97AB2" w14:paraId="6F5AC20A"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07D2EC0D" w14:textId="77777777">
            <w:pPr>
              <w:jc w:val="both"/>
              <w:rPr>
                <w:rFonts w:ascii="Arial" w:hAnsi="Arial" w:cs="Arial"/>
                <w:sz w:val="24"/>
                <w:szCs w:val="24"/>
              </w:rPr>
            </w:pPr>
            <w:r w:rsidRPr="00D97AB2">
              <w:rPr>
                <w:rFonts w:ascii="Arial" w:hAnsi="Arial" w:cs="Arial"/>
                <w:sz w:val="24"/>
                <w:szCs w:val="24"/>
              </w:rPr>
              <w:t>Meta-analysis</w:t>
            </w:r>
          </w:p>
        </w:tc>
        <w:tc>
          <w:tcPr>
            <w:tcW w:w="384" w:type="pct"/>
            <w:hideMark/>
          </w:tcPr>
          <w:p w:rsidRPr="00D97AB2" w:rsidR="00D97AB2" w:rsidP="00535205" w:rsidRDefault="00D97AB2" w14:paraId="41B67049" w14:textId="77777777">
            <w:pPr>
              <w:jc w:val="both"/>
              <w:rPr>
                <w:rFonts w:ascii="Arial" w:hAnsi="Arial" w:cs="Arial"/>
                <w:sz w:val="24"/>
                <w:szCs w:val="24"/>
              </w:rPr>
            </w:pPr>
            <w:r w:rsidRPr="00D97AB2">
              <w:rPr>
                <w:rFonts w:ascii="Arial" w:hAnsi="Arial" w:cs="Arial"/>
                <w:sz w:val="24"/>
                <w:szCs w:val="24"/>
              </w:rPr>
              <w:t>T1, T2</w:t>
            </w:r>
          </w:p>
        </w:tc>
        <w:tc>
          <w:tcPr>
            <w:tcW w:w="804" w:type="pct"/>
            <w:hideMark/>
          </w:tcPr>
          <w:p w:rsidRPr="00D97AB2" w:rsidR="00D97AB2" w:rsidP="00535205" w:rsidRDefault="00D97AB2" w14:paraId="0EFE77E4" w14:textId="77777777">
            <w:pPr>
              <w:jc w:val="both"/>
              <w:rPr>
                <w:rFonts w:ascii="Arial" w:hAnsi="Arial" w:cs="Arial"/>
                <w:sz w:val="24"/>
                <w:szCs w:val="24"/>
              </w:rPr>
            </w:pPr>
            <w:r w:rsidRPr="00D97AB2">
              <w:rPr>
                <w:rFonts w:ascii="Arial" w:hAnsi="Arial" w:cs="Arial"/>
                <w:sz w:val="24"/>
                <w:szCs w:val="24"/>
              </w:rPr>
              <w:t>Stronger improvements were found for learning than observable behaviour; delayed effects were weaker than immediate effects.</w:t>
            </w:r>
          </w:p>
        </w:tc>
      </w:tr>
      <w:tr w:rsidRPr="00D97AB2" w:rsidR="00D97AB2" w:rsidTr="00F55E4F" w14:paraId="62B4A002" w14:textId="77777777">
        <w:tc>
          <w:tcPr>
            <w:tcW w:w="252" w:type="pct"/>
            <w:hideMark/>
          </w:tcPr>
          <w:p w:rsidRPr="00D97AB2" w:rsidR="00D97AB2" w:rsidRDefault="00D97AB2" w14:paraId="5B88E4B7" w14:textId="77777777">
            <w:pPr>
              <w:jc w:val="right"/>
              <w:rPr>
                <w:rFonts w:ascii="Arial" w:hAnsi="Arial" w:cs="Arial"/>
                <w:sz w:val="24"/>
                <w:szCs w:val="24"/>
              </w:rPr>
            </w:pPr>
            <w:r w:rsidRPr="00D97AB2">
              <w:rPr>
                <w:rFonts w:ascii="Arial" w:hAnsi="Arial" w:cs="Arial"/>
                <w:sz w:val="24"/>
                <w:szCs w:val="24"/>
              </w:rPr>
              <w:lastRenderedPageBreak/>
              <w:t>12</w:t>
            </w:r>
          </w:p>
        </w:tc>
        <w:tc>
          <w:tcPr>
            <w:tcW w:w="603" w:type="pct"/>
            <w:hideMark/>
          </w:tcPr>
          <w:p w:rsidRPr="00D97AB2" w:rsidR="00D97AB2" w:rsidRDefault="00D97AB2" w14:paraId="2DBB28B5" w14:textId="77777777">
            <w:pPr>
              <w:rPr>
                <w:rFonts w:ascii="Arial" w:hAnsi="Arial" w:cs="Arial"/>
                <w:sz w:val="24"/>
                <w:szCs w:val="24"/>
              </w:rPr>
            </w:pPr>
            <w:r w:rsidRPr="00D97AB2">
              <w:rPr>
                <w:rFonts w:ascii="Arial" w:hAnsi="Arial" w:cs="Arial"/>
                <w:sz w:val="24"/>
                <w:szCs w:val="24"/>
              </w:rPr>
              <w:t>Sheehan et al. (2025)</w:t>
            </w:r>
          </w:p>
        </w:tc>
        <w:tc>
          <w:tcPr>
            <w:tcW w:w="1009" w:type="pct"/>
            <w:hideMark/>
          </w:tcPr>
          <w:p w:rsidRPr="00D97AB2" w:rsidR="00D97AB2" w:rsidP="00535205" w:rsidRDefault="00D97AB2" w14:paraId="001574A2" w14:textId="77777777">
            <w:pPr>
              <w:jc w:val="both"/>
              <w:rPr>
                <w:rFonts w:ascii="Arial" w:hAnsi="Arial" w:cs="Arial"/>
                <w:sz w:val="24"/>
                <w:szCs w:val="24"/>
              </w:rPr>
            </w:pPr>
            <w:r w:rsidRPr="00D97AB2">
              <w:rPr>
                <w:rFonts w:ascii="Arial" w:hAnsi="Arial" w:cs="Arial"/>
                <w:sz w:val="24"/>
                <w:szCs w:val="24"/>
              </w:rPr>
              <w:t>Test general and firm-specific training in relation to innovation</w:t>
            </w:r>
          </w:p>
        </w:tc>
        <w:tc>
          <w:tcPr>
            <w:tcW w:w="972" w:type="pct"/>
            <w:hideMark/>
          </w:tcPr>
          <w:p w:rsidRPr="00D97AB2" w:rsidR="00D97AB2" w:rsidP="00535205" w:rsidRDefault="00D97AB2" w14:paraId="52282C43" w14:textId="77777777">
            <w:pPr>
              <w:jc w:val="both"/>
              <w:rPr>
                <w:rFonts w:ascii="Arial" w:hAnsi="Arial" w:cs="Arial"/>
                <w:sz w:val="24"/>
                <w:szCs w:val="24"/>
              </w:rPr>
            </w:pPr>
            <w:r w:rsidRPr="00D97AB2">
              <w:rPr>
                <w:rFonts w:ascii="Arial" w:hAnsi="Arial" w:cs="Arial"/>
                <w:sz w:val="24"/>
                <w:szCs w:val="24"/>
              </w:rPr>
              <w:t>Four European countries</w:t>
            </w:r>
          </w:p>
        </w:tc>
        <w:tc>
          <w:tcPr>
            <w:tcW w:w="977" w:type="pct"/>
            <w:hideMark/>
          </w:tcPr>
          <w:p w:rsidRPr="00D97AB2" w:rsidR="00D97AB2" w:rsidP="00535205" w:rsidRDefault="00D97AB2" w14:paraId="6A36F622" w14:textId="77777777">
            <w:pPr>
              <w:jc w:val="both"/>
              <w:rPr>
                <w:rFonts w:ascii="Arial" w:hAnsi="Arial" w:cs="Arial"/>
                <w:sz w:val="24"/>
                <w:szCs w:val="24"/>
              </w:rPr>
            </w:pPr>
            <w:r w:rsidRPr="00D97AB2">
              <w:rPr>
                <w:rFonts w:ascii="Arial" w:hAnsi="Arial" w:cs="Arial"/>
                <w:sz w:val="24"/>
                <w:szCs w:val="24"/>
              </w:rPr>
              <w:t>Two-wave quantitative study</w:t>
            </w:r>
          </w:p>
        </w:tc>
        <w:tc>
          <w:tcPr>
            <w:tcW w:w="384" w:type="pct"/>
            <w:hideMark/>
          </w:tcPr>
          <w:p w:rsidRPr="00D97AB2" w:rsidR="00D97AB2" w:rsidP="00535205" w:rsidRDefault="00D97AB2" w14:paraId="598D5E20" w14:textId="77777777">
            <w:pPr>
              <w:jc w:val="both"/>
              <w:rPr>
                <w:rFonts w:ascii="Arial" w:hAnsi="Arial" w:cs="Arial"/>
                <w:sz w:val="24"/>
                <w:szCs w:val="24"/>
              </w:rPr>
            </w:pPr>
            <w:r w:rsidRPr="00D97AB2">
              <w:rPr>
                <w:rFonts w:ascii="Arial" w:hAnsi="Arial" w:cs="Arial"/>
                <w:sz w:val="24"/>
                <w:szCs w:val="24"/>
              </w:rPr>
              <w:t>T1</w:t>
            </w:r>
          </w:p>
        </w:tc>
        <w:tc>
          <w:tcPr>
            <w:tcW w:w="804" w:type="pct"/>
            <w:hideMark/>
          </w:tcPr>
          <w:p w:rsidRPr="00D97AB2" w:rsidR="00D97AB2" w:rsidP="00535205" w:rsidRDefault="00D97AB2" w14:paraId="1F60E16C" w14:textId="77777777">
            <w:pPr>
              <w:jc w:val="both"/>
              <w:rPr>
                <w:rFonts w:ascii="Arial" w:hAnsi="Arial" w:cs="Arial"/>
                <w:sz w:val="24"/>
                <w:szCs w:val="24"/>
              </w:rPr>
            </w:pPr>
            <w:r w:rsidRPr="00D97AB2">
              <w:rPr>
                <w:rStyle w:val="Strong"/>
                <w:rFonts w:ascii="Arial" w:hAnsi="Arial" w:cs="Arial"/>
                <w:b w:val="0"/>
                <w:sz w:val="24"/>
                <w:szCs w:val="24"/>
              </w:rPr>
              <w:t>816 knowledge-intensive firms</w:t>
            </w:r>
            <w:r w:rsidRPr="00D97AB2">
              <w:rPr>
                <w:rFonts w:ascii="Arial" w:hAnsi="Arial" w:cs="Arial"/>
                <w:sz w:val="24"/>
                <w:szCs w:val="24"/>
              </w:rPr>
              <w:t>; firm-specific training supported incremental innovation, while general training supported incremental and radical innovation.</w:t>
            </w:r>
          </w:p>
        </w:tc>
      </w:tr>
      <w:tr w:rsidRPr="00D97AB2" w:rsidR="00D97AB2" w:rsidTr="00F55E4F" w14:paraId="5A1E5D13" w14:textId="77777777">
        <w:tc>
          <w:tcPr>
            <w:tcW w:w="252" w:type="pct"/>
            <w:hideMark/>
          </w:tcPr>
          <w:p w:rsidRPr="00D97AB2" w:rsidR="00D97AB2" w:rsidRDefault="00D97AB2" w14:paraId="466B5A46" w14:textId="77777777">
            <w:pPr>
              <w:jc w:val="right"/>
              <w:rPr>
                <w:rFonts w:ascii="Arial" w:hAnsi="Arial" w:cs="Arial"/>
                <w:sz w:val="24"/>
                <w:szCs w:val="24"/>
              </w:rPr>
            </w:pPr>
            <w:r w:rsidRPr="00D97AB2">
              <w:rPr>
                <w:rFonts w:ascii="Arial" w:hAnsi="Arial" w:cs="Arial"/>
                <w:sz w:val="24"/>
                <w:szCs w:val="24"/>
              </w:rPr>
              <w:t>13</w:t>
            </w:r>
          </w:p>
        </w:tc>
        <w:tc>
          <w:tcPr>
            <w:tcW w:w="603" w:type="pct"/>
            <w:hideMark/>
          </w:tcPr>
          <w:p w:rsidRPr="00D97AB2" w:rsidR="00D97AB2" w:rsidRDefault="00D97AB2" w14:paraId="1F72F856" w14:textId="77777777">
            <w:pPr>
              <w:rPr>
                <w:rFonts w:ascii="Arial" w:hAnsi="Arial" w:cs="Arial"/>
                <w:sz w:val="24"/>
                <w:szCs w:val="24"/>
              </w:rPr>
            </w:pPr>
            <w:proofErr w:type="spellStart"/>
            <w:r w:rsidRPr="00D97AB2">
              <w:rPr>
                <w:rFonts w:ascii="Arial" w:hAnsi="Arial" w:cs="Arial"/>
                <w:sz w:val="24"/>
                <w:szCs w:val="24"/>
              </w:rPr>
              <w:t>Bouwmans</w:t>
            </w:r>
            <w:proofErr w:type="spellEnd"/>
            <w:r w:rsidRPr="00D97AB2">
              <w:rPr>
                <w:rFonts w:ascii="Arial" w:hAnsi="Arial" w:cs="Arial"/>
                <w:sz w:val="24"/>
                <w:szCs w:val="24"/>
              </w:rPr>
              <w:t xml:space="preserve"> et al. (2024)</w:t>
            </w:r>
          </w:p>
        </w:tc>
        <w:tc>
          <w:tcPr>
            <w:tcW w:w="1009" w:type="pct"/>
            <w:hideMark/>
          </w:tcPr>
          <w:p w:rsidRPr="00D97AB2" w:rsidR="00D97AB2" w:rsidP="00535205" w:rsidRDefault="00D97AB2" w14:paraId="18ADCAF8" w14:textId="77777777">
            <w:pPr>
              <w:jc w:val="both"/>
              <w:rPr>
                <w:rFonts w:ascii="Arial" w:hAnsi="Arial" w:cs="Arial"/>
                <w:sz w:val="24"/>
                <w:szCs w:val="24"/>
              </w:rPr>
            </w:pPr>
            <w:r w:rsidRPr="00D97AB2">
              <w:rPr>
                <w:rFonts w:ascii="Arial" w:hAnsi="Arial" w:cs="Arial"/>
                <w:sz w:val="24"/>
                <w:szCs w:val="24"/>
              </w:rPr>
              <w:t>Identify skills employees need for digital transformation</w:t>
            </w:r>
          </w:p>
        </w:tc>
        <w:tc>
          <w:tcPr>
            <w:tcW w:w="972" w:type="pct"/>
            <w:hideMark/>
          </w:tcPr>
          <w:p w:rsidRPr="00D97AB2" w:rsidR="00D97AB2" w:rsidP="00535205" w:rsidRDefault="00D97AB2" w14:paraId="5E5049C2"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492A841F" w14:textId="77777777">
            <w:pPr>
              <w:jc w:val="both"/>
              <w:rPr>
                <w:rFonts w:ascii="Arial" w:hAnsi="Arial" w:cs="Arial"/>
                <w:sz w:val="24"/>
                <w:szCs w:val="24"/>
              </w:rPr>
            </w:pPr>
            <w:r w:rsidRPr="00D97AB2">
              <w:rPr>
                <w:rFonts w:ascii="Arial" w:hAnsi="Arial" w:cs="Arial"/>
                <w:sz w:val="24"/>
                <w:szCs w:val="24"/>
              </w:rPr>
              <w:t>Systematic literature review</w:t>
            </w:r>
          </w:p>
        </w:tc>
        <w:tc>
          <w:tcPr>
            <w:tcW w:w="384" w:type="pct"/>
            <w:hideMark/>
          </w:tcPr>
          <w:p w:rsidRPr="00D97AB2" w:rsidR="00D97AB2" w:rsidP="00535205" w:rsidRDefault="00D97AB2" w14:paraId="7F1B81A2" w14:textId="77777777">
            <w:pPr>
              <w:jc w:val="both"/>
              <w:rPr>
                <w:rFonts w:ascii="Arial" w:hAnsi="Arial" w:cs="Arial"/>
                <w:sz w:val="24"/>
                <w:szCs w:val="24"/>
              </w:rPr>
            </w:pPr>
            <w:r w:rsidRPr="00D97AB2">
              <w:rPr>
                <w:rFonts w:ascii="Arial" w:hAnsi="Arial" w:cs="Arial"/>
                <w:sz w:val="24"/>
                <w:szCs w:val="24"/>
              </w:rPr>
              <w:t>T1, T4</w:t>
            </w:r>
          </w:p>
        </w:tc>
        <w:tc>
          <w:tcPr>
            <w:tcW w:w="804" w:type="pct"/>
            <w:hideMark/>
          </w:tcPr>
          <w:p w:rsidRPr="00D97AB2" w:rsidR="00D97AB2" w:rsidP="00535205" w:rsidRDefault="00D97AB2" w14:paraId="5D492507" w14:textId="77777777">
            <w:pPr>
              <w:jc w:val="both"/>
              <w:rPr>
                <w:rFonts w:ascii="Arial" w:hAnsi="Arial" w:cs="Arial"/>
                <w:sz w:val="24"/>
                <w:szCs w:val="24"/>
              </w:rPr>
            </w:pPr>
            <w:r w:rsidRPr="00D97AB2">
              <w:rPr>
                <w:rStyle w:val="Strong"/>
                <w:rFonts w:ascii="Arial" w:hAnsi="Arial" w:cs="Arial"/>
                <w:b w:val="0"/>
                <w:sz w:val="24"/>
                <w:szCs w:val="24"/>
              </w:rPr>
              <w:t>36 studies</w:t>
            </w:r>
            <w:r w:rsidRPr="00D97AB2">
              <w:rPr>
                <w:rFonts w:ascii="Arial" w:hAnsi="Arial" w:cs="Arial"/>
                <w:sz w:val="24"/>
                <w:szCs w:val="24"/>
              </w:rPr>
              <w:t xml:space="preserve"> produced six skillsets and </w:t>
            </w:r>
            <w:r w:rsidRPr="00D97AB2">
              <w:rPr>
                <w:rStyle w:val="Strong"/>
                <w:rFonts w:ascii="Arial" w:hAnsi="Arial" w:cs="Arial"/>
                <w:b w:val="0"/>
                <w:sz w:val="24"/>
                <w:szCs w:val="24"/>
              </w:rPr>
              <w:t>44 skills</w:t>
            </w:r>
            <w:r w:rsidRPr="00D97AB2">
              <w:rPr>
                <w:rFonts w:ascii="Arial" w:hAnsi="Arial" w:cs="Arial"/>
                <w:sz w:val="24"/>
                <w:szCs w:val="24"/>
              </w:rPr>
              <w:t>, including digital working, collaboration, communication and adaptability.</w:t>
            </w:r>
          </w:p>
        </w:tc>
      </w:tr>
      <w:tr w:rsidRPr="00D97AB2" w:rsidR="00D97AB2" w:rsidTr="00F55E4F" w14:paraId="2F80A1B2" w14:textId="77777777">
        <w:tc>
          <w:tcPr>
            <w:tcW w:w="252" w:type="pct"/>
            <w:hideMark/>
          </w:tcPr>
          <w:p w:rsidRPr="00D97AB2" w:rsidR="00D97AB2" w:rsidRDefault="00D97AB2" w14:paraId="59E59272" w14:textId="77777777">
            <w:pPr>
              <w:jc w:val="right"/>
              <w:rPr>
                <w:rFonts w:ascii="Arial" w:hAnsi="Arial" w:cs="Arial"/>
                <w:sz w:val="24"/>
                <w:szCs w:val="24"/>
              </w:rPr>
            </w:pPr>
            <w:r w:rsidRPr="00D97AB2">
              <w:rPr>
                <w:rFonts w:ascii="Arial" w:hAnsi="Arial" w:cs="Arial"/>
                <w:sz w:val="24"/>
                <w:szCs w:val="24"/>
              </w:rPr>
              <w:t>14</w:t>
            </w:r>
          </w:p>
        </w:tc>
        <w:tc>
          <w:tcPr>
            <w:tcW w:w="603" w:type="pct"/>
            <w:hideMark/>
          </w:tcPr>
          <w:p w:rsidRPr="00D97AB2" w:rsidR="00D97AB2" w:rsidRDefault="00D97AB2" w14:paraId="572FF282" w14:textId="77777777">
            <w:pPr>
              <w:rPr>
                <w:rFonts w:ascii="Arial" w:hAnsi="Arial" w:cs="Arial"/>
                <w:sz w:val="24"/>
                <w:szCs w:val="24"/>
              </w:rPr>
            </w:pPr>
            <w:r w:rsidRPr="00D97AB2">
              <w:rPr>
                <w:rFonts w:ascii="Arial" w:hAnsi="Arial" w:cs="Arial"/>
                <w:sz w:val="24"/>
                <w:szCs w:val="24"/>
              </w:rPr>
              <w:t>Ford et al. (2018)</w:t>
            </w:r>
          </w:p>
        </w:tc>
        <w:tc>
          <w:tcPr>
            <w:tcW w:w="1009" w:type="pct"/>
            <w:hideMark/>
          </w:tcPr>
          <w:p w:rsidRPr="00D97AB2" w:rsidR="00D97AB2" w:rsidP="00535205" w:rsidRDefault="00D97AB2" w14:paraId="65774FEC" w14:textId="77777777">
            <w:pPr>
              <w:jc w:val="both"/>
              <w:rPr>
                <w:rFonts w:ascii="Arial" w:hAnsi="Arial" w:cs="Arial"/>
                <w:sz w:val="24"/>
                <w:szCs w:val="24"/>
              </w:rPr>
            </w:pPr>
            <w:r w:rsidRPr="00D97AB2">
              <w:rPr>
                <w:rFonts w:ascii="Arial" w:hAnsi="Arial" w:cs="Arial"/>
                <w:sz w:val="24"/>
                <w:szCs w:val="24"/>
              </w:rPr>
              <w:t>Review what is known about transfer and maintenance of training</w:t>
            </w:r>
          </w:p>
        </w:tc>
        <w:tc>
          <w:tcPr>
            <w:tcW w:w="972" w:type="pct"/>
            <w:hideMark/>
          </w:tcPr>
          <w:p w:rsidRPr="00D97AB2" w:rsidR="00D97AB2" w:rsidP="00535205" w:rsidRDefault="00D97AB2" w14:paraId="2D4203C0"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5896AF9F" w14:textId="77777777">
            <w:pPr>
              <w:jc w:val="both"/>
              <w:rPr>
                <w:rFonts w:ascii="Arial" w:hAnsi="Arial" w:cs="Arial"/>
                <w:sz w:val="24"/>
                <w:szCs w:val="24"/>
              </w:rPr>
            </w:pPr>
            <w:r w:rsidRPr="00D97AB2">
              <w:rPr>
                <w:rFonts w:ascii="Arial" w:hAnsi="Arial" w:cs="Arial"/>
                <w:sz w:val="24"/>
                <w:szCs w:val="24"/>
              </w:rPr>
              <w:t>Review/conceptual paper</w:t>
            </w:r>
          </w:p>
        </w:tc>
        <w:tc>
          <w:tcPr>
            <w:tcW w:w="384" w:type="pct"/>
            <w:hideMark/>
          </w:tcPr>
          <w:p w:rsidRPr="00D97AB2" w:rsidR="00D97AB2" w:rsidP="00535205" w:rsidRDefault="00D97AB2" w14:paraId="27DC3C8E" w14:textId="77777777">
            <w:pPr>
              <w:jc w:val="both"/>
              <w:rPr>
                <w:rFonts w:ascii="Arial" w:hAnsi="Arial" w:cs="Arial"/>
                <w:sz w:val="24"/>
                <w:szCs w:val="24"/>
              </w:rPr>
            </w:pPr>
            <w:r w:rsidRPr="00D97AB2">
              <w:rPr>
                <w:rFonts w:ascii="Arial" w:hAnsi="Arial" w:cs="Arial"/>
                <w:sz w:val="24"/>
                <w:szCs w:val="24"/>
              </w:rPr>
              <w:t>T2</w:t>
            </w:r>
          </w:p>
        </w:tc>
        <w:tc>
          <w:tcPr>
            <w:tcW w:w="804" w:type="pct"/>
            <w:hideMark/>
          </w:tcPr>
          <w:p w:rsidRPr="00D97AB2" w:rsidR="00D97AB2" w:rsidP="00535205" w:rsidRDefault="00D97AB2" w14:paraId="470BEC9A" w14:textId="77777777">
            <w:pPr>
              <w:jc w:val="both"/>
              <w:rPr>
                <w:rFonts w:ascii="Arial" w:hAnsi="Arial" w:cs="Arial"/>
                <w:sz w:val="24"/>
                <w:szCs w:val="24"/>
              </w:rPr>
            </w:pPr>
            <w:r w:rsidRPr="00D97AB2">
              <w:rPr>
                <w:rFonts w:ascii="Arial" w:hAnsi="Arial" w:cs="Arial"/>
                <w:sz w:val="24"/>
                <w:szCs w:val="24"/>
              </w:rPr>
              <w:t>Defines transfer as generalisation and maintenance of learning rather than simple course completion.</w:t>
            </w:r>
          </w:p>
        </w:tc>
      </w:tr>
      <w:tr w:rsidRPr="00D97AB2" w:rsidR="00D97AB2" w:rsidTr="00F55E4F" w14:paraId="3C4D7493" w14:textId="77777777">
        <w:tc>
          <w:tcPr>
            <w:tcW w:w="252" w:type="pct"/>
            <w:hideMark/>
          </w:tcPr>
          <w:p w:rsidRPr="00D97AB2" w:rsidR="00D97AB2" w:rsidRDefault="00D97AB2" w14:paraId="74C7E3A8" w14:textId="77777777">
            <w:pPr>
              <w:jc w:val="right"/>
              <w:rPr>
                <w:rFonts w:ascii="Arial" w:hAnsi="Arial" w:cs="Arial"/>
                <w:sz w:val="24"/>
                <w:szCs w:val="24"/>
              </w:rPr>
            </w:pPr>
            <w:r w:rsidRPr="00D97AB2">
              <w:rPr>
                <w:rFonts w:ascii="Arial" w:hAnsi="Arial" w:cs="Arial"/>
                <w:sz w:val="24"/>
                <w:szCs w:val="24"/>
              </w:rPr>
              <w:t>15</w:t>
            </w:r>
          </w:p>
        </w:tc>
        <w:tc>
          <w:tcPr>
            <w:tcW w:w="603" w:type="pct"/>
            <w:hideMark/>
          </w:tcPr>
          <w:p w:rsidRPr="00D97AB2" w:rsidR="00D97AB2" w:rsidRDefault="00D97AB2" w14:paraId="33759480" w14:textId="77777777">
            <w:pPr>
              <w:rPr>
                <w:rFonts w:ascii="Arial" w:hAnsi="Arial" w:cs="Arial"/>
                <w:sz w:val="24"/>
                <w:szCs w:val="24"/>
              </w:rPr>
            </w:pPr>
            <w:proofErr w:type="spellStart"/>
            <w:r w:rsidRPr="00D97AB2">
              <w:rPr>
                <w:rFonts w:ascii="Arial" w:hAnsi="Arial" w:cs="Arial"/>
                <w:sz w:val="24"/>
                <w:szCs w:val="24"/>
              </w:rPr>
              <w:t>Tonhäuser</w:t>
            </w:r>
            <w:proofErr w:type="spellEnd"/>
            <w:r w:rsidRPr="00D97AB2">
              <w:rPr>
                <w:rFonts w:ascii="Arial" w:hAnsi="Arial" w:cs="Arial"/>
                <w:sz w:val="24"/>
                <w:szCs w:val="24"/>
              </w:rPr>
              <w:t xml:space="preserve"> &amp; </w:t>
            </w:r>
            <w:proofErr w:type="spellStart"/>
            <w:r w:rsidRPr="00D97AB2">
              <w:rPr>
                <w:rFonts w:ascii="Arial" w:hAnsi="Arial" w:cs="Arial"/>
                <w:sz w:val="24"/>
                <w:szCs w:val="24"/>
              </w:rPr>
              <w:t>Büker</w:t>
            </w:r>
            <w:proofErr w:type="spellEnd"/>
            <w:r w:rsidRPr="00D97AB2">
              <w:rPr>
                <w:rFonts w:ascii="Arial" w:hAnsi="Arial" w:cs="Arial"/>
                <w:sz w:val="24"/>
                <w:szCs w:val="24"/>
              </w:rPr>
              <w:t xml:space="preserve"> (2016)</w:t>
            </w:r>
          </w:p>
        </w:tc>
        <w:tc>
          <w:tcPr>
            <w:tcW w:w="1009" w:type="pct"/>
            <w:hideMark/>
          </w:tcPr>
          <w:p w:rsidRPr="00D97AB2" w:rsidR="00D97AB2" w:rsidP="00535205" w:rsidRDefault="00D97AB2" w14:paraId="40CEBEB4" w14:textId="77777777">
            <w:pPr>
              <w:jc w:val="both"/>
              <w:rPr>
                <w:rFonts w:ascii="Arial" w:hAnsi="Arial" w:cs="Arial"/>
                <w:sz w:val="24"/>
                <w:szCs w:val="24"/>
              </w:rPr>
            </w:pPr>
            <w:r w:rsidRPr="00D97AB2">
              <w:rPr>
                <w:rFonts w:ascii="Arial" w:hAnsi="Arial" w:cs="Arial"/>
                <w:sz w:val="24"/>
                <w:szCs w:val="24"/>
              </w:rPr>
              <w:t>Identify determinants of successful training transfer</w:t>
            </w:r>
          </w:p>
        </w:tc>
        <w:tc>
          <w:tcPr>
            <w:tcW w:w="972" w:type="pct"/>
            <w:hideMark/>
          </w:tcPr>
          <w:p w:rsidRPr="00D97AB2" w:rsidR="00D97AB2" w:rsidP="00535205" w:rsidRDefault="00D97AB2" w14:paraId="5676CED0"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26E8F015" w14:textId="77777777">
            <w:pPr>
              <w:jc w:val="both"/>
              <w:rPr>
                <w:rFonts w:ascii="Arial" w:hAnsi="Arial" w:cs="Arial"/>
                <w:sz w:val="24"/>
                <w:szCs w:val="24"/>
              </w:rPr>
            </w:pPr>
            <w:r w:rsidRPr="00D97AB2">
              <w:rPr>
                <w:rFonts w:ascii="Arial" w:hAnsi="Arial" w:cs="Arial"/>
                <w:sz w:val="24"/>
                <w:szCs w:val="24"/>
              </w:rPr>
              <w:t>Literature review</w:t>
            </w:r>
          </w:p>
        </w:tc>
        <w:tc>
          <w:tcPr>
            <w:tcW w:w="384" w:type="pct"/>
            <w:hideMark/>
          </w:tcPr>
          <w:p w:rsidRPr="00D97AB2" w:rsidR="00D97AB2" w:rsidP="00535205" w:rsidRDefault="00D97AB2" w14:paraId="514F2C65" w14:textId="77777777">
            <w:pPr>
              <w:jc w:val="both"/>
              <w:rPr>
                <w:rFonts w:ascii="Arial" w:hAnsi="Arial" w:cs="Arial"/>
                <w:sz w:val="24"/>
                <w:szCs w:val="24"/>
              </w:rPr>
            </w:pPr>
            <w:r w:rsidRPr="00D97AB2">
              <w:rPr>
                <w:rFonts w:ascii="Arial" w:hAnsi="Arial" w:cs="Arial"/>
                <w:sz w:val="24"/>
                <w:szCs w:val="24"/>
              </w:rPr>
              <w:t>T2, T4</w:t>
            </w:r>
          </w:p>
        </w:tc>
        <w:tc>
          <w:tcPr>
            <w:tcW w:w="804" w:type="pct"/>
            <w:hideMark/>
          </w:tcPr>
          <w:p w:rsidRPr="00D97AB2" w:rsidR="00D97AB2" w:rsidP="00535205" w:rsidRDefault="00D97AB2" w14:paraId="65670591" w14:textId="77777777">
            <w:pPr>
              <w:jc w:val="both"/>
              <w:rPr>
                <w:rFonts w:ascii="Arial" w:hAnsi="Arial" w:cs="Arial"/>
                <w:sz w:val="24"/>
                <w:szCs w:val="24"/>
              </w:rPr>
            </w:pPr>
            <w:r w:rsidRPr="00D97AB2">
              <w:rPr>
                <w:rFonts w:ascii="Arial" w:hAnsi="Arial" w:cs="Arial"/>
                <w:sz w:val="24"/>
                <w:szCs w:val="24"/>
              </w:rPr>
              <w:t xml:space="preserve">Identifies learner characteristics, training design and workplace </w:t>
            </w:r>
            <w:r w:rsidRPr="00D97AB2">
              <w:rPr>
                <w:rFonts w:ascii="Arial" w:hAnsi="Arial" w:cs="Arial"/>
                <w:sz w:val="24"/>
                <w:szCs w:val="24"/>
              </w:rPr>
              <w:lastRenderedPageBreak/>
              <w:t>conditions as interconnected transfer determinants.</w:t>
            </w:r>
          </w:p>
        </w:tc>
      </w:tr>
      <w:tr w:rsidRPr="00D97AB2" w:rsidR="00D97AB2" w:rsidTr="00F55E4F" w14:paraId="0662004B" w14:textId="77777777">
        <w:tc>
          <w:tcPr>
            <w:tcW w:w="252" w:type="pct"/>
            <w:hideMark/>
          </w:tcPr>
          <w:p w:rsidRPr="00D97AB2" w:rsidR="00D97AB2" w:rsidRDefault="00D97AB2" w14:paraId="027E10A2" w14:textId="77777777">
            <w:pPr>
              <w:jc w:val="right"/>
              <w:rPr>
                <w:rFonts w:ascii="Arial" w:hAnsi="Arial" w:cs="Arial"/>
                <w:sz w:val="24"/>
                <w:szCs w:val="24"/>
              </w:rPr>
            </w:pPr>
            <w:r w:rsidRPr="00D97AB2">
              <w:rPr>
                <w:rFonts w:ascii="Arial" w:hAnsi="Arial" w:cs="Arial"/>
                <w:sz w:val="24"/>
                <w:szCs w:val="24"/>
              </w:rPr>
              <w:lastRenderedPageBreak/>
              <w:t>16</w:t>
            </w:r>
          </w:p>
        </w:tc>
        <w:tc>
          <w:tcPr>
            <w:tcW w:w="603" w:type="pct"/>
            <w:hideMark/>
          </w:tcPr>
          <w:p w:rsidRPr="00D97AB2" w:rsidR="00D97AB2" w:rsidRDefault="00D97AB2" w14:paraId="3950D98A" w14:textId="77777777">
            <w:pPr>
              <w:rPr>
                <w:rFonts w:ascii="Arial" w:hAnsi="Arial" w:cs="Arial"/>
                <w:sz w:val="24"/>
                <w:szCs w:val="24"/>
              </w:rPr>
            </w:pPr>
            <w:r w:rsidRPr="00D97AB2">
              <w:rPr>
                <w:rFonts w:ascii="Arial" w:hAnsi="Arial" w:cs="Arial"/>
                <w:sz w:val="24"/>
                <w:szCs w:val="24"/>
              </w:rPr>
              <w:t>Yang &amp; Watson (2022)</w:t>
            </w:r>
          </w:p>
        </w:tc>
        <w:tc>
          <w:tcPr>
            <w:tcW w:w="1009" w:type="pct"/>
            <w:hideMark/>
          </w:tcPr>
          <w:p w:rsidRPr="00D97AB2" w:rsidR="00D97AB2" w:rsidP="00535205" w:rsidRDefault="00D97AB2" w14:paraId="6DB64FEF" w14:textId="77777777">
            <w:pPr>
              <w:jc w:val="both"/>
              <w:rPr>
                <w:rFonts w:ascii="Arial" w:hAnsi="Arial" w:cs="Arial"/>
                <w:sz w:val="24"/>
                <w:szCs w:val="24"/>
              </w:rPr>
            </w:pPr>
            <w:r w:rsidRPr="00D97AB2">
              <w:rPr>
                <w:rFonts w:ascii="Arial" w:hAnsi="Arial" w:cs="Arial"/>
                <w:sz w:val="24"/>
                <w:szCs w:val="24"/>
              </w:rPr>
              <w:t>Examine the attitudinal foundations of training transfer</w:t>
            </w:r>
          </w:p>
        </w:tc>
        <w:tc>
          <w:tcPr>
            <w:tcW w:w="972" w:type="pct"/>
            <w:hideMark/>
          </w:tcPr>
          <w:p w:rsidRPr="00D97AB2" w:rsidR="00D97AB2" w:rsidP="00535205" w:rsidRDefault="00D97AB2" w14:paraId="06257BA3"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6704E0C6" w14:textId="77777777">
            <w:pPr>
              <w:jc w:val="both"/>
              <w:rPr>
                <w:rFonts w:ascii="Arial" w:hAnsi="Arial" w:cs="Arial"/>
                <w:sz w:val="24"/>
                <w:szCs w:val="24"/>
              </w:rPr>
            </w:pPr>
            <w:r w:rsidRPr="00D97AB2">
              <w:rPr>
                <w:rFonts w:ascii="Arial" w:hAnsi="Arial" w:cs="Arial"/>
                <w:sz w:val="24"/>
                <w:szCs w:val="24"/>
              </w:rPr>
              <w:t>Systematic review</w:t>
            </w:r>
          </w:p>
        </w:tc>
        <w:tc>
          <w:tcPr>
            <w:tcW w:w="384" w:type="pct"/>
            <w:hideMark/>
          </w:tcPr>
          <w:p w:rsidRPr="00D97AB2" w:rsidR="00D97AB2" w:rsidP="00535205" w:rsidRDefault="00D97AB2" w14:paraId="412FED7D" w14:textId="77777777">
            <w:pPr>
              <w:jc w:val="both"/>
              <w:rPr>
                <w:rFonts w:ascii="Arial" w:hAnsi="Arial" w:cs="Arial"/>
                <w:sz w:val="24"/>
                <w:szCs w:val="24"/>
              </w:rPr>
            </w:pPr>
            <w:r w:rsidRPr="00D97AB2">
              <w:rPr>
                <w:rFonts w:ascii="Arial" w:hAnsi="Arial" w:cs="Arial"/>
                <w:sz w:val="24"/>
                <w:szCs w:val="24"/>
              </w:rPr>
              <w:t>T2</w:t>
            </w:r>
          </w:p>
        </w:tc>
        <w:tc>
          <w:tcPr>
            <w:tcW w:w="804" w:type="pct"/>
            <w:hideMark/>
          </w:tcPr>
          <w:p w:rsidRPr="00D97AB2" w:rsidR="00D97AB2" w:rsidP="00535205" w:rsidRDefault="00D97AB2" w14:paraId="66B69AEA" w14:textId="77777777">
            <w:pPr>
              <w:jc w:val="both"/>
              <w:rPr>
                <w:rFonts w:ascii="Arial" w:hAnsi="Arial" w:cs="Arial"/>
                <w:sz w:val="24"/>
                <w:szCs w:val="24"/>
              </w:rPr>
            </w:pPr>
            <w:r w:rsidRPr="00D97AB2">
              <w:rPr>
                <w:rFonts w:ascii="Arial" w:hAnsi="Arial" w:cs="Arial"/>
                <w:sz w:val="24"/>
                <w:szCs w:val="24"/>
              </w:rPr>
              <w:t xml:space="preserve">Review of </w:t>
            </w:r>
            <w:r w:rsidRPr="00D97AB2">
              <w:rPr>
                <w:rStyle w:val="Strong"/>
                <w:rFonts w:ascii="Arial" w:hAnsi="Arial" w:cs="Arial"/>
                <w:sz w:val="24"/>
                <w:szCs w:val="24"/>
              </w:rPr>
              <w:t>37 studies</w:t>
            </w:r>
            <w:r w:rsidRPr="00D97AB2">
              <w:rPr>
                <w:rFonts w:ascii="Arial" w:hAnsi="Arial" w:cs="Arial"/>
                <w:sz w:val="24"/>
                <w:szCs w:val="24"/>
              </w:rPr>
              <w:t xml:space="preserve"> linked affective, cognitive and behavioural attitudes with transfer motivation.</w:t>
            </w:r>
          </w:p>
        </w:tc>
      </w:tr>
      <w:tr w:rsidRPr="00D97AB2" w:rsidR="00D97AB2" w:rsidTr="00F55E4F" w14:paraId="26CFDD16" w14:textId="77777777">
        <w:tc>
          <w:tcPr>
            <w:tcW w:w="252" w:type="pct"/>
            <w:hideMark/>
          </w:tcPr>
          <w:p w:rsidRPr="00D97AB2" w:rsidR="00D97AB2" w:rsidRDefault="00D97AB2" w14:paraId="78B1E554" w14:textId="77777777">
            <w:pPr>
              <w:jc w:val="right"/>
              <w:rPr>
                <w:rFonts w:ascii="Arial" w:hAnsi="Arial" w:cs="Arial"/>
                <w:sz w:val="24"/>
                <w:szCs w:val="24"/>
              </w:rPr>
            </w:pPr>
            <w:r w:rsidRPr="00D97AB2">
              <w:rPr>
                <w:rFonts w:ascii="Arial" w:hAnsi="Arial" w:cs="Arial"/>
                <w:sz w:val="24"/>
                <w:szCs w:val="24"/>
              </w:rPr>
              <w:t>17</w:t>
            </w:r>
          </w:p>
        </w:tc>
        <w:tc>
          <w:tcPr>
            <w:tcW w:w="603" w:type="pct"/>
            <w:hideMark/>
          </w:tcPr>
          <w:p w:rsidRPr="00D97AB2" w:rsidR="00D97AB2" w:rsidRDefault="00D97AB2" w14:paraId="5BB7CE89" w14:textId="77777777">
            <w:pPr>
              <w:rPr>
                <w:rFonts w:ascii="Arial" w:hAnsi="Arial" w:cs="Arial"/>
                <w:sz w:val="24"/>
                <w:szCs w:val="24"/>
              </w:rPr>
            </w:pPr>
            <w:proofErr w:type="spellStart"/>
            <w:r w:rsidRPr="00D97AB2">
              <w:rPr>
                <w:rFonts w:ascii="Arial" w:hAnsi="Arial" w:cs="Arial"/>
                <w:sz w:val="24"/>
                <w:szCs w:val="24"/>
              </w:rPr>
              <w:t>Hakvoort</w:t>
            </w:r>
            <w:proofErr w:type="spellEnd"/>
            <w:r w:rsidRPr="00D97AB2">
              <w:rPr>
                <w:rFonts w:ascii="Arial" w:hAnsi="Arial" w:cs="Arial"/>
                <w:sz w:val="24"/>
                <w:szCs w:val="24"/>
              </w:rPr>
              <w:t xml:space="preserve"> et al. (2025)</w:t>
            </w:r>
          </w:p>
        </w:tc>
        <w:tc>
          <w:tcPr>
            <w:tcW w:w="1009" w:type="pct"/>
            <w:hideMark/>
          </w:tcPr>
          <w:p w:rsidRPr="00D97AB2" w:rsidR="00D97AB2" w:rsidP="00535205" w:rsidRDefault="00D97AB2" w14:paraId="357B43E6" w14:textId="77777777">
            <w:pPr>
              <w:jc w:val="both"/>
              <w:rPr>
                <w:rFonts w:ascii="Arial" w:hAnsi="Arial" w:cs="Arial"/>
                <w:sz w:val="24"/>
                <w:szCs w:val="24"/>
              </w:rPr>
            </w:pPr>
            <w:r w:rsidRPr="00D97AB2">
              <w:rPr>
                <w:rFonts w:ascii="Arial" w:hAnsi="Arial" w:cs="Arial"/>
                <w:sz w:val="24"/>
                <w:szCs w:val="24"/>
              </w:rPr>
              <w:t>Develop and validate an integrated measure of training transfer</w:t>
            </w:r>
          </w:p>
        </w:tc>
        <w:tc>
          <w:tcPr>
            <w:tcW w:w="972" w:type="pct"/>
            <w:hideMark/>
          </w:tcPr>
          <w:p w:rsidRPr="00D97AB2" w:rsidR="00D97AB2" w:rsidP="00535205" w:rsidRDefault="00D97AB2" w14:paraId="54E89822" w14:textId="77777777">
            <w:pPr>
              <w:jc w:val="both"/>
              <w:rPr>
                <w:rFonts w:ascii="Arial" w:hAnsi="Arial" w:cs="Arial"/>
                <w:sz w:val="24"/>
                <w:szCs w:val="24"/>
              </w:rPr>
            </w:pPr>
            <w:r w:rsidRPr="00D97AB2">
              <w:rPr>
                <w:rFonts w:ascii="Arial" w:hAnsi="Arial" w:cs="Arial"/>
                <w:sz w:val="24"/>
                <w:szCs w:val="24"/>
              </w:rPr>
              <w:t>Netherlands</w:t>
            </w:r>
          </w:p>
        </w:tc>
        <w:tc>
          <w:tcPr>
            <w:tcW w:w="977" w:type="pct"/>
            <w:hideMark/>
          </w:tcPr>
          <w:p w:rsidRPr="00D97AB2" w:rsidR="00D97AB2" w:rsidP="00535205" w:rsidRDefault="00D97AB2" w14:paraId="7A21386C" w14:textId="77777777">
            <w:pPr>
              <w:jc w:val="both"/>
              <w:rPr>
                <w:rFonts w:ascii="Arial" w:hAnsi="Arial" w:cs="Arial"/>
                <w:sz w:val="24"/>
                <w:szCs w:val="24"/>
              </w:rPr>
            </w:pPr>
            <w:r w:rsidRPr="00D97AB2">
              <w:rPr>
                <w:rFonts w:ascii="Arial" w:hAnsi="Arial" w:cs="Arial"/>
                <w:sz w:val="24"/>
                <w:szCs w:val="24"/>
              </w:rPr>
              <w:t>Instrument-development empirical study</w:t>
            </w:r>
          </w:p>
        </w:tc>
        <w:tc>
          <w:tcPr>
            <w:tcW w:w="384" w:type="pct"/>
            <w:hideMark/>
          </w:tcPr>
          <w:p w:rsidRPr="00D97AB2" w:rsidR="00D97AB2" w:rsidP="00535205" w:rsidRDefault="00D97AB2" w14:paraId="677E92E6" w14:textId="77777777">
            <w:pPr>
              <w:jc w:val="both"/>
              <w:rPr>
                <w:rFonts w:ascii="Arial" w:hAnsi="Arial" w:cs="Arial"/>
                <w:sz w:val="24"/>
                <w:szCs w:val="24"/>
              </w:rPr>
            </w:pPr>
            <w:r w:rsidRPr="00D97AB2">
              <w:rPr>
                <w:rFonts w:ascii="Arial" w:hAnsi="Arial" w:cs="Arial"/>
                <w:sz w:val="24"/>
                <w:szCs w:val="24"/>
              </w:rPr>
              <w:t>T2, T4</w:t>
            </w:r>
          </w:p>
        </w:tc>
        <w:tc>
          <w:tcPr>
            <w:tcW w:w="804" w:type="pct"/>
            <w:hideMark/>
          </w:tcPr>
          <w:p w:rsidRPr="00D97AB2" w:rsidR="00D97AB2" w:rsidP="00535205" w:rsidRDefault="00D97AB2" w14:paraId="7DD67192" w14:textId="77777777">
            <w:pPr>
              <w:jc w:val="both"/>
              <w:rPr>
                <w:rFonts w:ascii="Arial" w:hAnsi="Arial" w:cs="Arial"/>
                <w:sz w:val="24"/>
                <w:szCs w:val="24"/>
              </w:rPr>
            </w:pPr>
            <w:r w:rsidRPr="00D97AB2">
              <w:rPr>
                <w:rFonts w:ascii="Arial" w:hAnsi="Arial" w:cs="Arial"/>
                <w:sz w:val="24"/>
                <w:szCs w:val="24"/>
              </w:rPr>
              <w:t xml:space="preserve">Tested with </w:t>
            </w:r>
            <w:r w:rsidRPr="00D97AB2">
              <w:rPr>
                <w:rStyle w:val="Strong"/>
                <w:rFonts w:ascii="Arial" w:hAnsi="Arial" w:cs="Arial"/>
                <w:sz w:val="24"/>
                <w:szCs w:val="24"/>
              </w:rPr>
              <w:t>more than 1,500 nurses</w:t>
            </w:r>
            <w:r w:rsidRPr="00D97AB2">
              <w:rPr>
                <w:rFonts w:ascii="Arial" w:hAnsi="Arial" w:cs="Arial"/>
                <w:sz w:val="24"/>
                <w:szCs w:val="24"/>
              </w:rPr>
              <w:t xml:space="preserve"> in Dutch teaching hospitals; integrates personal, training and organisational determinants.</w:t>
            </w:r>
          </w:p>
        </w:tc>
      </w:tr>
      <w:tr w:rsidRPr="00D97AB2" w:rsidR="00D97AB2" w:rsidTr="00F55E4F" w14:paraId="686D734D" w14:textId="77777777">
        <w:tc>
          <w:tcPr>
            <w:tcW w:w="252" w:type="pct"/>
            <w:hideMark/>
          </w:tcPr>
          <w:p w:rsidRPr="00D97AB2" w:rsidR="00D97AB2" w:rsidRDefault="00D97AB2" w14:paraId="0F614FF7" w14:textId="77777777">
            <w:pPr>
              <w:jc w:val="right"/>
              <w:rPr>
                <w:rFonts w:ascii="Arial" w:hAnsi="Arial" w:cs="Arial"/>
                <w:sz w:val="24"/>
                <w:szCs w:val="24"/>
              </w:rPr>
            </w:pPr>
            <w:r w:rsidRPr="00D97AB2">
              <w:rPr>
                <w:rFonts w:ascii="Arial" w:hAnsi="Arial" w:cs="Arial"/>
                <w:sz w:val="24"/>
                <w:szCs w:val="24"/>
              </w:rPr>
              <w:t>18</w:t>
            </w:r>
          </w:p>
        </w:tc>
        <w:tc>
          <w:tcPr>
            <w:tcW w:w="603" w:type="pct"/>
            <w:hideMark/>
          </w:tcPr>
          <w:p w:rsidRPr="00D97AB2" w:rsidR="00D97AB2" w:rsidRDefault="00D97AB2" w14:paraId="23456856" w14:textId="77777777">
            <w:pPr>
              <w:rPr>
                <w:rFonts w:ascii="Arial" w:hAnsi="Arial" w:cs="Arial"/>
                <w:sz w:val="24"/>
                <w:szCs w:val="24"/>
              </w:rPr>
            </w:pPr>
            <w:proofErr w:type="spellStart"/>
            <w:r w:rsidRPr="00D97AB2">
              <w:rPr>
                <w:rFonts w:ascii="Arial" w:hAnsi="Arial" w:cs="Arial"/>
                <w:sz w:val="24"/>
                <w:szCs w:val="24"/>
              </w:rPr>
              <w:t>Gegenfurtner</w:t>
            </w:r>
            <w:proofErr w:type="spellEnd"/>
            <w:r w:rsidRPr="00D97AB2">
              <w:rPr>
                <w:rFonts w:ascii="Arial" w:hAnsi="Arial" w:cs="Arial"/>
                <w:sz w:val="24"/>
                <w:szCs w:val="24"/>
              </w:rPr>
              <w:t xml:space="preserve"> &amp; Testers (2022)</w:t>
            </w:r>
          </w:p>
        </w:tc>
        <w:tc>
          <w:tcPr>
            <w:tcW w:w="1009" w:type="pct"/>
            <w:hideMark/>
          </w:tcPr>
          <w:p w:rsidRPr="00D97AB2" w:rsidR="00D97AB2" w:rsidP="00535205" w:rsidRDefault="00D97AB2" w14:paraId="38C06829" w14:textId="77777777">
            <w:pPr>
              <w:jc w:val="both"/>
              <w:rPr>
                <w:rFonts w:ascii="Arial" w:hAnsi="Arial" w:cs="Arial"/>
                <w:sz w:val="24"/>
                <w:szCs w:val="24"/>
              </w:rPr>
            </w:pPr>
            <w:r w:rsidRPr="00D97AB2">
              <w:rPr>
                <w:rFonts w:ascii="Arial" w:hAnsi="Arial" w:cs="Arial"/>
                <w:sz w:val="24"/>
                <w:szCs w:val="24"/>
              </w:rPr>
              <w:t>Test whether attitudes and self-efficacy predict transfer intentions and later application</w:t>
            </w:r>
          </w:p>
        </w:tc>
        <w:tc>
          <w:tcPr>
            <w:tcW w:w="972" w:type="pct"/>
            <w:hideMark/>
          </w:tcPr>
          <w:p w:rsidRPr="00D97AB2" w:rsidR="00D97AB2" w:rsidP="00535205" w:rsidRDefault="00D97AB2" w14:paraId="4868BA38" w14:textId="77777777">
            <w:pPr>
              <w:jc w:val="both"/>
              <w:rPr>
                <w:rFonts w:ascii="Arial" w:hAnsi="Arial" w:cs="Arial"/>
                <w:sz w:val="24"/>
                <w:szCs w:val="24"/>
              </w:rPr>
            </w:pPr>
            <w:r w:rsidRPr="00D97AB2">
              <w:rPr>
                <w:rFonts w:ascii="Arial" w:hAnsi="Arial" w:cs="Arial"/>
                <w:sz w:val="24"/>
                <w:szCs w:val="24"/>
              </w:rPr>
              <w:t>European/higher-education context</w:t>
            </w:r>
          </w:p>
        </w:tc>
        <w:tc>
          <w:tcPr>
            <w:tcW w:w="977" w:type="pct"/>
            <w:hideMark/>
          </w:tcPr>
          <w:p w:rsidRPr="00D97AB2" w:rsidR="00D97AB2" w:rsidP="00535205" w:rsidRDefault="00D97AB2" w14:paraId="74BCE190" w14:textId="77777777">
            <w:pPr>
              <w:jc w:val="both"/>
              <w:rPr>
                <w:rFonts w:ascii="Arial" w:hAnsi="Arial" w:cs="Arial"/>
                <w:sz w:val="24"/>
                <w:szCs w:val="24"/>
              </w:rPr>
            </w:pPr>
            <w:r w:rsidRPr="00D97AB2">
              <w:rPr>
                <w:rFonts w:ascii="Arial" w:hAnsi="Arial" w:cs="Arial"/>
                <w:sz w:val="24"/>
                <w:szCs w:val="24"/>
              </w:rPr>
              <w:t>Longitudinal quantitative study</w:t>
            </w:r>
          </w:p>
        </w:tc>
        <w:tc>
          <w:tcPr>
            <w:tcW w:w="384" w:type="pct"/>
            <w:hideMark/>
          </w:tcPr>
          <w:p w:rsidRPr="00D97AB2" w:rsidR="00D97AB2" w:rsidP="00535205" w:rsidRDefault="00D97AB2" w14:paraId="0D264EBF" w14:textId="77777777">
            <w:pPr>
              <w:jc w:val="both"/>
              <w:rPr>
                <w:rFonts w:ascii="Arial" w:hAnsi="Arial" w:cs="Arial"/>
                <w:sz w:val="24"/>
                <w:szCs w:val="24"/>
              </w:rPr>
            </w:pPr>
            <w:r w:rsidRPr="00D97AB2">
              <w:rPr>
                <w:rFonts w:ascii="Arial" w:hAnsi="Arial" w:cs="Arial"/>
                <w:sz w:val="24"/>
                <w:szCs w:val="24"/>
              </w:rPr>
              <w:t>T2</w:t>
            </w:r>
          </w:p>
        </w:tc>
        <w:tc>
          <w:tcPr>
            <w:tcW w:w="804" w:type="pct"/>
            <w:hideMark/>
          </w:tcPr>
          <w:p w:rsidRPr="00D97AB2" w:rsidR="00D97AB2" w:rsidP="00535205" w:rsidRDefault="00535205" w14:paraId="11A7AB90" w14:textId="24CB633E">
            <w:pPr>
              <w:jc w:val="both"/>
              <w:rPr>
                <w:rFonts w:ascii="Arial" w:hAnsi="Arial" w:cs="Arial"/>
                <w:sz w:val="24"/>
                <w:szCs w:val="24"/>
              </w:rPr>
            </w:pPr>
            <w:r w:rsidRPr="00535205">
              <w:rPr>
                <w:rFonts w:ascii="Arial" w:hAnsi="Arial" w:cs="Arial"/>
                <w:sz w:val="24"/>
                <w:szCs w:val="24"/>
              </w:rPr>
              <w:t>182 students; intention and application 1 year later predicted by attitudes and self-efficacy.</w:t>
            </w:r>
          </w:p>
        </w:tc>
      </w:tr>
      <w:tr w:rsidRPr="00D97AB2" w:rsidR="00D97AB2" w:rsidTr="00F55E4F" w14:paraId="0066C1C8" w14:textId="77777777">
        <w:tc>
          <w:tcPr>
            <w:tcW w:w="252" w:type="pct"/>
            <w:hideMark/>
          </w:tcPr>
          <w:p w:rsidRPr="00D97AB2" w:rsidR="00D97AB2" w:rsidRDefault="00D97AB2" w14:paraId="49ED2F75" w14:textId="77777777">
            <w:pPr>
              <w:jc w:val="right"/>
              <w:rPr>
                <w:rFonts w:ascii="Arial" w:hAnsi="Arial" w:cs="Arial"/>
                <w:sz w:val="24"/>
                <w:szCs w:val="24"/>
              </w:rPr>
            </w:pPr>
            <w:r w:rsidRPr="00D97AB2">
              <w:rPr>
                <w:rFonts w:ascii="Arial" w:hAnsi="Arial" w:cs="Arial"/>
                <w:sz w:val="24"/>
                <w:szCs w:val="24"/>
              </w:rPr>
              <w:t>19</w:t>
            </w:r>
          </w:p>
        </w:tc>
        <w:tc>
          <w:tcPr>
            <w:tcW w:w="603" w:type="pct"/>
            <w:hideMark/>
          </w:tcPr>
          <w:p w:rsidRPr="00D97AB2" w:rsidR="00D97AB2" w:rsidRDefault="00D97AB2" w14:paraId="2B427738" w14:textId="77777777">
            <w:pPr>
              <w:rPr>
                <w:rFonts w:ascii="Arial" w:hAnsi="Arial" w:cs="Arial"/>
                <w:sz w:val="24"/>
                <w:szCs w:val="24"/>
              </w:rPr>
            </w:pPr>
            <w:r w:rsidRPr="00D97AB2">
              <w:rPr>
                <w:rFonts w:ascii="Arial" w:hAnsi="Arial" w:cs="Arial"/>
                <w:sz w:val="24"/>
                <w:szCs w:val="24"/>
              </w:rPr>
              <w:t>Reinhold et al. (2018)</w:t>
            </w:r>
          </w:p>
        </w:tc>
        <w:tc>
          <w:tcPr>
            <w:tcW w:w="1009" w:type="pct"/>
            <w:hideMark/>
          </w:tcPr>
          <w:p w:rsidRPr="00D97AB2" w:rsidR="00D97AB2" w:rsidP="00535205" w:rsidRDefault="00D97AB2" w14:paraId="2FE45F69" w14:textId="77777777">
            <w:pPr>
              <w:jc w:val="both"/>
              <w:rPr>
                <w:rFonts w:ascii="Arial" w:hAnsi="Arial" w:cs="Arial"/>
                <w:sz w:val="24"/>
                <w:szCs w:val="24"/>
              </w:rPr>
            </w:pPr>
            <w:r w:rsidRPr="00D97AB2">
              <w:rPr>
                <w:rFonts w:ascii="Arial" w:hAnsi="Arial" w:cs="Arial"/>
                <w:sz w:val="24"/>
                <w:szCs w:val="24"/>
              </w:rPr>
              <w:t>Assess the effects of social support on transfer</w:t>
            </w:r>
          </w:p>
        </w:tc>
        <w:tc>
          <w:tcPr>
            <w:tcW w:w="972" w:type="pct"/>
            <w:hideMark/>
          </w:tcPr>
          <w:p w:rsidRPr="00D97AB2" w:rsidR="00D97AB2" w:rsidP="00535205" w:rsidRDefault="00D97AB2" w14:paraId="672CFE3B"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44221B63" w14:textId="77777777">
            <w:pPr>
              <w:jc w:val="both"/>
              <w:rPr>
                <w:rFonts w:ascii="Arial" w:hAnsi="Arial" w:cs="Arial"/>
                <w:sz w:val="24"/>
                <w:szCs w:val="24"/>
              </w:rPr>
            </w:pPr>
            <w:r w:rsidRPr="00D97AB2">
              <w:rPr>
                <w:rFonts w:ascii="Arial" w:hAnsi="Arial" w:cs="Arial"/>
                <w:sz w:val="24"/>
                <w:szCs w:val="24"/>
              </w:rPr>
              <w:t>Meta-analysis</w:t>
            </w:r>
          </w:p>
        </w:tc>
        <w:tc>
          <w:tcPr>
            <w:tcW w:w="384" w:type="pct"/>
            <w:hideMark/>
          </w:tcPr>
          <w:p w:rsidRPr="00D97AB2" w:rsidR="00D97AB2" w:rsidP="00535205" w:rsidRDefault="00D97AB2" w14:paraId="6B818BC4" w14:textId="77777777">
            <w:pPr>
              <w:jc w:val="both"/>
              <w:rPr>
                <w:rFonts w:ascii="Arial" w:hAnsi="Arial" w:cs="Arial"/>
                <w:sz w:val="24"/>
                <w:szCs w:val="24"/>
              </w:rPr>
            </w:pPr>
            <w:r w:rsidRPr="00D97AB2">
              <w:rPr>
                <w:rFonts w:ascii="Arial" w:hAnsi="Arial" w:cs="Arial"/>
                <w:sz w:val="24"/>
                <w:szCs w:val="24"/>
              </w:rPr>
              <w:t>T2, T4</w:t>
            </w:r>
          </w:p>
        </w:tc>
        <w:tc>
          <w:tcPr>
            <w:tcW w:w="804" w:type="pct"/>
            <w:hideMark/>
          </w:tcPr>
          <w:p w:rsidRPr="00D97AB2" w:rsidR="00D97AB2" w:rsidP="00535205" w:rsidRDefault="00535205" w14:paraId="63DBC022" w14:textId="501CB0CC">
            <w:pPr>
              <w:jc w:val="both"/>
              <w:rPr>
                <w:rFonts w:ascii="Arial" w:hAnsi="Arial" w:cs="Arial"/>
                <w:sz w:val="24"/>
                <w:szCs w:val="24"/>
              </w:rPr>
            </w:pPr>
            <w:r w:rsidRPr="00535205">
              <w:rPr>
                <w:rFonts w:ascii="Arial" w:hAnsi="Arial" w:cs="Arial"/>
                <w:sz w:val="24"/>
                <w:szCs w:val="24"/>
              </w:rPr>
              <w:t xml:space="preserve">32 studies; 5,487 participants; peer support was a strong </w:t>
            </w:r>
            <w:r w:rsidRPr="00535205">
              <w:rPr>
                <w:rFonts w:ascii="Arial" w:hAnsi="Arial" w:cs="Arial"/>
                <w:sz w:val="24"/>
                <w:szCs w:val="24"/>
              </w:rPr>
              <w:lastRenderedPageBreak/>
              <w:t>predictor of transfer motivation, and feedback/coaching supported transfer.</w:t>
            </w:r>
          </w:p>
        </w:tc>
      </w:tr>
      <w:tr w:rsidRPr="00D97AB2" w:rsidR="00D97AB2" w:rsidTr="00F55E4F" w14:paraId="2B31F961" w14:textId="77777777">
        <w:tc>
          <w:tcPr>
            <w:tcW w:w="252" w:type="pct"/>
            <w:hideMark/>
          </w:tcPr>
          <w:p w:rsidRPr="00D97AB2" w:rsidR="00D97AB2" w:rsidRDefault="00D97AB2" w14:paraId="0124B894" w14:textId="77777777">
            <w:pPr>
              <w:jc w:val="right"/>
              <w:rPr>
                <w:rFonts w:ascii="Arial" w:hAnsi="Arial" w:cs="Arial"/>
                <w:sz w:val="24"/>
                <w:szCs w:val="24"/>
              </w:rPr>
            </w:pPr>
            <w:r w:rsidRPr="00D97AB2">
              <w:rPr>
                <w:rFonts w:ascii="Arial" w:hAnsi="Arial" w:cs="Arial"/>
                <w:sz w:val="24"/>
                <w:szCs w:val="24"/>
              </w:rPr>
              <w:lastRenderedPageBreak/>
              <w:t>20</w:t>
            </w:r>
          </w:p>
        </w:tc>
        <w:tc>
          <w:tcPr>
            <w:tcW w:w="603" w:type="pct"/>
            <w:hideMark/>
          </w:tcPr>
          <w:p w:rsidRPr="00D97AB2" w:rsidR="00D97AB2" w:rsidRDefault="00D97AB2" w14:paraId="78C9AB9A" w14:textId="77777777">
            <w:pPr>
              <w:rPr>
                <w:rFonts w:ascii="Arial" w:hAnsi="Arial" w:cs="Arial"/>
                <w:sz w:val="24"/>
                <w:szCs w:val="24"/>
              </w:rPr>
            </w:pPr>
            <w:r w:rsidRPr="00D97AB2">
              <w:rPr>
                <w:rFonts w:ascii="Arial" w:hAnsi="Arial" w:cs="Arial"/>
                <w:sz w:val="24"/>
                <w:szCs w:val="24"/>
              </w:rPr>
              <w:t>Yaghi &amp; Bates (2020)</w:t>
            </w:r>
          </w:p>
        </w:tc>
        <w:tc>
          <w:tcPr>
            <w:tcW w:w="1009" w:type="pct"/>
            <w:hideMark/>
          </w:tcPr>
          <w:p w:rsidRPr="00D97AB2" w:rsidR="00D97AB2" w:rsidP="00535205" w:rsidRDefault="00D97AB2" w14:paraId="6BC9371B" w14:textId="77777777">
            <w:pPr>
              <w:jc w:val="both"/>
              <w:rPr>
                <w:rFonts w:ascii="Arial" w:hAnsi="Arial" w:cs="Arial"/>
                <w:sz w:val="24"/>
                <w:szCs w:val="24"/>
              </w:rPr>
            </w:pPr>
            <w:r w:rsidRPr="00D97AB2">
              <w:rPr>
                <w:rFonts w:ascii="Arial" w:hAnsi="Arial" w:cs="Arial"/>
                <w:sz w:val="24"/>
                <w:szCs w:val="24"/>
              </w:rPr>
              <w:t>Examine organisational, supervisor and peer support for training transfer</w:t>
            </w:r>
          </w:p>
        </w:tc>
        <w:tc>
          <w:tcPr>
            <w:tcW w:w="972" w:type="pct"/>
            <w:hideMark/>
          </w:tcPr>
          <w:p w:rsidRPr="00D97AB2" w:rsidR="00D97AB2" w:rsidP="00535205" w:rsidRDefault="00D97AB2" w14:paraId="2153E54C" w14:textId="77777777">
            <w:pPr>
              <w:jc w:val="both"/>
              <w:rPr>
                <w:rFonts w:ascii="Arial" w:hAnsi="Arial" w:cs="Arial"/>
                <w:sz w:val="24"/>
                <w:szCs w:val="24"/>
              </w:rPr>
            </w:pPr>
            <w:r w:rsidRPr="00D97AB2">
              <w:rPr>
                <w:rFonts w:ascii="Arial" w:hAnsi="Arial" w:cs="Arial"/>
                <w:sz w:val="24"/>
                <w:szCs w:val="24"/>
              </w:rPr>
              <w:t>University context</w:t>
            </w:r>
          </w:p>
        </w:tc>
        <w:tc>
          <w:tcPr>
            <w:tcW w:w="977" w:type="pct"/>
            <w:hideMark/>
          </w:tcPr>
          <w:p w:rsidRPr="00D97AB2" w:rsidR="00D97AB2" w:rsidP="00535205" w:rsidRDefault="00D97AB2" w14:paraId="2A904A09" w14:textId="77777777">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rsidRPr="00D97AB2" w:rsidR="00D97AB2" w:rsidP="00535205" w:rsidRDefault="00D97AB2" w14:paraId="7C75024C" w14:textId="77777777">
            <w:pPr>
              <w:jc w:val="both"/>
              <w:rPr>
                <w:rFonts w:ascii="Arial" w:hAnsi="Arial" w:cs="Arial"/>
                <w:sz w:val="24"/>
                <w:szCs w:val="24"/>
              </w:rPr>
            </w:pPr>
            <w:r w:rsidRPr="00D97AB2">
              <w:rPr>
                <w:rFonts w:ascii="Arial" w:hAnsi="Arial" w:cs="Arial"/>
                <w:sz w:val="24"/>
                <w:szCs w:val="24"/>
              </w:rPr>
              <w:t>T2, T4</w:t>
            </w:r>
          </w:p>
        </w:tc>
        <w:tc>
          <w:tcPr>
            <w:tcW w:w="804" w:type="pct"/>
          </w:tcPr>
          <w:p w:rsidRPr="00D97AB2" w:rsidR="00D97AB2" w:rsidP="00535205" w:rsidRDefault="00535205" w14:paraId="2FE6254E" w14:textId="2F84C734">
            <w:pPr>
              <w:jc w:val="both"/>
              <w:rPr>
                <w:rFonts w:ascii="Arial" w:hAnsi="Arial" w:cs="Arial"/>
                <w:sz w:val="24"/>
                <w:szCs w:val="24"/>
              </w:rPr>
            </w:pPr>
            <w:r w:rsidRPr="00535205">
              <w:rPr>
                <w:rFonts w:ascii="Arial" w:hAnsi="Arial" w:cs="Arial"/>
                <w:sz w:val="24"/>
                <w:szCs w:val="24"/>
              </w:rPr>
              <w:t>263 managers; various types of workplace support had an effect on motivation and transfer.</w:t>
            </w:r>
          </w:p>
        </w:tc>
      </w:tr>
      <w:tr w:rsidRPr="00D97AB2" w:rsidR="00D97AB2" w:rsidTr="00F55E4F" w14:paraId="415A0873" w14:textId="77777777">
        <w:tc>
          <w:tcPr>
            <w:tcW w:w="252" w:type="pct"/>
            <w:hideMark/>
          </w:tcPr>
          <w:p w:rsidRPr="00D97AB2" w:rsidR="00D97AB2" w:rsidRDefault="00D97AB2" w14:paraId="3738C220" w14:textId="77777777">
            <w:pPr>
              <w:jc w:val="right"/>
              <w:rPr>
                <w:rFonts w:ascii="Arial" w:hAnsi="Arial" w:cs="Arial"/>
                <w:sz w:val="24"/>
                <w:szCs w:val="24"/>
              </w:rPr>
            </w:pPr>
            <w:r w:rsidRPr="00D97AB2">
              <w:rPr>
                <w:rFonts w:ascii="Arial" w:hAnsi="Arial" w:cs="Arial"/>
                <w:sz w:val="24"/>
                <w:szCs w:val="24"/>
              </w:rPr>
              <w:t>21</w:t>
            </w:r>
          </w:p>
        </w:tc>
        <w:tc>
          <w:tcPr>
            <w:tcW w:w="603" w:type="pct"/>
            <w:hideMark/>
          </w:tcPr>
          <w:p w:rsidRPr="00D97AB2" w:rsidR="00D97AB2" w:rsidRDefault="00D97AB2" w14:paraId="177C0ED5" w14:textId="77777777">
            <w:pPr>
              <w:rPr>
                <w:rFonts w:ascii="Arial" w:hAnsi="Arial" w:cs="Arial"/>
                <w:sz w:val="24"/>
                <w:szCs w:val="24"/>
              </w:rPr>
            </w:pPr>
            <w:r w:rsidRPr="00D97AB2">
              <w:rPr>
                <w:rFonts w:ascii="Arial" w:hAnsi="Arial" w:cs="Arial"/>
                <w:sz w:val="24"/>
                <w:szCs w:val="24"/>
              </w:rPr>
              <w:t>Martins et al. (2019)</w:t>
            </w:r>
          </w:p>
        </w:tc>
        <w:tc>
          <w:tcPr>
            <w:tcW w:w="1009" w:type="pct"/>
            <w:hideMark/>
          </w:tcPr>
          <w:p w:rsidRPr="00D97AB2" w:rsidR="00D97AB2" w:rsidP="00535205" w:rsidRDefault="00D97AB2" w14:paraId="0D51C69E" w14:textId="77777777">
            <w:pPr>
              <w:jc w:val="both"/>
              <w:rPr>
                <w:rFonts w:ascii="Arial" w:hAnsi="Arial" w:cs="Arial"/>
                <w:sz w:val="24"/>
                <w:szCs w:val="24"/>
              </w:rPr>
            </w:pPr>
            <w:r w:rsidRPr="00D97AB2">
              <w:rPr>
                <w:rFonts w:ascii="Arial" w:hAnsi="Arial" w:cs="Arial"/>
                <w:sz w:val="24"/>
                <w:szCs w:val="24"/>
              </w:rPr>
              <w:t>Examine training reactions, workplace support, transfer and performance</w:t>
            </w:r>
          </w:p>
        </w:tc>
        <w:tc>
          <w:tcPr>
            <w:tcW w:w="972" w:type="pct"/>
            <w:hideMark/>
          </w:tcPr>
          <w:p w:rsidRPr="00D97AB2" w:rsidR="00D97AB2" w:rsidP="00535205" w:rsidRDefault="00D97AB2" w14:paraId="153D4895" w14:textId="77777777">
            <w:pPr>
              <w:jc w:val="both"/>
              <w:rPr>
                <w:rFonts w:ascii="Arial" w:hAnsi="Arial" w:cs="Arial"/>
                <w:sz w:val="24"/>
                <w:szCs w:val="24"/>
              </w:rPr>
            </w:pPr>
            <w:r w:rsidRPr="00D97AB2">
              <w:rPr>
                <w:rFonts w:ascii="Arial" w:hAnsi="Arial" w:cs="Arial"/>
                <w:sz w:val="24"/>
                <w:szCs w:val="24"/>
              </w:rPr>
              <w:t>Brazil</w:t>
            </w:r>
          </w:p>
        </w:tc>
        <w:tc>
          <w:tcPr>
            <w:tcW w:w="977" w:type="pct"/>
            <w:hideMark/>
          </w:tcPr>
          <w:p w:rsidRPr="00D97AB2" w:rsidR="00D97AB2" w:rsidP="00535205" w:rsidRDefault="00D97AB2" w14:paraId="6B1643E8" w14:textId="77777777">
            <w:pPr>
              <w:jc w:val="both"/>
              <w:rPr>
                <w:rFonts w:ascii="Arial" w:hAnsi="Arial" w:cs="Arial"/>
                <w:sz w:val="24"/>
                <w:szCs w:val="24"/>
              </w:rPr>
            </w:pPr>
            <w:r w:rsidRPr="00D97AB2">
              <w:rPr>
                <w:rFonts w:ascii="Arial" w:hAnsi="Arial" w:cs="Arial"/>
                <w:sz w:val="24"/>
                <w:szCs w:val="24"/>
              </w:rPr>
              <w:t>Longitudinal/multi-source empirical</w:t>
            </w:r>
          </w:p>
        </w:tc>
        <w:tc>
          <w:tcPr>
            <w:tcW w:w="384" w:type="pct"/>
            <w:hideMark/>
          </w:tcPr>
          <w:p w:rsidRPr="00D97AB2" w:rsidR="00D97AB2" w:rsidP="00535205" w:rsidRDefault="00D97AB2" w14:paraId="50381BEF" w14:textId="77777777">
            <w:pPr>
              <w:jc w:val="both"/>
              <w:rPr>
                <w:rFonts w:ascii="Arial" w:hAnsi="Arial" w:cs="Arial"/>
                <w:sz w:val="24"/>
                <w:szCs w:val="24"/>
              </w:rPr>
            </w:pPr>
            <w:r w:rsidRPr="00D97AB2">
              <w:rPr>
                <w:rFonts w:ascii="Arial" w:hAnsi="Arial" w:cs="Arial"/>
                <w:sz w:val="24"/>
                <w:szCs w:val="24"/>
              </w:rPr>
              <w:t>T2, T4</w:t>
            </w:r>
          </w:p>
        </w:tc>
        <w:tc>
          <w:tcPr>
            <w:tcW w:w="804" w:type="pct"/>
            <w:hideMark/>
          </w:tcPr>
          <w:p w:rsidRPr="00D97AB2" w:rsidR="00D97AB2" w:rsidP="00535205" w:rsidRDefault="00D97AB2" w14:paraId="13947505" w14:textId="77777777">
            <w:pPr>
              <w:jc w:val="both"/>
              <w:rPr>
                <w:rFonts w:ascii="Arial" w:hAnsi="Arial" w:cs="Arial"/>
                <w:sz w:val="24"/>
                <w:szCs w:val="24"/>
              </w:rPr>
            </w:pPr>
            <w:r w:rsidRPr="00D97AB2">
              <w:rPr>
                <w:rFonts w:ascii="Arial" w:hAnsi="Arial" w:cs="Arial"/>
                <w:sz w:val="24"/>
                <w:szCs w:val="24"/>
              </w:rPr>
              <w:t>Employee and supervisor evidence showed that transfer and workplace support were associated with job performance.</w:t>
            </w:r>
          </w:p>
        </w:tc>
      </w:tr>
      <w:tr w:rsidRPr="00D97AB2" w:rsidR="00D97AB2" w:rsidTr="00F55E4F" w14:paraId="0A6D2736" w14:textId="77777777">
        <w:tc>
          <w:tcPr>
            <w:tcW w:w="252" w:type="pct"/>
            <w:hideMark/>
          </w:tcPr>
          <w:p w:rsidRPr="00D97AB2" w:rsidR="00D97AB2" w:rsidRDefault="00D97AB2" w14:paraId="3602F021" w14:textId="77777777">
            <w:pPr>
              <w:jc w:val="right"/>
              <w:rPr>
                <w:rFonts w:ascii="Arial" w:hAnsi="Arial" w:cs="Arial"/>
                <w:sz w:val="24"/>
                <w:szCs w:val="24"/>
              </w:rPr>
            </w:pPr>
            <w:r w:rsidRPr="00D97AB2">
              <w:rPr>
                <w:rFonts w:ascii="Arial" w:hAnsi="Arial" w:cs="Arial"/>
                <w:sz w:val="24"/>
                <w:szCs w:val="24"/>
              </w:rPr>
              <w:t>22</w:t>
            </w:r>
          </w:p>
        </w:tc>
        <w:tc>
          <w:tcPr>
            <w:tcW w:w="603" w:type="pct"/>
            <w:hideMark/>
          </w:tcPr>
          <w:p w:rsidRPr="00D97AB2" w:rsidR="00D97AB2" w:rsidRDefault="00D97AB2" w14:paraId="29C2FF5A" w14:textId="77777777">
            <w:pPr>
              <w:rPr>
                <w:rFonts w:ascii="Arial" w:hAnsi="Arial" w:cs="Arial"/>
                <w:sz w:val="24"/>
                <w:szCs w:val="24"/>
              </w:rPr>
            </w:pPr>
            <w:r w:rsidRPr="00D97AB2">
              <w:rPr>
                <w:rFonts w:ascii="Arial" w:hAnsi="Arial" w:cs="Arial"/>
                <w:sz w:val="24"/>
                <w:szCs w:val="24"/>
              </w:rPr>
              <w:t>Mehner et al. (2025)</w:t>
            </w:r>
          </w:p>
        </w:tc>
        <w:tc>
          <w:tcPr>
            <w:tcW w:w="1009" w:type="pct"/>
            <w:hideMark/>
          </w:tcPr>
          <w:p w:rsidRPr="00D97AB2" w:rsidR="00D97AB2" w:rsidP="00535205" w:rsidRDefault="00D97AB2" w14:paraId="38CADF9C" w14:textId="77777777">
            <w:pPr>
              <w:jc w:val="both"/>
              <w:rPr>
                <w:rFonts w:ascii="Arial" w:hAnsi="Arial" w:cs="Arial"/>
                <w:sz w:val="24"/>
                <w:szCs w:val="24"/>
              </w:rPr>
            </w:pPr>
            <w:r w:rsidRPr="00D97AB2">
              <w:rPr>
                <w:rFonts w:ascii="Arial" w:hAnsi="Arial" w:cs="Arial"/>
                <w:sz w:val="24"/>
                <w:szCs w:val="24"/>
              </w:rPr>
              <w:t>Examine social support, transfer and post-training knowledge sharing</w:t>
            </w:r>
          </w:p>
        </w:tc>
        <w:tc>
          <w:tcPr>
            <w:tcW w:w="972" w:type="pct"/>
            <w:hideMark/>
          </w:tcPr>
          <w:p w:rsidRPr="00D97AB2" w:rsidR="00D97AB2" w:rsidP="00535205" w:rsidRDefault="00D97AB2" w14:paraId="59F13B30" w14:textId="77777777">
            <w:pPr>
              <w:jc w:val="both"/>
              <w:rPr>
                <w:rFonts w:ascii="Arial" w:hAnsi="Arial" w:cs="Arial"/>
                <w:sz w:val="24"/>
                <w:szCs w:val="24"/>
              </w:rPr>
            </w:pPr>
            <w:r w:rsidRPr="00D97AB2">
              <w:rPr>
                <w:rFonts w:ascii="Arial" w:hAnsi="Arial" w:cs="Arial"/>
                <w:sz w:val="24"/>
                <w:szCs w:val="24"/>
              </w:rPr>
              <w:t>European/German context</w:t>
            </w:r>
          </w:p>
        </w:tc>
        <w:tc>
          <w:tcPr>
            <w:tcW w:w="977" w:type="pct"/>
            <w:hideMark/>
          </w:tcPr>
          <w:p w:rsidRPr="00D97AB2" w:rsidR="00D97AB2" w:rsidP="00535205" w:rsidRDefault="00D97AB2" w14:paraId="16788046" w14:textId="77777777">
            <w:pPr>
              <w:jc w:val="both"/>
              <w:rPr>
                <w:rFonts w:ascii="Arial" w:hAnsi="Arial" w:cs="Arial"/>
                <w:sz w:val="24"/>
                <w:szCs w:val="24"/>
              </w:rPr>
            </w:pPr>
            <w:r w:rsidRPr="00D97AB2">
              <w:rPr>
                <w:rFonts w:ascii="Arial" w:hAnsi="Arial" w:cs="Arial"/>
                <w:sz w:val="24"/>
                <w:szCs w:val="24"/>
              </w:rPr>
              <w:t>Mixed-method/time-lagged empirical</w:t>
            </w:r>
          </w:p>
        </w:tc>
        <w:tc>
          <w:tcPr>
            <w:tcW w:w="384" w:type="pct"/>
            <w:hideMark/>
          </w:tcPr>
          <w:p w:rsidRPr="00D97AB2" w:rsidR="00D97AB2" w:rsidP="00535205" w:rsidRDefault="00D97AB2" w14:paraId="27DDBD1F" w14:textId="77777777">
            <w:pPr>
              <w:jc w:val="both"/>
              <w:rPr>
                <w:rFonts w:ascii="Arial" w:hAnsi="Arial" w:cs="Arial"/>
                <w:sz w:val="24"/>
                <w:szCs w:val="24"/>
              </w:rPr>
            </w:pPr>
            <w:r w:rsidRPr="00D97AB2">
              <w:rPr>
                <w:rFonts w:ascii="Arial" w:hAnsi="Arial" w:cs="Arial"/>
                <w:sz w:val="24"/>
                <w:szCs w:val="24"/>
              </w:rPr>
              <w:t>T2, T4</w:t>
            </w:r>
          </w:p>
        </w:tc>
        <w:tc>
          <w:tcPr>
            <w:tcW w:w="804" w:type="pct"/>
            <w:hideMark/>
          </w:tcPr>
          <w:p w:rsidRPr="00D97AB2" w:rsidR="00D97AB2" w:rsidP="00535205" w:rsidRDefault="00D97AB2" w14:paraId="00AD10E1" w14:textId="77777777">
            <w:pPr>
              <w:jc w:val="both"/>
              <w:rPr>
                <w:rFonts w:ascii="Arial" w:hAnsi="Arial" w:cs="Arial"/>
                <w:sz w:val="24"/>
                <w:szCs w:val="24"/>
              </w:rPr>
            </w:pPr>
            <w:r w:rsidRPr="00D97AB2">
              <w:rPr>
                <w:rFonts w:ascii="Arial" w:hAnsi="Arial" w:cs="Arial"/>
                <w:sz w:val="24"/>
                <w:szCs w:val="24"/>
              </w:rPr>
              <w:t>Extends training transfer beyond individual application to knowledge sharing among colleagues.</w:t>
            </w:r>
          </w:p>
        </w:tc>
      </w:tr>
      <w:tr w:rsidRPr="00D97AB2" w:rsidR="00D97AB2" w:rsidTr="00F55E4F" w14:paraId="3B76CB47" w14:textId="77777777">
        <w:tc>
          <w:tcPr>
            <w:tcW w:w="252" w:type="pct"/>
            <w:hideMark/>
          </w:tcPr>
          <w:p w:rsidRPr="00D97AB2" w:rsidR="00D97AB2" w:rsidRDefault="00D97AB2" w14:paraId="18860130" w14:textId="77777777">
            <w:pPr>
              <w:jc w:val="right"/>
              <w:rPr>
                <w:rFonts w:ascii="Arial" w:hAnsi="Arial" w:cs="Arial"/>
                <w:sz w:val="24"/>
                <w:szCs w:val="24"/>
              </w:rPr>
            </w:pPr>
            <w:r w:rsidRPr="00D97AB2">
              <w:rPr>
                <w:rFonts w:ascii="Arial" w:hAnsi="Arial" w:cs="Arial"/>
                <w:sz w:val="24"/>
                <w:szCs w:val="24"/>
              </w:rPr>
              <w:t>23</w:t>
            </w:r>
          </w:p>
        </w:tc>
        <w:tc>
          <w:tcPr>
            <w:tcW w:w="603" w:type="pct"/>
            <w:hideMark/>
          </w:tcPr>
          <w:p w:rsidRPr="00D97AB2" w:rsidR="00D97AB2" w:rsidRDefault="00D97AB2" w14:paraId="67E840C0" w14:textId="77777777">
            <w:pPr>
              <w:rPr>
                <w:rFonts w:ascii="Arial" w:hAnsi="Arial" w:cs="Arial"/>
                <w:sz w:val="24"/>
                <w:szCs w:val="24"/>
              </w:rPr>
            </w:pPr>
            <w:r w:rsidRPr="00D97AB2">
              <w:rPr>
                <w:rFonts w:ascii="Arial" w:hAnsi="Arial" w:cs="Arial"/>
                <w:sz w:val="24"/>
                <w:szCs w:val="24"/>
              </w:rPr>
              <w:t>Greenan (2023)</w:t>
            </w:r>
          </w:p>
        </w:tc>
        <w:tc>
          <w:tcPr>
            <w:tcW w:w="1009" w:type="pct"/>
            <w:hideMark/>
          </w:tcPr>
          <w:p w:rsidRPr="00D97AB2" w:rsidR="00D97AB2" w:rsidP="00535205" w:rsidRDefault="00D97AB2" w14:paraId="5408F1AF" w14:textId="77777777">
            <w:pPr>
              <w:jc w:val="both"/>
              <w:rPr>
                <w:rFonts w:ascii="Arial" w:hAnsi="Arial" w:cs="Arial"/>
                <w:sz w:val="24"/>
                <w:szCs w:val="24"/>
              </w:rPr>
            </w:pPr>
            <w:r w:rsidRPr="00D97AB2">
              <w:rPr>
                <w:rFonts w:ascii="Arial" w:hAnsi="Arial" w:cs="Arial"/>
                <w:sz w:val="24"/>
                <w:szCs w:val="24"/>
              </w:rPr>
              <w:t xml:space="preserve">Investigate whether implementation intentions </w:t>
            </w:r>
            <w:r w:rsidRPr="00D97AB2">
              <w:rPr>
                <w:rFonts w:ascii="Arial" w:hAnsi="Arial" w:cs="Arial"/>
                <w:sz w:val="24"/>
                <w:szCs w:val="24"/>
              </w:rPr>
              <w:lastRenderedPageBreak/>
              <w:t>improve transfer</w:t>
            </w:r>
          </w:p>
        </w:tc>
        <w:tc>
          <w:tcPr>
            <w:tcW w:w="972" w:type="pct"/>
            <w:hideMark/>
          </w:tcPr>
          <w:p w:rsidRPr="00D97AB2" w:rsidR="00D97AB2" w:rsidP="00535205" w:rsidRDefault="00D97AB2" w14:paraId="762CA654" w14:textId="77777777">
            <w:pPr>
              <w:jc w:val="both"/>
              <w:rPr>
                <w:rFonts w:ascii="Arial" w:hAnsi="Arial" w:cs="Arial"/>
                <w:sz w:val="24"/>
                <w:szCs w:val="24"/>
              </w:rPr>
            </w:pPr>
            <w:r w:rsidRPr="00D97AB2">
              <w:rPr>
                <w:rFonts w:ascii="Arial" w:hAnsi="Arial" w:cs="Arial"/>
                <w:sz w:val="24"/>
                <w:szCs w:val="24"/>
              </w:rPr>
              <w:lastRenderedPageBreak/>
              <w:t>UK context</w:t>
            </w:r>
          </w:p>
        </w:tc>
        <w:tc>
          <w:tcPr>
            <w:tcW w:w="977" w:type="pct"/>
            <w:hideMark/>
          </w:tcPr>
          <w:p w:rsidRPr="00D97AB2" w:rsidR="00D97AB2" w:rsidP="00535205" w:rsidRDefault="00D97AB2" w14:paraId="29F5E9F7" w14:textId="77777777">
            <w:pPr>
              <w:jc w:val="both"/>
              <w:rPr>
                <w:rFonts w:ascii="Arial" w:hAnsi="Arial" w:cs="Arial"/>
                <w:sz w:val="24"/>
                <w:szCs w:val="24"/>
              </w:rPr>
            </w:pPr>
            <w:r w:rsidRPr="00D97AB2">
              <w:rPr>
                <w:rFonts w:ascii="Arial" w:hAnsi="Arial" w:cs="Arial"/>
                <w:sz w:val="24"/>
                <w:szCs w:val="24"/>
              </w:rPr>
              <w:t>Empirical intervention study</w:t>
            </w:r>
          </w:p>
        </w:tc>
        <w:tc>
          <w:tcPr>
            <w:tcW w:w="384" w:type="pct"/>
            <w:hideMark/>
          </w:tcPr>
          <w:p w:rsidRPr="00D97AB2" w:rsidR="00D97AB2" w:rsidP="00535205" w:rsidRDefault="00D97AB2" w14:paraId="5A1D6F89" w14:textId="77777777">
            <w:pPr>
              <w:jc w:val="both"/>
              <w:rPr>
                <w:rFonts w:ascii="Arial" w:hAnsi="Arial" w:cs="Arial"/>
                <w:sz w:val="24"/>
                <w:szCs w:val="24"/>
              </w:rPr>
            </w:pPr>
            <w:r w:rsidRPr="00D97AB2">
              <w:rPr>
                <w:rFonts w:ascii="Arial" w:hAnsi="Arial" w:cs="Arial"/>
                <w:sz w:val="24"/>
                <w:szCs w:val="24"/>
              </w:rPr>
              <w:t>T2</w:t>
            </w:r>
          </w:p>
        </w:tc>
        <w:tc>
          <w:tcPr>
            <w:tcW w:w="804" w:type="pct"/>
            <w:hideMark/>
          </w:tcPr>
          <w:p w:rsidRPr="00D97AB2" w:rsidR="00D97AB2" w:rsidP="00535205" w:rsidRDefault="00D97AB2" w14:paraId="364CCD90" w14:textId="77777777">
            <w:pPr>
              <w:jc w:val="both"/>
              <w:rPr>
                <w:rFonts w:ascii="Arial" w:hAnsi="Arial" w:cs="Arial"/>
                <w:sz w:val="24"/>
                <w:szCs w:val="24"/>
              </w:rPr>
            </w:pPr>
            <w:r w:rsidRPr="00D97AB2">
              <w:rPr>
                <w:rFonts w:ascii="Arial" w:hAnsi="Arial" w:cs="Arial"/>
                <w:sz w:val="24"/>
                <w:szCs w:val="24"/>
              </w:rPr>
              <w:t xml:space="preserve">Small sample of </w:t>
            </w:r>
            <w:r w:rsidRPr="00D97AB2">
              <w:rPr>
                <w:rStyle w:val="Strong"/>
                <w:rFonts w:ascii="Arial" w:hAnsi="Arial" w:cs="Arial"/>
                <w:sz w:val="24"/>
                <w:szCs w:val="24"/>
              </w:rPr>
              <w:t>15 participants</w:t>
            </w:r>
            <w:r w:rsidRPr="00D97AB2">
              <w:rPr>
                <w:rFonts w:ascii="Arial" w:hAnsi="Arial" w:cs="Arial"/>
                <w:sz w:val="24"/>
                <w:szCs w:val="24"/>
              </w:rPr>
              <w:t xml:space="preserve">; </w:t>
            </w:r>
            <w:r w:rsidRPr="00D97AB2">
              <w:rPr>
                <w:rFonts w:ascii="Arial" w:hAnsi="Arial" w:cs="Arial"/>
                <w:sz w:val="24"/>
                <w:szCs w:val="24"/>
              </w:rPr>
              <w:lastRenderedPageBreak/>
              <w:t>specifying when, where and how learning would be applied encouraged transfer.</w:t>
            </w:r>
          </w:p>
        </w:tc>
      </w:tr>
      <w:tr w:rsidRPr="00D97AB2" w:rsidR="00D97AB2" w:rsidTr="00F55E4F" w14:paraId="5C2A8BA5" w14:textId="77777777">
        <w:tc>
          <w:tcPr>
            <w:tcW w:w="252" w:type="pct"/>
            <w:hideMark/>
          </w:tcPr>
          <w:p w:rsidRPr="00D97AB2" w:rsidR="00D97AB2" w:rsidRDefault="00D97AB2" w14:paraId="576144F3" w14:textId="77777777">
            <w:pPr>
              <w:jc w:val="right"/>
              <w:rPr>
                <w:rFonts w:ascii="Arial" w:hAnsi="Arial" w:cs="Arial"/>
                <w:sz w:val="24"/>
                <w:szCs w:val="24"/>
              </w:rPr>
            </w:pPr>
            <w:r w:rsidRPr="00D97AB2">
              <w:rPr>
                <w:rFonts w:ascii="Arial" w:hAnsi="Arial" w:cs="Arial"/>
                <w:sz w:val="24"/>
                <w:szCs w:val="24"/>
              </w:rPr>
              <w:lastRenderedPageBreak/>
              <w:t>24</w:t>
            </w:r>
          </w:p>
        </w:tc>
        <w:tc>
          <w:tcPr>
            <w:tcW w:w="603" w:type="pct"/>
            <w:hideMark/>
          </w:tcPr>
          <w:p w:rsidRPr="00D97AB2" w:rsidR="00D97AB2" w:rsidRDefault="00D97AB2" w14:paraId="499EF62B" w14:textId="77777777">
            <w:pPr>
              <w:rPr>
                <w:rFonts w:ascii="Arial" w:hAnsi="Arial" w:cs="Arial"/>
                <w:sz w:val="24"/>
                <w:szCs w:val="24"/>
              </w:rPr>
            </w:pPr>
            <w:r w:rsidRPr="00D97AB2">
              <w:rPr>
                <w:rFonts w:ascii="Arial" w:hAnsi="Arial" w:cs="Arial"/>
                <w:sz w:val="24"/>
                <w:szCs w:val="24"/>
              </w:rPr>
              <w:t>de Jong et al. (2025)</w:t>
            </w:r>
          </w:p>
        </w:tc>
        <w:tc>
          <w:tcPr>
            <w:tcW w:w="1009" w:type="pct"/>
            <w:hideMark/>
          </w:tcPr>
          <w:p w:rsidRPr="00D97AB2" w:rsidR="00D97AB2" w:rsidP="00535205" w:rsidRDefault="00D97AB2" w14:paraId="7256ABEE" w14:textId="77777777">
            <w:pPr>
              <w:jc w:val="both"/>
              <w:rPr>
                <w:rFonts w:ascii="Arial" w:hAnsi="Arial" w:cs="Arial"/>
                <w:sz w:val="24"/>
                <w:szCs w:val="24"/>
              </w:rPr>
            </w:pPr>
            <w:r w:rsidRPr="00D97AB2">
              <w:rPr>
                <w:rFonts w:ascii="Arial" w:hAnsi="Arial" w:cs="Arial"/>
                <w:sz w:val="24"/>
                <w:szCs w:val="24"/>
              </w:rPr>
              <w:t>Examine goal-setting and motivational changes in training transfer</w:t>
            </w:r>
          </w:p>
        </w:tc>
        <w:tc>
          <w:tcPr>
            <w:tcW w:w="972" w:type="pct"/>
            <w:hideMark/>
          </w:tcPr>
          <w:p w:rsidRPr="00D97AB2" w:rsidR="00D97AB2" w:rsidP="00535205" w:rsidRDefault="00D97AB2" w14:paraId="020EC146" w14:textId="77777777">
            <w:pPr>
              <w:jc w:val="both"/>
              <w:rPr>
                <w:rFonts w:ascii="Arial" w:hAnsi="Arial" w:cs="Arial"/>
                <w:sz w:val="24"/>
                <w:szCs w:val="24"/>
              </w:rPr>
            </w:pPr>
            <w:r w:rsidRPr="00D97AB2">
              <w:rPr>
                <w:rFonts w:ascii="Arial" w:hAnsi="Arial" w:cs="Arial"/>
                <w:sz w:val="24"/>
                <w:szCs w:val="24"/>
              </w:rPr>
              <w:t>Not specified in chapter</w:t>
            </w:r>
          </w:p>
        </w:tc>
        <w:tc>
          <w:tcPr>
            <w:tcW w:w="977" w:type="pct"/>
            <w:hideMark/>
          </w:tcPr>
          <w:p w:rsidRPr="00D97AB2" w:rsidR="00D97AB2" w:rsidP="00535205" w:rsidRDefault="00D97AB2" w14:paraId="0B195EFE" w14:textId="77777777">
            <w:pPr>
              <w:jc w:val="both"/>
              <w:rPr>
                <w:rFonts w:ascii="Arial" w:hAnsi="Arial" w:cs="Arial"/>
                <w:sz w:val="24"/>
                <w:szCs w:val="24"/>
              </w:rPr>
            </w:pPr>
            <w:r w:rsidRPr="00D97AB2">
              <w:rPr>
                <w:rFonts w:ascii="Arial" w:hAnsi="Arial" w:cs="Arial"/>
                <w:sz w:val="24"/>
                <w:szCs w:val="24"/>
              </w:rPr>
              <w:t>Quantitative comparative study</w:t>
            </w:r>
          </w:p>
        </w:tc>
        <w:tc>
          <w:tcPr>
            <w:tcW w:w="384" w:type="pct"/>
            <w:hideMark/>
          </w:tcPr>
          <w:p w:rsidRPr="00D97AB2" w:rsidR="00D97AB2" w:rsidP="00535205" w:rsidRDefault="00D97AB2" w14:paraId="675DF178" w14:textId="77777777">
            <w:pPr>
              <w:jc w:val="both"/>
              <w:rPr>
                <w:rFonts w:ascii="Arial" w:hAnsi="Arial" w:cs="Arial"/>
                <w:sz w:val="24"/>
                <w:szCs w:val="24"/>
              </w:rPr>
            </w:pPr>
            <w:r w:rsidRPr="00D97AB2">
              <w:rPr>
                <w:rFonts w:ascii="Arial" w:hAnsi="Arial" w:cs="Arial"/>
                <w:sz w:val="24"/>
                <w:szCs w:val="24"/>
              </w:rPr>
              <w:t>T2</w:t>
            </w:r>
          </w:p>
        </w:tc>
        <w:tc>
          <w:tcPr>
            <w:tcW w:w="804" w:type="pct"/>
            <w:hideMark/>
          </w:tcPr>
          <w:p w:rsidRPr="00D97AB2" w:rsidR="00D97AB2" w:rsidP="00535205" w:rsidRDefault="00D97AB2" w14:paraId="1A056619" w14:textId="77777777">
            <w:pPr>
              <w:jc w:val="both"/>
              <w:rPr>
                <w:rFonts w:ascii="Arial" w:hAnsi="Arial" w:cs="Arial"/>
                <w:sz w:val="24"/>
                <w:szCs w:val="24"/>
              </w:rPr>
            </w:pPr>
            <w:r w:rsidRPr="00D97AB2">
              <w:rPr>
                <w:rFonts w:ascii="Arial" w:hAnsi="Arial" w:cs="Arial"/>
                <w:sz w:val="24"/>
                <w:szCs w:val="24"/>
              </w:rPr>
              <w:t xml:space="preserve">Evidence across </w:t>
            </w:r>
            <w:r w:rsidRPr="00D97AB2">
              <w:rPr>
                <w:rStyle w:val="Strong"/>
                <w:rFonts w:ascii="Arial" w:hAnsi="Arial" w:cs="Arial"/>
                <w:sz w:val="24"/>
                <w:szCs w:val="24"/>
              </w:rPr>
              <w:t>615 participants and 64 programmes</w:t>
            </w:r>
            <w:r w:rsidRPr="00D97AB2">
              <w:rPr>
                <w:rFonts w:ascii="Arial" w:hAnsi="Arial" w:cs="Arial"/>
                <w:sz w:val="24"/>
                <w:szCs w:val="24"/>
              </w:rPr>
              <w:t xml:space="preserve"> showed goal setting alone did not significantly change transfer.</w:t>
            </w:r>
          </w:p>
        </w:tc>
      </w:tr>
      <w:tr w:rsidRPr="00D97AB2" w:rsidR="00D97AB2" w:rsidTr="00F55E4F" w14:paraId="59AD004E" w14:textId="77777777">
        <w:tc>
          <w:tcPr>
            <w:tcW w:w="252" w:type="pct"/>
            <w:hideMark/>
          </w:tcPr>
          <w:p w:rsidRPr="00D97AB2" w:rsidR="00D97AB2" w:rsidRDefault="00D97AB2" w14:paraId="673C2C7B" w14:textId="77777777">
            <w:pPr>
              <w:jc w:val="right"/>
              <w:rPr>
                <w:rFonts w:ascii="Arial" w:hAnsi="Arial" w:cs="Arial"/>
                <w:sz w:val="24"/>
                <w:szCs w:val="24"/>
              </w:rPr>
            </w:pPr>
            <w:r w:rsidRPr="00D97AB2">
              <w:rPr>
                <w:rFonts w:ascii="Arial" w:hAnsi="Arial" w:cs="Arial"/>
                <w:sz w:val="24"/>
                <w:szCs w:val="24"/>
              </w:rPr>
              <w:t>25</w:t>
            </w:r>
          </w:p>
        </w:tc>
        <w:tc>
          <w:tcPr>
            <w:tcW w:w="603" w:type="pct"/>
            <w:hideMark/>
          </w:tcPr>
          <w:p w:rsidRPr="00D97AB2" w:rsidR="00D97AB2" w:rsidRDefault="00D97AB2" w14:paraId="0A8347F9" w14:textId="77777777">
            <w:pPr>
              <w:rPr>
                <w:rFonts w:ascii="Arial" w:hAnsi="Arial" w:cs="Arial"/>
                <w:sz w:val="24"/>
                <w:szCs w:val="24"/>
              </w:rPr>
            </w:pPr>
            <w:r w:rsidRPr="00D97AB2">
              <w:rPr>
                <w:rFonts w:ascii="Arial" w:hAnsi="Arial" w:cs="Arial"/>
                <w:sz w:val="24"/>
                <w:szCs w:val="24"/>
              </w:rPr>
              <w:t>O’Neill (2025)</w:t>
            </w:r>
          </w:p>
        </w:tc>
        <w:tc>
          <w:tcPr>
            <w:tcW w:w="1009" w:type="pct"/>
            <w:hideMark/>
          </w:tcPr>
          <w:p w:rsidRPr="00D97AB2" w:rsidR="00D97AB2" w:rsidP="00535205" w:rsidRDefault="00D97AB2" w14:paraId="696CD466" w14:textId="77777777">
            <w:pPr>
              <w:jc w:val="both"/>
              <w:rPr>
                <w:rFonts w:ascii="Arial" w:hAnsi="Arial" w:cs="Arial"/>
                <w:sz w:val="24"/>
                <w:szCs w:val="24"/>
              </w:rPr>
            </w:pPr>
            <w:r w:rsidRPr="00D97AB2">
              <w:rPr>
                <w:rFonts w:ascii="Arial" w:hAnsi="Arial" w:cs="Arial"/>
                <w:sz w:val="24"/>
                <w:szCs w:val="24"/>
              </w:rPr>
              <w:t>Evaluate how transfer is conceptualised and measured in workplace e-learning research</w:t>
            </w:r>
          </w:p>
        </w:tc>
        <w:tc>
          <w:tcPr>
            <w:tcW w:w="972" w:type="pct"/>
            <w:hideMark/>
          </w:tcPr>
          <w:p w:rsidRPr="00D97AB2" w:rsidR="00D97AB2" w:rsidP="00535205" w:rsidRDefault="00D97AB2" w14:paraId="0F1D4F0F"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726EAB8B" w14:textId="77777777">
            <w:pPr>
              <w:jc w:val="both"/>
              <w:rPr>
                <w:rFonts w:ascii="Arial" w:hAnsi="Arial" w:cs="Arial"/>
                <w:sz w:val="24"/>
                <w:szCs w:val="24"/>
              </w:rPr>
            </w:pPr>
            <w:r w:rsidRPr="00D97AB2">
              <w:rPr>
                <w:rFonts w:ascii="Arial" w:hAnsi="Arial" w:cs="Arial"/>
                <w:sz w:val="24"/>
                <w:szCs w:val="24"/>
              </w:rPr>
              <w:t>Systematic literature review</w:t>
            </w:r>
          </w:p>
        </w:tc>
        <w:tc>
          <w:tcPr>
            <w:tcW w:w="384" w:type="pct"/>
            <w:hideMark/>
          </w:tcPr>
          <w:p w:rsidRPr="00D97AB2" w:rsidR="00D97AB2" w:rsidP="00535205" w:rsidRDefault="00D97AB2" w14:paraId="1AB7DD13" w14:textId="77777777">
            <w:pPr>
              <w:jc w:val="both"/>
              <w:rPr>
                <w:rFonts w:ascii="Arial" w:hAnsi="Arial" w:cs="Arial"/>
                <w:sz w:val="24"/>
                <w:szCs w:val="24"/>
              </w:rPr>
            </w:pPr>
            <w:r w:rsidRPr="00D97AB2">
              <w:rPr>
                <w:rFonts w:ascii="Arial" w:hAnsi="Arial" w:cs="Arial"/>
                <w:sz w:val="24"/>
                <w:szCs w:val="24"/>
              </w:rPr>
              <w:t>T2, T4</w:t>
            </w:r>
          </w:p>
        </w:tc>
        <w:tc>
          <w:tcPr>
            <w:tcW w:w="804" w:type="pct"/>
            <w:hideMark/>
          </w:tcPr>
          <w:p w:rsidRPr="00D97AB2" w:rsidR="00D97AB2" w:rsidP="00535205" w:rsidRDefault="00D97AB2" w14:paraId="1AA8D2D5" w14:textId="77777777">
            <w:pPr>
              <w:jc w:val="both"/>
              <w:rPr>
                <w:rFonts w:ascii="Arial" w:hAnsi="Arial" w:cs="Arial"/>
                <w:sz w:val="24"/>
                <w:szCs w:val="24"/>
              </w:rPr>
            </w:pPr>
            <w:r w:rsidRPr="00D97AB2">
              <w:rPr>
                <w:rFonts w:ascii="Arial" w:hAnsi="Arial" w:cs="Arial"/>
                <w:sz w:val="24"/>
                <w:szCs w:val="24"/>
              </w:rPr>
              <w:t xml:space="preserve">Review of </w:t>
            </w:r>
            <w:r w:rsidRPr="00D97AB2">
              <w:rPr>
                <w:rStyle w:val="Strong"/>
                <w:rFonts w:ascii="Arial" w:hAnsi="Arial" w:cs="Arial"/>
                <w:sz w:val="24"/>
                <w:szCs w:val="24"/>
              </w:rPr>
              <w:t>31 e-learning studies</w:t>
            </w:r>
            <w:r w:rsidRPr="00D97AB2">
              <w:rPr>
                <w:rFonts w:ascii="Arial" w:hAnsi="Arial" w:cs="Arial"/>
                <w:sz w:val="24"/>
                <w:szCs w:val="24"/>
              </w:rPr>
              <w:t xml:space="preserve"> identified inconsistent frameworks, measures and heavy reliance on self-reporting.</w:t>
            </w:r>
          </w:p>
        </w:tc>
      </w:tr>
      <w:tr w:rsidRPr="00D97AB2" w:rsidR="00D97AB2" w:rsidTr="00F55E4F" w14:paraId="7AF9F4DF" w14:textId="77777777">
        <w:tc>
          <w:tcPr>
            <w:tcW w:w="252" w:type="pct"/>
            <w:hideMark/>
          </w:tcPr>
          <w:p w:rsidRPr="00D97AB2" w:rsidR="00D97AB2" w:rsidRDefault="00D97AB2" w14:paraId="5CF1A2C0" w14:textId="77777777">
            <w:pPr>
              <w:jc w:val="right"/>
              <w:rPr>
                <w:rFonts w:ascii="Arial" w:hAnsi="Arial" w:cs="Arial"/>
                <w:sz w:val="24"/>
                <w:szCs w:val="24"/>
              </w:rPr>
            </w:pPr>
            <w:r w:rsidRPr="00D97AB2">
              <w:rPr>
                <w:rFonts w:ascii="Arial" w:hAnsi="Arial" w:cs="Arial"/>
                <w:sz w:val="24"/>
                <w:szCs w:val="24"/>
              </w:rPr>
              <w:t>26</w:t>
            </w:r>
          </w:p>
        </w:tc>
        <w:tc>
          <w:tcPr>
            <w:tcW w:w="603" w:type="pct"/>
            <w:hideMark/>
          </w:tcPr>
          <w:p w:rsidRPr="00D97AB2" w:rsidR="00D97AB2" w:rsidRDefault="00D97AB2" w14:paraId="3CFD879A" w14:textId="77777777">
            <w:pPr>
              <w:rPr>
                <w:rFonts w:ascii="Arial" w:hAnsi="Arial" w:cs="Arial"/>
                <w:sz w:val="24"/>
                <w:szCs w:val="24"/>
              </w:rPr>
            </w:pPr>
            <w:proofErr w:type="spellStart"/>
            <w:r w:rsidRPr="00D97AB2">
              <w:rPr>
                <w:rFonts w:ascii="Arial" w:hAnsi="Arial" w:cs="Arial"/>
                <w:sz w:val="24"/>
                <w:szCs w:val="24"/>
              </w:rPr>
              <w:t>Xuecheng</w:t>
            </w:r>
            <w:proofErr w:type="spellEnd"/>
            <w:r w:rsidRPr="00D97AB2">
              <w:rPr>
                <w:rFonts w:ascii="Arial" w:hAnsi="Arial" w:cs="Arial"/>
                <w:sz w:val="24"/>
                <w:szCs w:val="24"/>
              </w:rPr>
              <w:t>, Iqbal &amp; Saina (2022)</w:t>
            </w:r>
          </w:p>
        </w:tc>
        <w:tc>
          <w:tcPr>
            <w:tcW w:w="1009" w:type="pct"/>
            <w:hideMark/>
          </w:tcPr>
          <w:p w:rsidRPr="00D97AB2" w:rsidR="00D97AB2" w:rsidP="00535205" w:rsidRDefault="00D97AB2" w14:paraId="6547EF57" w14:textId="77777777">
            <w:pPr>
              <w:jc w:val="both"/>
              <w:rPr>
                <w:rFonts w:ascii="Arial" w:hAnsi="Arial" w:cs="Arial"/>
                <w:sz w:val="24"/>
                <w:szCs w:val="24"/>
              </w:rPr>
            </w:pPr>
            <w:r w:rsidRPr="00D97AB2">
              <w:rPr>
                <w:rFonts w:ascii="Arial" w:hAnsi="Arial" w:cs="Arial"/>
                <w:sz w:val="24"/>
                <w:szCs w:val="24"/>
              </w:rPr>
              <w:t>Examine training, job satisfaction, working conditions and employee retention</w:t>
            </w:r>
          </w:p>
        </w:tc>
        <w:tc>
          <w:tcPr>
            <w:tcW w:w="972" w:type="pct"/>
            <w:hideMark/>
          </w:tcPr>
          <w:p w:rsidRPr="00D97AB2" w:rsidR="00D97AB2" w:rsidP="00535205" w:rsidRDefault="00D97AB2" w14:paraId="13B5D8FD" w14:textId="77777777">
            <w:pPr>
              <w:jc w:val="both"/>
              <w:rPr>
                <w:rFonts w:ascii="Arial" w:hAnsi="Arial" w:cs="Arial"/>
                <w:sz w:val="24"/>
                <w:szCs w:val="24"/>
              </w:rPr>
            </w:pPr>
            <w:r w:rsidRPr="00D97AB2">
              <w:rPr>
                <w:rFonts w:ascii="Arial" w:hAnsi="Arial" w:cs="Arial"/>
                <w:sz w:val="24"/>
                <w:szCs w:val="24"/>
              </w:rPr>
              <w:t>Asian organisational context</w:t>
            </w:r>
          </w:p>
        </w:tc>
        <w:tc>
          <w:tcPr>
            <w:tcW w:w="977" w:type="pct"/>
            <w:hideMark/>
          </w:tcPr>
          <w:p w:rsidRPr="00D97AB2" w:rsidR="00D97AB2" w:rsidP="00535205" w:rsidRDefault="00D97AB2" w14:paraId="42522978" w14:textId="77777777">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rsidRPr="00D97AB2" w:rsidR="00D97AB2" w:rsidP="00535205" w:rsidRDefault="00D97AB2" w14:paraId="650DA5FA" w14:textId="77777777">
            <w:pPr>
              <w:jc w:val="both"/>
              <w:rPr>
                <w:rFonts w:ascii="Arial" w:hAnsi="Arial" w:cs="Arial"/>
                <w:sz w:val="24"/>
                <w:szCs w:val="24"/>
              </w:rPr>
            </w:pPr>
            <w:r w:rsidRPr="00D97AB2">
              <w:rPr>
                <w:rFonts w:ascii="Arial" w:hAnsi="Arial" w:cs="Arial"/>
                <w:sz w:val="24"/>
                <w:szCs w:val="24"/>
              </w:rPr>
              <w:t>T3</w:t>
            </w:r>
          </w:p>
        </w:tc>
        <w:tc>
          <w:tcPr>
            <w:tcW w:w="804" w:type="pct"/>
            <w:hideMark/>
          </w:tcPr>
          <w:p w:rsidRPr="00D97AB2" w:rsidR="00D97AB2" w:rsidP="00535205" w:rsidRDefault="00D97AB2" w14:paraId="57A5494D" w14:textId="77777777">
            <w:pPr>
              <w:jc w:val="both"/>
              <w:rPr>
                <w:rFonts w:ascii="Arial" w:hAnsi="Arial" w:cs="Arial"/>
                <w:sz w:val="24"/>
                <w:szCs w:val="24"/>
              </w:rPr>
            </w:pPr>
            <w:r w:rsidRPr="00D97AB2">
              <w:rPr>
                <w:rFonts w:ascii="Arial" w:hAnsi="Arial" w:cs="Arial"/>
                <w:sz w:val="24"/>
                <w:szCs w:val="24"/>
              </w:rPr>
              <w:t>Training and supportive working conditions were associated with greater satisfaction and retention.</w:t>
            </w:r>
          </w:p>
        </w:tc>
      </w:tr>
      <w:tr w:rsidRPr="00D97AB2" w:rsidR="00D97AB2" w:rsidTr="00F55E4F" w14:paraId="03FB2318" w14:textId="77777777">
        <w:tc>
          <w:tcPr>
            <w:tcW w:w="252" w:type="pct"/>
            <w:hideMark/>
          </w:tcPr>
          <w:p w:rsidRPr="00D97AB2" w:rsidR="00D97AB2" w:rsidRDefault="00D97AB2" w14:paraId="62341069" w14:textId="77777777">
            <w:pPr>
              <w:jc w:val="right"/>
              <w:rPr>
                <w:rFonts w:ascii="Arial" w:hAnsi="Arial" w:cs="Arial"/>
                <w:sz w:val="24"/>
                <w:szCs w:val="24"/>
              </w:rPr>
            </w:pPr>
            <w:r w:rsidRPr="00D97AB2">
              <w:rPr>
                <w:rFonts w:ascii="Arial" w:hAnsi="Arial" w:cs="Arial"/>
                <w:sz w:val="24"/>
                <w:szCs w:val="24"/>
              </w:rPr>
              <w:t>27</w:t>
            </w:r>
          </w:p>
        </w:tc>
        <w:tc>
          <w:tcPr>
            <w:tcW w:w="603" w:type="pct"/>
            <w:hideMark/>
          </w:tcPr>
          <w:p w:rsidRPr="00D97AB2" w:rsidR="00D97AB2" w:rsidRDefault="00D97AB2" w14:paraId="026680A9" w14:textId="77777777">
            <w:pPr>
              <w:rPr>
                <w:rFonts w:ascii="Arial" w:hAnsi="Arial" w:cs="Arial"/>
                <w:sz w:val="24"/>
                <w:szCs w:val="24"/>
              </w:rPr>
            </w:pPr>
            <w:r w:rsidRPr="00D97AB2">
              <w:rPr>
                <w:rFonts w:ascii="Arial" w:hAnsi="Arial" w:cs="Arial"/>
                <w:sz w:val="24"/>
                <w:szCs w:val="24"/>
              </w:rPr>
              <w:t>Mampuru, Mokoen</w:t>
            </w:r>
            <w:r w:rsidRPr="00D97AB2">
              <w:rPr>
                <w:rFonts w:ascii="Arial" w:hAnsi="Arial" w:cs="Arial"/>
                <w:sz w:val="24"/>
                <w:szCs w:val="24"/>
              </w:rPr>
              <w:lastRenderedPageBreak/>
              <w:t>a &amp; Isabirye (2024)</w:t>
            </w:r>
          </w:p>
        </w:tc>
        <w:tc>
          <w:tcPr>
            <w:tcW w:w="1009" w:type="pct"/>
            <w:hideMark/>
          </w:tcPr>
          <w:p w:rsidRPr="00D97AB2" w:rsidR="00D97AB2" w:rsidP="00535205" w:rsidRDefault="00D97AB2" w14:paraId="3162982E" w14:textId="77777777">
            <w:pPr>
              <w:jc w:val="both"/>
              <w:rPr>
                <w:rFonts w:ascii="Arial" w:hAnsi="Arial" w:cs="Arial"/>
                <w:sz w:val="24"/>
                <w:szCs w:val="24"/>
              </w:rPr>
            </w:pPr>
            <w:r w:rsidRPr="00D97AB2">
              <w:rPr>
                <w:rFonts w:ascii="Arial" w:hAnsi="Arial" w:cs="Arial"/>
                <w:sz w:val="24"/>
                <w:szCs w:val="24"/>
              </w:rPr>
              <w:lastRenderedPageBreak/>
              <w:t xml:space="preserve">Examine training/development, </w:t>
            </w:r>
            <w:r w:rsidRPr="00D97AB2">
              <w:rPr>
                <w:rFonts w:ascii="Arial" w:hAnsi="Arial" w:cs="Arial"/>
                <w:sz w:val="24"/>
                <w:szCs w:val="24"/>
              </w:rPr>
              <w:lastRenderedPageBreak/>
              <w:t>satisfaction, loyalty and retention among academics</w:t>
            </w:r>
          </w:p>
        </w:tc>
        <w:tc>
          <w:tcPr>
            <w:tcW w:w="972" w:type="pct"/>
            <w:hideMark/>
          </w:tcPr>
          <w:p w:rsidRPr="00D97AB2" w:rsidR="00D97AB2" w:rsidP="00535205" w:rsidRDefault="00D97AB2" w14:paraId="2E74ECD0" w14:textId="77777777">
            <w:pPr>
              <w:jc w:val="both"/>
              <w:rPr>
                <w:rFonts w:ascii="Arial" w:hAnsi="Arial" w:cs="Arial"/>
                <w:sz w:val="24"/>
                <w:szCs w:val="24"/>
              </w:rPr>
            </w:pPr>
            <w:r w:rsidRPr="00D97AB2">
              <w:rPr>
                <w:rFonts w:ascii="Arial" w:hAnsi="Arial" w:cs="Arial"/>
                <w:sz w:val="24"/>
                <w:szCs w:val="24"/>
              </w:rPr>
              <w:lastRenderedPageBreak/>
              <w:t>South Africa</w:t>
            </w:r>
          </w:p>
        </w:tc>
        <w:tc>
          <w:tcPr>
            <w:tcW w:w="977" w:type="pct"/>
            <w:hideMark/>
          </w:tcPr>
          <w:p w:rsidRPr="00D97AB2" w:rsidR="00D97AB2" w:rsidP="00535205" w:rsidRDefault="00D97AB2" w14:paraId="56ADB8B5" w14:textId="77777777">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rsidRPr="00D97AB2" w:rsidR="00D97AB2" w:rsidP="00535205" w:rsidRDefault="00D97AB2" w14:paraId="6193ED17" w14:textId="77777777">
            <w:pPr>
              <w:jc w:val="both"/>
              <w:rPr>
                <w:rFonts w:ascii="Arial" w:hAnsi="Arial" w:cs="Arial"/>
                <w:sz w:val="24"/>
                <w:szCs w:val="24"/>
              </w:rPr>
            </w:pPr>
            <w:r w:rsidRPr="00D97AB2">
              <w:rPr>
                <w:rFonts w:ascii="Arial" w:hAnsi="Arial" w:cs="Arial"/>
                <w:sz w:val="24"/>
                <w:szCs w:val="24"/>
              </w:rPr>
              <w:t>T3</w:t>
            </w:r>
          </w:p>
        </w:tc>
        <w:tc>
          <w:tcPr>
            <w:tcW w:w="804" w:type="pct"/>
            <w:hideMark/>
          </w:tcPr>
          <w:p w:rsidRPr="00D97AB2" w:rsidR="00D97AB2" w:rsidP="00535205" w:rsidRDefault="00D97AB2" w14:paraId="02FB766F" w14:textId="77777777">
            <w:pPr>
              <w:jc w:val="both"/>
              <w:rPr>
                <w:rFonts w:ascii="Arial" w:hAnsi="Arial" w:cs="Arial"/>
                <w:sz w:val="24"/>
                <w:szCs w:val="24"/>
              </w:rPr>
            </w:pPr>
            <w:r w:rsidRPr="00D97AB2">
              <w:rPr>
                <w:rFonts w:ascii="Arial" w:hAnsi="Arial" w:cs="Arial"/>
                <w:sz w:val="24"/>
                <w:szCs w:val="24"/>
              </w:rPr>
              <w:t>Training and developme</w:t>
            </w:r>
            <w:r w:rsidRPr="00D97AB2">
              <w:rPr>
                <w:rFonts w:ascii="Arial" w:hAnsi="Arial" w:cs="Arial"/>
                <w:sz w:val="24"/>
                <w:szCs w:val="24"/>
              </w:rPr>
              <w:lastRenderedPageBreak/>
              <w:t>nt showed positive relationships with job satisfaction, loyalty and employee retention.</w:t>
            </w:r>
          </w:p>
        </w:tc>
      </w:tr>
      <w:tr w:rsidRPr="00D97AB2" w:rsidR="00D97AB2" w:rsidTr="00F55E4F" w14:paraId="313839E2" w14:textId="77777777">
        <w:tc>
          <w:tcPr>
            <w:tcW w:w="252" w:type="pct"/>
            <w:hideMark/>
          </w:tcPr>
          <w:p w:rsidRPr="00D97AB2" w:rsidR="00D97AB2" w:rsidRDefault="00D97AB2" w14:paraId="547E0DFC" w14:textId="77777777">
            <w:pPr>
              <w:jc w:val="right"/>
              <w:rPr>
                <w:rFonts w:ascii="Arial" w:hAnsi="Arial" w:cs="Arial"/>
                <w:sz w:val="24"/>
                <w:szCs w:val="24"/>
              </w:rPr>
            </w:pPr>
            <w:r w:rsidRPr="00D97AB2">
              <w:rPr>
                <w:rFonts w:ascii="Arial" w:hAnsi="Arial" w:cs="Arial"/>
                <w:sz w:val="24"/>
                <w:szCs w:val="24"/>
              </w:rPr>
              <w:lastRenderedPageBreak/>
              <w:t>28</w:t>
            </w:r>
          </w:p>
        </w:tc>
        <w:tc>
          <w:tcPr>
            <w:tcW w:w="603" w:type="pct"/>
            <w:hideMark/>
          </w:tcPr>
          <w:p w:rsidRPr="00D97AB2" w:rsidR="00D97AB2" w:rsidRDefault="00D97AB2" w14:paraId="02EB6B36" w14:textId="77777777">
            <w:pPr>
              <w:rPr>
                <w:rFonts w:ascii="Arial" w:hAnsi="Arial" w:cs="Arial"/>
                <w:sz w:val="24"/>
                <w:szCs w:val="24"/>
              </w:rPr>
            </w:pPr>
            <w:r w:rsidRPr="00D97AB2">
              <w:rPr>
                <w:rFonts w:ascii="Arial" w:hAnsi="Arial" w:cs="Arial"/>
                <w:sz w:val="24"/>
                <w:szCs w:val="24"/>
              </w:rPr>
              <w:t>Salunkhe et al. (2024)</w:t>
            </w:r>
          </w:p>
        </w:tc>
        <w:tc>
          <w:tcPr>
            <w:tcW w:w="1009" w:type="pct"/>
            <w:hideMark/>
          </w:tcPr>
          <w:p w:rsidRPr="00D97AB2" w:rsidR="00D97AB2" w:rsidP="00535205" w:rsidRDefault="00D97AB2" w14:paraId="1C7CA5AD" w14:textId="77777777">
            <w:pPr>
              <w:jc w:val="both"/>
              <w:rPr>
                <w:rFonts w:ascii="Arial" w:hAnsi="Arial" w:cs="Arial"/>
                <w:sz w:val="24"/>
                <w:szCs w:val="24"/>
              </w:rPr>
            </w:pPr>
            <w:r w:rsidRPr="00D97AB2">
              <w:rPr>
                <w:rFonts w:ascii="Arial" w:hAnsi="Arial" w:cs="Arial"/>
                <w:sz w:val="24"/>
                <w:szCs w:val="24"/>
              </w:rPr>
              <w:t>Examine development opportunities, training satisfaction, engagement and turnover intentions</w:t>
            </w:r>
          </w:p>
        </w:tc>
        <w:tc>
          <w:tcPr>
            <w:tcW w:w="972" w:type="pct"/>
            <w:hideMark/>
          </w:tcPr>
          <w:p w:rsidRPr="00D97AB2" w:rsidR="00D97AB2" w:rsidP="00535205" w:rsidRDefault="00D97AB2" w14:paraId="74EC9405" w14:textId="77777777">
            <w:pPr>
              <w:jc w:val="both"/>
              <w:rPr>
                <w:rFonts w:ascii="Arial" w:hAnsi="Arial" w:cs="Arial"/>
                <w:sz w:val="24"/>
                <w:szCs w:val="24"/>
              </w:rPr>
            </w:pPr>
            <w:r w:rsidRPr="00D97AB2">
              <w:rPr>
                <w:rFonts w:ascii="Arial" w:hAnsi="Arial" w:cs="Arial"/>
                <w:sz w:val="24"/>
                <w:szCs w:val="24"/>
              </w:rPr>
              <w:t>IT-sector context</w:t>
            </w:r>
          </w:p>
        </w:tc>
        <w:tc>
          <w:tcPr>
            <w:tcW w:w="977" w:type="pct"/>
            <w:hideMark/>
          </w:tcPr>
          <w:p w:rsidRPr="00D97AB2" w:rsidR="00D97AB2" w:rsidP="00535205" w:rsidRDefault="00D97AB2" w14:paraId="32F7812C" w14:textId="77777777">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rsidRPr="00D97AB2" w:rsidR="00D97AB2" w:rsidP="00535205" w:rsidRDefault="00D97AB2" w14:paraId="5C234A7A" w14:textId="77777777">
            <w:pPr>
              <w:jc w:val="both"/>
              <w:rPr>
                <w:rFonts w:ascii="Arial" w:hAnsi="Arial" w:cs="Arial"/>
                <w:sz w:val="24"/>
                <w:szCs w:val="24"/>
              </w:rPr>
            </w:pPr>
            <w:r w:rsidRPr="00D97AB2">
              <w:rPr>
                <w:rFonts w:ascii="Arial" w:hAnsi="Arial" w:cs="Arial"/>
                <w:sz w:val="24"/>
                <w:szCs w:val="24"/>
              </w:rPr>
              <w:t>T3</w:t>
            </w:r>
          </w:p>
        </w:tc>
        <w:tc>
          <w:tcPr>
            <w:tcW w:w="804" w:type="pct"/>
            <w:hideMark/>
          </w:tcPr>
          <w:p w:rsidRPr="00D97AB2" w:rsidR="00D97AB2" w:rsidP="00535205" w:rsidRDefault="00D97AB2" w14:paraId="50ED0DD3" w14:textId="77777777">
            <w:pPr>
              <w:jc w:val="both"/>
              <w:rPr>
                <w:rFonts w:ascii="Arial" w:hAnsi="Arial" w:cs="Arial"/>
                <w:sz w:val="24"/>
                <w:szCs w:val="24"/>
              </w:rPr>
            </w:pPr>
            <w:r w:rsidRPr="00D97AB2">
              <w:rPr>
                <w:rFonts w:ascii="Arial" w:hAnsi="Arial" w:cs="Arial"/>
                <w:sz w:val="24"/>
                <w:szCs w:val="24"/>
              </w:rPr>
              <w:t>Greater training satisfaction and developmental opportunities increased engagement and reduced turnover intention.</w:t>
            </w:r>
          </w:p>
        </w:tc>
      </w:tr>
      <w:tr w:rsidRPr="00D97AB2" w:rsidR="00D97AB2" w:rsidTr="00F55E4F" w14:paraId="6B96C986" w14:textId="77777777">
        <w:tc>
          <w:tcPr>
            <w:tcW w:w="252" w:type="pct"/>
            <w:hideMark/>
          </w:tcPr>
          <w:p w:rsidRPr="00D97AB2" w:rsidR="00D97AB2" w:rsidRDefault="00D97AB2" w14:paraId="551171F6" w14:textId="77777777">
            <w:pPr>
              <w:jc w:val="right"/>
              <w:rPr>
                <w:rFonts w:ascii="Arial" w:hAnsi="Arial" w:cs="Arial"/>
                <w:sz w:val="24"/>
                <w:szCs w:val="24"/>
              </w:rPr>
            </w:pPr>
            <w:r w:rsidRPr="00D97AB2">
              <w:rPr>
                <w:rFonts w:ascii="Arial" w:hAnsi="Arial" w:cs="Arial"/>
                <w:sz w:val="24"/>
                <w:szCs w:val="24"/>
              </w:rPr>
              <w:t>29</w:t>
            </w:r>
          </w:p>
        </w:tc>
        <w:tc>
          <w:tcPr>
            <w:tcW w:w="603" w:type="pct"/>
            <w:hideMark/>
          </w:tcPr>
          <w:p w:rsidRPr="00D97AB2" w:rsidR="00D97AB2" w:rsidRDefault="00D97AB2" w14:paraId="194DC28F" w14:textId="77777777">
            <w:pPr>
              <w:rPr>
                <w:rFonts w:ascii="Arial" w:hAnsi="Arial" w:cs="Arial"/>
                <w:sz w:val="24"/>
                <w:szCs w:val="24"/>
              </w:rPr>
            </w:pPr>
            <w:r w:rsidRPr="00D97AB2">
              <w:rPr>
                <w:rFonts w:ascii="Arial" w:hAnsi="Arial" w:cs="Arial"/>
                <w:sz w:val="24"/>
                <w:szCs w:val="24"/>
              </w:rPr>
              <w:t>Obeng et al. (2021)</w:t>
            </w:r>
          </w:p>
        </w:tc>
        <w:tc>
          <w:tcPr>
            <w:tcW w:w="1009" w:type="pct"/>
            <w:hideMark/>
          </w:tcPr>
          <w:p w:rsidRPr="00D97AB2" w:rsidR="00D97AB2" w:rsidP="00535205" w:rsidRDefault="00D97AB2" w14:paraId="572DB9C5" w14:textId="77777777">
            <w:pPr>
              <w:jc w:val="both"/>
              <w:rPr>
                <w:rFonts w:ascii="Arial" w:hAnsi="Arial" w:cs="Arial"/>
                <w:sz w:val="24"/>
                <w:szCs w:val="24"/>
              </w:rPr>
            </w:pPr>
            <w:r w:rsidRPr="00D97AB2">
              <w:rPr>
                <w:rFonts w:ascii="Arial" w:hAnsi="Arial" w:cs="Arial"/>
                <w:sz w:val="24"/>
                <w:szCs w:val="24"/>
              </w:rPr>
              <w:t>Test how high-performance work practices influence turnover intentions</w:t>
            </w:r>
          </w:p>
        </w:tc>
        <w:tc>
          <w:tcPr>
            <w:tcW w:w="972" w:type="pct"/>
            <w:hideMark/>
          </w:tcPr>
          <w:p w:rsidRPr="00D97AB2" w:rsidR="00D97AB2" w:rsidP="00535205" w:rsidRDefault="00D97AB2" w14:paraId="103CA1E5" w14:textId="77777777">
            <w:pPr>
              <w:jc w:val="both"/>
              <w:rPr>
                <w:rFonts w:ascii="Arial" w:hAnsi="Arial" w:cs="Arial"/>
                <w:sz w:val="24"/>
                <w:szCs w:val="24"/>
              </w:rPr>
            </w:pPr>
            <w:r w:rsidRPr="00D97AB2">
              <w:rPr>
                <w:rFonts w:ascii="Arial" w:hAnsi="Arial" w:cs="Arial"/>
                <w:sz w:val="24"/>
                <w:szCs w:val="24"/>
              </w:rPr>
              <w:t>Ghana/hospitality context</w:t>
            </w:r>
          </w:p>
        </w:tc>
        <w:tc>
          <w:tcPr>
            <w:tcW w:w="977" w:type="pct"/>
            <w:hideMark/>
          </w:tcPr>
          <w:p w:rsidRPr="00D97AB2" w:rsidR="00D97AB2" w:rsidP="00535205" w:rsidRDefault="00D97AB2" w14:paraId="011B942E" w14:textId="77777777">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rsidRPr="00D97AB2" w:rsidR="00D97AB2" w:rsidP="00535205" w:rsidRDefault="00D97AB2" w14:paraId="1A104EDA" w14:textId="77777777">
            <w:pPr>
              <w:jc w:val="both"/>
              <w:rPr>
                <w:rFonts w:ascii="Arial" w:hAnsi="Arial" w:cs="Arial"/>
                <w:sz w:val="24"/>
                <w:szCs w:val="24"/>
              </w:rPr>
            </w:pPr>
            <w:r w:rsidRPr="00D97AB2">
              <w:rPr>
                <w:rFonts w:ascii="Arial" w:hAnsi="Arial" w:cs="Arial"/>
                <w:sz w:val="24"/>
                <w:szCs w:val="24"/>
              </w:rPr>
              <w:t>T3</w:t>
            </w:r>
          </w:p>
        </w:tc>
        <w:tc>
          <w:tcPr>
            <w:tcW w:w="804" w:type="pct"/>
            <w:hideMark/>
          </w:tcPr>
          <w:p w:rsidRPr="00D97AB2" w:rsidR="00D97AB2" w:rsidP="00535205" w:rsidRDefault="00D97AB2" w14:paraId="7EADC621" w14:textId="77777777">
            <w:pPr>
              <w:jc w:val="both"/>
              <w:rPr>
                <w:rFonts w:ascii="Arial" w:hAnsi="Arial" w:cs="Arial"/>
                <w:sz w:val="24"/>
                <w:szCs w:val="24"/>
              </w:rPr>
            </w:pPr>
            <w:r w:rsidRPr="00D97AB2">
              <w:rPr>
                <w:rFonts w:ascii="Arial" w:hAnsi="Arial" w:cs="Arial"/>
                <w:sz w:val="24"/>
                <w:szCs w:val="24"/>
              </w:rPr>
              <w:t>Employee morale mediated the relationship between broader HR practices and turnover intentions.</w:t>
            </w:r>
          </w:p>
        </w:tc>
      </w:tr>
      <w:tr w:rsidRPr="00D97AB2" w:rsidR="00D97AB2" w:rsidTr="00F55E4F" w14:paraId="2706D4F0" w14:textId="77777777">
        <w:tc>
          <w:tcPr>
            <w:tcW w:w="252" w:type="pct"/>
            <w:hideMark/>
          </w:tcPr>
          <w:p w:rsidRPr="00D97AB2" w:rsidR="00D97AB2" w:rsidRDefault="00D97AB2" w14:paraId="12BE00B6" w14:textId="77777777">
            <w:pPr>
              <w:jc w:val="right"/>
              <w:rPr>
                <w:rFonts w:ascii="Arial" w:hAnsi="Arial" w:cs="Arial"/>
                <w:sz w:val="24"/>
                <w:szCs w:val="24"/>
              </w:rPr>
            </w:pPr>
            <w:r w:rsidRPr="00D97AB2">
              <w:rPr>
                <w:rFonts w:ascii="Arial" w:hAnsi="Arial" w:cs="Arial"/>
                <w:sz w:val="24"/>
                <w:szCs w:val="24"/>
              </w:rPr>
              <w:t>30</w:t>
            </w:r>
          </w:p>
        </w:tc>
        <w:tc>
          <w:tcPr>
            <w:tcW w:w="603" w:type="pct"/>
            <w:hideMark/>
          </w:tcPr>
          <w:p w:rsidRPr="00D97AB2" w:rsidR="00D97AB2" w:rsidRDefault="00D97AB2" w14:paraId="1E2DF04E" w14:textId="77777777">
            <w:pPr>
              <w:rPr>
                <w:rFonts w:ascii="Arial" w:hAnsi="Arial" w:cs="Arial"/>
                <w:sz w:val="24"/>
                <w:szCs w:val="24"/>
              </w:rPr>
            </w:pPr>
            <w:r w:rsidRPr="00D97AB2">
              <w:rPr>
                <w:rFonts w:ascii="Arial" w:hAnsi="Arial" w:cs="Arial"/>
                <w:sz w:val="24"/>
                <w:szCs w:val="24"/>
              </w:rPr>
              <w:t>Björk, Bolander &amp; Forsman (2021)</w:t>
            </w:r>
          </w:p>
        </w:tc>
        <w:tc>
          <w:tcPr>
            <w:tcW w:w="1009" w:type="pct"/>
            <w:hideMark/>
          </w:tcPr>
          <w:p w:rsidRPr="00D97AB2" w:rsidR="00D97AB2" w:rsidP="00535205" w:rsidRDefault="00D97AB2" w14:paraId="63689DED" w14:textId="77777777">
            <w:pPr>
              <w:jc w:val="both"/>
              <w:rPr>
                <w:rFonts w:ascii="Arial" w:hAnsi="Arial" w:cs="Arial"/>
                <w:sz w:val="24"/>
                <w:szCs w:val="24"/>
              </w:rPr>
            </w:pPr>
            <w:r w:rsidRPr="00D97AB2">
              <w:rPr>
                <w:rFonts w:ascii="Arial" w:hAnsi="Arial" w:cs="Arial"/>
                <w:sz w:val="24"/>
                <w:szCs w:val="24"/>
              </w:rPr>
              <w:t>Evaluate employee-led or bottom-up interventions for improving engagement</w:t>
            </w:r>
          </w:p>
        </w:tc>
        <w:tc>
          <w:tcPr>
            <w:tcW w:w="972" w:type="pct"/>
            <w:hideMark/>
          </w:tcPr>
          <w:p w:rsidRPr="00D97AB2" w:rsidR="00D97AB2" w:rsidP="00535205" w:rsidRDefault="00D97AB2" w14:paraId="3F7F72C7"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1763026E" w14:textId="77777777">
            <w:pPr>
              <w:jc w:val="both"/>
              <w:rPr>
                <w:rFonts w:ascii="Arial" w:hAnsi="Arial" w:cs="Arial"/>
                <w:sz w:val="24"/>
                <w:szCs w:val="24"/>
              </w:rPr>
            </w:pPr>
            <w:r w:rsidRPr="00D97AB2">
              <w:rPr>
                <w:rFonts w:ascii="Arial" w:hAnsi="Arial" w:cs="Arial"/>
                <w:sz w:val="24"/>
                <w:szCs w:val="24"/>
              </w:rPr>
              <w:t>Systematic review and meta-analysis</w:t>
            </w:r>
          </w:p>
        </w:tc>
        <w:tc>
          <w:tcPr>
            <w:tcW w:w="384" w:type="pct"/>
            <w:hideMark/>
          </w:tcPr>
          <w:p w:rsidRPr="00D97AB2" w:rsidR="00D97AB2" w:rsidP="00535205" w:rsidRDefault="00D97AB2" w14:paraId="4C60EA09" w14:textId="77777777">
            <w:pPr>
              <w:jc w:val="both"/>
              <w:rPr>
                <w:rFonts w:ascii="Arial" w:hAnsi="Arial" w:cs="Arial"/>
                <w:sz w:val="24"/>
                <w:szCs w:val="24"/>
              </w:rPr>
            </w:pPr>
            <w:r w:rsidRPr="00D97AB2">
              <w:rPr>
                <w:rFonts w:ascii="Arial" w:hAnsi="Arial" w:cs="Arial"/>
                <w:sz w:val="24"/>
                <w:szCs w:val="24"/>
              </w:rPr>
              <w:t>T3</w:t>
            </w:r>
          </w:p>
        </w:tc>
        <w:tc>
          <w:tcPr>
            <w:tcW w:w="804" w:type="pct"/>
            <w:hideMark/>
          </w:tcPr>
          <w:p w:rsidRPr="00D97AB2" w:rsidR="00D97AB2" w:rsidP="00535205" w:rsidRDefault="00D97AB2" w14:paraId="3CFF3E53" w14:textId="77777777">
            <w:pPr>
              <w:jc w:val="both"/>
              <w:rPr>
                <w:rFonts w:ascii="Arial" w:hAnsi="Arial" w:cs="Arial"/>
                <w:sz w:val="24"/>
                <w:szCs w:val="24"/>
              </w:rPr>
            </w:pPr>
            <w:r w:rsidRPr="00D97AB2">
              <w:rPr>
                <w:rFonts w:ascii="Arial" w:hAnsi="Arial" w:cs="Arial"/>
                <w:sz w:val="24"/>
                <w:szCs w:val="24"/>
              </w:rPr>
              <w:t>Bottom-up interventions can strengthen engagement by allowing employees to mobilise personal and workplace resources.</w:t>
            </w:r>
          </w:p>
        </w:tc>
      </w:tr>
      <w:tr w:rsidRPr="00D97AB2" w:rsidR="00D97AB2" w:rsidTr="00F55E4F" w14:paraId="121321D4" w14:textId="77777777">
        <w:tc>
          <w:tcPr>
            <w:tcW w:w="252" w:type="pct"/>
            <w:hideMark/>
          </w:tcPr>
          <w:p w:rsidRPr="00D97AB2" w:rsidR="00D97AB2" w:rsidRDefault="00D97AB2" w14:paraId="4C23CC69" w14:textId="77777777">
            <w:pPr>
              <w:jc w:val="right"/>
              <w:rPr>
                <w:rFonts w:ascii="Arial" w:hAnsi="Arial" w:cs="Arial"/>
                <w:sz w:val="24"/>
                <w:szCs w:val="24"/>
              </w:rPr>
            </w:pPr>
            <w:r w:rsidRPr="00D97AB2">
              <w:rPr>
                <w:rFonts w:ascii="Arial" w:hAnsi="Arial" w:cs="Arial"/>
                <w:sz w:val="24"/>
                <w:szCs w:val="24"/>
              </w:rPr>
              <w:t>31</w:t>
            </w:r>
          </w:p>
        </w:tc>
        <w:tc>
          <w:tcPr>
            <w:tcW w:w="603" w:type="pct"/>
            <w:hideMark/>
          </w:tcPr>
          <w:p w:rsidRPr="00D97AB2" w:rsidR="00D97AB2" w:rsidRDefault="00D97AB2" w14:paraId="1465AE17" w14:textId="77777777">
            <w:pPr>
              <w:rPr>
                <w:rFonts w:ascii="Arial" w:hAnsi="Arial" w:cs="Arial"/>
                <w:sz w:val="24"/>
                <w:szCs w:val="24"/>
              </w:rPr>
            </w:pPr>
            <w:r w:rsidRPr="00D97AB2">
              <w:rPr>
                <w:rFonts w:ascii="Arial" w:hAnsi="Arial" w:cs="Arial"/>
                <w:sz w:val="24"/>
                <w:szCs w:val="24"/>
              </w:rPr>
              <w:t>Hizam et al. (2025)</w:t>
            </w:r>
          </w:p>
        </w:tc>
        <w:tc>
          <w:tcPr>
            <w:tcW w:w="1009" w:type="pct"/>
            <w:hideMark/>
          </w:tcPr>
          <w:p w:rsidRPr="00D97AB2" w:rsidR="00D97AB2" w:rsidP="00535205" w:rsidRDefault="00D97AB2" w14:paraId="1BD468F2" w14:textId="77777777">
            <w:pPr>
              <w:jc w:val="both"/>
              <w:rPr>
                <w:rFonts w:ascii="Arial" w:hAnsi="Arial" w:cs="Arial"/>
                <w:sz w:val="24"/>
                <w:szCs w:val="24"/>
              </w:rPr>
            </w:pPr>
            <w:r w:rsidRPr="00D97AB2">
              <w:rPr>
                <w:rFonts w:ascii="Arial" w:hAnsi="Arial" w:cs="Arial"/>
                <w:sz w:val="24"/>
                <w:szCs w:val="24"/>
              </w:rPr>
              <w:t xml:space="preserve">Examine training and talent practices </w:t>
            </w:r>
            <w:r w:rsidRPr="00D97AB2">
              <w:rPr>
                <w:rFonts w:ascii="Arial" w:hAnsi="Arial" w:cs="Arial"/>
                <w:sz w:val="24"/>
                <w:szCs w:val="24"/>
              </w:rPr>
              <w:lastRenderedPageBreak/>
              <w:t>in digital workplaces</w:t>
            </w:r>
          </w:p>
        </w:tc>
        <w:tc>
          <w:tcPr>
            <w:tcW w:w="972" w:type="pct"/>
            <w:hideMark/>
          </w:tcPr>
          <w:p w:rsidRPr="00D97AB2" w:rsidR="00D97AB2" w:rsidP="00535205" w:rsidRDefault="00D97AB2" w14:paraId="3ECAD56B" w14:textId="77777777">
            <w:pPr>
              <w:jc w:val="both"/>
              <w:rPr>
                <w:rFonts w:ascii="Arial" w:hAnsi="Arial" w:cs="Arial"/>
                <w:sz w:val="24"/>
                <w:szCs w:val="24"/>
              </w:rPr>
            </w:pPr>
            <w:r w:rsidRPr="00D97AB2">
              <w:rPr>
                <w:rFonts w:ascii="Arial" w:hAnsi="Arial" w:cs="Arial"/>
                <w:sz w:val="24"/>
                <w:szCs w:val="24"/>
              </w:rPr>
              <w:lastRenderedPageBreak/>
              <w:t>Malaysia/digital-workplace context</w:t>
            </w:r>
          </w:p>
        </w:tc>
        <w:tc>
          <w:tcPr>
            <w:tcW w:w="977" w:type="pct"/>
            <w:hideMark/>
          </w:tcPr>
          <w:p w:rsidRPr="00D97AB2" w:rsidR="00D97AB2" w:rsidP="00535205" w:rsidRDefault="00D97AB2" w14:paraId="066A4AFB" w14:textId="77777777">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rsidRPr="00D97AB2" w:rsidR="00D97AB2" w:rsidP="00535205" w:rsidRDefault="00D97AB2" w14:paraId="36CB423F" w14:textId="77777777">
            <w:pPr>
              <w:jc w:val="both"/>
              <w:rPr>
                <w:rFonts w:ascii="Arial" w:hAnsi="Arial" w:cs="Arial"/>
                <w:sz w:val="24"/>
                <w:szCs w:val="24"/>
              </w:rPr>
            </w:pPr>
            <w:r w:rsidRPr="00D97AB2">
              <w:rPr>
                <w:rFonts w:ascii="Arial" w:hAnsi="Arial" w:cs="Arial"/>
                <w:sz w:val="24"/>
                <w:szCs w:val="24"/>
              </w:rPr>
              <w:t>T3</w:t>
            </w:r>
          </w:p>
        </w:tc>
        <w:tc>
          <w:tcPr>
            <w:tcW w:w="804" w:type="pct"/>
            <w:hideMark/>
          </w:tcPr>
          <w:p w:rsidRPr="00D97AB2" w:rsidR="00D97AB2" w:rsidP="00535205" w:rsidRDefault="00D97AB2" w14:paraId="2EB9342B" w14:textId="77777777">
            <w:pPr>
              <w:jc w:val="both"/>
              <w:rPr>
                <w:rFonts w:ascii="Arial" w:hAnsi="Arial" w:cs="Arial"/>
                <w:sz w:val="24"/>
                <w:szCs w:val="24"/>
              </w:rPr>
            </w:pPr>
            <w:r w:rsidRPr="00D97AB2">
              <w:rPr>
                <w:rFonts w:ascii="Arial" w:hAnsi="Arial" w:cs="Arial"/>
                <w:sz w:val="24"/>
                <w:szCs w:val="24"/>
              </w:rPr>
              <w:t xml:space="preserve">Links training, knowledge </w:t>
            </w:r>
            <w:r w:rsidRPr="00D97AB2">
              <w:rPr>
                <w:rFonts w:ascii="Arial" w:hAnsi="Arial" w:cs="Arial"/>
                <w:sz w:val="24"/>
                <w:szCs w:val="24"/>
              </w:rPr>
              <w:lastRenderedPageBreak/>
              <w:t>sharing, empowerment and employee engagement.</w:t>
            </w:r>
          </w:p>
        </w:tc>
      </w:tr>
      <w:tr w:rsidRPr="00D97AB2" w:rsidR="00D97AB2" w:rsidTr="00F55E4F" w14:paraId="049A1870" w14:textId="77777777">
        <w:tc>
          <w:tcPr>
            <w:tcW w:w="252" w:type="pct"/>
            <w:hideMark/>
          </w:tcPr>
          <w:p w:rsidRPr="00D97AB2" w:rsidR="00D97AB2" w:rsidRDefault="00D97AB2" w14:paraId="03056B15" w14:textId="77777777">
            <w:pPr>
              <w:jc w:val="right"/>
              <w:rPr>
                <w:rFonts w:ascii="Arial" w:hAnsi="Arial" w:cs="Arial"/>
                <w:sz w:val="24"/>
                <w:szCs w:val="24"/>
              </w:rPr>
            </w:pPr>
            <w:r w:rsidRPr="00D97AB2">
              <w:rPr>
                <w:rFonts w:ascii="Arial" w:hAnsi="Arial" w:cs="Arial"/>
                <w:sz w:val="24"/>
                <w:szCs w:val="24"/>
              </w:rPr>
              <w:lastRenderedPageBreak/>
              <w:t>32</w:t>
            </w:r>
          </w:p>
        </w:tc>
        <w:tc>
          <w:tcPr>
            <w:tcW w:w="603" w:type="pct"/>
            <w:hideMark/>
          </w:tcPr>
          <w:p w:rsidRPr="00D97AB2" w:rsidR="00D97AB2" w:rsidRDefault="00D97AB2" w14:paraId="01E9A66D" w14:textId="77777777">
            <w:pPr>
              <w:rPr>
                <w:rFonts w:ascii="Arial" w:hAnsi="Arial" w:cs="Arial"/>
                <w:sz w:val="24"/>
                <w:szCs w:val="24"/>
              </w:rPr>
            </w:pPr>
            <w:r w:rsidRPr="00D97AB2">
              <w:rPr>
                <w:rFonts w:ascii="Arial" w:hAnsi="Arial" w:cs="Arial"/>
                <w:sz w:val="24"/>
                <w:szCs w:val="24"/>
              </w:rPr>
              <w:t>Huo (2021)</w:t>
            </w:r>
          </w:p>
        </w:tc>
        <w:tc>
          <w:tcPr>
            <w:tcW w:w="1009" w:type="pct"/>
            <w:hideMark/>
          </w:tcPr>
          <w:p w:rsidRPr="00D97AB2" w:rsidR="00D97AB2" w:rsidP="00535205" w:rsidRDefault="00D97AB2" w14:paraId="7BA25400" w14:textId="77777777">
            <w:pPr>
              <w:jc w:val="both"/>
              <w:rPr>
                <w:rFonts w:ascii="Arial" w:hAnsi="Arial" w:cs="Arial"/>
                <w:sz w:val="24"/>
                <w:szCs w:val="24"/>
              </w:rPr>
            </w:pPr>
            <w:r w:rsidRPr="00D97AB2">
              <w:rPr>
                <w:rFonts w:ascii="Arial" w:hAnsi="Arial" w:cs="Arial"/>
                <w:sz w:val="24"/>
                <w:szCs w:val="24"/>
              </w:rPr>
              <w:t>Examine career-growth opportunities and employee thriving</w:t>
            </w:r>
          </w:p>
        </w:tc>
        <w:tc>
          <w:tcPr>
            <w:tcW w:w="972" w:type="pct"/>
            <w:hideMark/>
          </w:tcPr>
          <w:p w:rsidRPr="00D97AB2" w:rsidR="00D97AB2" w:rsidP="00535205" w:rsidRDefault="00D97AB2" w14:paraId="1D7D81E1" w14:textId="77777777">
            <w:pPr>
              <w:jc w:val="both"/>
              <w:rPr>
                <w:rFonts w:ascii="Arial" w:hAnsi="Arial" w:cs="Arial"/>
                <w:sz w:val="24"/>
                <w:szCs w:val="24"/>
              </w:rPr>
            </w:pPr>
            <w:r w:rsidRPr="00D97AB2">
              <w:rPr>
                <w:rFonts w:ascii="Arial" w:hAnsi="Arial" w:cs="Arial"/>
                <w:sz w:val="24"/>
                <w:szCs w:val="24"/>
              </w:rPr>
              <w:t>Hospitality/restaurant context</w:t>
            </w:r>
          </w:p>
        </w:tc>
        <w:tc>
          <w:tcPr>
            <w:tcW w:w="977" w:type="pct"/>
            <w:hideMark/>
          </w:tcPr>
          <w:p w:rsidRPr="00D97AB2" w:rsidR="00D97AB2" w:rsidP="00535205" w:rsidRDefault="00D97AB2" w14:paraId="72EC46B6" w14:textId="77777777">
            <w:pPr>
              <w:jc w:val="both"/>
              <w:rPr>
                <w:rFonts w:ascii="Arial" w:hAnsi="Arial" w:cs="Arial"/>
                <w:sz w:val="24"/>
                <w:szCs w:val="24"/>
              </w:rPr>
            </w:pPr>
            <w:r w:rsidRPr="00D97AB2">
              <w:rPr>
                <w:rFonts w:ascii="Arial" w:hAnsi="Arial" w:cs="Arial"/>
                <w:sz w:val="24"/>
                <w:szCs w:val="24"/>
              </w:rPr>
              <w:t>Two-wave quantitative study</w:t>
            </w:r>
          </w:p>
        </w:tc>
        <w:tc>
          <w:tcPr>
            <w:tcW w:w="384" w:type="pct"/>
            <w:hideMark/>
          </w:tcPr>
          <w:p w:rsidRPr="00D97AB2" w:rsidR="00D97AB2" w:rsidP="00535205" w:rsidRDefault="00D97AB2" w14:paraId="6D61BA3D" w14:textId="77777777">
            <w:pPr>
              <w:jc w:val="both"/>
              <w:rPr>
                <w:rFonts w:ascii="Arial" w:hAnsi="Arial" w:cs="Arial"/>
                <w:sz w:val="24"/>
                <w:szCs w:val="24"/>
              </w:rPr>
            </w:pPr>
            <w:r w:rsidRPr="00D97AB2">
              <w:rPr>
                <w:rFonts w:ascii="Arial" w:hAnsi="Arial" w:cs="Arial"/>
                <w:sz w:val="24"/>
                <w:szCs w:val="24"/>
              </w:rPr>
              <w:t>T3</w:t>
            </w:r>
          </w:p>
        </w:tc>
        <w:tc>
          <w:tcPr>
            <w:tcW w:w="804" w:type="pct"/>
            <w:hideMark/>
          </w:tcPr>
          <w:p w:rsidRPr="00D97AB2" w:rsidR="00D97AB2" w:rsidP="00535205" w:rsidRDefault="00D97AB2" w14:paraId="59329565" w14:textId="77777777">
            <w:pPr>
              <w:jc w:val="both"/>
              <w:rPr>
                <w:rFonts w:ascii="Arial" w:hAnsi="Arial" w:cs="Arial"/>
                <w:sz w:val="24"/>
                <w:szCs w:val="24"/>
              </w:rPr>
            </w:pPr>
            <w:r w:rsidRPr="00D97AB2">
              <w:rPr>
                <w:rFonts w:ascii="Arial" w:hAnsi="Arial" w:cs="Arial"/>
                <w:sz w:val="24"/>
                <w:szCs w:val="24"/>
              </w:rPr>
              <w:t>Career-growth opportunities enhanced learning and vitality and contributed to favourable career outcomes.</w:t>
            </w:r>
          </w:p>
        </w:tc>
      </w:tr>
      <w:tr w:rsidRPr="00D97AB2" w:rsidR="00D97AB2" w:rsidTr="00F55E4F" w14:paraId="1F7D0CB5" w14:textId="77777777">
        <w:tc>
          <w:tcPr>
            <w:tcW w:w="252" w:type="pct"/>
            <w:hideMark/>
          </w:tcPr>
          <w:p w:rsidRPr="00D97AB2" w:rsidR="00D97AB2" w:rsidRDefault="00D97AB2" w14:paraId="26A844E0" w14:textId="77777777">
            <w:pPr>
              <w:jc w:val="right"/>
              <w:rPr>
                <w:rFonts w:ascii="Arial" w:hAnsi="Arial" w:cs="Arial"/>
                <w:sz w:val="24"/>
                <w:szCs w:val="24"/>
              </w:rPr>
            </w:pPr>
            <w:r w:rsidRPr="00D97AB2">
              <w:rPr>
                <w:rFonts w:ascii="Arial" w:hAnsi="Arial" w:cs="Arial"/>
                <w:sz w:val="24"/>
                <w:szCs w:val="24"/>
              </w:rPr>
              <w:t>33</w:t>
            </w:r>
          </w:p>
        </w:tc>
        <w:tc>
          <w:tcPr>
            <w:tcW w:w="603" w:type="pct"/>
            <w:hideMark/>
          </w:tcPr>
          <w:p w:rsidRPr="00D97AB2" w:rsidR="00D97AB2" w:rsidRDefault="00D97AB2" w14:paraId="20670418" w14:textId="77777777">
            <w:pPr>
              <w:rPr>
                <w:rFonts w:ascii="Arial" w:hAnsi="Arial" w:cs="Arial"/>
                <w:sz w:val="24"/>
                <w:szCs w:val="24"/>
              </w:rPr>
            </w:pPr>
            <w:r w:rsidRPr="00D97AB2">
              <w:rPr>
                <w:rFonts w:ascii="Arial" w:hAnsi="Arial" w:cs="Arial"/>
                <w:sz w:val="24"/>
                <w:szCs w:val="24"/>
              </w:rPr>
              <w:t>Zhu &amp; Song (2022)</w:t>
            </w:r>
          </w:p>
        </w:tc>
        <w:tc>
          <w:tcPr>
            <w:tcW w:w="1009" w:type="pct"/>
            <w:hideMark/>
          </w:tcPr>
          <w:p w:rsidRPr="00D97AB2" w:rsidR="00D97AB2" w:rsidP="00535205" w:rsidRDefault="00D97AB2" w14:paraId="2B14C178" w14:textId="77777777">
            <w:pPr>
              <w:jc w:val="both"/>
              <w:rPr>
                <w:rFonts w:ascii="Arial" w:hAnsi="Arial" w:cs="Arial"/>
                <w:sz w:val="24"/>
                <w:szCs w:val="24"/>
              </w:rPr>
            </w:pPr>
            <w:r w:rsidRPr="00D97AB2">
              <w:rPr>
                <w:rFonts w:ascii="Arial" w:hAnsi="Arial" w:cs="Arial"/>
                <w:sz w:val="24"/>
                <w:szCs w:val="24"/>
              </w:rPr>
              <w:t>Examine career growth, perceived organisational support, commitment and engagement</w:t>
            </w:r>
          </w:p>
        </w:tc>
        <w:tc>
          <w:tcPr>
            <w:tcW w:w="972" w:type="pct"/>
            <w:hideMark/>
          </w:tcPr>
          <w:p w:rsidRPr="00D97AB2" w:rsidR="00D97AB2" w:rsidP="00535205" w:rsidRDefault="00D97AB2" w14:paraId="564EEDA3" w14:textId="77777777">
            <w:pPr>
              <w:jc w:val="both"/>
              <w:rPr>
                <w:rFonts w:ascii="Arial" w:hAnsi="Arial" w:cs="Arial"/>
                <w:sz w:val="24"/>
                <w:szCs w:val="24"/>
              </w:rPr>
            </w:pPr>
            <w:r w:rsidRPr="00D97AB2">
              <w:rPr>
                <w:rFonts w:ascii="Arial" w:hAnsi="Arial" w:cs="Arial"/>
                <w:sz w:val="24"/>
                <w:szCs w:val="24"/>
              </w:rPr>
              <w:t>China</w:t>
            </w:r>
          </w:p>
        </w:tc>
        <w:tc>
          <w:tcPr>
            <w:tcW w:w="977" w:type="pct"/>
            <w:hideMark/>
          </w:tcPr>
          <w:p w:rsidRPr="00D97AB2" w:rsidR="00D97AB2" w:rsidP="00535205" w:rsidRDefault="00D97AB2" w14:paraId="2CFF6646" w14:textId="77777777">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rsidRPr="00D97AB2" w:rsidR="00D97AB2" w:rsidP="00535205" w:rsidRDefault="00D97AB2" w14:paraId="5D036006" w14:textId="77777777">
            <w:pPr>
              <w:jc w:val="both"/>
              <w:rPr>
                <w:rFonts w:ascii="Arial" w:hAnsi="Arial" w:cs="Arial"/>
                <w:sz w:val="24"/>
                <w:szCs w:val="24"/>
              </w:rPr>
            </w:pPr>
            <w:r w:rsidRPr="00D97AB2">
              <w:rPr>
                <w:rFonts w:ascii="Arial" w:hAnsi="Arial" w:cs="Arial"/>
                <w:sz w:val="24"/>
                <w:szCs w:val="24"/>
              </w:rPr>
              <w:t>T3</w:t>
            </w:r>
          </w:p>
        </w:tc>
        <w:tc>
          <w:tcPr>
            <w:tcW w:w="804" w:type="pct"/>
            <w:hideMark/>
          </w:tcPr>
          <w:p w:rsidRPr="00D97AB2" w:rsidR="00D97AB2" w:rsidP="00535205" w:rsidRDefault="00D97AB2" w14:paraId="6587A2CA" w14:textId="77777777">
            <w:pPr>
              <w:jc w:val="both"/>
              <w:rPr>
                <w:rFonts w:ascii="Arial" w:hAnsi="Arial" w:cs="Arial"/>
                <w:sz w:val="24"/>
                <w:szCs w:val="24"/>
              </w:rPr>
            </w:pPr>
            <w:r w:rsidRPr="00D97AB2">
              <w:rPr>
                <w:rFonts w:ascii="Arial" w:hAnsi="Arial" w:cs="Arial"/>
                <w:sz w:val="24"/>
                <w:szCs w:val="24"/>
              </w:rPr>
              <w:t>Professional-ability and career-goal development contributed to engagement through organisational support and affective commitment.</w:t>
            </w:r>
          </w:p>
        </w:tc>
      </w:tr>
      <w:tr w:rsidRPr="00D97AB2" w:rsidR="00D97AB2" w:rsidTr="00F55E4F" w14:paraId="54A2D07D" w14:textId="77777777">
        <w:tc>
          <w:tcPr>
            <w:tcW w:w="252" w:type="pct"/>
            <w:hideMark/>
          </w:tcPr>
          <w:p w:rsidRPr="00D97AB2" w:rsidR="00D97AB2" w:rsidRDefault="00D97AB2" w14:paraId="1B5D2FC2" w14:textId="77777777">
            <w:pPr>
              <w:jc w:val="right"/>
              <w:rPr>
                <w:rFonts w:ascii="Arial" w:hAnsi="Arial" w:cs="Arial"/>
                <w:sz w:val="24"/>
                <w:szCs w:val="24"/>
              </w:rPr>
            </w:pPr>
            <w:r w:rsidRPr="00D97AB2">
              <w:rPr>
                <w:rFonts w:ascii="Arial" w:hAnsi="Arial" w:cs="Arial"/>
                <w:sz w:val="24"/>
                <w:szCs w:val="24"/>
              </w:rPr>
              <w:t>34</w:t>
            </w:r>
          </w:p>
        </w:tc>
        <w:tc>
          <w:tcPr>
            <w:tcW w:w="603" w:type="pct"/>
            <w:hideMark/>
          </w:tcPr>
          <w:p w:rsidRPr="00D97AB2" w:rsidR="00D97AB2" w:rsidRDefault="00D97AB2" w14:paraId="60FDDB33" w14:textId="77777777">
            <w:pPr>
              <w:rPr>
                <w:rFonts w:ascii="Arial" w:hAnsi="Arial" w:cs="Arial"/>
                <w:sz w:val="24"/>
                <w:szCs w:val="24"/>
              </w:rPr>
            </w:pPr>
            <w:r w:rsidRPr="00D97AB2">
              <w:rPr>
                <w:rFonts w:ascii="Arial" w:hAnsi="Arial" w:cs="Arial"/>
                <w:sz w:val="24"/>
                <w:szCs w:val="24"/>
              </w:rPr>
              <w:t>Wu, Li &amp; Zhang (2025)</w:t>
            </w:r>
          </w:p>
        </w:tc>
        <w:tc>
          <w:tcPr>
            <w:tcW w:w="1009" w:type="pct"/>
            <w:hideMark/>
          </w:tcPr>
          <w:p w:rsidRPr="00D97AB2" w:rsidR="00D97AB2" w:rsidP="00535205" w:rsidRDefault="00D97AB2" w14:paraId="05CF1670" w14:textId="77777777">
            <w:pPr>
              <w:jc w:val="both"/>
              <w:rPr>
                <w:rFonts w:ascii="Arial" w:hAnsi="Arial" w:cs="Arial"/>
                <w:sz w:val="24"/>
                <w:szCs w:val="24"/>
              </w:rPr>
            </w:pPr>
            <w:r w:rsidRPr="00D97AB2">
              <w:rPr>
                <w:rFonts w:ascii="Arial" w:hAnsi="Arial" w:cs="Arial"/>
                <w:sz w:val="24"/>
                <w:szCs w:val="24"/>
              </w:rPr>
              <w:t>Examine how training experiences contribute to satisfaction, engagement and commitment</w:t>
            </w:r>
          </w:p>
        </w:tc>
        <w:tc>
          <w:tcPr>
            <w:tcW w:w="972" w:type="pct"/>
            <w:hideMark/>
          </w:tcPr>
          <w:p w:rsidRPr="00D97AB2" w:rsidR="00D97AB2" w:rsidP="00535205" w:rsidRDefault="00D97AB2" w14:paraId="749C712B" w14:textId="77777777">
            <w:pPr>
              <w:jc w:val="both"/>
              <w:rPr>
                <w:rFonts w:ascii="Arial" w:hAnsi="Arial" w:cs="Arial"/>
                <w:sz w:val="24"/>
                <w:szCs w:val="24"/>
              </w:rPr>
            </w:pPr>
            <w:r w:rsidRPr="00D97AB2">
              <w:rPr>
                <w:rFonts w:ascii="Arial" w:hAnsi="Arial" w:cs="Arial"/>
                <w:sz w:val="24"/>
                <w:szCs w:val="24"/>
              </w:rPr>
              <w:t>China</w:t>
            </w:r>
          </w:p>
        </w:tc>
        <w:tc>
          <w:tcPr>
            <w:tcW w:w="977" w:type="pct"/>
            <w:hideMark/>
          </w:tcPr>
          <w:p w:rsidRPr="00D97AB2" w:rsidR="00D97AB2" w:rsidP="00535205" w:rsidRDefault="00D97AB2" w14:paraId="30AE7E73" w14:textId="77777777">
            <w:pPr>
              <w:jc w:val="both"/>
              <w:rPr>
                <w:rFonts w:ascii="Arial" w:hAnsi="Arial" w:cs="Arial"/>
                <w:sz w:val="24"/>
                <w:szCs w:val="24"/>
              </w:rPr>
            </w:pPr>
            <w:r w:rsidRPr="00D97AB2">
              <w:rPr>
                <w:rFonts w:ascii="Arial" w:hAnsi="Arial" w:cs="Arial"/>
                <w:sz w:val="24"/>
                <w:szCs w:val="24"/>
              </w:rPr>
              <w:t>Qualitative empirical</w:t>
            </w:r>
          </w:p>
        </w:tc>
        <w:tc>
          <w:tcPr>
            <w:tcW w:w="384" w:type="pct"/>
            <w:hideMark/>
          </w:tcPr>
          <w:p w:rsidRPr="00D97AB2" w:rsidR="00D97AB2" w:rsidP="00535205" w:rsidRDefault="00D97AB2" w14:paraId="3135D71F" w14:textId="77777777">
            <w:pPr>
              <w:jc w:val="both"/>
              <w:rPr>
                <w:rFonts w:ascii="Arial" w:hAnsi="Arial" w:cs="Arial"/>
                <w:sz w:val="24"/>
                <w:szCs w:val="24"/>
              </w:rPr>
            </w:pPr>
            <w:r w:rsidRPr="00D97AB2">
              <w:rPr>
                <w:rFonts w:ascii="Arial" w:hAnsi="Arial" w:cs="Arial"/>
                <w:sz w:val="24"/>
                <w:szCs w:val="24"/>
              </w:rPr>
              <w:t>T3</w:t>
            </w:r>
          </w:p>
        </w:tc>
        <w:tc>
          <w:tcPr>
            <w:tcW w:w="804" w:type="pct"/>
            <w:hideMark/>
          </w:tcPr>
          <w:p w:rsidRPr="00D97AB2" w:rsidR="00D97AB2" w:rsidP="00535205" w:rsidRDefault="00D97AB2" w14:paraId="798A95D4" w14:textId="77777777">
            <w:pPr>
              <w:jc w:val="both"/>
              <w:rPr>
                <w:rFonts w:ascii="Arial" w:hAnsi="Arial" w:cs="Arial"/>
                <w:sz w:val="24"/>
                <w:szCs w:val="24"/>
              </w:rPr>
            </w:pPr>
            <w:r w:rsidRPr="00D97AB2">
              <w:rPr>
                <w:rFonts w:ascii="Arial" w:hAnsi="Arial" w:cs="Arial"/>
                <w:sz w:val="24"/>
                <w:szCs w:val="24"/>
              </w:rPr>
              <w:t>Training relevance, application opportunities, career prospects and knowledge sharing influence commitment.</w:t>
            </w:r>
          </w:p>
        </w:tc>
      </w:tr>
      <w:tr w:rsidRPr="00D97AB2" w:rsidR="00D97AB2" w:rsidTr="00F55E4F" w14:paraId="24A90091" w14:textId="77777777">
        <w:tc>
          <w:tcPr>
            <w:tcW w:w="252" w:type="pct"/>
            <w:hideMark/>
          </w:tcPr>
          <w:p w:rsidRPr="00D97AB2" w:rsidR="00D97AB2" w:rsidRDefault="00D97AB2" w14:paraId="05252999" w14:textId="77777777">
            <w:pPr>
              <w:jc w:val="right"/>
              <w:rPr>
                <w:rFonts w:ascii="Arial" w:hAnsi="Arial" w:cs="Arial"/>
                <w:sz w:val="24"/>
                <w:szCs w:val="24"/>
              </w:rPr>
            </w:pPr>
            <w:r w:rsidRPr="00D97AB2">
              <w:rPr>
                <w:rFonts w:ascii="Arial" w:hAnsi="Arial" w:cs="Arial"/>
                <w:sz w:val="24"/>
                <w:szCs w:val="24"/>
              </w:rPr>
              <w:t>35</w:t>
            </w:r>
          </w:p>
        </w:tc>
        <w:tc>
          <w:tcPr>
            <w:tcW w:w="603" w:type="pct"/>
            <w:hideMark/>
          </w:tcPr>
          <w:p w:rsidRPr="00D97AB2" w:rsidR="00D97AB2" w:rsidRDefault="00D97AB2" w14:paraId="7DB9926B" w14:textId="77777777">
            <w:pPr>
              <w:rPr>
                <w:rFonts w:ascii="Arial" w:hAnsi="Arial" w:cs="Arial"/>
                <w:sz w:val="24"/>
                <w:szCs w:val="24"/>
              </w:rPr>
            </w:pPr>
            <w:r w:rsidRPr="00D97AB2">
              <w:rPr>
                <w:rFonts w:ascii="Arial" w:hAnsi="Arial" w:cs="Arial"/>
                <w:sz w:val="24"/>
                <w:szCs w:val="24"/>
              </w:rPr>
              <w:t xml:space="preserve">Ndlela, Tebele &amp; </w:t>
            </w:r>
            <w:r w:rsidRPr="00D97AB2">
              <w:rPr>
                <w:rFonts w:ascii="Arial" w:hAnsi="Arial" w:cs="Arial"/>
                <w:sz w:val="24"/>
                <w:szCs w:val="24"/>
              </w:rPr>
              <w:lastRenderedPageBreak/>
              <w:t>Siwela (2026)</w:t>
            </w:r>
          </w:p>
        </w:tc>
        <w:tc>
          <w:tcPr>
            <w:tcW w:w="1009" w:type="pct"/>
            <w:hideMark/>
          </w:tcPr>
          <w:p w:rsidRPr="00D97AB2" w:rsidR="00D97AB2" w:rsidP="00535205" w:rsidRDefault="00D97AB2" w14:paraId="533309C8" w14:textId="77777777">
            <w:pPr>
              <w:jc w:val="both"/>
              <w:rPr>
                <w:rFonts w:ascii="Arial" w:hAnsi="Arial" w:cs="Arial"/>
                <w:sz w:val="24"/>
                <w:szCs w:val="24"/>
              </w:rPr>
            </w:pPr>
            <w:r w:rsidRPr="00D97AB2">
              <w:rPr>
                <w:rFonts w:ascii="Arial" w:hAnsi="Arial" w:cs="Arial"/>
                <w:sz w:val="24"/>
                <w:szCs w:val="24"/>
              </w:rPr>
              <w:lastRenderedPageBreak/>
              <w:t xml:space="preserve">Explore organisational retention </w:t>
            </w:r>
            <w:r w:rsidRPr="00D97AB2">
              <w:rPr>
                <w:rFonts w:ascii="Arial" w:hAnsi="Arial" w:cs="Arial"/>
                <w:sz w:val="24"/>
                <w:szCs w:val="24"/>
              </w:rPr>
              <w:lastRenderedPageBreak/>
              <w:t>initiatives and employees' experiences of development</w:t>
            </w:r>
          </w:p>
        </w:tc>
        <w:tc>
          <w:tcPr>
            <w:tcW w:w="972" w:type="pct"/>
            <w:hideMark/>
          </w:tcPr>
          <w:p w:rsidRPr="00D97AB2" w:rsidR="00D97AB2" w:rsidP="00535205" w:rsidRDefault="00D97AB2" w14:paraId="680B21AF" w14:textId="77777777">
            <w:pPr>
              <w:jc w:val="both"/>
              <w:rPr>
                <w:rFonts w:ascii="Arial" w:hAnsi="Arial" w:cs="Arial"/>
                <w:sz w:val="24"/>
                <w:szCs w:val="24"/>
              </w:rPr>
            </w:pPr>
            <w:r w:rsidRPr="00D97AB2">
              <w:rPr>
                <w:rFonts w:ascii="Arial" w:hAnsi="Arial" w:cs="Arial"/>
                <w:sz w:val="24"/>
                <w:szCs w:val="24"/>
              </w:rPr>
              <w:lastRenderedPageBreak/>
              <w:t>South Africa</w:t>
            </w:r>
          </w:p>
        </w:tc>
        <w:tc>
          <w:tcPr>
            <w:tcW w:w="977" w:type="pct"/>
            <w:hideMark/>
          </w:tcPr>
          <w:p w:rsidRPr="00D97AB2" w:rsidR="00D97AB2" w:rsidP="00535205" w:rsidRDefault="00D97AB2" w14:paraId="0E182339" w14:textId="77777777">
            <w:pPr>
              <w:jc w:val="both"/>
              <w:rPr>
                <w:rFonts w:ascii="Arial" w:hAnsi="Arial" w:cs="Arial"/>
                <w:sz w:val="24"/>
                <w:szCs w:val="24"/>
              </w:rPr>
            </w:pPr>
            <w:r w:rsidRPr="00D97AB2">
              <w:rPr>
                <w:rFonts w:ascii="Arial" w:hAnsi="Arial" w:cs="Arial"/>
                <w:sz w:val="24"/>
                <w:szCs w:val="24"/>
              </w:rPr>
              <w:t>Qualitative case study</w:t>
            </w:r>
          </w:p>
        </w:tc>
        <w:tc>
          <w:tcPr>
            <w:tcW w:w="384" w:type="pct"/>
            <w:hideMark/>
          </w:tcPr>
          <w:p w:rsidRPr="00D97AB2" w:rsidR="00D97AB2" w:rsidP="00535205" w:rsidRDefault="00D97AB2" w14:paraId="4F0C03B8" w14:textId="77777777">
            <w:pPr>
              <w:jc w:val="both"/>
              <w:rPr>
                <w:rFonts w:ascii="Arial" w:hAnsi="Arial" w:cs="Arial"/>
                <w:sz w:val="24"/>
                <w:szCs w:val="24"/>
              </w:rPr>
            </w:pPr>
            <w:r w:rsidRPr="00D97AB2">
              <w:rPr>
                <w:rFonts w:ascii="Arial" w:hAnsi="Arial" w:cs="Arial"/>
                <w:sz w:val="24"/>
                <w:szCs w:val="24"/>
              </w:rPr>
              <w:t>T3</w:t>
            </w:r>
          </w:p>
        </w:tc>
        <w:tc>
          <w:tcPr>
            <w:tcW w:w="804" w:type="pct"/>
            <w:hideMark/>
          </w:tcPr>
          <w:p w:rsidRPr="00D97AB2" w:rsidR="00D97AB2" w:rsidP="00535205" w:rsidRDefault="00D97AB2" w14:paraId="1AF784A9" w14:textId="77777777">
            <w:pPr>
              <w:jc w:val="both"/>
              <w:rPr>
                <w:rFonts w:ascii="Arial" w:hAnsi="Arial" w:cs="Arial"/>
                <w:sz w:val="24"/>
                <w:szCs w:val="24"/>
              </w:rPr>
            </w:pPr>
            <w:r w:rsidRPr="00D97AB2">
              <w:rPr>
                <w:rFonts w:ascii="Arial" w:hAnsi="Arial" w:cs="Arial"/>
                <w:sz w:val="24"/>
                <w:szCs w:val="24"/>
              </w:rPr>
              <w:t xml:space="preserve">Identifies weaknesses in </w:t>
            </w:r>
            <w:r w:rsidRPr="00D97AB2">
              <w:rPr>
                <w:rFonts w:ascii="Arial" w:hAnsi="Arial" w:cs="Arial"/>
                <w:sz w:val="24"/>
                <w:szCs w:val="24"/>
              </w:rPr>
              <w:lastRenderedPageBreak/>
              <w:t>mentorship, career development and communication despite formal retention initiatives.</w:t>
            </w:r>
          </w:p>
        </w:tc>
      </w:tr>
      <w:tr w:rsidRPr="00D97AB2" w:rsidR="00D97AB2" w:rsidTr="00F55E4F" w14:paraId="76FA3196" w14:textId="77777777">
        <w:tc>
          <w:tcPr>
            <w:tcW w:w="252" w:type="pct"/>
            <w:hideMark/>
          </w:tcPr>
          <w:p w:rsidRPr="00D97AB2" w:rsidR="00D97AB2" w:rsidRDefault="00D97AB2" w14:paraId="028784DC" w14:textId="77777777">
            <w:pPr>
              <w:jc w:val="right"/>
              <w:rPr>
                <w:rFonts w:ascii="Arial" w:hAnsi="Arial" w:cs="Arial"/>
                <w:sz w:val="24"/>
                <w:szCs w:val="24"/>
              </w:rPr>
            </w:pPr>
            <w:r w:rsidRPr="00D97AB2">
              <w:rPr>
                <w:rFonts w:ascii="Arial" w:hAnsi="Arial" w:cs="Arial"/>
                <w:sz w:val="24"/>
                <w:szCs w:val="24"/>
              </w:rPr>
              <w:lastRenderedPageBreak/>
              <w:t>36</w:t>
            </w:r>
          </w:p>
        </w:tc>
        <w:tc>
          <w:tcPr>
            <w:tcW w:w="603" w:type="pct"/>
            <w:hideMark/>
          </w:tcPr>
          <w:p w:rsidRPr="00D97AB2" w:rsidR="00D97AB2" w:rsidRDefault="00D97AB2" w14:paraId="240098A8" w14:textId="77777777">
            <w:pPr>
              <w:rPr>
                <w:rFonts w:ascii="Arial" w:hAnsi="Arial" w:cs="Arial"/>
                <w:sz w:val="24"/>
                <w:szCs w:val="24"/>
              </w:rPr>
            </w:pPr>
            <w:r w:rsidRPr="00D97AB2">
              <w:rPr>
                <w:rFonts w:ascii="Arial" w:hAnsi="Arial" w:cs="Arial"/>
                <w:sz w:val="24"/>
                <w:szCs w:val="24"/>
              </w:rPr>
              <w:t>Shiri et al. (2023)</w:t>
            </w:r>
          </w:p>
        </w:tc>
        <w:tc>
          <w:tcPr>
            <w:tcW w:w="1009" w:type="pct"/>
            <w:hideMark/>
          </w:tcPr>
          <w:p w:rsidRPr="00D97AB2" w:rsidR="00D97AB2" w:rsidP="00535205" w:rsidRDefault="00D97AB2" w14:paraId="45ED295E" w14:textId="77777777">
            <w:pPr>
              <w:jc w:val="both"/>
              <w:rPr>
                <w:rFonts w:ascii="Arial" w:hAnsi="Arial" w:cs="Arial"/>
                <w:sz w:val="24"/>
                <w:szCs w:val="24"/>
              </w:rPr>
            </w:pPr>
            <w:r w:rsidRPr="00D97AB2">
              <w:rPr>
                <w:rFonts w:ascii="Arial" w:hAnsi="Arial" w:cs="Arial"/>
                <w:sz w:val="24"/>
                <w:szCs w:val="24"/>
              </w:rPr>
              <w:t>Examine whether continuing professional development supports employee retention</w:t>
            </w:r>
          </w:p>
        </w:tc>
        <w:tc>
          <w:tcPr>
            <w:tcW w:w="972" w:type="pct"/>
            <w:hideMark/>
          </w:tcPr>
          <w:p w:rsidRPr="00D97AB2" w:rsidR="00D97AB2" w:rsidP="00535205" w:rsidRDefault="00D97AB2" w14:paraId="3658DECE" w14:textId="77777777">
            <w:pPr>
              <w:jc w:val="both"/>
              <w:rPr>
                <w:rFonts w:ascii="Arial" w:hAnsi="Arial" w:cs="Arial"/>
                <w:sz w:val="24"/>
                <w:szCs w:val="24"/>
              </w:rPr>
            </w:pPr>
            <w:r w:rsidRPr="00D97AB2">
              <w:rPr>
                <w:rFonts w:ascii="Arial" w:hAnsi="Arial" w:cs="Arial"/>
                <w:sz w:val="24"/>
                <w:szCs w:val="24"/>
              </w:rPr>
              <w:t>International; strong healthcare representation</w:t>
            </w:r>
          </w:p>
        </w:tc>
        <w:tc>
          <w:tcPr>
            <w:tcW w:w="977" w:type="pct"/>
            <w:hideMark/>
          </w:tcPr>
          <w:p w:rsidRPr="00D97AB2" w:rsidR="00D97AB2" w:rsidP="00535205" w:rsidRDefault="00D97AB2" w14:paraId="0A684EA5" w14:textId="77777777">
            <w:pPr>
              <w:jc w:val="both"/>
              <w:rPr>
                <w:rFonts w:ascii="Arial" w:hAnsi="Arial" w:cs="Arial"/>
                <w:sz w:val="24"/>
                <w:szCs w:val="24"/>
              </w:rPr>
            </w:pPr>
            <w:r w:rsidRPr="00D97AB2">
              <w:rPr>
                <w:rFonts w:ascii="Arial" w:hAnsi="Arial" w:cs="Arial"/>
                <w:sz w:val="24"/>
                <w:szCs w:val="24"/>
              </w:rPr>
              <w:t>Systematic review</w:t>
            </w:r>
          </w:p>
        </w:tc>
        <w:tc>
          <w:tcPr>
            <w:tcW w:w="384" w:type="pct"/>
            <w:hideMark/>
          </w:tcPr>
          <w:p w:rsidRPr="00D97AB2" w:rsidR="00D97AB2" w:rsidP="00535205" w:rsidRDefault="00D97AB2" w14:paraId="5E9DC032" w14:textId="77777777">
            <w:pPr>
              <w:jc w:val="both"/>
              <w:rPr>
                <w:rFonts w:ascii="Arial" w:hAnsi="Arial" w:cs="Arial"/>
                <w:sz w:val="24"/>
                <w:szCs w:val="24"/>
              </w:rPr>
            </w:pPr>
            <w:r w:rsidRPr="00D97AB2">
              <w:rPr>
                <w:rFonts w:ascii="Arial" w:hAnsi="Arial" w:cs="Arial"/>
                <w:sz w:val="24"/>
                <w:szCs w:val="24"/>
              </w:rPr>
              <w:t>T3</w:t>
            </w:r>
          </w:p>
        </w:tc>
        <w:tc>
          <w:tcPr>
            <w:tcW w:w="804" w:type="pct"/>
            <w:hideMark/>
          </w:tcPr>
          <w:p w:rsidRPr="00D97AB2" w:rsidR="00D97AB2" w:rsidP="00535205" w:rsidRDefault="00D97AB2" w14:paraId="64E3171A" w14:textId="77777777">
            <w:pPr>
              <w:jc w:val="both"/>
              <w:rPr>
                <w:rFonts w:ascii="Arial" w:hAnsi="Arial" w:cs="Arial"/>
                <w:sz w:val="24"/>
                <w:szCs w:val="24"/>
              </w:rPr>
            </w:pPr>
            <w:r w:rsidRPr="00D97AB2">
              <w:rPr>
                <w:rStyle w:val="Strong"/>
                <w:rFonts w:ascii="Arial" w:hAnsi="Arial" w:cs="Arial"/>
                <w:b w:val="0"/>
                <w:sz w:val="24"/>
                <w:szCs w:val="24"/>
              </w:rPr>
              <w:t>27 studies</w:t>
            </w:r>
            <w:r w:rsidRPr="00D97AB2">
              <w:rPr>
                <w:rFonts w:ascii="Arial" w:hAnsi="Arial" w:cs="Arial"/>
                <w:sz w:val="24"/>
                <w:szCs w:val="24"/>
              </w:rPr>
              <w:t xml:space="preserve"> generally associated professional development with intention to remain and reduced intention to leave.</w:t>
            </w:r>
          </w:p>
        </w:tc>
      </w:tr>
      <w:tr w:rsidRPr="00D97AB2" w:rsidR="00D97AB2" w:rsidTr="00F55E4F" w14:paraId="1E3FD244" w14:textId="77777777">
        <w:tc>
          <w:tcPr>
            <w:tcW w:w="252" w:type="pct"/>
            <w:hideMark/>
          </w:tcPr>
          <w:p w:rsidRPr="00D97AB2" w:rsidR="00D97AB2" w:rsidRDefault="00D97AB2" w14:paraId="774D2BF8" w14:textId="77777777">
            <w:pPr>
              <w:jc w:val="right"/>
              <w:rPr>
                <w:rFonts w:ascii="Arial" w:hAnsi="Arial" w:cs="Arial"/>
                <w:sz w:val="24"/>
                <w:szCs w:val="24"/>
              </w:rPr>
            </w:pPr>
            <w:r w:rsidRPr="00D97AB2">
              <w:rPr>
                <w:rFonts w:ascii="Arial" w:hAnsi="Arial" w:cs="Arial"/>
                <w:sz w:val="24"/>
                <w:szCs w:val="24"/>
              </w:rPr>
              <w:t>37</w:t>
            </w:r>
          </w:p>
        </w:tc>
        <w:tc>
          <w:tcPr>
            <w:tcW w:w="603" w:type="pct"/>
            <w:hideMark/>
          </w:tcPr>
          <w:p w:rsidRPr="00D97AB2" w:rsidR="00D97AB2" w:rsidRDefault="00D97AB2" w14:paraId="669CB942" w14:textId="77777777">
            <w:pPr>
              <w:rPr>
                <w:rFonts w:ascii="Arial" w:hAnsi="Arial" w:cs="Arial"/>
                <w:sz w:val="24"/>
                <w:szCs w:val="24"/>
              </w:rPr>
            </w:pPr>
            <w:r w:rsidRPr="00D97AB2">
              <w:rPr>
                <w:rFonts w:ascii="Arial" w:hAnsi="Arial" w:cs="Arial"/>
                <w:sz w:val="24"/>
                <w:szCs w:val="24"/>
              </w:rPr>
              <w:t>Saad, Gaber &amp; Labib (2021)</w:t>
            </w:r>
          </w:p>
        </w:tc>
        <w:tc>
          <w:tcPr>
            <w:tcW w:w="1009" w:type="pct"/>
            <w:hideMark/>
          </w:tcPr>
          <w:p w:rsidRPr="00D97AB2" w:rsidR="00D97AB2" w:rsidP="00535205" w:rsidRDefault="00D97AB2" w14:paraId="257C1609" w14:textId="77777777">
            <w:pPr>
              <w:jc w:val="both"/>
              <w:rPr>
                <w:rFonts w:ascii="Arial" w:hAnsi="Arial" w:cs="Arial"/>
                <w:sz w:val="24"/>
                <w:szCs w:val="24"/>
              </w:rPr>
            </w:pPr>
            <w:r w:rsidRPr="00D97AB2">
              <w:rPr>
                <w:rFonts w:ascii="Arial" w:hAnsi="Arial" w:cs="Arial"/>
                <w:sz w:val="24"/>
                <w:szCs w:val="24"/>
              </w:rPr>
              <w:t>Examine HRM practices and different dimensions of employee engagement</w:t>
            </w:r>
          </w:p>
        </w:tc>
        <w:tc>
          <w:tcPr>
            <w:tcW w:w="972" w:type="pct"/>
            <w:hideMark/>
          </w:tcPr>
          <w:p w:rsidRPr="00D97AB2" w:rsidR="00D97AB2" w:rsidP="00535205" w:rsidRDefault="00D97AB2" w14:paraId="246610D1" w14:textId="77777777">
            <w:pPr>
              <w:jc w:val="both"/>
              <w:rPr>
                <w:rFonts w:ascii="Arial" w:hAnsi="Arial" w:cs="Arial"/>
                <w:sz w:val="24"/>
                <w:szCs w:val="24"/>
              </w:rPr>
            </w:pPr>
            <w:r w:rsidRPr="00D97AB2">
              <w:rPr>
                <w:rFonts w:ascii="Arial" w:hAnsi="Arial" w:cs="Arial"/>
                <w:sz w:val="24"/>
                <w:szCs w:val="24"/>
              </w:rPr>
              <w:t>Egypt</w:t>
            </w:r>
          </w:p>
        </w:tc>
        <w:tc>
          <w:tcPr>
            <w:tcW w:w="977" w:type="pct"/>
            <w:hideMark/>
          </w:tcPr>
          <w:p w:rsidRPr="00D97AB2" w:rsidR="00D97AB2" w:rsidP="00535205" w:rsidRDefault="00D97AB2" w14:paraId="7A9FE894" w14:textId="77777777">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rsidRPr="00D97AB2" w:rsidR="00D97AB2" w:rsidP="00535205" w:rsidRDefault="00D97AB2" w14:paraId="63AA80FB" w14:textId="77777777">
            <w:pPr>
              <w:jc w:val="both"/>
              <w:rPr>
                <w:rFonts w:ascii="Arial" w:hAnsi="Arial" w:cs="Arial"/>
                <w:sz w:val="24"/>
                <w:szCs w:val="24"/>
              </w:rPr>
            </w:pPr>
            <w:r w:rsidRPr="00D97AB2">
              <w:rPr>
                <w:rFonts w:ascii="Arial" w:hAnsi="Arial" w:cs="Arial"/>
                <w:sz w:val="24"/>
                <w:szCs w:val="24"/>
              </w:rPr>
              <w:t>T3</w:t>
            </w:r>
          </w:p>
        </w:tc>
        <w:tc>
          <w:tcPr>
            <w:tcW w:w="804" w:type="pct"/>
            <w:hideMark/>
          </w:tcPr>
          <w:p w:rsidRPr="00D97AB2" w:rsidR="00D97AB2" w:rsidP="00535205" w:rsidRDefault="00D97AB2" w14:paraId="1F2309E8" w14:textId="77777777">
            <w:pPr>
              <w:jc w:val="both"/>
              <w:rPr>
                <w:rFonts w:ascii="Arial" w:hAnsi="Arial" w:cs="Arial"/>
                <w:sz w:val="24"/>
                <w:szCs w:val="24"/>
              </w:rPr>
            </w:pPr>
            <w:r w:rsidRPr="00D97AB2">
              <w:rPr>
                <w:rFonts w:ascii="Arial" w:hAnsi="Arial" w:cs="Arial"/>
                <w:sz w:val="24"/>
                <w:szCs w:val="24"/>
              </w:rPr>
              <w:t>HRM practices supported cognitive, emotional and behavioural engagement, although strategy implementation did not strengthen all relationships.</w:t>
            </w:r>
          </w:p>
        </w:tc>
      </w:tr>
      <w:tr w:rsidRPr="00D97AB2" w:rsidR="00D97AB2" w:rsidTr="00F55E4F" w14:paraId="28FBCA69" w14:textId="77777777">
        <w:tc>
          <w:tcPr>
            <w:tcW w:w="252" w:type="pct"/>
            <w:hideMark/>
          </w:tcPr>
          <w:p w:rsidRPr="00D97AB2" w:rsidR="00D97AB2" w:rsidRDefault="00D97AB2" w14:paraId="11722B09" w14:textId="77777777">
            <w:pPr>
              <w:jc w:val="right"/>
              <w:rPr>
                <w:rFonts w:ascii="Arial" w:hAnsi="Arial" w:cs="Arial"/>
                <w:sz w:val="24"/>
                <w:szCs w:val="24"/>
              </w:rPr>
            </w:pPr>
            <w:r w:rsidRPr="00D97AB2">
              <w:rPr>
                <w:rFonts w:ascii="Arial" w:hAnsi="Arial" w:cs="Arial"/>
                <w:sz w:val="24"/>
                <w:szCs w:val="24"/>
              </w:rPr>
              <w:t>38</w:t>
            </w:r>
          </w:p>
        </w:tc>
        <w:tc>
          <w:tcPr>
            <w:tcW w:w="603" w:type="pct"/>
            <w:hideMark/>
          </w:tcPr>
          <w:p w:rsidRPr="00D97AB2" w:rsidR="00D97AB2" w:rsidRDefault="00D97AB2" w14:paraId="63E9B1D0" w14:textId="77777777">
            <w:pPr>
              <w:rPr>
                <w:rFonts w:ascii="Arial" w:hAnsi="Arial" w:cs="Arial"/>
                <w:sz w:val="24"/>
                <w:szCs w:val="24"/>
              </w:rPr>
            </w:pPr>
            <w:r w:rsidRPr="00D97AB2">
              <w:rPr>
                <w:rFonts w:ascii="Arial" w:hAnsi="Arial" w:cs="Arial"/>
                <w:sz w:val="24"/>
                <w:szCs w:val="24"/>
              </w:rPr>
              <w:t>Dixit (2022)</w:t>
            </w:r>
          </w:p>
        </w:tc>
        <w:tc>
          <w:tcPr>
            <w:tcW w:w="1009" w:type="pct"/>
            <w:hideMark/>
          </w:tcPr>
          <w:p w:rsidRPr="00D97AB2" w:rsidR="00D97AB2" w:rsidP="00535205" w:rsidRDefault="00D97AB2" w14:paraId="17576596" w14:textId="77777777">
            <w:pPr>
              <w:jc w:val="both"/>
              <w:rPr>
                <w:rFonts w:ascii="Arial" w:hAnsi="Arial" w:cs="Arial"/>
                <w:sz w:val="24"/>
                <w:szCs w:val="24"/>
              </w:rPr>
            </w:pPr>
            <w:r w:rsidRPr="00D97AB2">
              <w:rPr>
                <w:rFonts w:ascii="Arial" w:hAnsi="Arial" w:cs="Arial"/>
                <w:sz w:val="24"/>
                <w:szCs w:val="24"/>
              </w:rPr>
              <w:t>Examine whether transfer-support tools encourage application of acquired learning</w:t>
            </w:r>
          </w:p>
        </w:tc>
        <w:tc>
          <w:tcPr>
            <w:tcW w:w="972" w:type="pct"/>
            <w:hideMark/>
          </w:tcPr>
          <w:p w:rsidRPr="00D97AB2" w:rsidR="00D97AB2" w:rsidP="00535205" w:rsidRDefault="00D97AB2" w14:paraId="0EE0E9FC" w14:textId="77777777">
            <w:pPr>
              <w:jc w:val="both"/>
              <w:rPr>
                <w:rFonts w:ascii="Arial" w:hAnsi="Arial" w:cs="Arial"/>
                <w:sz w:val="24"/>
                <w:szCs w:val="24"/>
              </w:rPr>
            </w:pPr>
            <w:r w:rsidRPr="00D97AB2">
              <w:rPr>
                <w:rFonts w:ascii="Arial" w:hAnsi="Arial" w:cs="Arial"/>
                <w:sz w:val="24"/>
                <w:szCs w:val="24"/>
              </w:rPr>
              <w:t>Multi-sector context</w:t>
            </w:r>
          </w:p>
        </w:tc>
        <w:tc>
          <w:tcPr>
            <w:tcW w:w="977" w:type="pct"/>
            <w:hideMark/>
          </w:tcPr>
          <w:p w:rsidRPr="00D97AB2" w:rsidR="00D97AB2" w:rsidP="00535205" w:rsidRDefault="00D97AB2" w14:paraId="657D2EC1" w14:textId="77777777">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rsidRPr="00D97AB2" w:rsidR="00D97AB2" w:rsidP="00535205" w:rsidRDefault="00D97AB2" w14:paraId="0E778386" w14:textId="77777777">
            <w:pPr>
              <w:jc w:val="both"/>
              <w:rPr>
                <w:rFonts w:ascii="Arial" w:hAnsi="Arial" w:cs="Arial"/>
                <w:sz w:val="24"/>
                <w:szCs w:val="24"/>
              </w:rPr>
            </w:pPr>
            <w:r w:rsidRPr="00D97AB2">
              <w:rPr>
                <w:rFonts w:ascii="Arial" w:hAnsi="Arial" w:cs="Arial"/>
                <w:sz w:val="24"/>
                <w:szCs w:val="24"/>
              </w:rPr>
              <w:t>T4</w:t>
            </w:r>
          </w:p>
        </w:tc>
        <w:tc>
          <w:tcPr>
            <w:tcW w:w="804" w:type="pct"/>
            <w:hideMark/>
          </w:tcPr>
          <w:p w:rsidRPr="00D97AB2" w:rsidR="00D97AB2" w:rsidP="00535205" w:rsidRDefault="00D97AB2" w14:paraId="19FD6441" w14:textId="77777777">
            <w:pPr>
              <w:jc w:val="both"/>
              <w:rPr>
                <w:rFonts w:ascii="Arial" w:hAnsi="Arial" w:cs="Arial"/>
                <w:sz w:val="24"/>
                <w:szCs w:val="24"/>
              </w:rPr>
            </w:pPr>
            <w:r w:rsidRPr="00D97AB2">
              <w:rPr>
                <w:rFonts w:ascii="Arial" w:hAnsi="Arial" w:cs="Arial"/>
                <w:sz w:val="24"/>
                <w:szCs w:val="24"/>
              </w:rPr>
              <w:t>Transfer tools were associated with greater workplace application of training.</w:t>
            </w:r>
          </w:p>
        </w:tc>
      </w:tr>
      <w:tr w:rsidRPr="00D97AB2" w:rsidR="00D97AB2" w:rsidTr="00F55E4F" w14:paraId="3910B2E8" w14:textId="77777777">
        <w:tc>
          <w:tcPr>
            <w:tcW w:w="252" w:type="pct"/>
            <w:hideMark/>
          </w:tcPr>
          <w:p w:rsidRPr="00D97AB2" w:rsidR="00D97AB2" w:rsidRDefault="00D97AB2" w14:paraId="5E90EBD8" w14:textId="77777777">
            <w:pPr>
              <w:jc w:val="right"/>
              <w:rPr>
                <w:rFonts w:ascii="Arial" w:hAnsi="Arial" w:cs="Arial"/>
                <w:sz w:val="24"/>
                <w:szCs w:val="24"/>
              </w:rPr>
            </w:pPr>
            <w:r w:rsidRPr="00D97AB2">
              <w:rPr>
                <w:rFonts w:ascii="Arial" w:hAnsi="Arial" w:cs="Arial"/>
                <w:sz w:val="24"/>
                <w:szCs w:val="24"/>
              </w:rPr>
              <w:lastRenderedPageBreak/>
              <w:t>39</w:t>
            </w:r>
          </w:p>
        </w:tc>
        <w:tc>
          <w:tcPr>
            <w:tcW w:w="603" w:type="pct"/>
            <w:hideMark/>
          </w:tcPr>
          <w:p w:rsidRPr="00D97AB2" w:rsidR="00D97AB2" w:rsidRDefault="00D97AB2" w14:paraId="78B4A52B" w14:textId="77777777">
            <w:pPr>
              <w:rPr>
                <w:rFonts w:ascii="Arial" w:hAnsi="Arial" w:cs="Arial"/>
                <w:sz w:val="24"/>
                <w:szCs w:val="24"/>
              </w:rPr>
            </w:pPr>
            <w:r w:rsidRPr="00D97AB2">
              <w:rPr>
                <w:rFonts w:ascii="Arial" w:hAnsi="Arial" w:cs="Arial"/>
                <w:sz w:val="24"/>
                <w:szCs w:val="24"/>
              </w:rPr>
              <w:t>Gautam, Gautam &amp; Basnet (2023)</w:t>
            </w:r>
          </w:p>
        </w:tc>
        <w:tc>
          <w:tcPr>
            <w:tcW w:w="1009" w:type="pct"/>
            <w:hideMark/>
          </w:tcPr>
          <w:p w:rsidRPr="00D97AB2" w:rsidR="00D97AB2" w:rsidP="00535205" w:rsidRDefault="00D97AB2" w14:paraId="45314B72" w14:textId="77777777">
            <w:pPr>
              <w:jc w:val="both"/>
              <w:rPr>
                <w:rFonts w:ascii="Arial" w:hAnsi="Arial" w:cs="Arial"/>
                <w:sz w:val="24"/>
                <w:szCs w:val="24"/>
              </w:rPr>
            </w:pPr>
            <w:r w:rsidRPr="00D97AB2">
              <w:rPr>
                <w:rFonts w:ascii="Arial" w:hAnsi="Arial" w:cs="Arial"/>
                <w:sz w:val="24"/>
                <w:szCs w:val="24"/>
              </w:rPr>
              <w:t>Examine training design, motivation and social support as transfer determinants</w:t>
            </w:r>
          </w:p>
        </w:tc>
        <w:tc>
          <w:tcPr>
            <w:tcW w:w="972" w:type="pct"/>
            <w:hideMark/>
          </w:tcPr>
          <w:p w:rsidRPr="00D97AB2" w:rsidR="00D97AB2" w:rsidP="00535205" w:rsidRDefault="00D97AB2" w14:paraId="0F2832C1" w14:textId="77777777">
            <w:pPr>
              <w:jc w:val="both"/>
              <w:rPr>
                <w:rFonts w:ascii="Arial" w:hAnsi="Arial" w:cs="Arial"/>
                <w:sz w:val="24"/>
                <w:szCs w:val="24"/>
              </w:rPr>
            </w:pPr>
            <w:r w:rsidRPr="00D97AB2">
              <w:rPr>
                <w:rFonts w:ascii="Arial" w:hAnsi="Arial" w:cs="Arial"/>
                <w:sz w:val="24"/>
                <w:szCs w:val="24"/>
              </w:rPr>
              <w:t>Nepal/emerging-market context</w:t>
            </w:r>
          </w:p>
        </w:tc>
        <w:tc>
          <w:tcPr>
            <w:tcW w:w="977" w:type="pct"/>
            <w:hideMark/>
          </w:tcPr>
          <w:p w:rsidRPr="00D97AB2" w:rsidR="00D97AB2" w:rsidP="00535205" w:rsidRDefault="00D97AB2" w14:paraId="142FBD87" w14:textId="77777777">
            <w:pPr>
              <w:jc w:val="both"/>
              <w:rPr>
                <w:rFonts w:ascii="Arial" w:hAnsi="Arial" w:cs="Arial"/>
                <w:sz w:val="24"/>
                <w:szCs w:val="24"/>
              </w:rPr>
            </w:pPr>
            <w:r w:rsidRPr="00D97AB2">
              <w:rPr>
                <w:rFonts w:ascii="Arial" w:hAnsi="Arial" w:cs="Arial"/>
                <w:sz w:val="24"/>
                <w:szCs w:val="24"/>
              </w:rPr>
              <w:t>Quantitative empirical</w:t>
            </w:r>
          </w:p>
        </w:tc>
        <w:tc>
          <w:tcPr>
            <w:tcW w:w="384" w:type="pct"/>
            <w:hideMark/>
          </w:tcPr>
          <w:p w:rsidRPr="00D97AB2" w:rsidR="00D97AB2" w:rsidP="00535205" w:rsidRDefault="00D97AB2" w14:paraId="0686AC5A" w14:textId="77777777">
            <w:pPr>
              <w:jc w:val="both"/>
              <w:rPr>
                <w:rFonts w:ascii="Arial" w:hAnsi="Arial" w:cs="Arial"/>
                <w:sz w:val="24"/>
                <w:szCs w:val="24"/>
              </w:rPr>
            </w:pPr>
            <w:r w:rsidRPr="00D97AB2">
              <w:rPr>
                <w:rFonts w:ascii="Arial" w:hAnsi="Arial" w:cs="Arial"/>
                <w:sz w:val="24"/>
                <w:szCs w:val="24"/>
              </w:rPr>
              <w:t>T4</w:t>
            </w:r>
          </w:p>
        </w:tc>
        <w:tc>
          <w:tcPr>
            <w:tcW w:w="804" w:type="pct"/>
            <w:hideMark/>
          </w:tcPr>
          <w:p w:rsidRPr="00D97AB2" w:rsidR="00D97AB2" w:rsidP="00535205" w:rsidRDefault="00D97AB2" w14:paraId="778EB708" w14:textId="77777777">
            <w:pPr>
              <w:jc w:val="both"/>
              <w:rPr>
                <w:rFonts w:ascii="Arial" w:hAnsi="Arial" w:cs="Arial"/>
                <w:sz w:val="24"/>
                <w:szCs w:val="24"/>
              </w:rPr>
            </w:pPr>
            <w:r w:rsidRPr="00D97AB2">
              <w:rPr>
                <w:rFonts w:ascii="Arial" w:hAnsi="Arial" w:cs="Arial"/>
                <w:sz w:val="24"/>
                <w:szCs w:val="24"/>
              </w:rPr>
              <w:t>Supervisor and peer support, transfer motivation and training design influence transfer.</w:t>
            </w:r>
          </w:p>
        </w:tc>
      </w:tr>
      <w:tr w:rsidRPr="00D97AB2" w:rsidR="00D97AB2" w:rsidTr="00F55E4F" w14:paraId="3915DB63" w14:textId="77777777">
        <w:tc>
          <w:tcPr>
            <w:tcW w:w="252" w:type="pct"/>
            <w:hideMark/>
          </w:tcPr>
          <w:p w:rsidRPr="00D97AB2" w:rsidR="00D97AB2" w:rsidRDefault="00D97AB2" w14:paraId="50AC31A4" w14:textId="77777777">
            <w:pPr>
              <w:jc w:val="right"/>
              <w:rPr>
                <w:rFonts w:ascii="Arial" w:hAnsi="Arial" w:cs="Arial"/>
                <w:sz w:val="24"/>
                <w:szCs w:val="24"/>
              </w:rPr>
            </w:pPr>
            <w:r w:rsidRPr="00D97AB2">
              <w:rPr>
                <w:rFonts w:ascii="Arial" w:hAnsi="Arial" w:cs="Arial"/>
                <w:sz w:val="24"/>
                <w:szCs w:val="24"/>
              </w:rPr>
              <w:t>40</w:t>
            </w:r>
          </w:p>
        </w:tc>
        <w:tc>
          <w:tcPr>
            <w:tcW w:w="603" w:type="pct"/>
            <w:hideMark/>
          </w:tcPr>
          <w:p w:rsidRPr="00D97AB2" w:rsidR="00D97AB2" w:rsidRDefault="00D97AB2" w14:paraId="78F945BA" w14:textId="77777777">
            <w:pPr>
              <w:rPr>
                <w:rFonts w:ascii="Arial" w:hAnsi="Arial" w:cs="Arial"/>
                <w:sz w:val="24"/>
                <w:szCs w:val="24"/>
              </w:rPr>
            </w:pPr>
            <w:r w:rsidRPr="00D97AB2">
              <w:rPr>
                <w:rFonts w:ascii="Arial" w:hAnsi="Arial" w:cs="Arial"/>
                <w:sz w:val="24"/>
                <w:szCs w:val="24"/>
              </w:rPr>
              <w:t>Blume et al. (2023)</w:t>
            </w:r>
          </w:p>
        </w:tc>
        <w:tc>
          <w:tcPr>
            <w:tcW w:w="1009" w:type="pct"/>
            <w:hideMark/>
          </w:tcPr>
          <w:p w:rsidRPr="00D97AB2" w:rsidR="00D97AB2" w:rsidP="00535205" w:rsidRDefault="00D97AB2" w14:paraId="0DF4F905" w14:textId="77777777">
            <w:pPr>
              <w:jc w:val="both"/>
              <w:rPr>
                <w:rFonts w:ascii="Arial" w:hAnsi="Arial" w:cs="Arial"/>
                <w:sz w:val="24"/>
                <w:szCs w:val="24"/>
              </w:rPr>
            </w:pPr>
            <w:r w:rsidRPr="00D97AB2">
              <w:rPr>
                <w:rFonts w:ascii="Arial" w:hAnsi="Arial" w:cs="Arial"/>
                <w:sz w:val="24"/>
                <w:szCs w:val="24"/>
              </w:rPr>
              <w:t>Examine interactions between individual characteristics and supervisor support</w:t>
            </w:r>
          </w:p>
        </w:tc>
        <w:tc>
          <w:tcPr>
            <w:tcW w:w="972" w:type="pct"/>
            <w:hideMark/>
          </w:tcPr>
          <w:p w:rsidRPr="00D97AB2" w:rsidR="00D97AB2" w:rsidP="00535205" w:rsidRDefault="00D97AB2" w14:paraId="0A01DF74" w14:textId="77777777">
            <w:pPr>
              <w:jc w:val="both"/>
              <w:rPr>
                <w:rFonts w:ascii="Arial" w:hAnsi="Arial" w:cs="Arial"/>
                <w:sz w:val="24"/>
                <w:szCs w:val="24"/>
              </w:rPr>
            </w:pPr>
            <w:r w:rsidRPr="00D97AB2">
              <w:rPr>
                <w:rFonts w:ascii="Arial" w:hAnsi="Arial" w:cs="Arial"/>
                <w:sz w:val="24"/>
                <w:szCs w:val="24"/>
              </w:rPr>
              <w:t>USA/management-training context</w:t>
            </w:r>
          </w:p>
        </w:tc>
        <w:tc>
          <w:tcPr>
            <w:tcW w:w="977" w:type="pct"/>
            <w:hideMark/>
          </w:tcPr>
          <w:p w:rsidRPr="00D97AB2" w:rsidR="00D97AB2" w:rsidP="00535205" w:rsidRDefault="00D97AB2" w14:paraId="04E6262F" w14:textId="77777777">
            <w:pPr>
              <w:jc w:val="both"/>
              <w:rPr>
                <w:rFonts w:ascii="Arial" w:hAnsi="Arial" w:cs="Arial"/>
                <w:sz w:val="24"/>
                <w:szCs w:val="24"/>
              </w:rPr>
            </w:pPr>
            <w:r w:rsidRPr="00D97AB2">
              <w:rPr>
                <w:rFonts w:ascii="Arial" w:hAnsi="Arial" w:cs="Arial"/>
                <w:sz w:val="24"/>
                <w:szCs w:val="24"/>
              </w:rPr>
              <w:t>Quantitative field study</w:t>
            </w:r>
          </w:p>
        </w:tc>
        <w:tc>
          <w:tcPr>
            <w:tcW w:w="384" w:type="pct"/>
            <w:hideMark/>
          </w:tcPr>
          <w:p w:rsidRPr="00D97AB2" w:rsidR="00D97AB2" w:rsidP="00535205" w:rsidRDefault="00D97AB2" w14:paraId="0C537FAA" w14:textId="77777777">
            <w:pPr>
              <w:jc w:val="both"/>
              <w:rPr>
                <w:rFonts w:ascii="Arial" w:hAnsi="Arial" w:cs="Arial"/>
                <w:sz w:val="24"/>
                <w:szCs w:val="24"/>
              </w:rPr>
            </w:pPr>
            <w:r w:rsidRPr="00D97AB2">
              <w:rPr>
                <w:rFonts w:ascii="Arial" w:hAnsi="Arial" w:cs="Arial"/>
                <w:sz w:val="24"/>
                <w:szCs w:val="24"/>
              </w:rPr>
              <w:t>T4</w:t>
            </w:r>
          </w:p>
        </w:tc>
        <w:tc>
          <w:tcPr>
            <w:tcW w:w="804" w:type="pct"/>
            <w:hideMark/>
          </w:tcPr>
          <w:p w:rsidRPr="00D97AB2" w:rsidR="00D97AB2" w:rsidP="00535205" w:rsidRDefault="00D97AB2" w14:paraId="7A556523" w14:textId="77777777">
            <w:pPr>
              <w:jc w:val="both"/>
              <w:rPr>
                <w:rFonts w:ascii="Arial" w:hAnsi="Arial" w:cs="Arial"/>
                <w:sz w:val="24"/>
                <w:szCs w:val="24"/>
              </w:rPr>
            </w:pPr>
            <w:r w:rsidRPr="00D97AB2">
              <w:rPr>
                <w:rFonts w:ascii="Arial" w:hAnsi="Arial" w:cs="Arial"/>
                <w:sz w:val="24"/>
                <w:szCs w:val="24"/>
              </w:rPr>
              <w:t>Shows that employee characteristics and supervisory conditions jointly affect training activity and subsequent transfer.</w:t>
            </w:r>
          </w:p>
        </w:tc>
      </w:tr>
      <w:tr w:rsidRPr="00D97AB2" w:rsidR="00D97AB2" w:rsidTr="00F55E4F" w14:paraId="5AE0116D" w14:textId="77777777">
        <w:tc>
          <w:tcPr>
            <w:tcW w:w="252" w:type="pct"/>
            <w:hideMark/>
          </w:tcPr>
          <w:p w:rsidRPr="00D97AB2" w:rsidR="00D97AB2" w:rsidRDefault="00D97AB2" w14:paraId="168E3F8E" w14:textId="77777777">
            <w:pPr>
              <w:jc w:val="right"/>
              <w:rPr>
                <w:rFonts w:ascii="Arial" w:hAnsi="Arial" w:cs="Arial"/>
                <w:sz w:val="24"/>
                <w:szCs w:val="24"/>
              </w:rPr>
            </w:pPr>
            <w:r w:rsidRPr="00D97AB2">
              <w:rPr>
                <w:rFonts w:ascii="Arial" w:hAnsi="Arial" w:cs="Arial"/>
                <w:sz w:val="24"/>
                <w:szCs w:val="24"/>
              </w:rPr>
              <w:t>41</w:t>
            </w:r>
          </w:p>
        </w:tc>
        <w:tc>
          <w:tcPr>
            <w:tcW w:w="603" w:type="pct"/>
            <w:hideMark/>
          </w:tcPr>
          <w:p w:rsidRPr="00D97AB2" w:rsidR="00D97AB2" w:rsidRDefault="00D97AB2" w14:paraId="6A28F536" w14:textId="77777777">
            <w:pPr>
              <w:rPr>
                <w:rFonts w:ascii="Arial" w:hAnsi="Arial" w:cs="Arial"/>
                <w:sz w:val="24"/>
                <w:szCs w:val="24"/>
              </w:rPr>
            </w:pPr>
            <w:r w:rsidRPr="00D97AB2">
              <w:rPr>
                <w:rFonts w:ascii="Arial" w:hAnsi="Arial" w:cs="Arial"/>
                <w:sz w:val="24"/>
                <w:szCs w:val="24"/>
              </w:rPr>
              <w:t>Nielsen et al. (2023)</w:t>
            </w:r>
          </w:p>
        </w:tc>
        <w:tc>
          <w:tcPr>
            <w:tcW w:w="1009" w:type="pct"/>
            <w:hideMark/>
          </w:tcPr>
          <w:p w:rsidRPr="00D97AB2" w:rsidR="00D97AB2" w:rsidP="00535205" w:rsidRDefault="00D97AB2" w14:paraId="40541586" w14:textId="77777777">
            <w:pPr>
              <w:jc w:val="both"/>
              <w:rPr>
                <w:rFonts w:ascii="Arial" w:hAnsi="Arial" w:cs="Arial"/>
                <w:sz w:val="24"/>
                <w:szCs w:val="24"/>
              </w:rPr>
            </w:pPr>
            <w:r w:rsidRPr="00D97AB2">
              <w:rPr>
                <w:rFonts w:ascii="Arial" w:hAnsi="Arial" w:cs="Arial"/>
                <w:sz w:val="24"/>
                <w:szCs w:val="24"/>
              </w:rPr>
              <w:t>Examine training transfer and outcomes across different competencies</w:t>
            </w:r>
          </w:p>
        </w:tc>
        <w:tc>
          <w:tcPr>
            <w:tcW w:w="972" w:type="pct"/>
            <w:hideMark/>
          </w:tcPr>
          <w:p w:rsidRPr="00D97AB2" w:rsidR="00D97AB2" w:rsidP="00535205" w:rsidRDefault="00D97AB2" w14:paraId="74CA87A6" w14:textId="77777777">
            <w:pPr>
              <w:jc w:val="both"/>
              <w:rPr>
                <w:rFonts w:ascii="Arial" w:hAnsi="Arial" w:cs="Arial"/>
                <w:sz w:val="24"/>
                <w:szCs w:val="24"/>
              </w:rPr>
            </w:pPr>
            <w:r w:rsidRPr="00D97AB2">
              <w:rPr>
                <w:rFonts w:ascii="Arial" w:hAnsi="Arial" w:cs="Arial"/>
                <w:sz w:val="24"/>
                <w:szCs w:val="24"/>
              </w:rPr>
              <w:t>Construction-sector context</w:t>
            </w:r>
          </w:p>
        </w:tc>
        <w:tc>
          <w:tcPr>
            <w:tcW w:w="977" w:type="pct"/>
            <w:hideMark/>
          </w:tcPr>
          <w:p w:rsidRPr="00D97AB2" w:rsidR="00D97AB2" w:rsidP="00535205" w:rsidRDefault="00D97AB2" w14:paraId="18C2E092" w14:textId="77777777">
            <w:pPr>
              <w:jc w:val="both"/>
              <w:rPr>
                <w:rFonts w:ascii="Arial" w:hAnsi="Arial" w:cs="Arial"/>
                <w:sz w:val="24"/>
                <w:szCs w:val="24"/>
              </w:rPr>
            </w:pPr>
            <w:r w:rsidRPr="00D97AB2">
              <w:rPr>
                <w:rFonts w:ascii="Arial" w:hAnsi="Arial" w:cs="Arial"/>
                <w:sz w:val="24"/>
                <w:szCs w:val="24"/>
              </w:rPr>
              <w:t>Mixed-method empirical study</w:t>
            </w:r>
          </w:p>
        </w:tc>
        <w:tc>
          <w:tcPr>
            <w:tcW w:w="384" w:type="pct"/>
            <w:hideMark/>
          </w:tcPr>
          <w:p w:rsidRPr="00D97AB2" w:rsidR="00D97AB2" w:rsidP="00535205" w:rsidRDefault="00D97AB2" w14:paraId="072DFEDC" w14:textId="77777777">
            <w:pPr>
              <w:jc w:val="both"/>
              <w:rPr>
                <w:rFonts w:ascii="Arial" w:hAnsi="Arial" w:cs="Arial"/>
                <w:sz w:val="24"/>
                <w:szCs w:val="24"/>
              </w:rPr>
            </w:pPr>
            <w:r w:rsidRPr="00D97AB2">
              <w:rPr>
                <w:rFonts w:ascii="Arial" w:hAnsi="Arial" w:cs="Arial"/>
                <w:sz w:val="24"/>
                <w:szCs w:val="24"/>
              </w:rPr>
              <w:t>T4</w:t>
            </w:r>
          </w:p>
        </w:tc>
        <w:tc>
          <w:tcPr>
            <w:tcW w:w="804" w:type="pct"/>
            <w:hideMark/>
          </w:tcPr>
          <w:p w:rsidRPr="00D97AB2" w:rsidR="00D97AB2" w:rsidP="00535205" w:rsidRDefault="00D97AB2" w14:paraId="0A96EBC8" w14:textId="77777777">
            <w:pPr>
              <w:jc w:val="both"/>
              <w:rPr>
                <w:rFonts w:ascii="Arial" w:hAnsi="Arial" w:cs="Arial"/>
                <w:sz w:val="24"/>
                <w:szCs w:val="24"/>
              </w:rPr>
            </w:pPr>
            <w:r w:rsidRPr="00D97AB2">
              <w:rPr>
                <w:rFonts w:ascii="Arial" w:hAnsi="Arial" w:cs="Arial"/>
                <w:sz w:val="24"/>
                <w:szCs w:val="24"/>
              </w:rPr>
              <w:t>Training effects differed across competencies, challenging assumptions that all training outcomes improve uniformly.</w:t>
            </w:r>
          </w:p>
        </w:tc>
      </w:tr>
      <w:tr w:rsidRPr="00D97AB2" w:rsidR="00D97AB2" w:rsidTr="00F55E4F" w14:paraId="1CF5EBC5" w14:textId="77777777">
        <w:tc>
          <w:tcPr>
            <w:tcW w:w="252" w:type="pct"/>
            <w:hideMark/>
          </w:tcPr>
          <w:p w:rsidRPr="00D97AB2" w:rsidR="00D97AB2" w:rsidRDefault="00D97AB2" w14:paraId="61095E29" w14:textId="77777777">
            <w:pPr>
              <w:jc w:val="right"/>
              <w:rPr>
                <w:rFonts w:ascii="Arial" w:hAnsi="Arial" w:cs="Arial"/>
                <w:sz w:val="24"/>
                <w:szCs w:val="24"/>
              </w:rPr>
            </w:pPr>
            <w:r w:rsidRPr="00D97AB2">
              <w:rPr>
                <w:rFonts w:ascii="Arial" w:hAnsi="Arial" w:cs="Arial"/>
                <w:sz w:val="24"/>
                <w:szCs w:val="24"/>
              </w:rPr>
              <w:t>42</w:t>
            </w:r>
          </w:p>
        </w:tc>
        <w:tc>
          <w:tcPr>
            <w:tcW w:w="603" w:type="pct"/>
            <w:hideMark/>
          </w:tcPr>
          <w:p w:rsidRPr="00D97AB2" w:rsidR="00D97AB2" w:rsidRDefault="00D97AB2" w14:paraId="3F6E2363" w14:textId="77777777">
            <w:pPr>
              <w:rPr>
                <w:rFonts w:ascii="Arial" w:hAnsi="Arial" w:cs="Arial"/>
                <w:sz w:val="24"/>
                <w:szCs w:val="24"/>
              </w:rPr>
            </w:pPr>
            <w:r w:rsidRPr="00D97AB2">
              <w:rPr>
                <w:rFonts w:ascii="Arial" w:hAnsi="Arial" w:cs="Arial"/>
                <w:sz w:val="24"/>
                <w:szCs w:val="24"/>
              </w:rPr>
              <w:t>Shukla et al. (2024)</w:t>
            </w:r>
          </w:p>
        </w:tc>
        <w:tc>
          <w:tcPr>
            <w:tcW w:w="1009" w:type="pct"/>
            <w:hideMark/>
          </w:tcPr>
          <w:p w:rsidRPr="00D97AB2" w:rsidR="00D97AB2" w:rsidP="00535205" w:rsidRDefault="00D97AB2" w14:paraId="7F50544B" w14:textId="77777777">
            <w:pPr>
              <w:jc w:val="both"/>
              <w:rPr>
                <w:rFonts w:ascii="Arial" w:hAnsi="Arial" w:cs="Arial"/>
                <w:sz w:val="24"/>
                <w:szCs w:val="24"/>
              </w:rPr>
            </w:pPr>
            <w:r w:rsidRPr="00D97AB2">
              <w:rPr>
                <w:rFonts w:ascii="Arial" w:hAnsi="Arial" w:cs="Arial"/>
                <w:sz w:val="24"/>
                <w:szCs w:val="24"/>
              </w:rPr>
              <w:t>Identify determinants of transfer from online training</w:t>
            </w:r>
          </w:p>
        </w:tc>
        <w:tc>
          <w:tcPr>
            <w:tcW w:w="972" w:type="pct"/>
            <w:hideMark/>
          </w:tcPr>
          <w:p w:rsidRPr="00D97AB2" w:rsidR="00D97AB2" w:rsidP="00535205" w:rsidRDefault="00D97AB2" w14:paraId="47BEBE73"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7B9D2FB2" w14:textId="77777777">
            <w:pPr>
              <w:jc w:val="both"/>
              <w:rPr>
                <w:rFonts w:ascii="Arial" w:hAnsi="Arial" w:cs="Arial"/>
                <w:sz w:val="24"/>
                <w:szCs w:val="24"/>
              </w:rPr>
            </w:pPr>
            <w:r w:rsidRPr="00D97AB2">
              <w:rPr>
                <w:rFonts w:ascii="Arial" w:hAnsi="Arial" w:cs="Arial"/>
                <w:sz w:val="24"/>
                <w:szCs w:val="24"/>
              </w:rPr>
              <w:t>Systematic literature review</w:t>
            </w:r>
          </w:p>
        </w:tc>
        <w:tc>
          <w:tcPr>
            <w:tcW w:w="384" w:type="pct"/>
            <w:hideMark/>
          </w:tcPr>
          <w:p w:rsidRPr="00D97AB2" w:rsidR="00D97AB2" w:rsidP="00535205" w:rsidRDefault="00D97AB2" w14:paraId="583BAB69" w14:textId="77777777">
            <w:pPr>
              <w:jc w:val="both"/>
              <w:rPr>
                <w:rFonts w:ascii="Arial" w:hAnsi="Arial" w:cs="Arial"/>
                <w:sz w:val="24"/>
                <w:szCs w:val="24"/>
              </w:rPr>
            </w:pPr>
            <w:r w:rsidRPr="00D97AB2">
              <w:rPr>
                <w:rFonts w:ascii="Arial" w:hAnsi="Arial" w:cs="Arial"/>
                <w:sz w:val="24"/>
                <w:szCs w:val="24"/>
              </w:rPr>
              <w:t>T4</w:t>
            </w:r>
          </w:p>
        </w:tc>
        <w:tc>
          <w:tcPr>
            <w:tcW w:w="804" w:type="pct"/>
            <w:hideMark/>
          </w:tcPr>
          <w:p w:rsidRPr="00D97AB2" w:rsidR="00D97AB2" w:rsidP="00535205" w:rsidRDefault="00D97AB2" w14:paraId="042BBCC8" w14:textId="77777777">
            <w:pPr>
              <w:jc w:val="both"/>
              <w:rPr>
                <w:rFonts w:ascii="Arial" w:hAnsi="Arial" w:cs="Arial"/>
                <w:sz w:val="24"/>
                <w:szCs w:val="24"/>
              </w:rPr>
            </w:pPr>
            <w:r w:rsidRPr="00D97AB2">
              <w:rPr>
                <w:rFonts w:ascii="Arial" w:hAnsi="Arial" w:cs="Arial"/>
                <w:sz w:val="24"/>
                <w:szCs w:val="24"/>
              </w:rPr>
              <w:t>Learner characteristics, training design, digital conditions and organisational environment influence online-training transfer.</w:t>
            </w:r>
          </w:p>
        </w:tc>
      </w:tr>
      <w:tr w:rsidRPr="00D97AB2" w:rsidR="00D97AB2" w:rsidTr="00F55E4F" w14:paraId="5C0A652A" w14:textId="77777777">
        <w:tc>
          <w:tcPr>
            <w:tcW w:w="252" w:type="pct"/>
            <w:hideMark/>
          </w:tcPr>
          <w:p w:rsidRPr="00D97AB2" w:rsidR="00D97AB2" w:rsidRDefault="00D97AB2" w14:paraId="2162B75D" w14:textId="77777777">
            <w:pPr>
              <w:jc w:val="right"/>
              <w:rPr>
                <w:rFonts w:ascii="Arial" w:hAnsi="Arial" w:cs="Arial"/>
                <w:sz w:val="24"/>
                <w:szCs w:val="24"/>
              </w:rPr>
            </w:pPr>
            <w:r w:rsidRPr="00D97AB2">
              <w:rPr>
                <w:rFonts w:ascii="Arial" w:hAnsi="Arial" w:cs="Arial"/>
                <w:sz w:val="24"/>
                <w:szCs w:val="24"/>
              </w:rPr>
              <w:lastRenderedPageBreak/>
              <w:t>43</w:t>
            </w:r>
          </w:p>
        </w:tc>
        <w:tc>
          <w:tcPr>
            <w:tcW w:w="603" w:type="pct"/>
            <w:hideMark/>
          </w:tcPr>
          <w:p w:rsidRPr="00D97AB2" w:rsidR="00D97AB2" w:rsidRDefault="00535205" w14:paraId="6321399C" w14:textId="7025427F">
            <w:pPr>
              <w:rPr>
                <w:rFonts w:ascii="Arial" w:hAnsi="Arial" w:cs="Arial"/>
                <w:sz w:val="24"/>
                <w:szCs w:val="24"/>
              </w:rPr>
            </w:pPr>
            <w:r>
              <w:rPr>
                <w:rFonts w:ascii="Arial" w:hAnsi="Arial" w:cs="Arial"/>
                <w:sz w:val="24"/>
                <w:szCs w:val="24"/>
              </w:rPr>
              <w:t xml:space="preserve">Langendorf </w:t>
            </w:r>
            <w:proofErr w:type="gramStart"/>
            <w:r>
              <w:rPr>
                <w:rFonts w:ascii="Arial" w:hAnsi="Arial" w:cs="Arial"/>
                <w:sz w:val="24"/>
                <w:szCs w:val="24"/>
              </w:rPr>
              <w:t xml:space="preserve">and </w:t>
            </w:r>
            <w:r w:rsidRPr="00D97AB2" w:rsidR="00D97AB2">
              <w:rPr>
                <w:rFonts w:ascii="Arial" w:hAnsi="Arial" w:cs="Arial"/>
                <w:sz w:val="24"/>
                <w:szCs w:val="24"/>
              </w:rPr>
              <w:t xml:space="preserve"> Khalid</w:t>
            </w:r>
            <w:proofErr w:type="gramEnd"/>
            <w:r w:rsidRPr="00D97AB2" w:rsidR="00D97AB2">
              <w:rPr>
                <w:rFonts w:ascii="Arial" w:hAnsi="Arial" w:cs="Arial"/>
                <w:sz w:val="24"/>
                <w:szCs w:val="24"/>
              </w:rPr>
              <w:t xml:space="preserve"> (2025)</w:t>
            </w:r>
          </w:p>
        </w:tc>
        <w:tc>
          <w:tcPr>
            <w:tcW w:w="1009" w:type="pct"/>
            <w:hideMark/>
          </w:tcPr>
          <w:p w:rsidRPr="00D97AB2" w:rsidR="00D97AB2" w:rsidP="00535205" w:rsidRDefault="00D97AB2" w14:paraId="0CABF2D0" w14:textId="77777777">
            <w:pPr>
              <w:jc w:val="both"/>
              <w:rPr>
                <w:rFonts w:ascii="Arial" w:hAnsi="Arial" w:cs="Arial"/>
                <w:sz w:val="24"/>
                <w:szCs w:val="24"/>
              </w:rPr>
            </w:pPr>
            <w:r w:rsidRPr="00D97AB2">
              <w:rPr>
                <w:rFonts w:ascii="Arial" w:hAnsi="Arial" w:cs="Arial"/>
                <w:sz w:val="24"/>
                <w:szCs w:val="24"/>
              </w:rPr>
              <w:t>Review digital-training approaches and their evaluation</w:t>
            </w:r>
          </w:p>
        </w:tc>
        <w:tc>
          <w:tcPr>
            <w:tcW w:w="972" w:type="pct"/>
            <w:hideMark/>
          </w:tcPr>
          <w:p w:rsidRPr="00D97AB2" w:rsidR="00D97AB2" w:rsidP="00535205" w:rsidRDefault="00D97AB2" w14:paraId="3B8EC092" w14:textId="77777777">
            <w:pPr>
              <w:jc w:val="both"/>
              <w:rPr>
                <w:rFonts w:ascii="Arial" w:hAnsi="Arial" w:cs="Arial"/>
                <w:sz w:val="24"/>
                <w:szCs w:val="24"/>
              </w:rPr>
            </w:pPr>
            <w:r w:rsidRPr="00D97AB2">
              <w:rPr>
                <w:rFonts w:ascii="Arial" w:hAnsi="Arial" w:cs="Arial"/>
                <w:sz w:val="24"/>
                <w:szCs w:val="24"/>
              </w:rPr>
              <w:t>International/industrial contexts</w:t>
            </w:r>
          </w:p>
        </w:tc>
        <w:tc>
          <w:tcPr>
            <w:tcW w:w="977" w:type="pct"/>
            <w:hideMark/>
          </w:tcPr>
          <w:p w:rsidRPr="00D97AB2" w:rsidR="00D97AB2" w:rsidP="00535205" w:rsidRDefault="00D97AB2" w14:paraId="6E7E84EA" w14:textId="77777777">
            <w:pPr>
              <w:jc w:val="both"/>
              <w:rPr>
                <w:rFonts w:ascii="Arial" w:hAnsi="Arial" w:cs="Arial"/>
                <w:sz w:val="24"/>
                <w:szCs w:val="24"/>
              </w:rPr>
            </w:pPr>
            <w:r w:rsidRPr="00D97AB2">
              <w:rPr>
                <w:rFonts w:ascii="Arial" w:hAnsi="Arial" w:cs="Arial"/>
                <w:sz w:val="24"/>
                <w:szCs w:val="24"/>
              </w:rPr>
              <w:t>Systematic literature review</w:t>
            </w:r>
          </w:p>
        </w:tc>
        <w:tc>
          <w:tcPr>
            <w:tcW w:w="384" w:type="pct"/>
            <w:hideMark/>
          </w:tcPr>
          <w:p w:rsidRPr="00D97AB2" w:rsidR="00D97AB2" w:rsidP="00535205" w:rsidRDefault="00D97AB2" w14:paraId="06BE0A16" w14:textId="77777777">
            <w:pPr>
              <w:jc w:val="both"/>
              <w:rPr>
                <w:rFonts w:ascii="Arial" w:hAnsi="Arial" w:cs="Arial"/>
                <w:sz w:val="24"/>
                <w:szCs w:val="24"/>
              </w:rPr>
            </w:pPr>
            <w:r w:rsidRPr="00D97AB2">
              <w:rPr>
                <w:rFonts w:ascii="Arial" w:hAnsi="Arial" w:cs="Arial"/>
                <w:sz w:val="24"/>
                <w:szCs w:val="24"/>
              </w:rPr>
              <w:t>T4</w:t>
            </w:r>
          </w:p>
        </w:tc>
        <w:tc>
          <w:tcPr>
            <w:tcW w:w="804" w:type="pct"/>
            <w:hideMark/>
          </w:tcPr>
          <w:p w:rsidRPr="00D97AB2" w:rsidR="00D97AB2" w:rsidP="00535205" w:rsidRDefault="00D97AB2" w14:paraId="439591E2" w14:textId="77777777">
            <w:pPr>
              <w:jc w:val="both"/>
              <w:rPr>
                <w:rFonts w:ascii="Arial" w:hAnsi="Arial" w:cs="Arial"/>
                <w:sz w:val="24"/>
                <w:szCs w:val="24"/>
              </w:rPr>
            </w:pPr>
            <w:r w:rsidRPr="00D97AB2">
              <w:rPr>
                <w:rFonts w:ascii="Arial" w:hAnsi="Arial" w:cs="Arial"/>
                <w:sz w:val="24"/>
                <w:szCs w:val="24"/>
              </w:rPr>
              <w:t>Found inconsistent evaluation approaches, small samples and insufficient comparisons between digital-training formats.</w:t>
            </w:r>
          </w:p>
        </w:tc>
      </w:tr>
      <w:tr w:rsidRPr="00D97AB2" w:rsidR="00D97AB2" w:rsidTr="00F55E4F" w14:paraId="259F4963" w14:textId="77777777">
        <w:tc>
          <w:tcPr>
            <w:tcW w:w="252" w:type="pct"/>
            <w:hideMark/>
          </w:tcPr>
          <w:p w:rsidRPr="00D97AB2" w:rsidR="00D97AB2" w:rsidRDefault="00D97AB2" w14:paraId="15D7E2D6" w14:textId="77777777">
            <w:pPr>
              <w:jc w:val="right"/>
              <w:rPr>
                <w:rFonts w:ascii="Arial" w:hAnsi="Arial" w:cs="Arial"/>
                <w:sz w:val="24"/>
                <w:szCs w:val="24"/>
              </w:rPr>
            </w:pPr>
            <w:r w:rsidRPr="00D97AB2">
              <w:rPr>
                <w:rFonts w:ascii="Arial" w:hAnsi="Arial" w:cs="Arial"/>
                <w:sz w:val="24"/>
                <w:szCs w:val="24"/>
              </w:rPr>
              <w:t>44</w:t>
            </w:r>
          </w:p>
        </w:tc>
        <w:tc>
          <w:tcPr>
            <w:tcW w:w="603" w:type="pct"/>
            <w:hideMark/>
          </w:tcPr>
          <w:p w:rsidRPr="00D97AB2" w:rsidR="00D97AB2" w:rsidRDefault="00535205" w14:paraId="1625F8C5" w14:textId="3151D956">
            <w:pPr>
              <w:rPr>
                <w:rFonts w:ascii="Arial" w:hAnsi="Arial" w:cs="Arial"/>
                <w:sz w:val="24"/>
                <w:szCs w:val="24"/>
              </w:rPr>
            </w:pPr>
            <w:r>
              <w:rPr>
                <w:rFonts w:ascii="Arial" w:hAnsi="Arial" w:cs="Arial"/>
                <w:sz w:val="24"/>
                <w:szCs w:val="24"/>
              </w:rPr>
              <w:t xml:space="preserve">Wijga, </w:t>
            </w:r>
            <w:proofErr w:type="spellStart"/>
            <w:r>
              <w:rPr>
                <w:rFonts w:ascii="Arial" w:hAnsi="Arial" w:cs="Arial"/>
                <w:sz w:val="24"/>
                <w:szCs w:val="24"/>
              </w:rPr>
              <w:t>Beausaert</w:t>
            </w:r>
            <w:proofErr w:type="spellEnd"/>
            <w:r>
              <w:rPr>
                <w:rFonts w:ascii="Arial" w:hAnsi="Arial" w:cs="Arial"/>
                <w:sz w:val="24"/>
                <w:szCs w:val="24"/>
              </w:rPr>
              <w:t xml:space="preserve"> </w:t>
            </w:r>
            <w:proofErr w:type="gramStart"/>
            <w:r>
              <w:rPr>
                <w:rFonts w:ascii="Arial" w:hAnsi="Arial" w:cs="Arial"/>
                <w:sz w:val="24"/>
                <w:szCs w:val="24"/>
              </w:rPr>
              <w:t xml:space="preserve">and </w:t>
            </w:r>
            <w:r w:rsidRPr="00D97AB2" w:rsidR="00D97AB2">
              <w:rPr>
                <w:rFonts w:ascii="Arial" w:hAnsi="Arial" w:cs="Arial"/>
                <w:sz w:val="24"/>
                <w:szCs w:val="24"/>
              </w:rPr>
              <w:t xml:space="preserve"> </w:t>
            </w:r>
            <w:proofErr w:type="spellStart"/>
            <w:r w:rsidRPr="00D97AB2" w:rsidR="00D97AB2">
              <w:rPr>
                <w:rFonts w:ascii="Arial" w:hAnsi="Arial" w:cs="Arial"/>
                <w:sz w:val="24"/>
                <w:szCs w:val="24"/>
              </w:rPr>
              <w:t>Kyndt</w:t>
            </w:r>
            <w:proofErr w:type="spellEnd"/>
            <w:proofErr w:type="gramEnd"/>
            <w:r w:rsidRPr="00D97AB2" w:rsidR="00D97AB2">
              <w:rPr>
                <w:rFonts w:ascii="Arial" w:hAnsi="Arial" w:cs="Arial"/>
                <w:sz w:val="24"/>
                <w:szCs w:val="24"/>
              </w:rPr>
              <w:t xml:space="preserve"> (2025)</w:t>
            </w:r>
          </w:p>
        </w:tc>
        <w:tc>
          <w:tcPr>
            <w:tcW w:w="1009" w:type="pct"/>
            <w:hideMark/>
          </w:tcPr>
          <w:p w:rsidRPr="00D97AB2" w:rsidR="00D97AB2" w:rsidP="00535205" w:rsidRDefault="00D97AB2" w14:paraId="49C56CEA" w14:textId="77777777">
            <w:pPr>
              <w:jc w:val="both"/>
              <w:rPr>
                <w:rFonts w:ascii="Arial" w:hAnsi="Arial" w:cs="Arial"/>
                <w:sz w:val="24"/>
                <w:szCs w:val="24"/>
              </w:rPr>
            </w:pPr>
            <w:r w:rsidRPr="00D97AB2">
              <w:rPr>
                <w:rFonts w:ascii="Arial" w:hAnsi="Arial" w:cs="Arial"/>
                <w:sz w:val="24"/>
                <w:szCs w:val="24"/>
              </w:rPr>
              <w:t>Identify individual and contextual antecedents of workplace learning</w:t>
            </w:r>
          </w:p>
        </w:tc>
        <w:tc>
          <w:tcPr>
            <w:tcW w:w="972" w:type="pct"/>
            <w:hideMark/>
          </w:tcPr>
          <w:p w:rsidRPr="00D97AB2" w:rsidR="00D97AB2" w:rsidP="00535205" w:rsidRDefault="00D97AB2" w14:paraId="35F0348F"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5B1D2CD6" w14:textId="77777777">
            <w:pPr>
              <w:jc w:val="both"/>
              <w:rPr>
                <w:rFonts w:ascii="Arial" w:hAnsi="Arial" w:cs="Arial"/>
                <w:sz w:val="24"/>
                <w:szCs w:val="24"/>
              </w:rPr>
            </w:pPr>
            <w:r w:rsidRPr="00D97AB2">
              <w:rPr>
                <w:rFonts w:ascii="Arial" w:hAnsi="Arial" w:cs="Arial"/>
                <w:sz w:val="24"/>
                <w:szCs w:val="24"/>
              </w:rPr>
              <w:t>Systematic literature review</w:t>
            </w:r>
          </w:p>
        </w:tc>
        <w:tc>
          <w:tcPr>
            <w:tcW w:w="384" w:type="pct"/>
            <w:hideMark/>
          </w:tcPr>
          <w:p w:rsidRPr="00D97AB2" w:rsidR="00D97AB2" w:rsidP="00535205" w:rsidRDefault="00D97AB2" w14:paraId="094DF43F" w14:textId="77777777">
            <w:pPr>
              <w:jc w:val="both"/>
              <w:rPr>
                <w:rFonts w:ascii="Arial" w:hAnsi="Arial" w:cs="Arial"/>
                <w:sz w:val="24"/>
                <w:szCs w:val="24"/>
              </w:rPr>
            </w:pPr>
            <w:r w:rsidRPr="00D97AB2">
              <w:rPr>
                <w:rFonts w:ascii="Arial" w:hAnsi="Arial" w:cs="Arial"/>
                <w:sz w:val="24"/>
                <w:szCs w:val="24"/>
              </w:rPr>
              <w:t>T4</w:t>
            </w:r>
          </w:p>
        </w:tc>
        <w:tc>
          <w:tcPr>
            <w:tcW w:w="804" w:type="pct"/>
            <w:hideMark/>
          </w:tcPr>
          <w:p w:rsidRPr="00D97AB2" w:rsidR="00D97AB2" w:rsidP="00535205" w:rsidRDefault="00D97AB2" w14:paraId="0E9FDAF3" w14:textId="77777777">
            <w:pPr>
              <w:jc w:val="both"/>
              <w:rPr>
                <w:rFonts w:ascii="Arial" w:hAnsi="Arial" w:cs="Arial"/>
                <w:sz w:val="24"/>
                <w:szCs w:val="24"/>
              </w:rPr>
            </w:pPr>
            <w:r w:rsidRPr="00D97AB2">
              <w:rPr>
                <w:rFonts w:ascii="Arial" w:hAnsi="Arial" w:cs="Arial"/>
                <w:sz w:val="24"/>
                <w:szCs w:val="24"/>
              </w:rPr>
              <w:t>Motivation, self-efficacy, learning climate and job demands influence continuous workplace learning.</w:t>
            </w:r>
          </w:p>
        </w:tc>
      </w:tr>
      <w:tr w:rsidRPr="00D97AB2" w:rsidR="00D97AB2" w:rsidTr="00F55E4F" w14:paraId="04C777FE" w14:textId="77777777">
        <w:tc>
          <w:tcPr>
            <w:tcW w:w="252" w:type="pct"/>
            <w:hideMark/>
          </w:tcPr>
          <w:p w:rsidRPr="00D97AB2" w:rsidR="00D97AB2" w:rsidRDefault="00D97AB2" w14:paraId="6ACF1BC7" w14:textId="77777777">
            <w:pPr>
              <w:jc w:val="right"/>
              <w:rPr>
                <w:rFonts w:ascii="Arial" w:hAnsi="Arial" w:cs="Arial"/>
                <w:sz w:val="24"/>
                <w:szCs w:val="24"/>
              </w:rPr>
            </w:pPr>
            <w:r w:rsidRPr="00D97AB2">
              <w:rPr>
                <w:rFonts w:ascii="Arial" w:hAnsi="Arial" w:cs="Arial"/>
                <w:sz w:val="24"/>
                <w:szCs w:val="24"/>
              </w:rPr>
              <w:t>45</w:t>
            </w:r>
          </w:p>
        </w:tc>
        <w:tc>
          <w:tcPr>
            <w:tcW w:w="603" w:type="pct"/>
            <w:hideMark/>
          </w:tcPr>
          <w:p w:rsidRPr="00D97AB2" w:rsidR="00D97AB2" w:rsidRDefault="00D97AB2" w14:paraId="26697FB4" w14:textId="77777777">
            <w:pPr>
              <w:rPr>
                <w:rFonts w:ascii="Arial" w:hAnsi="Arial" w:cs="Arial"/>
                <w:sz w:val="24"/>
                <w:szCs w:val="24"/>
              </w:rPr>
            </w:pPr>
            <w:r w:rsidRPr="00D97AB2">
              <w:rPr>
                <w:rFonts w:ascii="Arial" w:hAnsi="Arial" w:cs="Arial"/>
                <w:sz w:val="24"/>
                <w:szCs w:val="24"/>
              </w:rPr>
              <w:t>Barbosa &amp; Borges-Andrade (2025)</w:t>
            </w:r>
          </w:p>
        </w:tc>
        <w:tc>
          <w:tcPr>
            <w:tcW w:w="1009" w:type="pct"/>
            <w:hideMark/>
          </w:tcPr>
          <w:p w:rsidRPr="00D97AB2" w:rsidR="00D97AB2" w:rsidP="00535205" w:rsidRDefault="00D97AB2" w14:paraId="3854F123" w14:textId="77777777">
            <w:pPr>
              <w:jc w:val="both"/>
              <w:rPr>
                <w:rFonts w:ascii="Arial" w:hAnsi="Arial" w:cs="Arial"/>
                <w:sz w:val="24"/>
                <w:szCs w:val="24"/>
              </w:rPr>
            </w:pPr>
            <w:r w:rsidRPr="00D97AB2">
              <w:rPr>
                <w:rFonts w:ascii="Arial" w:hAnsi="Arial" w:cs="Arial"/>
                <w:sz w:val="24"/>
                <w:szCs w:val="24"/>
              </w:rPr>
              <w:t>Examine formal training together with informal workplace-learning behaviours</w:t>
            </w:r>
          </w:p>
        </w:tc>
        <w:tc>
          <w:tcPr>
            <w:tcW w:w="972" w:type="pct"/>
            <w:hideMark/>
          </w:tcPr>
          <w:p w:rsidRPr="00D97AB2" w:rsidR="00D97AB2" w:rsidP="00535205" w:rsidRDefault="00D97AB2" w14:paraId="2DB38FE7" w14:textId="77777777">
            <w:pPr>
              <w:jc w:val="both"/>
              <w:rPr>
                <w:rFonts w:ascii="Arial" w:hAnsi="Arial" w:cs="Arial"/>
                <w:sz w:val="24"/>
                <w:szCs w:val="24"/>
              </w:rPr>
            </w:pPr>
            <w:r w:rsidRPr="00D97AB2">
              <w:rPr>
                <w:rFonts w:ascii="Arial" w:hAnsi="Arial" w:cs="Arial"/>
                <w:sz w:val="24"/>
                <w:szCs w:val="24"/>
              </w:rPr>
              <w:t>34 countries</w:t>
            </w:r>
          </w:p>
        </w:tc>
        <w:tc>
          <w:tcPr>
            <w:tcW w:w="977" w:type="pct"/>
            <w:hideMark/>
          </w:tcPr>
          <w:p w:rsidRPr="00D97AB2" w:rsidR="00D97AB2" w:rsidP="00535205" w:rsidRDefault="00D97AB2" w14:paraId="5CA44FA2" w14:textId="77777777">
            <w:pPr>
              <w:jc w:val="both"/>
              <w:rPr>
                <w:rFonts w:ascii="Arial" w:hAnsi="Arial" w:cs="Arial"/>
                <w:sz w:val="24"/>
                <w:szCs w:val="24"/>
              </w:rPr>
            </w:pPr>
            <w:r w:rsidRPr="00D97AB2">
              <w:rPr>
                <w:rFonts w:ascii="Arial" w:hAnsi="Arial" w:cs="Arial"/>
                <w:sz w:val="24"/>
                <w:szCs w:val="24"/>
              </w:rPr>
              <w:t>Cross-national quantitative study</w:t>
            </w:r>
          </w:p>
        </w:tc>
        <w:tc>
          <w:tcPr>
            <w:tcW w:w="384" w:type="pct"/>
            <w:hideMark/>
          </w:tcPr>
          <w:p w:rsidRPr="00D97AB2" w:rsidR="00D97AB2" w:rsidP="00535205" w:rsidRDefault="00D97AB2" w14:paraId="268FD4F7" w14:textId="77777777">
            <w:pPr>
              <w:jc w:val="both"/>
              <w:rPr>
                <w:rFonts w:ascii="Arial" w:hAnsi="Arial" w:cs="Arial"/>
                <w:sz w:val="24"/>
                <w:szCs w:val="24"/>
              </w:rPr>
            </w:pPr>
            <w:r w:rsidRPr="00D97AB2">
              <w:rPr>
                <w:rFonts w:ascii="Arial" w:hAnsi="Arial" w:cs="Arial"/>
                <w:sz w:val="24"/>
                <w:szCs w:val="24"/>
              </w:rPr>
              <w:t>T4</w:t>
            </w:r>
          </w:p>
        </w:tc>
        <w:tc>
          <w:tcPr>
            <w:tcW w:w="804" w:type="pct"/>
            <w:hideMark/>
          </w:tcPr>
          <w:p w:rsidRPr="00D97AB2" w:rsidR="00D97AB2" w:rsidP="00535205" w:rsidRDefault="00D97AB2" w14:paraId="76E9DCC5" w14:textId="77777777">
            <w:pPr>
              <w:jc w:val="both"/>
              <w:rPr>
                <w:rFonts w:ascii="Arial" w:hAnsi="Arial" w:cs="Arial"/>
                <w:sz w:val="24"/>
                <w:szCs w:val="24"/>
              </w:rPr>
            </w:pPr>
            <w:r w:rsidRPr="00D97AB2">
              <w:rPr>
                <w:rFonts w:ascii="Arial" w:hAnsi="Arial" w:cs="Arial"/>
                <w:sz w:val="24"/>
                <w:szCs w:val="24"/>
              </w:rPr>
              <w:t>Demonstrates that employee capability development includes both formal training and informal learning behaviour.</w:t>
            </w:r>
          </w:p>
        </w:tc>
      </w:tr>
      <w:tr w:rsidRPr="00D97AB2" w:rsidR="00D97AB2" w:rsidTr="00F55E4F" w14:paraId="2CFEEA33" w14:textId="77777777">
        <w:tc>
          <w:tcPr>
            <w:tcW w:w="252" w:type="pct"/>
            <w:hideMark/>
          </w:tcPr>
          <w:p w:rsidRPr="00D97AB2" w:rsidR="00D97AB2" w:rsidRDefault="00D97AB2" w14:paraId="7352F9A7" w14:textId="77777777">
            <w:pPr>
              <w:jc w:val="right"/>
              <w:rPr>
                <w:rFonts w:ascii="Arial" w:hAnsi="Arial" w:cs="Arial"/>
                <w:sz w:val="24"/>
                <w:szCs w:val="24"/>
              </w:rPr>
            </w:pPr>
            <w:r w:rsidRPr="00D97AB2">
              <w:rPr>
                <w:rFonts w:ascii="Arial" w:hAnsi="Arial" w:cs="Arial"/>
                <w:sz w:val="24"/>
                <w:szCs w:val="24"/>
              </w:rPr>
              <w:t>46</w:t>
            </w:r>
          </w:p>
        </w:tc>
        <w:tc>
          <w:tcPr>
            <w:tcW w:w="603" w:type="pct"/>
            <w:hideMark/>
          </w:tcPr>
          <w:p w:rsidRPr="00D97AB2" w:rsidR="00D97AB2" w:rsidRDefault="00D97AB2" w14:paraId="51406637" w14:textId="77777777">
            <w:pPr>
              <w:rPr>
                <w:rFonts w:ascii="Arial" w:hAnsi="Arial" w:cs="Arial"/>
                <w:sz w:val="24"/>
                <w:szCs w:val="24"/>
              </w:rPr>
            </w:pPr>
            <w:r w:rsidRPr="00D97AB2">
              <w:rPr>
                <w:rFonts w:ascii="Arial" w:hAnsi="Arial" w:cs="Arial"/>
                <w:sz w:val="24"/>
                <w:szCs w:val="24"/>
              </w:rPr>
              <w:t>Hwang &amp; Yoon (2023)</w:t>
            </w:r>
          </w:p>
        </w:tc>
        <w:tc>
          <w:tcPr>
            <w:tcW w:w="1009" w:type="pct"/>
            <w:hideMark/>
          </w:tcPr>
          <w:p w:rsidRPr="00D97AB2" w:rsidR="00D97AB2" w:rsidP="00535205" w:rsidRDefault="00D97AB2" w14:paraId="2E9E3136" w14:textId="77777777">
            <w:pPr>
              <w:jc w:val="both"/>
              <w:rPr>
                <w:rFonts w:ascii="Arial" w:hAnsi="Arial" w:cs="Arial"/>
                <w:sz w:val="24"/>
                <w:szCs w:val="24"/>
              </w:rPr>
            </w:pPr>
            <w:r w:rsidRPr="00D97AB2">
              <w:rPr>
                <w:rFonts w:ascii="Arial" w:hAnsi="Arial" w:cs="Arial"/>
                <w:sz w:val="24"/>
                <w:szCs w:val="24"/>
              </w:rPr>
              <w:t>Examine inequalities in workplace learning opportunities</w:t>
            </w:r>
          </w:p>
        </w:tc>
        <w:tc>
          <w:tcPr>
            <w:tcW w:w="972" w:type="pct"/>
            <w:hideMark/>
          </w:tcPr>
          <w:p w:rsidRPr="00D97AB2" w:rsidR="00D97AB2" w:rsidP="00535205" w:rsidRDefault="00D97AB2" w14:paraId="05D2A74F"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7D692822" w14:textId="77777777">
            <w:pPr>
              <w:jc w:val="both"/>
              <w:rPr>
                <w:rFonts w:ascii="Arial" w:hAnsi="Arial" w:cs="Arial"/>
                <w:sz w:val="24"/>
                <w:szCs w:val="24"/>
              </w:rPr>
            </w:pPr>
            <w:r w:rsidRPr="00D97AB2">
              <w:rPr>
                <w:rFonts w:ascii="Arial" w:hAnsi="Arial" w:cs="Arial"/>
                <w:sz w:val="24"/>
                <w:szCs w:val="24"/>
              </w:rPr>
              <w:t>Review/conceptual paper</w:t>
            </w:r>
          </w:p>
        </w:tc>
        <w:tc>
          <w:tcPr>
            <w:tcW w:w="384" w:type="pct"/>
            <w:hideMark/>
          </w:tcPr>
          <w:p w:rsidRPr="00D97AB2" w:rsidR="00D97AB2" w:rsidP="00535205" w:rsidRDefault="00D97AB2" w14:paraId="4635A786" w14:textId="77777777">
            <w:pPr>
              <w:jc w:val="both"/>
              <w:rPr>
                <w:rFonts w:ascii="Arial" w:hAnsi="Arial" w:cs="Arial"/>
                <w:sz w:val="24"/>
                <w:szCs w:val="24"/>
              </w:rPr>
            </w:pPr>
            <w:r w:rsidRPr="00D97AB2">
              <w:rPr>
                <w:rFonts w:ascii="Arial" w:hAnsi="Arial" w:cs="Arial"/>
                <w:sz w:val="24"/>
                <w:szCs w:val="24"/>
              </w:rPr>
              <w:t>T4</w:t>
            </w:r>
          </w:p>
        </w:tc>
        <w:tc>
          <w:tcPr>
            <w:tcW w:w="804" w:type="pct"/>
            <w:hideMark/>
          </w:tcPr>
          <w:p w:rsidRPr="00D97AB2" w:rsidR="00D97AB2" w:rsidP="00535205" w:rsidRDefault="00D97AB2" w14:paraId="13688D3C" w14:textId="77777777">
            <w:pPr>
              <w:jc w:val="both"/>
              <w:rPr>
                <w:rFonts w:ascii="Arial" w:hAnsi="Arial" w:cs="Arial"/>
                <w:sz w:val="24"/>
                <w:szCs w:val="24"/>
              </w:rPr>
            </w:pPr>
            <w:r w:rsidRPr="00D97AB2">
              <w:rPr>
                <w:rFonts w:ascii="Arial" w:hAnsi="Arial" w:cs="Arial"/>
                <w:sz w:val="24"/>
                <w:szCs w:val="24"/>
              </w:rPr>
              <w:t xml:space="preserve">Lower-skilled and less-educated workers can experience weaker access to learning and development </w:t>
            </w:r>
            <w:r w:rsidRPr="00D97AB2">
              <w:rPr>
                <w:rFonts w:ascii="Arial" w:hAnsi="Arial" w:cs="Arial"/>
                <w:sz w:val="24"/>
                <w:szCs w:val="24"/>
              </w:rPr>
              <w:lastRenderedPageBreak/>
              <w:t>opportunities.</w:t>
            </w:r>
          </w:p>
        </w:tc>
      </w:tr>
      <w:tr w:rsidRPr="00D97AB2" w:rsidR="00D97AB2" w:rsidTr="00F55E4F" w14:paraId="240044A7" w14:textId="77777777">
        <w:tc>
          <w:tcPr>
            <w:tcW w:w="252" w:type="pct"/>
            <w:hideMark/>
          </w:tcPr>
          <w:p w:rsidRPr="00D97AB2" w:rsidR="00D97AB2" w:rsidRDefault="00D97AB2" w14:paraId="4A6B713B" w14:textId="77777777">
            <w:pPr>
              <w:jc w:val="right"/>
              <w:rPr>
                <w:rFonts w:ascii="Arial" w:hAnsi="Arial" w:cs="Arial"/>
                <w:sz w:val="24"/>
                <w:szCs w:val="24"/>
              </w:rPr>
            </w:pPr>
            <w:r w:rsidRPr="00D97AB2">
              <w:rPr>
                <w:rFonts w:ascii="Arial" w:hAnsi="Arial" w:cs="Arial"/>
                <w:sz w:val="24"/>
                <w:szCs w:val="24"/>
              </w:rPr>
              <w:lastRenderedPageBreak/>
              <w:t>47</w:t>
            </w:r>
          </w:p>
        </w:tc>
        <w:tc>
          <w:tcPr>
            <w:tcW w:w="603" w:type="pct"/>
            <w:hideMark/>
          </w:tcPr>
          <w:p w:rsidRPr="00D97AB2" w:rsidR="00D97AB2" w:rsidRDefault="00D97AB2" w14:paraId="16E3C1F2" w14:textId="77777777">
            <w:pPr>
              <w:rPr>
                <w:rFonts w:ascii="Arial" w:hAnsi="Arial" w:cs="Arial"/>
                <w:sz w:val="24"/>
                <w:szCs w:val="24"/>
              </w:rPr>
            </w:pPr>
            <w:r w:rsidRPr="00D97AB2">
              <w:rPr>
                <w:rFonts w:ascii="Arial" w:hAnsi="Arial" w:cs="Arial"/>
                <w:sz w:val="24"/>
                <w:szCs w:val="24"/>
              </w:rPr>
              <w:t>Kroese (2022)</w:t>
            </w:r>
          </w:p>
        </w:tc>
        <w:tc>
          <w:tcPr>
            <w:tcW w:w="1009" w:type="pct"/>
            <w:hideMark/>
          </w:tcPr>
          <w:p w:rsidRPr="00D97AB2" w:rsidR="00D97AB2" w:rsidP="00535205" w:rsidRDefault="00D97AB2" w14:paraId="3A942EC4" w14:textId="77777777">
            <w:pPr>
              <w:jc w:val="both"/>
              <w:rPr>
                <w:rFonts w:ascii="Arial" w:hAnsi="Arial" w:cs="Arial"/>
                <w:sz w:val="24"/>
                <w:szCs w:val="24"/>
              </w:rPr>
            </w:pPr>
            <w:r w:rsidRPr="00D97AB2">
              <w:rPr>
                <w:rFonts w:ascii="Arial" w:hAnsi="Arial" w:cs="Arial"/>
                <w:sz w:val="24"/>
                <w:szCs w:val="24"/>
              </w:rPr>
              <w:t>Examine gender considerations within workplace training research</w:t>
            </w:r>
          </w:p>
        </w:tc>
        <w:tc>
          <w:tcPr>
            <w:tcW w:w="972" w:type="pct"/>
            <w:hideMark/>
          </w:tcPr>
          <w:p w:rsidRPr="00D97AB2" w:rsidR="00D97AB2" w:rsidP="00535205" w:rsidRDefault="00D97AB2" w14:paraId="61D2E47A"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7293FCE6" w14:textId="77777777">
            <w:pPr>
              <w:jc w:val="both"/>
              <w:rPr>
                <w:rFonts w:ascii="Arial" w:hAnsi="Arial" w:cs="Arial"/>
                <w:sz w:val="24"/>
                <w:szCs w:val="24"/>
              </w:rPr>
            </w:pPr>
            <w:r w:rsidRPr="00D97AB2">
              <w:rPr>
                <w:rFonts w:ascii="Arial" w:hAnsi="Arial" w:cs="Arial"/>
                <w:sz w:val="24"/>
                <w:szCs w:val="24"/>
              </w:rPr>
              <w:t>Integrative literature review</w:t>
            </w:r>
          </w:p>
        </w:tc>
        <w:tc>
          <w:tcPr>
            <w:tcW w:w="384" w:type="pct"/>
            <w:hideMark/>
          </w:tcPr>
          <w:p w:rsidRPr="00D97AB2" w:rsidR="00D97AB2" w:rsidP="00535205" w:rsidRDefault="00D97AB2" w14:paraId="325A08EE" w14:textId="77777777">
            <w:pPr>
              <w:jc w:val="both"/>
              <w:rPr>
                <w:rFonts w:ascii="Arial" w:hAnsi="Arial" w:cs="Arial"/>
                <w:sz w:val="24"/>
                <w:szCs w:val="24"/>
              </w:rPr>
            </w:pPr>
            <w:r w:rsidRPr="00D97AB2">
              <w:rPr>
                <w:rFonts w:ascii="Arial" w:hAnsi="Arial" w:cs="Arial"/>
                <w:sz w:val="24"/>
                <w:szCs w:val="24"/>
              </w:rPr>
              <w:t>T4</w:t>
            </w:r>
          </w:p>
        </w:tc>
        <w:tc>
          <w:tcPr>
            <w:tcW w:w="804" w:type="pct"/>
            <w:hideMark/>
          </w:tcPr>
          <w:p w:rsidRPr="00D97AB2" w:rsidR="00D97AB2" w:rsidP="00535205" w:rsidRDefault="00D97AB2" w14:paraId="4315523A" w14:textId="77777777">
            <w:pPr>
              <w:jc w:val="both"/>
              <w:rPr>
                <w:rFonts w:ascii="Arial" w:hAnsi="Arial" w:cs="Arial"/>
                <w:sz w:val="24"/>
                <w:szCs w:val="24"/>
              </w:rPr>
            </w:pPr>
            <w:r w:rsidRPr="00D97AB2">
              <w:rPr>
                <w:rFonts w:ascii="Arial" w:hAnsi="Arial" w:cs="Arial"/>
                <w:sz w:val="24"/>
                <w:szCs w:val="24"/>
              </w:rPr>
              <w:t>Review shows that employee characteristics and gender-related factors can influence training experiences and outcomes.</w:t>
            </w:r>
          </w:p>
        </w:tc>
      </w:tr>
      <w:tr w:rsidRPr="00D97AB2" w:rsidR="00D97AB2" w:rsidTr="00F55E4F" w14:paraId="5D704297" w14:textId="77777777">
        <w:tc>
          <w:tcPr>
            <w:tcW w:w="252" w:type="pct"/>
            <w:hideMark/>
          </w:tcPr>
          <w:p w:rsidRPr="00D97AB2" w:rsidR="00D97AB2" w:rsidRDefault="00D97AB2" w14:paraId="39567C61" w14:textId="77777777">
            <w:pPr>
              <w:jc w:val="right"/>
              <w:rPr>
                <w:rFonts w:ascii="Arial" w:hAnsi="Arial" w:cs="Arial"/>
                <w:sz w:val="24"/>
                <w:szCs w:val="24"/>
              </w:rPr>
            </w:pPr>
            <w:r w:rsidRPr="00D97AB2">
              <w:rPr>
                <w:rFonts w:ascii="Arial" w:hAnsi="Arial" w:cs="Arial"/>
                <w:sz w:val="24"/>
                <w:szCs w:val="24"/>
              </w:rPr>
              <w:t>48</w:t>
            </w:r>
          </w:p>
        </w:tc>
        <w:tc>
          <w:tcPr>
            <w:tcW w:w="603" w:type="pct"/>
            <w:hideMark/>
          </w:tcPr>
          <w:p w:rsidRPr="00D97AB2" w:rsidR="00D97AB2" w:rsidRDefault="00D97AB2" w14:paraId="45EE7A8B" w14:textId="77777777">
            <w:pPr>
              <w:rPr>
                <w:rFonts w:ascii="Arial" w:hAnsi="Arial" w:cs="Arial"/>
                <w:sz w:val="24"/>
                <w:szCs w:val="24"/>
              </w:rPr>
            </w:pPr>
            <w:r w:rsidRPr="00D97AB2">
              <w:rPr>
                <w:rFonts w:ascii="Arial" w:hAnsi="Arial" w:cs="Arial"/>
                <w:sz w:val="24"/>
                <w:szCs w:val="24"/>
              </w:rPr>
              <w:t>Islam &amp; Amin (2022)</w:t>
            </w:r>
          </w:p>
        </w:tc>
        <w:tc>
          <w:tcPr>
            <w:tcW w:w="1009" w:type="pct"/>
            <w:hideMark/>
          </w:tcPr>
          <w:p w:rsidRPr="00D97AB2" w:rsidR="00D97AB2" w:rsidP="00535205" w:rsidRDefault="00D97AB2" w14:paraId="68DFF026" w14:textId="77777777">
            <w:pPr>
              <w:jc w:val="both"/>
              <w:rPr>
                <w:rFonts w:ascii="Arial" w:hAnsi="Arial" w:cs="Arial"/>
                <w:sz w:val="24"/>
                <w:szCs w:val="24"/>
              </w:rPr>
            </w:pPr>
            <w:r w:rsidRPr="00D97AB2">
              <w:rPr>
                <w:rFonts w:ascii="Arial" w:hAnsi="Arial" w:cs="Arial"/>
                <w:sz w:val="24"/>
                <w:szCs w:val="24"/>
              </w:rPr>
              <w:t>Synthesise how human capital is conceptualised and linked with organisational/employee outcomes</w:t>
            </w:r>
          </w:p>
        </w:tc>
        <w:tc>
          <w:tcPr>
            <w:tcW w:w="972" w:type="pct"/>
            <w:hideMark/>
          </w:tcPr>
          <w:p w:rsidRPr="00D97AB2" w:rsidR="00D97AB2" w:rsidP="00535205" w:rsidRDefault="00D97AB2" w14:paraId="720CD0D8" w14:textId="77777777">
            <w:pPr>
              <w:jc w:val="both"/>
              <w:rPr>
                <w:rFonts w:ascii="Arial" w:hAnsi="Arial" w:cs="Arial"/>
                <w:sz w:val="24"/>
                <w:szCs w:val="24"/>
              </w:rPr>
            </w:pPr>
            <w:r w:rsidRPr="00D97AB2">
              <w:rPr>
                <w:rFonts w:ascii="Arial" w:hAnsi="Arial" w:cs="Arial"/>
                <w:sz w:val="24"/>
                <w:szCs w:val="24"/>
              </w:rPr>
              <w:t>International</w:t>
            </w:r>
          </w:p>
        </w:tc>
        <w:tc>
          <w:tcPr>
            <w:tcW w:w="977" w:type="pct"/>
            <w:hideMark/>
          </w:tcPr>
          <w:p w:rsidRPr="00D97AB2" w:rsidR="00D97AB2" w:rsidP="00535205" w:rsidRDefault="00D97AB2" w14:paraId="70B4F603" w14:textId="77777777">
            <w:pPr>
              <w:jc w:val="both"/>
              <w:rPr>
                <w:rFonts w:ascii="Arial" w:hAnsi="Arial" w:cs="Arial"/>
                <w:sz w:val="24"/>
                <w:szCs w:val="24"/>
              </w:rPr>
            </w:pPr>
            <w:r w:rsidRPr="00D97AB2">
              <w:rPr>
                <w:rFonts w:ascii="Arial" w:hAnsi="Arial" w:cs="Arial"/>
                <w:sz w:val="24"/>
                <w:szCs w:val="24"/>
              </w:rPr>
              <w:t>Systematic literature review</w:t>
            </w:r>
          </w:p>
        </w:tc>
        <w:tc>
          <w:tcPr>
            <w:tcW w:w="384" w:type="pct"/>
            <w:hideMark/>
          </w:tcPr>
          <w:p w:rsidRPr="00D97AB2" w:rsidR="00D97AB2" w:rsidP="00535205" w:rsidRDefault="00D97AB2" w14:paraId="694EC18E" w14:textId="77777777">
            <w:pPr>
              <w:jc w:val="both"/>
              <w:rPr>
                <w:rFonts w:ascii="Arial" w:hAnsi="Arial" w:cs="Arial"/>
                <w:sz w:val="24"/>
                <w:szCs w:val="24"/>
              </w:rPr>
            </w:pPr>
            <w:r w:rsidRPr="00D97AB2">
              <w:rPr>
                <w:rFonts w:ascii="Arial" w:hAnsi="Arial" w:cs="Arial"/>
                <w:sz w:val="24"/>
                <w:szCs w:val="24"/>
              </w:rPr>
              <w:t>T1, T4</w:t>
            </w:r>
          </w:p>
        </w:tc>
        <w:tc>
          <w:tcPr>
            <w:tcW w:w="804" w:type="pct"/>
            <w:hideMark/>
          </w:tcPr>
          <w:p w:rsidRPr="00D97AB2" w:rsidR="00D97AB2" w:rsidP="00535205" w:rsidRDefault="00D97AB2" w14:paraId="0D645728" w14:textId="77777777">
            <w:pPr>
              <w:jc w:val="both"/>
              <w:rPr>
                <w:rFonts w:ascii="Arial" w:hAnsi="Arial" w:cs="Arial"/>
                <w:sz w:val="24"/>
                <w:szCs w:val="24"/>
              </w:rPr>
            </w:pPr>
            <w:r w:rsidRPr="00D97AB2">
              <w:rPr>
                <w:rFonts w:ascii="Arial" w:hAnsi="Arial" w:cs="Arial"/>
                <w:sz w:val="24"/>
                <w:szCs w:val="24"/>
              </w:rPr>
              <w:t xml:space="preserve">Human capital involves </w:t>
            </w:r>
            <w:r w:rsidRPr="00D97AB2">
              <w:rPr>
                <w:rStyle w:val="Strong"/>
                <w:rFonts w:ascii="Arial" w:hAnsi="Arial" w:cs="Arial"/>
                <w:sz w:val="24"/>
                <w:szCs w:val="24"/>
              </w:rPr>
              <w:t>acquisition, development and utilisation</w:t>
            </w:r>
            <w:r w:rsidRPr="00D97AB2">
              <w:rPr>
                <w:rFonts w:ascii="Arial" w:hAnsi="Arial" w:cs="Arial"/>
                <w:sz w:val="24"/>
                <w:szCs w:val="24"/>
              </w:rPr>
              <w:t>, not merely accumulation of employee skills.</w:t>
            </w:r>
          </w:p>
        </w:tc>
      </w:tr>
      <w:tr w:rsidRPr="00D97AB2" w:rsidR="00D97AB2" w:rsidTr="00F55E4F" w14:paraId="3BE61CC9" w14:textId="77777777">
        <w:tc>
          <w:tcPr>
            <w:tcW w:w="252" w:type="pct"/>
            <w:hideMark/>
          </w:tcPr>
          <w:p w:rsidRPr="00D97AB2" w:rsidR="00D97AB2" w:rsidRDefault="00D97AB2" w14:paraId="36B78960" w14:textId="77777777">
            <w:pPr>
              <w:jc w:val="right"/>
              <w:rPr>
                <w:rFonts w:ascii="Arial" w:hAnsi="Arial" w:cs="Arial"/>
                <w:b/>
                <w:sz w:val="24"/>
                <w:szCs w:val="24"/>
              </w:rPr>
            </w:pPr>
            <w:r w:rsidRPr="00D97AB2">
              <w:rPr>
                <w:rStyle w:val="Strong"/>
                <w:rFonts w:ascii="Arial" w:hAnsi="Arial" w:cs="Arial"/>
                <w:b w:val="0"/>
                <w:sz w:val="24"/>
                <w:szCs w:val="24"/>
              </w:rPr>
              <w:t>49</w:t>
            </w:r>
          </w:p>
        </w:tc>
        <w:tc>
          <w:tcPr>
            <w:tcW w:w="603" w:type="pct"/>
            <w:hideMark/>
          </w:tcPr>
          <w:p w:rsidRPr="00D97AB2" w:rsidR="00D97AB2" w:rsidP="00535205" w:rsidRDefault="00535205" w14:paraId="3A1DFEA5" w14:textId="5EE3F72C">
            <w:pPr>
              <w:rPr>
                <w:rFonts w:ascii="Arial" w:hAnsi="Arial" w:cs="Arial"/>
                <w:b/>
                <w:sz w:val="24"/>
                <w:szCs w:val="24"/>
              </w:rPr>
            </w:pPr>
            <w:r>
              <w:rPr>
                <w:rStyle w:val="Strong"/>
                <w:rFonts w:ascii="Arial" w:hAnsi="Arial" w:cs="Arial"/>
                <w:b w:val="0"/>
                <w:sz w:val="24"/>
                <w:szCs w:val="24"/>
              </w:rPr>
              <w:t>Tamayo-</w:t>
            </w:r>
            <w:proofErr w:type="spellStart"/>
            <w:r>
              <w:rPr>
                <w:rStyle w:val="Strong"/>
                <w:rFonts w:ascii="Arial" w:hAnsi="Arial" w:cs="Arial"/>
                <w:b w:val="0"/>
                <w:sz w:val="24"/>
                <w:szCs w:val="24"/>
              </w:rPr>
              <w:t>Verleene</w:t>
            </w:r>
            <w:proofErr w:type="spellEnd"/>
            <w:r>
              <w:rPr>
                <w:rStyle w:val="Strong"/>
                <w:rFonts w:ascii="Arial" w:hAnsi="Arial" w:cs="Arial"/>
                <w:b w:val="0"/>
                <w:sz w:val="24"/>
                <w:szCs w:val="24"/>
              </w:rPr>
              <w:t xml:space="preserve"> et al. (2024) </w:t>
            </w:r>
          </w:p>
        </w:tc>
        <w:tc>
          <w:tcPr>
            <w:tcW w:w="1009" w:type="pct"/>
            <w:hideMark/>
          </w:tcPr>
          <w:p w:rsidRPr="00D97AB2" w:rsidR="00D97AB2" w:rsidP="00535205" w:rsidRDefault="00D97AB2" w14:paraId="2BBEC075" w14:textId="77777777">
            <w:pPr>
              <w:jc w:val="both"/>
              <w:rPr>
                <w:rFonts w:ascii="Arial" w:hAnsi="Arial" w:cs="Arial"/>
                <w:b/>
                <w:sz w:val="24"/>
                <w:szCs w:val="24"/>
              </w:rPr>
            </w:pPr>
            <w:r w:rsidRPr="00D97AB2">
              <w:rPr>
                <w:rStyle w:val="Strong"/>
                <w:rFonts w:ascii="Arial" w:hAnsi="Arial" w:cs="Arial"/>
                <w:b w:val="0"/>
                <w:sz w:val="24"/>
                <w:szCs w:val="24"/>
              </w:rPr>
              <w:t>Examine how T&amp;D perceptions influence individual performance through self-efficacy and engagement</w:t>
            </w:r>
          </w:p>
        </w:tc>
        <w:tc>
          <w:tcPr>
            <w:tcW w:w="972" w:type="pct"/>
            <w:hideMark/>
          </w:tcPr>
          <w:p w:rsidRPr="00D97AB2" w:rsidR="00D97AB2" w:rsidP="00535205" w:rsidRDefault="00D97AB2" w14:paraId="4FEA0B0A" w14:textId="77777777">
            <w:pPr>
              <w:jc w:val="both"/>
              <w:rPr>
                <w:rFonts w:ascii="Arial" w:hAnsi="Arial" w:cs="Arial"/>
                <w:b/>
                <w:sz w:val="24"/>
                <w:szCs w:val="24"/>
              </w:rPr>
            </w:pPr>
            <w:r w:rsidRPr="00D97AB2">
              <w:rPr>
                <w:rStyle w:val="Strong"/>
                <w:rFonts w:ascii="Arial" w:hAnsi="Arial" w:cs="Arial"/>
                <w:b w:val="0"/>
                <w:sz w:val="24"/>
                <w:szCs w:val="24"/>
              </w:rPr>
              <w:t>Philippines</w:t>
            </w:r>
          </w:p>
        </w:tc>
        <w:tc>
          <w:tcPr>
            <w:tcW w:w="977" w:type="pct"/>
            <w:hideMark/>
          </w:tcPr>
          <w:p w:rsidRPr="00D97AB2" w:rsidR="00D97AB2" w:rsidP="00535205" w:rsidRDefault="00D97AB2" w14:paraId="60B663DC" w14:textId="77777777">
            <w:pPr>
              <w:jc w:val="both"/>
              <w:rPr>
                <w:rFonts w:ascii="Arial" w:hAnsi="Arial" w:cs="Arial"/>
                <w:b/>
                <w:sz w:val="24"/>
                <w:szCs w:val="24"/>
              </w:rPr>
            </w:pPr>
            <w:r w:rsidRPr="00D97AB2">
              <w:rPr>
                <w:rStyle w:val="Strong"/>
                <w:rFonts w:ascii="Arial" w:hAnsi="Arial" w:cs="Arial"/>
                <w:b w:val="0"/>
                <w:sz w:val="24"/>
                <w:szCs w:val="24"/>
              </w:rPr>
              <w:t>Quantitative empirical study</w:t>
            </w:r>
          </w:p>
        </w:tc>
        <w:tc>
          <w:tcPr>
            <w:tcW w:w="384" w:type="pct"/>
            <w:hideMark/>
          </w:tcPr>
          <w:p w:rsidRPr="00D97AB2" w:rsidR="00D97AB2" w:rsidP="00535205" w:rsidRDefault="00D97AB2" w14:paraId="5021D7F8" w14:textId="77777777">
            <w:pPr>
              <w:jc w:val="both"/>
              <w:rPr>
                <w:rFonts w:ascii="Arial" w:hAnsi="Arial" w:cs="Arial"/>
                <w:b/>
                <w:sz w:val="24"/>
                <w:szCs w:val="24"/>
              </w:rPr>
            </w:pPr>
            <w:r w:rsidRPr="00D97AB2">
              <w:rPr>
                <w:rStyle w:val="Strong"/>
                <w:rFonts w:ascii="Arial" w:hAnsi="Arial" w:cs="Arial"/>
                <w:b w:val="0"/>
                <w:sz w:val="24"/>
                <w:szCs w:val="24"/>
              </w:rPr>
              <w:t>T2, T3</w:t>
            </w:r>
          </w:p>
        </w:tc>
        <w:tc>
          <w:tcPr>
            <w:tcW w:w="804" w:type="pct"/>
            <w:hideMark/>
          </w:tcPr>
          <w:p w:rsidRPr="00D97AB2" w:rsidR="00D97AB2" w:rsidP="00535205" w:rsidRDefault="00D97AB2" w14:paraId="3D673842" w14:textId="6CA53938">
            <w:pPr>
              <w:jc w:val="both"/>
              <w:rPr>
                <w:rFonts w:ascii="Arial" w:hAnsi="Arial" w:cs="Arial"/>
                <w:b/>
                <w:sz w:val="24"/>
                <w:szCs w:val="24"/>
              </w:rPr>
            </w:pPr>
            <w:r w:rsidRPr="00D97AB2">
              <w:rPr>
                <w:rStyle w:val="Strong"/>
                <w:rFonts w:ascii="Arial" w:hAnsi="Arial" w:cs="Arial"/>
                <w:b w:val="0"/>
                <w:sz w:val="24"/>
                <w:szCs w:val="24"/>
              </w:rPr>
              <w:t>421 agents in 17 call-centre companies. Organisational T&amp;D investment affected role performance through self-efficacy and engagement.</w:t>
            </w:r>
            <w:r w:rsidRPr="00D97AB2">
              <w:rPr>
                <w:rFonts w:ascii="Arial" w:hAnsi="Arial" w:cs="Arial"/>
                <w:b/>
                <w:sz w:val="24"/>
                <w:szCs w:val="24"/>
              </w:rPr>
              <w:t xml:space="preserve"> </w:t>
            </w:r>
          </w:p>
        </w:tc>
      </w:tr>
      <w:tr w:rsidRPr="00D97AB2" w:rsidR="00D97AB2" w:rsidTr="00F55E4F" w14:paraId="7A950FCD" w14:textId="77777777">
        <w:tc>
          <w:tcPr>
            <w:tcW w:w="252" w:type="pct"/>
            <w:hideMark/>
          </w:tcPr>
          <w:p w:rsidRPr="00D97AB2" w:rsidR="00D97AB2" w:rsidRDefault="00D97AB2" w14:paraId="05EB1893" w14:textId="77777777">
            <w:pPr>
              <w:jc w:val="right"/>
              <w:rPr>
                <w:rFonts w:ascii="Arial" w:hAnsi="Arial" w:cs="Arial"/>
                <w:b/>
                <w:sz w:val="24"/>
                <w:szCs w:val="24"/>
              </w:rPr>
            </w:pPr>
            <w:r w:rsidRPr="00D97AB2">
              <w:rPr>
                <w:rStyle w:val="Strong"/>
                <w:rFonts w:ascii="Arial" w:hAnsi="Arial" w:cs="Arial"/>
                <w:b w:val="0"/>
                <w:sz w:val="24"/>
                <w:szCs w:val="24"/>
              </w:rPr>
              <w:t>50</w:t>
            </w:r>
          </w:p>
        </w:tc>
        <w:tc>
          <w:tcPr>
            <w:tcW w:w="603" w:type="pct"/>
            <w:hideMark/>
          </w:tcPr>
          <w:p w:rsidRPr="00D97AB2" w:rsidR="00D97AB2" w:rsidP="00535205" w:rsidRDefault="00D97AB2" w14:paraId="271A72CE" w14:textId="6BFD815B">
            <w:pPr>
              <w:rPr>
                <w:rFonts w:ascii="Arial" w:hAnsi="Arial" w:cs="Arial"/>
                <w:b/>
                <w:sz w:val="24"/>
                <w:szCs w:val="24"/>
              </w:rPr>
            </w:pPr>
            <w:r w:rsidRPr="00D97AB2">
              <w:rPr>
                <w:rStyle w:val="Strong"/>
                <w:rFonts w:ascii="Arial" w:hAnsi="Arial" w:cs="Arial"/>
                <w:b w:val="0"/>
                <w:sz w:val="24"/>
                <w:szCs w:val="24"/>
              </w:rPr>
              <w:t xml:space="preserve">Nabi et al. (2025) </w:t>
            </w:r>
          </w:p>
        </w:tc>
        <w:tc>
          <w:tcPr>
            <w:tcW w:w="1009" w:type="pct"/>
            <w:hideMark/>
          </w:tcPr>
          <w:p w:rsidRPr="00D97AB2" w:rsidR="00D97AB2" w:rsidP="00535205" w:rsidRDefault="00D97AB2" w14:paraId="3CB3138A" w14:textId="77777777">
            <w:pPr>
              <w:jc w:val="both"/>
              <w:rPr>
                <w:rFonts w:ascii="Arial" w:hAnsi="Arial" w:cs="Arial"/>
                <w:b/>
                <w:sz w:val="24"/>
                <w:szCs w:val="24"/>
              </w:rPr>
            </w:pPr>
            <w:r w:rsidRPr="00D97AB2">
              <w:rPr>
                <w:rStyle w:val="Strong"/>
                <w:rFonts w:ascii="Arial" w:hAnsi="Arial" w:cs="Arial"/>
                <w:b w:val="0"/>
                <w:sz w:val="24"/>
                <w:szCs w:val="24"/>
              </w:rPr>
              <w:t xml:space="preserve">Examine the effect of training satisfaction on organisational performance </w:t>
            </w:r>
            <w:r w:rsidRPr="00D97AB2">
              <w:rPr>
                <w:rStyle w:val="Strong"/>
                <w:rFonts w:ascii="Arial" w:hAnsi="Arial" w:cs="Arial"/>
                <w:b w:val="0"/>
                <w:sz w:val="24"/>
                <w:szCs w:val="24"/>
              </w:rPr>
              <w:lastRenderedPageBreak/>
              <w:t>through engagement and job satisfaction</w:t>
            </w:r>
          </w:p>
        </w:tc>
        <w:tc>
          <w:tcPr>
            <w:tcW w:w="972" w:type="pct"/>
            <w:hideMark/>
          </w:tcPr>
          <w:p w:rsidRPr="00D97AB2" w:rsidR="00D97AB2" w:rsidP="00535205" w:rsidRDefault="00D97AB2" w14:paraId="3D0172A5" w14:textId="77777777">
            <w:pPr>
              <w:jc w:val="both"/>
              <w:rPr>
                <w:rFonts w:ascii="Arial" w:hAnsi="Arial" w:cs="Arial"/>
                <w:b/>
                <w:sz w:val="24"/>
                <w:szCs w:val="24"/>
              </w:rPr>
            </w:pPr>
            <w:r w:rsidRPr="00D97AB2">
              <w:rPr>
                <w:rStyle w:val="Strong"/>
                <w:rFonts w:ascii="Arial" w:hAnsi="Arial" w:cs="Arial"/>
                <w:b w:val="0"/>
                <w:sz w:val="24"/>
                <w:szCs w:val="24"/>
              </w:rPr>
              <w:lastRenderedPageBreak/>
              <w:t>Bangladesh</w:t>
            </w:r>
          </w:p>
        </w:tc>
        <w:tc>
          <w:tcPr>
            <w:tcW w:w="977" w:type="pct"/>
            <w:hideMark/>
          </w:tcPr>
          <w:p w:rsidRPr="00D97AB2" w:rsidR="00D97AB2" w:rsidP="00535205" w:rsidRDefault="00D97AB2" w14:paraId="7B97F1CA" w14:textId="77777777">
            <w:pPr>
              <w:jc w:val="both"/>
              <w:rPr>
                <w:rFonts w:ascii="Arial" w:hAnsi="Arial" w:cs="Arial"/>
                <w:b/>
                <w:sz w:val="24"/>
                <w:szCs w:val="24"/>
              </w:rPr>
            </w:pPr>
            <w:r w:rsidRPr="00D97AB2">
              <w:rPr>
                <w:rStyle w:val="Strong"/>
                <w:rFonts w:ascii="Arial" w:hAnsi="Arial" w:cs="Arial"/>
                <w:b w:val="0"/>
                <w:sz w:val="24"/>
                <w:szCs w:val="24"/>
              </w:rPr>
              <w:t>Quantitative survey; PLS-SEM/IPMA</w:t>
            </w:r>
          </w:p>
        </w:tc>
        <w:tc>
          <w:tcPr>
            <w:tcW w:w="384" w:type="pct"/>
            <w:hideMark/>
          </w:tcPr>
          <w:p w:rsidRPr="00D97AB2" w:rsidR="00D97AB2" w:rsidP="00535205" w:rsidRDefault="00D97AB2" w14:paraId="0F23C806" w14:textId="77777777">
            <w:pPr>
              <w:jc w:val="both"/>
              <w:rPr>
                <w:rFonts w:ascii="Arial" w:hAnsi="Arial" w:cs="Arial"/>
                <w:b/>
                <w:sz w:val="24"/>
                <w:szCs w:val="24"/>
              </w:rPr>
            </w:pPr>
            <w:r w:rsidRPr="00D97AB2">
              <w:rPr>
                <w:rStyle w:val="Strong"/>
                <w:rFonts w:ascii="Arial" w:hAnsi="Arial" w:cs="Arial"/>
                <w:b w:val="0"/>
                <w:sz w:val="24"/>
                <w:szCs w:val="24"/>
              </w:rPr>
              <w:t>T1, T3</w:t>
            </w:r>
          </w:p>
        </w:tc>
        <w:tc>
          <w:tcPr>
            <w:tcW w:w="804" w:type="pct"/>
            <w:hideMark/>
          </w:tcPr>
          <w:p w:rsidRPr="00D97AB2" w:rsidR="00D97AB2" w:rsidP="00535205" w:rsidRDefault="00D97AB2" w14:paraId="6ABD488C" w14:textId="23416C25">
            <w:pPr>
              <w:jc w:val="both"/>
              <w:rPr>
                <w:rFonts w:ascii="Arial" w:hAnsi="Arial" w:cs="Arial"/>
                <w:b/>
                <w:sz w:val="24"/>
                <w:szCs w:val="24"/>
              </w:rPr>
            </w:pPr>
            <w:r w:rsidRPr="00D97AB2">
              <w:rPr>
                <w:rStyle w:val="Strong"/>
                <w:rFonts w:ascii="Arial" w:hAnsi="Arial" w:cs="Arial"/>
                <w:b w:val="0"/>
                <w:sz w:val="24"/>
                <w:szCs w:val="24"/>
              </w:rPr>
              <w:t xml:space="preserve">282 textile/apparel respondents. Training satisfaction </w:t>
            </w:r>
            <w:r w:rsidRPr="00D97AB2">
              <w:rPr>
                <w:rStyle w:val="Strong"/>
                <w:rFonts w:ascii="Arial" w:hAnsi="Arial" w:cs="Arial"/>
                <w:b w:val="0"/>
                <w:sz w:val="24"/>
                <w:szCs w:val="24"/>
              </w:rPr>
              <w:lastRenderedPageBreak/>
              <w:t>positively influenced performance; engagement and job satisfaction acted as mediators.</w:t>
            </w:r>
            <w:r w:rsidRPr="00D97AB2">
              <w:rPr>
                <w:rFonts w:ascii="Arial" w:hAnsi="Arial" w:cs="Arial"/>
                <w:b/>
                <w:sz w:val="24"/>
                <w:szCs w:val="24"/>
              </w:rPr>
              <w:t xml:space="preserve"> </w:t>
            </w:r>
          </w:p>
        </w:tc>
      </w:tr>
    </w:tbl>
    <w:p w:rsidRPr="00D97AB2" w:rsidR="00D97AB2" w:rsidP="00D97AB2" w:rsidRDefault="00D97AB2" w14:paraId="50E75602" w14:textId="77777777"/>
    <w:p w:rsidRPr="00D97AB2" w:rsidR="00D97AB2" w:rsidP="00F55E4F" w:rsidRDefault="00F55E4F" w14:paraId="2A05B6CC" w14:textId="11957440">
      <w:pPr>
        <w:pStyle w:val="Subtitle"/>
      </w:pPr>
      <w:bookmarkStart w:name="_Toc239530682" w:id="77"/>
      <w:r w:rsidR="00F55E4F">
        <w:rPr/>
        <w:t>Table 5</w:t>
      </w:r>
      <w:r w:rsidR="00D97AB2">
        <w:rPr/>
        <w:t xml:space="preserve">: </w:t>
      </w:r>
      <w:r w:rsidR="00D97AB2">
        <w:rPr/>
        <w:t>Systematic</w:t>
      </w:r>
      <w:r w:rsidR="00D97AB2">
        <w:rPr/>
        <w:t xml:space="preserve"> Table</w:t>
      </w:r>
      <w:bookmarkEnd w:id="77"/>
      <w:r w:rsidR="00D97AB2">
        <w:rPr/>
        <w:t xml:space="preserve"> </w:t>
      </w:r>
    </w:p>
    <w:p w:rsidRPr="00D97AB2" w:rsidR="00D97AB2" w:rsidP="573B7504" w:rsidRDefault="00D97AB2" w14:paraId="28B5B704" w14:textId="4015360F">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73B7504" w:rsidR="7E250B74">
        <w:rPr>
          <w:rFonts w:ascii="Arial" w:hAnsi="Arial" w:eastAsia="Arial" w:cs="Arial"/>
          <w:b w:val="1"/>
          <w:bCs w:val="1"/>
          <w:i w:val="0"/>
          <w:iCs w:val="0"/>
          <w:caps w:val="0"/>
          <w:smallCaps w:val="0"/>
          <w:noProof w:val="0"/>
          <w:color w:val="000000" w:themeColor="text1" w:themeTint="FF" w:themeShade="FF"/>
          <w:sz w:val="24"/>
          <w:szCs w:val="24"/>
          <w:lang w:val="en-GB"/>
        </w:rPr>
        <w:t>APPLICATION FOR ETHICAL APPROVAL</w:t>
      </w:r>
    </w:p>
    <w:p w:rsidRPr="00D97AB2" w:rsidR="00D97AB2" w:rsidP="573B7504" w:rsidRDefault="00D97AB2" w14:paraId="53616850" w14:textId="3EADBD47">
      <w:pPr>
        <w:tabs>
          <w:tab w:val="left" w:leader="none" w:pos="5103"/>
        </w:tabs>
        <w:ind w:right="282"/>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Pr="00D97AB2" w:rsidR="00D97AB2" w:rsidP="573B7504" w:rsidRDefault="00D97AB2" w14:paraId="404E6370" w14:textId="7C40FEB4">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1"/>
          <w:bCs w:val="1"/>
          <w:i w:val="0"/>
          <w:iCs w:val="0"/>
          <w:caps w:val="0"/>
          <w:smallCaps w:val="0"/>
          <w:noProof w:val="0"/>
          <w:color w:val="000000" w:themeColor="text1" w:themeTint="FF" w:themeShade="FF"/>
          <w:sz w:val="22"/>
          <w:szCs w:val="22"/>
          <w:lang w:val="en-GB"/>
        </w:rPr>
        <w:t xml:space="preserve">In order for research to result in benefit and minimise risk of harm, it must be conducted ethically. </w:t>
      </w:r>
    </w:p>
    <w:p w:rsidRPr="00D97AB2" w:rsidR="00D97AB2" w:rsidP="573B7504" w:rsidRDefault="00D97AB2" w14:paraId="58644A93" w14:textId="27C59893">
      <w:pPr>
        <w:tabs>
          <w:tab w:val="left" w:leader="none" w:pos="5103"/>
        </w:tabs>
        <w:ind w:right="282"/>
        <w:jc w:val="center"/>
        <w:rPr>
          <w:rFonts w:ascii="Arial" w:hAnsi="Arial" w:eastAsia="Arial" w:cs="Arial"/>
          <w:b w:val="0"/>
          <w:bCs w:val="0"/>
          <w:i w:val="0"/>
          <w:iCs w:val="0"/>
          <w:caps w:val="0"/>
          <w:smallCaps w:val="0"/>
          <w:noProof w:val="0"/>
          <w:color w:val="000000" w:themeColor="text1" w:themeTint="FF" w:themeShade="FF"/>
          <w:sz w:val="16"/>
          <w:szCs w:val="16"/>
          <w:lang w:val="en-GB"/>
        </w:rPr>
      </w:pPr>
    </w:p>
    <w:p w:rsidRPr="00D97AB2" w:rsidR="00D97AB2" w:rsidP="573B7504" w:rsidRDefault="00D97AB2" w14:paraId="4A19A9BB" w14:textId="579B079B">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573B7504" w:rsidR="7E250B74">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573B7504" w:rsidR="7E250B74">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D97AB2" w:rsidR="00D97AB2" w:rsidP="573B7504" w:rsidRDefault="00D97AB2" w14:paraId="03973206" w14:textId="682431F8">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4E2DC1F3" w14:textId="59A5A9A7">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Pr="00D97AB2" w:rsidR="00D97AB2" w:rsidP="573B7504" w:rsidRDefault="00D97AB2" w14:paraId="0E721DE6" w14:textId="3B4B4449">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7AD5FF35" w14:textId="20D8A46B">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573B7504" w:rsidR="7E250B7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73B7504" w:rsidR="7E250B74">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573B7504" w:rsidR="7E250B7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D97AB2" w:rsidR="00D97AB2" w:rsidP="573B7504" w:rsidRDefault="00D97AB2" w14:paraId="70DBA633" w14:textId="0D442A89">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15905EC5" w14:textId="6E37B9B2">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555"/>
        <w:gridCol w:w="3240"/>
        <w:gridCol w:w="6630"/>
      </w:tblGrid>
      <w:tr w:rsidR="573B7504" w:rsidTr="573B7504" w14:paraId="4AF9D61D">
        <w:trPr>
          <w:trHeight w:val="43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73B7504" w:rsidP="573B7504" w:rsidRDefault="573B7504" w14:paraId="4950509B" w14:textId="054C8121">
            <w:pP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73B7504" w:rsidP="573B7504" w:rsidRDefault="573B7504" w14:paraId="78966BC6" w14:textId="4E7C10F1">
            <w:pP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Full Name:</w:t>
            </w:r>
          </w:p>
        </w:tc>
        <w:tc>
          <w:tcPr>
            <w:tcW w:w="6630" w:type="dxa"/>
            <w:tcBorders>
              <w:top w:val="single" w:sz="6"/>
              <w:left w:val="single" w:sz="6"/>
              <w:bottom w:val="single" w:sz="6"/>
              <w:right w:val="single" w:sz="6"/>
            </w:tcBorders>
            <w:tcMar>
              <w:left w:w="105" w:type="dxa"/>
              <w:right w:w="105" w:type="dxa"/>
            </w:tcMar>
            <w:vAlign w:val="center"/>
          </w:tcPr>
          <w:p w:rsidR="573B7504" w:rsidP="573B7504" w:rsidRDefault="573B7504" w14:paraId="7ABBB56B" w14:textId="1E4B7A05">
            <w:pP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Akul Shailesh Panchal</w:t>
            </w:r>
          </w:p>
        </w:tc>
      </w:tr>
      <w:tr w:rsidR="573B7504" w:rsidTr="573B7504" w14:paraId="355B6B44">
        <w:trPr>
          <w:trHeight w:val="33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73B7504" w:rsidP="573B7504" w:rsidRDefault="573B7504" w14:paraId="47D329DD" w14:textId="721DA26C">
            <w:pP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73B7504" w:rsidP="573B7504" w:rsidRDefault="573B7504" w14:paraId="231AF358" w14:textId="6F1583EA">
            <w:pP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Student Number:</w:t>
            </w:r>
          </w:p>
        </w:tc>
        <w:tc>
          <w:tcPr>
            <w:tcW w:w="6630" w:type="dxa"/>
            <w:tcBorders>
              <w:top w:val="single" w:sz="6"/>
              <w:left w:val="single" w:sz="6"/>
              <w:bottom w:val="single" w:sz="6"/>
              <w:right w:val="single" w:sz="6"/>
            </w:tcBorders>
            <w:tcMar>
              <w:left w:w="105" w:type="dxa"/>
              <w:right w:w="105" w:type="dxa"/>
            </w:tcMar>
            <w:vAlign w:val="center"/>
          </w:tcPr>
          <w:p w:rsidR="573B7504" w:rsidP="573B7504" w:rsidRDefault="573B7504" w14:paraId="3F4CB210" w14:textId="7BD3BC02">
            <w:pP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2428878</w:t>
            </w:r>
          </w:p>
          <w:p w:rsidR="573B7504" w:rsidP="573B7504" w:rsidRDefault="573B7504" w14:paraId="03042E5F" w14:textId="0DBEE087">
            <w:pPr>
              <w:rPr>
                <w:rFonts w:ascii="Arial" w:hAnsi="Arial" w:eastAsia="Arial" w:cs="Arial"/>
                <w:b w:val="0"/>
                <w:bCs w:val="0"/>
                <w:i w:val="0"/>
                <w:iCs w:val="0"/>
                <w:sz w:val="22"/>
                <w:szCs w:val="22"/>
              </w:rPr>
            </w:pPr>
          </w:p>
        </w:tc>
      </w:tr>
      <w:tr w:rsidR="573B7504" w:rsidTr="573B7504" w14:paraId="789E3C8F">
        <w:trPr>
          <w:trHeight w:val="51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73B7504" w:rsidP="573B7504" w:rsidRDefault="573B7504" w14:paraId="554742C6" w14:textId="3688009B">
            <w:pP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3</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73B7504" w:rsidP="573B7504" w:rsidRDefault="573B7504" w14:paraId="7F3CD2B8" w14:textId="7DD0B300">
            <w:pP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Email address:</w:t>
            </w:r>
          </w:p>
        </w:tc>
        <w:tc>
          <w:tcPr>
            <w:tcW w:w="6630" w:type="dxa"/>
            <w:tcBorders>
              <w:top w:val="single" w:sz="6"/>
              <w:left w:val="single" w:sz="6"/>
              <w:bottom w:val="single" w:sz="6"/>
              <w:right w:val="single" w:sz="6"/>
            </w:tcBorders>
            <w:tcMar>
              <w:left w:w="105" w:type="dxa"/>
              <w:right w:w="105" w:type="dxa"/>
            </w:tcMar>
            <w:vAlign w:val="center"/>
          </w:tcPr>
          <w:p w:rsidR="573B7504" w:rsidP="573B7504" w:rsidRDefault="573B7504" w14:paraId="014A22A4" w14:textId="293409C7">
            <w:pPr>
              <w:rPr>
                <w:rFonts w:ascii="Arial" w:hAnsi="Arial" w:eastAsia="Arial" w:cs="Arial"/>
                <w:b w:val="0"/>
                <w:bCs w:val="0"/>
                <w:i w:val="0"/>
                <w:iCs w:val="0"/>
                <w:sz w:val="22"/>
                <w:szCs w:val="22"/>
              </w:rPr>
            </w:pPr>
            <w:hyperlink r:id="R400875586f7449fb">
              <w:r w:rsidRPr="573B7504" w:rsidR="573B7504">
                <w:rPr>
                  <w:rStyle w:val="Hyperlink"/>
                  <w:b w:val="0"/>
                  <w:bCs w:val="0"/>
                  <w:i w:val="0"/>
                  <w:iCs w:val="0"/>
                  <w:lang w:val="en-GB"/>
                </w:rPr>
                <w:t>Akulpanchal7@gmail.com</w:t>
              </w:r>
            </w:hyperlink>
          </w:p>
        </w:tc>
      </w:tr>
      <w:tr w:rsidR="573B7504" w:rsidTr="573B7504" w14:paraId="7123C1FF">
        <w:trPr>
          <w:trHeight w:val="54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73B7504" w:rsidP="573B7504" w:rsidRDefault="573B7504" w14:paraId="16CC1615" w14:textId="3A13822C">
            <w:pP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4</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73B7504" w:rsidP="573B7504" w:rsidRDefault="573B7504" w14:paraId="2AECF308" w14:textId="22A2BAE9">
            <w:pP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Programme of Study:</w:t>
            </w:r>
          </w:p>
        </w:tc>
        <w:tc>
          <w:tcPr>
            <w:tcW w:w="6630" w:type="dxa"/>
            <w:tcBorders>
              <w:top w:val="single" w:sz="6"/>
              <w:left w:val="single" w:sz="6"/>
              <w:bottom w:val="single" w:sz="6"/>
              <w:right w:val="single" w:sz="6"/>
            </w:tcBorders>
            <w:tcMar>
              <w:left w:w="105" w:type="dxa"/>
              <w:right w:w="105" w:type="dxa"/>
            </w:tcMar>
            <w:vAlign w:val="center"/>
          </w:tcPr>
          <w:p w:rsidR="573B7504" w:rsidP="573B7504" w:rsidRDefault="573B7504" w14:paraId="7108C317" w14:textId="178F5F2E">
            <w:pP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Master of Business Administration</w:t>
            </w:r>
          </w:p>
        </w:tc>
      </w:tr>
      <w:tr w:rsidR="573B7504" w:rsidTr="573B7504" w14:paraId="506DC4C1">
        <w:trPr>
          <w:trHeight w:val="555"/>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73B7504" w:rsidP="573B7504" w:rsidRDefault="573B7504" w14:paraId="52EE6C96" w14:textId="785DA2C6">
            <w:pP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5</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73B7504" w:rsidP="573B7504" w:rsidRDefault="573B7504" w14:paraId="402752A1" w14:textId="508997F7">
            <w:pP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Supervisor:</w:t>
            </w:r>
          </w:p>
        </w:tc>
        <w:tc>
          <w:tcPr>
            <w:tcW w:w="6630" w:type="dxa"/>
            <w:tcBorders>
              <w:top w:val="single" w:sz="6"/>
              <w:left w:val="single" w:sz="6"/>
              <w:bottom w:val="single" w:sz="6"/>
              <w:right w:val="single" w:sz="6"/>
            </w:tcBorders>
            <w:tcMar>
              <w:left w:w="105" w:type="dxa"/>
              <w:right w:w="105" w:type="dxa"/>
            </w:tcMar>
            <w:vAlign w:val="center"/>
          </w:tcPr>
          <w:p w:rsidR="573B7504" w:rsidP="573B7504" w:rsidRDefault="573B7504" w14:paraId="235112DF" w14:textId="4DB95A24">
            <w:pP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Alireza Najarian</w:t>
            </w:r>
          </w:p>
        </w:tc>
      </w:tr>
    </w:tbl>
    <w:p w:rsidRPr="00D97AB2" w:rsidR="00D97AB2" w:rsidP="573B7504" w:rsidRDefault="00D97AB2" w14:paraId="0D58DF56" w14:textId="0027B22A">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396AD2AC" w14:textId="12E35CE9">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1"/>
          <w:bCs w:val="1"/>
          <w:i w:val="0"/>
          <w:iCs w:val="0"/>
          <w:caps w:val="0"/>
          <w:smallCaps w:val="0"/>
          <w:noProof w:val="0"/>
          <w:color w:val="000000" w:themeColor="text1" w:themeTint="FF" w:themeShade="FF"/>
          <w:sz w:val="22"/>
          <w:szCs w:val="22"/>
          <w:lang w:val="en-GB"/>
        </w:rPr>
        <w:t>SECTION B:  Internal and External Ethical Guidance Materials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775"/>
        <w:gridCol w:w="1125"/>
      </w:tblGrid>
      <w:tr w:rsidR="573B7504" w:rsidTr="573B7504" w14:paraId="60958E2D">
        <w:trPr>
          <w:trHeight w:val="300"/>
        </w:trPr>
        <w:tc>
          <w:tcPr>
            <w:tcW w:w="555" w:type="dxa"/>
            <w:shd w:val="clear" w:color="auto" w:fill="F2F2F2" w:themeFill="background1" w:themeFillShade="F2"/>
            <w:tcMar>
              <w:left w:w="105" w:type="dxa"/>
              <w:right w:w="105" w:type="dxa"/>
            </w:tcMar>
            <w:vAlign w:val="top"/>
          </w:tcPr>
          <w:p w:rsidR="573B7504" w:rsidP="573B7504" w:rsidRDefault="573B7504" w14:paraId="49DA7D9B" w14:textId="0D1AFDA3">
            <w:pPr>
              <w:bidi w:val="0"/>
              <w:rPr>
                <w:rFonts w:ascii="Arial" w:hAnsi="Arial" w:eastAsia="Arial" w:cs="Arial"/>
                <w:b w:val="0"/>
                <w:bCs w:val="0"/>
                <w:i w:val="0"/>
                <w:iCs w:val="0"/>
                <w:sz w:val="22"/>
                <w:szCs w:val="22"/>
              </w:rPr>
            </w:pPr>
          </w:p>
        </w:tc>
        <w:tc>
          <w:tcPr>
            <w:tcW w:w="9900" w:type="dxa"/>
            <w:gridSpan w:val="2"/>
            <w:shd w:val="clear" w:color="auto" w:fill="F2F2F2" w:themeFill="background1" w:themeFillShade="F2"/>
            <w:tcMar>
              <w:left w:w="105" w:type="dxa"/>
              <w:right w:w="105" w:type="dxa"/>
            </w:tcMar>
            <w:vAlign w:val="top"/>
          </w:tcPr>
          <w:p w:rsidR="573B7504" w:rsidP="573B7504" w:rsidRDefault="573B7504" w14:paraId="76AFB684" w14:textId="45932C48">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573B7504" w:rsidTr="573B7504" w14:paraId="593D4329">
        <w:trPr>
          <w:trHeight w:val="345"/>
        </w:trPr>
        <w:tc>
          <w:tcPr>
            <w:tcW w:w="555" w:type="dxa"/>
            <w:tcMar>
              <w:left w:w="105" w:type="dxa"/>
              <w:right w:w="105" w:type="dxa"/>
            </w:tcMar>
            <w:vAlign w:val="center"/>
          </w:tcPr>
          <w:p w:rsidR="573B7504" w:rsidP="573B7504" w:rsidRDefault="573B7504" w14:paraId="0ED56EB3" w14:textId="2FD8698F">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w:t>
            </w:r>
          </w:p>
        </w:tc>
        <w:tc>
          <w:tcPr>
            <w:tcW w:w="8775" w:type="dxa"/>
            <w:tcMar>
              <w:left w:w="105" w:type="dxa"/>
              <w:right w:w="105" w:type="dxa"/>
            </w:tcMar>
            <w:vAlign w:val="center"/>
          </w:tcPr>
          <w:p w:rsidR="573B7504" w:rsidP="573B7504" w:rsidRDefault="573B7504" w14:paraId="5CFE620F" w14:textId="268CAF8B">
            <w:pPr>
              <w:bidi w:val="0"/>
              <w:rPr>
                <w:rFonts w:ascii="Arial" w:hAnsi="Arial" w:eastAsia="Arial" w:cs="Arial"/>
                <w:b w:val="0"/>
                <w:bCs w:val="0"/>
                <w:i w:val="0"/>
                <w:iCs w:val="0"/>
                <w:sz w:val="22"/>
                <w:szCs w:val="22"/>
              </w:rPr>
            </w:pPr>
            <w:r w:rsidRPr="573B7504" w:rsidR="573B7504">
              <w:rPr>
                <w:rStyle w:val="Hyperlink"/>
                <w:b w:val="1"/>
                <w:bCs w:val="1"/>
                <w:i w:val="0"/>
                <w:iCs w:val="0"/>
                <w:strike w:val="0"/>
                <w:dstrike w:val="0"/>
                <w:lang w:val="en-GB"/>
              </w:rPr>
              <w:t>UWTSD Research Ethics &amp; Integrity Code of Practice</w:t>
            </w:r>
          </w:p>
        </w:tc>
        <w:tc>
          <w:tcPr>
            <w:tcW w:w="1125" w:type="dxa"/>
            <w:shd w:val="clear" w:color="auto" w:fill="BFBFBF" w:themeFill="background1" w:themeFillShade="BF"/>
            <w:tcMar>
              <w:left w:w="105" w:type="dxa"/>
              <w:right w:w="105" w:type="dxa"/>
            </w:tcMar>
            <w:vAlign w:val="center"/>
          </w:tcPr>
          <w:p w:rsidR="573B7504" w:rsidP="573B7504" w:rsidRDefault="573B7504" w14:paraId="1ED35798" w14:textId="6C02FFFB">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136AACE7">
        <w:trPr>
          <w:trHeight w:val="405"/>
        </w:trPr>
        <w:tc>
          <w:tcPr>
            <w:tcW w:w="555" w:type="dxa"/>
            <w:tcMar>
              <w:left w:w="105" w:type="dxa"/>
              <w:right w:w="105" w:type="dxa"/>
            </w:tcMar>
            <w:vAlign w:val="center"/>
          </w:tcPr>
          <w:p w:rsidR="573B7504" w:rsidP="573B7504" w:rsidRDefault="573B7504" w14:paraId="46FECC53" w14:textId="76EBCCCB">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w:t>
            </w:r>
          </w:p>
        </w:tc>
        <w:tc>
          <w:tcPr>
            <w:tcW w:w="8775" w:type="dxa"/>
            <w:tcMar>
              <w:left w:w="105" w:type="dxa"/>
              <w:right w:w="105" w:type="dxa"/>
            </w:tcMar>
            <w:vAlign w:val="center"/>
          </w:tcPr>
          <w:p w:rsidR="573B7504" w:rsidP="573B7504" w:rsidRDefault="573B7504" w14:paraId="0C0C891B" w14:textId="106B8E03">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UWTSD Research Data Management Policy</w:t>
            </w:r>
          </w:p>
        </w:tc>
        <w:tc>
          <w:tcPr>
            <w:tcW w:w="1125" w:type="dxa"/>
            <w:shd w:val="clear" w:color="auto" w:fill="BFBFBF" w:themeFill="background1" w:themeFillShade="BF"/>
            <w:tcMar>
              <w:left w:w="105" w:type="dxa"/>
              <w:right w:w="105" w:type="dxa"/>
            </w:tcMar>
            <w:vAlign w:val="center"/>
          </w:tcPr>
          <w:p w:rsidR="573B7504" w:rsidP="573B7504" w:rsidRDefault="573B7504" w14:paraId="2EF319C5" w14:textId="371888DC">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5ED40C9D">
        <w:trPr>
          <w:trHeight w:val="405"/>
        </w:trPr>
        <w:tc>
          <w:tcPr>
            <w:tcW w:w="555" w:type="dxa"/>
            <w:tcMar>
              <w:left w:w="105" w:type="dxa"/>
              <w:right w:w="105" w:type="dxa"/>
            </w:tcMar>
            <w:vAlign w:val="center"/>
          </w:tcPr>
          <w:p w:rsidR="573B7504" w:rsidP="573B7504" w:rsidRDefault="573B7504" w14:paraId="01ACE3D6" w14:textId="057C0F04">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3</w:t>
            </w:r>
          </w:p>
        </w:tc>
        <w:tc>
          <w:tcPr>
            <w:tcW w:w="8775" w:type="dxa"/>
            <w:tcMar>
              <w:left w:w="105" w:type="dxa"/>
              <w:right w:w="105" w:type="dxa"/>
            </w:tcMar>
            <w:vAlign w:val="center"/>
          </w:tcPr>
          <w:p w:rsidR="573B7504" w:rsidP="573B7504" w:rsidRDefault="573B7504" w14:paraId="6975876A" w14:textId="7E55802A">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British Academy of Management (BAM) Code of Ethics and Research Practice</w:t>
            </w:r>
          </w:p>
        </w:tc>
        <w:tc>
          <w:tcPr>
            <w:tcW w:w="1125" w:type="dxa"/>
            <w:shd w:val="clear" w:color="auto" w:fill="BFBFBF" w:themeFill="background1" w:themeFillShade="BF"/>
            <w:tcMar>
              <w:left w:w="105" w:type="dxa"/>
              <w:right w:w="105" w:type="dxa"/>
            </w:tcMar>
            <w:vAlign w:val="center"/>
          </w:tcPr>
          <w:p w:rsidR="573B7504" w:rsidP="573B7504" w:rsidRDefault="573B7504" w14:paraId="30F6C799" w14:textId="0CCE9A42">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58A8F884">
        <w:trPr>
          <w:trHeight w:val="405"/>
        </w:trPr>
        <w:tc>
          <w:tcPr>
            <w:tcW w:w="555" w:type="dxa"/>
            <w:tcMar>
              <w:left w:w="105" w:type="dxa"/>
              <w:right w:w="105" w:type="dxa"/>
            </w:tcMar>
            <w:vAlign w:val="center"/>
          </w:tcPr>
          <w:p w:rsidR="573B7504" w:rsidP="573B7504" w:rsidRDefault="573B7504" w14:paraId="79196163" w14:textId="6BDC1CC7">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4</w:t>
            </w:r>
          </w:p>
        </w:tc>
        <w:tc>
          <w:tcPr>
            <w:tcW w:w="8775" w:type="dxa"/>
            <w:tcMar>
              <w:left w:w="105" w:type="dxa"/>
              <w:right w:w="105" w:type="dxa"/>
            </w:tcMar>
            <w:vAlign w:val="center"/>
          </w:tcPr>
          <w:p w:rsidR="573B7504" w:rsidP="573B7504" w:rsidRDefault="573B7504" w14:paraId="3310A76E" w14:textId="523C373B">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General Data Protection Regulation (GDPR 2018) and UK Data Protection Act 2018</w:t>
            </w:r>
          </w:p>
        </w:tc>
        <w:tc>
          <w:tcPr>
            <w:tcW w:w="1125" w:type="dxa"/>
            <w:shd w:val="clear" w:color="auto" w:fill="BFBFBF" w:themeFill="background1" w:themeFillShade="BF"/>
            <w:tcMar>
              <w:left w:w="105" w:type="dxa"/>
              <w:right w:w="105" w:type="dxa"/>
            </w:tcMar>
            <w:vAlign w:val="center"/>
          </w:tcPr>
          <w:p w:rsidR="573B7504" w:rsidP="573B7504" w:rsidRDefault="573B7504" w14:paraId="764B2733" w14:textId="1C0E2FD2">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bl>
    <w:p w:rsidRPr="00D97AB2" w:rsidR="00D97AB2" w:rsidP="573B7504" w:rsidRDefault="00D97AB2" w14:paraId="110B78F9" w14:textId="7D5D1EB4">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51D843E3" w14:textId="4B948562">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1"/>
          <w:bCs w:val="1"/>
          <w:i w:val="0"/>
          <w:iCs w:val="0"/>
          <w:caps w:val="0"/>
          <w:smallCaps w:val="0"/>
          <w:noProof w:val="0"/>
          <w:color w:val="000000" w:themeColor="text1" w:themeTint="FF" w:themeShade="FF"/>
          <w:sz w:val="22"/>
          <w:szCs w:val="22"/>
          <w:lang w:val="en-GB"/>
        </w:rPr>
        <w:t>SECTION C: Details of Research Activity</w:t>
      </w:r>
    </w:p>
    <w:tbl>
      <w:tblPr>
        <w:tblStyle w:val="TableNormal"/>
        <w:bidiVisual w:val="0"/>
        <w:tblW w:w="0" w:type="auto"/>
        <w:tblInd w:w="-15" w:type="dxa"/>
        <w:tblBorders>
          <w:top w:val="single" w:sz="6"/>
          <w:left w:val="single" w:sz="6"/>
          <w:bottom w:val="single" w:sz="6"/>
          <w:right w:val="single" w:sz="6"/>
        </w:tblBorders>
        <w:tblLook w:val="00A0" w:firstRow="1" w:lastRow="0" w:firstColumn="1" w:lastColumn="0" w:noHBand="0" w:noVBand="0"/>
      </w:tblPr>
      <w:tblGrid>
        <w:gridCol w:w="495"/>
        <w:gridCol w:w="1605"/>
        <w:gridCol w:w="3270"/>
        <w:gridCol w:w="1695"/>
        <w:gridCol w:w="3390"/>
      </w:tblGrid>
      <w:tr w:rsidR="573B7504" w:rsidTr="573B7504" w14:paraId="6D74C875">
        <w:trPr>
          <w:trHeight w:val="450"/>
        </w:trPr>
        <w:tc>
          <w:tcPr>
            <w:tcW w:w="495" w:type="dxa"/>
            <w:tcBorders>
              <w:top w:val="single" w:sz="4"/>
              <w:left w:val="single" w:sz="4"/>
              <w:bottom w:val="single" w:sz="4"/>
              <w:right w:val="single" w:sz="4"/>
            </w:tcBorders>
            <w:shd w:val="clear" w:color="auto" w:fill="F2F2F2" w:themeFill="background1" w:themeFillShade="F2"/>
            <w:tcMar>
              <w:top w:w="15" w:type="dxa"/>
              <w:left w:w="45" w:type="dxa"/>
              <w:bottom w:w="15" w:type="dxa"/>
              <w:right w:w="15" w:type="dxa"/>
            </w:tcMar>
            <w:vAlign w:val="center"/>
          </w:tcPr>
          <w:p w:rsidR="573B7504" w:rsidP="573B7504" w:rsidRDefault="573B7504" w14:paraId="1449DA7B" w14:textId="7B0C9285">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w:t>
            </w:r>
          </w:p>
        </w:tc>
        <w:tc>
          <w:tcPr>
            <w:tcW w:w="1605" w:type="dxa"/>
            <w:tcBorders>
              <w:top w:val="single" w:sz="4"/>
              <w:left w:val="single" w:sz="4"/>
              <w:bottom w:val="single" w:sz="4"/>
              <w:right w:val="single" w:sz="4"/>
            </w:tcBorders>
            <w:shd w:val="clear" w:color="auto" w:fill="F2F2F2" w:themeFill="background1" w:themeFillShade="F2"/>
            <w:tcMar>
              <w:top w:w="15" w:type="dxa"/>
              <w:left w:w="45" w:type="dxa"/>
              <w:bottom w:w="15" w:type="dxa"/>
              <w:right w:w="15" w:type="dxa"/>
            </w:tcMar>
            <w:vAlign w:val="center"/>
          </w:tcPr>
          <w:p w:rsidR="573B7504" w:rsidP="573B7504" w:rsidRDefault="573B7504" w14:paraId="0A155232" w14:textId="7E76A063">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Indicative title:</w:t>
            </w:r>
          </w:p>
        </w:tc>
        <w:tc>
          <w:tcPr>
            <w:tcW w:w="8355" w:type="dxa"/>
            <w:gridSpan w:val="3"/>
            <w:tcBorders>
              <w:top w:val="single" w:sz="4"/>
              <w:left w:val="single" w:sz="4"/>
              <w:bottom w:val="single" w:sz="4"/>
              <w:right w:val="single" w:sz="4"/>
            </w:tcBorders>
            <w:tcMar>
              <w:top w:w="15" w:type="dxa"/>
              <w:left w:w="45" w:type="dxa"/>
              <w:bottom w:w="15" w:type="dxa"/>
              <w:right w:w="15" w:type="dxa"/>
            </w:tcMar>
            <w:vAlign w:val="center"/>
          </w:tcPr>
          <w:p w:rsidR="573B7504" w:rsidP="573B7504" w:rsidRDefault="573B7504" w14:paraId="4D5B64A4" w14:textId="3AFC16BA">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The Role of Employee Training and Development in Human Capital Management: A Critical Literature Review</w:t>
            </w:r>
          </w:p>
        </w:tc>
      </w:tr>
      <w:tr w:rsidR="573B7504" w:rsidTr="573B7504" w14:paraId="5306CC7F">
        <w:trPr>
          <w:trHeight w:val="450"/>
        </w:trPr>
        <w:tc>
          <w:tcPr>
            <w:tcW w:w="495" w:type="dxa"/>
            <w:tcBorders>
              <w:top w:val="single" w:sz="4"/>
              <w:left w:val="single" w:sz="4"/>
              <w:bottom w:val="single" w:sz="4"/>
              <w:right w:val="single" w:sz="4"/>
            </w:tcBorders>
            <w:shd w:val="clear" w:color="auto" w:fill="F2F2F2" w:themeFill="background1" w:themeFillShade="F2"/>
            <w:tcMar>
              <w:top w:w="15" w:type="dxa"/>
              <w:left w:w="45" w:type="dxa"/>
              <w:bottom w:w="15" w:type="dxa"/>
              <w:right w:w="15" w:type="dxa"/>
            </w:tcMar>
            <w:vAlign w:val="center"/>
          </w:tcPr>
          <w:p w:rsidR="573B7504" w:rsidP="573B7504" w:rsidRDefault="573B7504" w14:paraId="7C9F86EA" w14:textId="50DF6FB0">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w:t>
            </w:r>
          </w:p>
        </w:tc>
        <w:tc>
          <w:tcPr>
            <w:tcW w:w="1605" w:type="dxa"/>
            <w:tcBorders>
              <w:top w:val="single" w:sz="4"/>
              <w:left w:val="single" w:sz="4"/>
              <w:bottom w:val="single" w:sz="4"/>
              <w:right w:val="single" w:sz="4"/>
            </w:tcBorders>
            <w:shd w:val="clear" w:color="auto" w:fill="F2F2F2" w:themeFill="background1" w:themeFillShade="F2"/>
            <w:tcMar>
              <w:top w:w="15" w:type="dxa"/>
              <w:left w:w="45" w:type="dxa"/>
              <w:bottom w:w="15" w:type="dxa"/>
              <w:right w:w="15" w:type="dxa"/>
            </w:tcMar>
            <w:vAlign w:val="center"/>
          </w:tcPr>
          <w:p w:rsidR="573B7504" w:rsidP="573B7504" w:rsidRDefault="573B7504" w14:paraId="369A65C3" w14:textId="700546AC">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Proposed start date:</w:t>
            </w:r>
          </w:p>
        </w:tc>
        <w:tc>
          <w:tcPr>
            <w:tcW w:w="3270" w:type="dxa"/>
            <w:tcBorders>
              <w:top w:val="single" w:sz="4"/>
              <w:left w:val="single" w:sz="4"/>
              <w:bottom w:val="single" w:sz="4"/>
              <w:right w:val="single" w:sz="4"/>
            </w:tcBorders>
            <w:tcMar>
              <w:top w:w="15" w:type="dxa"/>
              <w:left w:w="45" w:type="dxa"/>
              <w:bottom w:w="15" w:type="dxa"/>
              <w:right w:w="15" w:type="dxa"/>
            </w:tcMar>
            <w:vAlign w:val="center"/>
          </w:tcPr>
          <w:p w:rsidR="573B7504" w:rsidP="573B7504" w:rsidRDefault="573B7504" w14:paraId="0B065A57" w14:textId="2688E46A">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1/08/26</w:t>
            </w:r>
          </w:p>
        </w:tc>
        <w:tc>
          <w:tcPr>
            <w:tcW w:w="1695" w:type="dxa"/>
            <w:tcBorders>
              <w:top w:val="single" w:sz="4"/>
              <w:left w:val="single" w:sz="4"/>
              <w:bottom w:val="single" w:sz="4"/>
              <w:right w:val="single" w:sz="4"/>
            </w:tcBorders>
            <w:shd w:val="clear" w:color="auto" w:fill="F2F2F2" w:themeFill="background1" w:themeFillShade="F2"/>
            <w:tcMar>
              <w:top w:w="15" w:type="dxa"/>
              <w:left w:w="45" w:type="dxa"/>
              <w:bottom w:w="15" w:type="dxa"/>
              <w:right w:w="15" w:type="dxa"/>
            </w:tcMar>
            <w:vAlign w:val="center"/>
          </w:tcPr>
          <w:p w:rsidR="573B7504" w:rsidP="573B7504" w:rsidRDefault="573B7504" w14:paraId="2030DF39" w14:textId="792EC968">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Proposed end date:</w:t>
            </w:r>
          </w:p>
        </w:tc>
        <w:tc>
          <w:tcPr>
            <w:tcW w:w="3390" w:type="dxa"/>
            <w:tcBorders>
              <w:top w:val="single" w:sz="4"/>
              <w:left w:val="single" w:sz="4"/>
              <w:bottom w:val="single" w:sz="4"/>
              <w:right w:val="single" w:sz="4"/>
            </w:tcBorders>
            <w:tcMar>
              <w:top w:w="15" w:type="dxa"/>
              <w:left w:w="45" w:type="dxa"/>
              <w:bottom w:w="15" w:type="dxa"/>
              <w:right w:w="15" w:type="dxa"/>
            </w:tcMar>
            <w:vAlign w:val="center"/>
          </w:tcPr>
          <w:p w:rsidR="573B7504" w:rsidP="573B7504" w:rsidRDefault="573B7504" w14:paraId="7143533A" w14:textId="47EF8DC6">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30/08/26</w:t>
            </w:r>
          </w:p>
        </w:tc>
      </w:tr>
      <w:tr w:rsidR="573B7504" w:rsidTr="573B7504" w14:paraId="20AE7146">
        <w:trPr>
          <w:trHeight w:val="450"/>
        </w:trPr>
        <w:tc>
          <w:tcPr>
            <w:tcW w:w="495" w:type="dxa"/>
            <w:tcBorders>
              <w:top w:val="single" w:sz="4"/>
              <w:left w:val="single" w:sz="8"/>
              <w:bottom w:val="single" w:sz="8"/>
              <w:right w:val="single" w:sz="8"/>
            </w:tcBorders>
            <w:shd w:val="clear" w:color="auto" w:fill="F2F2F2" w:themeFill="background1" w:themeFillShade="F2"/>
            <w:tcMar>
              <w:top w:w="15" w:type="dxa"/>
              <w:left w:w="45" w:type="dxa"/>
              <w:bottom w:w="15" w:type="dxa"/>
              <w:right w:w="15" w:type="dxa"/>
            </w:tcMar>
            <w:vAlign w:val="center"/>
          </w:tcPr>
          <w:p w:rsidR="573B7504" w:rsidP="573B7504" w:rsidRDefault="573B7504" w14:paraId="685EE533" w14:textId="11069004">
            <w:pPr>
              <w:bidi w:val="0"/>
              <w:spacing w:before="120" w:after="120"/>
              <w:rPr>
                <w:rFonts w:ascii="Arial" w:hAnsi="Arial" w:eastAsia="Arial" w:cs="Arial"/>
                <w:b w:val="0"/>
                <w:bCs w:val="0"/>
                <w:i w:val="0"/>
                <w:iCs w:val="0"/>
                <w:sz w:val="22"/>
                <w:szCs w:val="22"/>
              </w:rPr>
            </w:pPr>
          </w:p>
        </w:tc>
        <w:tc>
          <w:tcPr>
            <w:tcW w:w="9960" w:type="dxa"/>
            <w:gridSpan w:val="4"/>
            <w:tcBorders>
              <w:top w:val="single" w:sz="4"/>
              <w:left w:val="single" w:sz="8"/>
              <w:bottom w:val="single" w:sz="8"/>
              <w:right w:val="single" w:sz="8"/>
            </w:tcBorders>
            <w:shd w:val="clear" w:color="auto" w:fill="F2F2F2" w:themeFill="background1" w:themeFillShade="F2"/>
            <w:tcMar>
              <w:top w:w="15" w:type="dxa"/>
              <w:left w:w="45" w:type="dxa"/>
              <w:bottom w:w="15" w:type="dxa"/>
              <w:right w:w="15" w:type="dxa"/>
            </w:tcMar>
            <w:vAlign w:val="center"/>
          </w:tcPr>
          <w:p w:rsidR="573B7504" w:rsidP="573B7504" w:rsidRDefault="573B7504" w14:paraId="0A6F2457" w14:textId="1064ACC0">
            <w:pPr>
              <w:bidi w:val="0"/>
              <w:spacing w:before="120" w:after="12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Introduction to the Research (maximum 300 words in each section)</w:t>
            </w:r>
          </w:p>
          <w:p w:rsidR="573B7504" w:rsidP="573B7504" w:rsidRDefault="573B7504" w14:paraId="2FA8BC1B" w14:textId="576D530C">
            <w:pPr>
              <w:bidi w:val="0"/>
              <w:spacing w:before="120" w:after="12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Ensure that you write for a </w:t>
            </w:r>
            <w:r w:rsidRPr="573B7504" w:rsidR="573B7504">
              <w:rPr>
                <w:rFonts w:ascii="Arial" w:hAnsi="Arial" w:eastAsia="Arial" w:cs="Arial"/>
                <w:b w:val="1"/>
                <w:bCs w:val="1"/>
                <w:i w:val="0"/>
                <w:iCs w:val="0"/>
                <w:strike w:val="0"/>
                <w:dstrike w:val="0"/>
                <w:sz w:val="22"/>
                <w:szCs w:val="22"/>
                <w:u w:val="single"/>
                <w:lang w:val="en-GB"/>
              </w:rPr>
              <w:t>Non-Specialist Audience</w:t>
            </w:r>
            <w:r w:rsidRPr="573B7504" w:rsidR="573B7504">
              <w:rPr>
                <w:rFonts w:ascii="Arial" w:hAnsi="Arial" w:eastAsia="Arial" w:cs="Arial"/>
                <w:b w:val="1"/>
                <w:bCs w:val="1"/>
                <w:i w:val="0"/>
                <w:iCs w:val="0"/>
                <w:sz w:val="22"/>
                <w:szCs w:val="22"/>
                <w:lang w:val="en-GB"/>
              </w:rPr>
              <w:t xml:space="preserve"> when outlining your response to the three points below:</w:t>
            </w:r>
          </w:p>
          <w:p w:rsidR="573B7504" w:rsidP="573B7504" w:rsidRDefault="573B7504" w14:paraId="115C38D8" w14:textId="3E48150D">
            <w:pPr>
              <w:pStyle w:val="ListParagraph"/>
              <w:numPr>
                <w:ilvl w:val="0"/>
                <w:numId w:val="2"/>
              </w:numPr>
              <w:bidi w:val="0"/>
              <w:spacing/>
              <w:contextualSpacing w:val="0"/>
              <w:rPr>
                <w:rFonts w:ascii="Arial" w:hAnsi="Arial" w:eastAsia="Arial" w:cs="Arial"/>
                <w:b w:val="0"/>
                <w:bCs w:val="0"/>
                <w:i w:val="0"/>
                <w:iCs w:val="0"/>
                <w:sz w:val="22"/>
                <w:szCs w:val="22"/>
              </w:rPr>
            </w:pPr>
            <w:r w:rsidRPr="573B7504" w:rsidR="573B7504">
              <w:rPr>
                <w:rFonts w:ascii="Arial" w:hAnsi="Arial" w:eastAsia="Arial" w:cs="Arial"/>
                <w:b w:val="0"/>
                <w:bCs w:val="0"/>
                <w:i w:val="1"/>
                <w:iCs w:val="1"/>
                <w:sz w:val="22"/>
                <w:szCs w:val="22"/>
                <w:lang w:val="en-GB"/>
              </w:rPr>
              <w:t>Purpose of Research Activity:</w:t>
            </w:r>
          </w:p>
          <w:p w:rsidR="573B7504" w:rsidP="573B7504" w:rsidRDefault="573B7504" w14:paraId="3D2247EF" w14:textId="03A140AC">
            <w:pPr>
              <w:pStyle w:val="ListParagraph"/>
              <w:numPr>
                <w:ilvl w:val="0"/>
                <w:numId w:val="2"/>
              </w:numPr>
              <w:bidi w:val="0"/>
              <w:spacing/>
              <w:contextualSpacing w:val="0"/>
              <w:rPr>
                <w:rFonts w:ascii="Arial" w:hAnsi="Arial" w:eastAsia="Arial" w:cs="Arial"/>
                <w:b w:val="0"/>
                <w:bCs w:val="0"/>
                <w:i w:val="0"/>
                <w:iCs w:val="0"/>
                <w:sz w:val="22"/>
                <w:szCs w:val="22"/>
              </w:rPr>
            </w:pPr>
            <w:r w:rsidRPr="573B7504" w:rsidR="573B7504">
              <w:rPr>
                <w:rFonts w:ascii="Arial" w:hAnsi="Arial" w:eastAsia="Arial" w:cs="Arial"/>
                <w:b w:val="0"/>
                <w:bCs w:val="0"/>
                <w:i w:val="1"/>
                <w:iCs w:val="1"/>
                <w:sz w:val="22"/>
                <w:szCs w:val="22"/>
                <w:lang w:val="en-GB"/>
              </w:rPr>
              <w:t>Proposed Research Question</w:t>
            </w:r>
          </w:p>
          <w:p w:rsidR="573B7504" w:rsidP="573B7504" w:rsidRDefault="573B7504" w14:paraId="55CDBEDB" w14:textId="047F179D">
            <w:pPr>
              <w:pStyle w:val="ListParagraph"/>
              <w:numPr>
                <w:ilvl w:val="0"/>
                <w:numId w:val="2"/>
              </w:numPr>
              <w:bidi w:val="0"/>
              <w:spacing/>
              <w:contextualSpacing w:val="0"/>
              <w:rPr>
                <w:rFonts w:ascii="Arial" w:hAnsi="Arial" w:eastAsia="Arial" w:cs="Arial"/>
                <w:b w:val="0"/>
                <w:bCs w:val="0"/>
                <w:i w:val="0"/>
                <w:iCs w:val="0"/>
                <w:sz w:val="22"/>
                <w:szCs w:val="22"/>
              </w:rPr>
            </w:pPr>
            <w:r w:rsidRPr="573B7504" w:rsidR="573B7504">
              <w:rPr>
                <w:rFonts w:ascii="Arial" w:hAnsi="Arial" w:eastAsia="Arial" w:cs="Arial"/>
                <w:b w:val="0"/>
                <w:bCs w:val="0"/>
                <w:i w:val="1"/>
                <w:iCs w:val="1"/>
                <w:sz w:val="22"/>
                <w:szCs w:val="22"/>
                <w:lang w:val="en-GB"/>
              </w:rPr>
              <w:t>Aims of Research Activity</w:t>
            </w:r>
          </w:p>
          <w:p w:rsidR="573B7504" w:rsidP="573B7504" w:rsidRDefault="573B7504" w14:paraId="4E6DEF7A" w14:textId="3EF64921">
            <w:pPr>
              <w:pStyle w:val="ListParagraph"/>
              <w:numPr>
                <w:ilvl w:val="0"/>
                <w:numId w:val="2"/>
              </w:numPr>
              <w:bidi w:val="0"/>
              <w:spacing/>
              <w:ind w:left="714" w:hanging="357"/>
              <w:contextualSpacing w:val="0"/>
              <w:rPr>
                <w:rFonts w:ascii="Arial" w:hAnsi="Arial" w:eastAsia="Arial" w:cs="Arial"/>
                <w:b w:val="0"/>
                <w:bCs w:val="0"/>
                <w:i w:val="0"/>
                <w:iCs w:val="0"/>
                <w:sz w:val="22"/>
                <w:szCs w:val="22"/>
              </w:rPr>
            </w:pPr>
            <w:r w:rsidRPr="573B7504" w:rsidR="573B7504">
              <w:rPr>
                <w:rFonts w:ascii="Arial" w:hAnsi="Arial" w:eastAsia="Arial" w:cs="Arial"/>
                <w:b w:val="0"/>
                <w:bCs w:val="0"/>
                <w:i w:val="1"/>
                <w:iCs w:val="1"/>
                <w:sz w:val="22"/>
                <w:szCs w:val="22"/>
                <w:lang w:val="en-GB"/>
              </w:rPr>
              <w:t>Objectives of Research Activity</w:t>
            </w:r>
          </w:p>
          <w:p w:rsidR="573B7504" w:rsidP="573B7504" w:rsidRDefault="573B7504" w14:paraId="04199EBF" w14:textId="178F489F">
            <w:pPr>
              <w:bidi w:val="0"/>
              <w:spacing w:after="12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Demonstrate, briefly, how </w:t>
            </w:r>
            <w:r w:rsidRPr="573B7504" w:rsidR="573B7504">
              <w:rPr>
                <w:rFonts w:ascii="Arial" w:hAnsi="Arial" w:eastAsia="Arial" w:cs="Arial"/>
                <w:b w:val="1"/>
                <w:bCs w:val="1"/>
                <w:i w:val="0"/>
                <w:iCs w:val="0"/>
                <w:strike w:val="0"/>
                <w:dstrike w:val="0"/>
                <w:sz w:val="22"/>
                <w:szCs w:val="22"/>
                <w:u w:val="single"/>
                <w:lang w:val="en-GB"/>
              </w:rPr>
              <w:t>Existing Research</w:t>
            </w:r>
            <w:r w:rsidRPr="573B7504" w:rsidR="573B7504">
              <w:rPr>
                <w:rFonts w:ascii="Arial" w:hAnsi="Arial" w:eastAsia="Arial" w:cs="Arial"/>
                <w:b w:val="0"/>
                <w:bCs w:val="0"/>
                <w:i w:val="0"/>
                <w:iCs w:val="0"/>
                <w:sz w:val="22"/>
                <w:szCs w:val="22"/>
                <w:lang w:val="en-GB"/>
              </w:rPr>
              <w:t xml:space="preserve"> has informed the proposed activity and explain</w:t>
            </w:r>
          </w:p>
          <w:p w:rsidR="573B7504" w:rsidP="573B7504" w:rsidRDefault="573B7504" w14:paraId="1461C3F5" w14:textId="209B887B">
            <w:pPr>
              <w:pStyle w:val="ListParagraph"/>
              <w:numPr>
                <w:ilvl w:val="0"/>
                <w:numId w:val="2"/>
              </w:numPr>
              <w:bidi w:val="0"/>
              <w:spacing/>
              <w:contextualSpacing w:val="0"/>
              <w:rPr>
                <w:rFonts w:ascii="Arial" w:hAnsi="Arial" w:eastAsia="Arial" w:cs="Arial"/>
                <w:b w:val="0"/>
                <w:bCs w:val="0"/>
                <w:i w:val="0"/>
                <w:iCs w:val="0"/>
                <w:sz w:val="22"/>
                <w:szCs w:val="22"/>
              </w:rPr>
            </w:pPr>
            <w:r w:rsidRPr="573B7504" w:rsidR="573B7504">
              <w:rPr>
                <w:rFonts w:ascii="Arial" w:hAnsi="Arial" w:eastAsia="Arial" w:cs="Arial"/>
                <w:b w:val="0"/>
                <w:bCs w:val="0"/>
                <w:i w:val="1"/>
                <w:iCs w:val="1"/>
                <w:sz w:val="22"/>
                <w:szCs w:val="22"/>
                <w:lang w:val="en-GB"/>
              </w:rPr>
              <w:t xml:space="preserve">What the research activity will add to the body of knowledge </w:t>
            </w:r>
          </w:p>
          <w:p w:rsidR="573B7504" w:rsidP="573B7504" w:rsidRDefault="573B7504" w14:paraId="18AD5DA6" w14:textId="0045281E">
            <w:pPr>
              <w:pStyle w:val="ListParagraph"/>
              <w:numPr>
                <w:ilvl w:val="0"/>
                <w:numId w:val="2"/>
              </w:numPr>
              <w:bidi w:val="0"/>
              <w:spacing/>
              <w:contextualSpacing w:val="0"/>
              <w:rPr>
                <w:rFonts w:ascii="Arial" w:hAnsi="Arial" w:eastAsia="Arial" w:cs="Arial"/>
                <w:b w:val="0"/>
                <w:bCs w:val="0"/>
                <w:i w:val="0"/>
                <w:iCs w:val="0"/>
                <w:sz w:val="22"/>
                <w:szCs w:val="22"/>
              </w:rPr>
            </w:pPr>
            <w:r w:rsidRPr="573B7504" w:rsidR="573B7504">
              <w:rPr>
                <w:rFonts w:ascii="Arial" w:hAnsi="Arial" w:eastAsia="Arial" w:cs="Arial"/>
                <w:b w:val="0"/>
                <w:bCs w:val="0"/>
                <w:i w:val="1"/>
                <w:iCs w:val="1"/>
                <w:sz w:val="22"/>
                <w:szCs w:val="22"/>
                <w:lang w:val="en-GB"/>
              </w:rPr>
              <w:t xml:space="preserve">How it addresses an area of importance. </w:t>
            </w:r>
          </w:p>
        </w:tc>
      </w:tr>
      <w:tr w:rsidR="573B7504" w:rsidTr="573B7504" w14:paraId="11100F62">
        <w:trPr>
          <w:trHeight w:val="450"/>
        </w:trPr>
        <w:tc>
          <w:tcPr>
            <w:tcW w:w="495" w:type="dxa"/>
            <w:tcBorders>
              <w:top w:val="single" w:sz="8"/>
              <w:left w:val="single" w:sz="8"/>
              <w:bottom w:val="single" w:sz="8"/>
              <w:right w:val="single" w:sz="8"/>
            </w:tcBorders>
            <w:tcMar>
              <w:top w:w="15" w:type="dxa"/>
              <w:left w:w="45" w:type="dxa"/>
              <w:bottom w:w="15" w:type="dxa"/>
              <w:right w:w="15" w:type="dxa"/>
            </w:tcMar>
            <w:vAlign w:val="center"/>
          </w:tcPr>
          <w:p w:rsidR="573B7504" w:rsidP="573B7504" w:rsidRDefault="573B7504" w14:paraId="02FC48C4" w14:textId="6461AD04">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3</w:t>
            </w:r>
          </w:p>
        </w:tc>
        <w:tc>
          <w:tcPr>
            <w:tcW w:w="9960" w:type="dxa"/>
            <w:gridSpan w:val="4"/>
            <w:tcBorders>
              <w:top w:val="single" w:sz="8"/>
              <w:left w:val="single" w:sz="8"/>
              <w:bottom w:val="single" w:sz="8"/>
              <w:right w:val="single" w:sz="8"/>
            </w:tcBorders>
            <w:tcMar>
              <w:top w:w="15" w:type="dxa"/>
              <w:left w:w="45" w:type="dxa"/>
              <w:bottom w:w="15" w:type="dxa"/>
              <w:right w:w="15" w:type="dxa"/>
            </w:tcMar>
            <w:vAlign w:val="center"/>
          </w:tcPr>
          <w:p w:rsidR="573B7504" w:rsidP="573B7504" w:rsidRDefault="573B7504" w14:paraId="73A06C84" w14:textId="2729EB7E">
            <w:pPr>
              <w:bidi w:val="0"/>
              <w:jc w:val="both"/>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Purpose of Research Activity</w:t>
            </w:r>
          </w:p>
          <w:p w:rsidR="573B7504" w:rsidP="573B7504" w:rsidRDefault="573B7504" w14:paraId="2F20ACD3" w14:textId="1F6663E6">
            <w:pPr>
              <w:bidi w:val="0"/>
              <w:jc w:val="both"/>
              <w:rPr>
                <w:rFonts w:ascii="Arial" w:hAnsi="Arial" w:eastAsia="Arial" w:cs="Arial"/>
                <w:b w:val="0"/>
                <w:bCs w:val="0"/>
                <w:i w:val="0"/>
                <w:iCs w:val="0"/>
                <w:sz w:val="22"/>
                <w:szCs w:val="22"/>
              </w:rPr>
            </w:pPr>
          </w:p>
          <w:p w:rsidR="573B7504" w:rsidP="573B7504" w:rsidRDefault="573B7504" w14:paraId="2E7E7C39" w14:textId="49308EC9">
            <w:pPr>
              <w:bidi w:val="0"/>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To critically evaluate the role of employee training and development in human capital management by synthesising and analysing existing academic literature, with particular emphasis on its contribution to employee capability, organisational performance, and sustainable competitive advantage.</w:t>
            </w:r>
          </w:p>
          <w:p w:rsidR="573B7504" w:rsidP="573B7504" w:rsidRDefault="573B7504" w14:paraId="5A96CDD7" w14:textId="64F5F655">
            <w:pPr>
              <w:bidi w:val="0"/>
              <w:jc w:val="both"/>
              <w:rPr>
                <w:rFonts w:ascii="Arial" w:hAnsi="Arial" w:eastAsia="Arial" w:cs="Arial"/>
                <w:b w:val="0"/>
                <w:bCs w:val="0"/>
                <w:i w:val="0"/>
                <w:iCs w:val="0"/>
                <w:sz w:val="22"/>
                <w:szCs w:val="22"/>
              </w:rPr>
            </w:pPr>
          </w:p>
        </w:tc>
      </w:tr>
      <w:tr w:rsidR="573B7504" w:rsidTr="573B7504" w14:paraId="4FAE4E50">
        <w:trPr>
          <w:trHeight w:val="450"/>
        </w:trPr>
        <w:tc>
          <w:tcPr>
            <w:tcW w:w="495" w:type="dxa"/>
            <w:tcBorders>
              <w:top w:val="single" w:sz="8"/>
              <w:left w:val="single" w:sz="8"/>
              <w:bottom w:val="single" w:sz="8"/>
              <w:right w:val="single" w:sz="8"/>
            </w:tcBorders>
            <w:tcMar>
              <w:top w:w="15" w:type="dxa"/>
              <w:left w:w="45" w:type="dxa"/>
              <w:bottom w:w="15" w:type="dxa"/>
              <w:right w:w="15" w:type="dxa"/>
            </w:tcMar>
            <w:vAlign w:val="center"/>
          </w:tcPr>
          <w:p w:rsidR="573B7504" w:rsidP="573B7504" w:rsidRDefault="573B7504" w14:paraId="35D3A6A1" w14:textId="364FE65F">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4</w:t>
            </w:r>
          </w:p>
        </w:tc>
        <w:tc>
          <w:tcPr>
            <w:tcW w:w="9960" w:type="dxa"/>
            <w:gridSpan w:val="4"/>
            <w:tcBorders>
              <w:top w:val="single" w:sz="8"/>
              <w:left w:val="single" w:sz="8"/>
              <w:bottom w:val="single" w:sz="8"/>
              <w:right w:val="single" w:sz="8"/>
            </w:tcBorders>
            <w:tcMar>
              <w:top w:w="15" w:type="dxa"/>
              <w:left w:w="45" w:type="dxa"/>
              <w:bottom w:w="15" w:type="dxa"/>
              <w:right w:w="15" w:type="dxa"/>
            </w:tcMar>
            <w:vAlign w:val="center"/>
          </w:tcPr>
          <w:p w:rsidR="573B7504" w:rsidP="573B7504" w:rsidRDefault="573B7504" w14:paraId="160DFEFC" w14:textId="50DD01BE">
            <w:pPr>
              <w:bidi w:val="0"/>
              <w:jc w:val="both"/>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Research Question</w:t>
            </w:r>
          </w:p>
          <w:p w:rsidR="573B7504" w:rsidP="573B7504" w:rsidRDefault="573B7504" w14:paraId="39E7F405" w14:textId="7F2BB777">
            <w:pPr>
              <w:bidi w:val="0"/>
              <w:jc w:val="both"/>
              <w:rPr>
                <w:rFonts w:ascii="Arial" w:hAnsi="Arial" w:eastAsia="Arial" w:cs="Arial"/>
                <w:b w:val="0"/>
                <w:bCs w:val="0"/>
                <w:i w:val="0"/>
                <w:iCs w:val="0"/>
                <w:sz w:val="22"/>
                <w:szCs w:val="22"/>
              </w:rPr>
            </w:pPr>
          </w:p>
          <w:p w:rsidR="573B7504" w:rsidP="573B7504" w:rsidRDefault="573B7504" w14:paraId="4E530957" w14:textId="1C704894">
            <w:pPr>
              <w:pStyle w:val="ListParagraph"/>
              <w:numPr>
                <w:ilvl w:val="0"/>
                <w:numId w:val="3"/>
              </w:numPr>
              <w:bidi w:val="0"/>
              <w:spacing w:before="0" w:beforeAutospacing="off" w:after="0" w:afterAutospacing="off"/>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How is employee training and development conceptualised within Human Capital Management? </w:t>
            </w:r>
          </w:p>
          <w:p w:rsidR="573B7504" w:rsidP="573B7504" w:rsidRDefault="573B7504" w14:paraId="4F8C70D3" w14:textId="6692837B">
            <w:pPr>
              <w:pStyle w:val="ListParagraph"/>
              <w:numPr>
                <w:ilvl w:val="0"/>
                <w:numId w:val="3"/>
              </w:numPr>
              <w:bidi w:val="0"/>
              <w:spacing w:before="0" w:beforeAutospacing="off" w:after="0" w:afterAutospacing="off"/>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What impact does training have on employee performance? </w:t>
            </w:r>
          </w:p>
          <w:p w:rsidR="573B7504" w:rsidP="573B7504" w:rsidRDefault="573B7504" w14:paraId="359A938D" w14:textId="26C3CE4A">
            <w:pPr>
              <w:pStyle w:val="ListParagraph"/>
              <w:numPr>
                <w:ilvl w:val="0"/>
                <w:numId w:val="3"/>
              </w:numPr>
              <w:bidi w:val="0"/>
              <w:spacing w:before="0" w:beforeAutospacing="off" w:after="0" w:afterAutospacing="off"/>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How does training contribute to organisational performance? </w:t>
            </w:r>
          </w:p>
          <w:p w:rsidR="573B7504" w:rsidP="573B7504" w:rsidRDefault="573B7504" w14:paraId="038AC4C1" w14:textId="6B170DC5">
            <w:pPr>
              <w:pStyle w:val="ListParagraph"/>
              <w:numPr>
                <w:ilvl w:val="0"/>
                <w:numId w:val="3"/>
              </w:numPr>
              <w:bidi w:val="0"/>
              <w:spacing w:before="0" w:beforeAutospacing="off" w:after="0" w:afterAutospacing="off"/>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What challenges affect the effectiveness of employee training and development? </w:t>
            </w:r>
          </w:p>
          <w:p w:rsidR="573B7504" w:rsidP="573B7504" w:rsidRDefault="573B7504" w14:paraId="130A81EC" w14:textId="000495EF">
            <w:pPr>
              <w:pStyle w:val="ListParagraph"/>
              <w:numPr>
                <w:ilvl w:val="0"/>
                <w:numId w:val="3"/>
              </w:numPr>
              <w:bidi w:val="0"/>
              <w:spacing w:before="0" w:beforeAutospacing="off" w:after="0" w:afterAutospacing="off"/>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What research gaps exist in the current literature?</w:t>
            </w:r>
          </w:p>
          <w:p w:rsidR="573B7504" w:rsidP="573B7504" w:rsidRDefault="573B7504" w14:paraId="4BD01251" w14:textId="6647E9F3">
            <w:pPr>
              <w:bidi w:val="0"/>
              <w:jc w:val="both"/>
              <w:rPr>
                <w:rFonts w:ascii="Arial" w:hAnsi="Arial" w:eastAsia="Arial" w:cs="Arial"/>
                <w:b w:val="0"/>
                <w:bCs w:val="0"/>
                <w:i w:val="0"/>
                <w:iCs w:val="0"/>
                <w:sz w:val="22"/>
                <w:szCs w:val="22"/>
              </w:rPr>
            </w:pPr>
          </w:p>
        </w:tc>
      </w:tr>
      <w:tr w:rsidR="573B7504" w:rsidTr="573B7504" w14:paraId="2F8BFB13">
        <w:trPr>
          <w:trHeight w:val="450"/>
        </w:trPr>
        <w:tc>
          <w:tcPr>
            <w:tcW w:w="495" w:type="dxa"/>
            <w:tcBorders>
              <w:top w:val="single" w:sz="8"/>
              <w:left w:val="single" w:sz="8"/>
              <w:bottom w:val="single" w:sz="8"/>
              <w:right w:val="single" w:sz="8"/>
            </w:tcBorders>
            <w:tcMar>
              <w:top w:w="15" w:type="dxa"/>
              <w:left w:w="45" w:type="dxa"/>
              <w:bottom w:w="15" w:type="dxa"/>
              <w:right w:w="15" w:type="dxa"/>
            </w:tcMar>
            <w:vAlign w:val="center"/>
          </w:tcPr>
          <w:p w:rsidR="573B7504" w:rsidP="573B7504" w:rsidRDefault="573B7504" w14:paraId="3A6E9186" w14:textId="46340DF6">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5</w:t>
            </w:r>
          </w:p>
        </w:tc>
        <w:tc>
          <w:tcPr>
            <w:tcW w:w="9960" w:type="dxa"/>
            <w:gridSpan w:val="4"/>
            <w:tcBorders>
              <w:top w:val="single" w:sz="8"/>
              <w:left w:val="single" w:sz="8"/>
              <w:bottom w:val="single" w:sz="8"/>
              <w:right w:val="single" w:sz="8"/>
            </w:tcBorders>
            <w:tcMar>
              <w:top w:w="15" w:type="dxa"/>
              <w:left w:w="45" w:type="dxa"/>
              <w:bottom w:w="15" w:type="dxa"/>
              <w:right w:w="15" w:type="dxa"/>
            </w:tcMar>
            <w:vAlign w:val="center"/>
          </w:tcPr>
          <w:p w:rsidR="573B7504" w:rsidP="573B7504" w:rsidRDefault="573B7504" w14:paraId="123EB4E5" w14:textId="4D2B176C">
            <w:pPr>
              <w:bidi w:val="0"/>
              <w:jc w:val="both"/>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Aims of Research Activity</w:t>
            </w:r>
          </w:p>
          <w:p w:rsidR="573B7504" w:rsidP="573B7504" w:rsidRDefault="573B7504" w14:paraId="10B898D4" w14:textId="26CB6D0D">
            <w:pPr>
              <w:bidi w:val="0"/>
              <w:jc w:val="both"/>
              <w:rPr>
                <w:rFonts w:ascii="Arial" w:hAnsi="Arial" w:eastAsia="Arial" w:cs="Arial"/>
                <w:b w:val="0"/>
                <w:bCs w:val="0"/>
                <w:i w:val="0"/>
                <w:iCs w:val="0"/>
                <w:color w:val="00B050"/>
                <w:sz w:val="22"/>
                <w:szCs w:val="22"/>
              </w:rPr>
            </w:pPr>
          </w:p>
          <w:p w:rsidR="573B7504" w:rsidP="573B7504" w:rsidRDefault="573B7504" w14:paraId="05C2CAFF" w14:textId="0FE003F8">
            <w:pPr>
              <w:bidi w:val="0"/>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To critically evaluate the role of employee training and development in enhancing human capital management and organisational performance through a systematic review of existing literature.</w:t>
            </w:r>
          </w:p>
        </w:tc>
      </w:tr>
      <w:tr w:rsidR="573B7504" w:rsidTr="573B7504" w14:paraId="17DE4D7A">
        <w:trPr>
          <w:trHeight w:val="450"/>
        </w:trPr>
        <w:tc>
          <w:tcPr>
            <w:tcW w:w="495" w:type="dxa"/>
            <w:tcBorders>
              <w:top w:val="single" w:sz="8"/>
              <w:left w:val="single" w:sz="8"/>
              <w:bottom w:val="single" w:sz="8"/>
              <w:right w:val="single" w:sz="8"/>
            </w:tcBorders>
            <w:tcMar>
              <w:top w:w="15" w:type="dxa"/>
              <w:left w:w="45" w:type="dxa"/>
              <w:bottom w:w="15" w:type="dxa"/>
              <w:right w:w="15" w:type="dxa"/>
            </w:tcMar>
            <w:vAlign w:val="center"/>
          </w:tcPr>
          <w:p w:rsidR="573B7504" w:rsidP="573B7504" w:rsidRDefault="573B7504" w14:paraId="06F91A3B" w14:textId="6B32E3A6">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6</w:t>
            </w:r>
          </w:p>
        </w:tc>
        <w:tc>
          <w:tcPr>
            <w:tcW w:w="9960" w:type="dxa"/>
            <w:gridSpan w:val="4"/>
            <w:tcBorders>
              <w:top w:val="single" w:sz="8"/>
              <w:left w:val="single" w:sz="8"/>
              <w:bottom w:val="single" w:sz="8"/>
              <w:right w:val="single" w:sz="8"/>
            </w:tcBorders>
            <w:tcMar>
              <w:top w:w="15" w:type="dxa"/>
              <w:left w:w="45" w:type="dxa"/>
              <w:bottom w:w="15" w:type="dxa"/>
              <w:right w:w="15" w:type="dxa"/>
            </w:tcMar>
            <w:vAlign w:val="center"/>
          </w:tcPr>
          <w:p w:rsidR="573B7504" w:rsidP="573B7504" w:rsidRDefault="573B7504" w14:paraId="3111354C" w14:textId="248194CC">
            <w:pPr>
              <w:bidi w:val="0"/>
              <w:jc w:val="both"/>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Objectives of Research Activity</w:t>
            </w:r>
          </w:p>
          <w:p w:rsidR="573B7504" w:rsidP="573B7504" w:rsidRDefault="573B7504" w14:paraId="51411AE0" w14:textId="4B2BE077">
            <w:pPr>
              <w:bidi w:val="0"/>
              <w:jc w:val="both"/>
              <w:rPr>
                <w:rFonts w:ascii="Arial" w:hAnsi="Arial" w:eastAsia="Arial" w:cs="Arial"/>
                <w:b w:val="0"/>
                <w:bCs w:val="0"/>
                <w:i w:val="0"/>
                <w:iCs w:val="0"/>
                <w:sz w:val="22"/>
                <w:szCs w:val="22"/>
              </w:rPr>
            </w:pPr>
          </w:p>
          <w:p w:rsidR="573B7504" w:rsidP="573B7504" w:rsidRDefault="573B7504" w14:paraId="3465B89C" w14:textId="33545059">
            <w:pPr>
              <w:pStyle w:val="ListParagraph"/>
              <w:numPr>
                <w:ilvl w:val="0"/>
                <w:numId w:val="2"/>
              </w:numPr>
              <w:bidi w:val="0"/>
              <w:spacing w:before="0" w:beforeAutospacing="off" w:after="0" w:afterAutospacing="off"/>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To critically examine the concept of employee training and development within human capital management. </w:t>
            </w:r>
          </w:p>
          <w:p w:rsidR="573B7504" w:rsidP="573B7504" w:rsidRDefault="573B7504" w14:paraId="26BED534" w14:textId="38D6D868">
            <w:pPr>
              <w:pStyle w:val="ListParagraph"/>
              <w:numPr>
                <w:ilvl w:val="0"/>
                <w:numId w:val="2"/>
              </w:numPr>
              <w:bidi w:val="0"/>
              <w:spacing w:before="0" w:beforeAutospacing="off" w:after="0" w:afterAutospacing="off"/>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To analyse the relationship between training and development and employee performance. </w:t>
            </w:r>
          </w:p>
          <w:p w:rsidR="573B7504" w:rsidP="573B7504" w:rsidRDefault="573B7504" w14:paraId="3E117DC3" w14:textId="786B9777">
            <w:pPr>
              <w:pStyle w:val="ListParagraph"/>
              <w:numPr>
                <w:ilvl w:val="0"/>
                <w:numId w:val="2"/>
              </w:numPr>
              <w:bidi w:val="0"/>
              <w:spacing w:before="0" w:beforeAutospacing="off" w:after="0" w:afterAutospacing="off"/>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To evaluate how training and development contribute to organisational performance and competitive advantage. </w:t>
            </w:r>
          </w:p>
          <w:p w:rsidR="573B7504" w:rsidP="573B7504" w:rsidRDefault="573B7504" w14:paraId="6C7B3087" w14:textId="19B9038D">
            <w:pPr>
              <w:pStyle w:val="ListParagraph"/>
              <w:numPr>
                <w:ilvl w:val="0"/>
                <w:numId w:val="2"/>
              </w:numPr>
              <w:bidi w:val="0"/>
              <w:spacing w:before="0" w:beforeAutospacing="off" w:after="0" w:afterAutospacing="off"/>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To identify the major challenges and limitations associated with employee training and development. </w:t>
            </w:r>
          </w:p>
          <w:p w:rsidR="573B7504" w:rsidP="573B7504" w:rsidRDefault="573B7504" w14:paraId="1CF0D3B3" w14:textId="490B6FFC">
            <w:pPr>
              <w:pStyle w:val="ListParagraph"/>
              <w:numPr>
                <w:ilvl w:val="0"/>
                <w:numId w:val="2"/>
              </w:numPr>
              <w:bidi w:val="0"/>
              <w:spacing w:before="0" w:beforeAutospacing="off" w:after="0" w:afterAutospacing="off"/>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To identify gaps in the existing literature and recommend directions for future research.</w:t>
            </w:r>
          </w:p>
          <w:p w:rsidR="573B7504" w:rsidP="573B7504" w:rsidRDefault="573B7504" w14:paraId="605051B8" w14:textId="254E147C">
            <w:pPr>
              <w:bidi w:val="0"/>
              <w:jc w:val="both"/>
              <w:rPr>
                <w:rFonts w:ascii="Arial" w:hAnsi="Arial" w:eastAsia="Arial" w:cs="Arial"/>
                <w:b w:val="0"/>
                <w:bCs w:val="0"/>
                <w:i w:val="0"/>
                <w:iCs w:val="0"/>
                <w:sz w:val="22"/>
                <w:szCs w:val="22"/>
              </w:rPr>
            </w:pPr>
          </w:p>
        </w:tc>
      </w:tr>
      <w:tr w:rsidR="573B7504" w:rsidTr="573B7504" w14:paraId="6ECAE64C">
        <w:trPr>
          <w:trHeight w:val="450"/>
        </w:trPr>
        <w:tc>
          <w:tcPr>
            <w:tcW w:w="495" w:type="dxa"/>
            <w:tcBorders>
              <w:top w:val="single" w:sz="8"/>
              <w:left w:val="single" w:sz="8"/>
              <w:bottom w:val="single" w:sz="8"/>
              <w:right w:val="single" w:sz="8"/>
            </w:tcBorders>
            <w:shd w:val="clear" w:color="auto" w:fill="F2F2F2" w:themeFill="background1" w:themeFillShade="F2"/>
            <w:tcMar>
              <w:top w:w="15" w:type="dxa"/>
              <w:left w:w="45" w:type="dxa"/>
              <w:bottom w:w="15" w:type="dxa"/>
              <w:right w:w="15" w:type="dxa"/>
            </w:tcMar>
            <w:vAlign w:val="center"/>
          </w:tcPr>
          <w:p w:rsidR="573B7504" w:rsidP="573B7504" w:rsidRDefault="573B7504" w14:paraId="1397C44C" w14:textId="3209B063">
            <w:pPr>
              <w:bidi w:val="0"/>
              <w:spacing w:before="120" w:after="120"/>
              <w:rPr>
                <w:rFonts w:ascii="Arial" w:hAnsi="Arial" w:eastAsia="Arial" w:cs="Arial"/>
                <w:b w:val="0"/>
                <w:bCs w:val="0"/>
                <w:i w:val="0"/>
                <w:iCs w:val="0"/>
                <w:sz w:val="22"/>
                <w:szCs w:val="22"/>
              </w:rPr>
            </w:pPr>
          </w:p>
        </w:tc>
        <w:tc>
          <w:tcPr>
            <w:tcW w:w="9960" w:type="dxa"/>
            <w:gridSpan w:val="4"/>
            <w:tcBorders>
              <w:top w:val="single" w:sz="8"/>
              <w:left w:val="single" w:sz="8"/>
              <w:bottom w:val="single" w:sz="8"/>
              <w:right w:val="single" w:sz="8"/>
            </w:tcBorders>
            <w:shd w:val="clear" w:color="auto" w:fill="F2F2F2" w:themeFill="background1" w:themeFillShade="F2"/>
            <w:tcMar>
              <w:top w:w="15" w:type="dxa"/>
              <w:left w:w="45" w:type="dxa"/>
              <w:bottom w:w="15" w:type="dxa"/>
              <w:right w:w="15" w:type="dxa"/>
            </w:tcMar>
            <w:vAlign w:val="center"/>
          </w:tcPr>
          <w:p w:rsidR="573B7504" w:rsidP="573B7504" w:rsidRDefault="573B7504" w14:paraId="63370188" w14:textId="29D4033A">
            <w:pPr>
              <w:bidi w:val="0"/>
              <w:spacing w:before="120" w:after="120"/>
              <w:jc w:val="both"/>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Proposed data collection methods (maximum 600 words)</w:t>
            </w:r>
          </w:p>
          <w:p w:rsidR="573B7504" w:rsidP="573B7504" w:rsidRDefault="573B7504" w14:paraId="2513B2D3" w14:textId="41500F68">
            <w:pPr>
              <w:bidi w:val="0"/>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Provide a brief summary of all the methods that </w:t>
            </w:r>
            <w:r w:rsidRPr="573B7504" w:rsidR="573B7504">
              <w:rPr>
                <w:rFonts w:ascii="Arial" w:hAnsi="Arial" w:eastAsia="Arial" w:cs="Arial"/>
                <w:b w:val="1"/>
                <w:bCs w:val="1"/>
                <w:i w:val="0"/>
                <w:iCs w:val="0"/>
                <w:sz w:val="22"/>
                <w:szCs w:val="22"/>
                <w:lang w:val="en-GB"/>
              </w:rPr>
              <w:t>may</w:t>
            </w:r>
            <w:r w:rsidRPr="573B7504" w:rsidR="573B7504">
              <w:rPr>
                <w:rFonts w:ascii="Arial" w:hAnsi="Arial" w:eastAsia="Arial" w:cs="Arial"/>
                <w:b w:val="0"/>
                <w:bCs w:val="0"/>
                <w:i w:val="0"/>
                <w:iCs w:val="0"/>
                <w:sz w:val="22"/>
                <w:szCs w:val="22"/>
                <w:lang w:val="en-GB"/>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573B7504" w:rsidTr="573B7504" w14:paraId="1C1AEBE7">
        <w:trPr>
          <w:trHeight w:val="450"/>
        </w:trPr>
        <w:tc>
          <w:tcPr>
            <w:tcW w:w="495" w:type="dxa"/>
            <w:tcBorders>
              <w:top w:val="single" w:sz="8"/>
              <w:left w:val="single" w:sz="8"/>
              <w:bottom w:val="single" w:sz="8"/>
              <w:right w:val="single" w:sz="8"/>
            </w:tcBorders>
            <w:tcMar>
              <w:top w:w="15" w:type="dxa"/>
              <w:left w:w="45" w:type="dxa"/>
              <w:bottom w:w="15" w:type="dxa"/>
              <w:right w:w="15" w:type="dxa"/>
            </w:tcMar>
            <w:vAlign w:val="center"/>
          </w:tcPr>
          <w:p w:rsidR="573B7504" w:rsidP="573B7504" w:rsidRDefault="573B7504" w14:paraId="7679BDD5" w14:textId="179170B6">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7</w:t>
            </w:r>
          </w:p>
        </w:tc>
        <w:tc>
          <w:tcPr>
            <w:tcW w:w="9960" w:type="dxa"/>
            <w:gridSpan w:val="4"/>
            <w:tcBorders>
              <w:top w:val="single" w:sz="8"/>
              <w:left w:val="single" w:sz="8"/>
              <w:bottom w:val="single" w:sz="8"/>
              <w:right w:val="single" w:sz="8"/>
            </w:tcBorders>
            <w:tcMar>
              <w:top w:w="15" w:type="dxa"/>
              <w:left w:w="45" w:type="dxa"/>
              <w:bottom w:w="15" w:type="dxa"/>
              <w:right w:w="15" w:type="dxa"/>
            </w:tcMar>
            <w:vAlign w:val="center"/>
          </w:tcPr>
          <w:p w:rsidR="573B7504" w:rsidP="573B7504" w:rsidRDefault="573B7504" w14:paraId="7CB2470E" w14:textId="2DED402F">
            <w:pPr>
              <w:bidi w:val="0"/>
              <w:jc w:val="both"/>
              <w:rPr>
                <w:rFonts w:ascii="Arial" w:hAnsi="Arial" w:eastAsia="Arial" w:cs="Arial"/>
                <w:b w:val="0"/>
                <w:bCs w:val="0"/>
                <w:i w:val="0"/>
                <w:iCs w:val="0"/>
                <w:color w:val="000000" w:themeColor="text1" w:themeTint="FF" w:themeShade="FF"/>
                <w:sz w:val="22"/>
                <w:szCs w:val="22"/>
              </w:rPr>
            </w:pPr>
          </w:p>
          <w:p w:rsidR="573B7504" w:rsidP="573B7504" w:rsidRDefault="573B7504" w14:paraId="0FB50416" w14:textId="2CEC4AD5">
            <w:pPr>
              <w:bidi w:val="0"/>
              <w:jc w:val="both"/>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 xml:space="preserve">The research approach of this study will be secondary and qualitative research, with no primary data collection of any human participants. Data will be drawn solely from published sources, such as peer-reviewed journal articles, academic books, and conference papers, published industry reports, market research publications, and reputable business databases. Secondary data will be used to compile extensive evidence of role of </w:t>
            </w:r>
            <w:r w:rsidRPr="573B7504" w:rsidR="573B7504">
              <w:rPr>
                <w:rFonts w:ascii="Arial" w:hAnsi="Arial" w:eastAsia="Arial" w:cs="Arial"/>
                <w:b w:val="0"/>
                <w:bCs w:val="0"/>
                <w:i w:val="0"/>
                <w:iCs w:val="0"/>
                <w:sz w:val="22"/>
                <w:szCs w:val="22"/>
                <w:lang w:val="en-GB"/>
              </w:rPr>
              <w:t>The Role of Employee Training and Development in Human Capital Management:</w:t>
            </w:r>
            <w:r w:rsidRPr="573B7504" w:rsidR="573B7504">
              <w:rPr>
                <w:rFonts w:ascii="Arial" w:hAnsi="Arial" w:eastAsia="Arial" w:cs="Arial"/>
                <w:b w:val="0"/>
                <w:bCs w:val="0"/>
                <w:i w:val="0"/>
                <w:iCs w:val="0"/>
                <w:color w:val="000000" w:themeColor="text1" w:themeTint="FF" w:themeShade="FF"/>
                <w:sz w:val="22"/>
                <w:szCs w:val="22"/>
                <w:lang w:val="en-GB"/>
              </w:rPr>
              <w:t>. A systematic search process will be used for the identification of relevant literature. Resources like Google Scholar, ScienceDirect, Emerald Insight, Spring Link, etc., and academic databases will be used to find appropriate sources</w:t>
            </w:r>
          </w:p>
          <w:p w:rsidR="573B7504" w:rsidP="573B7504" w:rsidRDefault="573B7504" w14:paraId="6057C854" w14:textId="3E4DD7A0">
            <w:pPr>
              <w:bidi w:val="0"/>
              <w:jc w:val="both"/>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 xml:space="preserve">Specific inclusion and exclusion criteria will be adhered to for ensuring consistency and quality in data collection. Included sources will be those that are published in English language within the past six years (2020–2026). It will also be mandatory for chosen data sources to have addressed the topics of quick commerce directly, as well as grocery retailed consumer behaviour, and channel-switching behaviour. Sources not related to the topic area, duplicate publications, non-academic publications, and insignificant and low-quality studies will not be utilised/excluded. Literature will be selected and systematically reviewed, and relevant information will be extracted and organised into thematic categories. Secondary data to be gathered from the sources will help to meet the research aim, study context, findings on factors that affect consumers' choice of switching purchasing channels. Collected evidence will then be analysed using the thematic analysis method to look for identifiable patterns, themes, and relationships. </w:t>
            </w:r>
          </w:p>
          <w:p w:rsidR="573B7504" w:rsidP="573B7504" w:rsidRDefault="573B7504" w14:paraId="07B0B64A" w14:textId="0383B5A2">
            <w:pPr>
              <w:bidi w:val="0"/>
              <w:jc w:val="both"/>
              <w:rPr>
                <w:rFonts w:ascii="Arial" w:hAnsi="Arial" w:eastAsia="Arial" w:cs="Arial"/>
                <w:b w:val="0"/>
                <w:bCs w:val="0"/>
                <w:i w:val="0"/>
                <w:iCs w:val="0"/>
                <w:sz w:val="22"/>
                <w:szCs w:val="22"/>
              </w:rPr>
            </w:pPr>
          </w:p>
        </w:tc>
      </w:tr>
    </w:tbl>
    <w:p w:rsidRPr="00D97AB2" w:rsidR="00D97AB2" w:rsidP="573B7504" w:rsidRDefault="00D97AB2" w14:paraId="0460E411" w14:textId="2EE13755">
      <w:pPr>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D97AB2" w:rsidR="00D97AB2" w:rsidP="573B7504" w:rsidRDefault="00D97AB2" w14:paraId="61A78FA3" w14:textId="7C2D8DBC">
      <w:pPr>
        <w:bidi w:val="0"/>
        <w:spacing w:after="240"/>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1"/>
          <w:bCs w:val="1"/>
          <w:i w:val="0"/>
          <w:iCs w:val="0"/>
          <w:caps w:val="0"/>
          <w:smallCaps w:val="0"/>
          <w:noProof w:val="0"/>
          <w:color w:val="000000" w:themeColor="text1" w:themeTint="FF" w:themeShade="FF"/>
          <w:sz w:val="22"/>
          <w:szCs w:val="22"/>
          <w:lang w:val="en-GB"/>
        </w:rPr>
        <w:t>SECTION D: Scope of Research Activity</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20"/>
        <w:gridCol w:w="840"/>
        <w:gridCol w:w="810"/>
      </w:tblGrid>
      <w:tr w:rsidR="573B7504" w:rsidTr="573B7504" w14:paraId="457F9E3E">
        <w:trPr>
          <w:trHeight w:val="555"/>
        </w:trPr>
        <w:tc>
          <w:tcPr>
            <w:tcW w:w="555" w:type="dxa"/>
            <w:shd w:val="clear" w:color="auto" w:fill="F2F2F2" w:themeFill="background1" w:themeFillShade="F2"/>
            <w:tcMar>
              <w:left w:w="105" w:type="dxa"/>
              <w:right w:w="105" w:type="dxa"/>
            </w:tcMar>
            <w:vAlign w:val="center"/>
          </w:tcPr>
          <w:p w:rsidR="573B7504" w:rsidP="573B7504" w:rsidRDefault="573B7504" w14:paraId="1E6611D3" w14:textId="0493B2D0">
            <w:pPr>
              <w:bidi w:val="0"/>
              <w:rPr>
                <w:rFonts w:ascii="Arial" w:hAnsi="Arial" w:eastAsia="Arial" w:cs="Arial"/>
                <w:b w:val="0"/>
                <w:bCs w:val="0"/>
                <w:i w:val="0"/>
                <w:iCs w:val="0"/>
                <w:sz w:val="22"/>
                <w:szCs w:val="22"/>
              </w:rPr>
            </w:pPr>
          </w:p>
        </w:tc>
        <w:tc>
          <w:tcPr>
            <w:tcW w:w="8220" w:type="dxa"/>
            <w:shd w:val="clear" w:color="auto" w:fill="F2F2F2" w:themeFill="background1" w:themeFillShade="F2"/>
            <w:tcMar>
              <w:left w:w="105" w:type="dxa"/>
              <w:right w:w="105" w:type="dxa"/>
            </w:tcMar>
            <w:vAlign w:val="center"/>
          </w:tcPr>
          <w:p w:rsidR="573B7504" w:rsidP="573B7504" w:rsidRDefault="573B7504" w14:paraId="21FB374B" w14:textId="450E9CAE">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Will the research activity include:</w:t>
            </w:r>
          </w:p>
        </w:tc>
        <w:tc>
          <w:tcPr>
            <w:tcW w:w="840" w:type="dxa"/>
            <w:shd w:val="clear" w:color="auto" w:fill="F2F2F2" w:themeFill="background1" w:themeFillShade="F2"/>
            <w:tcMar>
              <w:left w:w="105" w:type="dxa"/>
              <w:right w:w="105" w:type="dxa"/>
            </w:tcMar>
            <w:vAlign w:val="center"/>
          </w:tcPr>
          <w:p w:rsidR="573B7504" w:rsidP="573B7504" w:rsidRDefault="573B7504" w14:paraId="2DF573E1" w14:textId="54AFE5E2">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center"/>
          </w:tcPr>
          <w:p w:rsidR="573B7504" w:rsidP="573B7504" w:rsidRDefault="573B7504" w14:paraId="0F21A62F" w14:textId="679E71F9">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NO</w:t>
            </w:r>
          </w:p>
        </w:tc>
      </w:tr>
      <w:tr w:rsidR="573B7504" w:rsidTr="573B7504" w14:paraId="5F413555">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6EB8C0E6" w14:textId="1BB80E02">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w:t>
            </w:r>
          </w:p>
        </w:tc>
        <w:tc>
          <w:tcPr>
            <w:tcW w:w="8220" w:type="dxa"/>
            <w:shd w:val="clear" w:color="auto" w:fill="F2F2F2" w:themeFill="background1" w:themeFillShade="F2"/>
            <w:tcMar>
              <w:left w:w="105" w:type="dxa"/>
              <w:right w:w="105" w:type="dxa"/>
            </w:tcMar>
            <w:vAlign w:val="center"/>
          </w:tcPr>
          <w:p w:rsidR="573B7504" w:rsidP="573B7504" w:rsidRDefault="573B7504" w14:paraId="5B0B06F5" w14:textId="30D7E0BA">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Use of a questionnaire or similar research instrument?</w:t>
            </w:r>
          </w:p>
        </w:tc>
        <w:tc>
          <w:tcPr>
            <w:tcW w:w="840" w:type="dxa"/>
            <w:shd w:val="clear" w:color="auto" w:fill="BFBFBF" w:themeFill="background1" w:themeFillShade="BF"/>
            <w:tcMar>
              <w:left w:w="105" w:type="dxa"/>
              <w:right w:w="105" w:type="dxa"/>
            </w:tcMar>
            <w:vAlign w:val="center"/>
          </w:tcPr>
          <w:p w:rsidR="573B7504" w:rsidP="573B7504" w:rsidRDefault="573B7504" w14:paraId="2B3DFDEF" w14:textId="07DFE4C2">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28D1EEDE" w14:textId="0DCB7EA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3A6B9DD2">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670646E1" w14:textId="58F30BA2">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w:t>
            </w:r>
          </w:p>
        </w:tc>
        <w:tc>
          <w:tcPr>
            <w:tcW w:w="8220" w:type="dxa"/>
            <w:shd w:val="clear" w:color="auto" w:fill="F2F2F2" w:themeFill="background1" w:themeFillShade="F2"/>
            <w:tcMar>
              <w:left w:w="105" w:type="dxa"/>
              <w:right w:w="105" w:type="dxa"/>
            </w:tcMar>
            <w:vAlign w:val="center"/>
          </w:tcPr>
          <w:p w:rsidR="573B7504" w:rsidP="573B7504" w:rsidRDefault="573B7504" w14:paraId="07AD944E" w14:textId="0F7CE630">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Use of interviews?</w:t>
            </w:r>
          </w:p>
        </w:tc>
        <w:tc>
          <w:tcPr>
            <w:tcW w:w="840" w:type="dxa"/>
            <w:shd w:val="clear" w:color="auto" w:fill="BFBFBF" w:themeFill="background1" w:themeFillShade="BF"/>
            <w:tcMar>
              <w:left w:w="105" w:type="dxa"/>
              <w:right w:w="105" w:type="dxa"/>
            </w:tcMar>
            <w:vAlign w:val="center"/>
          </w:tcPr>
          <w:p w:rsidR="573B7504" w:rsidP="573B7504" w:rsidRDefault="573B7504" w14:paraId="621D566D" w14:textId="239A9081">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379B97DE" w14:textId="56400737">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317F40D0">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314524CC" w14:textId="6F05D4CF">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3</w:t>
            </w:r>
          </w:p>
        </w:tc>
        <w:tc>
          <w:tcPr>
            <w:tcW w:w="8220" w:type="dxa"/>
            <w:shd w:val="clear" w:color="auto" w:fill="F2F2F2" w:themeFill="background1" w:themeFillShade="F2"/>
            <w:tcMar>
              <w:left w:w="105" w:type="dxa"/>
              <w:right w:w="105" w:type="dxa"/>
            </w:tcMar>
            <w:vAlign w:val="center"/>
          </w:tcPr>
          <w:p w:rsidR="573B7504" w:rsidP="573B7504" w:rsidRDefault="573B7504" w14:paraId="6A05E435" w14:textId="4C2C9401">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Use of focus groups?</w:t>
            </w:r>
          </w:p>
        </w:tc>
        <w:tc>
          <w:tcPr>
            <w:tcW w:w="840" w:type="dxa"/>
            <w:shd w:val="clear" w:color="auto" w:fill="BFBFBF" w:themeFill="background1" w:themeFillShade="BF"/>
            <w:tcMar>
              <w:left w:w="105" w:type="dxa"/>
              <w:right w:w="105" w:type="dxa"/>
            </w:tcMar>
            <w:vAlign w:val="center"/>
          </w:tcPr>
          <w:p w:rsidR="573B7504" w:rsidP="573B7504" w:rsidRDefault="573B7504" w14:paraId="4DB65361" w14:textId="77F3104F">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4344832E" w14:textId="3B96708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5D585715">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662A3102" w14:textId="1DE61839">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4</w:t>
            </w:r>
          </w:p>
        </w:tc>
        <w:tc>
          <w:tcPr>
            <w:tcW w:w="8220" w:type="dxa"/>
            <w:shd w:val="clear" w:color="auto" w:fill="F2F2F2" w:themeFill="background1" w:themeFillShade="F2"/>
            <w:tcMar>
              <w:left w:w="105" w:type="dxa"/>
              <w:right w:w="105" w:type="dxa"/>
            </w:tcMar>
            <w:vAlign w:val="center"/>
          </w:tcPr>
          <w:p w:rsidR="573B7504" w:rsidP="573B7504" w:rsidRDefault="573B7504" w14:paraId="0EB51525" w14:textId="17951297">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Use of participant diaries? </w:t>
            </w:r>
          </w:p>
        </w:tc>
        <w:tc>
          <w:tcPr>
            <w:tcW w:w="840" w:type="dxa"/>
            <w:shd w:val="clear" w:color="auto" w:fill="BFBFBF" w:themeFill="background1" w:themeFillShade="BF"/>
            <w:tcMar>
              <w:left w:w="105" w:type="dxa"/>
              <w:right w:w="105" w:type="dxa"/>
            </w:tcMar>
            <w:vAlign w:val="center"/>
          </w:tcPr>
          <w:p w:rsidR="573B7504" w:rsidP="573B7504" w:rsidRDefault="573B7504" w14:paraId="21EF6850" w14:textId="772B0B2B">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735174F2" w14:textId="1280C2A8">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43B9A194">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3E256BD0" w14:textId="12A88849">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5</w:t>
            </w:r>
          </w:p>
        </w:tc>
        <w:tc>
          <w:tcPr>
            <w:tcW w:w="8220" w:type="dxa"/>
            <w:shd w:val="clear" w:color="auto" w:fill="F2F2F2" w:themeFill="background1" w:themeFillShade="F2"/>
            <w:tcMar>
              <w:left w:w="105" w:type="dxa"/>
              <w:right w:w="105" w:type="dxa"/>
            </w:tcMar>
            <w:vAlign w:val="center"/>
          </w:tcPr>
          <w:p w:rsidR="573B7504" w:rsidP="573B7504" w:rsidRDefault="573B7504" w14:paraId="580BDC59" w14:textId="3D7B22CA">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Use of video or audio recording?</w:t>
            </w:r>
          </w:p>
        </w:tc>
        <w:tc>
          <w:tcPr>
            <w:tcW w:w="840" w:type="dxa"/>
            <w:shd w:val="clear" w:color="auto" w:fill="BFBFBF" w:themeFill="background1" w:themeFillShade="BF"/>
            <w:tcMar>
              <w:left w:w="105" w:type="dxa"/>
              <w:right w:w="105" w:type="dxa"/>
            </w:tcMar>
            <w:vAlign w:val="center"/>
          </w:tcPr>
          <w:p w:rsidR="573B7504" w:rsidP="573B7504" w:rsidRDefault="573B7504" w14:paraId="1E3C7926" w14:textId="47BD9E0B">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5214A332" w14:textId="7553A8AA">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5C1A0138">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426BD69E" w14:textId="432D0DE9">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6</w:t>
            </w:r>
          </w:p>
        </w:tc>
        <w:tc>
          <w:tcPr>
            <w:tcW w:w="8220" w:type="dxa"/>
            <w:shd w:val="clear" w:color="auto" w:fill="F2F2F2" w:themeFill="background1" w:themeFillShade="F2"/>
            <w:tcMar>
              <w:left w:w="105" w:type="dxa"/>
              <w:right w:w="105" w:type="dxa"/>
            </w:tcMar>
            <w:vAlign w:val="center"/>
          </w:tcPr>
          <w:p w:rsidR="573B7504" w:rsidP="573B7504" w:rsidRDefault="573B7504" w14:paraId="7FB70AE4" w14:textId="09E9894D">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Use of computer-generated log files?</w:t>
            </w:r>
          </w:p>
        </w:tc>
        <w:tc>
          <w:tcPr>
            <w:tcW w:w="840" w:type="dxa"/>
            <w:shd w:val="clear" w:color="auto" w:fill="BFBFBF" w:themeFill="background1" w:themeFillShade="BF"/>
            <w:tcMar>
              <w:left w:w="105" w:type="dxa"/>
              <w:right w:w="105" w:type="dxa"/>
            </w:tcMar>
            <w:vAlign w:val="center"/>
          </w:tcPr>
          <w:p w:rsidR="573B7504" w:rsidP="573B7504" w:rsidRDefault="573B7504" w14:paraId="423ABA4B" w14:textId="04D8F910">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31758125" w14:textId="5FAB3C97">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1E5BAD5D">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44043518" w14:textId="3D259072">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7</w:t>
            </w:r>
          </w:p>
        </w:tc>
        <w:tc>
          <w:tcPr>
            <w:tcW w:w="8220" w:type="dxa"/>
            <w:shd w:val="clear" w:color="auto" w:fill="F2F2F2" w:themeFill="background1" w:themeFillShade="F2"/>
            <w:tcMar>
              <w:left w:w="105" w:type="dxa"/>
              <w:right w:w="105" w:type="dxa"/>
            </w:tcMar>
            <w:vAlign w:val="center"/>
          </w:tcPr>
          <w:p w:rsidR="573B7504" w:rsidP="573B7504" w:rsidRDefault="573B7504" w14:paraId="47CE869D" w14:textId="77DA2AF1">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Participant observation with their knowledge?</w:t>
            </w:r>
          </w:p>
        </w:tc>
        <w:tc>
          <w:tcPr>
            <w:tcW w:w="840" w:type="dxa"/>
            <w:shd w:val="clear" w:color="auto" w:fill="BFBFBF" w:themeFill="background1" w:themeFillShade="BF"/>
            <w:tcMar>
              <w:left w:w="105" w:type="dxa"/>
              <w:right w:w="105" w:type="dxa"/>
            </w:tcMar>
            <w:vAlign w:val="center"/>
          </w:tcPr>
          <w:p w:rsidR="573B7504" w:rsidP="573B7504" w:rsidRDefault="573B7504" w14:paraId="6EF570EE" w14:textId="0CEEEF12">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6AAE5B99" w14:textId="43BDB4D7">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66478241">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6ACC055B" w14:textId="15610070">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8</w:t>
            </w:r>
          </w:p>
        </w:tc>
        <w:tc>
          <w:tcPr>
            <w:tcW w:w="8220" w:type="dxa"/>
            <w:shd w:val="clear" w:color="auto" w:fill="F2F2F2" w:themeFill="background1" w:themeFillShade="F2"/>
            <w:tcMar>
              <w:left w:w="105" w:type="dxa"/>
              <w:right w:w="105" w:type="dxa"/>
            </w:tcMar>
            <w:vAlign w:val="center"/>
          </w:tcPr>
          <w:p w:rsidR="573B7504" w:rsidP="573B7504" w:rsidRDefault="573B7504" w14:paraId="558EBEBD" w14:textId="2D5EA46D">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Participant observation without their knowledge?</w:t>
            </w:r>
          </w:p>
        </w:tc>
        <w:tc>
          <w:tcPr>
            <w:tcW w:w="840" w:type="dxa"/>
            <w:shd w:val="clear" w:color="auto" w:fill="BFBFBF" w:themeFill="background1" w:themeFillShade="BF"/>
            <w:tcMar>
              <w:left w:w="105" w:type="dxa"/>
              <w:right w:w="105" w:type="dxa"/>
            </w:tcMar>
            <w:vAlign w:val="center"/>
          </w:tcPr>
          <w:p w:rsidR="573B7504" w:rsidP="573B7504" w:rsidRDefault="573B7504" w14:paraId="77444396" w14:textId="2F8D62BC">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40C629DB" w14:textId="06E149E8">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3633DAD5">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4D482D52" w14:textId="5E5C5671">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9</w:t>
            </w:r>
          </w:p>
        </w:tc>
        <w:tc>
          <w:tcPr>
            <w:tcW w:w="8220" w:type="dxa"/>
            <w:shd w:val="clear" w:color="auto" w:fill="F2F2F2" w:themeFill="background1" w:themeFillShade="F2"/>
            <w:tcMar>
              <w:left w:w="105" w:type="dxa"/>
              <w:right w:w="105" w:type="dxa"/>
            </w:tcMar>
            <w:vAlign w:val="center"/>
          </w:tcPr>
          <w:p w:rsidR="573B7504" w:rsidP="573B7504" w:rsidRDefault="573B7504" w14:paraId="3D79CC03" w14:textId="3747EACC">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Access to personal or confidential information without the participants’ specific consent?</w:t>
            </w:r>
          </w:p>
        </w:tc>
        <w:tc>
          <w:tcPr>
            <w:tcW w:w="840" w:type="dxa"/>
            <w:shd w:val="clear" w:color="auto" w:fill="BFBFBF" w:themeFill="background1" w:themeFillShade="BF"/>
            <w:tcMar>
              <w:left w:w="105" w:type="dxa"/>
              <w:right w:w="105" w:type="dxa"/>
            </w:tcMar>
            <w:vAlign w:val="center"/>
          </w:tcPr>
          <w:p w:rsidR="573B7504" w:rsidP="573B7504" w:rsidRDefault="573B7504" w14:paraId="5D9EF9D3" w14:textId="521A695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6950C7C8" w14:textId="798D086B">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2B82E67D">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31D65DE7" w14:textId="04BD7B8B">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10</w:t>
            </w:r>
          </w:p>
        </w:tc>
        <w:tc>
          <w:tcPr>
            <w:tcW w:w="8220" w:type="dxa"/>
            <w:shd w:val="clear" w:color="auto" w:fill="F2F2F2" w:themeFill="background1" w:themeFillShade="F2"/>
            <w:tcMar>
              <w:left w:w="105" w:type="dxa"/>
              <w:right w:w="105" w:type="dxa"/>
            </w:tcMar>
            <w:vAlign w:val="center"/>
          </w:tcPr>
          <w:p w:rsidR="573B7504" w:rsidP="573B7504" w:rsidRDefault="573B7504" w14:paraId="34B89181" w14:textId="071980B8">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840" w:type="dxa"/>
            <w:shd w:val="clear" w:color="auto" w:fill="BFBFBF" w:themeFill="background1" w:themeFillShade="BF"/>
            <w:tcMar>
              <w:left w:w="105" w:type="dxa"/>
              <w:right w:w="105" w:type="dxa"/>
            </w:tcMar>
            <w:vAlign w:val="center"/>
          </w:tcPr>
          <w:p w:rsidR="573B7504" w:rsidP="573B7504" w:rsidRDefault="573B7504" w14:paraId="264238A0" w14:textId="1EF742BF">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21C72BCE" w14:textId="2027B4B9">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4FCA5C32">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32AF58FC" w14:textId="43DA898C">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11</w:t>
            </w:r>
          </w:p>
        </w:tc>
        <w:tc>
          <w:tcPr>
            <w:tcW w:w="8220" w:type="dxa"/>
            <w:shd w:val="clear" w:color="auto" w:fill="F2F2F2" w:themeFill="background1" w:themeFillShade="F2"/>
            <w:tcMar>
              <w:left w:w="105" w:type="dxa"/>
              <w:right w:w="105" w:type="dxa"/>
            </w:tcMar>
            <w:vAlign w:val="center"/>
          </w:tcPr>
          <w:p w:rsidR="573B7504" w:rsidP="573B7504" w:rsidRDefault="573B7504" w14:paraId="18904F8E" w14:textId="413FB14F">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Performance of any acts which may cause embarrassment or affect self-esteem?</w:t>
            </w:r>
          </w:p>
        </w:tc>
        <w:tc>
          <w:tcPr>
            <w:tcW w:w="840" w:type="dxa"/>
            <w:shd w:val="clear" w:color="auto" w:fill="BFBFBF" w:themeFill="background1" w:themeFillShade="BF"/>
            <w:tcMar>
              <w:left w:w="105" w:type="dxa"/>
              <w:right w:w="105" w:type="dxa"/>
            </w:tcMar>
            <w:vAlign w:val="center"/>
          </w:tcPr>
          <w:p w:rsidR="573B7504" w:rsidP="573B7504" w:rsidRDefault="573B7504" w14:paraId="3CDED32E" w14:textId="539FFF0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244EF915" w14:textId="19508FBF">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0687CAF1">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70407DE4" w14:textId="7DD2A1B8">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12</w:t>
            </w:r>
          </w:p>
        </w:tc>
        <w:tc>
          <w:tcPr>
            <w:tcW w:w="8220" w:type="dxa"/>
            <w:shd w:val="clear" w:color="auto" w:fill="F2F2F2" w:themeFill="background1" w:themeFillShade="F2"/>
            <w:tcMar>
              <w:left w:w="105" w:type="dxa"/>
              <w:right w:w="105" w:type="dxa"/>
            </w:tcMar>
            <w:vAlign w:val="center"/>
          </w:tcPr>
          <w:p w:rsidR="573B7504" w:rsidP="573B7504" w:rsidRDefault="573B7504" w14:paraId="20148ECE" w14:textId="350090BD">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Investigation of participants involved in illegal activities?</w:t>
            </w:r>
          </w:p>
        </w:tc>
        <w:tc>
          <w:tcPr>
            <w:tcW w:w="840" w:type="dxa"/>
            <w:shd w:val="clear" w:color="auto" w:fill="BFBFBF" w:themeFill="background1" w:themeFillShade="BF"/>
            <w:tcMar>
              <w:left w:w="105" w:type="dxa"/>
              <w:right w:w="105" w:type="dxa"/>
            </w:tcMar>
            <w:vAlign w:val="center"/>
          </w:tcPr>
          <w:p w:rsidR="573B7504" w:rsidP="573B7504" w:rsidRDefault="573B7504" w14:paraId="5573589F" w14:textId="1E35358F">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580E810C" w14:textId="31E9DFEC">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4F987821">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063E4044" w14:textId="081B881C">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13</w:t>
            </w:r>
          </w:p>
        </w:tc>
        <w:tc>
          <w:tcPr>
            <w:tcW w:w="8220" w:type="dxa"/>
            <w:shd w:val="clear" w:color="auto" w:fill="F2F2F2" w:themeFill="background1" w:themeFillShade="F2"/>
            <w:tcMar>
              <w:left w:w="105" w:type="dxa"/>
              <w:right w:w="105" w:type="dxa"/>
            </w:tcMar>
            <w:vAlign w:val="center"/>
          </w:tcPr>
          <w:p w:rsidR="573B7504" w:rsidP="573B7504" w:rsidRDefault="573B7504" w14:paraId="64928D4A" w14:textId="52F23192">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Use of procedures that involve deception?</w:t>
            </w:r>
          </w:p>
        </w:tc>
        <w:tc>
          <w:tcPr>
            <w:tcW w:w="840" w:type="dxa"/>
            <w:shd w:val="clear" w:color="auto" w:fill="BFBFBF" w:themeFill="background1" w:themeFillShade="BF"/>
            <w:tcMar>
              <w:left w:w="105" w:type="dxa"/>
              <w:right w:w="105" w:type="dxa"/>
            </w:tcMar>
            <w:vAlign w:val="center"/>
          </w:tcPr>
          <w:p w:rsidR="573B7504" w:rsidP="573B7504" w:rsidRDefault="573B7504" w14:paraId="45BBEE10" w14:textId="39BEF3F4">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4CD4E7BA" w14:textId="74C49C6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7105CE25">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4A0604E4" w14:textId="5979FDC8">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14</w:t>
            </w:r>
          </w:p>
        </w:tc>
        <w:tc>
          <w:tcPr>
            <w:tcW w:w="8220" w:type="dxa"/>
            <w:shd w:val="clear" w:color="auto" w:fill="F2F2F2" w:themeFill="background1" w:themeFillShade="F2"/>
            <w:tcMar>
              <w:left w:w="105" w:type="dxa"/>
              <w:right w:w="105" w:type="dxa"/>
            </w:tcMar>
            <w:vAlign w:val="center"/>
          </w:tcPr>
          <w:p w:rsidR="573B7504" w:rsidP="573B7504" w:rsidRDefault="573B7504" w14:paraId="0C0084D8" w14:textId="06C8286F">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Administration of any substance, agent or placebo?</w:t>
            </w:r>
          </w:p>
        </w:tc>
        <w:tc>
          <w:tcPr>
            <w:tcW w:w="840" w:type="dxa"/>
            <w:shd w:val="clear" w:color="auto" w:fill="BFBFBF" w:themeFill="background1" w:themeFillShade="BF"/>
            <w:tcMar>
              <w:left w:w="105" w:type="dxa"/>
              <w:right w:w="105" w:type="dxa"/>
            </w:tcMar>
            <w:vAlign w:val="center"/>
          </w:tcPr>
          <w:p w:rsidR="573B7504" w:rsidP="573B7504" w:rsidRDefault="573B7504" w14:paraId="56205140" w14:textId="7678B05C">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7E1E9082" w14:textId="052DEE8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315B65BB">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2B045C70" w14:textId="2AF320B0">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15</w:t>
            </w:r>
          </w:p>
        </w:tc>
        <w:tc>
          <w:tcPr>
            <w:tcW w:w="8220" w:type="dxa"/>
            <w:shd w:val="clear" w:color="auto" w:fill="F2F2F2" w:themeFill="background1" w:themeFillShade="F2"/>
            <w:tcMar>
              <w:left w:w="105" w:type="dxa"/>
              <w:right w:w="105" w:type="dxa"/>
            </w:tcMar>
            <w:vAlign w:val="center"/>
          </w:tcPr>
          <w:p w:rsidR="573B7504" w:rsidP="573B7504" w:rsidRDefault="573B7504" w14:paraId="4C8E3DBD" w14:textId="14F5FB1F">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Working with live vertebrate animals?</w:t>
            </w:r>
          </w:p>
        </w:tc>
        <w:tc>
          <w:tcPr>
            <w:tcW w:w="840" w:type="dxa"/>
            <w:shd w:val="clear" w:color="auto" w:fill="BFBFBF" w:themeFill="background1" w:themeFillShade="BF"/>
            <w:tcMar>
              <w:left w:w="105" w:type="dxa"/>
              <w:right w:w="105" w:type="dxa"/>
            </w:tcMar>
            <w:vAlign w:val="center"/>
          </w:tcPr>
          <w:p w:rsidR="573B7504" w:rsidP="573B7504" w:rsidRDefault="573B7504" w14:paraId="0AC61712" w14:textId="5FE4FF67">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644CD9C2" w14:textId="5685FD94">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6F298A89">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3D36FC77" w14:textId="02A0F66E">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16</w:t>
            </w:r>
          </w:p>
        </w:tc>
        <w:tc>
          <w:tcPr>
            <w:tcW w:w="8220" w:type="dxa"/>
            <w:shd w:val="clear" w:color="auto" w:fill="F2F2F2" w:themeFill="background1" w:themeFillShade="F2"/>
            <w:tcMar>
              <w:left w:w="105" w:type="dxa"/>
              <w:right w:w="105" w:type="dxa"/>
            </w:tcMar>
            <w:vAlign w:val="center"/>
          </w:tcPr>
          <w:p w:rsidR="573B7504" w:rsidP="573B7504" w:rsidRDefault="573B7504" w14:paraId="47F788AC" w14:textId="07D86B1A">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Procedures that may have a negative impact on the environment?</w:t>
            </w:r>
          </w:p>
        </w:tc>
        <w:tc>
          <w:tcPr>
            <w:tcW w:w="840" w:type="dxa"/>
            <w:shd w:val="clear" w:color="auto" w:fill="BFBFBF" w:themeFill="background1" w:themeFillShade="BF"/>
            <w:tcMar>
              <w:left w:w="105" w:type="dxa"/>
              <w:right w:w="105" w:type="dxa"/>
            </w:tcMar>
            <w:vAlign w:val="center"/>
          </w:tcPr>
          <w:p w:rsidR="573B7504" w:rsidP="573B7504" w:rsidRDefault="573B7504" w14:paraId="523ECE5B" w14:textId="166C52D0">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4571F661" w14:textId="088AA4D6">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1C467E5A">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137382CD" w14:textId="035A4AF1">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17</w:t>
            </w:r>
          </w:p>
        </w:tc>
        <w:tc>
          <w:tcPr>
            <w:tcW w:w="8220" w:type="dxa"/>
            <w:shd w:val="clear" w:color="auto" w:fill="F2F2F2" w:themeFill="background1" w:themeFillShade="F2"/>
            <w:tcMar>
              <w:left w:w="105" w:type="dxa"/>
              <w:right w:w="105" w:type="dxa"/>
            </w:tcMar>
            <w:vAlign w:val="center"/>
          </w:tcPr>
          <w:p w:rsidR="573B7504" w:rsidP="573B7504" w:rsidRDefault="573B7504" w14:paraId="4FCC04D0" w14:textId="15AA1D03">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Other primary data collection methods. Please indicate the type of data collection method(s) below.</w:t>
            </w:r>
          </w:p>
        </w:tc>
        <w:tc>
          <w:tcPr>
            <w:tcW w:w="840" w:type="dxa"/>
            <w:vMerge w:val="restart"/>
            <w:shd w:val="clear" w:color="auto" w:fill="BFBFBF" w:themeFill="background1" w:themeFillShade="BF"/>
            <w:tcMar>
              <w:left w:w="105" w:type="dxa"/>
              <w:right w:w="105" w:type="dxa"/>
            </w:tcMar>
            <w:vAlign w:val="center"/>
          </w:tcPr>
          <w:p w:rsidR="573B7504" w:rsidP="573B7504" w:rsidRDefault="573B7504" w14:paraId="66C3D9AF" w14:textId="20C1737F">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vMerge w:val="restart"/>
            <w:shd w:val="clear" w:color="auto" w:fill="BFBFBF" w:themeFill="background1" w:themeFillShade="BF"/>
            <w:tcMar>
              <w:left w:w="105" w:type="dxa"/>
              <w:right w:w="105" w:type="dxa"/>
            </w:tcMar>
            <w:vAlign w:val="center"/>
          </w:tcPr>
          <w:p w:rsidR="573B7504" w:rsidP="573B7504" w:rsidRDefault="573B7504" w14:paraId="486CDFDB" w14:textId="5016BD88">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77DED451">
        <w:trPr>
          <w:trHeight w:val="390"/>
        </w:trPr>
        <w:tc>
          <w:tcPr>
            <w:tcW w:w="555" w:type="dxa"/>
            <w:tcMar>
              <w:left w:w="105" w:type="dxa"/>
              <w:right w:w="105" w:type="dxa"/>
            </w:tcMar>
            <w:vAlign w:val="center"/>
          </w:tcPr>
          <w:p w:rsidR="573B7504" w:rsidP="573B7504" w:rsidRDefault="573B7504" w14:paraId="6EC58827" w14:textId="2EB5FF94">
            <w:pPr>
              <w:bidi w:val="0"/>
              <w:rPr>
                <w:rFonts w:ascii="Arial" w:hAnsi="Arial" w:eastAsia="Arial" w:cs="Arial"/>
                <w:b w:val="0"/>
                <w:bCs w:val="0"/>
                <w:i w:val="0"/>
                <w:iCs w:val="0"/>
                <w:sz w:val="22"/>
                <w:szCs w:val="22"/>
              </w:rPr>
            </w:pPr>
          </w:p>
        </w:tc>
        <w:tc>
          <w:tcPr>
            <w:tcW w:w="8220" w:type="dxa"/>
            <w:tcMar>
              <w:left w:w="105" w:type="dxa"/>
              <w:right w:w="105" w:type="dxa"/>
            </w:tcMar>
            <w:vAlign w:val="center"/>
          </w:tcPr>
          <w:p w:rsidR="573B7504" w:rsidP="573B7504" w:rsidRDefault="573B7504" w14:paraId="004D293B" w14:textId="08D9E457">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Details of any other primary data collection method:</w:t>
            </w:r>
          </w:p>
          <w:p w:rsidR="573B7504" w:rsidP="573B7504" w:rsidRDefault="573B7504" w14:paraId="4E9AFAC0" w14:textId="06B7C885">
            <w:pPr>
              <w:bidi w:val="0"/>
              <w:rPr>
                <w:rFonts w:ascii="Arial" w:hAnsi="Arial" w:eastAsia="Arial" w:cs="Arial"/>
                <w:b w:val="0"/>
                <w:bCs w:val="0"/>
                <w:i w:val="0"/>
                <w:iCs w:val="0"/>
                <w:sz w:val="20"/>
                <w:szCs w:val="20"/>
              </w:rPr>
            </w:pPr>
          </w:p>
          <w:p w:rsidR="573B7504" w:rsidP="573B7504" w:rsidRDefault="573B7504" w14:paraId="71951C18" w14:textId="3BDBA844">
            <w:pPr>
              <w:bidi w:val="0"/>
              <w:rPr>
                <w:rFonts w:ascii="Arial" w:hAnsi="Arial" w:eastAsia="Arial" w:cs="Arial"/>
                <w:b w:val="0"/>
                <w:bCs w:val="0"/>
                <w:i w:val="0"/>
                <w:iCs w:val="0"/>
                <w:sz w:val="20"/>
                <w:szCs w:val="20"/>
              </w:rPr>
            </w:pPr>
          </w:p>
          <w:p w:rsidR="573B7504" w:rsidP="573B7504" w:rsidRDefault="573B7504" w14:paraId="63288057" w14:textId="05A8B04C">
            <w:pPr>
              <w:bidi w:val="0"/>
              <w:rPr>
                <w:rFonts w:ascii="Arial" w:hAnsi="Arial" w:eastAsia="Arial" w:cs="Arial"/>
                <w:b w:val="0"/>
                <w:bCs w:val="0"/>
                <w:i w:val="0"/>
                <w:iCs w:val="0"/>
                <w:sz w:val="22"/>
                <w:szCs w:val="22"/>
              </w:rPr>
            </w:pPr>
          </w:p>
          <w:p w:rsidR="573B7504" w:rsidP="573B7504" w:rsidRDefault="573B7504" w14:paraId="72A90AAE" w14:textId="3D29B74D">
            <w:pPr>
              <w:bidi w:val="0"/>
              <w:rPr>
                <w:rFonts w:ascii="Arial" w:hAnsi="Arial" w:eastAsia="Arial" w:cs="Arial"/>
                <w:b w:val="0"/>
                <w:bCs w:val="0"/>
                <w:i w:val="0"/>
                <w:iCs w:val="0"/>
                <w:sz w:val="18"/>
                <w:szCs w:val="18"/>
              </w:rPr>
            </w:pPr>
            <w:r w:rsidRPr="573B7504" w:rsidR="573B7504">
              <w:rPr>
                <w:rFonts w:ascii="Arial" w:hAnsi="Arial" w:eastAsia="Arial" w:cs="Arial"/>
                <w:b w:val="0"/>
                <w:bCs w:val="0"/>
                <w:i w:val="0"/>
                <w:iCs w:val="0"/>
                <w:sz w:val="18"/>
                <w:szCs w:val="18"/>
                <w:lang w:val="en-GB"/>
              </w:rPr>
              <w:t>(this box should expand as you type)</w:t>
            </w:r>
          </w:p>
        </w:tc>
        <w:tc>
          <w:tcPr>
            <w:tcW w:w="840" w:type="dxa"/>
            <w:vMerge/>
            <w:tcBorders>
              <w:top w:sz="0"/>
              <w:left w:sz="0"/>
              <w:bottom w:sz="0"/>
              <w:right w:sz="0"/>
            </w:tcBorders>
            <w:tcMar/>
            <w:vAlign w:val="center"/>
          </w:tcPr>
          <w:p w14:paraId="1A0A752A"/>
        </w:tc>
        <w:tc>
          <w:tcPr>
            <w:tcW w:w="810" w:type="dxa"/>
            <w:vMerge/>
            <w:tcBorders>
              <w:top w:sz="0"/>
              <w:left w:sz="0"/>
              <w:bottom w:sz="0"/>
              <w:right w:sz="0"/>
            </w:tcBorders>
            <w:tcMar/>
            <w:vAlign w:val="center"/>
          </w:tcPr>
          <w:p w14:paraId="124BCD5E"/>
        </w:tc>
      </w:tr>
    </w:tbl>
    <w:p w:rsidRPr="00D97AB2" w:rsidR="00D97AB2" w:rsidP="573B7504" w:rsidRDefault="00D97AB2" w14:paraId="23E091CB" w14:textId="52DA7C47">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05A7E96F" w14:textId="5921FDEE">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0"/>
          <w:bCs w:val="0"/>
          <w:i w:val="0"/>
          <w:iCs w:val="0"/>
          <w:caps w:val="0"/>
          <w:smallCaps w:val="0"/>
          <w:noProof w:val="0"/>
          <w:color w:val="000000" w:themeColor="text1" w:themeTint="FF" w:themeShade="FF"/>
          <w:sz w:val="22"/>
          <w:szCs w:val="22"/>
          <w:lang w:val="en-GB"/>
        </w:rPr>
        <w:t>If you have ticked NO to every question then the research activity is (ethically) low risk and you may skip section E and continue to section F.</w:t>
      </w:r>
    </w:p>
    <w:p w:rsidRPr="00D97AB2" w:rsidR="00D97AB2" w:rsidP="573B7504" w:rsidRDefault="00D97AB2" w14:paraId="0B1971DF" w14:textId="4DE57438">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407077DC" w14:textId="6673E60D">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Pr="00D97AB2" w:rsidR="00D97AB2" w:rsidP="573B7504" w:rsidRDefault="00D97AB2" w14:paraId="5ADD42B0" w14:textId="644D1659">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73573C60" w14:textId="588F55B4">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1"/>
          <w:bCs w:val="1"/>
          <w:i w:val="0"/>
          <w:iCs w:val="0"/>
          <w:caps w:val="0"/>
          <w:smallCaps w:val="0"/>
          <w:noProof w:val="0"/>
          <w:color w:val="000000" w:themeColor="text1" w:themeTint="FF" w:themeShade="FF"/>
          <w:sz w:val="22"/>
          <w:szCs w:val="22"/>
          <w:lang w:val="en-GB"/>
        </w:rPr>
        <w:t>SECTION E: Intended Participants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8205"/>
        <w:gridCol w:w="840"/>
        <w:gridCol w:w="810"/>
      </w:tblGrid>
      <w:tr w:rsidR="573B7504" w:rsidTr="573B7504" w14:paraId="6D903E5C">
        <w:trPr>
          <w:trHeight w:val="300"/>
        </w:trPr>
        <w:tc>
          <w:tcPr>
            <w:tcW w:w="555" w:type="dxa"/>
            <w:shd w:val="clear" w:color="auto" w:fill="F2F2F2" w:themeFill="background1" w:themeFillShade="F2"/>
            <w:tcMar>
              <w:left w:w="105" w:type="dxa"/>
              <w:right w:w="105" w:type="dxa"/>
            </w:tcMar>
            <w:vAlign w:val="center"/>
          </w:tcPr>
          <w:p w:rsidR="573B7504" w:rsidP="573B7504" w:rsidRDefault="573B7504" w14:paraId="682EF7B8" w14:textId="162C7E95">
            <w:pPr>
              <w:bidi w:val="0"/>
              <w:jc w:val="center"/>
              <w:rPr>
                <w:rFonts w:ascii="Arial" w:hAnsi="Arial" w:eastAsia="Arial" w:cs="Arial"/>
                <w:b w:val="0"/>
                <w:bCs w:val="0"/>
                <w:i w:val="0"/>
                <w:iCs w:val="0"/>
                <w:sz w:val="22"/>
                <w:szCs w:val="22"/>
              </w:rPr>
            </w:pPr>
          </w:p>
        </w:tc>
        <w:tc>
          <w:tcPr>
            <w:tcW w:w="8205" w:type="dxa"/>
            <w:shd w:val="clear" w:color="auto" w:fill="F2F2F2" w:themeFill="background1" w:themeFillShade="F2"/>
            <w:tcMar>
              <w:left w:w="105" w:type="dxa"/>
              <w:right w:w="105" w:type="dxa"/>
            </w:tcMar>
            <w:vAlign w:val="top"/>
          </w:tcPr>
          <w:p w:rsidR="573B7504" w:rsidP="573B7504" w:rsidRDefault="573B7504" w14:paraId="54962D44" w14:textId="740D58E5">
            <w:pPr>
              <w:bidi w:val="0"/>
              <w:jc w:val="both"/>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Who are the intended participants:</w:t>
            </w:r>
          </w:p>
        </w:tc>
        <w:tc>
          <w:tcPr>
            <w:tcW w:w="840" w:type="dxa"/>
            <w:shd w:val="clear" w:color="auto" w:fill="F2F2F2" w:themeFill="background1" w:themeFillShade="F2"/>
            <w:tcMar>
              <w:left w:w="105" w:type="dxa"/>
              <w:right w:w="105" w:type="dxa"/>
            </w:tcMar>
            <w:vAlign w:val="top"/>
          </w:tcPr>
          <w:p w:rsidR="573B7504" w:rsidP="573B7504" w:rsidRDefault="573B7504" w14:paraId="5C58EA1F" w14:textId="4F0DCC09">
            <w:pPr>
              <w:bidi w:val="0"/>
              <w:jc w:val="center"/>
              <w:rPr>
                <w:rFonts w:ascii="Arial" w:hAnsi="Arial" w:eastAsia="Arial" w:cs="Arial"/>
                <w:b w:val="0"/>
                <w:bCs w:val="0"/>
                <w:i w:val="0"/>
                <w:iCs w:val="0"/>
                <w:sz w:val="22"/>
                <w:szCs w:val="22"/>
              </w:rPr>
            </w:pPr>
          </w:p>
          <w:p w:rsidR="573B7504" w:rsidP="573B7504" w:rsidRDefault="573B7504" w14:paraId="247CA47F" w14:textId="01A73664">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top"/>
          </w:tcPr>
          <w:p w:rsidR="573B7504" w:rsidP="573B7504" w:rsidRDefault="573B7504" w14:paraId="4EAE6FA4" w14:textId="2D621143">
            <w:pPr>
              <w:bidi w:val="0"/>
              <w:jc w:val="center"/>
              <w:rPr>
                <w:rFonts w:ascii="Arial" w:hAnsi="Arial" w:eastAsia="Arial" w:cs="Arial"/>
                <w:b w:val="0"/>
                <w:bCs w:val="0"/>
                <w:i w:val="0"/>
                <w:iCs w:val="0"/>
                <w:sz w:val="22"/>
                <w:szCs w:val="22"/>
              </w:rPr>
            </w:pPr>
          </w:p>
          <w:p w:rsidR="573B7504" w:rsidP="573B7504" w:rsidRDefault="573B7504" w14:paraId="07699D7B" w14:textId="3ABD0619">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NO</w:t>
            </w:r>
          </w:p>
        </w:tc>
      </w:tr>
      <w:tr w:rsidR="573B7504" w:rsidTr="573B7504" w14:paraId="2EE0D299">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2386467F" w14:textId="418B6B43">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w:t>
            </w:r>
          </w:p>
        </w:tc>
        <w:tc>
          <w:tcPr>
            <w:tcW w:w="8205" w:type="dxa"/>
            <w:shd w:val="clear" w:color="auto" w:fill="F2F2F2" w:themeFill="background1" w:themeFillShade="F2"/>
            <w:tcMar>
              <w:left w:w="105" w:type="dxa"/>
              <w:right w:w="105" w:type="dxa"/>
            </w:tcMar>
            <w:vAlign w:val="center"/>
          </w:tcPr>
          <w:p w:rsidR="573B7504" w:rsidP="573B7504" w:rsidRDefault="573B7504" w14:paraId="1F48E4EC" w14:textId="0626ABF6">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Students or staff at the University?</w:t>
            </w:r>
          </w:p>
        </w:tc>
        <w:tc>
          <w:tcPr>
            <w:tcW w:w="840" w:type="dxa"/>
            <w:shd w:val="clear" w:color="auto" w:fill="BFBFBF" w:themeFill="background1" w:themeFillShade="BF"/>
            <w:tcMar>
              <w:left w:w="105" w:type="dxa"/>
              <w:right w:w="105" w:type="dxa"/>
            </w:tcMar>
            <w:vAlign w:val="center"/>
          </w:tcPr>
          <w:p w:rsidR="573B7504" w:rsidP="573B7504" w:rsidRDefault="573B7504" w14:paraId="1B605BC4" w14:textId="7B29F977">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703B6759" w14:textId="3755CAB1">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70B7AEFE">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1624B3D3" w14:textId="796AD1D3">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w:t>
            </w:r>
          </w:p>
        </w:tc>
        <w:tc>
          <w:tcPr>
            <w:tcW w:w="8205" w:type="dxa"/>
            <w:shd w:val="clear" w:color="auto" w:fill="F2F2F2" w:themeFill="background1" w:themeFillShade="F2"/>
            <w:tcMar>
              <w:left w:w="105" w:type="dxa"/>
              <w:right w:w="105" w:type="dxa"/>
            </w:tcMar>
            <w:vAlign w:val="center"/>
          </w:tcPr>
          <w:p w:rsidR="573B7504" w:rsidP="573B7504" w:rsidRDefault="573B7504" w14:paraId="72439EA1" w14:textId="18E9299F">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Adults (over the age of 18 and competent to give consent)?</w:t>
            </w:r>
          </w:p>
        </w:tc>
        <w:tc>
          <w:tcPr>
            <w:tcW w:w="840" w:type="dxa"/>
            <w:shd w:val="clear" w:color="auto" w:fill="BFBFBF" w:themeFill="background1" w:themeFillShade="BF"/>
            <w:tcMar>
              <w:left w:w="105" w:type="dxa"/>
              <w:right w:w="105" w:type="dxa"/>
            </w:tcMar>
            <w:vAlign w:val="center"/>
          </w:tcPr>
          <w:p w:rsidR="573B7504" w:rsidP="573B7504" w:rsidRDefault="573B7504" w14:paraId="43306475" w14:textId="04D93CD6">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1C81074E" w14:textId="2B718A63">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4F3CA8EA">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0D302A7C" w14:textId="3E7FAECE">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3</w:t>
            </w:r>
          </w:p>
        </w:tc>
        <w:tc>
          <w:tcPr>
            <w:tcW w:w="8205" w:type="dxa"/>
            <w:shd w:val="clear" w:color="auto" w:fill="F2F2F2" w:themeFill="background1" w:themeFillShade="F2"/>
            <w:tcMar>
              <w:left w:w="105" w:type="dxa"/>
              <w:right w:w="105" w:type="dxa"/>
            </w:tcMar>
            <w:vAlign w:val="center"/>
          </w:tcPr>
          <w:p w:rsidR="573B7504" w:rsidP="573B7504" w:rsidRDefault="573B7504" w14:paraId="041E7051" w14:textId="4385B642">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Vulnerable adults?</w:t>
            </w:r>
          </w:p>
        </w:tc>
        <w:tc>
          <w:tcPr>
            <w:tcW w:w="840" w:type="dxa"/>
            <w:shd w:val="clear" w:color="auto" w:fill="BFBFBF" w:themeFill="background1" w:themeFillShade="BF"/>
            <w:tcMar>
              <w:left w:w="105" w:type="dxa"/>
              <w:right w:w="105" w:type="dxa"/>
            </w:tcMar>
            <w:vAlign w:val="center"/>
          </w:tcPr>
          <w:p w:rsidR="573B7504" w:rsidP="573B7504" w:rsidRDefault="573B7504" w14:paraId="6ACC6043" w14:textId="6F3FDD0E">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4F3B4910" w14:textId="110802A4">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5DBC6288">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441E9DCD" w14:textId="509090DB">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4</w:t>
            </w:r>
          </w:p>
        </w:tc>
        <w:tc>
          <w:tcPr>
            <w:tcW w:w="8205" w:type="dxa"/>
            <w:shd w:val="clear" w:color="auto" w:fill="F2F2F2" w:themeFill="background1" w:themeFillShade="F2"/>
            <w:tcMar>
              <w:left w:w="105" w:type="dxa"/>
              <w:right w:w="105" w:type="dxa"/>
            </w:tcMar>
            <w:vAlign w:val="center"/>
          </w:tcPr>
          <w:p w:rsidR="573B7504" w:rsidP="573B7504" w:rsidRDefault="573B7504" w14:paraId="01A1335F" w14:textId="582E5A56">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Children and Young People under the age of 18? (Consent from Parent, Carer or Guardian will be required)</w:t>
            </w:r>
          </w:p>
        </w:tc>
        <w:tc>
          <w:tcPr>
            <w:tcW w:w="840" w:type="dxa"/>
            <w:shd w:val="clear" w:color="auto" w:fill="BFBFBF" w:themeFill="background1" w:themeFillShade="BF"/>
            <w:tcMar>
              <w:left w:w="105" w:type="dxa"/>
              <w:right w:w="105" w:type="dxa"/>
            </w:tcMar>
            <w:vAlign w:val="center"/>
          </w:tcPr>
          <w:p w:rsidR="573B7504" w:rsidP="573B7504" w:rsidRDefault="573B7504" w14:paraId="19076A56" w14:textId="7BA658E0">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318B3757" w14:textId="33FDEC02">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6192E7CB">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1597C162" w14:textId="4CB48A93">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5</w:t>
            </w:r>
          </w:p>
        </w:tc>
        <w:tc>
          <w:tcPr>
            <w:tcW w:w="8205" w:type="dxa"/>
            <w:shd w:val="clear" w:color="auto" w:fill="F2F2F2" w:themeFill="background1" w:themeFillShade="F2"/>
            <w:tcMar>
              <w:left w:w="105" w:type="dxa"/>
              <w:right w:w="105" w:type="dxa"/>
            </w:tcMar>
            <w:vAlign w:val="center"/>
          </w:tcPr>
          <w:p w:rsidR="573B7504" w:rsidP="573B7504" w:rsidRDefault="573B7504" w14:paraId="7FC0407E" w14:textId="5FB07725">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Prisoners?</w:t>
            </w:r>
          </w:p>
        </w:tc>
        <w:tc>
          <w:tcPr>
            <w:tcW w:w="840" w:type="dxa"/>
            <w:shd w:val="clear" w:color="auto" w:fill="BFBFBF" w:themeFill="background1" w:themeFillShade="BF"/>
            <w:tcMar>
              <w:left w:w="105" w:type="dxa"/>
              <w:right w:w="105" w:type="dxa"/>
            </w:tcMar>
            <w:vAlign w:val="center"/>
          </w:tcPr>
          <w:p w:rsidR="573B7504" w:rsidP="573B7504" w:rsidRDefault="573B7504" w14:paraId="74852900" w14:textId="700CFEC7">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7919CB8C" w14:textId="3CBAA2B3">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3FB111F5">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32F0D137" w14:textId="0DF220A3">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6</w:t>
            </w:r>
          </w:p>
        </w:tc>
        <w:tc>
          <w:tcPr>
            <w:tcW w:w="8205" w:type="dxa"/>
            <w:shd w:val="clear" w:color="auto" w:fill="F2F2F2" w:themeFill="background1" w:themeFillShade="F2"/>
            <w:tcMar>
              <w:left w:w="105" w:type="dxa"/>
              <w:right w:w="105" w:type="dxa"/>
            </w:tcMar>
            <w:vAlign w:val="center"/>
          </w:tcPr>
          <w:p w:rsidR="573B7504" w:rsidP="573B7504" w:rsidRDefault="573B7504" w14:paraId="361AFF61" w14:textId="5705FAE2">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Young offenders?</w:t>
            </w:r>
          </w:p>
        </w:tc>
        <w:tc>
          <w:tcPr>
            <w:tcW w:w="840" w:type="dxa"/>
            <w:shd w:val="clear" w:color="auto" w:fill="BFBFBF" w:themeFill="background1" w:themeFillShade="BF"/>
            <w:tcMar>
              <w:left w:w="105" w:type="dxa"/>
              <w:right w:w="105" w:type="dxa"/>
            </w:tcMar>
            <w:vAlign w:val="center"/>
          </w:tcPr>
          <w:p w:rsidR="573B7504" w:rsidP="573B7504" w:rsidRDefault="573B7504" w14:paraId="7999DB93" w14:textId="41EBC959">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01E4E393" w14:textId="6F2EE6AE">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77A38259">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0264AB28" w14:textId="4A599A3E">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7</w:t>
            </w:r>
          </w:p>
        </w:tc>
        <w:tc>
          <w:tcPr>
            <w:tcW w:w="8205" w:type="dxa"/>
            <w:shd w:val="clear" w:color="auto" w:fill="F2F2F2" w:themeFill="background1" w:themeFillShade="F2"/>
            <w:tcMar>
              <w:left w:w="105" w:type="dxa"/>
              <w:right w:w="105" w:type="dxa"/>
            </w:tcMar>
            <w:vAlign w:val="center"/>
          </w:tcPr>
          <w:p w:rsidR="573B7504" w:rsidP="573B7504" w:rsidRDefault="573B7504" w14:paraId="2AEE7B24" w14:textId="01191640">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840" w:type="dxa"/>
            <w:shd w:val="clear" w:color="auto" w:fill="BFBFBF" w:themeFill="background1" w:themeFillShade="BF"/>
            <w:tcMar>
              <w:left w:w="105" w:type="dxa"/>
              <w:right w:w="105" w:type="dxa"/>
            </w:tcMar>
            <w:vAlign w:val="center"/>
          </w:tcPr>
          <w:p w:rsidR="573B7504" w:rsidP="573B7504" w:rsidRDefault="573B7504" w14:paraId="54BF65CC" w14:textId="44C88CC8">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6F0701D6" w14:textId="49B3F68A">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4CD76B33">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46AFA6B9" w14:textId="0C161E6C">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8</w:t>
            </w:r>
          </w:p>
        </w:tc>
        <w:tc>
          <w:tcPr>
            <w:tcW w:w="8205" w:type="dxa"/>
            <w:shd w:val="clear" w:color="auto" w:fill="F2F2F2" w:themeFill="background1" w:themeFillShade="F2"/>
            <w:tcMar>
              <w:left w:w="105" w:type="dxa"/>
              <w:right w:w="105" w:type="dxa"/>
            </w:tcMar>
            <w:vAlign w:val="center"/>
          </w:tcPr>
          <w:p w:rsidR="573B7504" w:rsidP="573B7504" w:rsidRDefault="573B7504" w14:paraId="7F5FF412" w14:textId="1C724BC4">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People engaged in illegal activities?</w:t>
            </w:r>
          </w:p>
        </w:tc>
        <w:tc>
          <w:tcPr>
            <w:tcW w:w="840" w:type="dxa"/>
            <w:shd w:val="clear" w:color="auto" w:fill="BFBFBF" w:themeFill="background1" w:themeFillShade="BF"/>
            <w:tcMar>
              <w:left w:w="105" w:type="dxa"/>
              <w:right w:w="105" w:type="dxa"/>
            </w:tcMar>
            <w:vAlign w:val="center"/>
          </w:tcPr>
          <w:p w:rsidR="573B7504" w:rsidP="573B7504" w:rsidRDefault="573B7504" w14:paraId="6CE7D3C0" w14:textId="2C547542">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573B7504" w:rsidP="573B7504" w:rsidRDefault="573B7504" w14:paraId="407DB4BA" w14:textId="7A46E90F">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72226AB1">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50F2227F" w14:textId="76094AC0">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9</w:t>
            </w:r>
          </w:p>
        </w:tc>
        <w:tc>
          <w:tcPr>
            <w:tcW w:w="8205" w:type="dxa"/>
            <w:shd w:val="clear" w:color="auto" w:fill="F2F2F2" w:themeFill="background1" w:themeFillShade="F2"/>
            <w:tcMar>
              <w:left w:w="105" w:type="dxa"/>
              <w:right w:w="105" w:type="dxa"/>
            </w:tcMar>
            <w:vAlign w:val="center"/>
          </w:tcPr>
          <w:p w:rsidR="573B7504" w:rsidP="573B7504" w:rsidRDefault="573B7504" w14:paraId="23EB821E" w14:textId="66072C60">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Others. Please indicate the participants below, and specifically any group who may be unable to give consent.</w:t>
            </w:r>
          </w:p>
          <w:p w:rsidR="573B7504" w:rsidP="573B7504" w:rsidRDefault="573B7504" w14:paraId="709A3842" w14:textId="2EA6E937">
            <w:pPr>
              <w:bidi w:val="0"/>
              <w:rPr>
                <w:rFonts w:ascii="Arial" w:hAnsi="Arial" w:eastAsia="Arial" w:cs="Arial"/>
                <w:b w:val="0"/>
                <w:bCs w:val="0"/>
                <w:i w:val="0"/>
                <w:iCs w:val="0"/>
                <w:sz w:val="22"/>
                <w:szCs w:val="22"/>
              </w:rPr>
            </w:pPr>
          </w:p>
        </w:tc>
        <w:tc>
          <w:tcPr>
            <w:tcW w:w="840" w:type="dxa"/>
            <w:vMerge w:val="restart"/>
            <w:shd w:val="clear" w:color="auto" w:fill="BFBFBF" w:themeFill="background1" w:themeFillShade="BF"/>
            <w:tcMar>
              <w:left w:w="105" w:type="dxa"/>
              <w:right w:w="105" w:type="dxa"/>
            </w:tcMar>
            <w:vAlign w:val="center"/>
          </w:tcPr>
          <w:p w:rsidR="573B7504" w:rsidP="573B7504" w:rsidRDefault="573B7504" w14:paraId="247BC776" w14:textId="181A14B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10" w:type="dxa"/>
            <w:vMerge w:val="restart"/>
            <w:shd w:val="clear" w:color="auto" w:fill="BFBFBF" w:themeFill="background1" w:themeFillShade="BF"/>
            <w:tcMar>
              <w:left w:w="105" w:type="dxa"/>
              <w:right w:w="105" w:type="dxa"/>
            </w:tcMar>
            <w:vAlign w:val="center"/>
          </w:tcPr>
          <w:p w:rsidR="573B7504" w:rsidP="573B7504" w:rsidRDefault="573B7504" w14:paraId="4774F652" w14:textId="00C71905">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6BC6E07B">
        <w:trPr>
          <w:trHeight w:val="390"/>
        </w:trPr>
        <w:tc>
          <w:tcPr>
            <w:tcW w:w="555" w:type="dxa"/>
            <w:tcMar>
              <w:left w:w="105" w:type="dxa"/>
              <w:right w:w="105" w:type="dxa"/>
            </w:tcMar>
            <w:vAlign w:val="center"/>
          </w:tcPr>
          <w:p w:rsidR="573B7504" w:rsidP="573B7504" w:rsidRDefault="573B7504" w14:paraId="37C8AC6F" w14:textId="62683106">
            <w:pPr>
              <w:bidi w:val="0"/>
              <w:jc w:val="center"/>
              <w:rPr>
                <w:rFonts w:ascii="Arial" w:hAnsi="Arial" w:eastAsia="Arial" w:cs="Arial"/>
                <w:b w:val="0"/>
                <w:bCs w:val="0"/>
                <w:i w:val="0"/>
                <w:iCs w:val="0"/>
                <w:sz w:val="22"/>
                <w:szCs w:val="22"/>
              </w:rPr>
            </w:pPr>
          </w:p>
        </w:tc>
        <w:tc>
          <w:tcPr>
            <w:tcW w:w="8205" w:type="dxa"/>
            <w:tcMar>
              <w:left w:w="105" w:type="dxa"/>
              <w:right w:w="105" w:type="dxa"/>
            </w:tcMar>
            <w:vAlign w:val="center"/>
          </w:tcPr>
          <w:p w:rsidR="573B7504" w:rsidP="573B7504" w:rsidRDefault="573B7504" w14:paraId="035CAE91" w14:textId="55879908">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Details of any other participant groups:</w:t>
            </w:r>
          </w:p>
          <w:p w:rsidR="573B7504" w:rsidP="573B7504" w:rsidRDefault="573B7504" w14:paraId="75D4E8BB" w14:textId="4F60D930">
            <w:pPr>
              <w:bidi w:val="0"/>
              <w:rPr>
                <w:rFonts w:ascii="Arial" w:hAnsi="Arial" w:eastAsia="Arial" w:cs="Arial"/>
                <w:b w:val="0"/>
                <w:bCs w:val="0"/>
                <w:i w:val="0"/>
                <w:iCs w:val="0"/>
                <w:color w:val="00B050"/>
                <w:sz w:val="22"/>
                <w:szCs w:val="22"/>
              </w:rPr>
            </w:pPr>
            <w:r w:rsidRPr="573B7504" w:rsidR="573B7504">
              <w:rPr>
                <w:rFonts w:ascii="Arial" w:hAnsi="Arial" w:eastAsia="Arial" w:cs="Arial"/>
                <w:b w:val="0"/>
                <w:bCs w:val="0"/>
                <w:i w:val="0"/>
                <w:iCs w:val="0"/>
                <w:color w:val="00B050"/>
                <w:sz w:val="22"/>
                <w:szCs w:val="22"/>
                <w:lang w:val="en-GB"/>
              </w:rPr>
              <w:t>Complete this only if your participants cannot give consent. This includes animals</w:t>
            </w:r>
          </w:p>
          <w:p w:rsidR="573B7504" w:rsidP="573B7504" w:rsidRDefault="573B7504" w14:paraId="43E6686D" w14:textId="36D30744">
            <w:pPr>
              <w:bidi w:val="0"/>
              <w:rPr>
                <w:rFonts w:ascii="Arial" w:hAnsi="Arial" w:eastAsia="Arial" w:cs="Arial"/>
                <w:b w:val="0"/>
                <w:bCs w:val="0"/>
                <w:i w:val="0"/>
                <w:iCs w:val="0"/>
                <w:sz w:val="20"/>
                <w:szCs w:val="20"/>
              </w:rPr>
            </w:pPr>
          </w:p>
          <w:p w:rsidR="573B7504" w:rsidP="573B7504" w:rsidRDefault="573B7504" w14:paraId="68526535" w14:textId="37172DEA">
            <w:pPr>
              <w:bidi w:val="0"/>
              <w:rPr>
                <w:rFonts w:ascii="Arial" w:hAnsi="Arial" w:eastAsia="Arial" w:cs="Arial"/>
                <w:b w:val="0"/>
                <w:bCs w:val="0"/>
                <w:i w:val="0"/>
                <w:iCs w:val="0"/>
                <w:color w:val="808080" w:themeColor="background1" w:themeTint="FF" w:themeShade="80"/>
                <w:sz w:val="18"/>
                <w:szCs w:val="18"/>
              </w:rPr>
            </w:pPr>
            <w:r w:rsidRPr="573B7504" w:rsidR="573B7504">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840" w:type="dxa"/>
            <w:vMerge/>
            <w:tcBorders>
              <w:top w:sz="0"/>
              <w:left w:sz="0"/>
              <w:bottom w:sz="0"/>
              <w:right w:sz="0"/>
            </w:tcBorders>
            <w:tcMar/>
            <w:vAlign w:val="center"/>
          </w:tcPr>
          <w:p w14:paraId="19CB2A66"/>
        </w:tc>
        <w:tc>
          <w:tcPr>
            <w:tcW w:w="810" w:type="dxa"/>
            <w:vMerge/>
            <w:tcBorders>
              <w:top w:sz="0"/>
              <w:left w:sz="0"/>
              <w:bottom w:sz="0"/>
              <w:right w:sz="0"/>
            </w:tcBorders>
            <w:tcMar/>
            <w:vAlign w:val="center"/>
          </w:tcPr>
          <w:p w14:paraId="0AAB3520"/>
        </w:tc>
      </w:tr>
    </w:tbl>
    <w:p w:rsidRPr="00D97AB2" w:rsidR="00D97AB2" w:rsidP="573B7504" w:rsidRDefault="00D97AB2" w14:paraId="7771EE4D" w14:textId="72BBAA5C">
      <w:pPr>
        <w:bidi w:val="0"/>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3255"/>
        <w:gridCol w:w="6630"/>
      </w:tblGrid>
      <w:tr w:rsidR="573B7504" w:rsidTr="573B7504" w14:paraId="625E2EBB">
        <w:trPr>
          <w:trHeight w:val="390"/>
        </w:trPr>
        <w:tc>
          <w:tcPr>
            <w:tcW w:w="555" w:type="dxa"/>
            <w:tcBorders>
              <w:bottom w:val="single" w:sz="4"/>
            </w:tcBorders>
            <w:shd w:val="clear" w:color="auto" w:fill="F2F2F2" w:themeFill="background1" w:themeFillShade="F2"/>
            <w:tcMar>
              <w:left w:w="105" w:type="dxa"/>
              <w:right w:w="105" w:type="dxa"/>
            </w:tcMar>
            <w:vAlign w:val="top"/>
          </w:tcPr>
          <w:p w:rsidR="573B7504" w:rsidP="573B7504" w:rsidRDefault="573B7504" w14:paraId="59931426" w14:textId="2646011B">
            <w:pPr>
              <w:bidi w:val="0"/>
              <w:rPr>
                <w:rFonts w:ascii="Arial" w:hAnsi="Arial" w:eastAsia="Arial" w:cs="Arial"/>
                <w:b w:val="0"/>
                <w:bCs w:val="0"/>
                <w:i w:val="0"/>
                <w:iCs w:val="0"/>
                <w:sz w:val="22"/>
                <w:szCs w:val="22"/>
              </w:rPr>
            </w:pPr>
          </w:p>
        </w:tc>
        <w:tc>
          <w:tcPr>
            <w:tcW w:w="9885" w:type="dxa"/>
            <w:gridSpan w:val="2"/>
            <w:tcBorders>
              <w:bottom w:val="single" w:sz="4"/>
            </w:tcBorders>
            <w:shd w:val="clear" w:color="auto" w:fill="F2F2F2" w:themeFill="background1" w:themeFillShade="F2"/>
            <w:tcMar>
              <w:left w:w="105" w:type="dxa"/>
              <w:right w:w="105" w:type="dxa"/>
            </w:tcMar>
            <w:vAlign w:val="center"/>
          </w:tcPr>
          <w:p w:rsidR="573B7504" w:rsidP="573B7504" w:rsidRDefault="573B7504" w14:paraId="5C5616D6" w14:textId="20E7D5CB">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Participant numbers and source</w:t>
            </w:r>
          </w:p>
          <w:p w:rsidR="573B7504" w:rsidP="573B7504" w:rsidRDefault="573B7504" w14:paraId="26C84FDE" w14:textId="15F1945C">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573B7504" w:rsidTr="573B7504" w14:paraId="3D7B5323">
        <w:trPr>
          <w:trHeight w:val="390"/>
        </w:trPr>
        <w:tc>
          <w:tcPr>
            <w:tcW w:w="55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1733FCCC" w14:textId="1FD10C4C">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10</w:t>
            </w:r>
          </w:p>
        </w:tc>
        <w:tc>
          <w:tcPr>
            <w:tcW w:w="325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00F4BF12" w14:textId="4053FEFE">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How many participants are expected?</w:t>
            </w:r>
          </w:p>
          <w:p w:rsidR="573B7504" w:rsidP="573B7504" w:rsidRDefault="573B7504" w14:paraId="3A46396C" w14:textId="753558DC">
            <w:pPr>
              <w:bidi w:val="0"/>
              <w:rPr>
                <w:rFonts w:ascii="Arial" w:hAnsi="Arial" w:eastAsia="Arial" w:cs="Arial"/>
                <w:b w:val="0"/>
                <w:bCs w:val="0"/>
                <w:i w:val="0"/>
                <w:iCs w:val="0"/>
                <w:sz w:val="22"/>
                <w:szCs w:val="22"/>
              </w:rPr>
            </w:pPr>
          </w:p>
        </w:tc>
        <w:tc>
          <w:tcPr>
            <w:tcW w:w="6630" w:type="dxa"/>
            <w:tcBorders>
              <w:top w:val="single" w:sz="4"/>
              <w:left w:val="single" w:sz="4"/>
              <w:bottom w:val="single" w:sz="4"/>
              <w:right w:val="single" w:sz="4"/>
            </w:tcBorders>
            <w:tcMar>
              <w:left w:w="105" w:type="dxa"/>
              <w:right w:w="105" w:type="dxa"/>
            </w:tcMar>
            <w:vAlign w:val="center"/>
          </w:tcPr>
          <w:p w:rsidR="573B7504" w:rsidP="573B7504" w:rsidRDefault="573B7504" w14:paraId="41BF66D6" w14:textId="66EBB2C0">
            <w:pPr>
              <w:bidi w:val="0"/>
              <w:rPr>
                <w:rFonts w:ascii="Arial" w:hAnsi="Arial" w:eastAsia="Arial" w:cs="Arial"/>
                <w:b w:val="0"/>
                <w:bCs w:val="0"/>
                <w:i w:val="0"/>
                <w:iCs w:val="0"/>
                <w:sz w:val="22"/>
                <w:szCs w:val="22"/>
              </w:rPr>
            </w:pPr>
          </w:p>
          <w:p w:rsidR="573B7504" w:rsidP="573B7504" w:rsidRDefault="573B7504" w14:paraId="046AE897" w14:textId="0D3CB667">
            <w:pPr>
              <w:bidi w:val="0"/>
              <w:rPr>
                <w:rFonts w:ascii="Arial" w:hAnsi="Arial" w:eastAsia="Arial" w:cs="Arial"/>
                <w:b w:val="0"/>
                <w:bCs w:val="0"/>
                <w:i w:val="0"/>
                <w:iCs w:val="0"/>
                <w:color w:val="808080" w:themeColor="background1" w:themeTint="FF" w:themeShade="80"/>
                <w:sz w:val="18"/>
                <w:szCs w:val="18"/>
              </w:rPr>
            </w:pPr>
            <w:r w:rsidRPr="573B7504" w:rsidR="573B7504">
              <w:rPr>
                <w:rFonts w:ascii="Arial" w:hAnsi="Arial" w:eastAsia="Arial" w:cs="Arial"/>
                <w:b w:val="0"/>
                <w:bCs w:val="0"/>
                <w:i w:val="1"/>
                <w:iCs w:val="1"/>
                <w:color w:val="808080" w:themeColor="background1" w:themeTint="FF" w:themeShade="80"/>
                <w:sz w:val="18"/>
                <w:szCs w:val="18"/>
                <w:lang w:val="en-GB"/>
              </w:rPr>
              <w:t>(this box should expand as you type)</w:t>
            </w:r>
          </w:p>
        </w:tc>
      </w:tr>
      <w:tr w:rsidR="573B7504" w:rsidTr="573B7504" w14:paraId="73A80378">
        <w:trPr>
          <w:trHeight w:val="390"/>
        </w:trPr>
        <w:tc>
          <w:tcPr>
            <w:tcW w:w="55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06D3BE78" w14:textId="03CAB0AD">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11</w:t>
            </w:r>
          </w:p>
        </w:tc>
        <w:tc>
          <w:tcPr>
            <w:tcW w:w="325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7320B784" w14:textId="6357932F">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Who will the participants be?</w:t>
            </w:r>
          </w:p>
          <w:p w:rsidR="573B7504" w:rsidP="573B7504" w:rsidRDefault="573B7504" w14:paraId="2196BDA9" w14:textId="280B2E35">
            <w:pPr>
              <w:bidi w:val="0"/>
              <w:rPr>
                <w:rFonts w:ascii="Arial" w:hAnsi="Arial" w:eastAsia="Arial" w:cs="Arial"/>
                <w:b w:val="0"/>
                <w:bCs w:val="0"/>
                <w:i w:val="0"/>
                <w:iCs w:val="0"/>
                <w:sz w:val="22"/>
                <w:szCs w:val="22"/>
              </w:rPr>
            </w:pPr>
          </w:p>
        </w:tc>
        <w:tc>
          <w:tcPr>
            <w:tcW w:w="6630" w:type="dxa"/>
            <w:tcBorders>
              <w:top w:val="single" w:sz="4"/>
              <w:left w:val="single" w:sz="4"/>
              <w:bottom w:val="single" w:sz="4"/>
              <w:right w:val="single" w:sz="4"/>
            </w:tcBorders>
            <w:tcMar>
              <w:left w:w="105" w:type="dxa"/>
              <w:right w:w="105" w:type="dxa"/>
            </w:tcMar>
            <w:vAlign w:val="center"/>
          </w:tcPr>
          <w:p w:rsidR="573B7504" w:rsidP="573B7504" w:rsidRDefault="573B7504" w14:paraId="70A5F8AC" w14:textId="5D09B64E">
            <w:pPr>
              <w:bidi w:val="0"/>
              <w:rPr>
                <w:rFonts w:ascii="Arial" w:hAnsi="Arial" w:eastAsia="Arial" w:cs="Arial"/>
                <w:b w:val="0"/>
                <w:bCs w:val="0"/>
                <w:i w:val="0"/>
                <w:iCs w:val="0"/>
                <w:sz w:val="22"/>
                <w:szCs w:val="22"/>
              </w:rPr>
            </w:pPr>
          </w:p>
          <w:p w:rsidR="573B7504" w:rsidP="573B7504" w:rsidRDefault="573B7504" w14:paraId="6CFE0BBE" w14:textId="1BE6950D">
            <w:pPr>
              <w:bidi w:val="0"/>
              <w:rPr>
                <w:rFonts w:ascii="Arial" w:hAnsi="Arial" w:eastAsia="Arial" w:cs="Arial"/>
                <w:b w:val="0"/>
                <w:bCs w:val="0"/>
                <w:i w:val="0"/>
                <w:iCs w:val="0"/>
                <w:color w:val="808080" w:themeColor="background1" w:themeTint="FF" w:themeShade="80"/>
                <w:sz w:val="18"/>
                <w:szCs w:val="18"/>
              </w:rPr>
            </w:pPr>
            <w:r w:rsidRPr="573B7504" w:rsidR="573B7504">
              <w:rPr>
                <w:rFonts w:ascii="Arial" w:hAnsi="Arial" w:eastAsia="Arial" w:cs="Arial"/>
                <w:b w:val="0"/>
                <w:bCs w:val="0"/>
                <w:i w:val="1"/>
                <w:iCs w:val="1"/>
                <w:color w:val="808080" w:themeColor="background1" w:themeTint="FF" w:themeShade="80"/>
                <w:sz w:val="18"/>
                <w:szCs w:val="18"/>
                <w:lang w:val="en-GB"/>
              </w:rPr>
              <w:t>(this box should expand as you type)</w:t>
            </w:r>
          </w:p>
        </w:tc>
      </w:tr>
      <w:tr w:rsidR="573B7504" w:rsidTr="573B7504" w14:paraId="2552A3BE">
        <w:trPr>
          <w:trHeight w:val="390"/>
        </w:trPr>
        <w:tc>
          <w:tcPr>
            <w:tcW w:w="555" w:type="dxa"/>
            <w:tcBorders>
              <w:top w:val="single" w:sz="4"/>
            </w:tcBorders>
            <w:shd w:val="clear" w:color="auto" w:fill="F2F2F2" w:themeFill="background1" w:themeFillShade="F2"/>
            <w:tcMar>
              <w:left w:w="105" w:type="dxa"/>
              <w:right w:w="105" w:type="dxa"/>
            </w:tcMar>
            <w:vAlign w:val="center"/>
          </w:tcPr>
          <w:p w:rsidR="573B7504" w:rsidP="573B7504" w:rsidRDefault="573B7504" w14:paraId="3003FD8D" w14:textId="58C1BF2D">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12</w:t>
            </w:r>
          </w:p>
        </w:tc>
        <w:tc>
          <w:tcPr>
            <w:tcW w:w="3255" w:type="dxa"/>
            <w:tcBorders>
              <w:top w:val="single" w:sz="4"/>
            </w:tcBorders>
            <w:shd w:val="clear" w:color="auto" w:fill="F2F2F2" w:themeFill="background1" w:themeFillShade="F2"/>
            <w:tcMar>
              <w:left w:w="105" w:type="dxa"/>
              <w:right w:w="105" w:type="dxa"/>
            </w:tcMar>
            <w:vAlign w:val="center"/>
          </w:tcPr>
          <w:p w:rsidR="573B7504" w:rsidP="573B7504" w:rsidRDefault="573B7504" w14:paraId="086D3083" w14:textId="53245DE1">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How will you identify the participants?</w:t>
            </w:r>
          </w:p>
        </w:tc>
        <w:tc>
          <w:tcPr>
            <w:tcW w:w="6630" w:type="dxa"/>
            <w:tcBorders>
              <w:top w:val="single" w:sz="4"/>
            </w:tcBorders>
            <w:tcMar>
              <w:left w:w="105" w:type="dxa"/>
              <w:right w:w="105" w:type="dxa"/>
            </w:tcMar>
            <w:vAlign w:val="center"/>
          </w:tcPr>
          <w:p w:rsidR="573B7504" w:rsidP="573B7504" w:rsidRDefault="573B7504" w14:paraId="2EFA1529" w14:textId="4AEB9B5D">
            <w:pPr>
              <w:bidi w:val="0"/>
              <w:rPr>
                <w:rFonts w:ascii="Arial" w:hAnsi="Arial" w:eastAsia="Arial" w:cs="Arial"/>
                <w:b w:val="0"/>
                <w:bCs w:val="0"/>
                <w:i w:val="0"/>
                <w:iCs w:val="0"/>
                <w:sz w:val="22"/>
                <w:szCs w:val="22"/>
              </w:rPr>
            </w:pPr>
          </w:p>
          <w:p w:rsidR="573B7504" w:rsidP="573B7504" w:rsidRDefault="573B7504" w14:paraId="3E833281" w14:textId="4D56A8B0">
            <w:pPr>
              <w:bidi w:val="0"/>
              <w:rPr>
                <w:rFonts w:ascii="Arial" w:hAnsi="Arial" w:eastAsia="Arial" w:cs="Arial"/>
                <w:b w:val="0"/>
                <w:bCs w:val="0"/>
                <w:i w:val="0"/>
                <w:iCs w:val="0"/>
                <w:color w:val="808080" w:themeColor="background1" w:themeTint="FF" w:themeShade="80"/>
                <w:sz w:val="18"/>
                <w:szCs w:val="18"/>
              </w:rPr>
            </w:pPr>
            <w:r w:rsidRPr="573B7504" w:rsidR="573B7504">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Pr="00D97AB2" w:rsidR="00D97AB2" w:rsidP="573B7504" w:rsidRDefault="00D97AB2" w14:paraId="0C4E9C45" w14:textId="76932862">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Pr="00D97AB2" w:rsidR="00D97AB2" w:rsidP="573B7504" w:rsidRDefault="00D97AB2" w14:paraId="45172963" w14:textId="6A17B2E9">
      <w:pPr>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7080"/>
        <w:gridCol w:w="990"/>
        <w:gridCol w:w="840"/>
        <w:gridCol w:w="990"/>
      </w:tblGrid>
      <w:tr w:rsidR="573B7504" w:rsidTr="573B7504" w14:paraId="53529A5E">
        <w:trPr>
          <w:trHeight w:val="300"/>
        </w:trPr>
        <w:tc>
          <w:tcPr>
            <w:tcW w:w="555" w:type="dxa"/>
            <w:shd w:val="clear" w:color="auto" w:fill="F2F2F2" w:themeFill="background1" w:themeFillShade="F2"/>
            <w:tcMar>
              <w:left w:w="105" w:type="dxa"/>
              <w:right w:w="105" w:type="dxa"/>
            </w:tcMar>
            <w:vAlign w:val="center"/>
          </w:tcPr>
          <w:p w:rsidR="573B7504" w:rsidP="573B7504" w:rsidRDefault="573B7504" w14:paraId="6F507165" w14:textId="28FACDA3">
            <w:pPr>
              <w:bidi w:val="0"/>
              <w:jc w:val="center"/>
              <w:rPr>
                <w:rFonts w:ascii="Arial" w:hAnsi="Arial" w:eastAsia="Arial" w:cs="Arial"/>
                <w:b w:val="0"/>
                <w:bCs w:val="0"/>
                <w:i w:val="0"/>
                <w:iCs w:val="0"/>
                <w:sz w:val="22"/>
                <w:szCs w:val="22"/>
              </w:rPr>
            </w:pPr>
          </w:p>
        </w:tc>
        <w:tc>
          <w:tcPr>
            <w:tcW w:w="7080" w:type="dxa"/>
            <w:shd w:val="clear" w:color="auto" w:fill="F2F2F2" w:themeFill="background1" w:themeFillShade="F2"/>
            <w:tcMar>
              <w:left w:w="105" w:type="dxa"/>
              <w:right w:w="105" w:type="dxa"/>
            </w:tcMar>
            <w:vAlign w:val="top"/>
          </w:tcPr>
          <w:p w:rsidR="573B7504" w:rsidP="573B7504" w:rsidRDefault="573B7504" w14:paraId="30FA298F" w14:textId="34366606">
            <w:pPr>
              <w:bidi w:val="0"/>
              <w:jc w:val="both"/>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Information for participants:</w:t>
            </w:r>
          </w:p>
        </w:tc>
        <w:tc>
          <w:tcPr>
            <w:tcW w:w="990" w:type="dxa"/>
            <w:shd w:val="clear" w:color="auto" w:fill="F2F2F2" w:themeFill="background1" w:themeFillShade="F2"/>
            <w:tcMar>
              <w:left w:w="105" w:type="dxa"/>
              <w:right w:w="105" w:type="dxa"/>
            </w:tcMar>
            <w:vAlign w:val="bottom"/>
          </w:tcPr>
          <w:p w:rsidR="573B7504" w:rsidP="573B7504" w:rsidRDefault="573B7504" w14:paraId="3F8B1C84" w14:textId="20E5DC71">
            <w:pPr>
              <w:bidi w:val="0"/>
              <w:jc w:val="center"/>
              <w:rPr>
                <w:rFonts w:ascii="Arial" w:hAnsi="Arial" w:eastAsia="Arial" w:cs="Arial"/>
                <w:b w:val="0"/>
                <w:bCs w:val="0"/>
                <w:i w:val="0"/>
                <w:iCs w:val="0"/>
                <w:sz w:val="16"/>
                <w:szCs w:val="16"/>
              </w:rPr>
            </w:pPr>
          </w:p>
          <w:p w:rsidR="573B7504" w:rsidP="573B7504" w:rsidRDefault="573B7504" w14:paraId="69493C55" w14:textId="497516D5">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YES</w:t>
            </w:r>
          </w:p>
        </w:tc>
        <w:tc>
          <w:tcPr>
            <w:tcW w:w="840" w:type="dxa"/>
            <w:shd w:val="clear" w:color="auto" w:fill="F2F2F2" w:themeFill="background1" w:themeFillShade="F2"/>
            <w:tcMar>
              <w:left w:w="105" w:type="dxa"/>
              <w:right w:w="105" w:type="dxa"/>
            </w:tcMar>
            <w:vAlign w:val="bottom"/>
          </w:tcPr>
          <w:p w:rsidR="573B7504" w:rsidP="573B7504" w:rsidRDefault="573B7504" w14:paraId="4CD895DB" w14:textId="743F6915">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NO</w:t>
            </w:r>
          </w:p>
        </w:tc>
        <w:tc>
          <w:tcPr>
            <w:tcW w:w="990" w:type="dxa"/>
            <w:shd w:val="clear" w:color="auto" w:fill="F2F2F2" w:themeFill="background1" w:themeFillShade="F2"/>
            <w:tcMar>
              <w:left w:w="105" w:type="dxa"/>
              <w:right w:w="105" w:type="dxa"/>
            </w:tcMar>
            <w:vAlign w:val="top"/>
          </w:tcPr>
          <w:p w:rsidR="573B7504" w:rsidP="573B7504" w:rsidRDefault="573B7504" w14:paraId="6B554EAA" w14:textId="1D1A68E7">
            <w:pPr>
              <w:bidi w:val="0"/>
              <w:jc w:val="center"/>
              <w:rPr>
                <w:rFonts w:ascii="Arial" w:hAnsi="Arial" w:eastAsia="Arial" w:cs="Arial"/>
                <w:b w:val="0"/>
                <w:bCs w:val="0"/>
                <w:i w:val="0"/>
                <w:iCs w:val="0"/>
                <w:sz w:val="16"/>
                <w:szCs w:val="16"/>
              </w:rPr>
            </w:pPr>
          </w:p>
          <w:p w:rsidR="573B7504" w:rsidP="573B7504" w:rsidRDefault="573B7504" w14:paraId="2190AD67" w14:textId="69CFD26B">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N/A</w:t>
            </w:r>
          </w:p>
        </w:tc>
      </w:tr>
      <w:tr w:rsidR="573B7504" w:rsidTr="573B7504" w14:paraId="562D02CF">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26113563" w14:textId="01B29455">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13</w:t>
            </w:r>
          </w:p>
        </w:tc>
        <w:tc>
          <w:tcPr>
            <w:tcW w:w="7080" w:type="dxa"/>
            <w:shd w:val="clear" w:color="auto" w:fill="F2F2F2" w:themeFill="background1" w:themeFillShade="F2"/>
            <w:tcMar>
              <w:left w:w="105" w:type="dxa"/>
              <w:right w:w="105" w:type="dxa"/>
            </w:tcMar>
            <w:vAlign w:val="center"/>
          </w:tcPr>
          <w:p w:rsidR="573B7504" w:rsidP="573B7504" w:rsidRDefault="573B7504" w14:paraId="374A9A97" w14:textId="10842111">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990" w:type="dxa"/>
            <w:shd w:val="clear" w:color="auto" w:fill="BFBFBF" w:themeFill="background1" w:themeFillShade="BF"/>
            <w:tcMar>
              <w:left w:w="105" w:type="dxa"/>
              <w:right w:w="105" w:type="dxa"/>
            </w:tcMar>
            <w:vAlign w:val="center"/>
          </w:tcPr>
          <w:p w:rsidR="573B7504" w:rsidP="573B7504" w:rsidRDefault="573B7504" w14:paraId="05FFABA6" w14:textId="61277824">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73B7504" w:rsidP="573B7504" w:rsidRDefault="573B7504" w14:paraId="678249FE" w14:textId="19990C30">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73B7504" w:rsidP="573B7504" w:rsidRDefault="573B7504" w14:paraId="64C48303" w14:textId="35103EFF">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53EBA544">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51D031A5" w14:textId="6035DD1D">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14</w:t>
            </w:r>
          </w:p>
        </w:tc>
        <w:tc>
          <w:tcPr>
            <w:tcW w:w="7080" w:type="dxa"/>
            <w:shd w:val="clear" w:color="auto" w:fill="F2F2F2" w:themeFill="background1" w:themeFillShade="F2"/>
            <w:tcMar>
              <w:left w:w="105" w:type="dxa"/>
              <w:right w:w="105" w:type="dxa"/>
            </w:tcMar>
            <w:vAlign w:val="center"/>
          </w:tcPr>
          <w:p w:rsidR="573B7504" w:rsidP="573B7504" w:rsidRDefault="573B7504" w14:paraId="4A26E590" w14:textId="38310049">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Will you tell participants that their participation is voluntary?</w:t>
            </w:r>
          </w:p>
        </w:tc>
        <w:tc>
          <w:tcPr>
            <w:tcW w:w="990" w:type="dxa"/>
            <w:shd w:val="clear" w:color="auto" w:fill="BFBFBF" w:themeFill="background1" w:themeFillShade="BF"/>
            <w:tcMar>
              <w:left w:w="105" w:type="dxa"/>
              <w:right w:w="105" w:type="dxa"/>
            </w:tcMar>
            <w:vAlign w:val="center"/>
          </w:tcPr>
          <w:p w:rsidR="573B7504" w:rsidP="573B7504" w:rsidRDefault="573B7504" w14:paraId="525CC94D" w14:textId="042B6FD3">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73B7504" w:rsidP="573B7504" w:rsidRDefault="573B7504" w14:paraId="36C3A419" w14:textId="7D4E81CF">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73B7504" w:rsidP="573B7504" w:rsidRDefault="573B7504" w14:paraId="71A58500" w14:textId="315097A6">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057B2A2E">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275768AD" w14:textId="3CBF15CA">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15</w:t>
            </w:r>
          </w:p>
        </w:tc>
        <w:tc>
          <w:tcPr>
            <w:tcW w:w="7080" w:type="dxa"/>
            <w:shd w:val="clear" w:color="auto" w:fill="F2F2F2" w:themeFill="background1" w:themeFillShade="F2"/>
            <w:tcMar>
              <w:left w:w="105" w:type="dxa"/>
              <w:right w:w="105" w:type="dxa"/>
            </w:tcMar>
            <w:vAlign w:val="center"/>
          </w:tcPr>
          <w:p w:rsidR="573B7504" w:rsidP="573B7504" w:rsidRDefault="573B7504" w14:paraId="7D30D94C" w14:textId="14CBBA04">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Will you obtain written consent for participation?</w:t>
            </w:r>
          </w:p>
        </w:tc>
        <w:tc>
          <w:tcPr>
            <w:tcW w:w="990" w:type="dxa"/>
            <w:shd w:val="clear" w:color="auto" w:fill="BFBFBF" w:themeFill="background1" w:themeFillShade="BF"/>
            <w:tcMar>
              <w:left w:w="105" w:type="dxa"/>
              <w:right w:w="105" w:type="dxa"/>
            </w:tcMar>
            <w:vAlign w:val="center"/>
          </w:tcPr>
          <w:p w:rsidR="573B7504" w:rsidP="573B7504" w:rsidRDefault="573B7504" w14:paraId="7C380A2E" w14:textId="57033CE1">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73B7504" w:rsidP="573B7504" w:rsidRDefault="573B7504" w14:paraId="003A5BC5" w14:textId="6C18B020">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73B7504" w:rsidP="573B7504" w:rsidRDefault="573B7504" w14:paraId="4B54537D" w14:textId="2F863F54">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1271B831">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15D11A41" w14:textId="6E583F87">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16</w:t>
            </w:r>
          </w:p>
        </w:tc>
        <w:tc>
          <w:tcPr>
            <w:tcW w:w="7080" w:type="dxa"/>
            <w:shd w:val="clear" w:color="auto" w:fill="F2F2F2" w:themeFill="background1" w:themeFillShade="F2"/>
            <w:tcMar>
              <w:left w:w="105" w:type="dxa"/>
              <w:right w:w="105" w:type="dxa"/>
            </w:tcMar>
            <w:vAlign w:val="center"/>
          </w:tcPr>
          <w:p w:rsidR="573B7504" w:rsidP="573B7504" w:rsidRDefault="573B7504" w14:paraId="60B49DD2" w14:textId="6B846F57">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990" w:type="dxa"/>
            <w:shd w:val="clear" w:color="auto" w:fill="BFBFBF" w:themeFill="background1" w:themeFillShade="BF"/>
            <w:tcMar>
              <w:left w:w="105" w:type="dxa"/>
              <w:right w:w="105" w:type="dxa"/>
            </w:tcMar>
            <w:vAlign w:val="center"/>
          </w:tcPr>
          <w:p w:rsidR="573B7504" w:rsidP="573B7504" w:rsidRDefault="573B7504" w14:paraId="11C64719" w14:textId="78B7BDF1">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73B7504" w:rsidP="573B7504" w:rsidRDefault="573B7504" w14:paraId="5F3A4735" w14:textId="451FDC43">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73B7504" w:rsidP="573B7504" w:rsidRDefault="573B7504" w14:paraId="48F9F7EF" w14:textId="2F4EE488">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104A8A8B">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35609754" w14:textId="70A931B2">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17</w:t>
            </w:r>
          </w:p>
        </w:tc>
        <w:tc>
          <w:tcPr>
            <w:tcW w:w="7080" w:type="dxa"/>
            <w:shd w:val="clear" w:color="auto" w:fill="F2F2F2" w:themeFill="background1" w:themeFillShade="F2"/>
            <w:tcMar>
              <w:left w:w="105" w:type="dxa"/>
              <w:right w:w="105" w:type="dxa"/>
            </w:tcMar>
            <w:vAlign w:val="center"/>
          </w:tcPr>
          <w:p w:rsidR="573B7504" w:rsidP="573B7504" w:rsidRDefault="573B7504" w14:paraId="3D57E672" w14:textId="465D22BE">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If the research is observational, will you ask participants for their consent to being observed?</w:t>
            </w:r>
          </w:p>
        </w:tc>
        <w:tc>
          <w:tcPr>
            <w:tcW w:w="990" w:type="dxa"/>
            <w:shd w:val="clear" w:color="auto" w:fill="BFBFBF" w:themeFill="background1" w:themeFillShade="BF"/>
            <w:tcMar>
              <w:left w:w="105" w:type="dxa"/>
              <w:right w:w="105" w:type="dxa"/>
            </w:tcMar>
            <w:vAlign w:val="center"/>
          </w:tcPr>
          <w:p w:rsidR="573B7504" w:rsidP="573B7504" w:rsidRDefault="573B7504" w14:paraId="171EC665" w14:textId="4CC9D2A2">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73B7504" w:rsidP="573B7504" w:rsidRDefault="573B7504" w14:paraId="70951AC9" w14:textId="15101678">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73B7504" w:rsidP="573B7504" w:rsidRDefault="573B7504" w14:paraId="5D4C20C9" w14:textId="4B2D2933">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0556A0D4">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466DEF3A" w14:textId="62F8987A">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18</w:t>
            </w:r>
          </w:p>
        </w:tc>
        <w:tc>
          <w:tcPr>
            <w:tcW w:w="7080" w:type="dxa"/>
            <w:shd w:val="clear" w:color="auto" w:fill="F2F2F2" w:themeFill="background1" w:themeFillShade="F2"/>
            <w:tcMar>
              <w:left w:w="105" w:type="dxa"/>
              <w:right w:w="105" w:type="dxa"/>
            </w:tcMar>
            <w:vAlign w:val="center"/>
          </w:tcPr>
          <w:p w:rsidR="573B7504" w:rsidP="573B7504" w:rsidRDefault="573B7504" w14:paraId="5AEF620E" w14:textId="60529A3C">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Will you tell participants that they may withdraw from the research at any time and for any reason?</w:t>
            </w:r>
          </w:p>
        </w:tc>
        <w:tc>
          <w:tcPr>
            <w:tcW w:w="990" w:type="dxa"/>
            <w:shd w:val="clear" w:color="auto" w:fill="BFBFBF" w:themeFill="background1" w:themeFillShade="BF"/>
            <w:tcMar>
              <w:left w:w="105" w:type="dxa"/>
              <w:right w:w="105" w:type="dxa"/>
            </w:tcMar>
            <w:vAlign w:val="center"/>
          </w:tcPr>
          <w:p w:rsidR="573B7504" w:rsidP="573B7504" w:rsidRDefault="573B7504" w14:paraId="7F43BD65" w14:textId="03F289E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73B7504" w:rsidP="573B7504" w:rsidRDefault="573B7504" w14:paraId="74226322" w14:textId="6DDF8F45">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73B7504" w:rsidP="573B7504" w:rsidRDefault="573B7504" w14:paraId="27573DCF" w14:textId="624725C9">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3D90130B">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1C85D1D5" w14:textId="2D8EDC3B">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19</w:t>
            </w:r>
          </w:p>
        </w:tc>
        <w:tc>
          <w:tcPr>
            <w:tcW w:w="7080" w:type="dxa"/>
            <w:shd w:val="clear" w:color="auto" w:fill="F2F2F2" w:themeFill="background1" w:themeFillShade="F2"/>
            <w:tcMar>
              <w:left w:w="105" w:type="dxa"/>
              <w:right w:w="105" w:type="dxa"/>
            </w:tcMar>
            <w:vAlign w:val="center"/>
          </w:tcPr>
          <w:p w:rsidR="573B7504" w:rsidP="573B7504" w:rsidRDefault="573B7504" w14:paraId="461E0857" w14:textId="29DA0D8B">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990" w:type="dxa"/>
            <w:shd w:val="clear" w:color="auto" w:fill="BFBFBF" w:themeFill="background1" w:themeFillShade="BF"/>
            <w:tcMar>
              <w:left w:w="105" w:type="dxa"/>
              <w:right w:w="105" w:type="dxa"/>
            </w:tcMar>
            <w:vAlign w:val="center"/>
          </w:tcPr>
          <w:p w:rsidR="573B7504" w:rsidP="573B7504" w:rsidRDefault="573B7504" w14:paraId="24E24280" w14:textId="0719D90A">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73B7504" w:rsidP="573B7504" w:rsidRDefault="573B7504" w14:paraId="548F350D" w14:textId="4C6E68A3">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73B7504" w:rsidP="573B7504" w:rsidRDefault="573B7504" w14:paraId="396764A5" w14:textId="59FAC6E0">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4398EB99">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2F15A93B" w14:textId="3451A383">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20</w:t>
            </w:r>
          </w:p>
        </w:tc>
        <w:tc>
          <w:tcPr>
            <w:tcW w:w="7080" w:type="dxa"/>
            <w:shd w:val="clear" w:color="auto" w:fill="F2F2F2" w:themeFill="background1" w:themeFillShade="F2"/>
            <w:tcMar>
              <w:left w:w="105" w:type="dxa"/>
              <w:right w:w="105" w:type="dxa"/>
            </w:tcMar>
            <w:vAlign w:val="center"/>
          </w:tcPr>
          <w:p w:rsidR="573B7504" w:rsidP="573B7504" w:rsidRDefault="573B7504" w14:paraId="6550D9E5" w14:textId="417627C9">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990" w:type="dxa"/>
            <w:shd w:val="clear" w:color="auto" w:fill="BFBFBF" w:themeFill="background1" w:themeFillShade="BF"/>
            <w:tcMar>
              <w:left w:w="105" w:type="dxa"/>
              <w:right w:w="105" w:type="dxa"/>
            </w:tcMar>
            <w:vAlign w:val="center"/>
          </w:tcPr>
          <w:p w:rsidR="573B7504" w:rsidP="573B7504" w:rsidRDefault="573B7504" w14:paraId="4A8C5F5C" w14:textId="0AFE8F39">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73B7504" w:rsidP="573B7504" w:rsidRDefault="573B7504" w14:paraId="47396037" w14:textId="20C3317F">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73B7504" w:rsidP="573B7504" w:rsidRDefault="573B7504" w14:paraId="1ED00370" w14:textId="5FFAD171">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71516CC1">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0123981F" w14:textId="47ED3BC2">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21</w:t>
            </w:r>
          </w:p>
        </w:tc>
        <w:tc>
          <w:tcPr>
            <w:tcW w:w="7080" w:type="dxa"/>
            <w:shd w:val="clear" w:color="auto" w:fill="F2F2F2" w:themeFill="background1" w:themeFillShade="F2"/>
            <w:tcMar>
              <w:left w:w="105" w:type="dxa"/>
              <w:right w:w="105" w:type="dxa"/>
            </w:tcMar>
            <w:vAlign w:val="center"/>
          </w:tcPr>
          <w:p w:rsidR="573B7504" w:rsidP="573B7504" w:rsidRDefault="573B7504" w14:paraId="27F794DF" w14:textId="0A99F68E">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990" w:type="dxa"/>
            <w:shd w:val="clear" w:color="auto" w:fill="BFBFBF" w:themeFill="background1" w:themeFillShade="BF"/>
            <w:tcMar>
              <w:left w:w="105" w:type="dxa"/>
              <w:right w:w="105" w:type="dxa"/>
            </w:tcMar>
            <w:vAlign w:val="center"/>
          </w:tcPr>
          <w:p w:rsidR="573B7504" w:rsidP="573B7504" w:rsidRDefault="573B7504" w14:paraId="339EB55E" w14:textId="2F482F9A">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73B7504" w:rsidP="573B7504" w:rsidRDefault="573B7504" w14:paraId="3F5A0BBB" w14:textId="3A5BB532">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73B7504" w:rsidP="573B7504" w:rsidRDefault="573B7504" w14:paraId="1A4CEF75" w14:textId="5EB7C375">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7E491122">
        <w:trPr>
          <w:trHeight w:val="390"/>
        </w:trPr>
        <w:tc>
          <w:tcPr>
            <w:tcW w:w="555" w:type="dxa"/>
            <w:tcBorders>
              <w:bottom w:val="single" w:sz="4"/>
            </w:tcBorders>
            <w:shd w:val="clear" w:color="auto" w:fill="F2F2F2" w:themeFill="background1" w:themeFillShade="F2"/>
            <w:tcMar>
              <w:left w:w="105" w:type="dxa"/>
              <w:right w:w="105" w:type="dxa"/>
            </w:tcMar>
            <w:vAlign w:val="center"/>
          </w:tcPr>
          <w:p w:rsidR="573B7504" w:rsidP="573B7504" w:rsidRDefault="573B7504" w14:paraId="2E5F9E2C" w14:textId="4E664B19">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22</w:t>
            </w:r>
          </w:p>
        </w:tc>
        <w:tc>
          <w:tcPr>
            <w:tcW w:w="9900" w:type="dxa"/>
            <w:gridSpan w:val="4"/>
            <w:tcBorders>
              <w:bottom w:val="single" w:sz="4"/>
            </w:tcBorders>
            <w:shd w:val="clear" w:color="auto" w:fill="F2F2F2" w:themeFill="background1" w:themeFillShade="F2"/>
            <w:tcMar>
              <w:left w:w="105" w:type="dxa"/>
              <w:right w:w="105" w:type="dxa"/>
            </w:tcMar>
            <w:vAlign w:val="center"/>
          </w:tcPr>
          <w:p w:rsidR="573B7504" w:rsidP="573B7504" w:rsidRDefault="573B7504" w14:paraId="093179FA" w14:textId="62CEA4C3">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If NO</w:t>
            </w:r>
            <w:r w:rsidRPr="573B7504" w:rsidR="573B7504">
              <w:rPr>
                <w:rFonts w:ascii="Arial" w:hAnsi="Arial" w:eastAsia="Arial" w:cs="Arial"/>
                <w:b w:val="1"/>
                <w:bCs w:val="1"/>
                <w:i w:val="0"/>
                <w:iCs w:val="0"/>
                <w:sz w:val="22"/>
                <w:szCs w:val="22"/>
                <w:lang w:val="en-GB"/>
              </w:rPr>
              <w:t xml:space="preserve"> </w:t>
            </w:r>
            <w:r w:rsidRPr="573B7504" w:rsidR="573B7504">
              <w:rPr>
                <w:rFonts w:ascii="Arial" w:hAnsi="Arial" w:eastAsia="Arial" w:cs="Arial"/>
                <w:b w:val="0"/>
                <w:bCs w:val="0"/>
                <w:i w:val="0"/>
                <w:iCs w:val="0"/>
                <w:sz w:val="22"/>
                <w:szCs w:val="22"/>
                <w:lang w:val="en-GB"/>
              </w:rPr>
              <w:t xml:space="preserve">to any of above questions, please give an explanation </w:t>
            </w:r>
          </w:p>
        </w:tc>
      </w:tr>
      <w:tr w:rsidR="573B7504" w:rsidTr="573B7504" w14:paraId="303DE364">
        <w:trPr>
          <w:trHeight w:val="390"/>
        </w:trPr>
        <w:tc>
          <w:tcPr>
            <w:tcW w:w="555" w:type="dxa"/>
            <w:tcMar>
              <w:left w:w="105" w:type="dxa"/>
              <w:right w:w="105" w:type="dxa"/>
            </w:tcMar>
            <w:vAlign w:val="center"/>
          </w:tcPr>
          <w:p w:rsidR="573B7504" w:rsidP="573B7504" w:rsidRDefault="573B7504" w14:paraId="602AF5F4" w14:textId="012C5752">
            <w:pPr>
              <w:bidi w:val="0"/>
              <w:jc w:val="center"/>
              <w:rPr>
                <w:rFonts w:ascii="Arial" w:hAnsi="Arial" w:eastAsia="Arial" w:cs="Arial"/>
                <w:b w:val="0"/>
                <w:bCs w:val="0"/>
                <w:i w:val="0"/>
                <w:iCs w:val="0"/>
                <w:sz w:val="22"/>
                <w:szCs w:val="22"/>
              </w:rPr>
            </w:pPr>
          </w:p>
        </w:tc>
        <w:tc>
          <w:tcPr>
            <w:tcW w:w="9900" w:type="dxa"/>
            <w:gridSpan w:val="4"/>
            <w:tcBorders>
              <w:bottom w:val="single" w:sz="4"/>
            </w:tcBorders>
            <w:tcMar>
              <w:left w:w="105" w:type="dxa"/>
              <w:right w:w="105" w:type="dxa"/>
            </w:tcMar>
            <w:vAlign w:val="center"/>
          </w:tcPr>
          <w:p w:rsidR="573B7504" w:rsidP="573B7504" w:rsidRDefault="573B7504" w14:paraId="3A732023" w14:textId="5ACD3352">
            <w:pPr>
              <w:bidi w:val="0"/>
              <w:rPr>
                <w:rFonts w:ascii="Arial" w:hAnsi="Arial" w:eastAsia="Arial" w:cs="Arial"/>
                <w:b w:val="0"/>
                <w:bCs w:val="0"/>
                <w:i w:val="0"/>
                <w:iCs w:val="0"/>
                <w:color w:val="00B050"/>
                <w:sz w:val="18"/>
                <w:szCs w:val="18"/>
              </w:rPr>
            </w:pPr>
          </w:p>
          <w:p w:rsidR="573B7504" w:rsidP="573B7504" w:rsidRDefault="573B7504" w14:paraId="3516FDDB" w14:textId="6AB43449">
            <w:pPr>
              <w:bidi w:val="0"/>
              <w:rPr>
                <w:rFonts w:ascii="Arial" w:hAnsi="Arial" w:eastAsia="Arial" w:cs="Arial"/>
                <w:b w:val="0"/>
                <w:bCs w:val="0"/>
                <w:i w:val="0"/>
                <w:iCs w:val="0"/>
                <w:color w:val="808080" w:themeColor="background1" w:themeTint="FF" w:themeShade="80"/>
                <w:sz w:val="18"/>
                <w:szCs w:val="18"/>
              </w:rPr>
            </w:pPr>
            <w:r w:rsidRPr="573B7504" w:rsidR="573B7504">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Pr="00D97AB2" w:rsidR="00D97AB2" w:rsidP="573B7504" w:rsidRDefault="00D97AB2" w14:paraId="0B76F703" w14:textId="6114CD1C">
      <w:pPr>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7080"/>
        <w:gridCol w:w="990"/>
        <w:gridCol w:w="840"/>
        <w:gridCol w:w="990"/>
      </w:tblGrid>
      <w:tr w:rsidR="573B7504" w:rsidTr="573B7504" w14:paraId="401CD43A">
        <w:trPr>
          <w:trHeight w:val="300"/>
        </w:trPr>
        <w:tc>
          <w:tcPr>
            <w:tcW w:w="555" w:type="dxa"/>
            <w:shd w:val="clear" w:color="auto" w:fill="F2F2F2" w:themeFill="background1" w:themeFillShade="F2"/>
            <w:tcMar>
              <w:left w:w="105" w:type="dxa"/>
              <w:right w:w="105" w:type="dxa"/>
            </w:tcMar>
            <w:vAlign w:val="top"/>
          </w:tcPr>
          <w:p w:rsidR="573B7504" w:rsidP="573B7504" w:rsidRDefault="573B7504" w14:paraId="409B3D96" w14:textId="5104B8A6">
            <w:pPr>
              <w:bidi w:val="0"/>
              <w:jc w:val="both"/>
              <w:rPr>
                <w:rFonts w:ascii="Arial" w:hAnsi="Arial" w:eastAsia="Arial" w:cs="Arial"/>
                <w:b w:val="0"/>
                <w:bCs w:val="0"/>
                <w:i w:val="0"/>
                <w:iCs w:val="0"/>
                <w:sz w:val="22"/>
                <w:szCs w:val="22"/>
              </w:rPr>
            </w:pPr>
          </w:p>
        </w:tc>
        <w:tc>
          <w:tcPr>
            <w:tcW w:w="7080" w:type="dxa"/>
            <w:shd w:val="clear" w:color="auto" w:fill="F2F2F2" w:themeFill="background1" w:themeFillShade="F2"/>
            <w:tcMar>
              <w:left w:w="105" w:type="dxa"/>
              <w:right w:w="105" w:type="dxa"/>
            </w:tcMar>
            <w:vAlign w:val="center"/>
          </w:tcPr>
          <w:p w:rsidR="573B7504" w:rsidP="573B7504" w:rsidRDefault="573B7504" w14:paraId="4EA3A5CB" w14:textId="53F58E09">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Information for participants:</w:t>
            </w:r>
          </w:p>
        </w:tc>
        <w:tc>
          <w:tcPr>
            <w:tcW w:w="990" w:type="dxa"/>
            <w:shd w:val="clear" w:color="auto" w:fill="F2F2F2" w:themeFill="background1" w:themeFillShade="F2"/>
            <w:tcMar>
              <w:left w:w="105" w:type="dxa"/>
              <w:right w:w="105" w:type="dxa"/>
            </w:tcMar>
            <w:vAlign w:val="bottom"/>
          </w:tcPr>
          <w:p w:rsidR="573B7504" w:rsidP="573B7504" w:rsidRDefault="573B7504" w14:paraId="5EC46931" w14:textId="03B743BA">
            <w:pPr>
              <w:bidi w:val="0"/>
              <w:jc w:val="center"/>
              <w:rPr>
                <w:rFonts w:ascii="Arial" w:hAnsi="Arial" w:eastAsia="Arial" w:cs="Arial"/>
                <w:b w:val="0"/>
                <w:bCs w:val="0"/>
                <w:i w:val="0"/>
                <w:iCs w:val="0"/>
                <w:sz w:val="16"/>
                <w:szCs w:val="16"/>
              </w:rPr>
            </w:pPr>
          </w:p>
          <w:p w:rsidR="573B7504" w:rsidP="573B7504" w:rsidRDefault="573B7504" w14:paraId="65F5CB2D" w14:textId="58664566">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YES</w:t>
            </w:r>
          </w:p>
        </w:tc>
        <w:tc>
          <w:tcPr>
            <w:tcW w:w="840" w:type="dxa"/>
            <w:shd w:val="clear" w:color="auto" w:fill="F2F2F2" w:themeFill="background1" w:themeFillShade="F2"/>
            <w:tcMar>
              <w:left w:w="105" w:type="dxa"/>
              <w:right w:w="105" w:type="dxa"/>
            </w:tcMar>
            <w:vAlign w:val="bottom"/>
          </w:tcPr>
          <w:p w:rsidR="573B7504" w:rsidP="573B7504" w:rsidRDefault="573B7504" w14:paraId="4787A73F" w14:textId="086129EF">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NO</w:t>
            </w:r>
          </w:p>
        </w:tc>
        <w:tc>
          <w:tcPr>
            <w:tcW w:w="990" w:type="dxa"/>
            <w:shd w:val="clear" w:color="auto" w:fill="F2F2F2" w:themeFill="background1" w:themeFillShade="F2"/>
            <w:tcMar>
              <w:left w:w="105" w:type="dxa"/>
              <w:right w:w="105" w:type="dxa"/>
            </w:tcMar>
            <w:vAlign w:val="bottom"/>
          </w:tcPr>
          <w:p w:rsidR="573B7504" w:rsidP="573B7504" w:rsidRDefault="573B7504" w14:paraId="365151BC" w14:textId="3BF4D619">
            <w:pPr>
              <w:bidi w:val="0"/>
              <w:jc w:val="center"/>
              <w:rPr>
                <w:rFonts w:ascii="Arial" w:hAnsi="Arial" w:eastAsia="Arial" w:cs="Arial"/>
                <w:b w:val="0"/>
                <w:bCs w:val="0"/>
                <w:i w:val="0"/>
                <w:iCs w:val="0"/>
                <w:sz w:val="16"/>
                <w:szCs w:val="16"/>
              </w:rPr>
            </w:pPr>
          </w:p>
          <w:p w:rsidR="573B7504" w:rsidP="573B7504" w:rsidRDefault="573B7504" w14:paraId="7A95A16F" w14:textId="4A4CB1CC">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N/A</w:t>
            </w:r>
          </w:p>
        </w:tc>
      </w:tr>
      <w:tr w:rsidR="573B7504" w:rsidTr="573B7504" w14:paraId="512A4A05">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10AB6C3F" w14:textId="111B2126">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24</w:t>
            </w:r>
          </w:p>
        </w:tc>
        <w:tc>
          <w:tcPr>
            <w:tcW w:w="7080" w:type="dxa"/>
            <w:shd w:val="clear" w:color="auto" w:fill="F2F2F2" w:themeFill="background1" w:themeFillShade="F2"/>
            <w:tcMar>
              <w:left w:w="105" w:type="dxa"/>
              <w:right w:w="105" w:type="dxa"/>
            </w:tcMar>
            <w:vAlign w:val="center"/>
          </w:tcPr>
          <w:p w:rsidR="573B7504" w:rsidP="573B7504" w:rsidRDefault="573B7504" w14:paraId="0488116E" w14:textId="35E3BEA3">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Will participants be paid?</w:t>
            </w:r>
          </w:p>
        </w:tc>
        <w:tc>
          <w:tcPr>
            <w:tcW w:w="990" w:type="dxa"/>
            <w:shd w:val="clear" w:color="auto" w:fill="BFBFBF" w:themeFill="background1" w:themeFillShade="BF"/>
            <w:tcMar>
              <w:left w:w="105" w:type="dxa"/>
              <w:right w:w="105" w:type="dxa"/>
            </w:tcMar>
            <w:vAlign w:val="center"/>
          </w:tcPr>
          <w:p w:rsidR="573B7504" w:rsidP="573B7504" w:rsidRDefault="573B7504" w14:paraId="72C7EF63" w14:textId="4D97BFC8">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73B7504" w:rsidP="573B7504" w:rsidRDefault="573B7504" w14:paraId="4019279F" w14:textId="01E7C7E1">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73B7504" w:rsidP="573B7504" w:rsidRDefault="573B7504" w14:paraId="583DB588" w14:textId="0D55607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6DDFAF3F">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7738933D" w14:textId="61BDE0A0">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25</w:t>
            </w:r>
          </w:p>
        </w:tc>
        <w:tc>
          <w:tcPr>
            <w:tcW w:w="7080" w:type="dxa"/>
            <w:shd w:val="clear" w:color="auto" w:fill="F2F2F2" w:themeFill="background1" w:themeFillShade="F2"/>
            <w:tcMar>
              <w:left w:w="105" w:type="dxa"/>
              <w:right w:w="105" w:type="dxa"/>
            </w:tcMar>
            <w:vAlign w:val="center"/>
          </w:tcPr>
          <w:p w:rsidR="573B7504" w:rsidP="573B7504" w:rsidRDefault="573B7504" w14:paraId="6173F091" w14:textId="2FB7E860">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Is specialist electrical or other equipment to be used with participants?</w:t>
            </w:r>
          </w:p>
        </w:tc>
        <w:tc>
          <w:tcPr>
            <w:tcW w:w="990" w:type="dxa"/>
            <w:shd w:val="clear" w:color="auto" w:fill="BFBFBF" w:themeFill="background1" w:themeFillShade="BF"/>
            <w:tcMar>
              <w:left w:w="105" w:type="dxa"/>
              <w:right w:w="105" w:type="dxa"/>
            </w:tcMar>
            <w:vAlign w:val="center"/>
          </w:tcPr>
          <w:p w:rsidR="573B7504" w:rsidP="573B7504" w:rsidRDefault="573B7504" w14:paraId="21E0C3E3" w14:textId="27F8D0BC">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73B7504" w:rsidP="573B7504" w:rsidRDefault="573B7504" w14:paraId="1134C475" w14:textId="4EA1E7A3">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73B7504" w:rsidP="573B7504" w:rsidRDefault="573B7504" w14:paraId="63832598" w14:textId="3792D7A4">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362313A7">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1486D495" w14:textId="0E886B5E">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26</w:t>
            </w:r>
          </w:p>
        </w:tc>
        <w:tc>
          <w:tcPr>
            <w:tcW w:w="7080" w:type="dxa"/>
            <w:shd w:val="clear" w:color="auto" w:fill="F2F2F2" w:themeFill="background1" w:themeFillShade="F2"/>
            <w:tcMar>
              <w:left w:w="105" w:type="dxa"/>
              <w:right w:w="105" w:type="dxa"/>
            </w:tcMar>
            <w:vAlign w:val="center"/>
          </w:tcPr>
          <w:p w:rsidR="573B7504" w:rsidP="573B7504" w:rsidRDefault="573B7504" w14:paraId="7A62D8E6" w14:textId="2580A39C">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Are there any financial or other interests to the investigator or University arising from this study?</w:t>
            </w:r>
          </w:p>
        </w:tc>
        <w:tc>
          <w:tcPr>
            <w:tcW w:w="990" w:type="dxa"/>
            <w:shd w:val="clear" w:color="auto" w:fill="BFBFBF" w:themeFill="background1" w:themeFillShade="BF"/>
            <w:tcMar>
              <w:left w:w="105" w:type="dxa"/>
              <w:right w:w="105" w:type="dxa"/>
            </w:tcMar>
            <w:vAlign w:val="center"/>
          </w:tcPr>
          <w:p w:rsidR="573B7504" w:rsidP="573B7504" w:rsidRDefault="573B7504" w14:paraId="6F5C59A4" w14:textId="548B7CF0">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73B7504" w:rsidP="573B7504" w:rsidRDefault="573B7504" w14:paraId="1F04768C" w14:textId="7239C5CB">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73B7504" w:rsidP="573B7504" w:rsidRDefault="573B7504" w14:paraId="0E1E110E" w14:textId="44B51C0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6859CAFD">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58330F7F" w14:textId="1B9A1967">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27</w:t>
            </w:r>
          </w:p>
        </w:tc>
        <w:tc>
          <w:tcPr>
            <w:tcW w:w="7080" w:type="dxa"/>
            <w:shd w:val="clear" w:color="auto" w:fill="F2F2F2" w:themeFill="background1" w:themeFillShade="F2"/>
            <w:tcMar>
              <w:left w:w="105" w:type="dxa"/>
              <w:right w:w="105" w:type="dxa"/>
            </w:tcMar>
            <w:vAlign w:val="center"/>
          </w:tcPr>
          <w:p w:rsidR="573B7504" w:rsidP="573B7504" w:rsidRDefault="573B7504" w14:paraId="1DA477C0" w14:textId="056CAA09">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990" w:type="dxa"/>
            <w:shd w:val="clear" w:color="auto" w:fill="BFBFBF" w:themeFill="background1" w:themeFillShade="BF"/>
            <w:tcMar>
              <w:left w:w="105" w:type="dxa"/>
              <w:right w:w="105" w:type="dxa"/>
            </w:tcMar>
            <w:vAlign w:val="center"/>
          </w:tcPr>
          <w:p w:rsidR="573B7504" w:rsidP="573B7504" w:rsidRDefault="573B7504" w14:paraId="4EF1E7CE" w14:textId="1CDCD925">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573B7504" w:rsidP="573B7504" w:rsidRDefault="573B7504" w14:paraId="40C65B32" w14:textId="47817CE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573B7504" w:rsidP="573B7504" w:rsidRDefault="573B7504" w14:paraId="21BB2FC5" w14:textId="72F86DE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1E875081">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36A7F6D7" w14:textId="4BCFC47E">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28</w:t>
            </w:r>
          </w:p>
        </w:tc>
        <w:tc>
          <w:tcPr>
            <w:tcW w:w="9900" w:type="dxa"/>
            <w:gridSpan w:val="4"/>
            <w:shd w:val="clear" w:color="auto" w:fill="F2F2F2" w:themeFill="background1" w:themeFillShade="F2"/>
            <w:tcMar>
              <w:left w:w="105" w:type="dxa"/>
              <w:right w:w="105" w:type="dxa"/>
            </w:tcMar>
            <w:vAlign w:val="center"/>
          </w:tcPr>
          <w:p w:rsidR="573B7504" w:rsidP="573B7504" w:rsidRDefault="573B7504" w14:paraId="058DCA76" w14:textId="762E9C7A">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If YES</w:t>
            </w:r>
            <w:r w:rsidRPr="573B7504" w:rsidR="573B7504">
              <w:rPr>
                <w:rFonts w:ascii="Arial" w:hAnsi="Arial" w:eastAsia="Arial" w:cs="Arial"/>
                <w:b w:val="1"/>
                <w:bCs w:val="1"/>
                <w:i w:val="0"/>
                <w:iCs w:val="0"/>
                <w:sz w:val="22"/>
                <w:szCs w:val="22"/>
                <w:lang w:val="en-GB"/>
              </w:rPr>
              <w:t xml:space="preserve"> </w:t>
            </w:r>
            <w:r w:rsidRPr="573B7504" w:rsidR="573B7504">
              <w:rPr>
                <w:rFonts w:ascii="Arial" w:hAnsi="Arial" w:eastAsia="Arial" w:cs="Arial"/>
                <w:b w:val="0"/>
                <w:bCs w:val="0"/>
                <w:i w:val="0"/>
                <w:iCs w:val="0"/>
                <w:sz w:val="22"/>
                <w:szCs w:val="22"/>
                <w:lang w:val="en-GB"/>
              </w:rPr>
              <w:t xml:space="preserve">to any question, please provide full details </w:t>
            </w:r>
          </w:p>
        </w:tc>
      </w:tr>
      <w:tr w:rsidR="573B7504" w:rsidTr="573B7504" w14:paraId="34917BED">
        <w:trPr>
          <w:trHeight w:val="390"/>
        </w:trPr>
        <w:tc>
          <w:tcPr>
            <w:tcW w:w="555" w:type="dxa"/>
            <w:tcMar>
              <w:left w:w="105" w:type="dxa"/>
              <w:right w:w="105" w:type="dxa"/>
            </w:tcMar>
            <w:vAlign w:val="center"/>
          </w:tcPr>
          <w:p w:rsidR="573B7504" w:rsidP="573B7504" w:rsidRDefault="573B7504" w14:paraId="1FBD0256" w14:textId="7456251D">
            <w:pPr>
              <w:bidi w:val="0"/>
              <w:jc w:val="center"/>
              <w:rPr>
                <w:rFonts w:ascii="Arial" w:hAnsi="Arial" w:eastAsia="Arial" w:cs="Arial"/>
                <w:b w:val="0"/>
                <w:bCs w:val="0"/>
                <w:i w:val="0"/>
                <w:iCs w:val="0"/>
                <w:sz w:val="22"/>
                <w:szCs w:val="22"/>
              </w:rPr>
            </w:pPr>
          </w:p>
        </w:tc>
        <w:tc>
          <w:tcPr>
            <w:tcW w:w="9900" w:type="dxa"/>
            <w:gridSpan w:val="4"/>
            <w:tcMar>
              <w:left w:w="105" w:type="dxa"/>
              <w:right w:w="105" w:type="dxa"/>
            </w:tcMar>
            <w:vAlign w:val="center"/>
          </w:tcPr>
          <w:p w:rsidR="573B7504" w:rsidP="573B7504" w:rsidRDefault="573B7504" w14:paraId="0A959ACA" w14:textId="573CBB80">
            <w:pPr>
              <w:bidi w:val="0"/>
              <w:rPr>
                <w:rFonts w:ascii="Arial" w:hAnsi="Arial" w:eastAsia="Arial" w:cs="Arial"/>
                <w:b w:val="0"/>
                <w:bCs w:val="0"/>
                <w:i w:val="0"/>
                <w:iCs w:val="0"/>
                <w:color w:val="00B050"/>
                <w:sz w:val="22"/>
                <w:szCs w:val="22"/>
              </w:rPr>
            </w:pPr>
            <w:r w:rsidRPr="573B7504" w:rsidR="573B7504">
              <w:rPr>
                <w:rFonts w:ascii="Arial" w:hAnsi="Arial" w:eastAsia="Arial" w:cs="Arial"/>
                <w:b w:val="0"/>
                <w:bCs w:val="0"/>
                <w:i w:val="0"/>
                <w:iCs w:val="0"/>
                <w:color w:val="00B050"/>
                <w:sz w:val="22"/>
                <w:szCs w:val="22"/>
                <w:lang w:val="en-GB"/>
              </w:rPr>
              <w:t>You should be able to tick NO for most of these questions. For any cases that you have ticked YES then provide details in this box. If you are using cameras/voice recorders to record interviews, then please state that in this box.</w:t>
            </w:r>
          </w:p>
          <w:p w:rsidR="573B7504" w:rsidP="573B7504" w:rsidRDefault="573B7504" w14:paraId="4E67155E" w14:textId="07394722">
            <w:pPr>
              <w:bidi w:val="0"/>
              <w:rPr>
                <w:rFonts w:ascii="Arial" w:hAnsi="Arial" w:eastAsia="Arial" w:cs="Arial"/>
                <w:b w:val="0"/>
                <w:bCs w:val="0"/>
                <w:i w:val="0"/>
                <w:iCs w:val="0"/>
                <w:sz w:val="22"/>
                <w:szCs w:val="22"/>
              </w:rPr>
            </w:pPr>
          </w:p>
          <w:p w:rsidR="573B7504" w:rsidP="573B7504" w:rsidRDefault="573B7504" w14:paraId="002E48AA" w14:textId="16AC9F5C">
            <w:pPr>
              <w:bidi w:val="0"/>
              <w:rPr>
                <w:rFonts w:ascii="Arial" w:hAnsi="Arial" w:eastAsia="Arial" w:cs="Arial"/>
                <w:b w:val="0"/>
                <w:bCs w:val="0"/>
                <w:i w:val="0"/>
                <w:iCs w:val="0"/>
                <w:color w:val="808080" w:themeColor="background1" w:themeTint="FF" w:themeShade="80"/>
                <w:sz w:val="18"/>
                <w:szCs w:val="18"/>
              </w:rPr>
            </w:pPr>
            <w:r w:rsidRPr="573B7504" w:rsidR="573B7504">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Pr="00D97AB2" w:rsidR="00D97AB2" w:rsidP="573B7504" w:rsidRDefault="00D97AB2" w14:paraId="450E0A44" w14:textId="24568986">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5031C88F" w14:textId="063097C3">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1"/>
          <w:bCs w:val="1"/>
          <w:i w:val="0"/>
          <w:iCs w:val="0"/>
          <w:caps w:val="0"/>
          <w:smallCaps w:val="0"/>
          <w:noProof w:val="0"/>
          <w:color w:val="000000" w:themeColor="text1" w:themeTint="FF" w:themeShade="FF"/>
          <w:sz w:val="22"/>
          <w:szCs w:val="22"/>
          <w:lang w:val="en-GB"/>
        </w:rPr>
        <w:t>SECTION F: Anticipated Risks</w:t>
      </w:r>
    </w:p>
    <w:p w:rsidRPr="00D97AB2" w:rsidR="00D97AB2" w:rsidP="573B7504" w:rsidRDefault="00D97AB2" w14:paraId="0018A1CC" w14:textId="43F99734">
      <w:pPr>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4980"/>
        <w:gridCol w:w="4920"/>
      </w:tblGrid>
      <w:tr w:rsidR="573B7504" w:rsidTr="573B7504" w14:paraId="570639A1">
        <w:trPr>
          <w:trHeight w:val="300"/>
        </w:trPr>
        <w:tc>
          <w:tcPr>
            <w:tcW w:w="585" w:type="dxa"/>
            <w:tcBorders>
              <w:top w:val="single" w:sz="4"/>
              <w:left w:val="single" w:sz="4"/>
              <w:bottom w:val="single" w:sz="4"/>
              <w:right w:val="single" w:sz="4"/>
            </w:tcBorders>
            <w:shd w:val="clear" w:color="auto" w:fill="F2F2F2" w:themeFill="background1" w:themeFillShade="F2"/>
            <w:tcMar>
              <w:left w:w="105" w:type="dxa"/>
              <w:right w:w="105" w:type="dxa"/>
            </w:tcMar>
            <w:vAlign w:val="top"/>
          </w:tcPr>
          <w:p w:rsidR="573B7504" w:rsidP="573B7504" w:rsidRDefault="573B7504" w14:paraId="5E53CA55" w14:textId="19C1AA5F">
            <w:pPr>
              <w:keepNext w:val="1"/>
              <w:tabs>
                <w:tab w:val="left" w:leader="none" w:pos="5103"/>
              </w:tabs>
              <w:bidi w:val="0"/>
              <w:jc w:val="left"/>
              <w:rPr>
                <w:rFonts w:ascii="Arial" w:hAnsi="Arial" w:eastAsia="Arial" w:cs="Arial"/>
                <w:b w:val="1"/>
                <w:bCs w:val="1"/>
                <w:i w:val="0"/>
                <w:iCs w:val="0"/>
                <w:sz w:val="22"/>
                <w:szCs w:val="22"/>
              </w:rPr>
            </w:pPr>
          </w:p>
        </w:tc>
        <w:tc>
          <w:tcPr>
            <w:tcW w:w="9900" w:type="dxa"/>
            <w:gridSpan w:val="2"/>
            <w:tcBorders>
              <w:top w:val="single" w:sz="4"/>
              <w:left w:val="single" w:sz="4"/>
              <w:bottom w:val="single" w:sz="4"/>
              <w:right w:val="single" w:sz="4"/>
            </w:tcBorders>
            <w:shd w:val="clear" w:color="auto" w:fill="F2F2F2" w:themeFill="background1" w:themeFillShade="F2"/>
            <w:tcMar>
              <w:left w:w="105" w:type="dxa"/>
              <w:right w:w="105" w:type="dxa"/>
            </w:tcMar>
            <w:vAlign w:val="top"/>
          </w:tcPr>
          <w:p w:rsidR="573B7504" w:rsidP="573B7504" w:rsidRDefault="573B7504" w14:paraId="4E8C1C30" w14:textId="3B635B48">
            <w:pPr>
              <w:pStyle w:val="Heading1"/>
              <w:keepNext w:val="1"/>
              <w:tabs>
                <w:tab w:val="left" w:leader="none" w:pos="5103"/>
              </w:tabs>
              <w:bidi w:val="0"/>
              <w:jc w:val="left"/>
              <w:rPr>
                <w:rFonts w:ascii="Arial" w:hAnsi="Arial" w:eastAsia="Arial" w:cs="Arial"/>
                <w:b w:val="1"/>
                <w:bCs w:val="1"/>
                <w:i w:val="0"/>
                <w:iCs w:val="0"/>
                <w:sz w:val="22"/>
                <w:szCs w:val="22"/>
              </w:rPr>
            </w:pPr>
            <w:r w:rsidRPr="573B7504" w:rsidR="573B7504">
              <w:rPr>
                <w:rFonts w:ascii="Arial" w:hAnsi="Arial" w:eastAsia="Arial" w:cs="Arial"/>
                <w:b w:val="1"/>
                <w:bCs w:val="1"/>
                <w:i w:val="0"/>
                <w:iCs w:val="0"/>
                <w:sz w:val="22"/>
                <w:szCs w:val="22"/>
                <w:lang w:val="en-GB"/>
              </w:rPr>
              <w:t xml:space="preserve">Outline any anticipated risks that may adversely affect any of the participants, the researchers and/or the University, and the steps that will be taken to address them.  </w:t>
            </w:r>
          </w:p>
        </w:tc>
      </w:tr>
      <w:tr w:rsidR="573B7504" w:rsidTr="573B7504" w14:paraId="2D07D3B1">
        <w:trPr>
          <w:trHeight w:val="300"/>
        </w:trPr>
        <w:tc>
          <w:tcPr>
            <w:tcW w:w="58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78DD3000" w14:textId="561A143C">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w:t>
            </w:r>
          </w:p>
        </w:tc>
        <w:tc>
          <w:tcPr>
            <w:tcW w:w="9900" w:type="dxa"/>
            <w:gridSpan w:val="2"/>
            <w:tcBorders>
              <w:top w:val="single" w:sz="4"/>
              <w:left w:val="single" w:sz="4"/>
              <w:bottom w:val="single" w:sz="4"/>
              <w:right w:val="single" w:sz="4"/>
            </w:tcBorders>
            <w:shd w:val="clear" w:color="auto" w:fill="F2F2F2" w:themeFill="background1" w:themeFillShade="F2"/>
            <w:tcMar>
              <w:left w:w="105" w:type="dxa"/>
              <w:right w:w="105" w:type="dxa"/>
            </w:tcMar>
            <w:vAlign w:val="top"/>
          </w:tcPr>
          <w:p w:rsidR="573B7504" w:rsidP="573B7504" w:rsidRDefault="573B7504" w14:paraId="69FB470F" w14:textId="6B4D7CF0">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Risks to participants</w:t>
            </w:r>
          </w:p>
          <w:p w:rsidR="573B7504" w:rsidP="573B7504" w:rsidRDefault="573B7504" w14:paraId="257AB187" w14:textId="1EEBBEEF">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573B7504" w:rsidTr="573B7504" w14:paraId="276521EF">
        <w:trPr>
          <w:trHeight w:val="300"/>
        </w:trPr>
        <w:tc>
          <w:tcPr>
            <w:tcW w:w="585" w:type="dxa"/>
            <w:tcBorders>
              <w:top w:val="single" w:sz="4"/>
              <w:left w:val="single" w:sz="4"/>
              <w:bottom w:val="single" w:sz="4"/>
              <w:right w:val="single" w:sz="4"/>
            </w:tcBorders>
            <w:tcMar>
              <w:left w:w="105" w:type="dxa"/>
              <w:right w:w="105" w:type="dxa"/>
            </w:tcMar>
            <w:vAlign w:val="center"/>
          </w:tcPr>
          <w:p w:rsidR="573B7504" w:rsidP="573B7504" w:rsidRDefault="573B7504" w14:paraId="1252157A" w14:textId="25850C2F">
            <w:pPr>
              <w:bidi w:val="0"/>
              <w:jc w:val="center"/>
              <w:rPr>
                <w:rFonts w:ascii="Arial" w:hAnsi="Arial" w:eastAsia="Arial" w:cs="Arial"/>
                <w:b w:val="0"/>
                <w:bCs w:val="0"/>
                <w:i w:val="0"/>
                <w:iCs w:val="0"/>
                <w:sz w:val="22"/>
                <w:szCs w:val="22"/>
              </w:rPr>
            </w:pPr>
          </w:p>
        </w:tc>
        <w:tc>
          <w:tcPr>
            <w:tcW w:w="4980" w:type="dxa"/>
            <w:tcBorders>
              <w:top w:val="single" w:sz="4"/>
              <w:left w:val="single" w:sz="4"/>
              <w:bottom w:val="single" w:sz="4"/>
              <w:right w:val="single" w:sz="4"/>
            </w:tcBorders>
            <w:tcMar>
              <w:left w:w="105" w:type="dxa"/>
              <w:right w:w="105" w:type="dxa"/>
            </w:tcMar>
            <w:vAlign w:val="top"/>
          </w:tcPr>
          <w:p w:rsidR="573B7504" w:rsidP="573B7504" w:rsidRDefault="573B7504" w14:paraId="0B1BDF58" w14:textId="6B07C86E">
            <w:p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Risk to participants:</w:t>
            </w:r>
          </w:p>
          <w:p w:rsidR="573B7504" w:rsidP="573B7504" w:rsidRDefault="573B7504" w14:paraId="6E132882" w14:textId="6FA3C981">
            <w:p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Not applicable with no participants involved.</w:t>
            </w:r>
          </w:p>
          <w:p w:rsidR="573B7504" w:rsidP="573B7504" w:rsidRDefault="573B7504" w14:paraId="02367841" w14:textId="6FC452D8">
            <w:pPr>
              <w:bidi w:val="0"/>
              <w:rPr>
                <w:rFonts w:ascii="Arial" w:hAnsi="Arial" w:eastAsia="Arial" w:cs="Arial"/>
                <w:b w:val="0"/>
                <w:bCs w:val="0"/>
                <w:i w:val="0"/>
                <w:iCs w:val="0"/>
                <w:color w:val="000000" w:themeColor="text1" w:themeTint="FF" w:themeShade="FF"/>
                <w:sz w:val="22"/>
                <w:szCs w:val="22"/>
              </w:rPr>
            </w:pPr>
          </w:p>
        </w:tc>
        <w:tc>
          <w:tcPr>
            <w:tcW w:w="4920" w:type="dxa"/>
            <w:tcBorders>
              <w:top w:val="single" w:sz="4"/>
              <w:left w:val="single" w:sz="4"/>
              <w:bottom w:val="single" w:sz="4"/>
              <w:right w:val="single" w:sz="4"/>
            </w:tcBorders>
            <w:tcMar>
              <w:left w:w="105" w:type="dxa"/>
              <w:right w:w="105" w:type="dxa"/>
            </w:tcMar>
            <w:vAlign w:val="top"/>
          </w:tcPr>
          <w:p w:rsidR="573B7504" w:rsidP="573B7504" w:rsidRDefault="573B7504" w14:paraId="4388717B" w14:textId="25558122">
            <w:pPr>
              <w:bidi w:val="0"/>
              <w:rPr>
                <w:rFonts w:ascii="Arial" w:hAnsi="Arial" w:eastAsia="Arial" w:cs="Arial"/>
                <w:b w:val="0"/>
                <w:bCs w:val="0"/>
                <w:i w:val="0"/>
                <w:iCs w:val="0"/>
                <w:sz w:val="18"/>
                <w:szCs w:val="18"/>
              </w:rPr>
            </w:pPr>
            <w:r w:rsidRPr="573B7504" w:rsidR="573B7504">
              <w:rPr>
                <w:rFonts w:ascii="Arial" w:hAnsi="Arial" w:eastAsia="Arial" w:cs="Arial"/>
                <w:b w:val="0"/>
                <w:bCs w:val="0"/>
                <w:i w:val="1"/>
                <w:iCs w:val="1"/>
                <w:sz w:val="18"/>
                <w:szCs w:val="18"/>
                <w:lang w:val="en-GB"/>
              </w:rPr>
              <w:t>How you will mitigate the risk to participants:</w:t>
            </w:r>
          </w:p>
          <w:p w:rsidR="573B7504" w:rsidP="573B7504" w:rsidRDefault="573B7504" w14:paraId="0BD16880" w14:textId="3C543327">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No risks in respect of participants are expected.</w:t>
            </w:r>
          </w:p>
          <w:p w:rsidR="573B7504" w:rsidP="573B7504" w:rsidRDefault="573B7504" w14:paraId="7E6DBB4C" w14:textId="5BF3BB0E">
            <w:pPr>
              <w:bidi w:val="0"/>
              <w:rPr>
                <w:rFonts w:ascii="Times New Roman" w:hAnsi="Times New Roman" w:eastAsia="Times New Roman" w:cs="Times New Roman"/>
                <w:b w:val="0"/>
                <w:bCs w:val="0"/>
                <w:i w:val="0"/>
                <w:iCs w:val="0"/>
                <w:sz w:val="20"/>
                <w:szCs w:val="20"/>
              </w:rPr>
            </w:pPr>
          </w:p>
        </w:tc>
      </w:tr>
      <w:tr w:rsidR="573B7504" w:rsidTr="573B7504" w14:paraId="233473B8">
        <w:trPr>
          <w:trHeight w:val="300"/>
        </w:trPr>
        <w:tc>
          <w:tcPr>
            <w:tcW w:w="58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67BF9BA1" w14:textId="16E1CBA2">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w:t>
            </w:r>
          </w:p>
        </w:tc>
        <w:tc>
          <w:tcPr>
            <w:tcW w:w="9900" w:type="dxa"/>
            <w:gridSpan w:val="2"/>
            <w:tcBorders>
              <w:top w:val="single" w:sz="4"/>
              <w:left w:val="single" w:sz="4"/>
              <w:bottom w:val="single" w:sz="4"/>
              <w:right w:val="single" w:sz="4"/>
            </w:tcBorders>
            <w:shd w:val="clear" w:color="auto" w:fill="F2F2F2" w:themeFill="background1" w:themeFillShade="F2"/>
            <w:tcMar>
              <w:left w:w="105" w:type="dxa"/>
              <w:right w:w="105" w:type="dxa"/>
            </w:tcMar>
            <w:vAlign w:val="top"/>
          </w:tcPr>
          <w:p w:rsidR="573B7504" w:rsidP="573B7504" w:rsidRDefault="573B7504" w14:paraId="4493BC18" w14:textId="562F1AEE">
            <w:pPr>
              <w:bidi w:val="0"/>
              <w:rPr>
                <w:rFonts w:ascii="Arial" w:hAnsi="Arial" w:eastAsia="Arial" w:cs="Arial"/>
                <w:b w:val="0"/>
                <w:bCs w:val="0"/>
                <w:i w:val="0"/>
                <w:iCs w:val="0"/>
                <w:color w:val="161616"/>
                <w:sz w:val="22"/>
                <w:szCs w:val="22"/>
              </w:rPr>
            </w:pPr>
            <w:r w:rsidRPr="573B7504" w:rsidR="573B7504">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573B7504" w:rsidR="573B7504">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573B7504" w:rsidTr="573B7504" w14:paraId="44415D3B">
        <w:trPr>
          <w:trHeight w:val="300"/>
        </w:trPr>
        <w:tc>
          <w:tcPr>
            <w:tcW w:w="585" w:type="dxa"/>
            <w:tcBorders>
              <w:top w:val="single" w:sz="4"/>
              <w:left w:val="single" w:sz="4"/>
              <w:bottom w:val="single" w:sz="4"/>
              <w:right w:val="single" w:sz="4"/>
            </w:tcBorders>
            <w:tcMar>
              <w:left w:w="105" w:type="dxa"/>
              <w:right w:w="105" w:type="dxa"/>
            </w:tcMar>
            <w:vAlign w:val="center"/>
          </w:tcPr>
          <w:p w:rsidR="573B7504" w:rsidP="573B7504" w:rsidRDefault="573B7504" w14:paraId="41E0052E" w14:textId="3F335741">
            <w:pPr>
              <w:bidi w:val="0"/>
              <w:jc w:val="center"/>
              <w:rPr>
                <w:rFonts w:ascii="Arial" w:hAnsi="Arial" w:eastAsia="Arial" w:cs="Arial"/>
                <w:b w:val="0"/>
                <w:bCs w:val="0"/>
                <w:i w:val="0"/>
                <w:iCs w:val="0"/>
                <w:sz w:val="22"/>
                <w:szCs w:val="22"/>
              </w:rPr>
            </w:pPr>
          </w:p>
        </w:tc>
        <w:tc>
          <w:tcPr>
            <w:tcW w:w="9900" w:type="dxa"/>
            <w:gridSpan w:val="2"/>
            <w:tcBorders>
              <w:top w:val="single" w:sz="4"/>
              <w:left w:val="single" w:sz="4"/>
              <w:bottom w:val="single" w:sz="4"/>
              <w:right w:val="single" w:sz="4"/>
            </w:tcBorders>
            <w:tcMar>
              <w:left w:w="105" w:type="dxa"/>
              <w:right w:w="105" w:type="dxa"/>
            </w:tcMar>
            <w:vAlign w:val="top"/>
          </w:tcPr>
          <w:p w:rsidR="573B7504" w:rsidP="573B7504" w:rsidRDefault="573B7504" w14:paraId="7FE5D2E3" w14:textId="519545D4">
            <w:pPr>
              <w:bidi w:val="0"/>
              <w:rPr>
                <w:rFonts w:ascii="Arial" w:hAnsi="Arial" w:eastAsia="Arial" w:cs="Arial"/>
                <w:b w:val="0"/>
                <w:bCs w:val="0"/>
                <w:i w:val="0"/>
                <w:iCs w:val="0"/>
                <w:sz w:val="22"/>
                <w:szCs w:val="22"/>
              </w:rPr>
            </w:pPr>
          </w:p>
          <w:p w:rsidR="573B7504" w:rsidP="573B7504" w:rsidRDefault="573B7504" w14:paraId="4B85FA22" w14:textId="041D13FF">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Specific subjects or interviews will not be mentioned, as there will be no collection of sensitive personal information. There are no procedures required.</w:t>
            </w:r>
          </w:p>
          <w:p w:rsidR="573B7504" w:rsidP="573B7504" w:rsidRDefault="573B7504" w14:paraId="5B84148B" w14:textId="108693F6">
            <w:pPr>
              <w:bidi w:val="0"/>
              <w:rPr>
                <w:rFonts w:ascii="Times New Roman" w:hAnsi="Times New Roman" w:eastAsia="Times New Roman" w:cs="Times New Roman"/>
                <w:b w:val="0"/>
                <w:bCs w:val="0"/>
                <w:i w:val="0"/>
                <w:iCs w:val="0"/>
                <w:sz w:val="20"/>
                <w:szCs w:val="20"/>
              </w:rPr>
            </w:pPr>
          </w:p>
        </w:tc>
      </w:tr>
      <w:tr w:rsidR="573B7504" w:rsidTr="573B7504" w14:paraId="7CFEBBB6">
        <w:trPr>
          <w:trHeight w:val="300"/>
        </w:trPr>
        <w:tc>
          <w:tcPr>
            <w:tcW w:w="58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361058DD" w14:textId="03479B24">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3</w:t>
            </w:r>
          </w:p>
        </w:tc>
        <w:tc>
          <w:tcPr>
            <w:tcW w:w="9900" w:type="dxa"/>
            <w:gridSpan w:val="2"/>
            <w:tcBorders>
              <w:top w:val="single" w:sz="4"/>
              <w:left w:val="single" w:sz="4"/>
              <w:bottom w:val="single" w:sz="4"/>
              <w:right w:val="single" w:sz="4"/>
            </w:tcBorders>
            <w:shd w:val="clear" w:color="auto" w:fill="F2F2F2" w:themeFill="background1" w:themeFillShade="F2"/>
            <w:tcMar>
              <w:left w:w="105" w:type="dxa"/>
              <w:right w:w="105" w:type="dxa"/>
            </w:tcMar>
            <w:vAlign w:val="top"/>
          </w:tcPr>
          <w:p w:rsidR="573B7504" w:rsidP="573B7504" w:rsidRDefault="573B7504" w14:paraId="2B39C4DA" w14:textId="6951F2F4">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Risks to the investigator</w:t>
            </w:r>
          </w:p>
          <w:p w:rsidR="573B7504" w:rsidP="573B7504" w:rsidRDefault="573B7504" w14:paraId="4ED502E3" w14:textId="68F4E197">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573B7504" w:rsidTr="573B7504" w14:paraId="1D42729C">
        <w:trPr>
          <w:trHeight w:val="300"/>
        </w:trPr>
        <w:tc>
          <w:tcPr>
            <w:tcW w:w="585" w:type="dxa"/>
            <w:tcBorders>
              <w:top w:val="single" w:sz="4"/>
              <w:left w:val="single" w:sz="4"/>
              <w:bottom w:val="single" w:sz="4"/>
              <w:right w:val="single" w:sz="4"/>
            </w:tcBorders>
            <w:tcMar>
              <w:left w:w="105" w:type="dxa"/>
              <w:right w:w="105" w:type="dxa"/>
            </w:tcMar>
            <w:vAlign w:val="center"/>
          </w:tcPr>
          <w:p w:rsidR="573B7504" w:rsidP="573B7504" w:rsidRDefault="573B7504" w14:paraId="2B2DB204" w14:textId="62C30E79">
            <w:pPr>
              <w:bidi w:val="0"/>
              <w:jc w:val="center"/>
              <w:rPr>
                <w:rFonts w:ascii="Arial" w:hAnsi="Arial" w:eastAsia="Arial" w:cs="Arial"/>
                <w:b w:val="0"/>
                <w:bCs w:val="0"/>
                <w:i w:val="0"/>
                <w:iCs w:val="0"/>
                <w:sz w:val="22"/>
                <w:szCs w:val="22"/>
              </w:rPr>
            </w:pPr>
          </w:p>
        </w:tc>
        <w:tc>
          <w:tcPr>
            <w:tcW w:w="4980" w:type="dxa"/>
            <w:tcBorders>
              <w:top w:val="single" w:sz="4"/>
              <w:left w:val="single" w:sz="4"/>
              <w:bottom w:val="single" w:sz="4"/>
              <w:right w:val="single" w:sz="4"/>
            </w:tcBorders>
            <w:tcMar>
              <w:left w:w="105" w:type="dxa"/>
              <w:right w:w="105" w:type="dxa"/>
            </w:tcMar>
            <w:vAlign w:val="top"/>
          </w:tcPr>
          <w:p w:rsidR="573B7504" w:rsidP="573B7504" w:rsidRDefault="573B7504" w14:paraId="27DA55E9" w14:textId="0694FA82">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Risk to the investigator:</w:t>
            </w:r>
          </w:p>
          <w:p w:rsidR="573B7504" w:rsidP="573B7504" w:rsidRDefault="573B7504" w14:paraId="01823FC4" w14:textId="333C51FC">
            <w:pPr>
              <w:bidi w:val="0"/>
              <w:rPr>
                <w:rFonts w:ascii="Arial" w:hAnsi="Arial" w:eastAsia="Arial" w:cs="Arial"/>
                <w:b w:val="0"/>
                <w:bCs w:val="0"/>
                <w:i w:val="0"/>
                <w:iCs w:val="0"/>
                <w:sz w:val="22"/>
                <w:szCs w:val="22"/>
              </w:rPr>
            </w:pPr>
          </w:p>
          <w:p w:rsidR="573B7504" w:rsidP="573B7504" w:rsidRDefault="573B7504" w14:paraId="7B9D736C" w14:textId="6F5D86A9">
            <w:p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Misinterpretation of literature, bias of researcher, plagiarism or accidental loss of the research data.</w:t>
            </w:r>
          </w:p>
          <w:p w:rsidR="573B7504" w:rsidP="573B7504" w:rsidRDefault="573B7504" w14:paraId="73A28F81" w14:textId="3F1FBF84">
            <w:pPr>
              <w:bidi w:val="0"/>
              <w:rPr>
                <w:rFonts w:ascii="Arial" w:hAnsi="Arial" w:eastAsia="Arial" w:cs="Arial"/>
                <w:b w:val="0"/>
                <w:bCs w:val="0"/>
                <w:i w:val="0"/>
                <w:iCs w:val="0"/>
                <w:sz w:val="22"/>
                <w:szCs w:val="22"/>
              </w:rPr>
            </w:pPr>
          </w:p>
        </w:tc>
        <w:tc>
          <w:tcPr>
            <w:tcW w:w="4920" w:type="dxa"/>
            <w:tcBorders>
              <w:top w:val="single" w:sz="4"/>
              <w:left w:val="single" w:sz="4"/>
              <w:bottom w:val="single" w:sz="4"/>
              <w:right w:val="single" w:sz="4"/>
            </w:tcBorders>
            <w:tcMar>
              <w:left w:w="105" w:type="dxa"/>
              <w:right w:w="105" w:type="dxa"/>
            </w:tcMar>
            <w:vAlign w:val="top"/>
          </w:tcPr>
          <w:p w:rsidR="573B7504" w:rsidP="573B7504" w:rsidRDefault="573B7504" w14:paraId="6874E4C6" w14:textId="122CD648">
            <w:pPr>
              <w:bidi w:val="0"/>
              <w:rPr>
                <w:rFonts w:ascii="Arial" w:hAnsi="Arial" w:eastAsia="Arial" w:cs="Arial"/>
                <w:b w:val="0"/>
                <w:bCs w:val="0"/>
                <w:i w:val="0"/>
                <w:iCs w:val="0"/>
                <w:sz w:val="18"/>
                <w:szCs w:val="18"/>
              </w:rPr>
            </w:pPr>
            <w:r w:rsidRPr="573B7504" w:rsidR="573B7504">
              <w:rPr>
                <w:rFonts w:ascii="Arial" w:hAnsi="Arial" w:eastAsia="Arial" w:cs="Arial"/>
                <w:b w:val="0"/>
                <w:bCs w:val="0"/>
                <w:i w:val="1"/>
                <w:iCs w:val="1"/>
                <w:sz w:val="18"/>
                <w:szCs w:val="18"/>
                <w:lang w:val="en-GB"/>
              </w:rPr>
              <w:t>How you will mitigate the risk to the investigator:</w:t>
            </w:r>
          </w:p>
          <w:p w:rsidR="573B7504" w:rsidP="573B7504" w:rsidRDefault="573B7504" w14:paraId="6BC8A4C6" w14:textId="06EC0A5C">
            <w:pPr>
              <w:bidi w:val="0"/>
              <w:rPr>
                <w:rFonts w:ascii="Arial" w:hAnsi="Arial" w:eastAsia="Arial" w:cs="Arial"/>
                <w:b w:val="0"/>
                <w:bCs w:val="0"/>
                <w:i w:val="0"/>
                <w:iCs w:val="0"/>
                <w:sz w:val="18"/>
                <w:szCs w:val="18"/>
              </w:rPr>
            </w:pPr>
          </w:p>
          <w:p w:rsidR="573B7504" w:rsidP="573B7504" w:rsidRDefault="573B7504" w14:paraId="0FE9062F" w14:textId="74D8EDC1">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Systematic review procedures for the literature will be followed. Sources will be assessed and appropriately cited. Data will be stored in a secure manner and backed up regularly.</w:t>
            </w:r>
          </w:p>
          <w:p w:rsidR="573B7504" w:rsidP="573B7504" w:rsidRDefault="573B7504" w14:paraId="3634DF97" w14:textId="23A3A040">
            <w:pPr>
              <w:bidi w:val="0"/>
              <w:rPr>
                <w:rFonts w:ascii="Times New Roman" w:hAnsi="Times New Roman" w:eastAsia="Times New Roman" w:cs="Times New Roman"/>
                <w:b w:val="0"/>
                <w:bCs w:val="0"/>
                <w:i w:val="0"/>
                <w:iCs w:val="0"/>
                <w:sz w:val="20"/>
                <w:szCs w:val="20"/>
              </w:rPr>
            </w:pPr>
          </w:p>
        </w:tc>
      </w:tr>
      <w:tr w:rsidR="573B7504" w:rsidTr="573B7504" w14:paraId="41E7D88C">
        <w:trPr>
          <w:trHeight w:val="300"/>
        </w:trPr>
        <w:tc>
          <w:tcPr>
            <w:tcW w:w="58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27212AA0" w14:textId="2D8121CD">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4</w:t>
            </w:r>
          </w:p>
        </w:tc>
        <w:tc>
          <w:tcPr>
            <w:tcW w:w="9900" w:type="dxa"/>
            <w:gridSpan w:val="2"/>
            <w:tcBorders>
              <w:top w:val="single" w:sz="4"/>
              <w:left w:val="single" w:sz="4"/>
              <w:bottom w:val="single" w:sz="4"/>
              <w:right w:val="single" w:sz="4"/>
            </w:tcBorders>
            <w:shd w:val="clear" w:color="auto" w:fill="F2F2F2" w:themeFill="background1" w:themeFillShade="F2"/>
            <w:tcMar>
              <w:left w:w="105" w:type="dxa"/>
              <w:right w:w="105" w:type="dxa"/>
            </w:tcMar>
            <w:vAlign w:val="top"/>
          </w:tcPr>
          <w:p w:rsidR="573B7504" w:rsidP="573B7504" w:rsidRDefault="573B7504" w14:paraId="67025A83" w14:textId="6F7A6FC1">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University/institutional risks</w:t>
            </w:r>
          </w:p>
          <w:p w:rsidR="573B7504" w:rsidP="573B7504" w:rsidRDefault="573B7504" w14:paraId="21F784AB" w14:textId="6622325D">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For example: adverse publicity, financial loss, data protection</w:t>
            </w:r>
          </w:p>
        </w:tc>
      </w:tr>
      <w:tr w:rsidR="573B7504" w:rsidTr="573B7504" w14:paraId="71C09F3A">
        <w:trPr>
          <w:trHeight w:val="300"/>
        </w:trPr>
        <w:tc>
          <w:tcPr>
            <w:tcW w:w="585" w:type="dxa"/>
            <w:tcBorders>
              <w:top w:val="single" w:sz="4"/>
              <w:left w:val="single" w:sz="4"/>
              <w:bottom w:val="single" w:sz="4"/>
              <w:right w:val="single" w:sz="4"/>
            </w:tcBorders>
            <w:tcMar>
              <w:left w:w="105" w:type="dxa"/>
              <w:right w:w="105" w:type="dxa"/>
            </w:tcMar>
            <w:vAlign w:val="center"/>
          </w:tcPr>
          <w:p w:rsidR="573B7504" w:rsidP="573B7504" w:rsidRDefault="573B7504" w14:paraId="16F7845F" w14:textId="4DAB3CA3">
            <w:pPr>
              <w:bidi w:val="0"/>
              <w:jc w:val="center"/>
              <w:rPr>
                <w:rFonts w:ascii="Arial" w:hAnsi="Arial" w:eastAsia="Arial" w:cs="Arial"/>
                <w:b w:val="0"/>
                <w:bCs w:val="0"/>
                <w:i w:val="0"/>
                <w:iCs w:val="0"/>
                <w:sz w:val="22"/>
                <w:szCs w:val="22"/>
              </w:rPr>
            </w:pPr>
          </w:p>
        </w:tc>
        <w:tc>
          <w:tcPr>
            <w:tcW w:w="4980" w:type="dxa"/>
            <w:tcBorders>
              <w:top w:val="single" w:sz="4"/>
              <w:left w:val="single" w:sz="4"/>
              <w:bottom w:val="single" w:sz="4"/>
              <w:right w:val="single" w:sz="4"/>
            </w:tcBorders>
            <w:tcMar>
              <w:left w:w="105" w:type="dxa"/>
              <w:right w:w="105" w:type="dxa"/>
            </w:tcMar>
            <w:vAlign w:val="top"/>
          </w:tcPr>
          <w:p w:rsidR="573B7504" w:rsidP="573B7504" w:rsidRDefault="573B7504" w14:paraId="108DE0D7" w14:textId="75731958">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Risk to the University:</w:t>
            </w:r>
          </w:p>
          <w:p w:rsidR="573B7504" w:rsidP="573B7504" w:rsidRDefault="573B7504" w14:paraId="343E46BC" w14:textId="43C1AFEE">
            <w:p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Academic honesty violations, fabrication of results or ethical violations in conducting research.</w:t>
            </w:r>
          </w:p>
          <w:p w:rsidR="573B7504" w:rsidP="573B7504" w:rsidRDefault="573B7504" w14:paraId="683F2E08" w14:textId="79DD4DFF">
            <w:pPr>
              <w:bidi w:val="0"/>
              <w:rPr>
                <w:rFonts w:ascii="Arial" w:hAnsi="Arial" w:eastAsia="Arial" w:cs="Arial"/>
                <w:b w:val="0"/>
                <w:bCs w:val="0"/>
                <w:i w:val="0"/>
                <w:iCs w:val="0"/>
                <w:sz w:val="22"/>
                <w:szCs w:val="22"/>
              </w:rPr>
            </w:pPr>
          </w:p>
        </w:tc>
        <w:tc>
          <w:tcPr>
            <w:tcW w:w="4920" w:type="dxa"/>
            <w:tcBorders>
              <w:top w:val="single" w:sz="4"/>
              <w:left w:val="single" w:sz="4"/>
              <w:bottom w:val="single" w:sz="4"/>
              <w:right w:val="single" w:sz="4"/>
            </w:tcBorders>
            <w:tcMar>
              <w:left w:w="105" w:type="dxa"/>
              <w:right w:w="105" w:type="dxa"/>
            </w:tcMar>
            <w:vAlign w:val="top"/>
          </w:tcPr>
          <w:p w:rsidR="573B7504" w:rsidP="573B7504" w:rsidRDefault="573B7504" w14:paraId="524957FF" w14:textId="7A1547EC">
            <w:pPr>
              <w:bidi w:val="0"/>
              <w:rPr>
                <w:rFonts w:ascii="Arial" w:hAnsi="Arial" w:eastAsia="Arial" w:cs="Arial"/>
                <w:b w:val="0"/>
                <w:bCs w:val="0"/>
                <w:i w:val="0"/>
                <w:iCs w:val="0"/>
                <w:sz w:val="18"/>
                <w:szCs w:val="18"/>
              </w:rPr>
            </w:pPr>
            <w:r w:rsidRPr="573B7504" w:rsidR="573B7504">
              <w:rPr>
                <w:rFonts w:ascii="Arial" w:hAnsi="Arial" w:eastAsia="Arial" w:cs="Arial"/>
                <w:b w:val="0"/>
                <w:bCs w:val="0"/>
                <w:i w:val="1"/>
                <w:iCs w:val="1"/>
                <w:sz w:val="18"/>
                <w:szCs w:val="18"/>
                <w:lang w:val="en-GB"/>
              </w:rPr>
              <w:t>How you will mitigate the risk to the University:</w:t>
            </w:r>
          </w:p>
          <w:p w:rsidR="573B7504" w:rsidP="573B7504" w:rsidRDefault="573B7504" w14:paraId="1E1C54EE" w14:textId="49AFC24A">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The study will adhere to the ethical standards and research integrity and referencing guidelines of UWTSD.</w:t>
            </w:r>
          </w:p>
          <w:p w:rsidR="573B7504" w:rsidP="573B7504" w:rsidRDefault="573B7504" w14:paraId="74D9E78F" w14:textId="5EC63B08">
            <w:pPr>
              <w:bidi w:val="0"/>
              <w:rPr>
                <w:rFonts w:ascii="Times New Roman" w:hAnsi="Times New Roman" w:eastAsia="Times New Roman" w:cs="Times New Roman"/>
                <w:b w:val="0"/>
                <w:bCs w:val="0"/>
                <w:i w:val="0"/>
                <w:iCs w:val="0"/>
                <w:sz w:val="20"/>
                <w:szCs w:val="20"/>
              </w:rPr>
            </w:pPr>
          </w:p>
        </w:tc>
      </w:tr>
      <w:tr w:rsidR="573B7504" w:rsidTr="573B7504" w14:paraId="558E5CA1">
        <w:trPr>
          <w:trHeight w:val="300"/>
        </w:trPr>
        <w:tc>
          <w:tcPr>
            <w:tcW w:w="58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06AE58AA" w14:textId="6DB0FA35">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5</w:t>
            </w:r>
          </w:p>
        </w:tc>
        <w:tc>
          <w:tcPr>
            <w:tcW w:w="9900" w:type="dxa"/>
            <w:gridSpan w:val="2"/>
            <w:tcBorders>
              <w:top w:val="single" w:sz="4"/>
              <w:left w:val="single" w:sz="4"/>
              <w:bottom w:val="single" w:sz="4"/>
              <w:right w:val="single" w:sz="4"/>
            </w:tcBorders>
            <w:shd w:val="clear" w:color="auto" w:fill="F2F2F2" w:themeFill="background1" w:themeFillShade="F2"/>
            <w:tcMar>
              <w:left w:w="105" w:type="dxa"/>
              <w:right w:w="105" w:type="dxa"/>
            </w:tcMar>
            <w:vAlign w:val="top"/>
          </w:tcPr>
          <w:p w:rsidR="573B7504" w:rsidP="573B7504" w:rsidRDefault="573B7504" w14:paraId="13EDC9C2" w14:textId="72746DFA">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Environmental risks</w:t>
            </w:r>
          </w:p>
          <w:p w:rsidR="573B7504" w:rsidP="573B7504" w:rsidRDefault="573B7504" w14:paraId="39AE1CB7" w14:textId="6F953423">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For example: accidental spillage of pollutants, damage to local ecosystems</w:t>
            </w:r>
          </w:p>
        </w:tc>
      </w:tr>
      <w:tr w:rsidR="573B7504" w:rsidTr="573B7504" w14:paraId="0209D86A">
        <w:trPr>
          <w:trHeight w:val="300"/>
        </w:trPr>
        <w:tc>
          <w:tcPr>
            <w:tcW w:w="585" w:type="dxa"/>
            <w:tcBorders>
              <w:top w:val="single" w:sz="4"/>
              <w:left w:val="single" w:sz="4"/>
              <w:bottom w:val="single" w:sz="4"/>
              <w:right w:val="single" w:sz="4"/>
            </w:tcBorders>
            <w:tcMar>
              <w:left w:w="105" w:type="dxa"/>
              <w:right w:w="105" w:type="dxa"/>
            </w:tcMar>
            <w:vAlign w:val="center"/>
          </w:tcPr>
          <w:p w:rsidR="573B7504" w:rsidP="573B7504" w:rsidRDefault="573B7504" w14:paraId="3E7C7E71" w14:textId="0D910DEC">
            <w:pPr>
              <w:bidi w:val="0"/>
              <w:jc w:val="center"/>
              <w:rPr>
                <w:rFonts w:ascii="Arial" w:hAnsi="Arial" w:eastAsia="Arial" w:cs="Arial"/>
                <w:b w:val="0"/>
                <w:bCs w:val="0"/>
                <w:i w:val="0"/>
                <w:iCs w:val="0"/>
                <w:sz w:val="22"/>
                <w:szCs w:val="22"/>
              </w:rPr>
            </w:pPr>
          </w:p>
        </w:tc>
        <w:tc>
          <w:tcPr>
            <w:tcW w:w="4980" w:type="dxa"/>
            <w:tcBorders>
              <w:top w:val="single" w:sz="4"/>
              <w:left w:val="single" w:sz="4"/>
              <w:bottom w:val="single" w:sz="4"/>
              <w:right w:val="single" w:sz="4"/>
            </w:tcBorders>
            <w:tcMar>
              <w:left w:w="105" w:type="dxa"/>
              <w:right w:w="105" w:type="dxa"/>
            </w:tcMar>
            <w:vAlign w:val="top"/>
          </w:tcPr>
          <w:p w:rsidR="573B7504" w:rsidP="573B7504" w:rsidRDefault="573B7504" w14:paraId="00451E8B" w14:textId="2414C3DA">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Risk to the environment:</w:t>
            </w:r>
          </w:p>
          <w:p w:rsidR="573B7504" w:rsidP="573B7504" w:rsidRDefault="573B7504" w14:paraId="5AE062CA" w14:textId="4842F428">
            <w:pPr>
              <w:bidi w:val="0"/>
              <w:rPr>
                <w:rFonts w:ascii="Arial" w:hAnsi="Arial" w:eastAsia="Arial" w:cs="Arial"/>
                <w:b w:val="0"/>
                <w:bCs w:val="0"/>
                <w:i w:val="0"/>
                <w:iCs w:val="0"/>
                <w:sz w:val="22"/>
                <w:szCs w:val="22"/>
              </w:rPr>
            </w:pPr>
          </w:p>
          <w:p w:rsidR="573B7504" w:rsidP="573B7504" w:rsidRDefault="573B7504" w14:paraId="2F4BB213" w14:textId="4DC28639">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Very low environmental footprint in the use of electronic resources.</w:t>
            </w:r>
          </w:p>
          <w:p w:rsidR="573B7504" w:rsidP="573B7504" w:rsidRDefault="573B7504" w14:paraId="0B130BFF" w14:textId="4E4E0FF8">
            <w:pPr>
              <w:bidi w:val="0"/>
              <w:rPr>
                <w:rFonts w:ascii="Arial" w:hAnsi="Arial" w:eastAsia="Arial" w:cs="Arial"/>
                <w:b w:val="0"/>
                <w:bCs w:val="0"/>
                <w:i w:val="0"/>
                <w:iCs w:val="0"/>
                <w:sz w:val="22"/>
                <w:szCs w:val="22"/>
              </w:rPr>
            </w:pPr>
          </w:p>
        </w:tc>
        <w:tc>
          <w:tcPr>
            <w:tcW w:w="4920" w:type="dxa"/>
            <w:tcBorders>
              <w:top w:val="single" w:sz="4"/>
              <w:left w:val="single" w:sz="4"/>
              <w:bottom w:val="single" w:sz="4"/>
              <w:right w:val="single" w:sz="4"/>
            </w:tcBorders>
            <w:tcMar>
              <w:left w:w="105" w:type="dxa"/>
              <w:right w:w="105" w:type="dxa"/>
            </w:tcMar>
            <w:vAlign w:val="top"/>
          </w:tcPr>
          <w:p w:rsidR="573B7504" w:rsidP="573B7504" w:rsidRDefault="573B7504" w14:paraId="7A66EF91" w14:textId="6FFE7F26">
            <w:pPr>
              <w:bidi w:val="0"/>
              <w:rPr>
                <w:rFonts w:ascii="Arial" w:hAnsi="Arial" w:eastAsia="Arial" w:cs="Arial"/>
                <w:b w:val="0"/>
                <w:bCs w:val="0"/>
                <w:i w:val="0"/>
                <w:iCs w:val="0"/>
                <w:sz w:val="18"/>
                <w:szCs w:val="18"/>
              </w:rPr>
            </w:pPr>
            <w:r w:rsidRPr="573B7504" w:rsidR="573B7504">
              <w:rPr>
                <w:rFonts w:ascii="Arial" w:hAnsi="Arial" w:eastAsia="Arial" w:cs="Arial"/>
                <w:b w:val="0"/>
                <w:bCs w:val="0"/>
                <w:i w:val="1"/>
                <w:iCs w:val="1"/>
                <w:sz w:val="18"/>
                <w:szCs w:val="18"/>
                <w:lang w:val="en-GB"/>
              </w:rPr>
              <w:t>How you will mitigate the risk to environment:</w:t>
            </w:r>
          </w:p>
          <w:p w:rsidR="573B7504" w:rsidP="573B7504" w:rsidRDefault="573B7504" w14:paraId="723543FB" w14:textId="35725B78">
            <w:pPr>
              <w:bidi w:val="0"/>
              <w:rPr>
                <w:rFonts w:ascii="Arial" w:hAnsi="Arial" w:eastAsia="Arial" w:cs="Arial"/>
                <w:b w:val="0"/>
                <w:bCs w:val="0"/>
                <w:i w:val="0"/>
                <w:iCs w:val="0"/>
                <w:sz w:val="22"/>
                <w:szCs w:val="22"/>
              </w:rPr>
            </w:pPr>
          </w:p>
          <w:p w:rsidR="573B7504" w:rsidP="573B7504" w:rsidRDefault="573B7504" w14:paraId="46319BCD" w14:textId="5FE47142">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No actual fieldwork will be involved in research, so as to limit environmental impact.</w:t>
            </w:r>
          </w:p>
          <w:p w:rsidR="573B7504" w:rsidP="573B7504" w:rsidRDefault="573B7504" w14:paraId="2BE9F940" w14:textId="72BF6E4D">
            <w:pPr>
              <w:bidi w:val="0"/>
              <w:rPr>
                <w:rFonts w:ascii="Times New Roman" w:hAnsi="Times New Roman" w:eastAsia="Times New Roman" w:cs="Times New Roman"/>
                <w:b w:val="0"/>
                <w:bCs w:val="0"/>
                <w:i w:val="0"/>
                <w:iCs w:val="0"/>
                <w:sz w:val="20"/>
                <w:szCs w:val="20"/>
              </w:rPr>
            </w:pPr>
          </w:p>
        </w:tc>
      </w:tr>
    </w:tbl>
    <w:p w:rsidRPr="00D97AB2" w:rsidR="00D97AB2" w:rsidP="573B7504" w:rsidRDefault="00D97AB2" w14:paraId="283AE7A7" w14:textId="67E1C01A">
      <w:pPr>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D97AB2" w:rsidR="00D97AB2" w:rsidP="573B7504" w:rsidRDefault="00D97AB2" w14:paraId="3307CF33" w14:textId="160BBD89">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1"/>
          <w:bCs w:val="1"/>
          <w:i w:val="0"/>
          <w:iCs w:val="0"/>
          <w:caps w:val="0"/>
          <w:smallCaps w:val="0"/>
          <w:noProof w:val="0"/>
          <w:color w:val="000000" w:themeColor="text1" w:themeTint="FF" w:themeShade="FF"/>
          <w:sz w:val="22"/>
          <w:szCs w:val="22"/>
          <w:lang w:val="en-GB"/>
        </w:rPr>
        <w:t>SECTION G: Feedback, Consent and Confidentiality</w:t>
      </w:r>
    </w:p>
    <w:p w:rsidRPr="00D97AB2" w:rsidR="00D97AB2" w:rsidP="573B7504" w:rsidRDefault="00D97AB2" w14:paraId="4DF899D2" w14:textId="1172154F">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181B8A35" w14:textId="2A6B7F2B">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0"/>
          <w:bCs w:val="0"/>
          <w:i w:val="0"/>
          <w:iCs w:val="0"/>
          <w:caps w:val="0"/>
          <w:smallCaps w:val="0"/>
          <w:noProof w:val="0"/>
          <w:color w:val="000000" w:themeColor="text1" w:themeTint="FF" w:themeShade="FF"/>
          <w:sz w:val="22"/>
          <w:szCs w:val="22"/>
          <w:lang w:val="en-GB"/>
        </w:rPr>
        <w:t>If you have identified in section D that there are no participants, then enter skip this section and continue to section H.</w:t>
      </w:r>
    </w:p>
    <w:p w:rsidRPr="00D97AB2" w:rsidR="00D97AB2" w:rsidP="573B7504" w:rsidRDefault="00D97AB2" w14:paraId="72E19DBF" w14:textId="546D906F">
      <w:pPr>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5"/>
        <w:gridCol w:w="9915"/>
      </w:tblGrid>
      <w:tr w:rsidR="573B7504" w:rsidTr="573B7504" w14:paraId="23BBECF1">
        <w:trPr>
          <w:trHeight w:val="300"/>
        </w:trPr>
        <w:tc>
          <w:tcPr>
            <w:tcW w:w="585" w:type="dxa"/>
            <w:tcBorders>
              <w:top w:val="single" w:sz="4"/>
              <w:left w:val="single" w:sz="4"/>
              <w:bottom w:val="single" w:sz="4"/>
              <w:right w:val="single" w:sz="4"/>
            </w:tcBorders>
            <w:shd w:val="clear" w:color="auto" w:fill="F2F2F2" w:themeFill="background1" w:themeFillShade="F2"/>
            <w:tcMar>
              <w:left w:w="105" w:type="dxa"/>
              <w:right w:w="105" w:type="dxa"/>
            </w:tcMar>
            <w:vAlign w:val="top"/>
          </w:tcPr>
          <w:p w:rsidR="573B7504" w:rsidP="573B7504" w:rsidRDefault="573B7504" w14:paraId="414DDF52" w14:textId="6DCD1434">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w:t>
            </w:r>
          </w:p>
        </w:tc>
        <w:tc>
          <w:tcPr>
            <w:tcW w:w="9915" w:type="dxa"/>
            <w:tcBorders>
              <w:top w:val="single" w:sz="4"/>
              <w:left w:val="single" w:sz="4"/>
              <w:bottom w:val="single" w:sz="4"/>
              <w:right w:val="single" w:sz="4"/>
            </w:tcBorders>
            <w:shd w:val="clear" w:color="auto" w:fill="F2F2F2" w:themeFill="background1" w:themeFillShade="F2"/>
            <w:tcMar>
              <w:left w:w="105" w:type="dxa"/>
              <w:right w:w="105" w:type="dxa"/>
            </w:tcMar>
            <w:vAlign w:val="top"/>
          </w:tcPr>
          <w:p w:rsidR="573B7504" w:rsidP="573B7504" w:rsidRDefault="573B7504" w14:paraId="2832CBE9" w14:textId="69674372">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Feedback</w:t>
            </w:r>
          </w:p>
          <w:p w:rsidR="573B7504" w:rsidP="573B7504" w:rsidRDefault="573B7504" w14:paraId="501BA283" w14:textId="65CA7441">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573B7504" w:rsidTr="573B7504" w14:paraId="16BD3979">
        <w:trPr>
          <w:trHeight w:val="300"/>
        </w:trPr>
        <w:tc>
          <w:tcPr>
            <w:tcW w:w="585" w:type="dxa"/>
            <w:tcBorders>
              <w:top w:val="single" w:sz="4"/>
              <w:left w:val="single" w:sz="4"/>
              <w:bottom w:val="single" w:sz="4"/>
              <w:right w:val="single" w:sz="4"/>
            </w:tcBorders>
            <w:tcMar>
              <w:left w:w="105" w:type="dxa"/>
              <w:right w:w="105" w:type="dxa"/>
            </w:tcMar>
            <w:vAlign w:val="top"/>
          </w:tcPr>
          <w:p w:rsidR="573B7504" w:rsidP="573B7504" w:rsidRDefault="573B7504" w14:paraId="28470431" w14:textId="4F1C9421">
            <w:pPr>
              <w:bidi w:val="0"/>
              <w:rPr>
                <w:rFonts w:ascii="Arial" w:hAnsi="Arial" w:eastAsia="Arial" w:cs="Arial"/>
                <w:b w:val="0"/>
                <w:bCs w:val="0"/>
                <w:i w:val="0"/>
                <w:iCs w:val="0"/>
                <w:sz w:val="22"/>
                <w:szCs w:val="22"/>
              </w:rPr>
            </w:pPr>
          </w:p>
        </w:tc>
        <w:tc>
          <w:tcPr>
            <w:tcW w:w="9915" w:type="dxa"/>
            <w:tcBorders>
              <w:top w:val="single" w:sz="4"/>
              <w:left w:val="single" w:sz="4"/>
              <w:bottom w:val="single" w:sz="4"/>
              <w:right w:val="single" w:sz="4"/>
            </w:tcBorders>
            <w:tcMar>
              <w:left w:w="105" w:type="dxa"/>
              <w:right w:w="105" w:type="dxa"/>
            </w:tcMar>
            <w:vAlign w:val="top"/>
          </w:tcPr>
          <w:p w:rsidR="573B7504" w:rsidP="573B7504" w:rsidRDefault="573B7504" w14:paraId="63F50EC8" w14:textId="35979435">
            <w:p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Not applicable, as there will be no human participants.</w:t>
            </w:r>
          </w:p>
          <w:p w:rsidR="573B7504" w:rsidP="573B7504" w:rsidRDefault="573B7504" w14:paraId="18712D07" w14:textId="673E9C0D">
            <w:pPr>
              <w:bidi w:val="0"/>
              <w:rPr>
                <w:rFonts w:ascii="Times New Roman" w:hAnsi="Times New Roman" w:eastAsia="Times New Roman" w:cs="Times New Roman"/>
                <w:b w:val="0"/>
                <w:bCs w:val="0"/>
                <w:i w:val="0"/>
                <w:iCs w:val="0"/>
                <w:sz w:val="20"/>
                <w:szCs w:val="20"/>
              </w:rPr>
            </w:pPr>
          </w:p>
        </w:tc>
      </w:tr>
      <w:tr w:rsidR="573B7504" w:rsidTr="573B7504" w14:paraId="6B92F2AE">
        <w:trPr>
          <w:trHeight w:val="300"/>
        </w:trPr>
        <w:tc>
          <w:tcPr>
            <w:tcW w:w="585" w:type="dxa"/>
            <w:tcBorders>
              <w:top w:val="single" w:sz="4"/>
              <w:left w:val="single" w:sz="4"/>
              <w:bottom w:val="single" w:sz="4"/>
              <w:right w:val="single" w:sz="4"/>
            </w:tcBorders>
            <w:shd w:val="clear" w:color="auto" w:fill="F2F2F2" w:themeFill="background1" w:themeFillShade="F2"/>
            <w:tcMar>
              <w:left w:w="105" w:type="dxa"/>
              <w:right w:w="105" w:type="dxa"/>
            </w:tcMar>
            <w:vAlign w:val="top"/>
          </w:tcPr>
          <w:p w:rsidR="573B7504" w:rsidP="573B7504" w:rsidRDefault="573B7504" w14:paraId="6993DF4A" w14:textId="16612345">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w:t>
            </w:r>
          </w:p>
        </w:tc>
        <w:tc>
          <w:tcPr>
            <w:tcW w:w="9915" w:type="dxa"/>
            <w:tcBorders>
              <w:top w:val="single" w:sz="4"/>
              <w:left w:val="single" w:sz="4"/>
              <w:bottom w:val="single" w:sz="4"/>
              <w:right w:val="single" w:sz="4"/>
            </w:tcBorders>
            <w:shd w:val="clear" w:color="auto" w:fill="F2F2F2" w:themeFill="background1" w:themeFillShade="F2"/>
            <w:tcMar>
              <w:left w:w="105" w:type="dxa"/>
              <w:right w:w="105" w:type="dxa"/>
            </w:tcMar>
            <w:vAlign w:val="top"/>
          </w:tcPr>
          <w:p w:rsidR="573B7504" w:rsidP="573B7504" w:rsidRDefault="573B7504" w14:paraId="061ED534" w14:textId="34333DEA">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Informed consent</w:t>
            </w:r>
          </w:p>
          <w:p w:rsidR="573B7504" w:rsidP="573B7504" w:rsidRDefault="573B7504" w14:paraId="5FD5536B" w14:textId="1CB41C37">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573B7504" w:rsidTr="573B7504" w14:paraId="214203E7">
        <w:trPr>
          <w:trHeight w:val="300"/>
        </w:trPr>
        <w:tc>
          <w:tcPr>
            <w:tcW w:w="585" w:type="dxa"/>
            <w:tcBorders>
              <w:top w:val="single" w:sz="4"/>
              <w:left w:val="single" w:sz="4"/>
              <w:bottom w:val="single" w:sz="4"/>
              <w:right w:val="single" w:sz="4"/>
            </w:tcBorders>
            <w:tcMar>
              <w:left w:w="105" w:type="dxa"/>
              <w:right w:w="105" w:type="dxa"/>
            </w:tcMar>
            <w:vAlign w:val="top"/>
          </w:tcPr>
          <w:p w:rsidR="573B7504" w:rsidP="573B7504" w:rsidRDefault="573B7504" w14:paraId="3CE9489A" w14:textId="3A749EB5">
            <w:pPr>
              <w:bidi w:val="0"/>
              <w:rPr>
                <w:rFonts w:ascii="Arial" w:hAnsi="Arial" w:eastAsia="Arial" w:cs="Arial"/>
                <w:b w:val="0"/>
                <w:bCs w:val="0"/>
                <w:i w:val="0"/>
                <w:iCs w:val="0"/>
                <w:sz w:val="22"/>
                <w:szCs w:val="22"/>
              </w:rPr>
            </w:pPr>
          </w:p>
        </w:tc>
        <w:tc>
          <w:tcPr>
            <w:tcW w:w="9915" w:type="dxa"/>
            <w:tcBorders>
              <w:top w:val="single" w:sz="4"/>
              <w:left w:val="single" w:sz="4"/>
              <w:bottom w:val="single" w:sz="4"/>
              <w:right w:val="single" w:sz="4"/>
            </w:tcBorders>
            <w:tcMar>
              <w:left w:w="105" w:type="dxa"/>
              <w:right w:w="105" w:type="dxa"/>
            </w:tcMar>
            <w:vAlign w:val="top"/>
          </w:tcPr>
          <w:p w:rsidR="573B7504" w:rsidP="573B7504" w:rsidRDefault="573B7504" w14:paraId="5184B15F" w14:textId="669ADAAC">
            <w:p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 xml:space="preserve">N/A </w:t>
            </w:r>
          </w:p>
          <w:p w:rsidR="573B7504" w:rsidP="573B7504" w:rsidRDefault="573B7504" w14:paraId="110A33E4" w14:textId="246CCBBC">
            <w:pPr>
              <w:bidi w:val="0"/>
              <w:rPr>
                <w:rFonts w:ascii="Times New Roman" w:hAnsi="Times New Roman" w:eastAsia="Times New Roman" w:cs="Times New Roman"/>
                <w:b w:val="0"/>
                <w:bCs w:val="0"/>
                <w:i w:val="0"/>
                <w:iCs w:val="0"/>
                <w:sz w:val="20"/>
                <w:szCs w:val="20"/>
              </w:rPr>
            </w:pPr>
          </w:p>
        </w:tc>
      </w:tr>
      <w:tr w:rsidR="573B7504" w:rsidTr="573B7504" w14:paraId="1CACF1DF">
        <w:trPr>
          <w:trHeight w:val="300"/>
        </w:trPr>
        <w:tc>
          <w:tcPr>
            <w:tcW w:w="585" w:type="dxa"/>
            <w:tcBorders>
              <w:top w:val="single" w:sz="4"/>
              <w:left w:val="single" w:sz="4"/>
              <w:bottom w:val="single" w:sz="4"/>
              <w:right w:val="single" w:sz="4"/>
            </w:tcBorders>
            <w:shd w:val="clear" w:color="auto" w:fill="F2F2F2" w:themeFill="background1" w:themeFillShade="F2"/>
            <w:tcMar>
              <w:left w:w="105" w:type="dxa"/>
              <w:right w:w="105" w:type="dxa"/>
            </w:tcMar>
            <w:vAlign w:val="top"/>
          </w:tcPr>
          <w:p w:rsidR="573B7504" w:rsidP="573B7504" w:rsidRDefault="573B7504" w14:paraId="13279EB0" w14:textId="6A4BD438">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3</w:t>
            </w:r>
          </w:p>
        </w:tc>
        <w:tc>
          <w:tcPr>
            <w:tcW w:w="9915" w:type="dxa"/>
            <w:tcBorders>
              <w:top w:val="single" w:sz="4"/>
              <w:left w:val="single" w:sz="4"/>
              <w:bottom w:val="single" w:sz="4"/>
              <w:right w:val="single" w:sz="4"/>
            </w:tcBorders>
            <w:shd w:val="clear" w:color="auto" w:fill="F2F2F2" w:themeFill="background1" w:themeFillShade="F2"/>
            <w:tcMar>
              <w:left w:w="105" w:type="dxa"/>
              <w:right w:w="105" w:type="dxa"/>
            </w:tcMar>
            <w:vAlign w:val="top"/>
          </w:tcPr>
          <w:p w:rsidR="573B7504" w:rsidP="573B7504" w:rsidRDefault="573B7504" w14:paraId="3AEE4710" w14:textId="6282C14D">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Confidentiality / Anonymity</w:t>
            </w:r>
          </w:p>
          <w:p w:rsidR="573B7504" w:rsidP="573B7504" w:rsidRDefault="573B7504" w14:paraId="2D827E69" w14:textId="3C47F9CD">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573B7504" w:rsidTr="573B7504" w14:paraId="700A6AF7">
        <w:trPr>
          <w:trHeight w:val="300"/>
        </w:trPr>
        <w:tc>
          <w:tcPr>
            <w:tcW w:w="585" w:type="dxa"/>
            <w:tcBorders>
              <w:top w:val="single" w:sz="4"/>
              <w:left w:val="single" w:sz="4"/>
              <w:bottom w:val="single" w:sz="4"/>
              <w:right w:val="single" w:sz="4"/>
            </w:tcBorders>
            <w:tcMar>
              <w:left w:w="105" w:type="dxa"/>
              <w:right w:w="105" w:type="dxa"/>
            </w:tcMar>
            <w:vAlign w:val="top"/>
          </w:tcPr>
          <w:p w:rsidR="573B7504" w:rsidP="573B7504" w:rsidRDefault="573B7504" w14:paraId="25812ABF" w14:textId="5B46C5DE">
            <w:pPr>
              <w:bidi w:val="0"/>
              <w:rPr>
                <w:rFonts w:ascii="Arial" w:hAnsi="Arial" w:eastAsia="Arial" w:cs="Arial"/>
                <w:b w:val="0"/>
                <w:bCs w:val="0"/>
                <w:i w:val="0"/>
                <w:iCs w:val="0"/>
                <w:sz w:val="22"/>
                <w:szCs w:val="22"/>
              </w:rPr>
            </w:pPr>
          </w:p>
        </w:tc>
        <w:tc>
          <w:tcPr>
            <w:tcW w:w="9915" w:type="dxa"/>
            <w:tcBorders>
              <w:top w:val="single" w:sz="4"/>
              <w:left w:val="single" w:sz="4"/>
              <w:bottom w:val="single" w:sz="4"/>
              <w:right w:val="single" w:sz="4"/>
            </w:tcBorders>
            <w:tcMar>
              <w:left w:w="105" w:type="dxa"/>
              <w:right w:w="105" w:type="dxa"/>
            </w:tcMar>
            <w:vAlign w:val="top"/>
          </w:tcPr>
          <w:p w:rsidR="573B7504" w:rsidP="573B7504" w:rsidRDefault="573B7504" w14:paraId="6DAA25DF" w14:textId="62894523">
            <w:p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 xml:space="preserve">No personal information will be collected. All sources that are published over the public domain will be used and cited properly. No person or institution/ organisation will be mentioned unless disclosed in public sources. </w:t>
            </w:r>
          </w:p>
          <w:p w:rsidR="573B7504" w:rsidP="573B7504" w:rsidRDefault="573B7504" w14:paraId="0D83618F" w14:textId="21122CDC">
            <w:pPr>
              <w:bidi w:val="0"/>
              <w:rPr>
                <w:rFonts w:ascii="Times New Roman" w:hAnsi="Times New Roman" w:eastAsia="Times New Roman" w:cs="Times New Roman"/>
                <w:b w:val="0"/>
                <w:bCs w:val="0"/>
                <w:i w:val="0"/>
                <w:iCs w:val="0"/>
                <w:sz w:val="20"/>
                <w:szCs w:val="20"/>
              </w:rPr>
            </w:pPr>
          </w:p>
        </w:tc>
      </w:tr>
    </w:tbl>
    <w:p w:rsidRPr="00D97AB2" w:rsidR="00D97AB2" w:rsidP="573B7504" w:rsidRDefault="00D97AB2" w14:paraId="341EEFB1" w14:textId="4C8368BB">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527A61D3" w14:textId="68F214DE">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1"/>
          <w:bCs w:val="1"/>
          <w:i w:val="0"/>
          <w:iCs w:val="0"/>
          <w:caps w:val="0"/>
          <w:smallCaps w:val="0"/>
          <w:noProof w:val="0"/>
          <w:color w:val="000000" w:themeColor="text1" w:themeTint="FF" w:themeShade="FF"/>
          <w:sz w:val="22"/>
          <w:szCs w:val="22"/>
          <w:lang w:val="en-GB"/>
        </w:rPr>
        <w:t>SECTION H: Data Protection and Storage</w:t>
      </w:r>
    </w:p>
    <w:p w:rsidRPr="00D97AB2" w:rsidR="00D97AB2" w:rsidP="573B7504" w:rsidRDefault="00D97AB2" w14:paraId="7666559C" w14:textId="648EEA22">
      <w:pPr>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905"/>
        <w:gridCol w:w="990"/>
        <w:gridCol w:w="1020"/>
      </w:tblGrid>
      <w:tr w:rsidR="573B7504" w:rsidTr="573B7504" w14:paraId="55028448">
        <w:trPr>
          <w:trHeight w:val="390"/>
        </w:trPr>
        <w:tc>
          <w:tcPr>
            <w:tcW w:w="55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7B8C31E7" w14:textId="2E624C2E">
            <w:pPr>
              <w:bidi w:val="0"/>
              <w:spacing w:beforeAutospacing="on" w:afterAutospacing="on"/>
              <w:jc w:val="center"/>
              <w:rPr>
                <w:rFonts w:ascii="Arial" w:hAnsi="Arial" w:eastAsia="Arial" w:cs="Arial"/>
                <w:b w:val="0"/>
                <w:bCs w:val="0"/>
                <w:i w:val="0"/>
                <w:iCs w:val="0"/>
                <w:sz w:val="22"/>
                <w:szCs w:val="22"/>
              </w:rPr>
            </w:pPr>
          </w:p>
        </w:tc>
        <w:tc>
          <w:tcPr>
            <w:tcW w:w="790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7F1C1011" w14:textId="32B2E8FA">
            <w:pPr>
              <w:pStyle w:val="NormalWeb"/>
              <w:bidi w:val="0"/>
              <w:spacing w:beforeAutospacing="on" w:afterAutospacing="on"/>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990"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421836DE" w14:textId="4C59E1B9">
            <w:pPr>
              <w:pStyle w:val="NormalWeb"/>
              <w:bidi w:val="0"/>
              <w:spacing w:beforeAutospacing="on" w:afterAutospacing="on"/>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YES</w:t>
            </w:r>
          </w:p>
        </w:tc>
        <w:tc>
          <w:tcPr>
            <w:tcW w:w="1020"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555322AB" w14:textId="63E4B7E2">
            <w:pPr>
              <w:pStyle w:val="NormalWeb"/>
              <w:bidi w:val="0"/>
              <w:spacing w:beforeAutospacing="on" w:afterAutospacing="on"/>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NO</w:t>
            </w:r>
          </w:p>
        </w:tc>
      </w:tr>
      <w:tr w:rsidR="573B7504" w:rsidTr="573B7504" w14:paraId="612FD1AA">
        <w:trPr>
          <w:trHeight w:val="390"/>
        </w:trPr>
        <w:tc>
          <w:tcPr>
            <w:tcW w:w="555" w:type="dxa"/>
            <w:tcBorders>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0555F2F9" w14:textId="7C9A76D9">
            <w:pPr>
              <w:pStyle w:val="NormalWeb"/>
              <w:bidi w:val="0"/>
              <w:spacing w:before="0" w:beforeAutospacing="off" w:after="0" w:afterAutospacing="off"/>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w:t>
            </w:r>
          </w:p>
        </w:tc>
        <w:tc>
          <w:tcPr>
            <w:tcW w:w="7905" w:type="dxa"/>
            <w:tcBorders>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645E8C20" w14:textId="33953FA6">
            <w:pPr>
              <w:pStyle w:val="NormalWeb"/>
              <w:bidi w:val="0"/>
              <w:spacing w:before="0" w:beforeAutospacing="off" w:after="0" w:afterAutospacing="off"/>
              <w:ind w:left="567" w:right="567"/>
              <w:rPr>
                <w:rFonts w:ascii="Arial" w:hAnsi="Arial" w:eastAsia="Arial" w:cs="Arial"/>
                <w:b w:val="0"/>
                <w:bCs w:val="0"/>
                <w:i w:val="0"/>
                <w:iCs w:val="0"/>
                <w:color w:val="333333"/>
                <w:sz w:val="22"/>
                <w:szCs w:val="22"/>
              </w:rPr>
            </w:pPr>
            <w:r w:rsidRPr="573B7504" w:rsidR="573B7504">
              <w:rPr>
                <w:rFonts w:ascii="Arial" w:hAnsi="Arial" w:eastAsia="Arial" w:cs="Arial"/>
                <w:b w:val="1"/>
                <w:bCs w:val="1"/>
                <w:i w:val="1"/>
                <w:iCs w:val="1"/>
                <w:sz w:val="22"/>
                <w:szCs w:val="22"/>
                <w:lang w:val="en-GB"/>
              </w:rPr>
              <w:t>“Personal data”</w:t>
            </w:r>
            <w:r w:rsidRPr="573B7504" w:rsidR="573B7504">
              <w:rPr>
                <w:rFonts w:ascii="Arial" w:hAnsi="Arial" w:eastAsia="Arial" w:cs="Arial"/>
                <w:b w:val="0"/>
                <w:bCs w:val="0"/>
                <w:i w:val="1"/>
                <w:iCs w:val="1"/>
                <w:sz w:val="22"/>
                <w:szCs w:val="22"/>
                <w:lang w:val="en-GB"/>
              </w:rPr>
              <w:t xml:space="preserve"> </w:t>
            </w:r>
            <w:r w:rsidRPr="573B7504" w:rsidR="573B7504">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sz="4"/>
              <w:left w:val="single" w:sz="4"/>
              <w:bottom w:val="single" w:sz="4"/>
              <w:right w:val="single" w:sz="4"/>
            </w:tcBorders>
            <w:shd w:val="clear" w:color="auto" w:fill="BFBFBF" w:themeFill="background1" w:themeFillShade="BF"/>
            <w:tcMar>
              <w:left w:w="105" w:type="dxa"/>
              <w:right w:w="105" w:type="dxa"/>
            </w:tcMar>
            <w:vAlign w:val="center"/>
          </w:tcPr>
          <w:p w:rsidR="573B7504" w:rsidP="573B7504" w:rsidRDefault="573B7504" w14:paraId="735D090A" w14:textId="254DBCA1">
            <w:pPr>
              <w:pStyle w:val="NormalWeb"/>
              <w:bidi w:val="0"/>
              <w:spacing w:beforeAutospacing="on" w:afterAutospacing="on"/>
              <w:jc w:val="center"/>
              <w:rPr>
                <w:rFonts w:ascii="MS Gothic" w:hAnsi="MS Gothic" w:eastAsia="MS Gothic" w:cs="MS Gothic"/>
                <w:b w:val="0"/>
                <w:bCs w:val="0"/>
                <w:i w:val="0"/>
                <w:iCs w:val="0"/>
                <w:sz w:val="22"/>
                <w:szCs w:val="22"/>
              </w:rPr>
            </w:pPr>
            <w:r w:rsidRPr="573B7504" w:rsidR="573B7504">
              <w:rPr>
                <w:rFonts w:ascii="MS Gothic" w:hAnsi="MS Gothic" w:eastAsia="MS Gothic" w:cs="MS Gothic"/>
                <w:b w:val="1"/>
                <w:bCs w:val="1"/>
                <w:i w:val="0"/>
                <w:iCs w:val="0"/>
                <w:sz w:val="22"/>
                <w:szCs w:val="22"/>
                <w:lang w:val="en-US"/>
              </w:rPr>
              <w:t>☐</w:t>
            </w:r>
          </w:p>
        </w:tc>
        <w:tc>
          <w:tcPr>
            <w:tcW w:w="1020" w:type="dxa"/>
            <w:tcBorders>
              <w:top w:val="single" w:sz="4"/>
              <w:left w:val="single" w:sz="4"/>
              <w:bottom w:val="single" w:sz="4"/>
              <w:right w:val="single" w:sz="4"/>
            </w:tcBorders>
            <w:shd w:val="clear" w:color="auto" w:fill="BFBFBF" w:themeFill="background1" w:themeFillShade="BF"/>
            <w:tcMar>
              <w:left w:w="105" w:type="dxa"/>
              <w:right w:w="105" w:type="dxa"/>
            </w:tcMar>
            <w:vAlign w:val="center"/>
          </w:tcPr>
          <w:p w:rsidR="573B7504" w:rsidP="573B7504" w:rsidRDefault="573B7504" w14:paraId="0B0F1F62" w14:textId="3789BB93">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Segoe UI Symbol" w:hAnsi="Segoe UI Symbol" w:eastAsia="Segoe UI Symbol" w:cs="Segoe UI Symbol"/>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2858D636">
        <w:trPr>
          <w:trHeight w:val="390"/>
        </w:trPr>
        <w:tc>
          <w:tcPr>
            <w:tcW w:w="55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48241284" w14:textId="127932F0">
            <w:pPr>
              <w:bidi w:val="0"/>
              <w:spacing w:beforeAutospacing="on" w:afterAutospacing="on"/>
              <w:jc w:val="center"/>
              <w:rPr>
                <w:rFonts w:ascii="Arial" w:hAnsi="Arial" w:eastAsia="Arial" w:cs="Arial"/>
                <w:b w:val="0"/>
                <w:bCs w:val="0"/>
                <w:i w:val="0"/>
                <w:iCs w:val="0"/>
                <w:sz w:val="22"/>
                <w:szCs w:val="22"/>
              </w:rPr>
            </w:pPr>
          </w:p>
        </w:tc>
        <w:tc>
          <w:tcPr>
            <w:tcW w:w="9915" w:type="dxa"/>
            <w:gridSpan w:val="3"/>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377F6CAA" w14:textId="4149A4D8">
            <w:pPr>
              <w:pStyle w:val="NormalWeb"/>
              <w:bidi w:val="0"/>
              <w:spacing w:beforeAutospacing="on" w:afterAutospacing="on"/>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If YES, provide a</w:t>
            </w:r>
            <w:r w:rsidRPr="573B7504" w:rsidR="573B7504">
              <w:rPr>
                <w:rFonts w:ascii="Arial" w:hAnsi="Arial" w:eastAsia="Arial" w:cs="Arial"/>
                <w:b w:val="1"/>
                <w:bCs w:val="1"/>
                <w:i w:val="0"/>
                <w:iCs w:val="0"/>
                <w:sz w:val="22"/>
                <w:szCs w:val="22"/>
                <w:lang w:val="en-GB"/>
              </w:rPr>
              <w:t xml:space="preserve"> </w:t>
            </w:r>
            <w:r w:rsidRPr="573B7504" w:rsidR="573B7504">
              <w:rPr>
                <w:rFonts w:ascii="Arial" w:hAnsi="Arial" w:eastAsia="Arial" w:cs="Arial"/>
                <w:b w:val="0"/>
                <w:bCs w:val="0"/>
                <w:i w:val="0"/>
                <w:iCs w:val="0"/>
                <w:sz w:val="22"/>
                <w:szCs w:val="22"/>
                <w:lang w:val="en-GB"/>
              </w:rPr>
              <w:t>description of the data and explain why this data needs to be collected:</w:t>
            </w:r>
          </w:p>
        </w:tc>
      </w:tr>
      <w:tr w:rsidR="573B7504" w:rsidTr="573B7504" w14:paraId="226B98AD">
        <w:trPr>
          <w:trHeight w:val="390"/>
        </w:trPr>
        <w:tc>
          <w:tcPr>
            <w:tcW w:w="555" w:type="dxa"/>
            <w:tcBorders>
              <w:top w:val="single" w:sz="4"/>
              <w:left w:val="single" w:sz="4"/>
              <w:bottom w:val="single" w:sz="4"/>
              <w:right w:val="single" w:sz="4"/>
            </w:tcBorders>
            <w:tcMar>
              <w:left w:w="105" w:type="dxa"/>
              <w:right w:w="105" w:type="dxa"/>
            </w:tcMar>
            <w:vAlign w:val="center"/>
          </w:tcPr>
          <w:p w:rsidR="573B7504" w:rsidP="573B7504" w:rsidRDefault="573B7504" w14:paraId="2C051CF4" w14:textId="6A6F322C">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w:t>
            </w:r>
          </w:p>
        </w:tc>
        <w:tc>
          <w:tcPr>
            <w:tcW w:w="9915" w:type="dxa"/>
            <w:gridSpan w:val="3"/>
            <w:tcBorders>
              <w:top w:val="single" w:sz="4"/>
              <w:left w:val="single" w:sz="4"/>
              <w:bottom w:val="single" w:sz="4"/>
              <w:right w:val="single" w:sz="4"/>
            </w:tcBorders>
            <w:tcMar>
              <w:left w:w="105" w:type="dxa"/>
              <w:right w:w="105" w:type="dxa"/>
            </w:tcMar>
            <w:vAlign w:val="center"/>
          </w:tcPr>
          <w:p w:rsidR="573B7504" w:rsidP="573B7504" w:rsidRDefault="573B7504" w14:paraId="4DF8ECD0" w14:textId="484594A4">
            <w:pPr>
              <w:bidi w:val="0"/>
              <w:rPr>
                <w:rFonts w:ascii="Arial" w:hAnsi="Arial" w:eastAsia="Arial" w:cs="Arial"/>
                <w:b w:val="0"/>
                <w:bCs w:val="0"/>
                <w:i w:val="0"/>
                <w:iCs w:val="0"/>
                <w:color w:val="00B050"/>
                <w:sz w:val="22"/>
                <w:szCs w:val="22"/>
              </w:rPr>
            </w:pPr>
            <w:r w:rsidRPr="573B7504" w:rsidR="573B7504">
              <w:rPr>
                <w:rFonts w:ascii="Arial" w:hAnsi="Arial" w:eastAsia="Arial" w:cs="Arial"/>
                <w:b w:val="0"/>
                <w:bCs w:val="0"/>
                <w:i w:val="0"/>
                <w:iCs w:val="0"/>
                <w:color w:val="00B050"/>
                <w:sz w:val="22"/>
                <w:szCs w:val="22"/>
                <w:lang w:val="en-GB"/>
              </w:rPr>
              <w:t>This includes audio/video data of participants but can also include IP addresses and usernames. Names, addresses and emails also count, as do consent forms.</w:t>
            </w:r>
          </w:p>
          <w:p w:rsidR="573B7504" w:rsidP="573B7504" w:rsidRDefault="573B7504" w14:paraId="394FF943" w14:textId="4C0227CD">
            <w:pPr>
              <w:bidi w:val="0"/>
              <w:rPr>
                <w:rFonts w:ascii="Arial" w:hAnsi="Arial" w:eastAsia="Arial" w:cs="Arial"/>
                <w:b w:val="0"/>
                <w:bCs w:val="0"/>
                <w:i w:val="0"/>
                <w:iCs w:val="0"/>
                <w:sz w:val="22"/>
                <w:szCs w:val="22"/>
              </w:rPr>
            </w:pPr>
          </w:p>
          <w:p w:rsidR="573B7504" w:rsidP="573B7504" w:rsidRDefault="573B7504" w14:paraId="2881695F" w14:textId="391AADED">
            <w:pPr>
              <w:bidi w:val="0"/>
              <w:rPr>
                <w:rFonts w:ascii="Arial" w:hAnsi="Arial" w:eastAsia="Arial" w:cs="Arial"/>
                <w:b w:val="0"/>
                <w:bCs w:val="0"/>
                <w:i w:val="0"/>
                <w:iCs w:val="0"/>
                <w:color w:val="808080" w:themeColor="background1" w:themeTint="FF" w:themeShade="80"/>
                <w:sz w:val="18"/>
                <w:szCs w:val="18"/>
              </w:rPr>
            </w:pPr>
            <w:r w:rsidRPr="573B7504" w:rsidR="573B7504">
              <w:rPr>
                <w:rFonts w:ascii="Arial" w:hAnsi="Arial" w:eastAsia="Arial" w:cs="Arial"/>
                <w:b w:val="0"/>
                <w:bCs w:val="0"/>
                <w:i w:val="1"/>
                <w:iCs w:val="1"/>
                <w:color w:val="808080" w:themeColor="background1" w:themeTint="FF" w:themeShade="80"/>
                <w:sz w:val="18"/>
                <w:szCs w:val="18"/>
                <w:lang w:val="en-GB"/>
              </w:rPr>
              <w:t>(this box should expand as you type)</w:t>
            </w:r>
          </w:p>
        </w:tc>
      </w:tr>
      <w:tr w:rsidR="573B7504" w:rsidTr="573B7504" w14:paraId="1F152EF0">
        <w:trPr>
          <w:trHeight w:val="390"/>
        </w:trPr>
        <w:tc>
          <w:tcPr>
            <w:tcW w:w="555" w:type="dxa"/>
            <w:tcBorders>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630AA7E7" w14:textId="51B3C15A">
            <w:pPr>
              <w:bidi w:val="0"/>
              <w:spacing w:before="0" w:beforeAutospacing="off" w:after="0" w:afterAutospacing="off"/>
              <w:jc w:val="center"/>
              <w:rPr>
                <w:rFonts w:ascii="Arial" w:hAnsi="Arial" w:eastAsia="Arial" w:cs="Arial"/>
                <w:b w:val="0"/>
                <w:bCs w:val="0"/>
                <w:i w:val="0"/>
                <w:iCs w:val="0"/>
                <w:sz w:val="22"/>
                <w:szCs w:val="22"/>
              </w:rPr>
            </w:pPr>
          </w:p>
        </w:tc>
        <w:tc>
          <w:tcPr>
            <w:tcW w:w="790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65936644" w14:textId="58F01117">
            <w:pPr>
              <w:pStyle w:val="NormalWeb"/>
              <w:bidi w:val="0"/>
              <w:spacing w:before="0" w:beforeAutospacing="off" w:after="0" w:afterAutospacing="off"/>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Does it involve special category data (as defined by the GDPR)?</w:t>
            </w:r>
          </w:p>
        </w:tc>
        <w:tc>
          <w:tcPr>
            <w:tcW w:w="990"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4468DB70" w14:textId="4B606469">
            <w:pPr>
              <w:pStyle w:val="NormalWeb"/>
              <w:bidi w:val="0"/>
              <w:spacing w:beforeAutospacing="on" w:afterAutospacing="on"/>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YES</w:t>
            </w:r>
          </w:p>
        </w:tc>
        <w:tc>
          <w:tcPr>
            <w:tcW w:w="1020"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0733B30F" w14:textId="20C2D58E">
            <w:pPr>
              <w:pStyle w:val="NormalWeb"/>
              <w:bidi w:val="0"/>
              <w:spacing w:beforeAutospacing="on" w:afterAutospacing="on"/>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NO</w:t>
            </w:r>
          </w:p>
        </w:tc>
      </w:tr>
      <w:tr w:rsidR="573B7504" w:rsidTr="573B7504" w14:paraId="749B4058">
        <w:trPr>
          <w:trHeight w:val="390"/>
        </w:trPr>
        <w:tc>
          <w:tcPr>
            <w:tcW w:w="55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7562EEF4" w14:textId="794A7D84">
            <w:pPr>
              <w:bidi w:val="0"/>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573B7504" w:rsidR="573B7504">
              <w:rPr>
                <w:rStyle w:val="Strong"/>
                <w:rFonts w:ascii="Arial" w:hAnsi="Arial" w:eastAsia="Arial" w:cs="Arial"/>
                <w:b w:val="0"/>
                <w:bCs w:val="0"/>
                <w:i w:val="0"/>
                <w:iCs w:val="0"/>
                <w:color w:val="000000" w:themeColor="text1" w:themeTint="FF" w:themeShade="FF"/>
                <w:sz w:val="20"/>
                <w:szCs w:val="20"/>
                <w:lang w:val="en-GB"/>
              </w:rPr>
              <w:t>3</w:t>
            </w:r>
          </w:p>
        </w:tc>
        <w:tc>
          <w:tcPr>
            <w:tcW w:w="790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28E39F6C" w14:textId="7C65C61C">
            <w:pPr>
              <w:bidi w:val="0"/>
              <w:spacing w:before="0" w:beforeAutospacing="off" w:after="0" w:afterAutospacing="off"/>
              <w:ind w:left="567" w:right="567"/>
              <w:rPr>
                <w:rFonts w:ascii="Arial" w:hAnsi="Arial" w:eastAsia="Arial" w:cs="Arial"/>
                <w:b w:val="0"/>
                <w:bCs w:val="0"/>
                <w:i w:val="0"/>
                <w:iCs w:val="0"/>
                <w:color w:val="000000" w:themeColor="text1" w:themeTint="FF" w:themeShade="FF"/>
                <w:sz w:val="20"/>
                <w:szCs w:val="20"/>
              </w:rPr>
            </w:pPr>
            <w:r w:rsidRPr="573B7504" w:rsidR="573B7504">
              <w:rPr>
                <w:rStyle w:val="Strong"/>
                <w:rFonts w:ascii="Arial" w:hAnsi="Arial" w:eastAsia="Arial" w:cs="Arial"/>
                <w:b w:val="1"/>
                <w:bCs w:val="1"/>
                <w:i w:val="1"/>
                <w:iCs w:val="1"/>
                <w:color w:val="000000" w:themeColor="text1" w:themeTint="FF" w:themeShade="FF"/>
                <w:sz w:val="20"/>
                <w:szCs w:val="20"/>
                <w:lang w:val="en-GB"/>
              </w:rPr>
              <w:t>“Special category data”</w:t>
            </w:r>
            <w:r w:rsidRPr="573B7504" w:rsidR="573B7504">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573B7504" w:rsidP="573B7504" w:rsidRDefault="573B7504" w14:paraId="4CE827CE" w14:textId="43896E44">
            <w:pPr>
              <w:pStyle w:val="NormalWeb"/>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573B7504" w:rsidR="573B7504">
              <w:rPr>
                <w:rFonts w:ascii="Arial" w:hAnsi="Arial" w:eastAsia="Arial" w:cs="Arial"/>
                <w:b w:val="0"/>
                <w:bCs w:val="0"/>
                <w:i w:val="1"/>
                <w:iCs w:val="1"/>
                <w:color w:val="000000" w:themeColor="text1" w:themeTint="FF" w:themeShade="FF"/>
                <w:sz w:val="20"/>
                <w:szCs w:val="20"/>
                <w:lang w:val="en-GB"/>
              </w:rPr>
              <w:t>(a) racial or ethnic origin,</w:t>
            </w:r>
          </w:p>
          <w:p w:rsidR="573B7504" w:rsidP="573B7504" w:rsidRDefault="573B7504" w14:paraId="0DAC771E" w14:textId="397783E5">
            <w:pPr>
              <w:pStyle w:val="NormalWeb"/>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573B7504" w:rsidR="573B7504">
              <w:rPr>
                <w:rFonts w:ascii="Arial" w:hAnsi="Arial" w:eastAsia="Arial" w:cs="Arial"/>
                <w:b w:val="0"/>
                <w:bCs w:val="0"/>
                <w:i w:val="1"/>
                <w:iCs w:val="1"/>
                <w:color w:val="000000" w:themeColor="text1" w:themeTint="FF" w:themeShade="FF"/>
                <w:sz w:val="20"/>
                <w:szCs w:val="20"/>
                <w:lang w:val="en-GB"/>
              </w:rPr>
              <w:t>(b) political opinions,</w:t>
            </w:r>
          </w:p>
          <w:p w:rsidR="573B7504" w:rsidP="573B7504" w:rsidRDefault="573B7504" w14:paraId="737F3F51" w14:textId="2575AD60">
            <w:pPr>
              <w:pStyle w:val="NormalWeb"/>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573B7504" w:rsidR="573B7504">
              <w:rPr>
                <w:rFonts w:ascii="Arial" w:hAnsi="Arial" w:eastAsia="Arial" w:cs="Arial"/>
                <w:b w:val="0"/>
                <w:bCs w:val="0"/>
                <w:i w:val="1"/>
                <w:iCs w:val="1"/>
                <w:color w:val="000000" w:themeColor="text1" w:themeTint="FF" w:themeShade="FF"/>
                <w:sz w:val="20"/>
                <w:szCs w:val="20"/>
                <w:lang w:val="en-GB"/>
              </w:rPr>
              <w:t>(c) religious beliefs or other beliefs of a similar nature,</w:t>
            </w:r>
          </w:p>
          <w:p w:rsidR="573B7504" w:rsidP="573B7504" w:rsidRDefault="573B7504" w14:paraId="0D33413F" w14:textId="47CC7DF9">
            <w:pPr>
              <w:pStyle w:val="NormalWeb"/>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573B7504" w:rsidR="573B7504">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573B7504" w:rsidP="573B7504" w:rsidRDefault="573B7504" w14:paraId="42950B75" w14:textId="017EB62E">
            <w:pPr>
              <w:pStyle w:val="NormalWeb"/>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573B7504" w:rsidR="573B7504">
              <w:rPr>
                <w:rFonts w:ascii="Arial" w:hAnsi="Arial" w:eastAsia="Arial" w:cs="Arial"/>
                <w:b w:val="0"/>
                <w:bCs w:val="0"/>
                <w:i w:val="1"/>
                <w:iCs w:val="1"/>
                <w:color w:val="000000" w:themeColor="text1" w:themeTint="FF" w:themeShade="FF"/>
                <w:sz w:val="20"/>
                <w:szCs w:val="20"/>
                <w:lang w:val="en-GB"/>
              </w:rPr>
              <w:t>(e) physical or mental health or condition,</w:t>
            </w:r>
          </w:p>
          <w:p w:rsidR="573B7504" w:rsidP="573B7504" w:rsidRDefault="573B7504" w14:paraId="55117B22" w14:textId="260B9E77">
            <w:pPr>
              <w:pStyle w:val="NormalWeb"/>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573B7504" w:rsidR="573B7504">
              <w:rPr>
                <w:rFonts w:ascii="Arial" w:hAnsi="Arial" w:eastAsia="Arial" w:cs="Arial"/>
                <w:b w:val="0"/>
                <w:bCs w:val="0"/>
                <w:i w:val="1"/>
                <w:iCs w:val="1"/>
                <w:color w:val="000000" w:themeColor="text1" w:themeTint="FF" w:themeShade="FF"/>
                <w:sz w:val="20"/>
                <w:szCs w:val="20"/>
                <w:lang w:val="en-GB"/>
              </w:rPr>
              <w:t>(f) sexual life,</w:t>
            </w:r>
          </w:p>
          <w:p w:rsidR="573B7504" w:rsidP="573B7504" w:rsidRDefault="573B7504" w14:paraId="58E05D1F" w14:textId="709B3020">
            <w:pPr>
              <w:pStyle w:val="NormalWeb"/>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573B7504" w:rsidR="573B7504">
              <w:rPr>
                <w:rFonts w:ascii="Arial" w:hAnsi="Arial" w:eastAsia="Arial" w:cs="Arial"/>
                <w:b w:val="0"/>
                <w:bCs w:val="0"/>
                <w:i w:val="1"/>
                <w:iCs w:val="1"/>
                <w:color w:val="000000" w:themeColor="text1" w:themeTint="FF" w:themeShade="FF"/>
                <w:sz w:val="20"/>
                <w:szCs w:val="20"/>
                <w:lang w:val="en-GB"/>
              </w:rPr>
              <w:t>(g) genetics,</w:t>
            </w:r>
          </w:p>
          <w:p w:rsidR="573B7504" w:rsidP="573B7504" w:rsidRDefault="573B7504" w14:paraId="4569F509" w14:textId="5C2E263E">
            <w:pPr>
              <w:pStyle w:val="NormalWeb"/>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573B7504" w:rsidR="573B7504">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990" w:type="dxa"/>
            <w:tcBorders>
              <w:top w:val="single" w:sz="4"/>
              <w:left w:val="single" w:sz="4"/>
              <w:bottom w:val="single" w:sz="4"/>
              <w:right w:val="single" w:sz="4"/>
            </w:tcBorders>
            <w:shd w:val="clear" w:color="auto" w:fill="BFBFBF" w:themeFill="background1" w:themeFillShade="BF"/>
            <w:tcMar>
              <w:left w:w="105" w:type="dxa"/>
              <w:right w:w="105" w:type="dxa"/>
            </w:tcMar>
            <w:vAlign w:val="center"/>
          </w:tcPr>
          <w:p w:rsidR="573B7504" w:rsidP="573B7504" w:rsidRDefault="573B7504" w14:paraId="019573BB" w14:textId="6114C860">
            <w:pPr>
              <w:bidi w:val="0"/>
              <w:spacing w:beforeAutospacing="on" w:afterAutospacing="on"/>
              <w:jc w:val="center"/>
              <w:rPr>
                <w:rFonts w:ascii="MS Gothic" w:hAnsi="MS Gothic" w:eastAsia="MS Gothic" w:cs="MS Gothic"/>
                <w:b w:val="0"/>
                <w:bCs w:val="0"/>
                <w:i w:val="0"/>
                <w:iCs w:val="0"/>
                <w:sz w:val="22"/>
                <w:szCs w:val="22"/>
              </w:rPr>
            </w:pPr>
          </w:p>
          <w:p w:rsidR="573B7504" w:rsidP="573B7504" w:rsidRDefault="573B7504" w14:paraId="05BDBD2C" w14:textId="70D58192">
            <w:pPr>
              <w:pStyle w:val="NormalWeb"/>
              <w:bidi w:val="0"/>
              <w:spacing w:beforeAutospacing="on" w:afterAutospacing="on"/>
              <w:jc w:val="center"/>
              <w:rPr>
                <w:rFonts w:ascii="MS Gothic" w:hAnsi="MS Gothic" w:eastAsia="MS Gothic" w:cs="MS Gothic"/>
                <w:b w:val="0"/>
                <w:bCs w:val="0"/>
                <w:i w:val="0"/>
                <w:iCs w:val="0"/>
                <w:sz w:val="22"/>
                <w:szCs w:val="22"/>
              </w:rPr>
            </w:pPr>
            <w:r w:rsidRPr="573B7504" w:rsidR="573B7504">
              <w:rPr>
                <w:rFonts w:ascii="MS Gothic" w:hAnsi="MS Gothic" w:eastAsia="MS Gothic" w:cs="MS Gothic"/>
                <w:b w:val="1"/>
                <w:bCs w:val="1"/>
                <w:i w:val="0"/>
                <w:iCs w:val="0"/>
                <w:sz w:val="22"/>
                <w:szCs w:val="22"/>
                <w:lang w:val="en-US"/>
              </w:rPr>
              <w:t>☐</w:t>
            </w:r>
          </w:p>
        </w:tc>
        <w:tc>
          <w:tcPr>
            <w:tcW w:w="1020" w:type="dxa"/>
            <w:tcBorders>
              <w:top w:val="single" w:sz="4"/>
              <w:left w:val="single" w:sz="4"/>
              <w:bottom w:val="single" w:sz="4"/>
              <w:right w:val="single" w:sz="4"/>
            </w:tcBorders>
            <w:shd w:val="clear" w:color="auto" w:fill="BFBFBF" w:themeFill="background1" w:themeFillShade="BF"/>
            <w:tcMar>
              <w:left w:w="105" w:type="dxa"/>
              <w:right w:w="105" w:type="dxa"/>
            </w:tcMar>
            <w:vAlign w:val="center"/>
          </w:tcPr>
          <w:p w:rsidR="573B7504" w:rsidP="573B7504" w:rsidRDefault="573B7504" w14:paraId="7CF8DCE4" w14:textId="12A06C0B">
            <w:pPr>
              <w:bidi w:val="0"/>
              <w:spacing w:beforeAutospacing="on" w:afterAutospacing="on"/>
              <w:jc w:val="center"/>
              <w:rPr>
                <w:rFonts w:ascii="MS Gothic" w:hAnsi="MS Gothic" w:eastAsia="MS Gothic" w:cs="MS Gothic"/>
                <w:b w:val="0"/>
                <w:bCs w:val="0"/>
                <w:i w:val="0"/>
                <w:iCs w:val="0"/>
                <w:sz w:val="22"/>
                <w:szCs w:val="22"/>
              </w:rPr>
            </w:pPr>
          </w:p>
          <w:p w:rsidR="573B7504" w:rsidP="573B7504" w:rsidRDefault="573B7504" w14:paraId="5DCC6331" w14:textId="2F20B7A3">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 </w:t>
            </w:r>
          </w:p>
        </w:tc>
      </w:tr>
      <w:tr w:rsidR="573B7504" w:rsidTr="573B7504" w14:paraId="3D1C8A96">
        <w:trPr>
          <w:trHeight w:val="390"/>
        </w:trPr>
        <w:tc>
          <w:tcPr>
            <w:tcW w:w="55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04B95E6D" w14:textId="35E37EF4">
            <w:pPr>
              <w:bidi w:val="0"/>
              <w:spacing w:beforeAutospacing="on" w:afterAutospacing="on"/>
              <w:jc w:val="center"/>
              <w:rPr>
                <w:rFonts w:ascii="Arial" w:hAnsi="Arial" w:eastAsia="Arial" w:cs="Arial"/>
                <w:b w:val="0"/>
                <w:bCs w:val="0"/>
                <w:i w:val="0"/>
                <w:iCs w:val="0"/>
                <w:sz w:val="22"/>
                <w:szCs w:val="22"/>
              </w:rPr>
            </w:pPr>
          </w:p>
        </w:tc>
        <w:tc>
          <w:tcPr>
            <w:tcW w:w="9915" w:type="dxa"/>
            <w:gridSpan w:val="3"/>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5BD50517" w14:textId="6DADACD5">
            <w:pPr>
              <w:pStyle w:val="NormalWeb"/>
              <w:bidi w:val="0"/>
              <w:spacing w:beforeAutospacing="on" w:afterAutospacing="on"/>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If YES, provide a</w:t>
            </w:r>
            <w:r w:rsidRPr="573B7504" w:rsidR="573B7504">
              <w:rPr>
                <w:rFonts w:ascii="Arial" w:hAnsi="Arial" w:eastAsia="Arial" w:cs="Arial"/>
                <w:b w:val="1"/>
                <w:bCs w:val="1"/>
                <w:i w:val="0"/>
                <w:iCs w:val="0"/>
                <w:sz w:val="22"/>
                <w:szCs w:val="22"/>
                <w:lang w:val="en-GB"/>
              </w:rPr>
              <w:t xml:space="preserve"> </w:t>
            </w:r>
            <w:r w:rsidRPr="573B7504" w:rsidR="573B7504">
              <w:rPr>
                <w:rFonts w:ascii="Arial" w:hAnsi="Arial" w:eastAsia="Arial" w:cs="Arial"/>
                <w:b w:val="0"/>
                <w:bCs w:val="0"/>
                <w:i w:val="0"/>
                <w:iCs w:val="0"/>
                <w:sz w:val="22"/>
                <w:szCs w:val="22"/>
                <w:lang w:val="en-GB"/>
              </w:rPr>
              <w:t>description of the special category data and explain why this data needs to be collected:</w:t>
            </w:r>
          </w:p>
        </w:tc>
      </w:tr>
      <w:tr w:rsidR="573B7504" w:rsidTr="573B7504" w14:paraId="1C710599">
        <w:trPr>
          <w:trHeight w:val="390"/>
        </w:trPr>
        <w:tc>
          <w:tcPr>
            <w:tcW w:w="555" w:type="dxa"/>
            <w:tcBorders>
              <w:top w:val="single" w:sz="4"/>
              <w:left w:val="single" w:sz="4"/>
              <w:bottom w:val="single" w:sz="4"/>
              <w:right w:val="single" w:sz="4"/>
            </w:tcBorders>
            <w:tcMar>
              <w:left w:w="105" w:type="dxa"/>
              <w:right w:w="105" w:type="dxa"/>
            </w:tcMar>
            <w:vAlign w:val="center"/>
          </w:tcPr>
          <w:p w:rsidR="573B7504" w:rsidP="573B7504" w:rsidRDefault="573B7504" w14:paraId="59F8E3FA" w14:textId="5AFA55E5">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4</w:t>
            </w:r>
          </w:p>
        </w:tc>
        <w:tc>
          <w:tcPr>
            <w:tcW w:w="9915" w:type="dxa"/>
            <w:gridSpan w:val="3"/>
            <w:tcBorders>
              <w:top w:val="single" w:sz="4"/>
              <w:left w:val="single" w:sz="4"/>
              <w:bottom w:val="single" w:sz="4"/>
              <w:right w:val="single" w:sz="4"/>
            </w:tcBorders>
            <w:tcMar>
              <w:left w:w="105" w:type="dxa"/>
              <w:right w:w="105" w:type="dxa"/>
            </w:tcMar>
            <w:vAlign w:val="center"/>
          </w:tcPr>
          <w:p w:rsidR="573B7504" w:rsidP="573B7504" w:rsidRDefault="573B7504" w14:paraId="52E58CDD" w14:textId="1AA1948C">
            <w:pPr>
              <w:bidi w:val="0"/>
              <w:rPr>
                <w:rFonts w:ascii="Arial" w:hAnsi="Arial" w:eastAsia="Arial" w:cs="Arial"/>
                <w:b w:val="0"/>
                <w:bCs w:val="0"/>
                <w:i w:val="0"/>
                <w:iCs w:val="0"/>
                <w:color w:val="00B050"/>
                <w:sz w:val="22"/>
                <w:szCs w:val="22"/>
              </w:rPr>
            </w:pPr>
            <w:r w:rsidRPr="573B7504" w:rsidR="573B7504">
              <w:rPr>
                <w:rFonts w:ascii="Arial" w:hAnsi="Arial" w:eastAsia="Arial" w:cs="Arial"/>
                <w:b w:val="0"/>
                <w:bCs w:val="0"/>
                <w:i w:val="0"/>
                <w:iCs w:val="0"/>
                <w:color w:val="00B050"/>
                <w:sz w:val="22"/>
                <w:szCs w:val="22"/>
                <w:lang w:val="en-GB"/>
              </w:rPr>
              <w:t>What counts as ‘sensitive’ will differ between cultures. Any information on behaviour that is not in accordance with cultural norms would count as sensitive personal data.</w:t>
            </w:r>
          </w:p>
          <w:p w:rsidR="573B7504" w:rsidP="573B7504" w:rsidRDefault="573B7504" w14:paraId="07CBDB0A" w14:textId="2423CB8A">
            <w:pPr>
              <w:bidi w:val="0"/>
              <w:rPr>
                <w:rFonts w:ascii="Arial" w:hAnsi="Arial" w:eastAsia="Arial" w:cs="Arial"/>
                <w:b w:val="0"/>
                <w:bCs w:val="0"/>
                <w:i w:val="0"/>
                <w:iCs w:val="0"/>
                <w:sz w:val="22"/>
                <w:szCs w:val="22"/>
              </w:rPr>
            </w:pPr>
          </w:p>
          <w:p w:rsidR="573B7504" w:rsidP="573B7504" w:rsidRDefault="573B7504" w14:paraId="612B95EF" w14:textId="4851A62C">
            <w:pPr>
              <w:bidi w:val="0"/>
              <w:rPr>
                <w:rFonts w:ascii="Arial" w:hAnsi="Arial" w:eastAsia="Arial" w:cs="Arial"/>
                <w:b w:val="0"/>
                <w:bCs w:val="0"/>
                <w:i w:val="0"/>
                <w:iCs w:val="0"/>
                <w:color w:val="808080" w:themeColor="background1" w:themeTint="FF" w:themeShade="80"/>
                <w:sz w:val="18"/>
                <w:szCs w:val="18"/>
              </w:rPr>
            </w:pPr>
            <w:r w:rsidRPr="573B7504" w:rsidR="573B7504">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Pr="00D97AB2" w:rsidR="00D97AB2" w:rsidP="573B7504" w:rsidRDefault="00D97AB2" w14:paraId="1109ACFE" w14:textId="2848A7CD">
      <w:pPr>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905"/>
        <w:gridCol w:w="990"/>
        <w:gridCol w:w="1020"/>
      </w:tblGrid>
      <w:tr w:rsidR="573B7504" w:rsidTr="573B7504" w14:paraId="5237DA30">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05E13C4D" w14:textId="1A2DEF5A">
            <w:pPr>
              <w:bidi w:val="0"/>
              <w:jc w:val="center"/>
              <w:rPr>
                <w:rFonts w:ascii="Arial" w:hAnsi="Arial" w:eastAsia="Arial" w:cs="Arial"/>
                <w:b w:val="0"/>
                <w:bCs w:val="0"/>
                <w:i w:val="0"/>
                <w:iCs w:val="0"/>
                <w:sz w:val="22"/>
                <w:szCs w:val="22"/>
              </w:rPr>
            </w:pPr>
          </w:p>
        </w:tc>
        <w:tc>
          <w:tcPr>
            <w:tcW w:w="7905" w:type="dxa"/>
            <w:shd w:val="clear" w:color="auto" w:fill="F2F2F2" w:themeFill="background1" w:themeFillShade="F2"/>
            <w:tcMar>
              <w:left w:w="105" w:type="dxa"/>
              <w:right w:w="105" w:type="dxa"/>
            </w:tcMar>
            <w:vAlign w:val="top"/>
          </w:tcPr>
          <w:p w:rsidR="573B7504" w:rsidP="573B7504" w:rsidRDefault="573B7504" w14:paraId="44697C44" w14:textId="6F934116">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990" w:type="dxa"/>
            <w:shd w:val="clear" w:color="auto" w:fill="F2F2F2" w:themeFill="background1" w:themeFillShade="F2"/>
            <w:tcMar>
              <w:left w:w="105" w:type="dxa"/>
              <w:right w:w="105" w:type="dxa"/>
            </w:tcMar>
            <w:vAlign w:val="top"/>
          </w:tcPr>
          <w:p w:rsidR="573B7504" w:rsidP="573B7504" w:rsidRDefault="573B7504" w14:paraId="15E25C06" w14:textId="6B2EFBF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YES</w:t>
            </w:r>
          </w:p>
        </w:tc>
        <w:tc>
          <w:tcPr>
            <w:tcW w:w="1020" w:type="dxa"/>
            <w:shd w:val="clear" w:color="auto" w:fill="F2F2F2" w:themeFill="background1" w:themeFillShade="F2"/>
            <w:tcMar>
              <w:left w:w="105" w:type="dxa"/>
              <w:right w:w="105" w:type="dxa"/>
            </w:tcMar>
            <w:vAlign w:val="top"/>
          </w:tcPr>
          <w:p w:rsidR="573B7504" w:rsidP="573B7504" w:rsidRDefault="573B7504" w14:paraId="1994F270" w14:textId="256E356C">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NO</w:t>
            </w:r>
          </w:p>
        </w:tc>
      </w:tr>
      <w:tr w:rsidR="573B7504" w:rsidTr="573B7504" w14:paraId="004A5E75">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03A1D379" w14:textId="550B6157">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5</w:t>
            </w:r>
          </w:p>
        </w:tc>
        <w:tc>
          <w:tcPr>
            <w:tcW w:w="7905" w:type="dxa"/>
            <w:shd w:val="clear" w:color="auto" w:fill="F2F2F2" w:themeFill="background1" w:themeFillShade="F2"/>
            <w:tcMar>
              <w:left w:w="105" w:type="dxa"/>
              <w:right w:w="105" w:type="dxa"/>
            </w:tcMar>
            <w:vAlign w:val="center"/>
          </w:tcPr>
          <w:p w:rsidR="573B7504" w:rsidP="573B7504" w:rsidRDefault="573B7504" w14:paraId="5F68932C" w14:textId="2C1C369B">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Manual files (i.e. in paper form)?</w:t>
            </w:r>
          </w:p>
        </w:tc>
        <w:tc>
          <w:tcPr>
            <w:tcW w:w="990" w:type="dxa"/>
            <w:shd w:val="clear" w:color="auto" w:fill="BFBFBF" w:themeFill="background1" w:themeFillShade="BF"/>
            <w:tcMar>
              <w:left w:w="105" w:type="dxa"/>
              <w:right w:w="105" w:type="dxa"/>
            </w:tcMar>
            <w:vAlign w:val="top"/>
          </w:tcPr>
          <w:p w:rsidR="573B7504" w:rsidP="573B7504" w:rsidRDefault="573B7504" w14:paraId="6DBD5211" w14:textId="6412E6E8">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73B7504" w:rsidP="573B7504" w:rsidRDefault="573B7504" w14:paraId="5666D43D" w14:textId="07E083A5">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167517ED">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32CD1A79" w14:textId="3210D292">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6</w:t>
            </w:r>
          </w:p>
        </w:tc>
        <w:tc>
          <w:tcPr>
            <w:tcW w:w="7905" w:type="dxa"/>
            <w:shd w:val="clear" w:color="auto" w:fill="F2F2F2" w:themeFill="background1" w:themeFillShade="F2"/>
            <w:tcMar>
              <w:left w:w="105" w:type="dxa"/>
              <w:right w:w="105" w:type="dxa"/>
            </w:tcMar>
            <w:vAlign w:val="center"/>
          </w:tcPr>
          <w:p w:rsidR="573B7504" w:rsidP="573B7504" w:rsidRDefault="573B7504" w14:paraId="70F7F53E" w14:textId="20278C12">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University computers?</w:t>
            </w:r>
          </w:p>
        </w:tc>
        <w:tc>
          <w:tcPr>
            <w:tcW w:w="990" w:type="dxa"/>
            <w:shd w:val="clear" w:color="auto" w:fill="BFBFBF" w:themeFill="background1" w:themeFillShade="BF"/>
            <w:tcMar>
              <w:left w:w="105" w:type="dxa"/>
              <w:right w:w="105" w:type="dxa"/>
            </w:tcMar>
            <w:vAlign w:val="top"/>
          </w:tcPr>
          <w:p w:rsidR="573B7504" w:rsidP="573B7504" w:rsidRDefault="573B7504" w14:paraId="36982BF1" w14:textId="33AEAD7F">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73B7504" w:rsidP="573B7504" w:rsidRDefault="573B7504" w14:paraId="5C61F4D0" w14:textId="33E315F5">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307D7EF8">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5A54F17C" w14:textId="250D3BD1">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7</w:t>
            </w:r>
          </w:p>
        </w:tc>
        <w:tc>
          <w:tcPr>
            <w:tcW w:w="7905" w:type="dxa"/>
            <w:shd w:val="clear" w:color="auto" w:fill="F2F2F2" w:themeFill="background1" w:themeFillShade="F2"/>
            <w:tcMar>
              <w:left w:w="105" w:type="dxa"/>
              <w:right w:w="105" w:type="dxa"/>
            </w:tcMar>
            <w:vAlign w:val="center"/>
          </w:tcPr>
          <w:p w:rsidR="573B7504" w:rsidP="573B7504" w:rsidRDefault="573B7504" w14:paraId="2F6B3F64" w14:textId="7BEA33F4">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Private company computers?</w:t>
            </w:r>
          </w:p>
        </w:tc>
        <w:tc>
          <w:tcPr>
            <w:tcW w:w="990" w:type="dxa"/>
            <w:shd w:val="clear" w:color="auto" w:fill="BFBFBF" w:themeFill="background1" w:themeFillShade="BF"/>
            <w:tcMar>
              <w:left w:w="105" w:type="dxa"/>
              <w:right w:w="105" w:type="dxa"/>
            </w:tcMar>
            <w:vAlign w:val="top"/>
          </w:tcPr>
          <w:p w:rsidR="573B7504" w:rsidP="573B7504" w:rsidRDefault="573B7504" w14:paraId="5A414F36" w14:textId="6B28C5D9">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73B7504" w:rsidP="573B7504" w:rsidRDefault="573B7504" w14:paraId="40DD3DF0" w14:textId="625FEC60">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43EE0263">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1E31B3A9" w14:textId="5C214A4C">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8</w:t>
            </w:r>
          </w:p>
        </w:tc>
        <w:tc>
          <w:tcPr>
            <w:tcW w:w="7905" w:type="dxa"/>
            <w:shd w:val="clear" w:color="auto" w:fill="F2F2F2" w:themeFill="background1" w:themeFillShade="F2"/>
            <w:tcMar>
              <w:left w:w="105" w:type="dxa"/>
              <w:right w:w="105" w:type="dxa"/>
            </w:tcMar>
            <w:vAlign w:val="center"/>
          </w:tcPr>
          <w:p w:rsidR="573B7504" w:rsidP="573B7504" w:rsidRDefault="573B7504" w14:paraId="655026D8" w14:textId="5BB87DCA">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Home or other personal computers?</w:t>
            </w:r>
          </w:p>
        </w:tc>
        <w:tc>
          <w:tcPr>
            <w:tcW w:w="990" w:type="dxa"/>
            <w:shd w:val="clear" w:color="auto" w:fill="BFBFBF" w:themeFill="background1" w:themeFillShade="BF"/>
            <w:tcMar>
              <w:left w:w="105" w:type="dxa"/>
              <w:right w:w="105" w:type="dxa"/>
            </w:tcMar>
            <w:vAlign w:val="top"/>
          </w:tcPr>
          <w:p w:rsidR="573B7504" w:rsidP="573B7504" w:rsidRDefault="573B7504" w14:paraId="39E4507D" w14:textId="3179A875">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73B7504" w:rsidP="573B7504" w:rsidRDefault="573B7504" w14:paraId="0D83BF82" w14:textId="2048E9D4">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0FDFA1ED">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7F8AEF64" w14:textId="2ED74605">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9</w:t>
            </w:r>
          </w:p>
        </w:tc>
        <w:tc>
          <w:tcPr>
            <w:tcW w:w="7905" w:type="dxa"/>
            <w:shd w:val="clear" w:color="auto" w:fill="F2F2F2" w:themeFill="background1" w:themeFillShade="F2"/>
            <w:tcMar>
              <w:left w:w="105" w:type="dxa"/>
              <w:right w:w="105" w:type="dxa"/>
            </w:tcMar>
            <w:vAlign w:val="center"/>
          </w:tcPr>
          <w:p w:rsidR="573B7504" w:rsidP="573B7504" w:rsidRDefault="573B7504" w14:paraId="5C2B04E0" w14:textId="05A2427F">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Laptop computers/ CDs/ Portable disk-drives/ memory sticks?</w:t>
            </w:r>
          </w:p>
        </w:tc>
        <w:tc>
          <w:tcPr>
            <w:tcW w:w="990" w:type="dxa"/>
            <w:shd w:val="clear" w:color="auto" w:fill="BFBFBF" w:themeFill="background1" w:themeFillShade="BF"/>
            <w:tcMar>
              <w:left w:w="105" w:type="dxa"/>
              <w:right w:w="105" w:type="dxa"/>
            </w:tcMar>
            <w:vAlign w:val="top"/>
          </w:tcPr>
          <w:p w:rsidR="573B7504" w:rsidP="573B7504" w:rsidRDefault="573B7504" w14:paraId="31F78587" w14:textId="2955D173">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73B7504" w:rsidP="573B7504" w:rsidRDefault="573B7504" w14:paraId="131B1C76" w14:textId="132BC4CA">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7B1EB929">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0382BB5C" w14:textId="7342606E">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10</w:t>
            </w:r>
          </w:p>
        </w:tc>
        <w:tc>
          <w:tcPr>
            <w:tcW w:w="7905" w:type="dxa"/>
            <w:shd w:val="clear" w:color="auto" w:fill="F2F2F2" w:themeFill="background1" w:themeFillShade="F2"/>
            <w:tcMar>
              <w:left w:w="105" w:type="dxa"/>
              <w:right w:w="105" w:type="dxa"/>
            </w:tcMar>
            <w:vAlign w:val="center"/>
          </w:tcPr>
          <w:p w:rsidR="573B7504" w:rsidP="573B7504" w:rsidRDefault="573B7504" w14:paraId="79D6569A" w14:textId="5F7DB569">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“Cloud” storage or websites?</w:t>
            </w:r>
          </w:p>
        </w:tc>
        <w:tc>
          <w:tcPr>
            <w:tcW w:w="990" w:type="dxa"/>
            <w:shd w:val="clear" w:color="auto" w:fill="BFBFBF" w:themeFill="background1" w:themeFillShade="BF"/>
            <w:tcMar>
              <w:left w:w="105" w:type="dxa"/>
              <w:right w:w="105" w:type="dxa"/>
            </w:tcMar>
            <w:vAlign w:val="top"/>
          </w:tcPr>
          <w:p w:rsidR="573B7504" w:rsidP="573B7504" w:rsidRDefault="573B7504" w14:paraId="25276BA5" w14:textId="26E289A9">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573B7504" w:rsidP="573B7504" w:rsidRDefault="573B7504" w14:paraId="67D59068" w14:textId="30913F8C">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00B4A00C">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0844346C" w14:textId="6C85D99D">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11</w:t>
            </w:r>
          </w:p>
        </w:tc>
        <w:tc>
          <w:tcPr>
            <w:tcW w:w="7905" w:type="dxa"/>
            <w:shd w:val="clear" w:color="auto" w:fill="F2F2F2" w:themeFill="background1" w:themeFillShade="F2"/>
            <w:tcMar>
              <w:left w:w="105" w:type="dxa"/>
              <w:right w:w="105" w:type="dxa"/>
            </w:tcMar>
            <w:vAlign w:val="top"/>
          </w:tcPr>
          <w:p w:rsidR="573B7504" w:rsidP="573B7504" w:rsidRDefault="573B7504" w14:paraId="381BB655" w14:textId="08E3A32A">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Other – specify:</w:t>
            </w:r>
          </w:p>
          <w:p w:rsidR="573B7504" w:rsidP="573B7504" w:rsidRDefault="573B7504" w14:paraId="342A3AE0" w14:textId="457650C8">
            <w:pPr>
              <w:bidi w:val="0"/>
              <w:rPr>
                <w:rFonts w:ascii="Arial" w:hAnsi="Arial" w:eastAsia="Arial" w:cs="Arial"/>
                <w:b w:val="0"/>
                <w:bCs w:val="0"/>
                <w:i w:val="0"/>
                <w:iCs w:val="0"/>
                <w:sz w:val="22"/>
                <w:szCs w:val="22"/>
              </w:rPr>
            </w:pPr>
          </w:p>
        </w:tc>
        <w:tc>
          <w:tcPr>
            <w:tcW w:w="990" w:type="dxa"/>
            <w:shd w:val="clear" w:color="auto" w:fill="BFBFBF" w:themeFill="background1" w:themeFillShade="BF"/>
            <w:tcMar>
              <w:left w:w="105" w:type="dxa"/>
              <w:right w:w="105" w:type="dxa"/>
            </w:tcMar>
            <w:vAlign w:val="center"/>
          </w:tcPr>
          <w:p w:rsidR="573B7504" w:rsidP="573B7504" w:rsidRDefault="573B7504" w14:paraId="0666C278" w14:textId="6804F30B">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1020" w:type="dxa"/>
            <w:shd w:val="clear" w:color="auto" w:fill="BFBFBF" w:themeFill="background1" w:themeFillShade="BF"/>
            <w:tcMar>
              <w:left w:w="105" w:type="dxa"/>
              <w:right w:w="105" w:type="dxa"/>
            </w:tcMar>
            <w:vAlign w:val="center"/>
          </w:tcPr>
          <w:p w:rsidR="573B7504" w:rsidP="573B7504" w:rsidRDefault="573B7504" w14:paraId="47B09266" w14:textId="0CE34915">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728C9339">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0EB5C40F" w14:textId="0203D149">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12</w:t>
            </w:r>
          </w:p>
        </w:tc>
        <w:tc>
          <w:tcPr>
            <w:tcW w:w="9915" w:type="dxa"/>
            <w:gridSpan w:val="3"/>
            <w:shd w:val="clear" w:color="auto" w:fill="F2F2F2" w:themeFill="background1" w:themeFillShade="F2"/>
            <w:tcMar>
              <w:left w:w="105" w:type="dxa"/>
              <w:right w:w="105" w:type="dxa"/>
            </w:tcMar>
            <w:vAlign w:val="top"/>
          </w:tcPr>
          <w:p w:rsidR="573B7504" w:rsidP="573B7504" w:rsidRDefault="573B7504" w14:paraId="2C87F607" w14:textId="09E7F5B7">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573B7504" w:rsidTr="573B7504" w14:paraId="682E0708">
        <w:trPr>
          <w:trHeight w:val="390"/>
        </w:trPr>
        <w:tc>
          <w:tcPr>
            <w:tcW w:w="555" w:type="dxa"/>
            <w:tcMar>
              <w:left w:w="105" w:type="dxa"/>
              <w:right w:w="105" w:type="dxa"/>
            </w:tcMar>
            <w:vAlign w:val="center"/>
          </w:tcPr>
          <w:p w:rsidR="573B7504" w:rsidP="573B7504" w:rsidRDefault="573B7504" w14:paraId="0D18D38C" w14:textId="16A5319B">
            <w:pPr>
              <w:bidi w:val="0"/>
              <w:jc w:val="center"/>
              <w:rPr>
                <w:rFonts w:ascii="Arial" w:hAnsi="Arial" w:eastAsia="Arial" w:cs="Arial"/>
                <w:b w:val="0"/>
                <w:bCs w:val="0"/>
                <w:i w:val="0"/>
                <w:iCs w:val="0"/>
                <w:sz w:val="22"/>
                <w:szCs w:val="22"/>
              </w:rPr>
            </w:pPr>
          </w:p>
        </w:tc>
        <w:tc>
          <w:tcPr>
            <w:tcW w:w="9915" w:type="dxa"/>
            <w:gridSpan w:val="3"/>
            <w:tcMar>
              <w:left w:w="105" w:type="dxa"/>
              <w:right w:w="105" w:type="dxa"/>
            </w:tcMar>
            <w:vAlign w:val="top"/>
          </w:tcPr>
          <w:p w:rsidR="573B7504" w:rsidP="573B7504" w:rsidRDefault="573B7504" w14:paraId="26D42F02" w14:textId="5E564882">
            <w:p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All research materials, notes, drafts and literature sources will be on password-protected devices and encrypted Cloud storage. Only the Principal Researcher and the Supervisor will have access to this. Regular backups will be made. No personal information will be obtained.</w:t>
            </w:r>
          </w:p>
          <w:p w:rsidR="573B7504" w:rsidP="573B7504" w:rsidRDefault="573B7504" w14:paraId="3E157DF2" w14:textId="765F9209">
            <w:pPr>
              <w:bidi w:val="0"/>
              <w:rPr>
                <w:rFonts w:ascii="Arial" w:hAnsi="Arial" w:eastAsia="Arial" w:cs="Arial"/>
                <w:b w:val="0"/>
                <w:bCs w:val="0"/>
                <w:i w:val="0"/>
                <w:iCs w:val="0"/>
                <w:sz w:val="22"/>
                <w:szCs w:val="22"/>
              </w:rPr>
            </w:pPr>
          </w:p>
          <w:p w:rsidR="573B7504" w:rsidP="573B7504" w:rsidRDefault="573B7504" w14:paraId="4348A731" w14:textId="4B2B43DB">
            <w:pPr>
              <w:bidi w:val="0"/>
              <w:rPr>
                <w:rFonts w:ascii="Arial" w:hAnsi="Arial" w:eastAsia="Arial" w:cs="Arial"/>
                <w:b w:val="0"/>
                <w:bCs w:val="0"/>
                <w:i w:val="0"/>
                <w:iCs w:val="0"/>
                <w:color w:val="808080" w:themeColor="background1" w:themeTint="FF" w:themeShade="80"/>
                <w:sz w:val="18"/>
                <w:szCs w:val="18"/>
              </w:rPr>
            </w:pPr>
            <w:r w:rsidRPr="573B7504" w:rsidR="573B7504">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Pr="00D97AB2" w:rsidR="00D97AB2" w:rsidP="573B7504" w:rsidRDefault="00D97AB2" w14:paraId="2A18BA1F" w14:textId="35D11E99">
      <w:pPr>
        <w:bidi w:val="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5"/>
        <w:gridCol w:w="7905"/>
        <w:gridCol w:w="990"/>
        <w:gridCol w:w="1020"/>
      </w:tblGrid>
      <w:tr w:rsidR="573B7504" w:rsidTr="573B7504" w14:paraId="6E300BCD">
        <w:trPr>
          <w:trHeight w:val="435"/>
        </w:trPr>
        <w:tc>
          <w:tcPr>
            <w:tcW w:w="555" w:type="dxa"/>
            <w:shd w:val="clear" w:color="auto" w:fill="F2F2F2" w:themeFill="background1" w:themeFillShade="F2"/>
            <w:tcMar>
              <w:left w:w="105" w:type="dxa"/>
              <w:right w:w="105" w:type="dxa"/>
            </w:tcMar>
            <w:vAlign w:val="top"/>
          </w:tcPr>
          <w:p w:rsidR="573B7504" w:rsidP="573B7504" w:rsidRDefault="573B7504" w14:paraId="6AD63BCA" w14:textId="1756E572">
            <w:pPr>
              <w:bidi w:val="0"/>
              <w:rPr>
                <w:rFonts w:ascii="Arial" w:hAnsi="Arial" w:eastAsia="Arial" w:cs="Arial"/>
                <w:b w:val="0"/>
                <w:bCs w:val="0"/>
                <w:i w:val="0"/>
                <w:iCs w:val="0"/>
                <w:sz w:val="22"/>
                <w:szCs w:val="22"/>
              </w:rPr>
            </w:pPr>
          </w:p>
        </w:tc>
        <w:tc>
          <w:tcPr>
            <w:tcW w:w="9915" w:type="dxa"/>
            <w:gridSpan w:val="3"/>
            <w:shd w:val="clear" w:color="auto" w:fill="F2F2F2" w:themeFill="background1" w:themeFillShade="F2"/>
            <w:tcMar>
              <w:left w:w="105" w:type="dxa"/>
              <w:right w:w="105" w:type="dxa"/>
            </w:tcMar>
            <w:vAlign w:val="center"/>
          </w:tcPr>
          <w:p w:rsidR="573B7504" w:rsidP="573B7504" w:rsidRDefault="573B7504" w14:paraId="06045887" w14:textId="34334E84">
            <w:pPr>
              <w:bidi w:val="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Data Protection</w:t>
            </w:r>
          </w:p>
        </w:tc>
      </w:tr>
      <w:tr w:rsidR="573B7504" w:rsidTr="573B7504" w14:paraId="46C825AA">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6807DCFF" w14:textId="4234F529">
            <w:pPr>
              <w:bidi w:val="0"/>
              <w:jc w:val="center"/>
              <w:rPr>
                <w:rFonts w:ascii="Arial" w:hAnsi="Arial" w:eastAsia="Arial" w:cs="Arial"/>
                <w:b w:val="0"/>
                <w:bCs w:val="0"/>
                <w:i w:val="0"/>
                <w:iCs w:val="0"/>
                <w:sz w:val="22"/>
                <w:szCs w:val="22"/>
              </w:rPr>
            </w:pPr>
          </w:p>
        </w:tc>
        <w:tc>
          <w:tcPr>
            <w:tcW w:w="7905" w:type="dxa"/>
            <w:shd w:val="clear" w:color="auto" w:fill="F2F2F2" w:themeFill="background1" w:themeFillShade="F2"/>
            <w:tcMar>
              <w:left w:w="105" w:type="dxa"/>
              <w:right w:w="105" w:type="dxa"/>
            </w:tcMar>
            <w:vAlign w:val="center"/>
          </w:tcPr>
          <w:p w:rsidR="573B7504" w:rsidP="573B7504" w:rsidRDefault="573B7504" w14:paraId="4B92834C" w14:textId="4021E04F">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Will the research activity involve any of the following activities:</w:t>
            </w:r>
          </w:p>
        </w:tc>
        <w:tc>
          <w:tcPr>
            <w:tcW w:w="990" w:type="dxa"/>
            <w:shd w:val="clear" w:color="auto" w:fill="F2F2F2" w:themeFill="background1" w:themeFillShade="F2"/>
            <w:tcMar>
              <w:left w:w="105" w:type="dxa"/>
              <w:right w:w="105" w:type="dxa"/>
            </w:tcMar>
            <w:vAlign w:val="center"/>
          </w:tcPr>
          <w:p w:rsidR="573B7504" w:rsidP="573B7504" w:rsidRDefault="573B7504" w14:paraId="1A0A8109" w14:textId="36C0F7A0">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YES</w:t>
            </w:r>
          </w:p>
        </w:tc>
        <w:tc>
          <w:tcPr>
            <w:tcW w:w="1020" w:type="dxa"/>
            <w:shd w:val="clear" w:color="auto" w:fill="F2F2F2" w:themeFill="background1" w:themeFillShade="F2"/>
            <w:tcMar>
              <w:left w:w="105" w:type="dxa"/>
              <w:right w:w="105" w:type="dxa"/>
            </w:tcMar>
            <w:vAlign w:val="center"/>
          </w:tcPr>
          <w:p w:rsidR="573B7504" w:rsidP="573B7504" w:rsidRDefault="573B7504" w14:paraId="1F9A2178" w14:textId="5CDE58C6">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NO</w:t>
            </w:r>
          </w:p>
        </w:tc>
      </w:tr>
      <w:tr w:rsidR="573B7504" w:rsidTr="573B7504" w14:paraId="3F1EE0D7">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7B6AC891" w14:textId="4DCA41FD">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13</w:t>
            </w:r>
          </w:p>
        </w:tc>
        <w:tc>
          <w:tcPr>
            <w:tcW w:w="7905" w:type="dxa"/>
            <w:shd w:val="clear" w:color="auto" w:fill="F2F2F2" w:themeFill="background1" w:themeFillShade="F2"/>
            <w:tcMar>
              <w:left w:w="105" w:type="dxa"/>
              <w:right w:w="105" w:type="dxa"/>
            </w:tcMar>
            <w:vAlign w:val="center"/>
          </w:tcPr>
          <w:p w:rsidR="573B7504" w:rsidP="573B7504" w:rsidRDefault="573B7504" w14:paraId="1D5CBDA4" w14:textId="63A32813">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Electronic transfer of data in any form?</w:t>
            </w:r>
          </w:p>
        </w:tc>
        <w:tc>
          <w:tcPr>
            <w:tcW w:w="990" w:type="dxa"/>
            <w:shd w:val="clear" w:color="auto" w:fill="BFBFBF" w:themeFill="background1" w:themeFillShade="BF"/>
            <w:tcMar>
              <w:left w:w="105" w:type="dxa"/>
              <w:right w:w="105" w:type="dxa"/>
            </w:tcMar>
            <w:vAlign w:val="center"/>
          </w:tcPr>
          <w:p w:rsidR="573B7504" w:rsidP="573B7504" w:rsidRDefault="573B7504" w14:paraId="07A5316F" w14:textId="3D9FC325">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1020" w:type="dxa"/>
            <w:shd w:val="clear" w:color="auto" w:fill="BFBFBF" w:themeFill="background1" w:themeFillShade="BF"/>
            <w:tcMar>
              <w:left w:w="105" w:type="dxa"/>
              <w:right w:w="105" w:type="dxa"/>
            </w:tcMar>
            <w:vAlign w:val="center"/>
          </w:tcPr>
          <w:p w:rsidR="573B7504" w:rsidP="573B7504" w:rsidRDefault="573B7504" w14:paraId="2C1698E7" w14:textId="30B01260">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23A0FD7E">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04E6CDF4" w14:textId="2D18D4AA">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14</w:t>
            </w:r>
          </w:p>
        </w:tc>
        <w:tc>
          <w:tcPr>
            <w:tcW w:w="7905" w:type="dxa"/>
            <w:shd w:val="clear" w:color="auto" w:fill="F2F2F2" w:themeFill="background1" w:themeFillShade="F2"/>
            <w:tcMar>
              <w:left w:w="105" w:type="dxa"/>
              <w:right w:w="105" w:type="dxa"/>
            </w:tcMar>
            <w:vAlign w:val="center"/>
          </w:tcPr>
          <w:p w:rsidR="573B7504" w:rsidP="573B7504" w:rsidRDefault="573B7504" w14:paraId="1F3ED4FC" w14:textId="69D02DAD">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Sharing of data with others at the University outside of the immediate research team?</w:t>
            </w:r>
          </w:p>
        </w:tc>
        <w:tc>
          <w:tcPr>
            <w:tcW w:w="990" w:type="dxa"/>
            <w:shd w:val="clear" w:color="auto" w:fill="BFBFBF" w:themeFill="background1" w:themeFillShade="BF"/>
            <w:tcMar>
              <w:left w:w="105" w:type="dxa"/>
              <w:right w:w="105" w:type="dxa"/>
            </w:tcMar>
            <w:vAlign w:val="center"/>
          </w:tcPr>
          <w:p w:rsidR="573B7504" w:rsidP="573B7504" w:rsidRDefault="573B7504" w14:paraId="1BBA17EE" w14:textId="4746A955">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1020" w:type="dxa"/>
            <w:shd w:val="clear" w:color="auto" w:fill="BFBFBF" w:themeFill="background1" w:themeFillShade="BF"/>
            <w:tcMar>
              <w:left w:w="105" w:type="dxa"/>
              <w:right w:w="105" w:type="dxa"/>
            </w:tcMar>
            <w:vAlign w:val="center"/>
          </w:tcPr>
          <w:p w:rsidR="573B7504" w:rsidP="573B7504" w:rsidRDefault="573B7504" w14:paraId="009C82E9" w14:textId="63CF2C4C">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3034B83A">
        <w:trPr>
          <w:trHeight w:val="435"/>
        </w:trPr>
        <w:tc>
          <w:tcPr>
            <w:tcW w:w="555" w:type="dxa"/>
            <w:shd w:val="clear" w:color="auto" w:fill="F2F2F2" w:themeFill="background1" w:themeFillShade="F2"/>
            <w:tcMar>
              <w:left w:w="105" w:type="dxa"/>
              <w:right w:w="105" w:type="dxa"/>
            </w:tcMar>
            <w:vAlign w:val="center"/>
          </w:tcPr>
          <w:p w:rsidR="573B7504" w:rsidP="573B7504" w:rsidRDefault="573B7504" w14:paraId="1F1AB3B6" w14:textId="24A46522">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15</w:t>
            </w:r>
          </w:p>
        </w:tc>
        <w:tc>
          <w:tcPr>
            <w:tcW w:w="7905" w:type="dxa"/>
            <w:shd w:val="clear" w:color="auto" w:fill="F2F2F2" w:themeFill="background1" w:themeFillShade="F2"/>
            <w:tcMar>
              <w:left w:w="105" w:type="dxa"/>
              <w:right w:w="105" w:type="dxa"/>
            </w:tcMar>
            <w:vAlign w:val="center"/>
          </w:tcPr>
          <w:p w:rsidR="573B7504" w:rsidP="573B7504" w:rsidRDefault="573B7504" w14:paraId="4632F9FB" w14:textId="7E398C55">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Sharing of data with other organisations?</w:t>
            </w:r>
          </w:p>
        </w:tc>
        <w:tc>
          <w:tcPr>
            <w:tcW w:w="990" w:type="dxa"/>
            <w:shd w:val="clear" w:color="auto" w:fill="BFBFBF" w:themeFill="background1" w:themeFillShade="BF"/>
            <w:tcMar>
              <w:left w:w="105" w:type="dxa"/>
              <w:right w:w="105" w:type="dxa"/>
            </w:tcMar>
            <w:vAlign w:val="center"/>
          </w:tcPr>
          <w:p w:rsidR="573B7504" w:rsidP="573B7504" w:rsidRDefault="573B7504" w14:paraId="01F87E01" w14:textId="27635E9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1020" w:type="dxa"/>
            <w:shd w:val="clear" w:color="auto" w:fill="BFBFBF" w:themeFill="background1" w:themeFillShade="BF"/>
            <w:tcMar>
              <w:left w:w="105" w:type="dxa"/>
              <w:right w:w="105" w:type="dxa"/>
            </w:tcMar>
            <w:vAlign w:val="center"/>
          </w:tcPr>
          <w:p w:rsidR="573B7504" w:rsidP="573B7504" w:rsidRDefault="573B7504" w14:paraId="5C86D173" w14:textId="08C6BE37">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4D4EB087">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64535A58" w14:textId="2339076B">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16</w:t>
            </w:r>
          </w:p>
        </w:tc>
        <w:tc>
          <w:tcPr>
            <w:tcW w:w="7905" w:type="dxa"/>
            <w:shd w:val="clear" w:color="auto" w:fill="F2F2F2" w:themeFill="background1" w:themeFillShade="F2"/>
            <w:tcMar>
              <w:left w:w="105" w:type="dxa"/>
              <w:right w:w="105" w:type="dxa"/>
            </w:tcMar>
            <w:vAlign w:val="center"/>
          </w:tcPr>
          <w:p w:rsidR="573B7504" w:rsidP="573B7504" w:rsidRDefault="573B7504" w14:paraId="171CCB38" w14:textId="5D2605F4">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Export of data outside the UK or importing of data from outside the UK?</w:t>
            </w:r>
          </w:p>
        </w:tc>
        <w:tc>
          <w:tcPr>
            <w:tcW w:w="990" w:type="dxa"/>
            <w:shd w:val="clear" w:color="auto" w:fill="BFBFBF" w:themeFill="background1" w:themeFillShade="BF"/>
            <w:tcMar>
              <w:left w:w="105" w:type="dxa"/>
              <w:right w:w="105" w:type="dxa"/>
            </w:tcMar>
            <w:vAlign w:val="center"/>
          </w:tcPr>
          <w:p w:rsidR="573B7504" w:rsidP="573B7504" w:rsidRDefault="573B7504" w14:paraId="05FF80B7" w14:textId="4B04B447">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1020" w:type="dxa"/>
            <w:shd w:val="clear" w:color="auto" w:fill="BFBFBF" w:themeFill="background1" w:themeFillShade="BF"/>
            <w:tcMar>
              <w:left w:w="105" w:type="dxa"/>
              <w:right w:w="105" w:type="dxa"/>
            </w:tcMar>
            <w:vAlign w:val="center"/>
          </w:tcPr>
          <w:p w:rsidR="573B7504" w:rsidP="573B7504" w:rsidRDefault="573B7504" w14:paraId="4DD16810" w14:textId="60DB8D55">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3A031821">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7BAE4D12" w14:textId="2E4F9884">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17</w:t>
            </w:r>
          </w:p>
        </w:tc>
        <w:tc>
          <w:tcPr>
            <w:tcW w:w="7905" w:type="dxa"/>
            <w:shd w:val="clear" w:color="auto" w:fill="F2F2F2" w:themeFill="background1" w:themeFillShade="F2"/>
            <w:tcMar>
              <w:left w:w="105" w:type="dxa"/>
              <w:right w:w="105" w:type="dxa"/>
            </w:tcMar>
            <w:vAlign w:val="center"/>
          </w:tcPr>
          <w:p w:rsidR="573B7504" w:rsidP="573B7504" w:rsidRDefault="573B7504" w14:paraId="43A76329" w14:textId="286C208B">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Use of personal addresses, postcodes, faxes, emails or telephone numbers?</w:t>
            </w:r>
          </w:p>
        </w:tc>
        <w:tc>
          <w:tcPr>
            <w:tcW w:w="990" w:type="dxa"/>
            <w:shd w:val="clear" w:color="auto" w:fill="BFBFBF" w:themeFill="background1" w:themeFillShade="BF"/>
            <w:tcMar>
              <w:left w:w="105" w:type="dxa"/>
              <w:right w:w="105" w:type="dxa"/>
            </w:tcMar>
            <w:vAlign w:val="center"/>
          </w:tcPr>
          <w:p w:rsidR="573B7504" w:rsidP="573B7504" w:rsidRDefault="573B7504" w14:paraId="1618D177" w14:textId="38746D6F">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1020" w:type="dxa"/>
            <w:shd w:val="clear" w:color="auto" w:fill="BFBFBF" w:themeFill="background1" w:themeFillShade="BF"/>
            <w:tcMar>
              <w:left w:w="105" w:type="dxa"/>
              <w:right w:w="105" w:type="dxa"/>
            </w:tcMar>
            <w:vAlign w:val="center"/>
          </w:tcPr>
          <w:p w:rsidR="573B7504" w:rsidP="573B7504" w:rsidRDefault="573B7504" w14:paraId="50C14F4D" w14:textId="4E0DB56C">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1937B715">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2546671D" w14:textId="3E4892EB">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18</w:t>
            </w:r>
          </w:p>
        </w:tc>
        <w:tc>
          <w:tcPr>
            <w:tcW w:w="7905" w:type="dxa"/>
            <w:shd w:val="clear" w:color="auto" w:fill="F2F2F2" w:themeFill="background1" w:themeFillShade="F2"/>
            <w:tcMar>
              <w:left w:w="105" w:type="dxa"/>
              <w:right w:w="105" w:type="dxa"/>
            </w:tcMar>
            <w:vAlign w:val="center"/>
          </w:tcPr>
          <w:p w:rsidR="573B7504" w:rsidP="573B7504" w:rsidRDefault="573B7504" w14:paraId="7D850A34" w14:textId="00FE6AD3">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Publication of data that might allow identification of individuals?</w:t>
            </w:r>
          </w:p>
        </w:tc>
        <w:tc>
          <w:tcPr>
            <w:tcW w:w="990" w:type="dxa"/>
            <w:shd w:val="clear" w:color="auto" w:fill="BFBFBF" w:themeFill="background1" w:themeFillShade="BF"/>
            <w:tcMar>
              <w:left w:w="105" w:type="dxa"/>
              <w:right w:w="105" w:type="dxa"/>
            </w:tcMar>
            <w:vAlign w:val="center"/>
          </w:tcPr>
          <w:p w:rsidR="573B7504" w:rsidP="573B7504" w:rsidRDefault="573B7504" w14:paraId="199384DB" w14:textId="0813B6E6">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c>
          <w:tcPr>
            <w:tcW w:w="1020" w:type="dxa"/>
            <w:shd w:val="clear" w:color="auto" w:fill="BFBFBF" w:themeFill="background1" w:themeFillShade="BF"/>
            <w:tcMar>
              <w:left w:w="105" w:type="dxa"/>
              <w:right w:w="105" w:type="dxa"/>
            </w:tcMar>
            <w:vAlign w:val="center"/>
          </w:tcPr>
          <w:p w:rsidR="573B7504" w:rsidP="573B7504" w:rsidRDefault="573B7504" w14:paraId="70685380" w14:textId="2E1C5F4E">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 xml:space="preserve">  </w:t>
            </w:r>
            <w:r w:rsidRPr="573B7504" w:rsidR="573B7504">
              <w:rPr>
                <w:rFonts w:ascii="MS Gothic" w:hAnsi="MS Gothic" w:eastAsia="MS Gothic" w:cs="MS Gothic"/>
                <w:b w:val="1"/>
                <w:bCs w:val="1"/>
                <w:i w:val="0"/>
                <w:iCs w:val="0"/>
                <w:sz w:val="22"/>
                <w:szCs w:val="22"/>
                <w:lang w:val="en-GB"/>
              </w:rPr>
              <w:t>☒</w:t>
            </w:r>
            <w:r w:rsidRPr="573B7504" w:rsidR="573B7504">
              <w:rPr>
                <w:rFonts w:ascii="Arial" w:hAnsi="Arial" w:eastAsia="Arial" w:cs="Arial"/>
                <w:b w:val="1"/>
                <w:bCs w:val="1"/>
                <w:i w:val="0"/>
                <w:iCs w:val="0"/>
                <w:sz w:val="22"/>
                <w:szCs w:val="22"/>
                <w:lang w:val="en-GB"/>
              </w:rPr>
              <w:t xml:space="preserve"> </w:t>
            </w:r>
          </w:p>
        </w:tc>
      </w:tr>
      <w:tr w:rsidR="573B7504" w:rsidTr="573B7504" w14:paraId="7C0D5326">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1FA7BC7C" w14:textId="23F6674E">
            <w:pPr>
              <w:bidi w:val="0"/>
              <w:spacing w:before="120" w:after="12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19</w:t>
            </w:r>
          </w:p>
        </w:tc>
        <w:tc>
          <w:tcPr>
            <w:tcW w:w="9915" w:type="dxa"/>
            <w:gridSpan w:val="3"/>
            <w:shd w:val="clear" w:color="auto" w:fill="F2F2F2" w:themeFill="background1" w:themeFillShade="F2"/>
            <w:tcMar>
              <w:left w:w="105" w:type="dxa"/>
              <w:right w:w="105" w:type="dxa"/>
            </w:tcMar>
            <w:vAlign w:val="center"/>
          </w:tcPr>
          <w:p w:rsidR="573B7504" w:rsidP="573B7504" w:rsidRDefault="573B7504" w14:paraId="683FF8E8" w14:textId="7E448D9C">
            <w:pPr>
              <w:bidi w:val="0"/>
              <w:spacing w:before="120" w:after="12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If YES</w:t>
            </w:r>
            <w:r w:rsidRPr="573B7504" w:rsidR="573B7504">
              <w:rPr>
                <w:rFonts w:ascii="Arial" w:hAnsi="Arial" w:eastAsia="Arial" w:cs="Arial"/>
                <w:b w:val="1"/>
                <w:bCs w:val="1"/>
                <w:i w:val="0"/>
                <w:iCs w:val="0"/>
                <w:sz w:val="22"/>
                <w:szCs w:val="22"/>
                <w:lang w:val="en-GB"/>
              </w:rPr>
              <w:t xml:space="preserve"> </w:t>
            </w:r>
            <w:r w:rsidRPr="573B7504" w:rsidR="573B7504">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(and/or any international equivalent):</w:t>
            </w:r>
          </w:p>
        </w:tc>
      </w:tr>
      <w:tr w:rsidR="573B7504" w:rsidTr="573B7504" w14:paraId="50835F29">
        <w:trPr>
          <w:trHeight w:val="390"/>
        </w:trPr>
        <w:tc>
          <w:tcPr>
            <w:tcW w:w="555" w:type="dxa"/>
            <w:tcMar>
              <w:left w:w="105" w:type="dxa"/>
              <w:right w:w="105" w:type="dxa"/>
            </w:tcMar>
            <w:vAlign w:val="center"/>
          </w:tcPr>
          <w:p w:rsidR="573B7504" w:rsidP="573B7504" w:rsidRDefault="573B7504" w14:paraId="2FBE9C4C" w14:textId="1505B4AC">
            <w:pPr>
              <w:bidi w:val="0"/>
              <w:jc w:val="center"/>
              <w:rPr>
                <w:rFonts w:ascii="Arial" w:hAnsi="Arial" w:eastAsia="Arial" w:cs="Arial"/>
                <w:b w:val="0"/>
                <w:bCs w:val="0"/>
                <w:i w:val="0"/>
                <w:iCs w:val="0"/>
                <w:sz w:val="22"/>
                <w:szCs w:val="22"/>
              </w:rPr>
            </w:pPr>
          </w:p>
        </w:tc>
        <w:tc>
          <w:tcPr>
            <w:tcW w:w="9915" w:type="dxa"/>
            <w:gridSpan w:val="3"/>
            <w:tcMar>
              <w:left w:w="105" w:type="dxa"/>
              <w:right w:w="105" w:type="dxa"/>
            </w:tcMar>
            <w:vAlign w:val="center"/>
          </w:tcPr>
          <w:p w:rsidR="573B7504" w:rsidP="573B7504" w:rsidRDefault="573B7504" w14:paraId="3E67303B" w14:textId="3DF2B6AD">
            <w:p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Dissertation drafts and research documents can be published electronically with the supervisor using secure systems on the University. Personal and sensitive information will NOT be shared.</w:t>
            </w:r>
          </w:p>
          <w:p w:rsidR="573B7504" w:rsidP="573B7504" w:rsidRDefault="573B7504" w14:paraId="0031527E" w14:textId="0E89DECF">
            <w:pPr>
              <w:bidi w:val="0"/>
              <w:rPr>
                <w:rFonts w:ascii="Times New Roman" w:hAnsi="Times New Roman" w:eastAsia="Times New Roman" w:cs="Times New Roman"/>
                <w:b w:val="0"/>
                <w:bCs w:val="0"/>
                <w:i w:val="0"/>
                <w:iCs w:val="0"/>
                <w:sz w:val="22"/>
                <w:szCs w:val="22"/>
              </w:rPr>
            </w:pPr>
          </w:p>
        </w:tc>
      </w:tr>
      <w:tr w:rsidR="573B7504" w:rsidTr="573B7504" w14:paraId="203EA3A6">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3C80DD68" w14:textId="5525BC0A">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20</w:t>
            </w:r>
          </w:p>
        </w:tc>
        <w:tc>
          <w:tcPr>
            <w:tcW w:w="9915" w:type="dxa"/>
            <w:gridSpan w:val="3"/>
            <w:shd w:val="clear" w:color="auto" w:fill="F2F2F2" w:themeFill="background1" w:themeFillShade="F2"/>
            <w:tcMar>
              <w:left w:w="105" w:type="dxa"/>
              <w:right w:w="105" w:type="dxa"/>
            </w:tcMar>
            <w:vAlign w:val="center"/>
          </w:tcPr>
          <w:p w:rsidR="573B7504" w:rsidP="573B7504" w:rsidRDefault="573B7504" w14:paraId="3BBDAC9D" w14:textId="603CCF10">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List all who will have access to the data generated by the research activity:</w:t>
            </w:r>
          </w:p>
        </w:tc>
      </w:tr>
      <w:tr w:rsidR="573B7504" w:rsidTr="573B7504" w14:paraId="7A767276">
        <w:trPr>
          <w:trHeight w:val="390"/>
        </w:trPr>
        <w:tc>
          <w:tcPr>
            <w:tcW w:w="555" w:type="dxa"/>
            <w:tcMar>
              <w:left w:w="105" w:type="dxa"/>
              <w:right w:w="105" w:type="dxa"/>
            </w:tcMar>
            <w:vAlign w:val="center"/>
          </w:tcPr>
          <w:p w:rsidR="573B7504" w:rsidP="573B7504" w:rsidRDefault="573B7504" w14:paraId="67AF2C3C" w14:textId="3D23C8E2">
            <w:pPr>
              <w:bidi w:val="0"/>
              <w:jc w:val="center"/>
              <w:rPr>
                <w:rFonts w:ascii="Arial" w:hAnsi="Arial" w:eastAsia="Arial" w:cs="Arial"/>
                <w:b w:val="0"/>
                <w:bCs w:val="0"/>
                <w:i w:val="0"/>
                <w:iCs w:val="0"/>
                <w:sz w:val="22"/>
                <w:szCs w:val="22"/>
              </w:rPr>
            </w:pPr>
          </w:p>
        </w:tc>
        <w:tc>
          <w:tcPr>
            <w:tcW w:w="9915" w:type="dxa"/>
            <w:gridSpan w:val="3"/>
            <w:tcMar>
              <w:left w:w="105" w:type="dxa"/>
              <w:right w:w="105" w:type="dxa"/>
            </w:tcMar>
            <w:vAlign w:val="center"/>
          </w:tcPr>
          <w:p w:rsidR="573B7504" w:rsidP="573B7504" w:rsidRDefault="573B7504" w14:paraId="094C71DD" w14:textId="4475DC1A">
            <w:pPr>
              <w:pStyle w:val="ListParagraph"/>
              <w:numPr>
                <w:ilvl w:val="0"/>
                <w:numId w:val="5"/>
              </w:num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Principal Researcher</w:t>
            </w:r>
          </w:p>
          <w:p w:rsidR="573B7504" w:rsidP="573B7504" w:rsidRDefault="573B7504" w14:paraId="1A10216E" w14:textId="5B946248">
            <w:pPr>
              <w:pStyle w:val="ListParagraph"/>
              <w:numPr>
                <w:ilvl w:val="0"/>
                <w:numId w:val="5"/>
              </w:num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Dissertation Supervisor</w:t>
            </w:r>
          </w:p>
          <w:p w:rsidR="573B7504" w:rsidP="573B7504" w:rsidRDefault="573B7504" w14:paraId="0C4879DB" w14:textId="61E03B61">
            <w:pPr>
              <w:pStyle w:val="ListParagraph"/>
              <w:numPr>
                <w:ilvl w:val="0"/>
                <w:numId w:val="5"/>
              </w:num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Internal Marker</w:t>
            </w:r>
          </w:p>
          <w:p w:rsidR="573B7504" w:rsidP="573B7504" w:rsidRDefault="573B7504" w14:paraId="5D2912B8" w14:textId="15068452">
            <w:pPr>
              <w:pStyle w:val="ListParagraph"/>
              <w:numPr>
                <w:ilvl w:val="0"/>
                <w:numId w:val="5"/>
              </w:num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External Examiner (if required)</w:t>
            </w:r>
          </w:p>
        </w:tc>
      </w:tr>
      <w:tr w:rsidR="573B7504" w:rsidTr="573B7504" w14:paraId="0B30A577">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1385BFB7" w14:textId="1AF77492">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21</w:t>
            </w:r>
          </w:p>
        </w:tc>
        <w:tc>
          <w:tcPr>
            <w:tcW w:w="9915" w:type="dxa"/>
            <w:gridSpan w:val="3"/>
            <w:shd w:val="clear" w:color="auto" w:fill="F2F2F2" w:themeFill="background1" w:themeFillShade="F2"/>
            <w:tcMar>
              <w:left w:w="105" w:type="dxa"/>
              <w:right w:w="105" w:type="dxa"/>
            </w:tcMar>
            <w:vAlign w:val="top"/>
          </w:tcPr>
          <w:p w:rsidR="573B7504" w:rsidP="573B7504" w:rsidRDefault="573B7504" w14:paraId="3E91AC49" w14:textId="37465485">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List who will have control of, and act as custodian(s) for, data generated by the research activity:</w:t>
            </w:r>
          </w:p>
        </w:tc>
      </w:tr>
      <w:tr w:rsidR="573B7504" w:rsidTr="573B7504" w14:paraId="47D0C52C">
        <w:trPr>
          <w:trHeight w:val="390"/>
        </w:trPr>
        <w:tc>
          <w:tcPr>
            <w:tcW w:w="555" w:type="dxa"/>
            <w:tcMar>
              <w:left w:w="105" w:type="dxa"/>
              <w:right w:w="105" w:type="dxa"/>
            </w:tcMar>
            <w:vAlign w:val="center"/>
          </w:tcPr>
          <w:p w:rsidR="573B7504" w:rsidP="573B7504" w:rsidRDefault="573B7504" w14:paraId="48A657D4" w14:textId="6527DAAA">
            <w:pPr>
              <w:bidi w:val="0"/>
              <w:jc w:val="center"/>
              <w:rPr>
                <w:rFonts w:ascii="Arial" w:hAnsi="Arial" w:eastAsia="Arial" w:cs="Arial"/>
                <w:b w:val="0"/>
                <w:bCs w:val="0"/>
                <w:i w:val="0"/>
                <w:iCs w:val="0"/>
                <w:sz w:val="22"/>
                <w:szCs w:val="22"/>
              </w:rPr>
            </w:pPr>
          </w:p>
        </w:tc>
        <w:tc>
          <w:tcPr>
            <w:tcW w:w="9915" w:type="dxa"/>
            <w:gridSpan w:val="3"/>
            <w:tcMar>
              <w:left w:w="105" w:type="dxa"/>
              <w:right w:w="105" w:type="dxa"/>
            </w:tcMar>
            <w:vAlign w:val="top"/>
          </w:tcPr>
          <w:p w:rsidR="573B7504" w:rsidP="573B7504" w:rsidRDefault="573B7504" w14:paraId="17D42DC3" w14:textId="69A07F7A">
            <w:p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Principal Researcher</w:t>
            </w:r>
          </w:p>
        </w:tc>
      </w:tr>
      <w:tr w:rsidR="573B7504" w:rsidTr="573B7504" w14:paraId="00DB4714">
        <w:trPr>
          <w:trHeight w:val="390"/>
        </w:trPr>
        <w:tc>
          <w:tcPr>
            <w:tcW w:w="555" w:type="dxa"/>
            <w:shd w:val="clear" w:color="auto" w:fill="F2F2F2" w:themeFill="background1" w:themeFillShade="F2"/>
            <w:tcMar>
              <w:left w:w="105" w:type="dxa"/>
              <w:right w:w="105" w:type="dxa"/>
            </w:tcMar>
            <w:vAlign w:val="center"/>
          </w:tcPr>
          <w:p w:rsidR="573B7504" w:rsidP="573B7504" w:rsidRDefault="573B7504" w14:paraId="380DDFE9" w14:textId="29A05EAF">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22</w:t>
            </w:r>
          </w:p>
        </w:tc>
        <w:tc>
          <w:tcPr>
            <w:tcW w:w="9915" w:type="dxa"/>
            <w:gridSpan w:val="3"/>
            <w:shd w:val="clear" w:color="auto" w:fill="F2F2F2" w:themeFill="background1" w:themeFillShade="F2"/>
            <w:tcMar>
              <w:left w:w="105" w:type="dxa"/>
              <w:right w:w="105" w:type="dxa"/>
            </w:tcMar>
            <w:vAlign w:val="top"/>
          </w:tcPr>
          <w:p w:rsidR="573B7504" w:rsidP="573B7504" w:rsidRDefault="573B7504" w14:paraId="07C2EA77" w14:textId="4E99503C">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t>
            </w:r>
          </w:p>
        </w:tc>
      </w:tr>
      <w:tr w:rsidR="573B7504" w:rsidTr="573B7504" w14:paraId="22F913DB">
        <w:trPr>
          <w:trHeight w:val="390"/>
        </w:trPr>
        <w:tc>
          <w:tcPr>
            <w:tcW w:w="555" w:type="dxa"/>
            <w:tcMar>
              <w:left w:w="105" w:type="dxa"/>
              <w:right w:w="105" w:type="dxa"/>
            </w:tcMar>
            <w:vAlign w:val="center"/>
          </w:tcPr>
          <w:p w:rsidR="573B7504" w:rsidP="573B7504" w:rsidRDefault="573B7504" w14:paraId="5C0FE397" w14:textId="3600673E">
            <w:pPr>
              <w:bidi w:val="0"/>
              <w:jc w:val="center"/>
              <w:rPr>
                <w:rFonts w:ascii="Arial" w:hAnsi="Arial" w:eastAsia="Arial" w:cs="Arial"/>
                <w:b w:val="0"/>
                <w:bCs w:val="0"/>
                <w:i w:val="0"/>
                <w:iCs w:val="0"/>
                <w:sz w:val="22"/>
                <w:szCs w:val="22"/>
              </w:rPr>
            </w:pPr>
          </w:p>
        </w:tc>
        <w:tc>
          <w:tcPr>
            <w:tcW w:w="9915" w:type="dxa"/>
            <w:gridSpan w:val="3"/>
            <w:tcMar>
              <w:left w:w="105" w:type="dxa"/>
              <w:right w:w="105" w:type="dxa"/>
            </w:tcMar>
            <w:vAlign w:val="top"/>
          </w:tcPr>
          <w:p w:rsidR="573B7504" w:rsidP="573B7504" w:rsidRDefault="573B7504" w14:paraId="2152F97F" w14:textId="2A23B5DB">
            <w:pPr>
              <w:bidi w:val="0"/>
              <w:rPr>
                <w:rFonts w:ascii="Arial" w:hAnsi="Arial" w:eastAsia="Arial" w:cs="Arial"/>
                <w:b w:val="0"/>
                <w:bCs w:val="0"/>
                <w:i w:val="0"/>
                <w:iCs w:val="0"/>
                <w:color w:val="000000" w:themeColor="text1" w:themeTint="FF" w:themeShade="FF"/>
                <w:sz w:val="22"/>
                <w:szCs w:val="22"/>
              </w:rPr>
            </w:pPr>
          </w:p>
          <w:p w:rsidR="573B7504" w:rsidP="573B7504" w:rsidRDefault="573B7504" w14:paraId="48058B6D" w14:textId="659002E4">
            <w:p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All documents that contain research information will be kept in confidential folders with security devices and encrypted on the cloud drive with a password. Data will be kept until assessment requirements are met, then data will be managed according to university policy.</w:t>
            </w:r>
          </w:p>
          <w:p w:rsidR="573B7504" w:rsidP="573B7504" w:rsidRDefault="573B7504" w14:paraId="66B02812" w14:textId="6F188E04">
            <w:pPr>
              <w:bidi w:val="0"/>
              <w:rPr>
                <w:rFonts w:ascii="Arial" w:hAnsi="Arial" w:eastAsia="Arial" w:cs="Arial"/>
                <w:b w:val="0"/>
                <w:bCs w:val="0"/>
                <w:i w:val="0"/>
                <w:iCs w:val="0"/>
                <w:sz w:val="22"/>
                <w:szCs w:val="22"/>
              </w:rPr>
            </w:pPr>
          </w:p>
        </w:tc>
      </w:tr>
      <w:tr w:rsidR="573B7504" w:rsidTr="573B7504" w14:paraId="1426351B">
        <w:trPr>
          <w:trHeight w:val="585"/>
        </w:trPr>
        <w:tc>
          <w:tcPr>
            <w:tcW w:w="555" w:type="dxa"/>
            <w:shd w:val="clear" w:color="auto" w:fill="F2F2F2" w:themeFill="background1" w:themeFillShade="F2"/>
            <w:tcMar>
              <w:left w:w="105" w:type="dxa"/>
              <w:right w:w="105" w:type="dxa"/>
            </w:tcMar>
            <w:vAlign w:val="center"/>
          </w:tcPr>
          <w:p w:rsidR="573B7504" w:rsidP="573B7504" w:rsidRDefault="573B7504" w14:paraId="728DD62C" w14:textId="1521E56E">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22</w:t>
            </w:r>
          </w:p>
        </w:tc>
        <w:tc>
          <w:tcPr>
            <w:tcW w:w="7905" w:type="dxa"/>
            <w:shd w:val="clear" w:color="auto" w:fill="F2F2F2" w:themeFill="background1" w:themeFillShade="F2"/>
            <w:tcMar>
              <w:left w:w="105" w:type="dxa"/>
              <w:right w:w="105" w:type="dxa"/>
            </w:tcMar>
            <w:vAlign w:val="top"/>
          </w:tcPr>
          <w:p w:rsidR="573B7504" w:rsidP="573B7504" w:rsidRDefault="573B7504" w14:paraId="02321D97" w14:textId="6BB9B5B7">
            <w:p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sz w:val="22"/>
                <w:szCs w:val="22"/>
                <w:lang w:val="en-GB"/>
              </w:rPr>
              <w:t xml:space="preserve">Confirm that you have read the UWTSD guidance on data management (see </w:t>
            </w:r>
            <w:hyperlink r:id="R16a756873f634735">
              <w:r w:rsidRPr="573B7504" w:rsidR="573B7504">
                <w:rPr>
                  <w:rStyle w:val="Hyperlink"/>
                  <w:b w:val="0"/>
                  <w:bCs w:val="0"/>
                  <w:i w:val="0"/>
                  <w:iCs w:val="0"/>
                  <w:strike w:val="0"/>
                  <w:dstrike w:val="0"/>
                  <w:lang w:val="en-GB"/>
                </w:rPr>
                <w:t>https://www.uwtsd.ac.uk/library/research-data-management/</w:t>
              </w:r>
            </w:hyperlink>
            <w:r w:rsidRPr="573B7504" w:rsidR="573B7504">
              <w:rPr>
                <w:rFonts w:ascii="Arial" w:hAnsi="Arial" w:eastAsia="Arial" w:cs="Arial"/>
                <w:b w:val="0"/>
                <w:bCs w:val="0"/>
                <w:i w:val="0"/>
                <w:iCs w:val="0"/>
                <w:color w:val="000000" w:themeColor="text1" w:themeTint="FF" w:themeShade="FF"/>
                <w:sz w:val="22"/>
                <w:szCs w:val="22"/>
                <w:lang w:val="en-GB"/>
              </w:rPr>
              <w:t>)</w:t>
            </w:r>
          </w:p>
        </w:tc>
        <w:tc>
          <w:tcPr>
            <w:tcW w:w="2010" w:type="dxa"/>
            <w:gridSpan w:val="2"/>
            <w:tcMar>
              <w:left w:w="105" w:type="dxa"/>
              <w:right w:w="105" w:type="dxa"/>
            </w:tcMar>
            <w:vAlign w:val="center"/>
          </w:tcPr>
          <w:p w:rsidR="573B7504" w:rsidP="573B7504" w:rsidRDefault="573B7504" w14:paraId="21564BFF" w14:textId="108325C4">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0"/>
                <w:szCs w:val="20"/>
                <w:lang w:val="en-GB"/>
              </w:rPr>
              <w:t xml:space="preserve">  </w:t>
            </w:r>
            <w:r w:rsidRPr="573B7504" w:rsidR="573B7504">
              <w:rPr>
                <w:rFonts w:ascii="MS Gothic" w:hAnsi="MS Gothic" w:eastAsia="MS Gothic" w:cs="MS Gothic"/>
                <w:b w:val="1"/>
                <w:bCs w:val="1"/>
                <w:i w:val="0"/>
                <w:iCs w:val="0"/>
                <w:sz w:val="20"/>
                <w:szCs w:val="20"/>
                <w:lang w:val="en-GB"/>
              </w:rPr>
              <w:t>☒</w:t>
            </w:r>
            <w:r w:rsidRPr="573B7504" w:rsidR="573B7504">
              <w:rPr>
                <w:rFonts w:ascii="Arial" w:hAnsi="Arial" w:eastAsia="Arial" w:cs="Arial"/>
                <w:b w:val="1"/>
                <w:bCs w:val="1"/>
                <w:i w:val="0"/>
                <w:iCs w:val="0"/>
                <w:sz w:val="20"/>
                <w:szCs w:val="20"/>
                <w:lang w:val="en-GB"/>
              </w:rPr>
              <w:t xml:space="preserve"> </w:t>
            </w:r>
          </w:p>
        </w:tc>
      </w:tr>
      <w:tr w:rsidR="573B7504" w:rsidTr="573B7504" w14:paraId="4379DFB0">
        <w:trPr>
          <w:trHeight w:val="630"/>
        </w:trPr>
        <w:tc>
          <w:tcPr>
            <w:tcW w:w="555" w:type="dxa"/>
            <w:shd w:val="clear" w:color="auto" w:fill="F2F2F2" w:themeFill="background1" w:themeFillShade="F2"/>
            <w:tcMar>
              <w:left w:w="105" w:type="dxa"/>
              <w:right w:w="105" w:type="dxa"/>
            </w:tcMar>
            <w:vAlign w:val="center"/>
          </w:tcPr>
          <w:p w:rsidR="573B7504" w:rsidP="573B7504" w:rsidRDefault="573B7504" w14:paraId="5BBABAE6" w14:textId="49F27961">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23</w:t>
            </w:r>
          </w:p>
        </w:tc>
        <w:tc>
          <w:tcPr>
            <w:tcW w:w="7905" w:type="dxa"/>
            <w:shd w:val="clear" w:color="auto" w:fill="F2F2F2" w:themeFill="background1" w:themeFillShade="F2"/>
            <w:tcMar>
              <w:left w:w="105" w:type="dxa"/>
              <w:right w:w="105" w:type="dxa"/>
            </w:tcMar>
            <w:vAlign w:val="top"/>
          </w:tcPr>
          <w:p w:rsidR="573B7504" w:rsidP="573B7504" w:rsidRDefault="573B7504" w14:paraId="7C1F25E3" w14:textId="5C1CC75F">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2010" w:type="dxa"/>
            <w:gridSpan w:val="2"/>
            <w:tcMar>
              <w:left w:w="105" w:type="dxa"/>
              <w:right w:w="105" w:type="dxa"/>
            </w:tcMar>
            <w:vAlign w:val="center"/>
          </w:tcPr>
          <w:p w:rsidR="573B7504" w:rsidP="573B7504" w:rsidRDefault="573B7504" w14:paraId="047592A9" w14:textId="4E948A21">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0"/>
                <w:szCs w:val="20"/>
                <w:lang w:val="en-GB"/>
              </w:rPr>
              <w:t xml:space="preserve">  </w:t>
            </w:r>
            <w:r w:rsidRPr="573B7504" w:rsidR="573B7504">
              <w:rPr>
                <w:rFonts w:ascii="MS Gothic" w:hAnsi="MS Gothic" w:eastAsia="MS Gothic" w:cs="MS Gothic"/>
                <w:b w:val="1"/>
                <w:bCs w:val="1"/>
                <w:i w:val="0"/>
                <w:iCs w:val="0"/>
                <w:sz w:val="20"/>
                <w:szCs w:val="20"/>
                <w:lang w:val="en-GB"/>
              </w:rPr>
              <w:t>☒</w:t>
            </w:r>
            <w:r w:rsidRPr="573B7504" w:rsidR="573B7504">
              <w:rPr>
                <w:rFonts w:ascii="Arial" w:hAnsi="Arial" w:eastAsia="Arial" w:cs="Arial"/>
                <w:b w:val="1"/>
                <w:bCs w:val="1"/>
                <w:i w:val="0"/>
                <w:iCs w:val="0"/>
                <w:sz w:val="20"/>
                <w:szCs w:val="20"/>
                <w:lang w:val="en-GB"/>
              </w:rPr>
              <w:t xml:space="preserve"> </w:t>
            </w:r>
          </w:p>
        </w:tc>
      </w:tr>
    </w:tbl>
    <w:p w:rsidRPr="00D97AB2" w:rsidR="00D97AB2" w:rsidP="573B7504" w:rsidRDefault="00D97AB2" w14:paraId="2A423911" w14:textId="470CF3AB">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1BB75C75" w14:textId="57642A58">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6D012C85" w14:textId="2C730521">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1"/>
          <w:bCs w:val="1"/>
          <w:i w:val="0"/>
          <w:iCs w:val="0"/>
          <w:caps w:val="0"/>
          <w:smallCaps w:val="0"/>
          <w:noProof w:val="0"/>
          <w:color w:val="000000" w:themeColor="text1" w:themeTint="FF" w:themeShade="FF"/>
          <w:sz w:val="22"/>
          <w:szCs w:val="22"/>
          <w:lang w:val="en-GB"/>
        </w:rPr>
        <w:t>SECTION I: Use of AI tools</w:t>
      </w:r>
    </w:p>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40"/>
        <w:gridCol w:w="6840"/>
        <w:gridCol w:w="975"/>
        <w:gridCol w:w="1095"/>
        <w:gridCol w:w="1005"/>
      </w:tblGrid>
      <w:tr w:rsidR="573B7504" w:rsidTr="573B7504" w14:paraId="5B0C3097">
        <w:trPr>
          <w:trHeight w:val="300"/>
        </w:trPr>
        <w:tc>
          <w:tcPr>
            <w:tcW w:w="7380" w:type="dxa"/>
            <w:gridSpan w:val="2"/>
            <w:shd w:val="clear" w:color="auto" w:fill="F2F2F2" w:themeFill="background1" w:themeFillShade="F2"/>
            <w:tcMar>
              <w:left w:w="105" w:type="dxa"/>
              <w:right w:w="105" w:type="dxa"/>
            </w:tcMar>
            <w:vAlign w:val="top"/>
          </w:tcPr>
          <w:p w:rsidR="573B7504" w:rsidP="573B7504" w:rsidRDefault="573B7504" w14:paraId="157466CE" w14:textId="6BE33C5E">
            <w:pPr>
              <w:bidi w:val="0"/>
              <w:jc w:val="both"/>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Use of generative AI and other AI-based tools</w:t>
            </w:r>
          </w:p>
          <w:p w:rsidR="573B7504" w:rsidP="573B7504" w:rsidRDefault="573B7504" w14:paraId="1D8841F3" w14:textId="3C540D14">
            <w:pPr>
              <w:bidi w:val="0"/>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573B7504" w:rsidP="573B7504" w:rsidRDefault="573B7504" w14:paraId="1029F3D3" w14:textId="25E57EA9">
            <w:pPr>
              <w:bidi w:val="0"/>
              <w:jc w:val="both"/>
              <w:rPr>
                <w:rFonts w:ascii="Arial" w:hAnsi="Arial" w:eastAsia="Arial" w:cs="Arial"/>
                <w:b w:val="0"/>
                <w:bCs w:val="0"/>
                <w:i w:val="0"/>
                <w:iCs w:val="0"/>
                <w:sz w:val="22"/>
                <w:szCs w:val="22"/>
              </w:rPr>
            </w:pPr>
          </w:p>
          <w:p w:rsidR="573B7504" w:rsidP="573B7504" w:rsidRDefault="573B7504" w14:paraId="54E362DA" w14:textId="73B14193">
            <w:pPr>
              <w:bidi w:val="0"/>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Will the research use AI tools to do any of the following:</w:t>
            </w:r>
          </w:p>
        </w:tc>
        <w:tc>
          <w:tcPr>
            <w:tcW w:w="975" w:type="dxa"/>
            <w:shd w:val="clear" w:color="auto" w:fill="F2F2F2" w:themeFill="background1" w:themeFillShade="F2"/>
            <w:tcMar>
              <w:left w:w="105" w:type="dxa"/>
              <w:right w:w="105" w:type="dxa"/>
            </w:tcMar>
            <w:vAlign w:val="center"/>
          </w:tcPr>
          <w:p w:rsidR="573B7504" w:rsidP="573B7504" w:rsidRDefault="573B7504" w14:paraId="5A18C182" w14:textId="38079BC6">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YES</w:t>
            </w:r>
          </w:p>
        </w:tc>
        <w:tc>
          <w:tcPr>
            <w:tcW w:w="1095" w:type="dxa"/>
            <w:shd w:val="clear" w:color="auto" w:fill="F2F2F2" w:themeFill="background1" w:themeFillShade="F2"/>
            <w:tcMar>
              <w:left w:w="105" w:type="dxa"/>
              <w:right w:w="105" w:type="dxa"/>
            </w:tcMar>
            <w:vAlign w:val="center"/>
          </w:tcPr>
          <w:p w:rsidR="573B7504" w:rsidP="573B7504" w:rsidRDefault="573B7504" w14:paraId="17C8310D" w14:textId="01EE356F">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NO</w:t>
            </w:r>
          </w:p>
        </w:tc>
        <w:tc>
          <w:tcPr>
            <w:tcW w:w="1005" w:type="dxa"/>
            <w:shd w:val="clear" w:color="auto" w:fill="F2F2F2" w:themeFill="background1" w:themeFillShade="F2"/>
            <w:tcMar>
              <w:left w:w="105" w:type="dxa"/>
              <w:right w:w="105" w:type="dxa"/>
            </w:tcMar>
            <w:vAlign w:val="center"/>
          </w:tcPr>
          <w:p w:rsidR="573B7504" w:rsidP="573B7504" w:rsidRDefault="573B7504" w14:paraId="132A9D72" w14:textId="05711FAD">
            <w:pPr>
              <w:bidi w:val="0"/>
              <w:jc w:val="center"/>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N/A</w:t>
            </w:r>
          </w:p>
        </w:tc>
      </w:tr>
      <w:tr w:rsidR="573B7504" w:rsidTr="573B7504" w14:paraId="2007322B">
        <w:trPr>
          <w:trHeight w:val="435"/>
        </w:trPr>
        <w:tc>
          <w:tcPr>
            <w:tcW w:w="540" w:type="dxa"/>
            <w:shd w:val="clear" w:color="auto" w:fill="F2F2F2" w:themeFill="background1" w:themeFillShade="F2"/>
            <w:tcMar>
              <w:left w:w="105" w:type="dxa"/>
              <w:right w:w="105" w:type="dxa"/>
            </w:tcMar>
            <w:vAlign w:val="center"/>
          </w:tcPr>
          <w:p w:rsidR="573B7504" w:rsidP="573B7504" w:rsidRDefault="573B7504" w14:paraId="69F8DF10" w14:textId="17539729">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w:t>
            </w:r>
          </w:p>
        </w:tc>
        <w:tc>
          <w:tcPr>
            <w:tcW w:w="6840" w:type="dxa"/>
            <w:shd w:val="clear" w:color="auto" w:fill="F2F2F2" w:themeFill="background1" w:themeFillShade="F2"/>
            <w:tcMar>
              <w:left w:w="105" w:type="dxa"/>
              <w:right w:w="105" w:type="dxa"/>
            </w:tcMar>
            <w:vAlign w:val="center"/>
          </w:tcPr>
          <w:p w:rsidR="573B7504" w:rsidP="573B7504" w:rsidRDefault="573B7504" w14:paraId="4BFC65DB" w14:textId="708C37E0">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Capture data?</w:t>
            </w:r>
          </w:p>
        </w:tc>
        <w:tc>
          <w:tcPr>
            <w:tcW w:w="975" w:type="dxa"/>
            <w:shd w:val="clear" w:color="auto" w:fill="BFBFBF" w:themeFill="background1" w:themeFillShade="BF"/>
            <w:tcMar>
              <w:left w:w="105" w:type="dxa"/>
              <w:right w:w="105" w:type="dxa"/>
            </w:tcMar>
            <w:vAlign w:val="center"/>
          </w:tcPr>
          <w:p w:rsidR="573B7504" w:rsidP="573B7504" w:rsidRDefault="573B7504" w14:paraId="07A2577A" w14:textId="00C04FF4">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95" w:type="dxa"/>
            <w:shd w:val="clear" w:color="auto" w:fill="BFBFBF" w:themeFill="background1" w:themeFillShade="BF"/>
            <w:tcMar>
              <w:left w:w="105" w:type="dxa"/>
              <w:right w:w="105" w:type="dxa"/>
            </w:tcMar>
            <w:vAlign w:val="center"/>
          </w:tcPr>
          <w:p w:rsidR="573B7504" w:rsidP="573B7504" w:rsidRDefault="573B7504" w14:paraId="4AFF99FC" w14:textId="73930A5B">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05" w:type="dxa"/>
            <w:shd w:val="clear" w:color="auto" w:fill="BFBFBF" w:themeFill="background1" w:themeFillShade="BF"/>
            <w:tcMar>
              <w:left w:w="105" w:type="dxa"/>
              <w:right w:w="105" w:type="dxa"/>
            </w:tcMar>
            <w:vAlign w:val="center"/>
          </w:tcPr>
          <w:p w:rsidR="573B7504" w:rsidP="573B7504" w:rsidRDefault="573B7504" w14:paraId="129FECA6" w14:textId="32DE7C14">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r>
      <w:tr w:rsidR="573B7504" w:rsidTr="573B7504" w14:paraId="79982CD5">
        <w:trPr>
          <w:trHeight w:val="390"/>
        </w:trPr>
        <w:tc>
          <w:tcPr>
            <w:tcW w:w="540" w:type="dxa"/>
            <w:shd w:val="clear" w:color="auto" w:fill="F2F2F2" w:themeFill="background1" w:themeFillShade="F2"/>
            <w:tcMar>
              <w:left w:w="105" w:type="dxa"/>
              <w:right w:w="105" w:type="dxa"/>
            </w:tcMar>
            <w:vAlign w:val="center"/>
          </w:tcPr>
          <w:p w:rsidR="573B7504" w:rsidP="573B7504" w:rsidRDefault="573B7504" w14:paraId="4360F71B" w14:textId="1C17FA76">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w:t>
            </w:r>
          </w:p>
        </w:tc>
        <w:tc>
          <w:tcPr>
            <w:tcW w:w="6840" w:type="dxa"/>
            <w:shd w:val="clear" w:color="auto" w:fill="F2F2F2" w:themeFill="background1" w:themeFillShade="F2"/>
            <w:tcMar>
              <w:left w:w="105" w:type="dxa"/>
              <w:right w:w="105" w:type="dxa"/>
            </w:tcMar>
            <w:vAlign w:val="center"/>
          </w:tcPr>
          <w:p w:rsidR="573B7504" w:rsidP="573B7504" w:rsidRDefault="573B7504" w14:paraId="38D532C2" w14:textId="791FD69F">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Generate and/or edit text?</w:t>
            </w:r>
          </w:p>
        </w:tc>
        <w:tc>
          <w:tcPr>
            <w:tcW w:w="975" w:type="dxa"/>
            <w:shd w:val="clear" w:color="auto" w:fill="BFBFBF" w:themeFill="background1" w:themeFillShade="BF"/>
            <w:tcMar>
              <w:left w:w="105" w:type="dxa"/>
              <w:right w:w="105" w:type="dxa"/>
            </w:tcMar>
            <w:vAlign w:val="center"/>
          </w:tcPr>
          <w:p w:rsidR="573B7504" w:rsidP="573B7504" w:rsidRDefault="573B7504" w14:paraId="37A83A7C" w14:textId="6A602DCC">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95" w:type="dxa"/>
            <w:shd w:val="clear" w:color="auto" w:fill="BFBFBF" w:themeFill="background1" w:themeFillShade="BF"/>
            <w:tcMar>
              <w:left w:w="105" w:type="dxa"/>
              <w:right w:w="105" w:type="dxa"/>
            </w:tcMar>
            <w:vAlign w:val="center"/>
          </w:tcPr>
          <w:p w:rsidR="573B7504" w:rsidP="573B7504" w:rsidRDefault="573B7504" w14:paraId="3D8ABEAD" w14:textId="3D048B7D">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05" w:type="dxa"/>
            <w:shd w:val="clear" w:color="auto" w:fill="BFBFBF" w:themeFill="background1" w:themeFillShade="BF"/>
            <w:tcMar>
              <w:left w:w="105" w:type="dxa"/>
              <w:right w:w="105" w:type="dxa"/>
            </w:tcMar>
            <w:vAlign w:val="center"/>
          </w:tcPr>
          <w:p w:rsidR="573B7504" w:rsidP="573B7504" w:rsidRDefault="573B7504" w14:paraId="17D97843" w14:textId="20C238E8">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r>
      <w:tr w:rsidR="573B7504" w:rsidTr="573B7504" w14:paraId="4C2ACA32">
        <w:trPr>
          <w:trHeight w:val="390"/>
        </w:trPr>
        <w:tc>
          <w:tcPr>
            <w:tcW w:w="540" w:type="dxa"/>
            <w:shd w:val="clear" w:color="auto" w:fill="F2F2F2" w:themeFill="background1" w:themeFillShade="F2"/>
            <w:tcMar>
              <w:left w:w="105" w:type="dxa"/>
              <w:right w:w="105" w:type="dxa"/>
            </w:tcMar>
            <w:vAlign w:val="center"/>
          </w:tcPr>
          <w:p w:rsidR="573B7504" w:rsidP="573B7504" w:rsidRDefault="573B7504" w14:paraId="1CE6F05C" w14:textId="50201553">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3</w:t>
            </w:r>
          </w:p>
        </w:tc>
        <w:tc>
          <w:tcPr>
            <w:tcW w:w="6840" w:type="dxa"/>
            <w:shd w:val="clear" w:color="auto" w:fill="F2F2F2" w:themeFill="background1" w:themeFillShade="F2"/>
            <w:tcMar>
              <w:left w:w="105" w:type="dxa"/>
              <w:right w:w="105" w:type="dxa"/>
            </w:tcMar>
            <w:vAlign w:val="center"/>
          </w:tcPr>
          <w:p w:rsidR="573B7504" w:rsidP="573B7504" w:rsidRDefault="573B7504" w14:paraId="11FA4E50" w14:textId="4C87ABD3">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Generate graphics?</w:t>
            </w:r>
          </w:p>
        </w:tc>
        <w:tc>
          <w:tcPr>
            <w:tcW w:w="975" w:type="dxa"/>
            <w:shd w:val="clear" w:color="auto" w:fill="BFBFBF" w:themeFill="background1" w:themeFillShade="BF"/>
            <w:tcMar>
              <w:left w:w="105" w:type="dxa"/>
              <w:right w:w="105" w:type="dxa"/>
            </w:tcMar>
            <w:vAlign w:val="center"/>
          </w:tcPr>
          <w:p w:rsidR="573B7504" w:rsidP="573B7504" w:rsidRDefault="573B7504" w14:paraId="25C3AC8B" w14:textId="43BF9BCD">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95" w:type="dxa"/>
            <w:shd w:val="clear" w:color="auto" w:fill="BFBFBF" w:themeFill="background1" w:themeFillShade="BF"/>
            <w:tcMar>
              <w:left w:w="105" w:type="dxa"/>
              <w:right w:w="105" w:type="dxa"/>
            </w:tcMar>
            <w:vAlign w:val="center"/>
          </w:tcPr>
          <w:p w:rsidR="573B7504" w:rsidP="573B7504" w:rsidRDefault="573B7504" w14:paraId="625E4F3A" w14:textId="559BD80F">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05" w:type="dxa"/>
            <w:shd w:val="clear" w:color="auto" w:fill="BFBFBF" w:themeFill="background1" w:themeFillShade="BF"/>
            <w:tcMar>
              <w:left w:w="105" w:type="dxa"/>
              <w:right w:w="105" w:type="dxa"/>
            </w:tcMar>
            <w:vAlign w:val="center"/>
          </w:tcPr>
          <w:p w:rsidR="573B7504" w:rsidP="573B7504" w:rsidRDefault="573B7504" w14:paraId="16002474" w14:textId="1C2D68A0">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r>
      <w:tr w:rsidR="573B7504" w:rsidTr="573B7504" w14:paraId="457B5D97">
        <w:trPr>
          <w:trHeight w:val="390"/>
        </w:trPr>
        <w:tc>
          <w:tcPr>
            <w:tcW w:w="540" w:type="dxa"/>
            <w:shd w:val="clear" w:color="auto" w:fill="F2F2F2" w:themeFill="background1" w:themeFillShade="F2"/>
            <w:tcMar>
              <w:left w:w="105" w:type="dxa"/>
              <w:right w:w="105" w:type="dxa"/>
            </w:tcMar>
            <w:vAlign w:val="center"/>
          </w:tcPr>
          <w:p w:rsidR="573B7504" w:rsidP="573B7504" w:rsidRDefault="573B7504" w14:paraId="1AAA9D15" w14:textId="118DC988">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4</w:t>
            </w:r>
          </w:p>
        </w:tc>
        <w:tc>
          <w:tcPr>
            <w:tcW w:w="6840" w:type="dxa"/>
            <w:shd w:val="clear" w:color="auto" w:fill="F2F2F2" w:themeFill="background1" w:themeFillShade="F2"/>
            <w:tcMar>
              <w:left w:w="105" w:type="dxa"/>
              <w:right w:w="105" w:type="dxa"/>
            </w:tcMar>
            <w:vAlign w:val="center"/>
          </w:tcPr>
          <w:p w:rsidR="573B7504" w:rsidP="573B7504" w:rsidRDefault="573B7504" w14:paraId="7B49B833" w14:textId="03291405">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Generate video?</w:t>
            </w:r>
          </w:p>
        </w:tc>
        <w:tc>
          <w:tcPr>
            <w:tcW w:w="975" w:type="dxa"/>
            <w:shd w:val="clear" w:color="auto" w:fill="BFBFBF" w:themeFill="background1" w:themeFillShade="BF"/>
            <w:tcMar>
              <w:left w:w="105" w:type="dxa"/>
              <w:right w:w="105" w:type="dxa"/>
            </w:tcMar>
            <w:vAlign w:val="center"/>
          </w:tcPr>
          <w:p w:rsidR="573B7504" w:rsidP="573B7504" w:rsidRDefault="573B7504" w14:paraId="415C8421" w14:textId="4E318BB8">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95" w:type="dxa"/>
            <w:shd w:val="clear" w:color="auto" w:fill="BFBFBF" w:themeFill="background1" w:themeFillShade="BF"/>
            <w:tcMar>
              <w:left w:w="105" w:type="dxa"/>
              <w:right w:w="105" w:type="dxa"/>
            </w:tcMar>
            <w:vAlign w:val="center"/>
          </w:tcPr>
          <w:p w:rsidR="573B7504" w:rsidP="573B7504" w:rsidRDefault="573B7504" w14:paraId="198A31B2" w14:textId="79D26790">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05" w:type="dxa"/>
            <w:shd w:val="clear" w:color="auto" w:fill="BFBFBF" w:themeFill="background1" w:themeFillShade="BF"/>
            <w:tcMar>
              <w:left w:w="105" w:type="dxa"/>
              <w:right w:w="105" w:type="dxa"/>
            </w:tcMar>
            <w:vAlign w:val="center"/>
          </w:tcPr>
          <w:p w:rsidR="573B7504" w:rsidP="573B7504" w:rsidRDefault="573B7504" w14:paraId="123CC4BC" w14:textId="340EC66C">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r>
      <w:tr w:rsidR="573B7504" w:rsidTr="573B7504" w14:paraId="4F7E82FA">
        <w:trPr>
          <w:trHeight w:val="390"/>
        </w:trPr>
        <w:tc>
          <w:tcPr>
            <w:tcW w:w="540" w:type="dxa"/>
            <w:shd w:val="clear" w:color="auto" w:fill="F2F2F2" w:themeFill="background1" w:themeFillShade="F2"/>
            <w:tcMar>
              <w:left w:w="105" w:type="dxa"/>
              <w:right w:w="105" w:type="dxa"/>
            </w:tcMar>
            <w:vAlign w:val="center"/>
          </w:tcPr>
          <w:p w:rsidR="573B7504" w:rsidP="573B7504" w:rsidRDefault="573B7504" w14:paraId="462D88FC" w14:textId="4CC3ABC3">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5</w:t>
            </w:r>
          </w:p>
        </w:tc>
        <w:tc>
          <w:tcPr>
            <w:tcW w:w="6840" w:type="dxa"/>
            <w:shd w:val="clear" w:color="auto" w:fill="F2F2F2" w:themeFill="background1" w:themeFillShade="F2"/>
            <w:tcMar>
              <w:left w:w="105" w:type="dxa"/>
              <w:right w:w="105" w:type="dxa"/>
            </w:tcMar>
            <w:vAlign w:val="center"/>
          </w:tcPr>
          <w:p w:rsidR="573B7504" w:rsidP="573B7504" w:rsidRDefault="573B7504" w14:paraId="2208C40A" w14:textId="290787FC">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Generate sound/music?</w:t>
            </w:r>
          </w:p>
        </w:tc>
        <w:tc>
          <w:tcPr>
            <w:tcW w:w="975" w:type="dxa"/>
            <w:shd w:val="clear" w:color="auto" w:fill="BFBFBF" w:themeFill="background1" w:themeFillShade="BF"/>
            <w:tcMar>
              <w:left w:w="105" w:type="dxa"/>
              <w:right w:w="105" w:type="dxa"/>
            </w:tcMar>
            <w:vAlign w:val="center"/>
          </w:tcPr>
          <w:p w:rsidR="573B7504" w:rsidP="573B7504" w:rsidRDefault="573B7504" w14:paraId="55109F20" w14:textId="2EB1C3D9">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95" w:type="dxa"/>
            <w:shd w:val="clear" w:color="auto" w:fill="BFBFBF" w:themeFill="background1" w:themeFillShade="BF"/>
            <w:tcMar>
              <w:left w:w="105" w:type="dxa"/>
              <w:right w:w="105" w:type="dxa"/>
            </w:tcMar>
            <w:vAlign w:val="center"/>
          </w:tcPr>
          <w:p w:rsidR="573B7504" w:rsidP="573B7504" w:rsidRDefault="573B7504" w14:paraId="4344DBF5" w14:textId="013E8FF7">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05" w:type="dxa"/>
            <w:shd w:val="clear" w:color="auto" w:fill="BFBFBF" w:themeFill="background1" w:themeFillShade="BF"/>
            <w:tcMar>
              <w:left w:w="105" w:type="dxa"/>
              <w:right w:w="105" w:type="dxa"/>
            </w:tcMar>
            <w:vAlign w:val="center"/>
          </w:tcPr>
          <w:p w:rsidR="573B7504" w:rsidP="573B7504" w:rsidRDefault="573B7504" w14:paraId="0C13861B" w14:textId="60418687">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r>
      <w:tr w:rsidR="573B7504" w:rsidTr="573B7504" w14:paraId="5D47C817">
        <w:trPr>
          <w:trHeight w:val="435"/>
        </w:trPr>
        <w:tc>
          <w:tcPr>
            <w:tcW w:w="540" w:type="dxa"/>
            <w:shd w:val="clear" w:color="auto" w:fill="F2F2F2" w:themeFill="background1" w:themeFillShade="F2"/>
            <w:tcMar>
              <w:left w:w="105" w:type="dxa"/>
              <w:right w:w="105" w:type="dxa"/>
            </w:tcMar>
            <w:vAlign w:val="center"/>
          </w:tcPr>
          <w:p w:rsidR="573B7504" w:rsidP="573B7504" w:rsidRDefault="573B7504" w14:paraId="18F2C01F" w14:textId="7473D791">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6</w:t>
            </w:r>
          </w:p>
        </w:tc>
        <w:tc>
          <w:tcPr>
            <w:tcW w:w="6840" w:type="dxa"/>
            <w:shd w:val="clear" w:color="auto" w:fill="F2F2F2" w:themeFill="background1" w:themeFillShade="F2"/>
            <w:tcMar>
              <w:left w:w="105" w:type="dxa"/>
              <w:right w:w="105" w:type="dxa"/>
            </w:tcMar>
            <w:vAlign w:val="center"/>
          </w:tcPr>
          <w:p w:rsidR="573B7504" w:rsidP="573B7504" w:rsidRDefault="573B7504" w14:paraId="7A4482DF" w14:textId="3C3E02A3">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Generate code?</w:t>
            </w:r>
          </w:p>
        </w:tc>
        <w:tc>
          <w:tcPr>
            <w:tcW w:w="975" w:type="dxa"/>
            <w:shd w:val="clear" w:color="auto" w:fill="BFBFBF" w:themeFill="background1" w:themeFillShade="BF"/>
            <w:tcMar>
              <w:left w:w="105" w:type="dxa"/>
              <w:right w:w="105" w:type="dxa"/>
            </w:tcMar>
            <w:vAlign w:val="center"/>
          </w:tcPr>
          <w:p w:rsidR="573B7504" w:rsidP="573B7504" w:rsidRDefault="573B7504" w14:paraId="36618E7A" w14:textId="44C9A024">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95" w:type="dxa"/>
            <w:shd w:val="clear" w:color="auto" w:fill="BFBFBF" w:themeFill="background1" w:themeFillShade="BF"/>
            <w:tcMar>
              <w:left w:w="105" w:type="dxa"/>
              <w:right w:w="105" w:type="dxa"/>
            </w:tcMar>
            <w:vAlign w:val="center"/>
          </w:tcPr>
          <w:p w:rsidR="573B7504" w:rsidP="573B7504" w:rsidRDefault="573B7504" w14:paraId="600C7F7E" w14:textId="0EF18924">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05" w:type="dxa"/>
            <w:shd w:val="clear" w:color="auto" w:fill="BFBFBF" w:themeFill="background1" w:themeFillShade="BF"/>
            <w:tcMar>
              <w:left w:w="105" w:type="dxa"/>
              <w:right w:w="105" w:type="dxa"/>
            </w:tcMar>
            <w:vAlign w:val="center"/>
          </w:tcPr>
          <w:p w:rsidR="573B7504" w:rsidP="573B7504" w:rsidRDefault="573B7504" w14:paraId="2182575B" w14:textId="7562D53D">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r>
      <w:tr w:rsidR="573B7504" w:rsidTr="573B7504" w14:paraId="0CE8A2E2">
        <w:trPr>
          <w:trHeight w:val="390"/>
        </w:trPr>
        <w:tc>
          <w:tcPr>
            <w:tcW w:w="540" w:type="dxa"/>
            <w:shd w:val="clear" w:color="auto" w:fill="F2F2F2" w:themeFill="background1" w:themeFillShade="F2"/>
            <w:tcMar>
              <w:left w:w="105" w:type="dxa"/>
              <w:right w:w="105" w:type="dxa"/>
            </w:tcMar>
            <w:vAlign w:val="center"/>
          </w:tcPr>
          <w:p w:rsidR="573B7504" w:rsidP="573B7504" w:rsidRDefault="573B7504" w14:paraId="0FBFD4B4" w14:textId="28FA7541">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7</w:t>
            </w:r>
          </w:p>
        </w:tc>
        <w:tc>
          <w:tcPr>
            <w:tcW w:w="6840" w:type="dxa"/>
            <w:shd w:val="clear" w:color="auto" w:fill="F2F2F2" w:themeFill="background1" w:themeFillShade="F2"/>
            <w:tcMar>
              <w:left w:w="105" w:type="dxa"/>
              <w:right w:w="105" w:type="dxa"/>
            </w:tcMar>
            <w:vAlign w:val="center"/>
          </w:tcPr>
          <w:p w:rsidR="573B7504" w:rsidP="573B7504" w:rsidRDefault="573B7504" w14:paraId="23382D83" w14:textId="750654FD">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Generate synthetic data?</w:t>
            </w:r>
          </w:p>
        </w:tc>
        <w:tc>
          <w:tcPr>
            <w:tcW w:w="975" w:type="dxa"/>
            <w:shd w:val="clear" w:color="auto" w:fill="BFBFBF" w:themeFill="background1" w:themeFillShade="BF"/>
            <w:tcMar>
              <w:left w:w="105" w:type="dxa"/>
              <w:right w:w="105" w:type="dxa"/>
            </w:tcMar>
            <w:vAlign w:val="center"/>
          </w:tcPr>
          <w:p w:rsidR="573B7504" w:rsidP="573B7504" w:rsidRDefault="573B7504" w14:paraId="1C83C7E8" w14:textId="77DF05C2">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95" w:type="dxa"/>
            <w:shd w:val="clear" w:color="auto" w:fill="BFBFBF" w:themeFill="background1" w:themeFillShade="BF"/>
            <w:tcMar>
              <w:left w:w="105" w:type="dxa"/>
              <w:right w:w="105" w:type="dxa"/>
            </w:tcMar>
            <w:vAlign w:val="center"/>
          </w:tcPr>
          <w:p w:rsidR="573B7504" w:rsidP="573B7504" w:rsidRDefault="573B7504" w14:paraId="7F433006" w14:textId="55C90A28">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05" w:type="dxa"/>
            <w:shd w:val="clear" w:color="auto" w:fill="BFBFBF" w:themeFill="background1" w:themeFillShade="BF"/>
            <w:tcMar>
              <w:left w:w="105" w:type="dxa"/>
              <w:right w:w="105" w:type="dxa"/>
            </w:tcMar>
            <w:vAlign w:val="center"/>
          </w:tcPr>
          <w:p w:rsidR="573B7504" w:rsidP="573B7504" w:rsidRDefault="573B7504" w14:paraId="7952BAD0" w14:textId="1070E975">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r>
      <w:tr w:rsidR="573B7504" w:rsidTr="573B7504" w14:paraId="7A1AD794">
        <w:trPr>
          <w:trHeight w:val="390"/>
        </w:trPr>
        <w:tc>
          <w:tcPr>
            <w:tcW w:w="540" w:type="dxa"/>
            <w:shd w:val="clear" w:color="auto" w:fill="F2F2F2" w:themeFill="background1" w:themeFillShade="F2"/>
            <w:tcMar>
              <w:left w:w="105" w:type="dxa"/>
              <w:right w:w="105" w:type="dxa"/>
            </w:tcMar>
            <w:vAlign w:val="center"/>
          </w:tcPr>
          <w:p w:rsidR="573B7504" w:rsidP="573B7504" w:rsidRDefault="573B7504" w14:paraId="3672C2A6" w14:textId="6DD0CB59">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8</w:t>
            </w:r>
          </w:p>
        </w:tc>
        <w:tc>
          <w:tcPr>
            <w:tcW w:w="6840" w:type="dxa"/>
            <w:shd w:val="clear" w:color="auto" w:fill="F2F2F2" w:themeFill="background1" w:themeFillShade="F2"/>
            <w:tcMar>
              <w:left w:w="105" w:type="dxa"/>
              <w:right w:w="105" w:type="dxa"/>
            </w:tcMar>
            <w:vAlign w:val="center"/>
          </w:tcPr>
          <w:p w:rsidR="573B7504" w:rsidP="573B7504" w:rsidRDefault="573B7504" w14:paraId="1AFEB540" w14:textId="21CD51E1">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Analyse data?</w:t>
            </w:r>
          </w:p>
        </w:tc>
        <w:tc>
          <w:tcPr>
            <w:tcW w:w="975" w:type="dxa"/>
            <w:shd w:val="clear" w:color="auto" w:fill="BFBFBF" w:themeFill="background1" w:themeFillShade="BF"/>
            <w:tcMar>
              <w:left w:w="105" w:type="dxa"/>
              <w:right w:w="105" w:type="dxa"/>
            </w:tcMar>
            <w:vAlign w:val="center"/>
          </w:tcPr>
          <w:p w:rsidR="573B7504" w:rsidP="573B7504" w:rsidRDefault="573B7504" w14:paraId="3609F979" w14:textId="599192A5">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95" w:type="dxa"/>
            <w:shd w:val="clear" w:color="auto" w:fill="BFBFBF" w:themeFill="background1" w:themeFillShade="BF"/>
            <w:tcMar>
              <w:left w:w="105" w:type="dxa"/>
              <w:right w:w="105" w:type="dxa"/>
            </w:tcMar>
            <w:vAlign w:val="center"/>
          </w:tcPr>
          <w:p w:rsidR="573B7504" w:rsidP="573B7504" w:rsidRDefault="573B7504" w14:paraId="13E97916" w14:textId="59578889">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05" w:type="dxa"/>
            <w:shd w:val="clear" w:color="auto" w:fill="BFBFBF" w:themeFill="background1" w:themeFillShade="BF"/>
            <w:tcMar>
              <w:left w:w="105" w:type="dxa"/>
              <w:right w:w="105" w:type="dxa"/>
            </w:tcMar>
            <w:vAlign w:val="center"/>
          </w:tcPr>
          <w:p w:rsidR="573B7504" w:rsidP="573B7504" w:rsidRDefault="573B7504" w14:paraId="29BE9754" w14:textId="59A12C0F">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r>
      <w:tr w:rsidR="573B7504" w:rsidTr="573B7504" w14:paraId="7C82EFCC">
        <w:trPr>
          <w:trHeight w:val="390"/>
        </w:trPr>
        <w:tc>
          <w:tcPr>
            <w:tcW w:w="540" w:type="dxa"/>
            <w:shd w:val="clear" w:color="auto" w:fill="F2F2F2" w:themeFill="background1" w:themeFillShade="F2"/>
            <w:tcMar>
              <w:left w:w="105" w:type="dxa"/>
              <w:right w:w="105" w:type="dxa"/>
            </w:tcMar>
            <w:vAlign w:val="center"/>
          </w:tcPr>
          <w:p w:rsidR="573B7504" w:rsidP="573B7504" w:rsidRDefault="573B7504" w14:paraId="76F634AC" w14:textId="67EDF4E5">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9</w:t>
            </w:r>
          </w:p>
        </w:tc>
        <w:tc>
          <w:tcPr>
            <w:tcW w:w="6840" w:type="dxa"/>
            <w:shd w:val="clear" w:color="auto" w:fill="F2F2F2" w:themeFill="background1" w:themeFillShade="F2"/>
            <w:tcMar>
              <w:left w:w="105" w:type="dxa"/>
              <w:right w:w="105" w:type="dxa"/>
            </w:tcMar>
            <w:vAlign w:val="center"/>
          </w:tcPr>
          <w:p w:rsidR="573B7504" w:rsidP="573B7504" w:rsidRDefault="573B7504" w14:paraId="5BE1ED70" w14:textId="42261BBA">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Analyse personal or sensitive data?</w:t>
            </w:r>
          </w:p>
        </w:tc>
        <w:tc>
          <w:tcPr>
            <w:tcW w:w="975" w:type="dxa"/>
            <w:shd w:val="clear" w:color="auto" w:fill="BFBFBF" w:themeFill="background1" w:themeFillShade="BF"/>
            <w:tcMar>
              <w:left w:w="105" w:type="dxa"/>
              <w:right w:w="105" w:type="dxa"/>
            </w:tcMar>
            <w:vAlign w:val="center"/>
          </w:tcPr>
          <w:p w:rsidR="573B7504" w:rsidP="573B7504" w:rsidRDefault="573B7504" w14:paraId="7FA45588" w14:textId="2973339A">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95" w:type="dxa"/>
            <w:shd w:val="clear" w:color="auto" w:fill="BFBFBF" w:themeFill="background1" w:themeFillShade="BF"/>
            <w:tcMar>
              <w:left w:w="105" w:type="dxa"/>
              <w:right w:w="105" w:type="dxa"/>
            </w:tcMar>
            <w:vAlign w:val="center"/>
          </w:tcPr>
          <w:p w:rsidR="573B7504" w:rsidP="573B7504" w:rsidRDefault="573B7504" w14:paraId="038812CA" w14:textId="233D1D2A">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05" w:type="dxa"/>
            <w:shd w:val="clear" w:color="auto" w:fill="BFBFBF" w:themeFill="background1" w:themeFillShade="BF"/>
            <w:tcMar>
              <w:left w:w="105" w:type="dxa"/>
              <w:right w:w="105" w:type="dxa"/>
            </w:tcMar>
            <w:vAlign w:val="center"/>
          </w:tcPr>
          <w:p w:rsidR="573B7504" w:rsidP="573B7504" w:rsidRDefault="573B7504" w14:paraId="1CF026D6" w14:textId="1127DA1D">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r>
      <w:tr w:rsidR="573B7504" w:rsidTr="573B7504" w14:paraId="3463AFC1">
        <w:trPr>
          <w:trHeight w:val="435"/>
        </w:trPr>
        <w:tc>
          <w:tcPr>
            <w:tcW w:w="540" w:type="dxa"/>
            <w:shd w:val="clear" w:color="auto" w:fill="F2F2F2" w:themeFill="background1" w:themeFillShade="F2"/>
            <w:tcMar>
              <w:left w:w="105" w:type="dxa"/>
              <w:right w:w="105" w:type="dxa"/>
            </w:tcMar>
            <w:vAlign w:val="center"/>
          </w:tcPr>
          <w:p w:rsidR="573B7504" w:rsidP="573B7504" w:rsidRDefault="573B7504" w14:paraId="76D7DED2" w14:textId="00AAF37D">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10</w:t>
            </w:r>
          </w:p>
        </w:tc>
        <w:tc>
          <w:tcPr>
            <w:tcW w:w="6840" w:type="dxa"/>
            <w:shd w:val="clear" w:color="auto" w:fill="F2F2F2" w:themeFill="background1" w:themeFillShade="F2"/>
            <w:tcMar>
              <w:left w:w="105" w:type="dxa"/>
              <w:right w:w="105" w:type="dxa"/>
            </w:tcMar>
            <w:vAlign w:val="center"/>
          </w:tcPr>
          <w:p w:rsidR="573B7504" w:rsidP="573B7504" w:rsidRDefault="573B7504" w14:paraId="552FFDA3" w14:textId="4B345DB0">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Classify data?</w:t>
            </w:r>
          </w:p>
        </w:tc>
        <w:tc>
          <w:tcPr>
            <w:tcW w:w="975" w:type="dxa"/>
            <w:shd w:val="clear" w:color="auto" w:fill="BFBFBF" w:themeFill="background1" w:themeFillShade="BF"/>
            <w:tcMar>
              <w:left w:w="105" w:type="dxa"/>
              <w:right w:w="105" w:type="dxa"/>
            </w:tcMar>
            <w:vAlign w:val="center"/>
          </w:tcPr>
          <w:p w:rsidR="573B7504" w:rsidP="573B7504" w:rsidRDefault="573B7504" w14:paraId="7671619C" w14:textId="39A72439">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95" w:type="dxa"/>
            <w:shd w:val="clear" w:color="auto" w:fill="BFBFBF" w:themeFill="background1" w:themeFillShade="BF"/>
            <w:tcMar>
              <w:left w:w="105" w:type="dxa"/>
              <w:right w:w="105" w:type="dxa"/>
            </w:tcMar>
            <w:vAlign w:val="center"/>
          </w:tcPr>
          <w:p w:rsidR="573B7504" w:rsidP="573B7504" w:rsidRDefault="573B7504" w14:paraId="74A9AA09" w14:textId="7DF63B4D">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05" w:type="dxa"/>
            <w:shd w:val="clear" w:color="auto" w:fill="BFBFBF" w:themeFill="background1" w:themeFillShade="BF"/>
            <w:tcMar>
              <w:left w:w="105" w:type="dxa"/>
              <w:right w:w="105" w:type="dxa"/>
            </w:tcMar>
            <w:vAlign w:val="center"/>
          </w:tcPr>
          <w:p w:rsidR="573B7504" w:rsidP="573B7504" w:rsidRDefault="573B7504" w14:paraId="6E00DDC0" w14:textId="132BD9D7">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r>
      <w:tr w:rsidR="573B7504" w:rsidTr="573B7504" w14:paraId="1EB89214">
        <w:trPr>
          <w:trHeight w:val="435"/>
        </w:trPr>
        <w:tc>
          <w:tcPr>
            <w:tcW w:w="540" w:type="dxa"/>
            <w:shd w:val="clear" w:color="auto" w:fill="F2F2F2" w:themeFill="background1" w:themeFillShade="F2"/>
            <w:tcMar>
              <w:left w:w="105" w:type="dxa"/>
              <w:right w:w="105" w:type="dxa"/>
            </w:tcMar>
            <w:vAlign w:val="center"/>
          </w:tcPr>
          <w:p w:rsidR="573B7504" w:rsidP="573B7504" w:rsidRDefault="573B7504" w14:paraId="5048B95F" w14:textId="40997FFA">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11</w:t>
            </w:r>
          </w:p>
        </w:tc>
        <w:tc>
          <w:tcPr>
            <w:tcW w:w="6840" w:type="dxa"/>
            <w:shd w:val="clear" w:color="auto" w:fill="F2F2F2" w:themeFill="background1" w:themeFillShade="F2"/>
            <w:tcMar>
              <w:left w:w="105" w:type="dxa"/>
              <w:right w:w="105" w:type="dxa"/>
            </w:tcMar>
            <w:vAlign w:val="center"/>
          </w:tcPr>
          <w:p w:rsidR="573B7504" w:rsidP="573B7504" w:rsidRDefault="573B7504" w14:paraId="6BD9D6E2" w14:textId="442ABEFA">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Do you intend to use the free version of any AI tools?</w:t>
            </w:r>
          </w:p>
        </w:tc>
        <w:tc>
          <w:tcPr>
            <w:tcW w:w="975" w:type="dxa"/>
            <w:shd w:val="clear" w:color="auto" w:fill="BFBFBF" w:themeFill="background1" w:themeFillShade="BF"/>
            <w:tcMar>
              <w:left w:w="105" w:type="dxa"/>
              <w:right w:w="105" w:type="dxa"/>
            </w:tcMar>
            <w:vAlign w:val="center"/>
          </w:tcPr>
          <w:p w:rsidR="573B7504" w:rsidP="573B7504" w:rsidRDefault="573B7504" w14:paraId="2557E5FD" w14:textId="2A828994">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95" w:type="dxa"/>
            <w:shd w:val="clear" w:color="auto" w:fill="BFBFBF" w:themeFill="background1" w:themeFillShade="BF"/>
            <w:tcMar>
              <w:left w:w="105" w:type="dxa"/>
              <w:right w:w="105" w:type="dxa"/>
            </w:tcMar>
            <w:vAlign w:val="center"/>
          </w:tcPr>
          <w:p w:rsidR="573B7504" w:rsidP="573B7504" w:rsidRDefault="573B7504" w14:paraId="51732EEC" w14:textId="56DD231D">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MS Gothic" w:hAnsi="MS Gothic" w:eastAsia="MS Gothic" w:cs="MS Gothic"/>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c>
          <w:tcPr>
            <w:tcW w:w="1005" w:type="dxa"/>
            <w:shd w:val="clear" w:color="auto" w:fill="BFBFBF" w:themeFill="background1" w:themeFillShade="BF"/>
            <w:tcMar>
              <w:left w:w="105" w:type="dxa"/>
              <w:right w:w="105" w:type="dxa"/>
            </w:tcMar>
            <w:vAlign w:val="center"/>
          </w:tcPr>
          <w:p w:rsidR="573B7504" w:rsidP="573B7504" w:rsidRDefault="573B7504" w14:paraId="725B0192" w14:textId="10B352A3">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  </w:t>
            </w:r>
            <w:r w:rsidRPr="573B7504" w:rsidR="573B7504">
              <w:rPr>
                <w:rFonts w:ascii="Segoe UI Symbol" w:hAnsi="Segoe UI Symbol" w:eastAsia="Segoe UI Symbol" w:cs="Segoe UI Symbol"/>
                <w:b w:val="0"/>
                <w:bCs w:val="0"/>
                <w:i w:val="0"/>
                <w:iCs w:val="0"/>
                <w:sz w:val="22"/>
                <w:szCs w:val="22"/>
                <w:lang w:val="en-GB"/>
              </w:rPr>
              <w:t>☐</w:t>
            </w:r>
            <w:r w:rsidRPr="573B7504" w:rsidR="573B7504">
              <w:rPr>
                <w:rFonts w:ascii="Arial" w:hAnsi="Arial" w:eastAsia="Arial" w:cs="Arial"/>
                <w:b w:val="0"/>
                <w:bCs w:val="0"/>
                <w:i w:val="0"/>
                <w:iCs w:val="0"/>
                <w:sz w:val="22"/>
                <w:szCs w:val="22"/>
                <w:lang w:val="en-GB"/>
              </w:rPr>
              <w:t xml:space="preserve"> </w:t>
            </w:r>
          </w:p>
        </w:tc>
      </w:tr>
      <w:tr w:rsidR="573B7504" w:rsidTr="573B7504" w14:paraId="46D00B98">
        <w:trPr>
          <w:trHeight w:val="390"/>
        </w:trPr>
        <w:tc>
          <w:tcPr>
            <w:tcW w:w="10455" w:type="dxa"/>
            <w:gridSpan w:val="5"/>
            <w:shd w:val="clear" w:color="auto" w:fill="F2F2F2" w:themeFill="background1" w:themeFillShade="F2"/>
            <w:tcMar>
              <w:left w:w="105" w:type="dxa"/>
              <w:right w:w="105" w:type="dxa"/>
            </w:tcMar>
            <w:vAlign w:val="center"/>
          </w:tcPr>
          <w:p w:rsidR="573B7504" w:rsidP="573B7504" w:rsidRDefault="573B7504" w14:paraId="1A1AEDA5" w14:textId="68F26207">
            <w:pPr>
              <w:bidi w:val="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If you have answered </w:t>
            </w:r>
            <w:r w:rsidRPr="573B7504" w:rsidR="573B7504">
              <w:rPr>
                <w:rFonts w:ascii="Arial" w:hAnsi="Arial" w:eastAsia="Arial" w:cs="Arial"/>
                <w:b w:val="1"/>
                <w:bCs w:val="1"/>
                <w:i w:val="0"/>
                <w:iCs w:val="0"/>
                <w:sz w:val="22"/>
                <w:szCs w:val="22"/>
                <w:lang w:val="en-GB"/>
              </w:rPr>
              <w:t>YES</w:t>
            </w:r>
            <w:r w:rsidRPr="573B7504" w:rsidR="573B7504">
              <w:rPr>
                <w:rFonts w:ascii="Arial" w:hAnsi="Arial" w:eastAsia="Arial" w:cs="Arial"/>
                <w:b w:val="0"/>
                <w:bCs w:val="0"/>
                <w:i w:val="0"/>
                <w:iCs w:val="0"/>
                <w:sz w:val="22"/>
                <w:szCs w:val="22"/>
                <w:lang w:val="en-GB"/>
              </w:rPr>
              <w:t xml:space="preserve"> to any of questions O1-O11, please provide justification detailing why this is necessary for the research.  </w:t>
            </w:r>
          </w:p>
        </w:tc>
      </w:tr>
      <w:tr w:rsidR="573B7504" w:rsidTr="573B7504" w14:paraId="2E0711D7">
        <w:trPr>
          <w:trHeight w:val="390"/>
        </w:trPr>
        <w:tc>
          <w:tcPr>
            <w:tcW w:w="540" w:type="dxa"/>
            <w:tcMar>
              <w:left w:w="105" w:type="dxa"/>
              <w:right w:w="105" w:type="dxa"/>
            </w:tcMar>
            <w:vAlign w:val="center"/>
          </w:tcPr>
          <w:p w:rsidR="573B7504" w:rsidP="573B7504" w:rsidRDefault="573B7504" w14:paraId="0784BAF4" w14:textId="6553B2FB">
            <w:pPr>
              <w:bidi w:val="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12</w:t>
            </w:r>
          </w:p>
        </w:tc>
        <w:tc>
          <w:tcPr>
            <w:tcW w:w="9915" w:type="dxa"/>
            <w:gridSpan w:val="4"/>
            <w:tcMar>
              <w:left w:w="105" w:type="dxa"/>
              <w:right w:w="105" w:type="dxa"/>
            </w:tcMar>
            <w:vAlign w:val="center"/>
          </w:tcPr>
          <w:p w:rsidR="573B7504" w:rsidP="573B7504" w:rsidRDefault="573B7504" w14:paraId="78D40C9E" w14:textId="773A5FC2">
            <w:pPr>
              <w:bidi w:val="0"/>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color w:val="000000" w:themeColor="text1" w:themeTint="FF" w:themeShade="FF"/>
                <w:sz w:val="22"/>
                <w:szCs w:val="22"/>
                <w:lang w:val="en-GB"/>
              </w:rPr>
              <w:t>Not Applicable</w:t>
            </w:r>
          </w:p>
          <w:p w:rsidR="573B7504" w:rsidP="573B7504" w:rsidRDefault="573B7504" w14:paraId="36D08C61" w14:textId="3D993A94">
            <w:pPr>
              <w:bidi w:val="0"/>
              <w:rPr>
                <w:rFonts w:ascii="Arial" w:hAnsi="Arial" w:eastAsia="Arial" w:cs="Arial"/>
                <w:b w:val="0"/>
                <w:bCs w:val="0"/>
                <w:i w:val="0"/>
                <w:iCs w:val="0"/>
                <w:color w:val="808080" w:themeColor="background1" w:themeTint="FF" w:themeShade="80"/>
                <w:sz w:val="18"/>
                <w:szCs w:val="18"/>
              </w:rPr>
            </w:pPr>
          </w:p>
          <w:p w:rsidR="573B7504" w:rsidP="573B7504" w:rsidRDefault="573B7504" w14:paraId="661A2112" w14:textId="5E67D529">
            <w:pPr>
              <w:bidi w:val="0"/>
              <w:rPr>
                <w:rFonts w:ascii="Arial" w:hAnsi="Arial" w:eastAsia="Arial" w:cs="Arial"/>
                <w:b w:val="0"/>
                <w:bCs w:val="0"/>
                <w:i w:val="0"/>
                <w:iCs w:val="0"/>
                <w:color w:val="808080" w:themeColor="background1" w:themeTint="FF" w:themeShade="80"/>
                <w:sz w:val="18"/>
                <w:szCs w:val="18"/>
              </w:rPr>
            </w:pPr>
            <w:r w:rsidRPr="573B7504" w:rsidR="573B7504">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Pr="00D97AB2" w:rsidR="00D97AB2" w:rsidP="573B7504" w:rsidRDefault="00D97AB2" w14:paraId="76C61721" w14:textId="67D2BB65">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21012A26" w14:textId="0586C485">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Pr="00D97AB2" w:rsidR="00D97AB2" w:rsidP="573B7504" w:rsidRDefault="00D97AB2" w14:paraId="7355E21A" w14:textId="7DEED376">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73B7504" w:rsidR="7E250B74">
        <w:rPr>
          <w:rFonts w:ascii="Arial" w:hAnsi="Arial" w:eastAsia="Arial" w:cs="Arial"/>
          <w:b w:val="1"/>
          <w:bCs w:val="1"/>
          <w:i w:val="0"/>
          <w:iCs w:val="0"/>
          <w:caps w:val="0"/>
          <w:smallCaps w:val="0"/>
          <w:noProof w:val="0"/>
          <w:color w:val="000000" w:themeColor="text1" w:themeTint="FF" w:themeShade="FF"/>
          <w:sz w:val="22"/>
          <w:szCs w:val="22"/>
          <w:lang w:val="en-GB"/>
        </w:rPr>
        <w:t>SECTION J: Declaration</w:t>
      </w:r>
    </w:p>
    <w:tbl>
      <w:tblPr>
        <w:tblStyle w:val="TableNormal"/>
        <w:bidiVisual w:val="0"/>
        <w:tblW w:w="0" w:type="auto"/>
        <w:tblBorders>
          <w:top w:val="single" w:sz="6"/>
          <w:left w:val="single" w:sz="6"/>
          <w:bottom w:val="single" w:sz="6"/>
          <w:right w:val="single" w:sz="6"/>
        </w:tblBorders>
        <w:tblLook w:val="00A0" w:firstRow="1" w:lastRow="0" w:firstColumn="1" w:lastColumn="0" w:noHBand="0" w:noVBand="0"/>
      </w:tblPr>
      <w:tblGrid>
        <w:gridCol w:w="270"/>
        <w:gridCol w:w="270"/>
        <w:gridCol w:w="2835"/>
        <w:gridCol w:w="4935"/>
        <w:gridCol w:w="15"/>
        <w:gridCol w:w="2115"/>
      </w:tblGrid>
      <w:tr w:rsidR="573B7504" w:rsidTr="573B7504" w14:paraId="0F3ED5DC">
        <w:trPr>
          <w:wBefore w:w="270" w:type="dxa"/>
          <w:gridBefore w:val="1"/>
          <w:trHeight w:val="1800"/>
        </w:trPr>
        <w:tc>
          <w:tcPr>
            <w:tcW w:w="27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5" w:type="dxa"/>
              <w:right w:w="105" w:type="dxa"/>
            </w:tcMar>
            <w:vAlign w:val="center"/>
          </w:tcPr>
          <w:p w:rsidR="573B7504" w:rsidP="573B7504" w:rsidRDefault="573B7504" w14:paraId="6A627BF7" w14:textId="21E940A7">
            <w:pPr>
              <w:bidi w:val="0"/>
              <w:jc w:val="center"/>
              <w:rPr>
                <w:rFonts w:ascii="Arial" w:hAnsi="Arial" w:eastAsia="Arial" w:cs="Arial"/>
                <w:b w:val="0"/>
                <w:bCs w:val="0"/>
                <w:i w:val="0"/>
                <w:iCs w:val="0"/>
                <w:sz w:val="22"/>
                <w:szCs w:val="22"/>
              </w:rPr>
            </w:pPr>
          </w:p>
        </w:tc>
        <w:tc>
          <w:tcPr>
            <w:tcW w:w="9900"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5" w:type="dxa"/>
              <w:right w:w="105" w:type="dxa"/>
            </w:tcMar>
            <w:vAlign w:val="center"/>
          </w:tcPr>
          <w:p w:rsidR="573B7504" w:rsidP="573B7504" w:rsidRDefault="573B7504" w14:paraId="221BE925" w14:textId="6D9065E3">
            <w:pPr>
              <w:bidi w:val="0"/>
              <w:jc w:val="both"/>
              <w:rPr>
                <w:rFonts w:ascii="Arial" w:hAnsi="Arial" w:eastAsia="Arial" w:cs="Arial"/>
                <w:b w:val="0"/>
                <w:bCs w:val="0"/>
                <w:i w:val="0"/>
                <w:iCs w:val="0"/>
                <w:color w:val="000000" w:themeColor="text1" w:themeTint="FF" w:themeShade="FF"/>
                <w:sz w:val="22"/>
                <w:szCs w:val="22"/>
              </w:rPr>
            </w:pPr>
            <w:r w:rsidRPr="573B7504" w:rsidR="573B7504">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573B7504" w:rsidR="573B7504">
              <w:rPr>
                <w:rFonts w:ascii="Arial" w:hAnsi="Arial" w:eastAsia="Arial" w:cs="Arial"/>
                <w:b w:val="1"/>
                <w:bCs w:val="1"/>
                <w:i w:val="0"/>
                <w:iCs w:val="0"/>
                <w:color w:val="000000" w:themeColor="text1" w:themeTint="FF" w:themeShade="FF"/>
                <w:sz w:val="22"/>
                <w:szCs w:val="22"/>
                <w:lang w:val="en-GB"/>
              </w:rPr>
              <w:t>.</w:t>
            </w:r>
          </w:p>
          <w:p w:rsidR="573B7504" w:rsidP="573B7504" w:rsidRDefault="573B7504" w14:paraId="22BCCBAA" w14:textId="097B452E">
            <w:pPr>
              <w:bidi w:val="0"/>
              <w:jc w:val="both"/>
              <w:rPr>
                <w:rFonts w:ascii="Arial" w:hAnsi="Arial" w:eastAsia="Arial" w:cs="Arial"/>
                <w:b w:val="0"/>
                <w:bCs w:val="0"/>
                <w:i w:val="0"/>
                <w:iCs w:val="0"/>
                <w:color w:val="000000" w:themeColor="text1" w:themeTint="FF" w:themeShade="FF"/>
                <w:sz w:val="22"/>
                <w:szCs w:val="22"/>
              </w:rPr>
            </w:pPr>
          </w:p>
          <w:p w:rsidR="573B7504" w:rsidP="573B7504" w:rsidRDefault="573B7504" w14:paraId="79BE880D" w14:textId="2AB12B06">
            <w:pPr>
              <w:bidi w:val="0"/>
              <w:jc w:val="both"/>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5b41ca4486704968">
              <w:r w:rsidRPr="573B7504" w:rsidR="573B7504">
                <w:rPr>
                  <w:rStyle w:val="Hyperlink"/>
                  <w:b w:val="0"/>
                  <w:bCs w:val="0"/>
                  <w:i w:val="0"/>
                  <w:iCs w:val="0"/>
                  <w:strike w:val="0"/>
                  <w:dstrike w:val="0"/>
                  <w:lang w:val="en-GB"/>
                </w:rPr>
                <w:t>https://www.uwtsd.ac.uk/research/research-ethics/</w:t>
              </w:r>
            </w:hyperlink>
            <w:r w:rsidRPr="573B7504" w:rsidR="573B7504">
              <w:rPr>
                <w:rFonts w:ascii="Arial" w:hAnsi="Arial" w:eastAsia="Arial" w:cs="Arial"/>
                <w:b w:val="0"/>
                <w:bCs w:val="0"/>
                <w:i w:val="0"/>
                <w:iCs w:val="0"/>
                <w:sz w:val="22"/>
                <w:szCs w:val="22"/>
                <w:lang w:val="en-GB"/>
              </w:rPr>
              <w:t xml:space="preserve"> </w:t>
            </w:r>
          </w:p>
        </w:tc>
      </w:tr>
      <w:tr w:rsidR="573B7504" w:rsidTr="573B7504" w14:paraId="344BF4C4">
        <w:trPr>
          <w:wBefore w:w="270" w:type="dxa"/>
          <w:gridBefore w:val="1"/>
          <w:trHeight w:val="645"/>
        </w:trPr>
        <w:tc>
          <w:tcPr>
            <w:tcW w:w="270"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5822824F" w14:textId="577B91F0">
            <w:pPr>
              <w:bidi w:val="0"/>
              <w:spacing w:beforeAutospacing="on" w:afterAutospacing="on"/>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1</w:t>
            </w:r>
          </w:p>
        </w:tc>
        <w:tc>
          <w:tcPr>
            <w:tcW w:w="283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5" w:type="dxa"/>
              <w:right w:w="105" w:type="dxa"/>
            </w:tcMar>
            <w:vAlign w:val="center"/>
          </w:tcPr>
          <w:p w:rsidR="573B7504" w:rsidP="573B7504" w:rsidRDefault="573B7504" w14:paraId="360887C4" w14:textId="37E0425F">
            <w:pPr>
              <w:bidi w:val="0"/>
              <w:spacing w:beforeAutospacing="on" w:afterAutospacing="on"/>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Signature of applicant:</w:t>
            </w:r>
          </w:p>
        </w:tc>
        <w:tc>
          <w:tcPr>
            <w:tcW w:w="4935" w:type="dxa"/>
            <w:tcBorders>
              <w:top w:val="single" w:color="000000" w:themeColor="text1" w:sz="4"/>
              <w:left w:val="single" w:sz="4"/>
              <w:bottom w:val="single" w:color="000000" w:themeColor="text1" w:sz="4"/>
              <w:right w:val="single" w:color="000000" w:themeColor="text1" w:sz="4"/>
            </w:tcBorders>
            <w:tcMar>
              <w:left w:w="105" w:type="dxa"/>
              <w:right w:w="105" w:type="dxa"/>
            </w:tcMar>
            <w:vAlign w:val="center"/>
          </w:tcPr>
          <w:p w:rsidR="573B7504" w:rsidP="573B7504" w:rsidRDefault="573B7504" w14:paraId="5BA727B3" w14:textId="04A8C9E9">
            <w:pPr>
              <w:bidi w:val="0"/>
              <w:spacing w:beforeAutospacing="on" w:afterAutospacing="on"/>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Akul Shailesh Panchal</w:t>
            </w:r>
          </w:p>
        </w:tc>
        <w:tc>
          <w:tcPr>
            <w:tcW w:w="2130" w:type="dxa"/>
            <w:gridSpan w:val="2"/>
            <w:tcBorders>
              <w:top w:val="single" w:color="000000" w:themeColor="text1" w:sz="4"/>
              <w:left w:val="single" w:color="000000" w:themeColor="text1" w:sz="4"/>
              <w:bottom w:val="single" w:color="000000" w:themeColor="text1" w:sz="4"/>
              <w:right w:val="single" w:color="000000" w:themeColor="text1" w:sz="4"/>
            </w:tcBorders>
            <w:tcMar>
              <w:left w:w="105" w:type="dxa"/>
              <w:right w:w="105" w:type="dxa"/>
            </w:tcMar>
            <w:vAlign w:val="center"/>
          </w:tcPr>
          <w:p w:rsidR="573B7504" w:rsidP="573B7504" w:rsidRDefault="573B7504" w14:paraId="33A54BFE" w14:textId="00297888">
            <w:pPr>
              <w:bidi w:val="0"/>
              <w:spacing w:beforeAutospacing="on" w:afterAutospacing="on"/>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Date:29/07/26</w:t>
            </w:r>
          </w:p>
          <w:p w:rsidR="573B7504" w:rsidP="573B7504" w:rsidRDefault="573B7504" w14:paraId="483A3C9B" w14:textId="0988799F">
            <w:pPr>
              <w:bidi w:val="0"/>
              <w:spacing w:beforeAutospacing="on" w:afterAutospacing="on"/>
              <w:rPr>
                <w:rFonts w:ascii="Arial" w:hAnsi="Arial" w:eastAsia="Arial" w:cs="Arial"/>
                <w:b w:val="0"/>
                <w:bCs w:val="0"/>
                <w:i w:val="0"/>
                <w:iCs w:val="0"/>
                <w:sz w:val="22"/>
                <w:szCs w:val="22"/>
              </w:rPr>
            </w:pPr>
          </w:p>
        </w:tc>
      </w:tr>
      <w:tr w:rsidR="573B7504" w:rsidTr="573B7504" w14:paraId="4EF36861">
        <w:trPr>
          <w:trHeight w:val="345"/>
        </w:trPr>
        <w:tc>
          <w:tcPr>
            <w:tcW w:w="540" w:type="dxa"/>
            <w:gridSpan w:val="2"/>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63785E24" w14:textId="4A175514">
            <w:pPr>
              <w:bidi w:val="0"/>
              <w:ind w:left="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2</w:t>
            </w:r>
          </w:p>
        </w:tc>
        <w:tc>
          <w:tcPr>
            <w:tcW w:w="283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596C961A" w14:textId="236E80E6">
            <w:pPr>
              <w:bidi w:val="0"/>
              <w:ind w:left="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Supervisor:</w:t>
            </w:r>
          </w:p>
        </w:tc>
        <w:tc>
          <w:tcPr>
            <w:tcW w:w="4950" w:type="dxa"/>
            <w:gridSpan w:val="2"/>
            <w:tcBorders>
              <w:top w:val="single" w:sz="4"/>
              <w:left w:val="single" w:sz="4"/>
              <w:bottom w:val="single" w:sz="4"/>
              <w:right w:val="single" w:sz="4"/>
            </w:tcBorders>
            <w:tcMar>
              <w:left w:w="105" w:type="dxa"/>
              <w:right w:w="105" w:type="dxa"/>
            </w:tcMar>
            <w:vAlign w:val="center"/>
          </w:tcPr>
          <w:p w:rsidR="573B7504" w:rsidP="573B7504" w:rsidRDefault="573B7504" w14:paraId="6F4F181A" w14:textId="001B7207">
            <w:pPr>
              <w:bidi w:val="0"/>
              <w:ind w:left="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ALIREZA NAZARIAN</w:t>
            </w:r>
          </w:p>
        </w:tc>
        <w:tc>
          <w:tcPr>
            <w:tcW w:w="2115" w:type="dxa"/>
            <w:vMerge w:val="restart"/>
            <w:tcBorders>
              <w:top w:val="single" w:color="000000" w:themeColor="text1" w:sz="4"/>
              <w:left w:val="single" w:sz="4"/>
              <w:bottom w:val="single" w:color="000000" w:themeColor="text1" w:sz="4"/>
              <w:right w:val="single" w:color="000000" w:themeColor="text1" w:sz="4"/>
            </w:tcBorders>
            <w:tcMar>
              <w:left w:w="105" w:type="dxa"/>
              <w:right w:w="105" w:type="dxa"/>
            </w:tcMar>
            <w:vAlign w:val="top"/>
          </w:tcPr>
          <w:p w:rsidR="573B7504" w:rsidP="573B7504" w:rsidRDefault="573B7504" w14:paraId="68042EF3" w14:textId="0F0DB0F3">
            <w:pPr>
              <w:bidi w:val="0"/>
              <w:ind w:left="0"/>
              <w:rPr>
                <w:rFonts w:ascii="Arial" w:hAnsi="Arial" w:eastAsia="Arial" w:cs="Arial"/>
                <w:b w:val="0"/>
                <w:bCs w:val="0"/>
                <w:i w:val="0"/>
                <w:iCs w:val="0"/>
                <w:sz w:val="22"/>
                <w:szCs w:val="22"/>
              </w:rPr>
            </w:pPr>
            <w:r w:rsidRPr="573B7504" w:rsidR="573B7504">
              <w:rPr>
                <w:rFonts w:ascii="Arial" w:hAnsi="Arial" w:eastAsia="Arial" w:cs="Arial"/>
                <w:b w:val="1"/>
                <w:bCs w:val="1"/>
                <w:i w:val="0"/>
                <w:iCs w:val="0"/>
                <w:sz w:val="22"/>
                <w:szCs w:val="22"/>
                <w:lang w:val="en-GB"/>
              </w:rPr>
              <w:t>Date:30/07/26</w:t>
            </w:r>
          </w:p>
        </w:tc>
      </w:tr>
      <w:tr w:rsidR="573B7504" w:rsidTr="573B7504" w14:paraId="78F9361D">
        <w:trPr>
          <w:trHeight w:val="345"/>
        </w:trPr>
        <w:tc>
          <w:tcPr>
            <w:tcW w:w="540" w:type="dxa"/>
            <w:gridSpan w:val="2"/>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0BF41FC3" w14:textId="18CF8BD2">
            <w:pPr>
              <w:bidi w:val="0"/>
              <w:ind w:left="0"/>
              <w:jc w:val="center"/>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3</w:t>
            </w:r>
          </w:p>
        </w:tc>
        <w:tc>
          <w:tcPr>
            <w:tcW w:w="2835" w:type="dxa"/>
            <w:tcBorders>
              <w:top w:val="single" w:sz="4"/>
              <w:left w:val="single" w:sz="4"/>
              <w:bottom w:val="single" w:sz="4"/>
              <w:right w:val="single" w:sz="4"/>
            </w:tcBorders>
            <w:shd w:val="clear" w:color="auto" w:fill="F2F2F2" w:themeFill="background1" w:themeFillShade="F2"/>
            <w:tcMar>
              <w:left w:w="105" w:type="dxa"/>
              <w:right w:w="105" w:type="dxa"/>
            </w:tcMar>
            <w:vAlign w:val="center"/>
          </w:tcPr>
          <w:p w:rsidR="573B7504" w:rsidP="573B7504" w:rsidRDefault="573B7504" w14:paraId="1ED9A093" w14:textId="0DF07D93">
            <w:pPr>
              <w:bidi w:val="0"/>
              <w:ind w:left="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Signature:</w:t>
            </w:r>
          </w:p>
        </w:tc>
        <w:tc>
          <w:tcPr>
            <w:tcW w:w="4950" w:type="dxa"/>
            <w:gridSpan w:val="2"/>
            <w:tcBorders>
              <w:top w:val="single" w:sz="4"/>
              <w:left w:val="single" w:sz="4"/>
              <w:bottom w:val="single" w:sz="4"/>
              <w:right w:val="single" w:sz="4"/>
            </w:tcBorders>
            <w:tcMar>
              <w:left w:w="105" w:type="dxa"/>
              <w:right w:w="105" w:type="dxa"/>
            </w:tcMar>
            <w:vAlign w:val="center"/>
          </w:tcPr>
          <w:p w:rsidR="573B7504" w:rsidP="573B7504" w:rsidRDefault="573B7504" w14:paraId="70830A7C" w14:textId="13117D86">
            <w:pPr>
              <w:bidi w:val="0"/>
              <w:ind w:left="0"/>
              <w:rPr>
                <w:rFonts w:ascii="Arial" w:hAnsi="Arial" w:eastAsia="Arial" w:cs="Arial"/>
                <w:b w:val="0"/>
                <w:bCs w:val="0"/>
                <w:i w:val="0"/>
                <w:iCs w:val="0"/>
                <w:sz w:val="22"/>
                <w:szCs w:val="22"/>
              </w:rPr>
            </w:pPr>
          </w:p>
          <w:p w:rsidR="573B7504" w:rsidP="573B7504" w:rsidRDefault="573B7504" w14:paraId="0FADC321" w14:textId="5FF3060B">
            <w:pPr>
              <w:bidi w:val="0"/>
              <w:ind w:left="0"/>
              <w:rPr>
                <w:rFonts w:ascii="Arial" w:hAnsi="Arial" w:eastAsia="Arial" w:cs="Arial"/>
                <w:b w:val="0"/>
                <w:bCs w:val="0"/>
                <w:i w:val="0"/>
                <w:iCs w:val="0"/>
                <w:sz w:val="22"/>
                <w:szCs w:val="22"/>
              </w:rPr>
            </w:pPr>
            <w:r w:rsidRPr="573B7504" w:rsidR="573B7504">
              <w:rPr>
                <w:rFonts w:ascii="Arial" w:hAnsi="Arial" w:eastAsia="Arial" w:cs="Arial"/>
                <w:b w:val="0"/>
                <w:bCs w:val="0"/>
                <w:i w:val="0"/>
                <w:iCs w:val="0"/>
                <w:sz w:val="22"/>
                <w:szCs w:val="22"/>
                <w:lang w:val="en-GB"/>
              </w:rPr>
              <w:t>ALIREZANAZARIAN</w:t>
            </w:r>
          </w:p>
        </w:tc>
        <w:tc>
          <w:tcPr>
            <w:tcW w:w="2115" w:type="dxa"/>
            <w:vMerge/>
            <w:tcBorders>
              <w:top w:val="single" w:sz="0"/>
              <w:left w:val="single" w:sz="0"/>
              <w:bottom w:val="single" w:sz="0"/>
              <w:right w:val="single" w:sz="0"/>
            </w:tcBorders>
            <w:tcMar/>
            <w:vAlign w:val="center"/>
          </w:tcPr>
          <w:p w14:paraId="7769BADE"/>
        </w:tc>
      </w:tr>
    </w:tbl>
    <w:p w:rsidRPr="00D97AB2" w:rsidR="00D97AB2" w:rsidP="00D97AB2" w:rsidRDefault="00D97AB2" w14:paraId="2C99DE07" w14:textId="67F83985"/>
    <w:sectPr w:rsidRPr="00D97AB2" w:rsidR="00D97AB2" w:rsidSect="00F55E4F">
      <w:footerReference w:type="default" r:id="rId102"/>
      <w:pgSz w:w="11906" w:h="16838" w:orient="portrait"/>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27235C" w:rsidR="00915BF3" w:rsidRDefault="00915BF3" w14:paraId="3CB267CE" w14:textId="77777777">
      <w:pPr>
        <w:spacing w:after="0" w:line="240" w:lineRule="auto"/>
      </w:pPr>
      <w:r w:rsidRPr="0027235C">
        <w:separator/>
      </w:r>
    </w:p>
  </w:endnote>
  <w:endnote w:type="continuationSeparator" w:id="0">
    <w:p w:rsidRPr="0027235C" w:rsidR="00915BF3" w:rsidRDefault="00915BF3" w14:paraId="2DFADB15" w14:textId="77777777">
      <w:pPr>
        <w:spacing w:after="0" w:line="240" w:lineRule="auto"/>
      </w:pPr>
      <w:r w:rsidRPr="0027235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w:fontKey="{45A528EB-3C67-465C-920B-38ED09608BDD}" r:id="rId1"/>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embedRegular w:fontKey="{94771D67-060B-4D31-91FD-4BBB63A98200}" r:id="rId2"/>
    <w:embedBold w:fontKey="{D5410B46-CE88-4F75-A811-5370824F8F08}" r:id="rId3"/>
    <w:embedItalic w:fontKey="{0124B610-06EE-4451-840A-4C72334467C2}" r:id="rId4"/>
    <w:embedBoldItalic w:fontKey="{7CD4B37F-7234-44A8-9EC5-E9A00DA4F5E5}" r:id="rId5"/>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embedRegular w:fontKey="{C4955946-F057-436A-9707-FABC751FA8CF}" r:id="rId6"/>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27235C" w:rsidR="00F55E4F" w:rsidRDefault="00F55E4F" w14:paraId="10C3F615" w14:textId="0E0B0110">
    <w:pPr>
      <w:pBdr>
        <w:top w:val="nil"/>
        <w:left w:val="nil"/>
        <w:bottom w:val="nil"/>
        <w:right w:val="nil"/>
        <w:between w:val="nil"/>
      </w:pBdr>
      <w:tabs>
        <w:tab w:val="center" w:pos="4513"/>
        <w:tab w:val="right" w:pos="9026"/>
      </w:tabs>
      <w:spacing w:after="0" w:line="240" w:lineRule="auto"/>
      <w:jc w:val="right"/>
      <w:rPr>
        <w:rFonts w:ascii="Arial" w:hAnsi="Arial" w:eastAsia="Arial" w:cs="Arial"/>
        <w:color w:val="000000"/>
      </w:rPr>
    </w:pPr>
    <w:r w:rsidRPr="0027235C">
      <w:rPr>
        <w:rFonts w:ascii="Arial" w:hAnsi="Arial" w:eastAsia="Arial" w:cs="Arial"/>
        <w:color w:val="000000"/>
        <w:sz w:val="24"/>
        <w:szCs w:val="24"/>
      </w:rPr>
      <w:t xml:space="preserve">Page | </w:t>
    </w:r>
    <w:r w:rsidRPr="0027235C">
      <w:rPr>
        <w:rFonts w:ascii="Arial" w:hAnsi="Arial" w:eastAsia="Arial" w:cs="Arial"/>
        <w:color w:val="000000"/>
        <w:sz w:val="24"/>
        <w:szCs w:val="24"/>
      </w:rPr>
      <w:fldChar w:fldCharType="begin"/>
    </w:r>
    <w:r w:rsidRPr="0027235C">
      <w:rPr>
        <w:rFonts w:ascii="Arial" w:hAnsi="Arial" w:eastAsia="Arial" w:cs="Arial"/>
        <w:color w:val="000000"/>
        <w:sz w:val="24"/>
        <w:szCs w:val="24"/>
      </w:rPr>
      <w:instrText>PAGE</w:instrText>
    </w:r>
    <w:r w:rsidRPr="0027235C">
      <w:rPr>
        <w:rFonts w:ascii="Arial" w:hAnsi="Arial" w:eastAsia="Arial" w:cs="Arial"/>
        <w:color w:val="000000"/>
        <w:sz w:val="24"/>
        <w:szCs w:val="24"/>
      </w:rPr>
      <w:fldChar w:fldCharType="separate"/>
    </w:r>
    <w:r w:rsidR="00976C63">
      <w:rPr>
        <w:rFonts w:ascii="Arial" w:hAnsi="Arial" w:eastAsia="Arial" w:cs="Arial"/>
        <w:noProof/>
        <w:color w:val="000000"/>
        <w:sz w:val="24"/>
        <w:szCs w:val="24"/>
      </w:rPr>
      <w:t>52</w:t>
    </w:r>
    <w:r w:rsidRPr="0027235C">
      <w:rPr>
        <w:rFonts w:ascii="Arial" w:hAnsi="Arial" w:eastAsia="Arial" w:cs="Arial"/>
        <w:color w:val="000000"/>
        <w:sz w:val="24"/>
        <w:szCs w:val="24"/>
      </w:rPr>
      <w:fldChar w:fldCharType="end"/>
    </w:r>
    <w:r w:rsidRPr="0027235C">
      <w:rPr>
        <w:rFonts w:ascii="Arial" w:hAnsi="Arial" w:eastAsia="Arial" w:cs="Arial"/>
        <w:color w:val="000000"/>
      </w:rPr>
      <w:t xml:space="preserve"> </w:t>
    </w:r>
  </w:p>
  <w:p w:rsidRPr="0027235C" w:rsidR="00F55E4F" w:rsidRDefault="00F55E4F" w14:paraId="48C4475D" w14:textId="7777777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27235C" w:rsidR="00915BF3" w:rsidRDefault="00915BF3" w14:paraId="4B9F23CD" w14:textId="77777777">
      <w:pPr>
        <w:spacing w:after="0" w:line="240" w:lineRule="auto"/>
      </w:pPr>
      <w:r w:rsidRPr="0027235C">
        <w:separator/>
      </w:r>
    </w:p>
  </w:footnote>
  <w:footnote w:type="continuationSeparator" w:id="0">
    <w:p w:rsidRPr="0027235C" w:rsidR="00915BF3" w:rsidRDefault="00915BF3" w14:paraId="6B3FD549" w14:textId="77777777">
      <w:pPr>
        <w:spacing w:after="0" w:line="240" w:lineRule="auto"/>
      </w:pPr>
      <w:r w:rsidRPr="0027235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383f80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0e13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de65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0c600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9377B95"/>
    <w:multiLevelType w:val="multilevel"/>
    <w:tmpl w:val="B2AE3466"/>
    <w:lvl w:ilvl="0">
      <w:start w:val="1"/>
      <w:numFmt w:val="bullet"/>
      <w:lvlText w:val="●"/>
      <w:lvlJc w:val="left"/>
      <w:pPr>
        <w:ind w:left="360" w:hanging="360"/>
      </w:pPr>
      <w:rPr>
        <w:rFonts w:ascii="Noto Sans Symbols" w:hAnsi="Noto Sans Symbols" w:eastAsia="Noto Sans Symbols" w:cs="Noto Sans Symbols"/>
      </w:rPr>
    </w:lvl>
    <w:lvl w:ilvl="1">
      <w:start w:val="1"/>
      <w:numFmt w:val="bullet"/>
      <w:lvlText w:val="o"/>
      <w:lvlJc w:val="left"/>
      <w:pPr>
        <w:ind w:left="1080" w:hanging="360"/>
      </w:pPr>
      <w:rPr>
        <w:rFonts w:ascii="Courier New" w:hAnsi="Courier New" w:eastAsia="Courier New" w:cs="Courier New"/>
      </w:rPr>
    </w:lvl>
    <w:lvl w:ilvl="2">
      <w:start w:val="1"/>
      <w:numFmt w:val="bullet"/>
      <w:lvlText w:val="▪"/>
      <w:lvlJc w:val="left"/>
      <w:pPr>
        <w:ind w:left="1800" w:hanging="360"/>
      </w:pPr>
      <w:rPr>
        <w:rFonts w:ascii="Noto Sans Symbols" w:hAnsi="Noto Sans Symbols" w:eastAsia="Noto Sans Symbols" w:cs="Noto Sans Symbols"/>
      </w:rPr>
    </w:lvl>
    <w:lvl w:ilvl="3">
      <w:start w:val="1"/>
      <w:numFmt w:val="bullet"/>
      <w:lvlText w:val="●"/>
      <w:lvlJc w:val="left"/>
      <w:pPr>
        <w:ind w:left="2520" w:hanging="360"/>
      </w:pPr>
      <w:rPr>
        <w:rFonts w:ascii="Noto Sans Symbols" w:hAnsi="Noto Sans Symbols" w:eastAsia="Noto Sans Symbols" w:cs="Noto Sans Symbols"/>
      </w:rPr>
    </w:lvl>
    <w:lvl w:ilvl="4">
      <w:start w:val="1"/>
      <w:numFmt w:val="bullet"/>
      <w:lvlText w:val="o"/>
      <w:lvlJc w:val="left"/>
      <w:pPr>
        <w:ind w:left="3240" w:hanging="360"/>
      </w:pPr>
      <w:rPr>
        <w:rFonts w:ascii="Courier New" w:hAnsi="Courier New" w:eastAsia="Courier New" w:cs="Courier New"/>
      </w:rPr>
    </w:lvl>
    <w:lvl w:ilvl="5">
      <w:start w:val="1"/>
      <w:numFmt w:val="bullet"/>
      <w:lvlText w:val="▪"/>
      <w:lvlJc w:val="left"/>
      <w:pPr>
        <w:ind w:left="3960" w:hanging="360"/>
      </w:pPr>
      <w:rPr>
        <w:rFonts w:ascii="Noto Sans Symbols" w:hAnsi="Noto Sans Symbols" w:eastAsia="Noto Sans Symbols" w:cs="Noto Sans Symbols"/>
      </w:rPr>
    </w:lvl>
    <w:lvl w:ilvl="6">
      <w:start w:val="1"/>
      <w:numFmt w:val="bullet"/>
      <w:lvlText w:val="●"/>
      <w:lvlJc w:val="left"/>
      <w:pPr>
        <w:ind w:left="4680" w:hanging="360"/>
      </w:pPr>
      <w:rPr>
        <w:rFonts w:ascii="Noto Sans Symbols" w:hAnsi="Noto Sans Symbols" w:eastAsia="Noto Sans Symbols" w:cs="Noto Sans Symbols"/>
      </w:rPr>
    </w:lvl>
    <w:lvl w:ilvl="7">
      <w:start w:val="1"/>
      <w:numFmt w:val="bullet"/>
      <w:lvlText w:val="o"/>
      <w:lvlJc w:val="left"/>
      <w:pPr>
        <w:ind w:left="5400" w:hanging="360"/>
      </w:pPr>
      <w:rPr>
        <w:rFonts w:ascii="Courier New" w:hAnsi="Courier New" w:eastAsia="Courier New" w:cs="Courier New"/>
      </w:rPr>
    </w:lvl>
    <w:lvl w:ilvl="8">
      <w:start w:val="1"/>
      <w:numFmt w:val="bullet"/>
      <w:lvlText w:val="▪"/>
      <w:lvlJc w:val="left"/>
      <w:pPr>
        <w:ind w:left="6120" w:hanging="360"/>
      </w:pPr>
      <w:rPr>
        <w:rFonts w:ascii="Noto Sans Symbols" w:hAnsi="Noto Sans Symbols" w:eastAsia="Noto Sans Symbols" w:cs="Noto Sans Symbols"/>
      </w:rPr>
    </w:lvl>
  </w:abstractNum>
  <w:num w:numId="5">
    <w:abstractNumId w:val="4"/>
  </w:num>
  <w:num w:numId="4">
    <w:abstractNumId w:val="3"/>
  </w:num>
  <w:num w:numId="3">
    <w:abstractNumId w:val="2"/>
  </w:num>
  <w:num w:numId="2">
    <w:abstractNumId w:val="1"/>
  </w:num>
  <w:num w:numId="1" w16cid:durableId="11945377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3CA2"/>
    <w:rsid w:val="0002450C"/>
    <w:rsid w:val="0004066E"/>
    <w:rsid w:val="00093C5D"/>
    <w:rsid w:val="000D3C64"/>
    <w:rsid w:val="001914AA"/>
    <w:rsid w:val="0019498D"/>
    <w:rsid w:val="001F4F31"/>
    <w:rsid w:val="00212466"/>
    <w:rsid w:val="0026746F"/>
    <w:rsid w:val="0027235C"/>
    <w:rsid w:val="00275EFF"/>
    <w:rsid w:val="002A6AA9"/>
    <w:rsid w:val="002F3586"/>
    <w:rsid w:val="00344745"/>
    <w:rsid w:val="004225CC"/>
    <w:rsid w:val="0044235D"/>
    <w:rsid w:val="004676BF"/>
    <w:rsid w:val="004A3396"/>
    <w:rsid w:val="004B3E85"/>
    <w:rsid w:val="004B54A6"/>
    <w:rsid w:val="00535205"/>
    <w:rsid w:val="00570292"/>
    <w:rsid w:val="005A6ACA"/>
    <w:rsid w:val="005C1F7A"/>
    <w:rsid w:val="006362F5"/>
    <w:rsid w:val="006411EE"/>
    <w:rsid w:val="0065284A"/>
    <w:rsid w:val="00676321"/>
    <w:rsid w:val="00685692"/>
    <w:rsid w:val="006E6681"/>
    <w:rsid w:val="007A698C"/>
    <w:rsid w:val="00820A74"/>
    <w:rsid w:val="008255D5"/>
    <w:rsid w:val="008266D3"/>
    <w:rsid w:val="00864659"/>
    <w:rsid w:val="00915BF3"/>
    <w:rsid w:val="00976C63"/>
    <w:rsid w:val="00985BB7"/>
    <w:rsid w:val="009A4C4A"/>
    <w:rsid w:val="009C64A2"/>
    <w:rsid w:val="009E1AFC"/>
    <w:rsid w:val="00A024A5"/>
    <w:rsid w:val="00A06AC8"/>
    <w:rsid w:val="00A07338"/>
    <w:rsid w:val="00A834CD"/>
    <w:rsid w:val="00AC4FE7"/>
    <w:rsid w:val="00B03CE9"/>
    <w:rsid w:val="00B337A4"/>
    <w:rsid w:val="00B40E50"/>
    <w:rsid w:val="00B922EC"/>
    <w:rsid w:val="00B9323C"/>
    <w:rsid w:val="00BB16A4"/>
    <w:rsid w:val="00BE66B8"/>
    <w:rsid w:val="00BF2F3A"/>
    <w:rsid w:val="00BF3B4F"/>
    <w:rsid w:val="00C10424"/>
    <w:rsid w:val="00C83B88"/>
    <w:rsid w:val="00CC70A8"/>
    <w:rsid w:val="00CF7CDF"/>
    <w:rsid w:val="00D61675"/>
    <w:rsid w:val="00D63CA2"/>
    <w:rsid w:val="00D66DA1"/>
    <w:rsid w:val="00D80F35"/>
    <w:rsid w:val="00D97AB2"/>
    <w:rsid w:val="00DD5EDE"/>
    <w:rsid w:val="00E131FD"/>
    <w:rsid w:val="00E24923"/>
    <w:rsid w:val="00E87A2A"/>
    <w:rsid w:val="00EA78D2"/>
    <w:rsid w:val="00ED3EB5"/>
    <w:rsid w:val="00EF2090"/>
    <w:rsid w:val="00EF48C1"/>
    <w:rsid w:val="00F37FC0"/>
    <w:rsid w:val="00F55E4F"/>
    <w:rsid w:val="0C824405"/>
    <w:rsid w:val="1FAAB76E"/>
    <w:rsid w:val="1FAAB76E"/>
    <w:rsid w:val="20E151AD"/>
    <w:rsid w:val="2AACC855"/>
    <w:rsid w:val="37DF66C0"/>
    <w:rsid w:val="39355706"/>
    <w:rsid w:val="3AC6E823"/>
    <w:rsid w:val="40348CCE"/>
    <w:rsid w:val="40348CCE"/>
    <w:rsid w:val="4533285A"/>
    <w:rsid w:val="4C9BAF3B"/>
    <w:rsid w:val="573B7504"/>
    <w:rsid w:val="5DE63D8E"/>
    <w:rsid w:val="6CB86EA1"/>
    <w:rsid w:val="78F738E0"/>
    <w:rsid w:val="7B01A350"/>
    <w:rsid w:val="7E250B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9A68D"/>
  <w15:docId w15:val="{ED1F2E70-3F19-4974-AAE3-1CDC35D61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Pr>
      <w:lang w:val="en-GB"/>
    </w:rPr>
  </w:style>
  <w:style w:type="paragraph" w:styleId="Heading1">
    <w:name w:val="heading 1"/>
    <w:basedOn w:val="Normal"/>
    <w:next w:val="Normal"/>
    <w:link w:val="Heading1Char"/>
    <w:qFormat/>
    <w:rsid w:val="00D61675"/>
    <w:pPr>
      <w:keepNext/>
      <w:keepLines/>
      <w:spacing w:before="360" w:after="80" w:line="360" w:lineRule="auto"/>
      <w:jc w:val="both"/>
      <w:outlineLvl w:val="0"/>
    </w:pPr>
    <w:rPr>
      <w:rFonts w:ascii="Arial" w:hAnsi="Arial" w:eastAsia="Times New Roman" w:cs="Times New Roman"/>
      <w:b/>
      <w:bCs/>
      <w:color w:val="000000"/>
      <w:sz w:val="24"/>
      <w:szCs w:val="24"/>
    </w:rPr>
  </w:style>
  <w:style w:type="paragraph" w:styleId="Heading2">
    <w:name w:val="heading 2"/>
    <w:basedOn w:val="Normal"/>
    <w:next w:val="Normal"/>
    <w:link w:val="Heading2Char"/>
    <w:qFormat/>
    <w:rsid w:val="00D61675"/>
    <w:pPr>
      <w:keepNext/>
      <w:keepLines/>
      <w:spacing w:before="160" w:after="80" w:line="360" w:lineRule="auto"/>
      <w:jc w:val="both"/>
      <w:outlineLvl w:val="1"/>
    </w:pPr>
    <w:rPr>
      <w:rFonts w:ascii="Arial" w:hAnsi="Arial" w:eastAsia="Times New Roman" w:cs="Times New Roman"/>
      <w:b/>
      <w:bCs/>
      <w:color w:val="000000"/>
      <w:sz w:val="24"/>
      <w:szCs w:val="24"/>
    </w:rPr>
  </w:style>
  <w:style w:type="paragraph" w:styleId="Heading3">
    <w:name w:val="heading 3"/>
    <w:basedOn w:val="Normal"/>
    <w:next w:val="Normal"/>
    <w:link w:val="Heading3Char"/>
    <w:qFormat/>
    <w:rsid w:val="00D61675"/>
    <w:pPr>
      <w:keepNext/>
      <w:keepLines/>
      <w:spacing w:before="160" w:after="80" w:line="360" w:lineRule="auto"/>
      <w:jc w:val="both"/>
      <w:outlineLvl w:val="2"/>
    </w:pPr>
    <w:rPr>
      <w:rFonts w:ascii="Arial" w:hAnsi="Arial"/>
      <w:b/>
      <w:color w:val="000000" w:themeColor="text1"/>
      <w:sz w:val="24"/>
      <w:szCs w:val="28"/>
    </w:rPr>
  </w:style>
  <w:style w:type="paragraph" w:styleId="Heading4">
    <w:name w:val="heading 4"/>
    <w:basedOn w:val="Normal"/>
    <w:next w:val="Normal"/>
    <w:link w:val="Heading4Char"/>
    <w:qFormat/>
    <w:rsid w:val="005C1F7A"/>
    <w:pPr>
      <w:keepNext/>
      <w:keepLines/>
      <w:spacing w:before="80" w:after="40" w:line="360" w:lineRule="auto"/>
      <w:jc w:val="center"/>
      <w:outlineLvl w:val="3"/>
    </w:pPr>
    <w:rPr>
      <w:rFonts w:ascii="Arial" w:hAnsi="Arial"/>
      <w:b/>
      <w:iCs/>
      <w:color w:val="000000" w:themeColor="text1"/>
      <w:sz w:val="24"/>
    </w:rPr>
  </w:style>
  <w:style w:type="paragraph" w:styleId="Heading5">
    <w:name w:val="heading 5"/>
    <w:basedOn w:val="Normal"/>
    <w:next w:val="Normal"/>
    <w:link w:val="Heading5Char"/>
    <w:pPr>
      <w:keepNext/>
      <w:keepLines/>
      <w:spacing w:before="80" w:after="40"/>
      <w:outlineLvl w:val="4"/>
    </w:pPr>
    <w:rPr>
      <w:color w:val="2E75B5"/>
    </w:rPr>
  </w:style>
  <w:style w:type="paragraph" w:styleId="Heading6">
    <w:name w:val="heading 6"/>
    <w:basedOn w:val="Normal"/>
    <w:next w:val="Normal"/>
    <w:link w:val="Heading6Char"/>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330B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B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BF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link w:val="TitleChar"/>
    <w:pPr>
      <w:spacing w:after="80" w:line="240" w:lineRule="auto"/>
    </w:pPr>
    <w:rPr>
      <w:sz w:val="56"/>
      <w:szCs w:val="56"/>
    </w:rPr>
  </w:style>
  <w:style w:type="character" w:styleId="Heading1Char" w:customStyle="1">
    <w:name w:val="Heading 1 Char"/>
    <w:basedOn w:val="DefaultParagraphFont"/>
    <w:link w:val="Heading1"/>
    <w:rsid w:val="00D61675"/>
    <w:rPr>
      <w:rFonts w:ascii="Arial" w:hAnsi="Arial" w:eastAsia="Times New Roman" w:cs="Times New Roman"/>
      <w:b/>
      <w:bCs/>
      <w:color w:val="000000"/>
      <w:sz w:val="24"/>
      <w:szCs w:val="24"/>
      <w:lang w:val="en-GB"/>
    </w:rPr>
  </w:style>
  <w:style w:type="character" w:styleId="Heading2Char" w:customStyle="1">
    <w:name w:val="Heading 2 Char"/>
    <w:basedOn w:val="DefaultParagraphFont"/>
    <w:link w:val="Heading2"/>
    <w:rsid w:val="00D61675"/>
    <w:rPr>
      <w:rFonts w:ascii="Arial" w:hAnsi="Arial" w:eastAsia="Times New Roman" w:cs="Times New Roman"/>
      <w:b/>
      <w:bCs/>
      <w:color w:val="000000"/>
      <w:sz w:val="24"/>
      <w:szCs w:val="24"/>
      <w:lang w:val="en-GB"/>
    </w:rPr>
  </w:style>
  <w:style w:type="character" w:styleId="Heading3Char" w:customStyle="1">
    <w:name w:val="Heading 3 Char"/>
    <w:basedOn w:val="DefaultParagraphFont"/>
    <w:link w:val="Heading3"/>
    <w:rsid w:val="00D61675"/>
    <w:rPr>
      <w:rFonts w:ascii="Arial" w:hAnsi="Arial"/>
      <w:b/>
      <w:color w:val="000000" w:themeColor="text1"/>
      <w:sz w:val="24"/>
      <w:szCs w:val="28"/>
      <w:lang w:val="en-GB"/>
    </w:rPr>
  </w:style>
  <w:style w:type="character" w:styleId="Heading4Char" w:customStyle="1">
    <w:name w:val="Heading 4 Char"/>
    <w:basedOn w:val="DefaultParagraphFont"/>
    <w:link w:val="Heading4"/>
    <w:rsid w:val="005C1F7A"/>
    <w:rPr>
      <w:rFonts w:ascii="Arial" w:hAnsi="Arial"/>
      <w:b/>
      <w:iCs/>
      <w:color w:val="000000" w:themeColor="text1"/>
      <w:sz w:val="24"/>
      <w:lang w:val="en-GB"/>
    </w:rPr>
  </w:style>
  <w:style w:type="character" w:styleId="Heading5Char" w:customStyle="1">
    <w:name w:val="Heading 5 Char"/>
    <w:basedOn w:val="DefaultParagraphFont"/>
    <w:link w:val="Heading5"/>
    <w:uiPriority w:val="9"/>
    <w:semiHidden/>
    <w:rsid w:val="00330BFB"/>
    <w:rPr>
      <w:rFonts w:eastAsiaTheme="majorEastAsia" w:cstheme="majorBidi"/>
      <w:color w:val="2E74B5" w:themeColor="accent1" w:themeShade="BF"/>
    </w:rPr>
  </w:style>
  <w:style w:type="character" w:styleId="Heading6Char" w:customStyle="1">
    <w:name w:val="Heading 6 Char"/>
    <w:basedOn w:val="DefaultParagraphFont"/>
    <w:link w:val="Heading6"/>
    <w:uiPriority w:val="9"/>
    <w:semiHidden/>
    <w:rsid w:val="00330BF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30BF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30BF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30BFB"/>
    <w:rPr>
      <w:rFonts w:eastAsiaTheme="majorEastAsia" w:cstheme="majorBidi"/>
      <w:color w:val="272727" w:themeColor="text1" w:themeTint="D8"/>
    </w:rPr>
  </w:style>
  <w:style w:type="character" w:styleId="TitleChar" w:customStyle="1">
    <w:name w:val="Title Char"/>
    <w:basedOn w:val="DefaultParagraphFont"/>
    <w:link w:val="Title"/>
    <w:uiPriority w:val="10"/>
    <w:rsid w:val="00330BFB"/>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rsid w:val="005C1F7A"/>
    <w:rPr>
      <w:rFonts w:ascii="Arial" w:hAnsi="Arial"/>
      <w:b/>
      <w:color w:val="000000" w:themeColor="text1"/>
      <w:sz w:val="24"/>
      <w:szCs w:val="28"/>
      <w:lang w:val="en-GB"/>
    </w:rPr>
  </w:style>
  <w:style w:type="paragraph" w:styleId="Quote">
    <w:name w:val="Quote"/>
    <w:basedOn w:val="Normal"/>
    <w:next w:val="Normal"/>
    <w:link w:val="QuoteChar"/>
    <w:uiPriority w:val="29"/>
    <w:qFormat/>
    <w:rsid w:val="00330BFB"/>
    <w:pPr>
      <w:spacing w:before="160"/>
      <w:jc w:val="center"/>
    </w:pPr>
    <w:rPr>
      <w:i/>
      <w:iCs/>
      <w:color w:val="404040" w:themeColor="text1" w:themeTint="BF"/>
    </w:rPr>
  </w:style>
  <w:style w:type="character" w:styleId="QuoteChar" w:customStyle="1">
    <w:name w:val="Quote Char"/>
    <w:basedOn w:val="DefaultParagraphFont"/>
    <w:link w:val="Quote"/>
    <w:uiPriority w:val="29"/>
    <w:rsid w:val="00330BFB"/>
    <w:rPr>
      <w:i/>
      <w:iCs/>
      <w:color w:val="404040" w:themeColor="text1" w:themeTint="BF"/>
    </w:rPr>
  </w:style>
  <w:style w:type="paragraph" w:styleId="ListParagraph">
    <w:name w:val="List Paragraph"/>
    <w:basedOn w:val="Normal"/>
    <w:uiPriority w:val="34"/>
    <w:qFormat/>
    <w:rsid w:val="00330BFB"/>
    <w:pPr>
      <w:ind w:left="720"/>
      <w:contextualSpacing/>
    </w:pPr>
  </w:style>
  <w:style w:type="character" w:styleId="IntenseEmphasis">
    <w:name w:val="Intense Emphasis"/>
    <w:basedOn w:val="DefaultParagraphFont"/>
    <w:uiPriority w:val="21"/>
    <w:qFormat/>
    <w:rsid w:val="00330BFB"/>
    <w:rPr>
      <w:i/>
      <w:iCs/>
      <w:color w:val="2E74B5" w:themeColor="accent1" w:themeShade="BF"/>
    </w:rPr>
  </w:style>
  <w:style w:type="paragraph" w:styleId="IntenseQuote">
    <w:name w:val="Intense Quote"/>
    <w:basedOn w:val="Normal"/>
    <w:next w:val="Normal"/>
    <w:link w:val="IntenseQuoteChar"/>
    <w:uiPriority w:val="30"/>
    <w:qFormat/>
    <w:rsid w:val="00330BFB"/>
    <w:pPr>
      <w:pBdr>
        <w:top w:val="single" w:color="2E74B5" w:themeColor="accent1" w:themeShade="BF" w:sz="4" w:space="10"/>
        <w:bottom w:val="single" w:color="2E74B5" w:themeColor="accent1" w:themeShade="BF" w:sz="4" w:space="10"/>
      </w:pBdr>
      <w:spacing w:before="360" w:after="360"/>
      <w:ind w:left="864" w:right="864"/>
      <w:jc w:val="center"/>
    </w:pPr>
    <w:rPr>
      <w:i/>
      <w:iCs/>
      <w:color w:val="2E74B5" w:themeColor="accent1" w:themeShade="BF"/>
    </w:rPr>
  </w:style>
  <w:style w:type="character" w:styleId="IntenseQuoteChar" w:customStyle="1">
    <w:name w:val="Intense Quote Char"/>
    <w:basedOn w:val="DefaultParagraphFont"/>
    <w:link w:val="IntenseQuote"/>
    <w:uiPriority w:val="30"/>
    <w:rsid w:val="00330BFB"/>
    <w:rPr>
      <w:i/>
      <w:iCs/>
      <w:color w:val="2E74B5" w:themeColor="accent1" w:themeShade="BF"/>
    </w:rPr>
  </w:style>
  <w:style w:type="character" w:styleId="IntenseReference">
    <w:name w:val="Intense Reference"/>
    <w:basedOn w:val="DefaultParagraphFont"/>
    <w:uiPriority w:val="32"/>
    <w:qFormat/>
    <w:rsid w:val="00330BFB"/>
    <w:rPr>
      <w:b/>
      <w:bCs/>
      <w:smallCaps/>
      <w:color w:val="2E74B5" w:themeColor="accent1" w:themeShade="BF"/>
      <w:spacing w:val="5"/>
    </w:rPr>
  </w:style>
  <w:style w:type="character" w:styleId="Hyperlink">
    <w:name w:val="Hyperlink"/>
    <w:basedOn w:val="DefaultParagraphFont"/>
    <w:uiPriority w:val="99"/>
    <w:unhideWhenUsed/>
    <w:rsid w:val="00330BFB"/>
    <w:rPr>
      <w:color w:val="0563C1" w:themeColor="hyperlink"/>
      <w:u w:val="single"/>
    </w:rPr>
  </w:style>
  <w:style w:type="character" w:styleId="UnresolvedMention1" w:customStyle="1">
    <w:name w:val="Unresolved Mention1"/>
    <w:basedOn w:val="DefaultParagraphFont"/>
    <w:uiPriority w:val="99"/>
    <w:semiHidden/>
    <w:unhideWhenUsed/>
    <w:rsid w:val="00330BFB"/>
    <w:rPr>
      <w:color w:val="605E5C"/>
      <w:shd w:val="clear" w:color="auto" w:fill="E1DFDD"/>
    </w:rPr>
  </w:style>
  <w:style w:type="paragraph" w:styleId="TOCHeading">
    <w:name w:val="TOC Heading"/>
    <w:basedOn w:val="Heading1"/>
    <w:next w:val="Normal"/>
    <w:uiPriority w:val="39"/>
    <w:unhideWhenUsed/>
    <w:qFormat/>
    <w:rsid w:val="00AC08CD"/>
    <w:pPr>
      <w:spacing w:before="240" w:after="0"/>
      <w:outlineLvl w:val="9"/>
    </w:pPr>
    <w:rPr>
      <w:rFonts w:asciiTheme="majorHAnsi" w:hAnsiTheme="majorHAnsi"/>
      <w:b w:val="0"/>
      <w:color w:val="2E74B5" w:themeColor="accent1" w:themeShade="BF"/>
      <w:sz w:val="32"/>
      <w:szCs w:val="32"/>
    </w:rPr>
  </w:style>
  <w:style w:type="paragraph" w:styleId="TOC1">
    <w:name w:val="toc 1"/>
    <w:basedOn w:val="Normal"/>
    <w:next w:val="Normal"/>
    <w:autoRedefine/>
    <w:uiPriority w:val="39"/>
    <w:unhideWhenUsed/>
    <w:rsid w:val="00AC08CD"/>
    <w:pPr>
      <w:spacing w:after="100"/>
    </w:pPr>
  </w:style>
  <w:style w:type="paragraph" w:styleId="TOC2">
    <w:name w:val="toc 2"/>
    <w:basedOn w:val="Normal"/>
    <w:next w:val="Normal"/>
    <w:autoRedefine/>
    <w:uiPriority w:val="39"/>
    <w:unhideWhenUsed/>
    <w:rsid w:val="00AC08CD"/>
    <w:pPr>
      <w:spacing w:after="100"/>
      <w:ind w:left="220"/>
    </w:pPr>
  </w:style>
  <w:style w:type="paragraph" w:styleId="Header">
    <w:name w:val="header"/>
    <w:basedOn w:val="Normal"/>
    <w:link w:val="HeaderChar"/>
    <w:uiPriority w:val="99"/>
    <w:unhideWhenUsed/>
    <w:rsid w:val="00AC08CD"/>
    <w:pPr>
      <w:tabs>
        <w:tab w:val="center" w:pos="4513"/>
        <w:tab w:val="right" w:pos="9026"/>
      </w:tabs>
      <w:spacing w:after="0" w:line="240" w:lineRule="auto"/>
    </w:pPr>
  </w:style>
  <w:style w:type="character" w:styleId="HeaderChar" w:customStyle="1">
    <w:name w:val="Header Char"/>
    <w:basedOn w:val="DefaultParagraphFont"/>
    <w:link w:val="Header"/>
    <w:uiPriority w:val="99"/>
    <w:rsid w:val="00AC08CD"/>
    <w:rPr>
      <w:lang w:val="en-GB"/>
    </w:rPr>
  </w:style>
  <w:style w:type="paragraph" w:styleId="Footer">
    <w:name w:val="footer"/>
    <w:basedOn w:val="Normal"/>
    <w:link w:val="FooterChar"/>
    <w:uiPriority w:val="99"/>
    <w:unhideWhenUsed/>
    <w:rsid w:val="00AC08CD"/>
    <w:pPr>
      <w:tabs>
        <w:tab w:val="center" w:pos="4513"/>
        <w:tab w:val="right" w:pos="9026"/>
      </w:tabs>
      <w:spacing w:after="0" w:line="240" w:lineRule="auto"/>
    </w:pPr>
  </w:style>
  <w:style w:type="character" w:styleId="FooterChar" w:customStyle="1">
    <w:name w:val="Footer Char"/>
    <w:basedOn w:val="DefaultParagraphFont"/>
    <w:link w:val="Footer"/>
    <w:uiPriority w:val="99"/>
    <w:rsid w:val="00AC08CD"/>
    <w:rPr>
      <w:lang w:val="en-GB"/>
    </w:rPr>
  </w:style>
  <w:style w:type="paragraph" w:styleId="Subtitle">
    <w:name w:val="Subtitle"/>
    <w:basedOn w:val="Normal"/>
    <w:next w:val="Normal"/>
    <w:link w:val="SubtitleChar"/>
    <w:qFormat/>
    <w:rsid w:val="005C1F7A"/>
    <w:pPr>
      <w:spacing w:line="360" w:lineRule="auto"/>
      <w:jc w:val="center"/>
    </w:pPr>
    <w:rPr>
      <w:rFonts w:ascii="Arial" w:hAnsi="Arial"/>
      <w:b/>
      <w:color w:val="000000" w:themeColor="text1"/>
      <w:sz w:val="24"/>
      <w:szCs w:val="28"/>
    </w:rPr>
  </w:style>
  <w:style w:type="table" w:styleId="a" w:customStyle="1">
    <w:basedOn w:val="TableNormal"/>
    <w:tblPr>
      <w:tblStyleRowBandSize w:val="1"/>
      <w:tblStyleColBandSize w:val="1"/>
    </w:tblPr>
  </w:style>
  <w:style w:type="table" w:styleId="a0" w:customStyle="1">
    <w:basedOn w:val="TableNormal"/>
    <w:tblPr>
      <w:tblStyleRowBandSize w:val="1"/>
      <w:tblStyleColBandSize w:val="1"/>
    </w:tblPr>
  </w:style>
  <w:style w:type="table" w:styleId="a1" w:customStyle="1">
    <w:basedOn w:val="TableNormal"/>
    <w:tblPr>
      <w:tblStyleRowBandSize w:val="1"/>
      <w:tblStyleColBandSize w:val="1"/>
    </w:tblPr>
  </w:style>
  <w:style w:type="table" w:styleId="TableGrid">
    <w:name w:val="Table Grid"/>
    <w:basedOn w:val="TableNormal"/>
    <w:uiPriority w:val="39"/>
    <w:rsid w:val="00BF2F3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7A698C"/>
    <w:pPr>
      <w:spacing w:after="200" w:line="360" w:lineRule="auto"/>
      <w:jc w:val="center"/>
    </w:pPr>
    <w:rPr>
      <w:rFonts w:ascii="Arial" w:hAnsi="Arial"/>
      <w:b/>
      <w:i/>
      <w:iCs/>
      <w:color w:val="000000" w:themeColor="text1"/>
      <w:sz w:val="24"/>
      <w:szCs w:val="18"/>
    </w:rPr>
  </w:style>
  <w:style w:type="paragraph" w:styleId="TableofFigures">
    <w:name w:val="table of figures"/>
    <w:basedOn w:val="Normal"/>
    <w:next w:val="Normal"/>
    <w:uiPriority w:val="99"/>
    <w:unhideWhenUsed/>
    <w:rsid w:val="00EA78D2"/>
    <w:pPr>
      <w:spacing w:after="0"/>
    </w:pPr>
  </w:style>
  <w:style w:type="character" w:styleId="UnresolvedMention2" w:customStyle="1">
    <w:name w:val="Unresolved Mention2"/>
    <w:basedOn w:val="DefaultParagraphFont"/>
    <w:uiPriority w:val="99"/>
    <w:semiHidden/>
    <w:unhideWhenUsed/>
    <w:rsid w:val="00B40E50"/>
    <w:rPr>
      <w:color w:val="605E5C"/>
      <w:shd w:val="clear" w:color="auto" w:fill="E1DFDD"/>
    </w:rPr>
  </w:style>
  <w:style w:type="paragraph" w:styleId="TOC3">
    <w:name w:val="toc 3"/>
    <w:basedOn w:val="Normal"/>
    <w:next w:val="Normal"/>
    <w:autoRedefine/>
    <w:uiPriority w:val="39"/>
    <w:unhideWhenUsed/>
    <w:rsid w:val="00D61675"/>
    <w:pPr>
      <w:spacing w:after="100"/>
      <w:ind w:left="440"/>
    </w:pPr>
  </w:style>
  <w:style w:type="character" w:styleId="Strong">
    <w:name w:val="Strong"/>
    <w:basedOn w:val="DefaultParagraphFont"/>
    <w:uiPriority w:val="22"/>
    <w:qFormat/>
    <w:rsid w:val="005C1F7A"/>
    <w:rPr>
      <w:b/>
      <w:bCs/>
    </w:rPr>
  </w:style>
  <w:style w:type="paragraph" w:styleId="pdq2pgselectionanchorcontainer" w:customStyle="1">
    <w:name w:val="pdq2pg_selectionanchorcontainer"/>
    <w:basedOn w:val="Normal"/>
    <w:rsid w:val="00976C63"/>
    <w:pPr>
      <w:spacing w:before="100" w:beforeAutospacing="1" w:after="100" w:afterAutospacing="1" w:line="240" w:lineRule="auto"/>
    </w:pPr>
    <w:rPr>
      <w:rFonts w:ascii="Times New Roman" w:hAnsi="Times New Roman" w:eastAsia="Times New Roman" w:cs="Times New Roman"/>
      <w:sz w:val="24"/>
      <w:szCs w:val="24"/>
      <w:lang w:val="en-US"/>
    </w:rPr>
  </w:style>
  <w:style w:type="character" w:styleId="Emphasis">
    <w:name w:val="Emphasis"/>
    <w:basedOn w:val="DefaultParagraphFont"/>
    <w:uiPriority w:val="20"/>
    <w:qFormat/>
    <w:rsid w:val="00976C63"/>
    <w:rPr>
      <w:i/>
      <w:iCs/>
    </w:rPr>
  </w:style>
  <w:style w:type="paragraph" w:styleId="NormalWeb">
    <w:name w:val="Normal (Web)"/>
    <w:basedOn w:val="Normal"/>
    <w:uiPriority w:val="99"/>
    <w:semiHidden/>
    <w:unhideWhenUsed/>
    <w:rsid w:val="00976C63"/>
    <w:pPr>
      <w:spacing w:before="100" w:beforeAutospacing="1" w:after="100" w:afterAutospacing="1" w:line="240" w:lineRule="auto"/>
    </w:pPr>
    <w:rPr>
      <w:rFonts w:ascii="Times New Roman" w:hAnsi="Times New Roman" w:eastAsia="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43658">
      <w:bodyDiv w:val="1"/>
      <w:marLeft w:val="0"/>
      <w:marRight w:val="0"/>
      <w:marTop w:val="0"/>
      <w:marBottom w:val="0"/>
      <w:divBdr>
        <w:top w:val="none" w:sz="0" w:space="0" w:color="auto"/>
        <w:left w:val="none" w:sz="0" w:space="0" w:color="auto"/>
        <w:bottom w:val="none" w:sz="0" w:space="0" w:color="auto"/>
        <w:right w:val="none" w:sz="0" w:space="0" w:color="auto"/>
      </w:divBdr>
    </w:div>
    <w:div w:id="19487358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s://doi.org/10.1016/j.jik.2024.100530" TargetMode="External" Id="rId26" /><Relationship Type="http://schemas.openxmlformats.org/officeDocument/2006/relationships/hyperlink" Target="https://doi.org/10.1002/hrdq.21473" TargetMode="External" Id="rId21" /><Relationship Type="http://schemas.openxmlformats.org/officeDocument/2006/relationships/hyperlink" Target="https://doi.org/10.1177/1094428120986851" TargetMode="External" Id="rId42" /><Relationship Type="http://schemas.openxmlformats.org/officeDocument/2006/relationships/hyperlink" Target="https://doi.org/10.1002/ace.20505" TargetMode="External" Id="rId47" /><Relationship Type="http://schemas.openxmlformats.org/officeDocument/2006/relationships/hyperlink" Target="https://doi.org/10.1007/s40273-024-01365-z" TargetMode="External" Id="rId63" /><Relationship Type="http://schemas.openxmlformats.org/officeDocument/2006/relationships/hyperlink" Target="https://doi.org/10.1016/j.ssaho.2025.101407" TargetMode="External" Id="rId68" /><Relationship Type="http://schemas.openxmlformats.org/officeDocument/2006/relationships/hyperlink" Target="https://doi.org/10.1108/EJTD-11-2025-0258" TargetMode="External" Id="rId84" /><Relationship Type="http://schemas.openxmlformats.org/officeDocument/2006/relationships/hyperlink" Target="https://doi.org/10.13152/IJRVET.3.2.4" TargetMode="External" Id="rId89" /><Relationship Type="http://schemas.openxmlformats.org/officeDocument/2006/relationships/hyperlink" Target="https://doi.org/10.1108/JWL-03-2025-0068" TargetMode="External" Id="rId16" /><Relationship Type="http://schemas.openxmlformats.org/officeDocument/2006/relationships/image" Target="media/image3.png" Id="rId11" /><Relationship Type="http://schemas.openxmlformats.org/officeDocument/2006/relationships/hyperlink" Target="https://doi.org/10.1146/annurev-orgpsych-032117-104443" TargetMode="External" Id="rId32" /><Relationship Type="http://schemas.openxmlformats.org/officeDocument/2006/relationships/hyperlink" Target="https://doi.org/10.1108/TLO-07-2025-0177" TargetMode="External" Id="rId37" /><Relationship Type="http://schemas.openxmlformats.org/officeDocument/2006/relationships/hyperlink" Target="https://doi.org/10.1146/annurev-orgpsych-012420-060109" TargetMode="External" Id="rId53" /><Relationship Type="http://schemas.openxmlformats.org/officeDocument/2006/relationships/hyperlink" Target="https://doi.org/10.5093/jwop2019a4" TargetMode="External" Id="rId58" /><Relationship Type="http://schemas.openxmlformats.org/officeDocument/2006/relationships/hyperlink" Target="https://doi.org/10.1177/1750458921994693" TargetMode="External" Id="rId74" /><Relationship Type="http://schemas.openxmlformats.org/officeDocument/2006/relationships/hyperlink" Target="https://doi.org/10.3389/fpsyg.2018.00313" TargetMode="External" Id="rId79" /><Relationship Type="http://schemas.openxmlformats.org/officeDocument/2006/relationships/footer" Target="footer1.xml" Id="rId102" /><Relationship Type="http://schemas.openxmlformats.org/officeDocument/2006/relationships/settings" Target="settings.xml" Id="rId5" /><Relationship Type="http://schemas.openxmlformats.org/officeDocument/2006/relationships/hyperlink" Target="https://doi.org/10.1027/1866-5888/a000290" TargetMode="External" Id="rId90" /><Relationship Type="http://schemas.openxmlformats.org/officeDocument/2006/relationships/hyperlink" Target="https://doi.org/10.3389/fpsyg.2025.1527741" TargetMode="External" Id="rId95" /><Relationship Type="http://schemas.openxmlformats.org/officeDocument/2006/relationships/hyperlink" Target="https://doi.org/10.1080/09585192.2017.1380063" TargetMode="External" Id="rId22" /><Relationship Type="http://schemas.openxmlformats.org/officeDocument/2006/relationships/hyperlink" Target="https://doi.org/10.1080/14783363.2024.2358396" TargetMode="External" Id="rId27" /><Relationship Type="http://schemas.openxmlformats.org/officeDocument/2006/relationships/hyperlink" Target="https://doi.org/10.1111/ijtd.12354" TargetMode="External" Id="rId43" /><Relationship Type="http://schemas.openxmlformats.org/officeDocument/2006/relationships/hyperlink" Target="https://doi.org/10.3390/admsci14060129" TargetMode="External" Id="rId48" /><Relationship Type="http://schemas.openxmlformats.org/officeDocument/2006/relationships/hyperlink" Target="https://doi.org/10.1016/j.jebo.2025.107206" TargetMode="External" Id="rId64" /><Relationship Type="http://schemas.openxmlformats.org/officeDocument/2006/relationships/hyperlink" Target="https://doi.org/10.1177/2158244020988557" TargetMode="External" Id="rId69" /><Relationship Type="http://schemas.openxmlformats.org/officeDocument/2006/relationships/hyperlink" Target="https://doi.org/10.1007/s11846-023-00668-3" TargetMode="External" Id="rId80" /><Relationship Type="http://schemas.openxmlformats.org/officeDocument/2006/relationships/hyperlink" Target="https://doi.org/10.1111/1748-8583.12586" TargetMode="External" Id="rId85" /><Relationship Type="http://schemas.openxmlformats.org/officeDocument/2006/relationships/image" Target="media/image4.png" Id="rId12" /><Relationship Type="http://schemas.openxmlformats.org/officeDocument/2006/relationships/hyperlink" Target="https://doi.org/10.11124/JBIES-23-00268" TargetMode="External" Id="rId17" /><Relationship Type="http://schemas.openxmlformats.org/officeDocument/2006/relationships/hyperlink" Target="https://doi.org/10.1007/s11135-021-01182-y" TargetMode="External" Id="rId25" /><Relationship Type="http://schemas.openxmlformats.org/officeDocument/2006/relationships/hyperlink" Target="https://doi.org/10.1111/1748-8583.12337" TargetMode="External" Id="rId33" /><Relationship Type="http://schemas.openxmlformats.org/officeDocument/2006/relationships/hyperlink" Target="https://doi.org/10.1080/13678868.2023.2174976" TargetMode="External" Id="rId38" /><Relationship Type="http://schemas.openxmlformats.org/officeDocument/2006/relationships/hyperlink" Target="https://doi.org/10.1016/j.jhtm.2021.06.007" TargetMode="External" Id="rId46" /><Relationship Type="http://schemas.openxmlformats.org/officeDocument/2006/relationships/hyperlink" Target="https://doi.org/10.1111/caim.12605" TargetMode="External" Id="rId59" /><Relationship Type="http://schemas.openxmlformats.org/officeDocument/2006/relationships/hyperlink" Target="https://doi.org/10.1080/02678373.2022.2086646" TargetMode="External" Id="rId67" /><Relationship Type="http://schemas.openxmlformats.org/officeDocument/2006/relationships/fontTable" Target="fontTable.xml" Id="rId103" /><Relationship Type="http://schemas.openxmlformats.org/officeDocument/2006/relationships/hyperlink" Target="https://doi.org/10.3389/fpsyg.2021.730421" TargetMode="External" Id="rId20" /><Relationship Type="http://schemas.openxmlformats.org/officeDocument/2006/relationships/hyperlink" Target="https://doi.org/10.1186/s12913-021-06122-y" TargetMode="External" Id="rId41" /><Relationship Type="http://schemas.openxmlformats.org/officeDocument/2006/relationships/hyperlink" Target="https://doi.org/10.1016/j.hrmr.2021.100890" TargetMode="External" Id="rId54" /><Relationship Type="http://schemas.openxmlformats.org/officeDocument/2006/relationships/hyperlink" Target="https://doi.org/10.3389/forgp.2025.1569098" TargetMode="External" Id="rId62" /><Relationship Type="http://schemas.openxmlformats.org/officeDocument/2006/relationships/hyperlink" Target="https://doi.org/10.1108/IJM-09-2024-0614" TargetMode="External" Id="rId70" /><Relationship Type="http://schemas.openxmlformats.org/officeDocument/2006/relationships/hyperlink" Target="https://doi.org/10.3390/publications9010012" TargetMode="External" Id="rId75" /><Relationship Type="http://schemas.openxmlformats.org/officeDocument/2006/relationships/hyperlink" Target="https://doi.org/10.1002/kpm.1763" TargetMode="External" Id="rId83" /><Relationship Type="http://schemas.openxmlformats.org/officeDocument/2006/relationships/hyperlink" Target="https://doi.org/10.1287/mnsc.2022.03968" TargetMode="External" Id="rId88" /><Relationship Type="http://schemas.openxmlformats.org/officeDocument/2006/relationships/hyperlink" Target="https://doi.org/10.1162/qss_a_00112" TargetMode="External" Id="rId91" /><Relationship Type="http://schemas.openxmlformats.org/officeDocument/2006/relationships/hyperlink" Target="https://doi.org/10.3389/fpsyg.2022.872105" TargetMode="External" Id="rId9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doi.org/10.3390/joitmc8040218" TargetMode="External" Id="rId15" /><Relationship Type="http://schemas.openxmlformats.org/officeDocument/2006/relationships/hyperlink" Target="https://doi.org/10.1371/journal.pone.0304127" TargetMode="External" Id="rId23" /><Relationship Type="http://schemas.openxmlformats.org/officeDocument/2006/relationships/hyperlink" Target="https://doi.org/10.1080/1359432X.2024.2384665" TargetMode="External" Id="rId28" /><Relationship Type="http://schemas.openxmlformats.org/officeDocument/2006/relationships/hyperlink" Target="https://doi.org/10.3389/feduc.2022.928996" TargetMode="External" Id="rId36" /><Relationship Type="http://schemas.openxmlformats.org/officeDocument/2006/relationships/hyperlink" Target="https://doi.org/10.1108/EJTD-12-2020-0177" TargetMode="External" Id="rId49" /><Relationship Type="http://schemas.openxmlformats.org/officeDocument/2006/relationships/hyperlink" Target="https://doi.org/10.4102/sajhrm.v22i0.2420" TargetMode="External" Id="rId57" /><Relationship Type="http://schemas.openxmlformats.org/officeDocument/2006/relationships/image" Target="media/image2.png" Id="rId10" /><Relationship Type="http://schemas.openxmlformats.org/officeDocument/2006/relationships/hyperlink" Target="https://doi.org/10.1111/ijmr.12291" TargetMode="External" Id="rId31" /><Relationship Type="http://schemas.openxmlformats.org/officeDocument/2006/relationships/hyperlink" Target="https://doi.org/10.4102/sajhrm.v23i0.2947" TargetMode="External" Id="rId44" /><Relationship Type="http://schemas.openxmlformats.org/officeDocument/2006/relationships/hyperlink" Target="https://doi.org/10.1111/ijtd.12349" TargetMode="External" Id="rId52" /><Relationship Type="http://schemas.openxmlformats.org/officeDocument/2006/relationships/hyperlink" Target="https://doi.org/10.1080/1359432X.2024.2319082" TargetMode="External" Id="rId60" /><Relationship Type="http://schemas.openxmlformats.org/officeDocument/2006/relationships/hyperlink" Target="https://doi.org/10.1186/s13643-022-02163-4" TargetMode="External" Id="rId65" /><Relationship Type="http://schemas.openxmlformats.org/officeDocument/2006/relationships/hyperlink" Target="https://doi.org/10.1136/bmj.n71" TargetMode="External" Id="rId73" /><Relationship Type="http://schemas.openxmlformats.org/officeDocument/2006/relationships/hyperlink" Target="https://doi.org/10.4102/sajhrm.v22i0.2723" TargetMode="External" Id="rId78" /><Relationship Type="http://schemas.openxmlformats.org/officeDocument/2006/relationships/hyperlink" Target="https://doi.org/10.1016/j.chb.2024.108151" TargetMode="External" Id="rId81" /><Relationship Type="http://schemas.openxmlformats.org/officeDocument/2006/relationships/hyperlink" Target="https://doi.org/10.3390/healthcare11212900" TargetMode="External" Id="rId86" /><Relationship Type="http://schemas.openxmlformats.org/officeDocument/2006/relationships/hyperlink" Target="https://www.weforum.org/publications/the-future-of-jobs-report-2025/" TargetMode="External" Id="rId94" /><Relationship Type="http://schemas.openxmlformats.org/officeDocument/2006/relationships/hyperlink" Target="https://doi.org/10.3389/frsus.2026.1741640" TargetMode="External" Id="rId99" /><Relationship Type="http://schemas.openxmlformats.org/officeDocument/2006/relationships/image" Target="media/image6.png" Id="rId101"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image" Target="media/image5.png" Id="rId13" /><Relationship Type="http://schemas.openxmlformats.org/officeDocument/2006/relationships/hyperlink" Target="https://doi.org/10.1007/s40037-022-00725-9" TargetMode="External" Id="rId18" /><Relationship Type="http://schemas.openxmlformats.org/officeDocument/2006/relationships/hyperlink" Target="https://doi.org/10.1016/j.techfore.2024.123833" TargetMode="External" Id="rId39" /><Relationship Type="http://schemas.openxmlformats.org/officeDocument/2006/relationships/hyperlink" Target="https://doi.org/10.1111/1748-8583.12284" TargetMode="External" Id="rId34" /><Relationship Type="http://schemas.openxmlformats.org/officeDocument/2006/relationships/hyperlink" Target="https://doi.org/10.1108/PR-09-2022-0629" TargetMode="External" Id="rId50" /><Relationship Type="http://schemas.openxmlformats.org/officeDocument/2006/relationships/hyperlink" Target="https://doi.org/10.1016/j.chbr.2025.100604" TargetMode="External" Id="rId55" /><Relationship Type="http://schemas.openxmlformats.org/officeDocument/2006/relationships/hyperlink" Target="https://doi.org/10.1111/ijtd.12115" TargetMode="External" Id="rId76" /><Relationship Type="http://schemas.openxmlformats.org/officeDocument/2006/relationships/hyperlink" Target="https://doi.org/10.1111/ijtd.12173" TargetMode="External" Id="rId97" /><Relationship Type="http://schemas.openxmlformats.org/officeDocument/2006/relationships/theme" Target="theme/theme1.xml" Id="rId104" /><Relationship Type="http://schemas.openxmlformats.org/officeDocument/2006/relationships/footnotes" Target="footnotes.xml" Id="rId7" /><Relationship Type="http://schemas.openxmlformats.org/officeDocument/2006/relationships/hyperlink" Target="https://doi.org/10.3390/bs14040276" TargetMode="External" Id="rId71" /><Relationship Type="http://schemas.openxmlformats.org/officeDocument/2006/relationships/hyperlink" Target="https://doi.org/10.1016/j.ssci.2025.106920" TargetMode="External" Id="rId92" /><Relationship Type="http://schemas.openxmlformats.org/officeDocument/2006/relationships/customXml" Target="../customXml/item2.xml" Id="rId2" /><Relationship Type="http://schemas.openxmlformats.org/officeDocument/2006/relationships/hyperlink" Target="https://doi.org/10.1111/ijtd.12371" TargetMode="External" Id="rId29" /><Relationship Type="http://schemas.openxmlformats.org/officeDocument/2006/relationships/hyperlink" Target="https://doi.org/10.1080/14780887.2020.1769238" TargetMode="External" Id="rId24" /><Relationship Type="http://schemas.openxmlformats.org/officeDocument/2006/relationships/hyperlink" Target="https://doi.org/10.1016/j.nedt.2024.106482" TargetMode="External" Id="rId40" /><Relationship Type="http://schemas.openxmlformats.org/officeDocument/2006/relationships/hyperlink" Target="https://doi.org/10.1016/j.heliyon.2023.e23903" TargetMode="External" Id="rId45" /><Relationship Type="http://schemas.openxmlformats.org/officeDocument/2006/relationships/hyperlink" Target="https://doi.org/10.3390/admsci16060271" TargetMode="External" Id="rId66" /><Relationship Type="http://schemas.openxmlformats.org/officeDocument/2006/relationships/hyperlink" Target="https://doi.org/10.1002/hrdq.21518" TargetMode="External" Id="rId87" /><Relationship Type="http://schemas.openxmlformats.org/officeDocument/2006/relationships/hyperlink" Target="https://doi.org/10.1016/j.resglo.2025.100311" TargetMode="External" Id="rId61" /><Relationship Type="http://schemas.openxmlformats.org/officeDocument/2006/relationships/hyperlink" Target="https://doi.org/10.1111/bjir.70020" TargetMode="External" Id="rId82" /><Relationship Type="http://schemas.openxmlformats.org/officeDocument/2006/relationships/hyperlink" Target="https://doi.org/10.1017/iop.2024.57" TargetMode="External" Id="rId19" /><Relationship Type="http://schemas.openxmlformats.org/officeDocument/2006/relationships/hyperlink" Target="https://doi.org/10.1186/s13643-022-02109-w" TargetMode="External" Id="rId14" /><Relationship Type="http://schemas.openxmlformats.org/officeDocument/2006/relationships/hyperlink" Target="https://doi.org/10.1108/JWL-04-2021-0052" TargetMode="External" Id="rId30" /><Relationship Type="http://schemas.openxmlformats.org/officeDocument/2006/relationships/hyperlink" Target="https://doi.org/10.1177/23197145231187487" TargetMode="External" Id="rId35" /><Relationship Type="http://schemas.openxmlformats.org/officeDocument/2006/relationships/hyperlink" Target="https://doi.org/10.1111/ijtd.12339" TargetMode="External" Id="rId56" /><Relationship Type="http://schemas.openxmlformats.org/officeDocument/2006/relationships/hyperlink" Target="https://doi.org/10.4102/sajhrm.v19i0.1412" TargetMode="External" Id="rId77" /><Relationship Type="http://schemas.openxmlformats.org/officeDocument/2006/relationships/hyperlink" Target="https://doi.org/10.3389/fpsyg.2022.805208" TargetMode="External" Id="rId100" /><Relationship Type="http://schemas.openxmlformats.org/officeDocument/2006/relationships/endnotes" Target="endnotes.xml" Id="rId8" /><Relationship Type="http://schemas.openxmlformats.org/officeDocument/2006/relationships/hyperlink" Target="https://doi.org/10.1016/j.heliyon.2024.e29821" TargetMode="External" Id="rId51" /><Relationship Type="http://schemas.openxmlformats.org/officeDocument/2006/relationships/hyperlink" Target="https://doi.org/10.1108/AJEMS-10-2023-0387" TargetMode="External" Id="rId72" /><Relationship Type="http://schemas.openxmlformats.org/officeDocument/2006/relationships/hyperlink" Target="https://doi.org/10.1108/JWL-05-2025-0119" TargetMode="External" Id="rId93" /><Relationship Type="http://schemas.openxmlformats.org/officeDocument/2006/relationships/hyperlink" Target="https://doi.org/10.1002/piq.21351" TargetMode="External" Id="rId98" /><Relationship Type="http://schemas.openxmlformats.org/officeDocument/2006/relationships/numbering" Target="numbering.xml" Id="rId3" /><Relationship Type="http://schemas.openxmlformats.org/officeDocument/2006/relationships/hyperlink" Target="mailto:Akulpanchal7@gmail.com" TargetMode="External" Id="R400875586f7449fb"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16a756873f634735" /><Relationship Type="http://schemas.openxmlformats.org/officeDocument/2006/relationships/hyperlink" Target="https://www.uwtsd.ac.uk/research/research-ethics/" TargetMode="External" Id="R5b41ca4486704968"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mb47Md1knpTO+qscrLn2jPROqQ==">CgMxLjAyDmgub3VneWJ5ZmZwbmowMg5oLmhhYjB4dGU1bmJ0ZTIOaC5pa25rbDByM2JhZDQyDmgudW12YmZldTRwc3ZyMg5oLjlidnByeHA5eDE3azIOaC5pcWRxdWEyNHdiOXoyDmguZDdzcnlzaWVmcnV5Mg5oLnJwaHNvZGQ1NXU5cDIOaC5uM2lmYXRpcGJoaDc4AHIhMTRJQTdhSGdUUW1pZU1OUGdpSG90NUx1SkNlNklXdFZF</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A53B81D-AD36-471D-AED7-ECF1A7347D3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mt360daysservice@gmail.com</dc:creator>
  <lastModifiedBy>Akul Shailesh Panchal (2428878)</lastModifiedBy>
  <revision>6</revision>
  <dcterms:created xsi:type="dcterms:W3CDTF">2026-09-06T11:43:00.0000000Z</dcterms:created>
  <dcterms:modified xsi:type="dcterms:W3CDTF">2026-09-24T23:53:14.7992126Z</dcterms:modified>
</coreProperties>
</file>