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cs="Times New Roman"/>
          <w:b/>
          <w:szCs w:val="24"/>
        </w:rPr>
      </w:pPr>
    </w:p>
    <w:p>
      <w:pPr>
        <w:jc w:val="center"/>
        <w:rPr>
          <w:rFonts w:cs="Times New Roman"/>
          <w:b/>
          <w:szCs w:val="24"/>
        </w:rPr>
      </w:pPr>
      <w:r>
        <w:rPr>
          <w:rFonts w:cs="Times New Roman"/>
          <w:b/>
          <w:szCs w:val="24"/>
        </w:rPr>
        <w:t>Volkswagen Marketing Plan in the UK</w:t>
      </w:r>
    </w:p>
    <w:p>
      <w:pPr>
        <w:jc w:val="center"/>
        <w:rPr>
          <w:rFonts w:ascii="Calibri" w:hAnsi="Calibri" w:eastAsia="Calibri" w:cs="Calibri"/>
          <w:b w:val="0"/>
          <w:kern w:val="0"/>
          <w:sz w:val="22"/>
          <w:szCs w:val="22"/>
          <w:lang w:val="en-GB" w:eastAsia="en-GB"/>
        </w:rPr>
      </w:pPr>
      <w:r>
        <w:rPr>
          <w:rFonts w:ascii="Calibri" w:hAnsi="Calibri" w:eastAsia="Calibri" w:cs="Calibri"/>
          <w:b w:val="0"/>
          <w:kern w:val="0"/>
          <w:sz w:val="22"/>
          <w:szCs w:val="22"/>
          <w:lang w:val="en-GB" w:eastAsia="en-GB"/>
        </w:rPr>
        <w:drawing>
          <wp:inline distT="0" distB="0" distL="114300" distR="114300">
            <wp:extent cx="2492375" cy="2764155"/>
            <wp:effectExtent l="0" t="0" r="3175" b="17145"/>
            <wp:docPr id="3" name="图片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Crest of TSD.png"/>
                    <pic:cNvPicPr>
                      <a:picLocks noChangeAspect="1"/>
                    </pic:cNvPicPr>
                  </pic:nvPicPr>
                  <pic:blipFill>
                    <a:blip r:embed="rId7"/>
                    <a:stretch>
                      <a:fillRect/>
                    </a:stretch>
                  </pic:blipFill>
                  <pic:spPr>
                    <a:xfrm>
                      <a:off x="0" y="0"/>
                      <a:ext cx="2492375" cy="2764155"/>
                    </a:xfrm>
                    <a:prstGeom prst="rect">
                      <a:avLst/>
                    </a:prstGeom>
                    <a:noFill/>
                    <a:ln>
                      <a:noFill/>
                    </a:ln>
                  </pic:spPr>
                </pic:pic>
              </a:graphicData>
            </a:graphic>
          </wp:inline>
        </w:drawing>
      </w:r>
    </w:p>
    <w:p>
      <w:pPr>
        <w:jc w:val="center"/>
        <w:rPr>
          <w:rFonts w:ascii="Calibri" w:hAnsi="Calibri" w:eastAsia="Calibri" w:cs="Calibri"/>
          <w:b w:val="0"/>
          <w:kern w:val="0"/>
          <w:sz w:val="22"/>
          <w:szCs w:val="22"/>
          <w:lang w:val="en-GB" w:eastAsia="en-GB"/>
        </w:rPr>
      </w:pPr>
    </w:p>
    <w:p>
      <w:pPr>
        <w:jc w:val="center"/>
        <w:rPr>
          <w:rFonts w:ascii="Calibri" w:hAnsi="Calibri" w:eastAsia="Calibri" w:cs="Calibri"/>
          <w:b w:val="0"/>
          <w:kern w:val="0"/>
          <w:sz w:val="22"/>
          <w:szCs w:val="22"/>
          <w:lang w:val="en-GB" w:eastAsia="en-GB"/>
        </w:rPr>
      </w:pPr>
    </w:p>
    <w:p>
      <w:pPr>
        <w:pStyle w:val="3"/>
        <w:bidi w:val="0"/>
        <w:ind w:firstLine="2610" w:firstLineChars="1000"/>
        <w:outlineLvl w:val="9"/>
        <w:rPr>
          <w:rFonts w:hint="default" w:ascii="Times New Roman" w:hAnsi="Times New Roman" w:eastAsia="宋体" w:cs="Times New Roman"/>
          <w:color w:val="000000" w:themeColor="text1"/>
          <w:sz w:val="24"/>
          <w:szCs w:val="24"/>
          <w14:textFill>
            <w14:solidFill>
              <w14:schemeClr w14:val="tx1"/>
            </w14:solidFill>
          </w14:textFill>
        </w:rPr>
      </w:pPr>
      <w:r>
        <w:rPr>
          <w:rFonts w:hint="eastAsia" w:ascii="Times New Roman" w:hAnsi="Times New Roman" w:eastAsia="宋体"/>
          <w:b/>
          <w:lang w:val="en-US" w:eastAsia="zh-CN"/>
        </w:rPr>
        <w:t xml:space="preserve"> </w:t>
      </w:r>
      <w:r>
        <w:rPr>
          <w:rFonts w:hint="default" w:ascii="Times New Roman" w:hAnsi="Times New Roman" w:eastAsia="宋体" w:cs="Times New Roman"/>
          <w:b/>
          <w:color w:val="000000" w:themeColor="text1"/>
          <w:sz w:val="24"/>
          <w:szCs w:val="24"/>
          <w:lang w:val="en-US" w:eastAsia="zh-CN"/>
          <w14:textFill>
            <w14:solidFill>
              <w14:schemeClr w14:val="tx1"/>
            </w14:solidFill>
          </w14:textFill>
        </w:rPr>
        <w:t xml:space="preserve">Module name： </w:t>
      </w:r>
      <w:r>
        <w:rPr>
          <w:rFonts w:hint="eastAsia" w:ascii="Times New Roman" w:hAnsi="Times New Roman" w:eastAsia="宋体" w:cs="Times New Roman"/>
          <w:b/>
          <w:color w:val="000000" w:themeColor="text1"/>
          <w:sz w:val="24"/>
          <w:szCs w:val="24"/>
          <w:lang w:val="en-US" w:eastAsia="zh-CN"/>
          <w14:textFill>
            <w14:solidFill>
              <w14:schemeClr w14:val="tx1"/>
            </w14:solidFill>
          </w14:textFill>
        </w:rPr>
        <w:t>Mar</w:t>
      </w:r>
      <w:bookmarkStart w:id="67" w:name="_GoBack"/>
      <w:bookmarkEnd w:id="67"/>
      <w:r>
        <w:rPr>
          <w:rFonts w:hint="eastAsia" w:ascii="Times New Roman" w:hAnsi="Times New Roman" w:eastAsia="宋体" w:cs="Times New Roman"/>
          <w:b/>
          <w:color w:val="000000" w:themeColor="text1"/>
          <w:sz w:val="24"/>
          <w:szCs w:val="24"/>
          <w:lang w:val="en-US" w:eastAsia="zh-CN"/>
          <w14:textFill>
            <w14:solidFill>
              <w14:schemeClr w14:val="tx1"/>
            </w14:solidFill>
          </w14:textFill>
        </w:rPr>
        <w:t>keting planing and practice</w:t>
      </w:r>
      <w:r>
        <w:rPr>
          <w:rFonts w:hint="default" w:ascii="Times New Roman" w:hAnsi="Times New Roman" w:eastAsia="宋体" w:cs="Times New Roman"/>
          <w:color w:val="000000" w:themeColor="text1"/>
          <w:sz w:val="24"/>
          <w:szCs w:val="24"/>
          <w14:textFill>
            <w14:solidFill>
              <w14:schemeClr w14:val="tx1"/>
            </w14:solidFill>
          </w14:textFill>
        </w:rPr>
        <w:t>          </w:t>
      </w:r>
    </w:p>
    <w:p>
      <w:pPr>
        <w:pStyle w:val="3"/>
        <w:bidi w:val="0"/>
        <w:ind w:left="2712" w:leftChars="1130" w:firstLine="0" w:firstLineChars="0"/>
        <w:outlineLvl w:val="9"/>
        <w:rPr>
          <w:rFonts w:hint="default" w:ascii="Times New Roman" w:hAnsi="Times New Roman" w:eastAsia="宋体" w:cs="Times New Roman"/>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color w:val="000000" w:themeColor="text1"/>
          <w:sz w:val="24"/>
          <w:szCs w:val="24"/>
          <w14:textFill>
            <w14:solidFill>
              <w14:schemeClr w14:val="tx1"/>
            </w14:solidFill>
          </w14:textFill>
        </w:rPr>
        <w:t>Name:</w:t>
      </w:r>
      <w:r>
        <w:rPr>
          <w:rFonts w:hint="default" w:ascii="Times New Roman" w:hAnsi="Times New Roman" w:eastAsia="宋体" w:cs="Times New Roman"/>
          <w:color w:val="000000" w:themeColor="text1"/>
          <w:sz w:val="24"/>
          <w:szCs w:val="24"/>
          <w:lang w:val="en-US" w:eastAsia="zh-CN"/>
          <w14:textFill>
            <w14:solidFill>
              <w14:schemeClr w14:val="tx1"/>
            </w14:solidFill>
          </w14:textFill>
        </w:rPr>
        <w:t>Mian Wei</w:t>
      </w:r>
    </w:p>
    <w:p>
      <w:pPr>
        <w:pStyle w:val="3"/>
        <w:bidi w:val="0"/>
        <w:ind w:left="2712" w:leftChars="1130" w:firstLine="0" w:firstLineChars="0"/>
        <w:outlineLvl w:val="9"/>
        <w:rPr>
          <w:rFonts w:hint="default" w:ascii="Times New Roman" w:hAnsi="Times New Roman" w:eastAsia="宋体" w:cs="Times New Roman"/>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color w:val="000000" w:themeColor="text1"/>
          <w:sz w:val="24"/>
          <w:szCs w:val="24"/>
          <w14:textFill>
            <w14:solidFill>
              <w14:schemeClr w14:val="tx1"/>
            </w14:solidFill>
          </w14:textFill>
        </w:rPr>
        <w:t>Student ID: 190337</w:t>
      </w:r>
      <w:r>
        <w:rPr>
          <w:rFonts w:hint="default" w:ascii="Times New Roman" w:hAnsi="Times New Roman" w:eastAsia="宋体" w:cs="Times New Roman"/>
          <w:color w:val="000000" w:themeColor="text1"/>
          <w:sz w:val="24"/>
          <w:szCs w:val="24"/>
          <w:lang w:val="en-US" w:eastAsia="zh-CN"/>
          <w14:textFill>
            <w14:solidFill>
              <w14:schemeClr w14:val="tx1"/>
            </w14:solidFill>
          </w14:textFill>
        </w:rPr>
        <w:t>0</w:t>
      </w:r>
    </w:p>
    <w:p>
      <w:pPr>
        <w:jc w:val="center"/>
        <w:rPr>
          <w:rFonts w:hint="default" w:ascii="Times New Roman" w:hAnsi="Times New Roman" w:eastAsia="Calibri" w:cs="Times New Roman"/>
          <w:b w:val="0"/>
          <w:color w:val="000000" w:themeColor="text1"/>
          <w:kern w:val="0"/>
          <w:sz w:val="22"/>
          <w:szCs w:val="22"/>
          <w:lang w:val="en-GB" w:eastAsia="en-GB"/>
          <w14:textFill>
            <w14:solidFill>
              <w14:schemeClr w14:val="tx1"/>
            </w14:solidFill>
          </w14:textFill>
        </w:rPr>
      </w:pPr>
    </w:p>
    <w:p>
      <w:pPr>
        <w:jc w:val="center"/>
        <w:rPr>
          <w:rFonts w:hint="default" w:ascii="Times New Roman" w:hAnsi="Times New Roman" w:cs="Times New Roman"/>
          <w:b/>
          <w:color w:val="000000" w:themeColor="text1"/>
          <w:szCs w:val="24"/>
          <w14:textFill>
            <w14:solidFill>
              <w14:schemeClr w14:val="tx1"/>
            </w14:solidFill>
          </w14:textFill>
        </w:rPr>
        <w:sectPr>
          <w:footerReference r:id="rId3" w:type="default"/>
          <w:pgSz w:w="12240" w:h="15840"/>
          <w:pgMar w:top="1440" w:right="1440" w:bottom="1440" w:left="1440" w:header="720" w:footer="720" w:gutter="0"/>
          <w:cols w:space="720" w:num="1"/>
          <w:docGrid w:linePitch="360" w:charSpace="0"/>
        </w:sectPr>
      </w:pPr>
    </w:p>
    <w:p>
      <w:pPr>
        <w:jc w:val="center"/>
        <w:rPr>
          <w:rFonts w:cs="Times New Roman"/>
          <w:b/>
          <w:szCs w:val="24"/>
        </w:rPr>
      </w:pPr>
    </w:p>
    <w:sdt>
      <w:sdtPr>
        <w:rPr>
          <w:rFonts w:ascii="Times New Roman" w:hAnsi="Times New Roman" w:cs="Times New Roman" w:eastAsiaTheme="minorHAnsi"/>
          <w:b w:val="0"/>
          <w:bCs w:val="0"/>
          <w:color w:val="auto"/>
          <w:sz w:val="24"/>
          <w:szCs w:val="24"/>
          <w:lang w:val="en-GB"/>
        </w:rPr>
        <w:id w:val="538824237"/>
        <w:docPartObj>
          <w:docPartGallery w:val="Table of Contents"/>
          <w:docPartUnique/>
        </w:docPartObj>
      </w:sdtPr>
      <w:sdtEndPr>
        <w:rPr>
          <w:rFonts w:ascii="Times New Roman" w:hAnsi="Times New Roman" w:eastAsia="宋体" w:cs="Times New Roman"/>
          <w:b w:val="0"/>
          <w:bCs w:val="0"/>
          <w:color w:val="auto"/>
          <w:sz w:val="24"/>
          <w:szCs w:val="24"/>
          <w:lang w:val="en-GB"/>
        </w:rPr>
      </w:sdtEndPr>
      <w:sdtContent>
        <w:p>
          <w:pPr>
            <w:pStyle w:val="20"/>
            <w:spacing w:before="0" w:after="120" w:line="360" w:lineRule="auto"/>
            <w:jc w:val="both"/>
            <w:rPr>
              <w:rFonts w:ascii="Times New Roman" w:hAnsi="Times New Roman" w:cs="Times New Roman"/>
              <w:color w:val="auto"/>
              <w:sz w:val="24"/>
              <w:szCs w:val="24"/>
              <w:lang w:val="en-GB"/>
            </w:rPr>
          </w:pPr>
          <w:r>
            <w:rPr>
              <w:rFonts w:hint="eastAsia" w:ascii="Times New Roman" w:hAnsi="Times New Roman" w:eastAsia="宋体" w:cs="Times New Roman"/>
              <w:b w:val="0"/>
              <w:bCs w:val="0"/>
              <w:color w:val="auto"/>
              <w:sz w:val="24"/>
              <w:szCs w:val="24"/>
              <w:lang w:val="en-US" w:eastAsia="zh-CN"/>
            </w:rPr>
            <w:t xml:space="preserve">                                                                        </w:t>
          </w:r>
          <w:r>
            <w:rPr>
              <w:rFonts w:ascii="Times New Roman" w:hAnsi="Times New Roman" w:cs="Times New Roman"/>
              <w:color w:val="auto"/>
              <w:sz w:val="24"/>
              <w:szCs w:val="24"/>
              <w:lang w:val="en-GB"/>
            </w:rPr>
            <w:t>Contents</w:t>
          </w:r>
        </w:p>
        <w:p>
          <w:pPr>
            <w:pStyle w:val="8"/>
            <w:tabs>
              <w:tab w:val="right" w:leader="dot" w:pos="9350"/>
            </w:tabs>
            <w:rPr>
              <w:rFonts w:asciiTheme="minorHAnsi" w:hAnsiTheme="minorHAnsi" w:eastAsiaTheme="minorEastAsia"/>
              <w:sz w:val="22"/>
              <w:lang w:eastAsia="zh-CN"/>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r>
            <w:fldChar w:fldCharType="begin"/>
          </w:r>
          <w:r>
            <w:instrText xml:space="preserve"> HYPERLINK \l "_Toc40014703" </w:instrText>
          </w:r>
          <w:r>
            <w:fldChar w:fldCharType="separate"/>
          </w:r>
          <w:r>
            <w:rPr>
              <w:rStyle w:val="14"/>
              <w:rFonts w:cs="Times New Roman"/>
            </w:rPr>
            <w:t>1.0 Introduction</w:t>
          </w:r>
          <w:r>
            <w:tab/>
          </w:r>
          <w:r>
            <w:fldChar w:fldCharType="begin"/>
          </w:r>
          <w:r>
            <w:instrText xml:space="preserve"> PAGEREF _Toc40014703 \h </w:instrText>
          </w:r>
          <w:r>
            <w:fldChar w:fldCharType="separate"/>
          </w:r>
          <w:r>
            <w:t>1</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"_Toc40014704" </w:instrText>
          </w:r>
          <w:r>
            <w:fldChar w:fldCharType="separate"/>
          </w:r>
          <w:r>
            <w:rPr>
              <w:rStyle w:val="14"/>
              <w:rFonts w:cs="Times New Roman"/>
            </w:rPr>
            <w:t>1.1 Introduction to SOSTAC</w:t>
          </w:r>
          <w:r>
            <w:tab/>
          </w:r>
          <w:r>
            <w:fldChar w:fldCharType="begin"/>
          </w:r>
          <w:r>
            <w:instrText xml:space="preserve"> PAGEREF _Toc40014704 \h </w:instrText>
          </w:r>
          <w:r>
            <w:fldChar w:fldCharType="separate"/>
          </w:r>
          <w:r>
            <w:t>1</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"_Toc40014705" </w:instrText>
          </w:r>
          <w:r>
            <w:fldChar w:fldCharType="separate"/>
          </w:r>
          <w:r>
            <w:rPr>
              <w:rStyle w:val="14"/>
              <w:rFonts w:cs="Times New Roman"/>
            </w:rPr>
            <w:t>1.2 Background of the organisation</w:t>
          </w:r>
          <w:r>
            <w:tab/>
          </w:r>
          <w:r>
            <w:fldChar w:fldCharType="begin"/>
          </w:r>
          <w:r>
            <w:instrText xml:space="preserve"> PAGEREF _Toc40014705 \h </w:instrText>
          </w:r>
          <w:r>
            <w:fldChar w:fldCharType="separate"/>
          </w:r>
          <w:r>
            <w:t>1</w:t>
          </w:r>
          <w:r>
            <w:fldChar w:fldCharType="end"/>
          </w:r>
          <w:r>
            <w:fldChar w:fldCharType="end"/>
          </w:r>
        </w:p>
        <w:p>
          <w:pPr>
            <w:pStyle w:val="8"/>
            <w:tabs>
              <w:tab w:val="right" w:leader="dot" w:pos="9350"/>
            </w:tabs>
            <w:rPr>
              <w:rFonts w:asciiTheme="minorHAnsi" w:hAnsiTheme="minorHAnsi" w:eastAsiaTheme="minorEastAsia"/>
              <w:sz w:val="22"/>
              <w:lang w:eastAsia="zh-CN"/>
            </w:rPr>
          </w:pPr>
          <w:r>
            <w:fldChar w:fldCharType="begin"/>
          </w:r>
          <w:r>
            <w:instrText xml:space="preserve"> HYPERLINK \l "_Toc40014706" </w:instrText>
          </w:r>
          <w:r>
            <w:fldChar w:fldCharType="separate"/>
          </w:r>
          <w:r>
            <w:rPr>
              <w:rStyle w:val="14"/>
              <w:rFonts w:cs="Times New Roman"/>
            </w:rPr>
            <w:t>2.0 Situational Analysis</w:t>
          </w:r>
          <w:r>
            <w:tab/>
          </w:r>
          <w:r>
            <w:fldChar w:fldCharType="begin"/>
          </w:r>
          <w:r>
            <w:instrText xml:space="preserve"> PAGEREF _Toc40014706 \h </w:instrText>
          </w:r>
          <w:r>
            <w:fldChar w:fldCharType="separate"/>
          </w:r>
          <w:r>
            <w:t>2</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"_Toc40014707" </w:instrText>
          </w:r>
          <w:r>
            <w:fldChar w:fldCharType="separate"/>
          </w:r>
          <w:r>
            <w:rPr>
              <w:rStyle w:val="14"/>
              <w:rFonts w:cs="Times New Roman"/>
            </w:rPr>
            <w:t>2.1 SWOT</w:t>
          </w:r>
          <w:r>
            <w:tab/>
          </w:r>
          <w:r>
            <w:fldChar w:fldCharType="begin"/>
          </w:r>
          <w:r>
            <w:instrText xml:space="preserve"> PAGEREF _Toc40014707 \h </w:instrText>
          </w:r>
          <w:r>
            <w:fldChar w:fldCharType="separate"/>
          </w:r>
          <w:r>
            <w:t>2</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"_Toc40014708" </w:instrText>
          </w:r>
          <w:r>
            <w:fldChar w:fldCharType="separate"/>
          </w:r>
          <w:r>
            <w:rPr>
              <w:rStyle w:val="14"/>
              <w:rFonts w:cs="Times New Roman"/>
            </w:rPr>
            <w:t>2.2 PEST</w:t>
          </w:r>
          <w:r>
            <w:tab/>
          </w:r>
          <w:r>
            <w:fldChar w:fldCharType="begin"/>
          </w:r>
          <w:r>
            <w:instrText xml:space="preserve"> PAGEREF _Toc40014708 \h </w:instrText>
          </w:r>
          <w:r>
            <w:fldChar w:fldCharType="separate"/>
          </w:r>
          <w:r>
            <w:t>3</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"_Toc40014709" </w:instrText>
          </w:r>
          <w:r>
            <w:fldChar w:fldCharType="separate"/>
          </w:r>
          <w:r>
            <w:rPr>
              <w:rStyle w:val="14"/>
              <w:rFonts w:cs="Times New Roman"/>
            </w:rPr>
            <w:t>2.3 Customer insights</w:t>
          </w:r>
          <w:r>
            <w:tab/>
          </w:r>
          <w:r>
            <w:fldChar w:fldCharType="begin"/>
          </w:r>
          <w:r>
            <w:instrText xml:space="preserve"> PAGEREF _Toc40014709 \h </w:instrText>
          </w:r>
          <w:r>
            <w:fldChar w:fldCharType="separate"/>
          </w:r>
          <w:r>
            <w:t>5</w:t>
          </w:r>
          <w:r>
            <w:fldChar w:fldCharType="end"/>
          </w:r>
          <w:r>
            <w:fldChar w:fldCharType="end"/>
          </w:r>
        </w:p>
        <w:p>
          <w:pPr>
            <w:pStyle w:val="8"/>
            <w:tabs>
              <w:tab w:val="right" w:leader="dot" w:pos="9350"/>
            </w:tabs>
            <w:rPr>
              <w:rFonts w:asciiTheme="minorHAnsi" w:hAnsiTheme="minorHAnsi" w:eastAsiaTheme="minorEastAsia"/>
              <w:sz w:val="22"/>
              <w:lang w:eastAsia="zh-CN"/>
            </w:rPr>
          </w:pPr>
          <w:r>
            <w:fldChar w:fldCharType="begin"/>
          </w:r>
          <w:r>
            <w:instrText xml:space="preserve"> HYPERLINK \l "_Toc40014710" </w:instrText>
          </w:r>
          <w:r>
            <w:fldChar w:fldCharType="separate"/>
          </w:r>
          <w:r>
            <w:rPr>
              <w:rStyle w:val="14"/>
              <w:rFonts w:cs="Times New Roman"/>
            </w:rPr>
            <w:t>3.0 Objectives</w:t>
          </w:r>
          <w:r>
            <w:tab/>
          </w:r>
          <w:r>
            <w:fldChar w:fldCharType="begin"/>
          </w:r>
          <w:r>
            <w:instrText xml:space="preserve"> PAGEREF _Toc40014710 \h </w:instrText>
          </w:r>
          <w:r>
            <w:fldChar w:fldCharType="separate"/>
          </w:r>
          <w:r>
            <w:t>6</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"_Toc40014711" </w:instrText>
          </w:r>
          <w:r>
            <w:fldChar w:fldCharType="separate"/>
          </w:r>
          <w:r>
            <w:rPr>
              <w:rStyle w:val="14"/>
              <w:rFonts w:cs="Times New Roman"/>
            </w:rPr>
            <w:t>3.1 Sell – customer acquisition</w:t>
          </w:r>
          <w:r>
            <w:tab/>
          </w:r>
          <w:r>
            <w:fldChar w:fldCharType="begin"/>
          </w:r>
          <w:r>
            <w:instrText xml:space="preserve"> PAGEREF _Toc40014711 \h </w:instrText>
          </w:r>
          <w:r>
            <w:fldChar w:fldCharType="separate"/>
          </w:r>
          <w:r>
            <w:t>6</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"_Toc40014712" </w:instrText>
          </w:r>
          <w:r>
            <w:fldChar w:fldCharType="separate"/>
          </w:r>
          <w:r>
            <w:rPr>
              <w:rStyle w:val="14"/>
              <w:rFonts w:cs="Times New Roman"/>
            </w:rPr>
            <w:t>3.2 Serve – Customer satisfaction</w:t>
          </w:r>
          <w:r>
            <w:tab/>
          </w:r>
          <w:r>
            <w:fldChar w:fldCharType="begin"/>
          </w:r>
          <w:r>
            <w:instrText xml:space="preserve"> PAGEREF _Toc40014712 \h </w:instrText>
          </w:r>
          <w:r>
            <w:fldChar w:fldCharType="separate"/>
          </w:r>
          <w:r>
            <w:t>6</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"_Toc40014713" </w:instrText>
          </w:r>
          <w:r>
            <w:fldChar w:fldCharType="separate"/>
          </w:r>
          <w:r>
            <w:rPr>
              <w:rStyle w:val="14"/>
              <w:rFonts w:cs="Times New Roman"/>
            </w:rPr>
            <w:t>3.3 Sizzle – The wow factor</w:t>
          </w:r>
          <w:r>
            <w:tab/>
          </w:r>
          <w:r>
            <w:fldChar w:fldCharType="begin"/>
          </w:r>
          <w:r>
            <w:instrText xml:space="preserve"> PAGEREF _Toc40014713 \h </w:instrText>
          </w:r>
          <w:r>
            <w:fldChar w:fldCharType="separate"/>
          </w:r>
          <w:r>
            <w:t>6</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"_Toc40014714" </w:instrText>
          </w:r>
          <w:r>
            <w:fldChar w:fldCharType="separate"/>
          </w:r>
          <w:r>
            <w:rPr>
              <w:rStyle w:val="14"/>
              <w:rFonts w:cs="Times New Roman"/>
            </w:rPr>
            <w:t>3.4 Speak – Engaging customers</w:t>
          </w:r>
          <w:r>
            <w:tab/>
          </w:r>
          <w:r>
            <w:fldChar w:fldCharType="begin"/>
          </w:r>
          <w:r>
            <w:instrText xml:space="preserve"> PAGEREF _Toc40014714 \h </w:instrText>
          </w:r>
          <w:r>
            <w:fldChar w:fldCharType="separate"/>
          </w:r>
          <w:r>
            <w:t>6</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"_Toc40014715" </w:instrText>
          </w:r>
          <w:r>
            <w:fldChar w:fldCharType="separate"/>
          </w:r>
          <w:r>
            <w:rPr>
              <w:rStyle w:val="14"/>
              <w:rFonts w:cs="Times New Roman"/>
            </w:rPr>
            <w:t>3.5 Save – Cost effective</w:t>
          </w:r>
          <w:r>
            <w:tab/>
          </w:r>
          <w:r>
            <w:fldChar w:fldCharType="begin"/>
          </w:r>
          <w:r>
            <w:instrText xml:space="preserve"> PAGEREF _Toc40014715 \h </w:instrText>
          </w:r>
          <w:r>
            <w:fldChar w:fldCharType="separate"/>
          </w:r>
          <w:r>
            <w:t>6</w:t>
          </w:r>
          <w:r>
            <w:fldChar w:fldCharType="end"/>
          </w:r>
          <w:r>
            <w:fldChar w:fldCharType="end"/>
          </w:r>
        </w:p>
        <w:p>
          <w:pPr>
            <w:pStyle w:val="8"/>
            <w:tabs>
              <w:tab w:val="right" w:leader="dot" w:pos="9350"/>
            </w:tabs>
            <w:rPr>
              <w:rFonts w:asciiTheme="minorHAnsi" w:hAnsiTheme="minorHAnsi" w:eastAsiaTheme="minorEastAsia"/>
              <w:sz w:val="22"/>
              <w:lang w:eastAsia="zh-CN"/>
            </w:rPr>
          </w:pPr>
          <w:r>
            <w:fldChar w:fldCharType="begin"/>
          </w:r>
          <w:r>
            <w:instrText xml:space="preserve"> HYPERLINK \l "_Toc40014716" </w:instrText>
          </w:r>
          <w:r>
            <w:fldChar w:fldCharType="separate"/>
          </w:r>
          <w:r>
            <w:rPr>
              <w:rStyle w:val="14"/>
              <w:rFonts w:cs="Times New Roman"/>
            </w:rPr>
            <w:t>4.0 Strategy</w:t>
          </w:r>
          <w:r>
            <w:tab/>
          </w:r>
          <w:r>
            <w:fldChar w:fldCharType="begin"/>
          </w:r>
          <w:r>
            <w:instrText xml:space="preserve"> PAGEREF _Toc40014716 \h </w:instrText>
          </w:r>
          <w:r>
            <w:fldChar w:fldCharType="separate"/>
          </w:r>
          <w:r>
            <w:t>7</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"_Toc40014717" </w:instrText>
          </w:r>
          <w:r>
            <w:fldChar w:fldCharType="separate"/>
          </w:r>
          <w:r>
            <w:rPr>
              <w:rStyle w:val="14"/>
              <w:rFonts w:cs="Times New Roman"/>
            </w:rPr>
            <w:t>4.1 Segments</w:t>
          </w:r>
          <w:r>
            <w:tab/>
          </w:r>
          <w:r>
            <w:fldChar w:fldCharType="begin"/>
          </w:r>
          <w:r>
            <w:instrText xml:space="preserve"> PAGEREF _Toc40014717 \h </w:instrText>
          </w:r>
          <w:r>
            <w:fldChar w:fldCharType="separate"/>
          </w:r>
          <w:r>
            <w:t>7</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"_Toc40014718" </w:instrText>
          </w:r>
          <w:r>
            <w:fldChar w:fldCharType="separate"/>
          </w:r>
          <w:r>
            <w:rPr>
              <w:rStyle w:val="14"/>
              <w:rFonts w:cs="Times New Roman"/>
            </w:rPr>
            <w:t>4.2 Target markets</w:t>
          </w:r>
          <w:r>
            <w:tab/>
          </w:r>
          <w:r>
            <w:fldChar w:fldCharType="begin"/>
          </w:r>
          <w:r>
            <w:instrText xml:space="preserve"> PAGEREF _Toc40014718 \h </w:instrText>
          </w:r>
          <w:r>
            <w:fldChar w:fldCharType="separate"/>
          </w:r>
          <w:r>
            <w:t>7</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"_Toc40014719" </w:instrText>
          </w:r>
          <w:r>
            <w:fldChar w:fldCharType="separate"/>
          </w:r>
          <w:r>
            <w:rPr>
              <w:rStyle w:val="14"/>
              <w:rFonts w:cs="Times New Roman"/>
            </w:rPr>
            <w:t>4.3 Objectives</w:t>
          </w:r>
          <w:r>
            <w:tab/>
          </w:r>
          <w:r>
            <w:fldChar w:fldCharType="begin"/>
          </w:r>
          <w:r>
            <w:instrText xml:space="preserve"> PAGEREF _Toc40014719 \h </w:instrText>
          </w:r>
          <w:r>
            <w:fldChar w:fldCharType="separate"/>
          </w:r>
          <w:r>
            <w:t>8</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"_Toc40014720" </w:instrText>
          </w:r>
          <w:r>
            <w:fldChar w:fldCharType="separate"/>
          </w:r>
          <w:r>
            <w:rPr>
              <w:rStyle w:val="14"/>
              <w:rFonts w:cs="Times New Roman"/>
            </w:rPr>
            <w:t>4.4 Positioning</w:t>
          </w:r>
          <w:r>
            <w:tab/>
          </w:r>
          <w:r>
            <w:fldChar w:fldCharType="begin"/>
          </w:r>
          <w:r>
            <w:instrText xml:space="preserve"> PAGEREF _Toc40014720 \h </w:instrText>
          </w:r>
          <w:r>
            <w:fldChar w:fldCharType="separate"/>
          </w:r>
          <w:r>
            <w:t>8</w:t>
          </w:r>
          <w:r>
            <w:fldChar w:fldCharType="end"/>
          </w:r>
          <w:r>
            <w:fldChar w:fldCharType="end"/>
          </w:r>
        </w:p>
        <w:p>
          <w:pPr>
            <w:pStyle w:val="8"/>
            <w:tabs>
              <w:tab w:val="right" w:leader="dot" w:pos="9350"/>
            </w:tabs>
            <w:rPr>
              <w:rFonts w:asciiTheme="minorHAnsi" w:hAnsiTheme="minorHAnsi" w:eastAsiaTheme="minorEastAsia"/>
              <w:sz w:val="22"/>
              <w:lang w:eastAsia="zh-CN"/>
            </w:rPr>
          </w:pPr>
          <w:r>
            <w:fldChar w:fldCharType="begin"/>
          </w:r>
          <w:r>
            <w:instrText xml:space="preserve"> HYPERLINK \l "_Toc40014721" </w:instrText>
          </w:r>
          <w:r>
            <w:fldChar w:fldCharType="separate"/>
          </w:r>
          <w:r>
            <w:rPr>
              <w:rStyle w:val="14"/>
              <w:rFonts w:cs="Times New Roman"/>
            </w:rPr>
            <w:t>5.0 Tactics</w:t>
          </w:r>
          <w:r>
            <w:tab/>
          </w:r>
          <w:r>
            <w:fldChar w:fldCharType="begin"/>
          </w:r>
          <w:r>
            <w:instrText xml:space="preserve"> PAGEREF _Toc40014721 \h </w:instrText>
          </w:r>
          <w:r>
            <w:fldChar w:fldCharType="separate"/>
          </w:r>
          <w:r>
            <w:t>9</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"_Toc40014722" </w:instrText>
          </w:r>
          <w:r>
            <w:fldChar w:fldCharType="separate"/>
          </w:r>
          <w:r>
            <w:rPr>
              <w:rStyle w:val="14"/>
              <w:rFonts w:cs="Times New Roman"/>
            </w:rPr>
            <w:t>5.1 Marketing mix</w:t>
          </w:r>
          <w:r>
            <w:tab/>
          </w:r>
          <w:r>
            <w:fldChar w:fldCharType="begin"/>
          </w:r>
          <w:r>
            <w:instrText xml:space="preserve"> PAGEREF _Toc40014722 \h </w:instrText>
          </w:r>
          <w:r>
            <w:fldChar w:fldCharType="separate"/>
          </w:r>
          <w:r>
            <w:t>9</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"_Toc40014723" </w:instrText>
          </w:r>
          <w:r>
            <w:fldChar w:fldCharType="separate"/>
          </w:r>
          <w:r>
            <w:rPr>
              <w:rStyle w:val="14"/>
              <w:rFonts w:cs="Times New Roman"/>
            </w:rPr>
            <w:t>5.2 Content/contact plan</w:t>
          </w:r>
          <w:r>
            <w:tab/>
          </w:r>
          <w:r>
            <w:fldChar w:fldCharType="begin"/>
          </w:r>
          <w:r>
            <w:instrText xml:space="preserve"> PAGEREF _Toc40014723 \h </w:instrText>
          </w:r>
          <w:r>
            <w:fldChar w:fldCharType="separate"/>
          </w:r>
          <w:r>
            <w:t>10</w:t>
          </w:r>
          <w:r>
            <w:fldChar w:fldCharType="end"/>
          </w:r>
          <w:r>
            <w:fldChar w:fldCharType="end"/>
          </w:r>
        </w:p>
        <w:p>
          <w:pPr>
            <w:pStyle w:val="8"/>
            <w:tabs>
              <w:tab w:val="right" w:leader="dot" w:pos="9350"/>
            </w:tabs>
            <w:rPr>
              <w:rFonts w:asciiTheme="minorHAnsi" w:hAnsiTheme="minorHAnsi" w:eastAsiaTheme="minorEastAsia"/>
              <w:sz w:val="22"/>
              <w:lang w:eastAsia="zh-CN"/>
            </w:rPr>
          </w:pPr>
          <w:r>
            <w:fldChar w:fldCharType="begin"/>
          </w:r>
          <w:r>
            <w:instrText xml:space="preserve"> HYPERLINK \l "_Toc40014724" </w:instrText>
          </w:r>
          <w:r>
            <w:fldChar w:fldCharType="separate"/>
          </w:r>
          <w:r>
            <w:rPr>
              <w:rStyle w:val="14"/>
              <w:rFonts w:cs="Times New Roman"/>
            </w:rPr>
            <w:t>6.0 Actions</w:t>
          </w:r>
          <w:r>
            <w:tab/>
          </w:r>
          <w:r>
            <w:fldChar w:fldCharType="begin"/>
          </w:r>
          <w:r>
            <w:instrText xml:space="preserve"> PAGEREF _Toc40014724 \h </w:instrText>
          </w:r>
          <w:r>
            <w:fldChar w:fldCharType="separate"/>
          </w:r>
          <w:r>
            <w:t>11</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"_Toc40014725" </w:instrText>
          </w:r>
          <w:r>
            <w:fldChar w:fldCharType="separate"/>
          </w:r>
          <w:r>
            <w:rPr>
              <w:rStyle w:val="14"/>
              <w:rFonts w:cs="Times New Roman"/>
            </w:rPr>
            <w:t>6.1 Responsibilities and structures</w:t>
          </w:r>
          <w:r>
            <w:tab/>
          </w:r>
          <w:r>
            <w:fldChar w:fldCharType="begin"/>
          </w:r>
          <w:r>
            <w:instrText xml:space="preserve"> PAGEREF _Toc40014725 \h </w:instrText>
          </w:r>
          <w:r>
            <w:fldChar w:fldCharType="separate"/>
          </w:r>
          <w:r>
            <w:t>11</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"_Toc40014726" </w:instrText>
          </w:r>
          <w:r>
            <w:fldChar w:fldCharType="separate"/>
          </w:r>
          <w:r>
            <w:rPr>
              <w:rStyle w:val="14"/>
              <w:rFonts w:cs="Times New Roman"/>
            </w:rPr>
            <w:t>6.2 Processes and systems</w:t>
          </w:r>
          <w:r>
            <w:tab/>
          </w:r>
          <w:r>
            <w:fldChar w:fldCharType="begin"/>
          </w:r>
          <w:r>
            <w:instrText xml:space="preserve"> PAGEREF _Toc40014726 \h </w:instrText>
          </w:r>
          <w:r>
            <w:fldChar w:fldCharType="separate"/>
          </w:r>
          <w:r>
            <w:t>11</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"_Toc40014727" </w:instrText>
          </w:r>
          <w:r>
            <w:fldChar w:fldCharType="separate"/>
          </w:r>
          <w:r>
            <w:rPr>
              <w:rStyle w:val="14"/>
              <w:rFonts w:cs="Times New Roman"/>
            </w:rPr>
            <w:t>6.3 Internal resources and skills</w:t>
          </w:r>
          <w:r>
            <w:tab/>
          </w:r>
          <w:r>
            <w:fldChar w:fldCharType="begin"/>
          </w:r>
          <w:r>
            <w:instrText xml:space="preserve"> PAGEREF _Toc40014727 \h </w:instrText>
          </w:r>
          <w:r>
            <w:fldChar w:fldCharType="separate"/>
          </w:r>
          <w:r>
            <w:t>12</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"_Toc40014728" </w:instrText>
          </w:r>
          <w:r>
            <w:fldChar w:fldCharType="separate"/>
          </w:r>
          <w:r>
            <w:rPr>
              <w:rStyle w:val="14"/>
              <w:rFonts w:cs="Times New Roman"/>
            </w:rPr>
            <w:t>6.4 External agencies</w:t>
          </w:r>
          <w:r>
            <w:tab/>
          </w:r>
          <w:r>
            <w:fldChar w:fldCharType="begin"/>
          </w:r>
          <w:r>
            <w:instrText xml:space="preserve"> PAGEREF _Toc40014728 \h </w:instrText>
          </w:r>
          <w:r>
            <w:fldChar w:fldCharType="separate"/>
          </w:r>
          <w:r>
            <w:t>12</w:t>
          </w:r>
          <w:r>
            <w:fldChar w:fldCharType="end"/>
          </w:r>
          <w:r>
            <w:fldChar w:fldCharType="end"/>
          </w:r>
        </w:p>
        <w:p>
          <w:pPr>
            <w:pStyle w:val="8"/>
            <w:tabs>
              <w:tab w:val="right" w:leader="dot" w:pos="9350"/>
            </w:tabs>
            <w:rPr>
              <w:rFonts w:asciiTheme="minorHAnsi" w:hAnsiTheme="minorHAnsi" w:eastAsiaTheme="minorEastAsia"/>
              <w:sz w:val="22"/>
              <w:lang w:eastAsia="zh-CN"/>
            </w:rPr>
          </w:pPr>
          <w:r>
            <w:fldChar w:fldCharType="begin"/>
          </w:r>
          <w:r>
            <w:instrText xml:space="preserve"> HYPERLINK \l "_Toc40014729" </w:instrText>
          </w:r>
          <w:r>
            <w:fldChar w:fldCharType="separate"/>
          </w:r>
          <w:r>
            <w:rPr>
              <w:rStyle w:val="14"/>
              <w:rFonts w:cs="Times New Roman"/>
            </w:rPr>
            <w:t>7.0 Control</w:t>
          </w:r>
          <w:r>
            <w:tab/>
          </w:r>
          <w:r>
            <w:fldChar w:fldCharType="begin"/>
          </w:r>
          <w:r>
            <w:instrText xml:space="preserve"> PAGEREF _Toc40014729 \h </w:instrText>
          </w:r>
          <w:r>
            <w:fldChar w:fldCharType="separate"/>
          </w:r>
          <w:r>
            <w:t>12</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"_Toc40014730" </w:instrText>
          </w:r>
          <w:r>
            <w:fldChar w:fldCharType="separate"/>
          </w:r>
          <w:r>
            <w:rPr>
              <w:rStyle w:val="14"/>
              <w:rFonts w:cs="Times New Roman"/>
            </w:rPr>
            <w:t>7.1 KPIs (key performance indicators)</w:t>
          </w:r>
          <w:r>
            <w:tab/>
          </w:r>
          <w:r>
            <w:fldChar w:fldCharType="begin"/>
          </w:r>
          <w:r>
            <w:instrText xml:space="preserve"> PAGEREF _Toc40014730 \h </w:instrText>
          </w:r>
          <w:r>
            <w:fldChar w:fldCharType="separate"/>
          </w:r>
          <w:r>
            <w:t>12</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"_Toc40014731" </w:instrText>
          </w:r>
          <w:r>
            <w:fldChar w:fldCharType="separate"/>
          </w:r>
          <w:r>
            <w:rPr>
              <w:rStyle w:val="14"/>
              <w:rFonts w:cs="Times New Roman"/>
            </w:rPr>
            <w:t>7.2 Web analytics</w:t>
          </w:r>
          <w:r>
            <w:tab/>
          </w:r>
          <w:r>
            <w:fldChar w:fldCharType="begin"/>
          </w:r>
          <w:r>
            <w:instrText xml:space="preserve"> PAGEREF _Toc40014731 \h </w:instrText>
          </w:r>
          <w:r>
            <w:fldChar w:fldCharType="separate"/>
          </w:r>
          <w:r>
            <w:t>13</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"_Toc40014732" </w:instrText>
          </w:r>
          <w:r>
            <w:fldChar w:fldCharType="separate"/>
          </w:r>
          <w:r>
            <w:rPr>
              <w:rStyle w:val="14"/>
              <w:rFonts w:cs="Times New Roman"/>
            </w:rPr>
            <w:t>7.3 User experience reviews</w:t>
          </w:r>
          <w:r>
            <w:tab/>
          </w:r>
          <w:r>
            <w:fldChar w:fldCharType="begin"/>
          </w:r>
          <w:r>
            <w:instrText xml:space="preserve"> PAGEREF _Toc40014732 \h </w:instrText>
          </w:r>
          <w:r>
            <w:fldChar w:fldCharType="separate"/>
          </w:r>
          <w:r>
            <w:t>13</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"_Toc40014733" </w:instrText>
          </w:r>
          <w:r>
            <w:fldChar w:fldCharType="separate"/>
          </w:r>
          <w:r>
            <w:rPr>
              <w:rStyle w:val="14"/>
              <w:rFonts w:cs="Times New Roman"/>
            </w:rPr>
            <w:t>7.4 Conversion rates</w:t>
          </w:r>
          <w:r>
            <w:tab/>
          </w:r>
          <w:r>
            <w:fldChar w:fldCharType="begin"/>
          </w:r>
          <w:r>
            <w:instrText xml:space="preserve"> PAGEREF _Toc40014733 \h </w:instrText>
          </w:r>
          <w:r>
            <w:fldChar w:fldCharType="separate"/>
          </w:r>
          <w:r>
            <w:t>13</w:t>
          </w:r>
          <w:r>
            <w:fldChar w:fldCharType="end"/>
          </w:r>
          <w:r>
            <w:fldChar w:fldCharType="end"/>
          </w:r>
        </w:p>
        <w:p>
          <w:pPr>
            <w:pStyle w:val="9"/>
            <w:tabs>
              <w:tab w:val="right" w:leader="dot" w:pos="9350"/>
            </w:tabs>
            <w:rPr>
              <w:rFonts w:asciiTheme="minorHAnsi" w:hAnsiTheme="minorHAnsi" w:eastAsiaTheme="minorEastAsia"/>
              <w:sz w:val="22"/>
              <w:lang w:eastAsia="zh-CN"/>
            </w:rPr>
          </w:pPr>
          <w:r>
            <w:fldChar w:fldCharType="begin"/>
          </w:r>
          <w:r>
            <w:instrText xml:space="preserve"> HYPERLINK \l "_Toc40014734" </w:instrText>
          </w:r>
          <w:r>
            <w:fldChar w:fldCharType="separate"/>
          </w:r>
          <w:r>
            <w:rPr>
              <w:rStyle w:val="14"/>
              <w:rFonts w:cs="Times New Roman"/>
            </w:rPr>
            <w:t>7.5 Reporting</w:t>
          </w:r>
          <w:r>
            <w:tab/>
          </w:r>
          <w:r>
            <w:fldChar w:fldCharType="begin"/>
          </w:r>
          <w:r>
            <w:instrText xml:space="preserve"> PAGEREF _Toc40014734 \h </w:instrText>
          </w:r>
          <w:r>
            <w:fldChar w:fldCharType="separate"/>
          </w:r>
          <w:r>
            <w:t>13</w:t>
          </w:r>
          <w:r>
            <w:fldChar w:fldCharType="end"/>
          </w:r>
          <w:r>
            <w:fldChar w:fldCharType="end"/>
          </w:r>
        </w:p>
        <w:p>
          <w:pPr>
            <w:pStyle w:val="8"/>
            <w:tabs>
              <w:tab w:val="right" w:leader="dot" w:pos="9350"/>
            </w:tabs>
            <w:rPr>
              <w:rFonts w:asciiTheme="minorHAnsi" w:hAnsiTheme="minorHAnsi" w:eastAsiaTheme="minorEastAsia"/>
              <w:sz w:val="22"/>
              <w:lang w:eastAsia="zh-CN"/>
            </w:rPr>
          </w:pPr>
          <w:r>
            <w:fldChar w:fldCharType="begin"/>
          </w:r>
          <w:r>
            <w:instrText xml:space="preserve"> HYPERLINK \l "_Toc40014735" </w:instrText>
          </w:r>
          <w:r>
            <w:fldChar w:fldCharType="separate"/>
          </w:r>
          <w:r>
            <w:rPr>
              <w:rStyle w:val="14"/>
              <w:rFonts w:cs="Times New Roman"/>
            </w:rPr>
            <w:t>8.0 Conclusion</w:t>
          </w:r>
          <w:r>
            <w:tab/>
          </w:r>
          <w:r>
            <w:fldChar w:fldCharType="begin"/>
          </w:r>
          <w:r>
            <w:instrText xml:space="preserve"> PAGEREF _Toc40014735 \h </w:instrText>
          </w:r>
          <w:r>
            <w:fldChar w:fldCharType="separate"/>
          </w:r>
          <w:r>
            <w:t>14</w:t>
          </w:r>
          <w:r>
            <w:fldChar w:fldCharType="end"/>
          </w:r>
          <w:r>
            <w:fldChar w:fldCharType="end"/>
          </w:r>
        </w:p>
        <w:p>
          <w:pPr>
            <w:pStyle w:val="8"/>
            <w:tabs>
              <w:tab w:val="right" w:leader="dot" w:pos="9350"/>
            </w:tabs>
            <w:rPr>
              <w:rFonts w:asciiTheme="minorHAnsi" w:hAnsiTheme="minorHAnsi" w:eastAsiaTheme="minorEastAsia"/>
              <w:sz w:val="22"/>
              <w:lang w:eastAsia="zh-CN"/>
            </w:rPr>
          </w:pPr>
          <w:r>
            <w:fldChar w:fldCharType="begin"/>
          </w:r>
          <w:r>
            <w:instrText xml:space="preserve"> HYPERLINK \l "_Toc40014736" </w:instrText>
          </w:r>
          <w:r>
            <w:fldChar w:fldCharType="separate"/>
          </w:r>
          <w:r>
            <w:rPr>
              <w:rStyle w:val="14"/>
              <w:rFonts w:cs="Times New Roman"/>
            </w:rPr>
            <w:t>9.0 Recommendations</w:t>
          </w:r>
          <w:r>
            <w:tab/>
          </w:r>
          <w:r>
            <w:fldChar w:fldCharType="begin"/>
          </w:r>
          <w:r>
            <w:instrText xml:space="preserve"> PAGEREF _Toc40014736 \h </w:instrText>
          </w:r>
          <w:r>
            <w:fldChar w:fldCharType="separate"/>
          </w:r>
          <w:r>
            <w:t>14</w:t>
          </w:r>
          <w:r>
            <w:fldChar w:fldCharType="end"/>
          </w:r>
          <w:r>
            <w:fldChar w:fldCharType="end"/>
          </w:r>
        </w:p>
        <w:p>
          <w:pPr>
            <w:pStyle w:val="8"/>
            <w:tabs>
              <w:tab w:val="right" w:leader="dot" w:pos="9350"/>
            </w:tabs>
            <w:rPr>
              <w:rFonts w:asciiTheme="minorHAnsi" w:hAnsiTheme="minorHAnsi" w:eastAsiaTheme="minorEastAsia"/>
              <w:sz w:val="22"/>
              <w:lang w:eastAsia="zh-CN"/>
            </w:rPr>
          </w:pPr>
          <w:r>
            <w:fldChar w:fldCharType="begin"/>
          </w:r>
          <w:r>
            <w:instrText xml:space="preserve"> HYPERLINK \l "_Toc40014737" </w:instrText>
          </w:r>
          <w:r>
            <w:fldChar w:fldCharType="separate"/>
          </w:r>
          <w:r>
            <w:rPr>
              <w:rStyle w:val="14"/>
              <w:rFonts w:cs="Times New Roman"/>
            </w:rPr>
            <w:t>References</w:t>
          </w:r>
          <w:r>
            <w:tab/>
          </w:r>
          <w:r>
            <w:fldChar w:fldCharType="begin"/>
          </w:r>
          <w:r>
            <w:instrText xml:space="preserve"> PAGEREF _Toc40014737 \h </w:instrText>
          </w:r>
          <w:r>
            <w:fldChar w:fldCharType="separate"/>
          </w:r>
          <w:r>
            <w:t>15</w:t>
          </w:r>
          <w:r>
            <w:fldChar w:fldCharType="end"/>
          </w:r>
          <w:r>
            <w:fldChar w:fldCharType="end"/>
          </w:r>
        </w:p>
        <w:p>
          <w:pPr>
            <w:rPr>
              <w:rFonts w:cs="Times New Roman"/>
              <w:szCs w:val="24"/>
            </w:rPr>
          </w:pPr>
          <w:r>
            <w:rPr>
              <w:rFonts w:cs="Times New Roman"/>
              <w:szCs w:val="24"/>
            </w:rPr>
            <w:fldChar w:fldCharType="end"/>
          </w:r>
        </w:p>
      </w:sdtContent>
    </w:sdt>
    <w:p>
      <w:pPr>
        <w:rPr>
          <w:rFonts w:cs="Times New Roman"/>
          <w:b/>
          <w:szCs w:val="24"/>
        </w:rPr>
        <w:sectPr>
          <w:pgSz w:w="12240" w:h="15840"/>
          <w:pgMar w:top="1440" w:right="1440" w:bottom="1440" w:left="1440" w:header="720" w:footer="720" w:gutter="0"/>
          <w:cols w:space="720" w:num="1"/>
          <w:docGrid w:linePitch="360" w:charSpace="0"/>
        </w:sectPr>
      </w:pPr>
    </w:p>
    <w:p>
      <w:pPr>
        <w:rPr>
          <w:rFonts w:cs="Times New Roman"/>
          <w:b/>
          <w:szCs w:val="24"/>
        </w:rPr>
      </w:pPr>
      <w:r>
        <w:rPr>
          <w:rFonts w:cs="Times New Roman"/>
          <w:b/>
          <w:szCs w:val="24"/>
        </w:rPr>
        <w:t>Executive Summary</w:t>
      </w:r>
    </w:p>
    <w:p>
      <w:r>
        <w:rPr>
          <w:rFonts w:eastAsia="Segoe UI" w:cs="Times New Roman"/>
          <w:szCs w:val="24"/>
          <w:shd w:val="clear" w:color="auto" w:fill="FFFFFF"/>
        </w:rPr>
        <w:t xml:space="preserve">This report </w:t>
      </w:r>
      <w:r>
        <w:rPr>
          <w:rFonts w:hint="eastAsia" w:cs="Times New Roman"/>
          <w:szCs w:val="24"/>
          <w:shd w:val="clear" w:color="auto" w:fill="FFFFFF"/>
          <w:lang w:val="en-US" w:eastAsia="zh-CN"/>
        </w:rPr>
        <w:t>describes</w:t>
      </w:r>
      <w:r>
        <w:rPr>
          <w:rFonts w:eastAsia="Segoe UI" w:cs="Times New Roman"/>
          <w:szCs w:val="24"/>
          <w:shd w:val="clear" w:color="auto" w:fill="FFFFFF"/>
        </w:rPr>
        <w:t xml:space="preserve"> Volkswagen Company’s marketing plan for  the UK market. In general, the company’s strength derives from its multinational status and the fact that it has mastered significant market loyalty owing to its existence for more than 80 years. However, the company’s main weaknesses include high numbers of market recalls of its models and unethical scandal over the emission standards of its models. Opportunities in the UK market include the necessity for environmentally friendly vehicles owing to environmental concerns among customers. There is an equally growing demand for autonomous cars, which VW can exploit through integrating technology into its operations. Threats posed by the market arise from stiff competition from rivals and the looming ban on petrol and diesel vehicles in the UK by 2035. Customer insights point to </w:t>
      </w:r>
      <w:r>
        <w:rPr>
          <w:rFonts w:cs="Times New Roman"/>
          <w:szCs w:val="24"/>
        </w:rPr>
        <w:t>UK consumers becoming more positive and embracing the safety levels that self-driving vehicles guarantee them, while fewer UK consumers, at only 27 percent proportion, favour electrified over contemporary vehicles. Equally, a significant number of UK consumers spend very little time of less than a month reviewing the choices of vehicles they wish to purchase before eventually engaging in the actual purchase. VW should segment the UK market on the three aspects of behaviour, demography, and geography. The company should target youthful consumers between 35 and 49, target both urban and rural market locations in the UK. The firm should also position itself as a high-level technology firm keen on presenting affordable products in the market. VW should pursue continuous research and development (R&amp;D) to ensure it continuously produces high-tech vehicles for its targeted market. Regarding pricing, the company should implement competitive pricing to achieve lower pricing for its vehicle models. The company should use its showrooms across the UK as the appropriate place for selling its vehicles. At the same time, the company’s promotion should involve electronic, print, and outdoor advertising to reach a broader, targeted audience.</w:t>
      </w:r>
    </w:p>
    <w:p>
      <w:pPr>
        <w:rPr>
          <w:rFonts w:cs="Times New Roman"/>
          <w:szCs w:val="24"/>
        </w:rPr>
      </w:pPr>
    </w:p>
    <w:p>
      <w:pPr>
        <w:pStyle w:val="2"/>
        <w:spacing w:before="0" w:after="120"/>
        <w:rPr>
          <w:rFonts w:ascii="Times New Roman" w:hAnsi="Times New Roman" w:cs="Times New Roman"/>
          <w:color w:val="auto"/>
          <w:sz w:val="24"/>
          <w:szCs w:val="24"/>
        </w:rPr>
        <w:sectPr>
          <w:footerReference r:id="rId4" w:type="default"/>
          <w:pgSz w:w="12240" w:h="15840"/>
          <w:pgMar w:top="1440" w:right="1440" w:bottom="1440" w:left="1440" w:header="720" w:footer="720" w:gutter="0"/>
          <w:pgNumType w:start="1"/>
          <w:cols w:space="720" w:num="1"/>
          <w:docGrid w:linePitch="360" w:charSpace="0"/>
        </w:sectPr>
      </w:pPr>
    </w:p>
    <w:p>
      <w:pPr>
        <w:pStyle w:val="2"/>
        <w:spacing w:before="0" w:after="120"/>
        <w:rPr>
          <w:rFonts w:ascii="Times New Roman" w:hAnsi="Times New Roman" w:cs="Times New Roman"/>
          <w:color w:val="auto"/>
          <w:sz w:val="24"/>
          <w:szCs w:val="24"/>
        </w:rPr>
      </w:pPr>
      <w:bookmarkStart w:id="0" w:name="_Toc40014703"/>
      <w:r>
        <w:rPr>
          <w:rFonts w:ascii="Times New Roman" w:hAnsi="Times New Roman" w:cs="Times New Roman"/>
          <w:color w:val="auto"/>
          <w:sz w:val="24"/>
          <w:szCs w:val="24"/>
        </w:rPr>
        <w:t>1.0 Introduction</w:t>
      </w:r>
      <w:bookmarkEnd w:id="0"/>
    </w:p>
    <w:p>
      <w:pPr>
        <w:pStyle w:val="3"/>
        <w:spacing w:before="0" w:after="120" w:line="360" w:lineRule="auto"/>
        <w:jc w:val="both"/>
        <w:rPr>
          <w:rFonts w:ascii="Times New Roman" w:hAnsi="Times New Roman" w:cs="Times New Roman"/>
          <w:color w:val="auto"/>
          <w:sz w:val="24"/>
          <w:szCs w:val="24"/>
        </w:rPr>
      </w:pPr>
      <w:bookmarkStart w:id="1" w:name="_Toc40014704"/>
      <w:r>
        <w:rPr>
          <w:rFonts w:ascii="Times New Roman" w:hAnsi="Times New Roman" w:cs="Times New Roman"/>
          <w:color w:val="auto"/>
          <w:sz w:val="24"/>
          <w:szCs w:val="24"/>
        </w:rPr>
        <w:t>1.1 Introduction to SOSTAC</w:t>
      </w:r>
      <w:bookmarkEnd w:id="1"/>
    </w:p>
    <w:p>
      <w:pPr>
        <w:rPr>
          <w:rFonts w:cs="Times New Roman"/>
          <w:szCs w:val="24"/>
        </w:rPr>
      </w:pPr>
      <w:r>
        <w:rPr>
          <w:rFonts w:cs="Times New Roman"/>
          <w:szCs w:val="24"/>
        </w:rPr>
        <w:t xml:space="preserve">SOSTAC constitutes a market planning model introduced by Smith (2015) for purposes of achieving an effective marketing plan process. Morgan et al. (2018) defined market planning as a process aimed at determining short-and-long-term business advertising and promotion while developing and checking related strategies. “SOSTAC” is itself an acronym with each letter representing actions expected of marketers when conducting marketing planning. Letter “S” stands for situational analysis, letter “O” for objectives, letter “S” for strategy, and the letter “T” for tactics. Other letters include “A” for actions and “C” for control. In this report, thus, the analysis shall be undertaken in all the six areas represented by the SOSTAC letters. </w:t>
      </w:r>
    </w:p>
    <w:p>
      <w:pPr>
        <w:pStyle w:val="3"/>
        <w:spacing w:before="0" w:after="120" w:line="360" w:lineRule="auto"/>
        <w:jc w:val="both"/>
        <w:rPr>
          <w:rFonts w:ascii="Times New Roman" w:hAnsi="Times New Roman" w:cs="Times New Roman"/>
          <w:color w:val="auto"/>
          <w:sz w:val="24"/>
          <w:szCs w:val="24"/>
        </w:rPr>
      </w:pPr>
      <w:bookmarkStart w:id="2" w:name="_Toc40014705"/>
      <w:r>
        <w:rPr>
          <w:rFonts w:ascii="Times New Roman" w:hAnsi="Times New Roman" w:cs="Times New Roman"/>
          <w:color w:val="auto"/>
          <w:sz w:val="24"/>
          <w:szCs w:val="24"/>
        </w:rPr>
        <w:t>1.2 Background of the organisation</w:t>
      </w:r>
      <w:bookmarkEnd w:id="2"/>
    </w:p>
    <w:p>
      <w:pPr>
        <w:rPr>
          <w:rFonts w:cs="Times New Roman"/>
          <w:szCs w:val="24"/>
        </w:rPr>
      </w:pPr>
      <w:r>
        <w:rPr>
          <w:rFonts w:cs="Times New Roman"/>
          <w:szCs w:val="24"/>
        </w:rPr>
        <w:t>Volkswagen’s history dates back to May 28</w:t>
      </w:r>
      <w:r>
        <w:rPr>
          <w:rFonts w:cs="Times New Roman"/>
          <w:szCs w:val="24"/>
          <w:vertAlign w:val="superscript"/>
        </w:rPr>
        <w:t>th</w:t>
      </w:r>
      <w:r>
        <w:rPr>
          <w:rFonts w:cs="Times New Roman"/>
          <w:szCs w:val="24"/>
        </w:rPr>
        <w:t xml:space="preserve"> 1937, when the German government then under Adolf Hitler formed a state-owned automobile company and named it as Gesellschaft zur Vorbereitung des Deutschen Volkswagens mbH (Volkswagen, 2020). The adoption of the more straightforward name “Volkswagenwerk” happened later towards the end of the year, whose meaning is “The People’s Car Company.” The headquarters of Volkswagen was in Wolfsburg, Germany. The company halted operations during the World War II period after the reduction of its production factory to ruins. It is only after the war that the Allies joined forces to resuscitate the company’s operations a new (</w:t>
      </w:r>
      <w:r>
        <w:rPr>
          <w:rFonts w:cs="Times New Roman"/>
          <w:bCs/>
          <w:szCs w:val="24"/>
        </w:rPr>
        <w:t>A&amp;E Television Networks, 2019)</w:t>
      </w:r>
      <w:r>
        <w:rPr>
          <w:rFonts w:cs="Times New Roman"/>
          <w:szCs w:val="24"/>
        </w:rPr>
        <w:t xml:space="preserve">. </w:t>
      </w:r>
    </w:p>
    <w:p>
      <w:pPr>
        <w:rPr>
          <w:rFonts w:cs="Times New Roman"/>
          <w:szCs w:val="24"/>
        </w:rPr>
      </w:pPr>
      <w:r>
        <w:rPr>
          <w:rFonts w:cs="Times New Roman"/>
          <w:szCs w:val="24"/>
        </w:rPr>
        <w:t>Volkswagen’s historic Nazi connection hindered its sales in America at a time when thoughts about World War II were still reminiscent. In 1959, however, Doyle Dane Bernbach advertising agency launched a milestone campaign, which dubbed VW’s car at the time the “Beetle,” as well as spinning its tiny size as a discrete advantage to consumers. These marketing efforts successfully transformed the VW into a top-selling auto over the next numerous years, particularly with regards to import into the United States market. The public was allowed ownership of the company, with the German government offloading 60 percent of its stock to the public in a move that effectively denationalized the company. Twelve years later, VW’s Beetle model exceeded Ford Motor Company’s longstanding production record between 1908 and 1927 that stood at 15 million vehicles for its renowned Model T</w:t>
      </w:r>
      <w:r>
        <w:rPr>
          <w:rFonts w:hint="eastAsia" w:cs="Times New Roman"/>
          <w:szCs w:val="24"/>
          <w:lang w:val="en-US" w:eastAsia="zh-CN"/>
        </w:rPr>
        <w:t>.</w:t>
      </w:r>
      <w:r>
        <w:rPr>
          <w:rFonts w:cs="Times New Roman"/>
          <w:szCs w:val="24"/>
        </w:rPr>
        <w:t xml:space="preserve"> (</w:t>
      </w:r>
      <w:r>
        <w:rPr>
          <w:rFonts w:cs="Times New Roman"/>
          <w:bCs/>
          <w:szCs w:val="24"/>
        </w:rPr>
        <w:t>A&amp;E Television Networks, 2019</w:t>
      </w:r>
      <w:r>
        <w:rPr>
          <w:rFonts w:cs="Times New Roman"/>
          <w:szCs w:val="24"/>
        </w:rPr>
        <w:t xml:space="preserve">).    </w:t>
      </w:r>
    </w:p>
    <w:p>
      <w:pPr>
        <w:rPr>
          <w:rFonts w:cs="Times New Roman"/>
          <w:szCs w:val="24"/>
        </w:rPr>
      </w:pPr>
      <w:r>
        <w:rPr>
          <w:rFonts w:cs="Times New Roman"/>
          <w:szCs w:val="24"/>
        </w:rPr>
        <w:t>In the 1970s, innovative as well as flexible manufacturing systems graced VW’s operations, resulting in the company producing new generation models, including the Passat, Golf, Polo, and Scirocco. The enhanced performance of the VW models continued through in the 1980s, integrating technological advances, forward-looking international cooperation, and flexible production to boost growth. Today, as the company embarks on globalisation, it has emerged among the leading world’s most booming volume car manufacturers, offering cutting-edge solutions for such future technological ideas as digitalisation and e-mobility (Volkswagen, 2020).</w:t>
      </w:r>
    </w:p>
    <w:p>
      <w:pPr>
        <w:pStyle w:val="2"/>
        <w:spacing w:before="0" w:after="120"/>
        <w:rPr>
          <w:rFonts w:ascii="Times New Roman" w:hAnsi="Times New Roman" w:cs="Times New Roman"/>
          <w:color w:val="auto"/>
          <w:sz w:val="24"/>
          <w:szCs w:val="24"/>
        </w:rPr>
      </w:pPr>
      <w:bookmarkStart w:id="3" w:name="_Toc40014706"/>
      <w:r>
        <w:rPr>
          <w:rFonts w:ascii="Times New Roman" w:hAnsi="Times New Roman" w:cs="Times New Roman"/>
          <w:color w:val="auto"/>
          <w:sz w:val="24"/>
          <w:szCs w:val="24"/>
        </w:rPr>
        <w:t>2.0 Situational Analysis</w:t>
      </w:r>
      <w:bookmarkEnd w:id="3"/>
    </w:p>
    <w:p>
      <w:pPr>
        <w:pStyle w:val="3"/>
        <w:spacing w:before="0" w:after="120" w:line="360" w:lineRule="auto"/>
        <w:jc w:val="both"/>
        <w:rPr>
          <w:rFonts w:ascii="Times New Roman" w:hAnsi="Times New Roman" w:cs="Times New Roman"/>
          <w:color w:val="auto"/>
          <w:sz w:val="24"/>
          <w:szCs w:val="24"/>
        </w:rPr>
      </w:pPr>
      <w:bookmarkStart w:id="4" w:name="_Toc40014707"/>
      <w:r>
        <w:rPr>
          <w:rFonts w:ascii="Times New Roman" w:hAnsi="Times New Roman" w:cs="Times New Roman"/>
          <w:color w:val="auto"/>
          <w:sz w:val="24"/>
          <w:szCs w:val="24"/>
        </w:rPr>
        <w:t>2.1 SWOT</w:t>
      </w:r>
      <w:bookmarkEnd w:id="4"/>
    </w:p>
    <w:p>
      <w:pPr>
        <w:rPr>
          <w:rFonts w:cs="Times New Roman"/>
          <w:szCs w:val="24"/>
        </w:rPr>
      </w:pPr>
      <w:r>
        <w:rPr>
          <w:rFonts w:cs="Times New Roman"/>
          <w:szCs w:val="24"/>
        </w:rPr>
        <w:t>The SWOT framework evaluates the four crucial aspects of the business environment, including the strengths, weaknesses, opportunities, and threats. While the strengths and weaknesses emerge internally from the organisation’s resources and capabilities, the opportunities and threats relate directly to the business environment (</w:t>
      </w:r>
      <w:r>
        <w:rPr>
          <w:rFonts w:cs="Times New Roman"/>
          <w:bCs/>
          <w:szCs w:val="24"/>
        </w:rPr>
        <w:t>Gürel, 2017)</w:t>
      </w:r>
      <w:r>
        <w:rPr>
          <w:rFonts w:cs="Times New Roman"/>
          <w:szCs w:val="24"/>
        </w:rPr>
        <w:t xml:space="preserve">. </w:t>
      </w:r>
    </w:p>
    <w:p>
      <w:pPr>
        <w:rPr>
          <w:rFonts w:ascii="Times New Roman" w:hAnsi="Times New Roman" w:cs="Times New Roman" w:eastAsiaTheme="majorEastAsia"/>
          <w:b/>
          <w:bCs/>
          <w:color w:val="auto"/>
          <w:sz w:val="24"/>
          <w:szCs w:val="24"/>
          <w:lang w:val="en-GB" w:eastAsia="en-US" w:bidi="ar-SA"/>
        </w:rPr>
      </w:pPr>
      <w:r>
        <w:rPr>
          <w:rFonts w:ascii="Times New Roman" w:hAnsi="Times New Roman" w:cs="Times New Roman" w:eastAsiaTheme="majorEastAsia"/>
          <w:b/>
          <w:bCs/>
          <w:color w:val="auto"/>
          <w:sz w:val="24"/>
          <w:szCs w:val="24"/>
          <w:lang w:val="en-GB" w:eastAsia="en-US" w:bidi="ar-SA"/>
        </w:rPr>
        <w:t>Strengths</w:t>
      </w:r>
    </w:p>
    <w:p>
      <w:pPr>
        <w:rPr>
          <w:rFonts w:cs="Times New Roman"/>
          <w:szCs w:val="24"/>
        </w:rPr>
      </w:pPr>
      <w:r>
        <w:rPr>
          <w:rFonts w:cs="Times New Roman"/>
          <w:szCs w:val="24"/>
        </w:rPr>
        <w:t>Volkswagen is a multinational company that does not only target the local market in Germany but also the global market as a whole, including the UK. This global-scale operation implies that the company has comparatively more significant sales revenue, which transforms into higher profit margins as well. Moreover, the global market operations cushion the company’s operations from interferences that may occur in one country, such as the economic recession in Greece and Portugal (</w:t>
      </w:r>
      <w:r>
        <w:rPr>
          <w:rFonts w:cs="Times New Roman"/>
          <w:bCs/>
          <w:szCs w:val="24"/>
        </w:rPr>
        <w:t>Karlsson, Melin &amp; Cullinane, 2018)</w:t>
      </w:r>
      <w:r>
        <w:rPr>
          <w:rFonts w:cs="Times New Roman"/>
          <w:szCs w:val="24"/>
        </w:rPr>
        <w:t xml:space="preserve">. </w:t>
      </w:r>
    </w:p>
    <w:p>
      <w:pPr>
        <w:rPr>
          <w:rFonts w:cs="Times New Roman"/>
          <w:szCs w:val="24"/>
        </w:rPr>
      </w:pPr>
      <w:r>
        <w:rPr>
          <w:rFonts w:cs="Times New Roman"/>
          <w:szCs w:val="24"/>
        </w:rPr>
        <w:t>The Volkswagen brand has been in existence for more than 80 years since formation. Throughout the company’s existence, the brand has continuously associated with efficiency and higher technological innovation, with some of its models such as the VW Beetle becoming famous across the globe. With such remarkable performance, the VW brand attracts significant market loyalty in comparison to many other rival brands (</w:t>
      </w:r>
      <w:r>
        <w:rPr>
          <w:rFonts w:cs="Times New Roman"/>
          <w:bCs/>
          <w:szCs w:val="24"/>
        </w:rPr>
        <w:t>A&amp;E Television Networks, 2019)</w:t>
      </w:r>
      <w:r>
        <w:rPr>
          <w:rFonts w:cs="Times New Roman"/>
          <w:szCs w:val="24"/>
        </w:rPr>
        <w:t xml:space="preserve">. </w:t>
      </w:r>
    </w:p>
    <w:p>
      <w:pPr>
        <w:rPr>
          <w:rFonts w:ascii="Times New Roman" w:hAnsi="Times New Roman" w:cs="Times New Roman" w:eastAsiaTheme="majorEastAsia"/>
          <w:b/>
          <w:bCs/>
          <w:color w:val="auto"/>
          <w:sz w:val="24"/>
          <w:szCs w:val="24"/>
          <w:lang w:val="en-GB" w:eastAsia="en-US" w:bidi="ar-SA"/>
        </w:rPr>
      </w:pPr>
      <w:r>
        <w:rPr>
          <w:rFonts w:ascii="Times New Roman" w:hAnsi="Times New Roman" w:cs="Times New Roman" w:eastAsiaTheme="majorEastAsia"/>
          <w:b/>
          <w:bCs/>
          <w:color w:val="auto"/>
          <w:sz w:val="24"/>
          <w:szCs w:val="24"/>
          <w:lang w:val="en-GB" w:eastAsia="en-US" w:bidi="ar-SA"/>
        </w:rPr>
        <w:t>Weaknesses</w:t>
      </w:r>
    </w:p>
    <w:p>
      <w:pPr>
        <w:rPr>
          <w:rFonts w:cs="Times New Roman"/>
          <w:szCs w:val="24"/>
        </w:rPr>
      </w:pPr>
      <w:r>
        <w:rPr>
          <w:rFonts w:cs="Times New Roman"/>
          <w:szCs w:val="24"/>
        </w:rPr>
        <w:t xml:space="preserve">VW models have suffered some of the highest rates of market recalls across the UK market over the years. For example, in 2018, VW recalled the Polo model over issues to do with the seatbelt on the left rear seat (Chillingsworth, 2019). In 2015, VW had to recall up to 1.2 million units sold in the UK alone following an emission scandal that saw the car cheat its emission test results (Hotten, 2015). These numerous recalls from the market affect the brand’s image negatively. </w:t>
      </w:r>
    </w:p>
    <w:p>
      <w:pPr>
        <w:rPr>
          <w:rFonts w:cs="Times New Roman"/>
          <w:szCs w:val="24"/>
        </w:rPr>
      </w:pPr>
      <w:r>
        <w:rPr>
          <w:rFonts w:cs="Times New Roman"/>
          <w:szCs w:val="24"/>
        </w:rPr>
        <w:t xml:space="preserve">VW scandals have negatively affected the level of confidence that consumers have for long held about the VW brand. The dipping consumer confidence levels in the UK have seen the brand suffer significantly, especially in terms of dropping profit margins over the years (Hull, 2016). </w:t>
      </w:r>
    </w:p>
    <w:p>
      <w:pPr>
        <w:rPr>
          <w:rFonts w:cs="Times New Roman"/>
          <w:b/>
          <w:i/>
          <w:szCs w:val="24"/>
        </w:rPr>
      </w:pPr>
      <w:r>
        <w:rPr>
          <w:rFonts w:ascii="Times New Roman" w:hAnsi="Times New Roman" w:cs="Times New Roman" w:eastAsiaTheme="majorEastAsia"/>
          <w:b/>
          <w:bCs/>
          <w:color w:val="auto"/>
          <w:sz w:val="24"/>
          <w:szCs w:val="24"/>
          <w:lang w:val="en-GB" w:eastAsia="en-US" w:bidi="ar-SA"/>
        </w:rPr>
        <w:t>Opportunities</w:t>
      </w:r>
    </w:p>
    <w:p>
      <w:pPr>
        <w:rPr>
          <w:rFonts w:cs="Times New Roman"/>
          <w:szCs w:val="24"/>
        </w:rPr>
      </w:pPr>
      <w:r>
        <w:rPr>
          <w:rFonts w:cs="Times New Roman"/>
          <w:szCs w:val="24"/>
        </w:rPr>
        <w:t>Concerns about the environmental effects of emissions from vehicles running on fossil fuel are pushing manufacturers to consider other environmentally-friendly options, such as electric and hybrid cars (</w:t>
      </w:r>
      <w:r>
        <w:rPr>
          <w:rFonts w:cs="Times New Roman"/>
          <w:bCs/>
          <w:szCs w:val="24"/>
        </w:rPr>
        <w:t>Kelly &amp; Fussell, 2015)</w:t>
      </w:r>
      <w:r>
        <w:rPr>
          <w:rFonts w:cs="Times New Roman"/>
          <w:szCs w:val="24"/>
        </w:rPr>
        <w:t>. With the advancement in technology, VW can consider manufacturing new vehicle models that run on alternative energy as opposed to fossil fuel.</w:t>
      </w:r>
    </w:p>
    <w:p>
      <w:pPr>
        <w:rPr>
          <w:rFonts w:cs="Times New Roman"/>
          <w:szCs w:val="24"/>
        </w:rPr>
      </w:pPr>
      <w:r>
        <w:rPr>
          <w:rFonts w:cs="Times New Roman"/>
          <w:szCs w:val="24"/>
        </w:rPr>
        <w:t>Furthermore, with significant technological advancement witnessed today, VW can consider manufacturing autonomous vehicles that can run with little or no human intervention at all. These autonomous vehicles will significantly attract buyers, especially given that more consumers in the UK prefer efficient and more advanced vehicles (</w:t>
      </w:r>
      <w:r>
        <w:rPr>
          <w:rFonts w:cs="Times New Roman"/>
          <w:bCs/>
          <w:szCs w:val="24"/>
        </w:rPr>
        <w:t>Alawadhi et al., 2020)</w:t>
      </w:r>
      <w:r>
        <w:rPr>
          <w:rFonts w:cs="Times New Roman"/>
          <w:szCs w:val="24"/>
        </w:rPr>
        <w:t xml:space="preserve">. </w:t>
      </w:r>
    </w:p>
    <w:p>
      <w:pPr>
        <w:rPr>
          <w:rFonts w:ascii="Times New Roman" w:hAnsi="Times New Roman" w:cs="Times New Roman" w:eastAsiaTheme="majorEastAsia"/>
          <w:b/>
          <w:bCs/>
          <w:color w:val="auto"/>
          <w:sz w:val="24"/>
          <w:szCs w:val="24"/>
          <w:lang w:val="en-GB" w:eastAsia="en-US" w:bidi="ar-SA"/>
        </w:rPr>
      </w:pPr>
      <w:r>
        <w:rPr>
          <w:rFonts w:ascii="Times New Roman" w:hAnsi="Times New Roman" w:cs="Times New Roman" w:eastAsiaTheme="majorEastAsia"/>
          <w:b/>
          <w:bCs/>
          <w:color w:val="auto"/>
          <w:sz w:val="24"/>
          <w:szCs w:val="24"/>
          <w:lang w:val="en-GB" w:eastAsia="en-US" w:bidi="ar-SA"/>
        </w:rPr>
        <w:t>Threats</w:t>
      </w:r>
    </w:p>
    <w:p>
      <w:pPr>
        <w:rPr>
          <w:rFonts w:cs="Times New Roman"/>
          <w:szCs w:val="24"/>
        </w:rPr>
      </w:pPr>
      <w:r>
        <w:rPr>
          <w:rFonts w:cs="Times New Roman"/>
          <w:szCs w:val="24"/>
        </w:rPr>
        <w:t>The motor vehicle industry in the UK faces stiff competition, especially given that the country has the presence of numerous large manufacturers with a global presence, such as Toyota, Nissan, and Vauxhall (</w:t>
      </w:r>
      <w:r>
        <w:rPr>
          <w:rFonts w:cs="Times New Roman"/>
          <w:bCs/>
          <w:szCs w:val="24"/>
        </w:rPr>
        <w:t>Holweg, Davies &amp; Podpolny, 2009)</w:t>
      </w:r>
      <w:r>
        <w:rPr>
          <w:rFonts w:cs="Times New Roman"/>
          <w:szCs w:val="24"/>
        </w:rPr>
        <w:t>. This competition is likely to affect sales volume negatively, resulting in low margins.</w:t>
      </w:r>
    </w:p>
    <w:p>
      <w:pPr>
        <w:rPr>
          <w:rFonts w:cs="Times New Roman"/>
          <w:szCs w:val="24"/>
        </w:rPr>
      </w:pPr>
      <w:r>
        <w:rPr>
          <w:rFonts w:cs="Times New Roman"/>
          <w:szCs w:val="24"/>
        </w:rPr>
        <w:t xml:space="preserve">The UK plans on banning new petrol and diesel cars from being sold in the country beginning in 2035. The ban is a culmination of numerous environmental regulations that the UK government has been pursuing to cut down on dangerous air and lower the impact of emissions from vehicles (Harvey, 2020). </w:t>
      </w:r>
    </w:p>
    <w:p>
      <w:pPr>
        <w:pStyle w:val="3"/>
        <w:spacing w:before="0" w:after="120" w:line="360" w:lineRule="auto"/>
        <w:jc w:val="both"/>
        <w:rPr>
          <w:rFonts w:ascii="Times New Roman" w:hAnsi="Times New Roman" w:cs="Times New Roman"/>
          <w:color w:val="auto"/>
          <w:sz w:val="24"/>
          <w:szCs w:val="24"/>
        </w:rPr>
      </w:pPr>
      <w:bookmarkStart w:id="5" w:name="_Toc40014708"/>
      <w:r>
        <w:rPr>
          <w:rFonts w:ascii="Times New Roman" w:hAnsi="Times New Roman" w:cs="Times New Roman"/>
          <w:color w:val="auto"/>
          <w:sz w:val="24"/>
          <w:szCs w:val="24"/>
        </w:rPr>
        <w:t>2.2 PEST</w:t>
      </w:r>
      <w:bookmarkEnd w:id="5"/>
    </w:p>
    <w:p>
      <w:pPr>
        <w:rPr>
          <w:rFonts w:cs="Times New Roman"/>
          <w:szCs w:val="24"/>
        </w:rPr>
      </w:pPr>
      <w:r>
        <w:rPr>
          <w:rFonts w:cs="Times New Roman"/>
          <w:szCs w:val="24"/>
        </w:rPr>
        <w:t>The PEST framework assesses the external environmental situation to determine the suitability of an enterprise doing business in the said environment. The “PEST” acronym stands for political, economic, socio-cultural, and technological environmental aspects, all of which form part and parcel of the overall external business environment (Sridhar, et al., 2016).</w:t>
      </w:r>
    </w:p>
    <w:p>
      <w:pPr>
        <w:rPr>
          <w:rFonts w:ascii="Times New Roman" w:hAnsi="Times New Roman" w:cs="Times New Roman" w:eastAsiaTheme="majorEastAsia"/>
          <w:b/>
          <w:bCs/>
          <w:color w:val="auto"/>
          <w:sz w:val="24"/>
          <w:szCs w:val="24"/>
          <w:lang w:val="en-GB" w:eastAsia="en-US" w:bidi="ar-SA"/>
        </w:rPr>
      </w:pPr>
      <w:r>
        <w:rPr>
          <w:rFonts w:ascii="Times New Roman" w:hAnsi="Times New Roman" w:cs="Times New Roman" w:eastAsiaTheme="majorEastAsia"/>
          <w:b/>
          <w:bCs/>
          <w:color w:val="auto"/>
          <w:sz w:val="24"/>
          <w:szCs w:val="24"/>
          <w:lang w:val="en-GB" w:eastAsia="en-US" w:bidi="ar-SA"/>
        </w:rPr>
        <w:t>Po</w:t>
      </w:r>
      <w:r>
        <w:rPr>
          <w:rFonts w:ascii="Times New Roman" w:hAnsi="Times New Roman" w:cs="Times New Roman" w:eastAsiaTheme="majorEastAsia"/>
          <w:b/>
          <w:bCs/>
          <w:color w:val="auto"/>
          <w:sz w:val="24"/>
          <w:szCs w:val="24"/>
          <w:lang w:val="en-GB" w:eastAsia="en-US" w:bidi="ar-SA"/>
        </w:rPr>
        <w:t>litical</w:t>
      </w:r>
    </w:p>
    <w:p>
      <w:pPr>
        <w:rPr>
          <w:rFonts w:cs="Times New Roman"/>
          <w:szCs w:val="24"/>
        </w:rPr>
      </w:pPr>
      <w:r>
        <w:rPr>
          <w:rFonts w:cs="Times New Roman"/>
          <w:szCs w:val="24"/>
        </w:rPr>
        <w:t xml:space="preserve">The Brexit process that the UK has been pursuing since 2016 seeks to see the country withdraw its membership from the European Union (EU). This move means the UK no longer shares EU trade privileges, including the single market concession, which provides for the free movement of people, capital, goods, and services from one member country to the other (Hatzigeorgiou &amp; Lodefalk, 2016). The motor vehicle industry in the UK is directly affected by this process because vehicle manufacturers, such as VW, now face high taxation when targeting the broader EU market for their products. These high taxes limit the competitiveness of the car makers as they are forced to adopt higher prices. </w:t>
      </w:r>
    </w:p>
    <w:p>
      <w:pPr>
        <w:rPr>
          <w:rFonts w:cs="Times New Roman"/>
          <w:szCs w:val="24"/>
        </w:rPr>
      </w:pPr>
      <w:r>
        <w:rPr>
          <w:rFonts w:cs="Times New Roman"/>
          <w:szCs w:val="24"/>
        </w:rPr>
        <w:t>The UK regulations enforce strict standards in terms of health and safety laws within the workplace in a bid to ensure that workplaces remain safe for workers. Among the strict safety regulations include the Fire Safety Order, which demands of factories to carry out a regular assessment on fire risk and retain the recommended measures on fire safety (Higgins, Taylor, &amp; Francis, 2012). However, players in the motor vehicle manufacturing industry across the UK are affected by these policies negatively as they spend a significant portion of their resources together with time to implement the policy. The direct effect of such significant resource allocation is that the manufacturers experience reduced margins.</w:t>
      </w:r>
    </w:p>
    <w:p>
      <w:pPr>
        <w:rPr>
          <w:rFonts w:ascii="Times New Roman" w:hAnsi="Times New Roman" w:cs="Times New Roman" w:eastAsiaTheme="majorEastAsia"/>
          <w:b/>
          <w:bCs/>
          <w:color w:val="auto"/>
          <w:sz w:val="24"/>
          <w:szCs w:val="24"/>
          <w:lang w:val="en-GB" w:eastAsia="en-US" w:bidi="ar-SA"/>
        </w:rPr>
      </w:pPr>
      <w:r>
        <w:rPr>
          <w:rFonts w:ascii="Times New Roman" w:hAnsi="Times New Roman" w:cs="Times New Roman" w:eastAsiaTheme="majorEastAsia"/>
          <w:b/>
          <w:bCs/>
          <w:color w:val="auto"/>
          <w:sz w:val="24"/>
          <w:szCs w:val="24"/>
          <w:lang w:val="en-GB" w:eastAsia="en-US" w:bidi="ar-SA"/>
        </w:rPr>
        <w:t>Economic</w:t>
      </w:r>
    </w:p>
    <w:p>
      <w:pPr>
        <w:rPr>
          <w:rFonts w:cs="Times New Roman"/>
          <w:szCs w:val="24"/>
        </w:rPr>
      </w:pPr>
      <w:r>
        <w:rPr>
          <w:rFonts w:cs="Times New Roman"/>
          <w:szCs w:val="24"/>
        </w:rPr>
        <w:t xml:space="preserve">The disposable income trend in the UK has been remarkable over the last three years. In 2019, for instance, the median disposable income per household averaged at £29,400, which translated to a 1.4% growth over the previous year’s performance. The average annual median income growth from 2017 to 2019 was 0.7% (Office for National Statistics, 2019). This growth implies that more households in the UK had their spending power increased, which translates to increased ability to acquire motor vehicles. For manufacturers such as VW, the increased annual median income for households in the UK means increased potential for sales volume. </w:t>
      </w:r>
    </w:p>
    <w:p>
      <w:pPr>
        <w:rPr>
          <w:rFonts w:cs="Times New Roman"/>
          <w:szCs w:val="24"/>
        </w:rPr>
      </w:pPr>
      <w:r>
        <w:rPr>
          <w:rFonts w:cs="Times New Roman"/>
          <w:szCs w:val="24"/>
        </w:rPr>
        <w:t>The national unemployment rate in the UK stood at 4% in 2018. Over the same year, there were 141,000 new employment opportunities created (Trading Economics, 2019). The significance of these statistics is that it illustrates a country that is creating additional opportunities for jobs. For the motor vehicle industry in the country, the increasing job opportunities equally increase the number of potential customers who can comfortably own cars because they have a steady income source. It also means that motor vehicle manufacturing companies are likely to experience increased higher sales and profitability.</w:t>
      </w:r>
    </w:p>
    <w:p>
      <w:pPr>
        <w:rPr>
          <w:rFonts w:ascii="Times New Roman" w:hAnsi="Times New Roman" w:cs="Times New Roman" w:eastAsiaTheme="majorEastAsia"/>
          <w:b/>
          <w:bCs/>
          <w:color w:val="auto"/>
          <w:sz w:val="24"/>
          <w:szCs w:val="24"/>
          <w:lang w:val="en-GB" w:eastAsia="en-US" w:bidi="ar-SA"/>
        </w:rPr>
      </w:pPr>
      <w:r>
        <w:rPr>
          <w:rFonts w:ascii="Times New Roman" w:hAnsi="Times New Roman" w:cs="Times New Roman" w:eastAsiaTheme="majorEastAsia"/>
          <w:b/>
          <w:bCs/>
          <w:color w:val="auto"/>
          <w:sz w:val="24"/>
          <w:szCs w:val="24"/>
          <w:lang w:val="en-GB" w:eastAsia="en-US" w:bidi="ar-SA"/>
        </w:rPr>
        <w:t>Socio-cultural</w:t>
      </w:r>
    </w:p>
    <w:p>
      <w:pPr>
        <w:rPr>
          <w:rFonts w:cs="Times New Roman"/>
          <w:szCs w:val="24"/>
        </w:rPr>
      </w:pPr>
      <w:r>
        <w:rPr>
          <w:rFonts w:cs="Times New Roman"/>
          <w:szCs w:val="24"/>
        </w:rPr>
        <w:t>UK customers generally express concerns about the environmental pollution that is caused by their consumption patterns in general (Ting et al., 2019). The growing environmental consciousness has, in turn, forced marketers in the UK to think innovatively about producing new environmentally-friendly products (Hancock, 2017). Manufacturers of motor vehicles in the country, for instance, are currently producing new models of hybrid and electric cars that are environmentally friendly in a bid to supply the rising demand (Liao, Molin &amp; van Wee, 2015). However, this move sees the car players incurring a lot of resources as they have to engage in extensive research and development, which eventually lowers their profit margins.</w:t>
      </w:r>
    </w:p>
    <w:p>
      <w:pPr>
        <w:rPr>
          <w:rFonts w:cs="Times New Roman"/>
          <w:szCs w:val="24"/>
        </w:rPr>
      </w:pPr>
      <w:r>
        <w:rPr>
          <w:rFonts w:cs="Times New Roman"/>
          <w:szCs w:val="24"/>
        </w:rPr>
        <w:t xml:space="preserve">Population figures in the UK have increased by 800,000 people between 2017 and 2019, putting the country's overall population in 2019 at 67.5 million people (Worldometers, 2020). This growth in the number of UK nationals implies that the market prospects for vehicles remain positive even into the future, thereby translating into a growing industry with budding profitability. </w:t>
      </w:r>
    </w:p>
    <w:p>
      <w:pPr>
        <w:rPr>
          <w:rFonts w:ascii="Times New Roman" w:hAnsi="Times New Roman" w:cs="Times New Roman" w:eastAsiaTheme="majorEastAsia"/>
          <w:b/>
          <w:bCs/>
          <w:color w:val="auto"/>
          <w:sz w:val="24"/>
          <w:szCs w:val="24"/>
          <w:lang w:val="en-GB" w:eastAsia="en-US" w:bidi="ar-SA"/>
        </w:rPr>
      </w:pPr>
      <w:r>
        <w:rPr>
          <w:rFonts w:ascii="Times New Roman" w:hAnsi="Times New Roman" w:cs="Times New Roman" w:eastAsiaTheme="majorEastAsia"/>
          <w:b/>
          <w:bCs/>
          <w:color w:val="auto"/>
          <w:sz w:val="24"/>
          <w:szCs w:val="24"/>
          <w:lang w:val="en-GB" w:eastAsia="en-US" w:bidi="ar-SA"/>
        </w:rPr>
        <w:t>Technological</w:t>
      </w:r>
    </w:p>
    <w:p>
      <w:pPr>
        <w:rPr>
          <w:rFonts w:cs="Times New Roman"/>
          <w:szCs w:val="24"/>
        </w:rPr>
      </w:pPr>
      <w:r>
        <w:rPr>
          <w:rFonts w:cs="Times New Roman"/>
          <w:szCs w:val="24"/>
        </w:rPr>
        <w:t xml:space="preserve">The UK motor vehicle industry is synonymous with high degrees of innovation in numerous shapes and forms (Mroczkowski, 2014). For instance, the Driver Monitoring system introduces the I-ACTIVSENSE array that includes an infrared camera to monitor and determine whether drivers are fatigued or drowsy (Hull, 2019). These technological innovations increase the efficiency of the vehicles, making them more reliable. The enhanced reliability, in turn, attracts more consumers, thereby resulting in increased profitability for the industry. </w:t>
      </w:r>
    </w:p>
    <w:p>
      <w:pPr>
        <w:pStyle w:val="3"/>
        <w:spacing w:before="0" w:after="120" w:line="360" w:lineRule="auto"/>
        <w:jc w:val="both"/>
        <w:rPr>
          <w:rFonts w:ascii="Times New Roman" w:hAnsi="Times New Roman" w:cs="Times New Roman"/>
          <w:color w:val="auto"/>
          <w:sz w:val="24"/>
          <w:szCs w:val="24"/>
        </w:rPr>
      </w:pPr>
      <w:bookmarkStart w:id="6" w:name="_Toc40014709"/>
      <w:r>
        <w:rPr>
          <w:rFonts w:ascii="Times New Roman" w:hAnsi="Times New Roman" w:cs="Times New Roman"/>
          <w:color w:val="auto"/>
          <w:sz w:val="24"/>
          <w:szCs w:val="24"/>
        </w:rPr>
        <w:t>2.3 Customer insights</w:t>
      </w:r>
      <w:bookmarkEnd w:id="6"/>
    </w:p>
    <w:p>
      <w:pPr>
        <w:rPr>
          <w:rFonts w:cs="Times New Roman"/>
          <w:szCs w:val="24"/>
        </w:rPr>
      </w:pPr>
      <w:r>
        <w:rPr>
          <w:rFonts w:cs="Times New Roman"/>
          <w:szCs w:val="24"/>
        </w:rPr>
        <w:t xml:space="preserve">UK consumers are currently more positive and embracing the safety levels that self-driving vehicles guarantee them. According to Deloitte (2020), the proportion of consumers expressing concerns about safety has fallen considerably from a high of 73 percent to 49 percent. This drop is illustrative of how more UK consumers accept autonomous technology and are readily embracing it even as more manufacturers integrate the necessary technology for the same. </w:t>
      </w:r>
    </w:p>
    <w:p>
      <w:pPr>
        <w:rPr>
          <w:rFonts w:cs="Times New Roman"/>
          <w:szCs w:val="24"/>
        </w:rPr>
      </w:pPr>
      <w:r>
        <w:rPr>
          <w:rFonts w:cs="Times New Roman"/>
          <w:szCs w:val="24"/>
        </w:rPr>
        <w:t>Fewer UK consumers, at only 27 percent proportion, favour electrified vehicles, with their choice ranging between alternative powertrain technologies. A more substantial majority of the consumers, at 73 percent, prefer and favour either a diesel or gasoline engine instead. The consumers explain that electrified vehicles have the disadvantage of high operating costs as well as the challenge of limited charging infrastructure (Deloitte, 2020).</w:t>
      </w:r>
    </w:p>
    <w:p>
      <w:pPr>
        <w:rPr>
          <w:rFonts w:cs="Times New Roman"/>
          <w:szCs w:val="24"/>
        </w:rPr>
      </w:pPr>
      <w:r>
        <w:rPr>
          <w:rFonts w:cs="Times New Roman"/>
          <w:szCs w:val="24"/>
        </w:rPr>
        <w:t>Up to a third of consumers in the UK spend very little time of less than a month reviewing the choices of vehicles they wish to purchase before eventually engaging in the actual purchase. This general consumer purchasing habit implies that vehicle manufacturers across the UK have little time to connect with the consumers and attempt to influence their purchasing decisions (Deloitte, 2020).</w:t>
      </w:r>
    </w:p>
    <w:p>
      <w:pPr>
        <w:pStyle w:val="2"/>
        <w:spacing w:before="0" w:after="120"/>
        <w:rPr>
          <w:rFonts w:ascii="Times New Roman" w:hAnsi="Times New Roman" w:cs="Times New Roman"/>
          <w:color w:val="auto"/>
          <w:sz w:val="24"/>
          <w:szCs w:val="24"/>
        </w:rPr>
      </w:pPr>
      <w:bookmarkStart w:id="7" w:name="_Toc40014710"/>
      <w:r>
        <w:rPr>
          <w:rFonts w:ascii="Times New Roman" w:hAnsi="Times New Roman" w:cs="Times New Roman"/>
          <w:color w:val="auto"/>
          <w:sz w:val="24"/>
          <w:szCs w:val="24"/>
        </w:rPr>
        <w:t>3.0 Objectives</w:t>
      </w:r>
      <w:bookmarkEnd w:id="7"/>
    </w:p>
    <w:p>
      <w:pPr>
        <w:pStyle w:val="3"/>
        <w:spacing w:before="0" w:after="120" w:line="360" w:lineRule="auto"/>
        <w:jc w:val="both"/>
        <w:rPr>
          <w:rFonts w:ascii="Times New Roman" w:hAnsi="Times New Roman" w:cs="Times New Roman"/>
          <w:color w:val="auto"/>
          <w:sz w:val="24"/>
          <w:szCs w:val="24"/>
        </w:rPr>
      </w:pPr>
      <w:bookmarkStart w:id="8" w:name="_Toc40014711"/>
      <w:r>
        <w:rPr>
          <w:rFonts w:ascii="Times New Roman" w:hAnsi="Times New Roman" w:cs="Times New Roman"/>
          <w:color w:val="auto"/>
          <w:sz w:val="24"/>
          <w:szCs w:val="24"/>
        </w:rPr>
        <w:t>3.1 Sell – customer acquisition</w:t>
      </w:r>
      <w:bookmarkEnd w:id="8"/>
      <w:r>
        <w:rPr>
          <w:rFonts w:ascii="Times New Roman" w:hAnsi="Times New Roman" w:cs="Times New Roman"/>
          <w:color w:val="auto"/>
          <w:sz w:val="24"/>
          <w:szCs w:val="24"/>
        </w:rPr>
        <w:t xml:space="preserve">  </w:t>
      </w:r>
    </w:p>
    <w:p>
      <w:pPr>
        <w:rPr>
          <w:rFonts w:cs="Times New Roman"/>
          <w:szCs w:val="24"/>
        </w:rPr>
      </w:pPr>
      <w:r>
        <w:rPr>
          <w:rFonts w:cs="Times New Roman"/>
          <w:szCs w:val="24"/>
        </w:rPr>
        <w:t>To increase interventions for Word-of-Mouth (WoM) marketing by 25% in the next one year</w:t>
      </w:r>
    </w:p>
    <w:p>
      <w:pPr>
        <w:pStyle w:val="3"/>
        <w:spacing w:before="0" w:after="120" w:line="360" w:lineRule="auto"/>
        <w:jc w:val="both"/>
        <w:rPr>
          <w:rFonts w:ascii="Times New Roman" w:hAnsi="Times New Roman" w:cs="Times New Roman"/>
          <w:color w:val="auto"/>
          <w:sz w:val="24"/>
          <w:szCs w:val="24"/>
        </w:rPr>
      </w:pPr>
      <w:bookmarkStart w:id="9" w:name="_Toc40014712"/>
      <w:r>
        <w:rPr>
          <w:rFonts w:ascii="Times New Roman" w:hAnsi="Times New Roman" w:cs="Times New Roman"/>
          <w:color w:val="auto"/>
          <w:sz w:val="24"/>
          <w:szCs w:val="24"/>
        </w:rPr>
        <w:t>3.2 Serve – Customer satisfaction</w:t>
      </w:r>
      <w:bookmarkEnd w:id="9"/>
      <w:r>
        <w:rPr>
          <w:rFonts w:ascii="Times New Roman" w:hAnsi="Times New Roman" w:cs="Times New Roman"/>
          <w:color w:val="auto"/>
          <w:sz w:val="24"/>
          <w:szCs w:val="24"/>
        </w:rPr>
        <w:t xml:space="preserve"> </w:t>
      </w:r>
    </w:p>
    <w:p>
      <w:pPr>
        <w:rPr>
          <w:rFonts w:cs="Times New Roman"/>
          <w:b/>
          <w:szCs w:val="24"/>
        </w:rPr>
      </w:pPr>
      <w:r>
        <w:rPr>
          <w:rFonts w:cs="Times New Roman"/>
          <w:szCs w:val="24"/>
        </w:rPr>
        <w:t>To increase 99% customer satisfaction in next 12 months by providing better quality products and higher quality service;</w:t>
      </w:r>
    </w:p>
    <w:p>
      <w:pPr>
        <w:pStyle w:val="3"/>
        <w:spacing w:before="0" w:after="120" w:line="360" w:lineRule="auto"/>
        <w:jc w:val="both"/>
        <w:rPr>
          <w:rFonts w:ascii="Times New Roman" w:hAnsi="Times New Roman" w:cs="Times New Roman"/>
          <w:color w:val="auto"/>
          <w:sz w:val="24"/>
          <w:szCs w:val="24"/>
        </w:rPr>
      </w:pPr>
      <w:bookmarkStart w:id="10" w:name="_Toc40014713"/>
      <w:r>
        <w:rPr>
          <w:rFonts w:ascii="Times New Roman" w:hAnsi="Times New Roman" w:cs="Times New Roman"/>
          <w:color w:val="auto"/>
          <w:sz w:val="24"/>
          <w:szCs w:val="24"/>
        </w:rPr>
        <w:t>3.3 Sizzle – The wow factor</w:t>
      </w:r>
      <w:bookmarkEnd w:id="10"/>
      <w:r>
        <w:rPr>
          <w:rFonts w:ascii="Times New Roman" w:hAnsi="Times New Roman" w:cs="Times New Roman"/>
          <w:color w:val="auto"/>
          <w:sz w:val="24"/>
          <w:szCs w:val="24"/>
        </w:rPr>
        <w:t xml:space="preserve"> </w:t>
      </w:r>
    </w:p>
    <w:p>
      <w:pPr>
        <w:rPr>
          <w:rFonts w:cs="Times New Roman"/>
          <w:szCs w:val="24"/>
        </w:rPr>
      </w:pPr>
      <w:r>
        <w:rPr>
          <w:rFonts w:eastAsia="Segoe UI" w:cs="Times New Roman"/>
          <w:szCs w:val="24"/>
          <w:shd w:val="clear" w:color="auto" w:fill="FFFFFF"/>
        </w:rPr>
        <w:t>To promote loyalty and business endorsement amongst UK customers by boosting relationship marketing investment by 50% in one year</w:t>
      </w:r>
    </w:p>
    <w:p>
      <w:pPr>
        <w:pStyle w:val="3"/>
        <w:spacing w:before="0" w:after="120" w:line="360" w:lineRule="auto"/>
        <w:jc w:val="both"/>
        <w:rPr>
          <w:rFonts w:ascii="Times New Roman" w:hAnsi="Times New Roman" w:cs="Times New Roman"/>
          <w:color w:val="auto"/>
          <w:sz w:val="24"/>
          <w:szCs w:val="24"/>
        </w:rPr>
      </w:pPr>
      <w:bookmarkStart w:id="11" w:name="_Toc40014714"/>
      <w:r>
        <w:rPr>
          <w:rFonts w:ascii="Times New Roman" w:hAnsi="Times New Roman" w:cs="Times New Roman"/>
          <w:color w:val="auto"/>
          <w:sz w:val="24"/>
          <w:szCs w:val="24"/>
        </w:rPr>
        <w:t>3.4 Speak – Engaging customers</w:t>
      </w:r>
      <w:bookmarkEnd w:id="11"/>
      <w:r>
        <w:rPr>
          <w:rFonts w:ascii="Times New Roman" w:hAnsi="Times New Roman" w:cs="Times New Roman"/>
          <w:color w:val="auto"/>
          <w:sz w:val="24"/>
          <w:szCs w:val="24"/>
        </w:rPr>
        <w:t xml:space="preserve">  </w:t>
      </w:r>
    </w:p>
    <w:p>
      <w:pPr>
        <w:rPr>
          <w:rFonts w:cs="Times New Roman"/>
          <w:szCs w:val="24"/>
        </w:rPr>
      </w:pPr>
      <w:r>
        <w:rPr>
          <w:rFonts w:cs="Times New Roman"/>
          <w:szCs w:val="24"/>
        </w:rPr>
        <w:t>To promote and increase customer reviews about the VW models by 50% in one year.</w:t>
      </w:r>
    </w:p>
    <w:p>
      <w:pPr>
        <w:pStyle w:val="3"/>
        <w:spacing w:before="0" w:after="120" w:line="360" w:lineRule="auto"/>
        <w:jc w:val="both"/>
        <w:rPr>
          <w:rFonts w:ascii="Times New Roman" w:hAnsi="Times New Roman" w:cs="Times New Roman"/>
          <w:color w:val="auto"/>
          <w:sz w:val="24"/>
          <w:szCs w:val="24"/>
        </w:rPr>
      </w:pPr>
      <w:bookmarkStart w:id="12" w:name="_Toc40014715"/>
      <w:r>
        <w:rPr>
          <w:rFonts w:ascii="Times New Roman" w:hAnsi="Times New Roman" w:cs="Times New Roman"/>
          <w:color w:val="auto"/>
          <w:sz w:val="24"/>
          <w:szCs w:val="24"/>
        </w:rPr>
        <w:t>3.5 Save – Cost effective</w:t>
      </w:r>
      <w:bookmarkEnd w:id="12"/>
    </w:p>
    <w:p>
      <w:pPr>
        <w:rPr>
          <w:rFonts w:cs="Times New Roman"/>
          <w:szCs w:val="24"/>
        </w:rPr>
      </w:pPr>
      <w:r>
        <w:rPr>
          <w:rFonts w:cs="Times New Roman"/>
          <w:szCs w:val="24"/>
        </w:rPr>
        <w:t xml:space="preserve">To increase operation automation by 50% across VW factories in the UK to cut down on wastage in one year </w:t>
      </w:r>
    </w:p>
    <w:p>
      <w:pPr>
        <w:pStyle w:val="2"/>
        <w:spacing w:before="0" w:after="120"/>
        <w:rPr>
          <w:rFonts w:ascii="Times New Roman" w:hAnsi="Times New Roman" w:cs="Times New Roman"/>
          <w:color w:val="auto"/>
          <w:sz w:val="24"/>
          <w:szCs w:val="24"/>
        </w:rPr>
      </w:pPr>
      <w:bookmarkStart w:id="13" w:name="_Toc40014716"/>
      <w:r>
        <w:rPr>
          <w:rFonts w:ascii="Times New Roman" w:hAnsi="Times New Roman" w:cs="Times New Roman"/>
          <w:color w:val="auto"/>
          <w:sz w:val="24"/>
          <w:szCs w:val="24"/>
        </w:rPr>
        <w:t>4.0 Strategy</w:t>
      </w:r>
      <w:bookmarkEnd w:id="13"/>
      <w:r>
        <w:rPr>
          <w:rFonts w:ascii="Times New Roman" w:hAnsi="Times New Roman" w:cs="Times New Roman"/>
          <w:color w:val="auto"/>
          <w:sz w:val="24"/>
          <w:szCs w:val="24"/>
        </w:rPr>
        <w:t xml:space="preserve">  </w:t>
      </w:r>
    </w:p>
    <w:p>
      <w:pPr>
        <w:pStyle w:val="3"/>
        <w:spacing w:before="0" w:after="120" w:line="360" w:lineRule="auto"/>
        <w:jc w:val="both"/>
        <w:rPr>
          <w:rFonts w:ascii="Times New Roman" w:hAnsi="Times New Roman" w:cs="Times New Roman"/>
          <w:color w:val="auto"/>
          <w:sz w:val="24"/>
          <w:szCs w:val="24"/>
        </w:rPr>
      </w:pPr>
      <w:bookmarkStart w:id="14" w:name="_Toc40014717"/>
      <w:r>
        <w:rPr>
          <w:rFonts w:ascii="Times New Roman" w:hAnsi="Times New Roman" w:cs="Times New Roman"/>
          <w:color w:val="auto"/>
          <w:sz w:val="24"/>
          <w:szCs w:val="24"/>
        </w:rPr>
        <w:t>4.1 Segments</w:t>
      </w:r>
      <w:bookmarkEnd w:id="14"/>
      <w:r>
        <w:rPr>
          <w:rFonts w:ascii="Times New Roman" w:hAnsi="Times New Roman" w:cs="Times New Roman"/>
          <w:color w:val="auto"/>
          <w:sz w:val="24"/>
          <w:szCs w:val="24"/>
        </w:rPr>
        <w:t xml:space="preserve"> </w:t>
      </w:r>
    </w:p>
    <w:p>
      <w:pPr>
        <w:rPr>
          <w:rFonts w:cs="Times New Roman"/>
          <w:szCs w:val="24"/>
        </w:rPr>
      </w:pPr>
      <w:r>
        <w:rPr>
          <w:rFonts w:cs="Times New Roman"/>
          <w:szCs w:val="24"/>
        </w:rPr>
        <w:t>The segmentation concept considers the subdivision of markets based on mixed characteristics to attain smaller sub-divided markets sharing similar consumer characteristics (</w:t>
      </w:r>
      <w:r>
        <w:rPr>
          <w:rFonts w:cs="Times New Roman"/>
          <w:bCs/>
          <w:szCs w:val="24"/>
        </w:rPr>
        <w:t>Dolnicar, Grün, &amp; Leisch, 2018</w:t>
      </w:r>
      <w:r>
        <w:rPr>
          <w:rFonts w:cs="Times New Roman"/>
          <w:szCs w:val="24"/>
        </w:rPr>
        <w:t>). The four main aspects of market segmentation include behaviour, geographic, demographic, or psychographic features (</w:t>
      </w:r>
      <w:r>
        <w:rPr>
          <w:rFonts w:cs="Times New Roman"/>
          <w:bCs/>
          <w:szCs w:val="24"/>
        </w:rPr>
        <w:t>Dolnicar, Grün, &amp; Leisch, 2018</w:t>
      </w:r>
      <w:r>
        <w:rPr>
          <w:rFonts w:cs="Times New Roman"/>
          <w:szCs w:val="24"/>
        </w:rPr>
        <w:t>). VW should segment the UK market on the three aspects of behaviour, demography, and geography.</w:t>
      </w:r>
    </w:p>
    <w:p>
      <w:pPr>
        <w:rPr>
          <w:rFonts w:cs="Times New Roman"/>
          <w:szCs w:val="24"/>
        </w:rPr>
      </w:pPr>
      <w:r>
        <w:rPr>
          <w:rFonts w:cs="Times New Roman"/>
          <w:szCs w:val="24"/>
        </w:rPr>
        <w:t xml:space="preserve">Behavioural segmentation that VW should consider ought to subdivide consumers across the UK market based on regular and non-regular buyers. With technological advancement and integration into the motor vehicle industry being a common occurrence, some consumers are keen on acquiring vehicles regularly to keep in tandem with the technology. Other buyers may remain disinterested with technology and remain as on-regular buyers. </w:t>
      </w:r>
    </w:p>
    <w:p>
      <w:pPr>
        <w:rPr>
          <w:rFonts w:cs="Times New Roman"/>
          <w:szCs w:val="24"/>
        </w:rPr>
      </w:pPr>
      <w:r>
        <w:rPr>
          <w:rFonts w:cs="Times New Roman"/>
          <w:szCs w:val="24"/>
        </w:rPr>
        <w:t xml:space="preserve">Secondly, in terms of geographic segmentation, VW should sub-divide consumers based on location aspects. In particular, the company should subdivide vehicle buyers as either urban dwellers or rural dwellers because the needs of these two types of buyers are different. </w:t>
      </w:r>
    </w:p>
    <w:p>
      <w:pPr>
        <w:rPr>
          <w:rFonts w:cs="Times New Roman"/>
          <w:szCs w:val="24"/>
        </w:rPr>
      </w:pPr>
      <w:r>
        <w:rPr>
          <w:rFonts w:cs="Times New Roman"/>
          <w:szCs w:val="24"/>
        </w:rPr>
        <w:t>Finally, in terms of demography, VW should consider age as the main factor and develop three main categories. The first category should comprise of millennial buyers aged between 22 and 37, middle-aged consumers aged between 38 and 49, and old consumers aged 50 and above. Moreover, VW should segment the market in terms of gender, subdividing the buyer categories into female and male consumers.</w:t>
      </w:r>
    </w:p>
    <w:p>
      <w:pPr>
        <w:pStyle w:val="3"/>
        <w:spacing w:before="0" w:after="120" w:line="360" w:lineRule="auto"/>
        <w:jc w:val="both"/>
        <w:rPr>
          <w:rFonts w:ascii="Times New Roman" w:hAnsi="Times New Roman" w:cs="Times New Roman"/>
          <w:color w:val="auto"/>
          <w:sz w:val="24"/>
          <w:szCs w:val="24"/>
        </w:rPr>
      </w:pPr>
      <w:bookmarkStart w:id="15" w:name="_Toc40014718"/>
      <w:r>
        <w:rPr>
          <w:rFonts w:ascii="Times New Roman" w:hAnsi="Times New Roman" w:cs="Times New Roman"/>
          <w:color w:val="auto"/>
          <w:sz w:val="24"/>
          <w:szCs w:val="24"/>
        </w:rPr>
        <w:t>4.2 Target markets</w:t>
      </w:r>
      <w:bookmarkEnd w:id="15"/>
      <w:r>
        <w:rPr>
          <w:rFonts w:ascii="Times New Roman" w:hAnsi="Times New Roman" w:cs="Times New Roman"/>
          <w:color w:val="auto"/>
          <w:sz w:val="24"/>
          <w:szCs w:val="24"/>
        </w:rPr>
        <w:t xml:space="preserve">  </w:t>
      </w:r>
    </w:p>
    <w:p>
      <w:pPr>
        <w:rPr>
          <w:rFonts w:cs="Times New Roman"/>
          <w:szCs w:val="24"/>
        </w:rPr>
      </w:pPr>
      <w:r>
        <w:rPr>
          <w:rFonts w:cs="Times New Roman"/>
          <w:szCs w:val="24"/>
        </w:rPr>
        <w:t xml:space="preserve">In terms of behaviour, VW should target regular car buyers because they have a higher chance of acquiring a new vehicle every so often and hence guaranteeing the company a steady revenue flow. </w:t>
      </w:r>
    </w:p>
    <w:p>
      <w:pPr>
        <w:rPr>
          <w:rFonts w:cs="Times New Roman"/>
          <w:szCs w:val="24"/>
        </w:rPr>
      </w:pPr>
      <w:r>
        <w:rPr>
          <w:rFonts w:cs="Times New Roman"/>
          <w:szCs w:val="24"/>
        </w:rPr>
        <w:t>On geographic segmentation, VW should target both rural and urban consumers. However, the target on urban consumers should be more because, in general, more UK nationals live in urban places as compared to the rural locations (</w:t>
      </w:r>
      <w:r>
        <w:rPr>
          <w:rFonts w:cs="Times New Roman"/>
          <w:bCs/>
          <w:szCs w:val="24"/>
        </w:rPr>
        <w:t>Department for Environment Food &amp; Rural Affairs, 2020</w:t>
      </w:r>
      <w:r>
        <w:rPr>
          <w:rFonts w:cs="Times New Roman"/>
          <w:szCs w:val="24"/>
        </w:rPr>
        <w:t xml:space="preserve">). </w:t>
      </w:r>
    </w:p>
    <w:p>
      <w:pPr>
        <w:rPr>
          <w:rFonts w:cs="Times New Roman"/>
          <w:szCs w:val="24"/>
        </w:rPr>
      </w:pPr>
      <w:r>
        <w:rPr>
          <w:rFonts w:cs="Times New Roman"/>
          <w:szCs w:val="24"/>
        </w:rPr>
        <w:t>Finally, on the question of demography, VW should mainly target the middle-aged market segment, which comprises of consumers in the 38 to 49 age brackets. The practicality of this target market includes the fact that it comprises a young population keen on driving stylish and fashionable cars after every short duration (</w:t>
      </w:r>
      <w:r>
        <w:rPr>
          <w:rFonts w:cs="Times New Roman"/>
          <w:bCs/>
          <w:szCs w:val="24"/>
        </w:rPr>
        <w:t>Holweg, Davies, &amp; Podpolny, 2009</w:t>
      </w:r>
      <w:r>
        <w:rPr>
          <w:rFonts w:cs="Times New Roman"/>
          <w:szCs w:val="24"/>
        </w:rPr>
        <w:t xml:space="preserve">). Moreover, buyers in this segment are likely employed professionals or business owners who have regular steady income flows that allow them to spend freely on fashionable and stylish cars that appeal to them. On gender, VW should target male buyers who happen to have higher interest and attention for motor vehicles than their female counterparts. </w:t>
      </w:r>
    </w:p>
    <w:p>
      <w:pPr>
        <w:pStyle w:val="3"/>
        <w:spacing w:before="0" w:after="120" w:line="360" w:lineRule="auto"/>
        <w:jc w:val="both"/>
        <w:rPr>
          <w:rFonts w:ascii="Times New Roman" w:hAnsi="Times New Roman" w:cs="Times New Roman"/>
          <w:color w:val="auto"/>
          <w:sz w:val="24"/>
          <w:szCs w:val="24"/>
        </w:rPr>
      </w:pPr>
      <w:bookmarkStart w:id="16" w:name="_Toc40014719"/>
      <w:r>
        <w:rPr>
          <w:rFonts w:ascii="Times New Roman" w:hAnsi="Times New Roman" w:cs="Times New Roman"/>
          <w:color w:val="auto"/>
          <w:sz w:val="24"/>
          <w:szCs w:val="24"/>
        </w:rPr>
        <w:t>4.3 Objectives</w:t>
      </w:r>
      <w:bookmarkEnd w:id="16"/>
      <w:r>
        <w:rPr>
          <w:rFonts w:ascii="Times New Roman" w:hAnsi="Times New Roman" w:cs="Times New Roman"/>
          <w:color w:val="auto"/>
          <w:sz w:val="24"/>
          <w:szCs w:val="24"/>
        </w:rPr>
        <w:t xml:space="preserve">  </w:t>
      </w:r>
    </w:p>
    <w:p>
      <w:pPr>
        <w:rPr>
          <w:rFonts w:cs="Times New Roman"/>
          <w:szCs w:val="24"/>
        </w:rPr>
      </w:pPr>
      <w:r>
        <w:rPr>
          <w:rFonts w:cs="Times New Roman"/>
          <w:szCs w:val="24"/>
        </w:rPr>
        <w:t>VW’s objectives should be as follows:</w:t>
      </w:r>
    </w:p>
    <w:p>
      <w:pPr>
        <w:pStyle w:val="17"/>
        <w:numPr>
          <w:ilvl w:val="0"/>
          <w:numId w:val="1"/>
        </w:numPr>
        <w:ind w:left="0"/>
        <w:contextualSpacing w:val="0"/>
        <w:rPr>
          <w:rFonts w:cs="Times New Roman"/>
          <w:szCs w:val="24"/>
        </w:rPr>
      </w:pPr>
      <w:r>
        <w:rPr>
          <w:rFonts w:cs="Times New Roman"/>
          <w:szCs w:val="24"/>
        </w:rPr>
        <w:t>To increase unit volumes sold by 10% by the end of 2020;</w:t>
      </w:r>
    </w:p>
    <w:p>
      <w:pPr>
        <w:pStyle w:val="17"/>
        <w:numPr>
          <w:ilvl w:val="0"/>
          <w:numId w:val="1"/>
        </w:numPr>
        <w:ind w:left="0"/>
        <w:contextualSpacing w:val="0"/>
        <w:rPr>
          <w:rFonts w:cs="Times New Roman"/>
          <w:szCs w:val="24"/>
        </w:rPr>
      </w:pPr>
      <w:r>
        <w:rPr>
          <w:rFonts w:cs="Times New Roman"/>
          <w:szCs w:val="24"/>
        </w:rPr>
        <w:t>To increase advertising and market awareness creation by 25% within the future 12 months to increase sales performance;</w:t>
      </w:r>
    </w:p>
    <w:p>
      <w:pPr>
        <w:pStyle w:val="17"/>
        <w:numPr>
          <w:ilvl w:val="0"/>
          <w:numId w:val="1"/>
        </w:numPr>
        <w:ind w:left="0"/>
        <w:contextualSpacing w:val="0"/>
        <w:rPr>
          <w:rFonts w:cs="Times New Roman"/>
          <w:szCs w:val="24"/>
        </w:rPr>
      </w:pPr>
      <w:r>
        <w:rPr>
          <w:rFonts w:cs="Times New Roman"/>
          <w:szCs w:val="24"/>
        </w:rPr>
        <w:t>To increase annual revenue performance by 35% by the end of 2021;</w:t>
      </w:r>
    </w:p>
    <w:p>
      <w:pPr>
        <w:pStyle w:val="3"/>
        <w:spacing w:before="0" w:after="120" w:line="360" w:lineRule="auto"/>
        <w:jc w:val="both"/>
        <w:rPr>
          <w:rFonts w:ascii="Times New Roman" w:hAnsi="Times New Roman" w:cs="Times New Roman"/>
          <w:color w:val="auto"/>
          <w:sz w:val="24"/>
          <w:szCs w:val="24"/>
        </w:rPr>
      </w:pPr>
      <w:bookmarkStart w:id="17" w:name="_Toc40014720"/>
      <w:r>
        <w:rPr>
          <w:rFonts w:ascii="Times New Roman" w:hAnsi="Times New Roman" w:cs="Times New Roman"/>
          <w:color w:val="auto"/>
          <w:sz w:val="24"/>
          <w:szCs w:val="24"/>
        </w:rPr>
        <w:t>4.4 Positioning</w:t>
      </w:r>
      <w:bookmarkEnd w:id="17"/>
    </w:p>
    <w:p>
      <w:pPr>
        <w:rPr>
          <w:rFonts w:cs="Times New Roman"/>
          <w:szCs w:val="24"/>
        </w:rPr>
      </w:pPr>
      <w:r>
        <w:rPr>
          <w:rFonts w:cs="Times New Roman"/>
          <w:szCs w:val="24"/>
        </w:rPr>
        <w:t>VW’s positioning should base on technology and affordability. The aspects of technology and affordability will see VW position itself as a brand with high efficiency and functionality, which will result in high demand among potential buyers who contend with other vehicle models with poor functionality in the market. In turn, high market demand will significantly boost the company’s revenue performance. Positioning VW as an affordable brand, on the other hand, will further expand the bracket of potential buyers, some of whom do not own quality cars because they lack the resources to do so. The affordability positioning will as well enable the brand to boost its revenue performance considerably. Figure 1 below shows VW’s market positioning.</w:t>
      </w:r>
    </w:p>
    <w:p>
      <w:pPr>
        <w:rPr>
          <w:rFonts w:cs="Times New Roman"/>
          <w:b/>
          <w:szCs w:val="24"/>
        </w:rPr>
      </w:pPr>
      <w:r>
        <w:rPr>
          <w:rFonts w:cs="Times New Roman"/>
          <w:b/>
          <w:szCs w:val="24"/>
        </w:rPr>
        <w:drawing>
          <wp:inline distT="0" distB="0" distL="0" distR="0">
            <wp:extent cx="5943600" cy="372110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cstate="print"/>
                    <a:srcRect/>
                    <a:stretch>
                      <a:fillRect/>
                    </a:stretch>
                  </pic:blipFill>
                  <pic:spPr>
                    <a:xfrm>
                      <a:off x="0" y="0"/>
                      <a:ext cx="5943600" cy="3721286"/>
                    </a:xfrm>
                    <a:prstGeom prst="rect">
                      <a:avLst/>
                    </a:prstGeom>
                    <a:noFill/>
                    <a:ln w="9525">
                      <a:noFill/>
                      <a:miter lim="800000"/>
                      <a:headEnd/>
                      <a:tailEnd/>
                    </a:ln>
                  </pic:spPr>
                </pic:pic>
              </a:graphicData>
            </a:graphic>
          </wp:inline>
        </w:drawing>
      </w:r>
    </w:p>
    <w:p>
      <w:pPr>
        <w:rPr>
          <w:rFonts w:cs="Times New Roman"/>
          <w:szCs w:val="24"/>
        </w:rPr>
      </w:pPr>
      <w:r>
        <w:rPr>
          <w:rFonts w:cs="Times New Roman"/>
          <w:szCs w:val="24"/>
        </w:rPr>
        <w:t>Figure 1: VW’s market positioning</w:t>
      </w:r>
    </w:p>
    <w:p>
      <w:pPr>
        <w:pStyle w:val="2"/>
        <w:spacing w:before="0" w:after="120"/>
        <w:rPr>
          <w:rFonts w:ascii="Times New Roman" w:hAnsi="Times New Roman" w:cs="Times New Roman"/>
          <w:color w:val="auto"/>
          <w:sz w:val="24"/>
          <w:szCs w:val="24"/>
        </w:rPr>
      </w:pPr>
      <w:bookmarkStart w:id="18" w:name="_Toc40014721"/>
      <w:r>
        <w:rPr>
          <w:rFonts w:ascii="Times New Roman" w:hAnsi="Times New Roman" w:cs="Times New Roman"/>
          <w:color w:val="auto"/>
          <w:sz w:val="24"/>
          <w:szCs w:val="24"/>
        </w:rPr>
        <w:t>5.0 Tactics</w:t>
      </w:r>
      <w:bookmarkEnd w:id="18"/>
      <w:r>
        <w:rPr>
          <w:rFonts w:ascii="Times New Roman" w:hAnsi="Times New Roman" w:cs="Times New Roman"/>
          <w:color w:val="auto"/>
          <w:sz w:val="24"/>
          <w:szCs w:val="24"/>
        </w:rPr>
        <w:t xml:space="preserve">  </w:t>
      </w:r>
    </w:p>
    <w:p>
      <w:pPr>
        <w:pStyle w:val="3"/>
        <w:spacing w:before="0" w:after="120" w:line="360" w:lineRule="auto"/>
        <w:jc w:val="both"/>
        <w:rPr>
          <w:rFonts w:ascii="Times New Roman" w:hAnsi="Times New Roman" w:cs="Times New Roman"/>
          <w:color w:val="auto"/>
          <w:sz w:val="24"/>
          <w:szCs w:val="24"/>
        </w:rPr>
      </w:pPr>
      <w:bookmarkStart w:id="19" w:name="_Toc40014722"/>
      <w:r>
        <w:rPr>
          <w:rFonts w:ascii="Times New Roman" w:hAnsi="Times New Roman" w:cs="Times New Roman"/>
          <w:color w:val="auto"/>
          <w:sz w:val="24"/>
          <w:szCs w:val="24"/>
        </w:rPr>
        <w:t>5.1 Marketing mix</w:t>
      </w:r>
      <w:bookmarkEnd w:id="19"/>
    </w:p>
    <w:p>
      <w:pPr>
        <w:rPr>
          <w:b/>
          <w:bCs/>
        </w:rPr>
      </w:pPr>
      <w:bookmarkStart w:id="20" w:name="_Toc518839559"/>
      <w:bookmarkStart w:id="21" w:name="_Toc411601017"/>
      <w:bookmarkStart w:id="22" w:name="_Toc407973731"/>
      <w:bookmarkStart w:id="23" w:name="_Toc410886788"/>
      <w:bookmarkStart w:id="24" w:name="_Toc383548864"/>
      <w:bookmarkStart w:id="25" w:name="_Toc384906546"/>
      <w:bookmarkStart w:id="26" w:name="_Toc385363293"/>
      <w:r>
        <w:rPr>
          <w:b/>
          <w:bCs/>
        </w:rPr>
        <w:t>Product</w:t>
      </w:r>
      <w:bookmarkEnd w:id="20"/>
      <w:bookmarkEnd w:id="21"/>
      <w:r>
        <w:rPr>
          <w:b/>
          <w:bCs/>
        </w:rPr>
        <w:t xml:space="preserve"> </w:t>
      </w:r>
    </w:p>
    <w:p>
      <w:pPr>
        <w:rPr>
          <w:rFonts w:cs="Times New Roman"/>
          <w:szCs w:val="24"/>
        </w:rPr>
      </w:pPr>
      <w:r>
        <w:rPr>
          <w:rFonts w:cs="Times New Roman"/>
          <w:szCs w:val="24"/>
        </w:rPr>
        <w:t>VW should pursue continuous research and development (R&amp;D) to ensure it continuously produces high-tech vehicles for its targeted market. Given that the company is targeting middle-aged customers keen on fashion and design, the company should pursue R&amp;D continuously to deliver vehicles that exceed the expectations of the market. Besides, as already highlighted, the UK motor vehicle industry is highly competitive, which means the only way VW can keep pace with the competition is by ensuring that continuous research happens regularly.</w:t>
      </w:r>
    </w:p>
    <w:bookmarkEnd w:id="22"/>
    <w:bookmarkEnd w:id="23"/>
    <w:bookmarkEnd w:id="24"/>
    <w:bookmarkEnd w:id="25"/>
    <w:bookmarkEnd w:id="26"/>
    <w:p>
      <w:pPr>
        <w:rPr>
          <w:b/>
          <w:bCs/>
        </w:rPr>
      </w:pPr>
      <w:bookmarkStart w:id="27" w:name="_Toc518839560"/>
      <w:bookmarkStart w:id="28" w:name="_Toc411601018"/>
      <w:bookmarkStart w:id="29" w:name="_Toc383548865"/>
      <w:bookmarkStart w:id="30" w:name="_Toc404960094"/>
      <w:bookmarkStart w:id="31" w:name="_Toc384906547"/>
      <w:bookmarkStart w:id="32" w:name="_Toc385363294"/>
      <w:bookmarkStart w:id="33" w:name="_Toc407973732"/>
      <w:bookmarkStart w:id="34" w:name="_Toc410886789"/>
      <w:r>
        <w:rPr>
          <w:b/>
          <w:bCs/>
        </w:rPr>
        <w:t>Price</w:t>
      </w:r>
      <w:bookmarkEnd w:id="27"/>
      <w:bookmarkEnd w:id="28"/>
      <w:r>
        <w:rPr>
          <w:b/>
          <w:bCs/>
        </w:rPr>
        <w:t xml:space="preserve"> </w:t>
      </w:r>
    </w:p>
    <w:p>
      <w:pPr>
        <w:rPr>
          <w:rFonts w:cs="Times New Roman"/>
          <w:szCs w:val="24"/>
        </w:rPr>
      </w:pPr>
      <w:r>
        <w:rPr>
          <w:rFonts w:cs="Times New Roman"/>
          <w:szCs w:val="24"/>
        </w:rPr>
        <w:t xml:space="preserve">VW should implement competitive pricing to achieve lower pricing for its vehicle models (Kienzler &amp; Kowalkowski, 2017). This pricing is in tandem with its market positioning, which pursues high affordability. The affordable pricing is crucial in enabling the vehicle manufacturer to capture a huge proportion of buyers who currently buy other affordable vehicles in the market but are discouraged from acquiring VW because they feel it is out of their reach. By succeeding in expanding the brackets of VW buyers because of affordability, the company will benefit from increased revenues and profitability. However, given that VW has to undertake extensive R&amp;D, which is a costly affair, VW should sustain low pricing by streamlining its entire operations (Sood, 2017). Some of the interventions that the company can pursue to achieve low pricing include acquiring larger volumes of materials for economies of scale advantage (Oude, Stefanou &amp; Kapelko, 2015). </w:t>
      </w:r>
    </w:p>
    <w:bookmarkEnd w:id="29"/>
    <w:bookmarkEnd w:id="30"/>
    <w:bookmarkEnd w:id="31"/>
    <w:bookmarkEnd w:id="32"/>
    <w:bookmarkEnd w:id="33"/>
    <w:bookmarkEnd w:id="34"/>
    <w:p>
      <w:pPr>
        <w:rPr>
          <w:b/>
          <w:bCs/>
        </w:rPr>
      </w:pPr>
      <w:bookmarkStart w:id="35" w:name="_Toc518839561"/>
      <w:bookmarkStart w:id="36" w:name="_Toc407973733"/>
      <w:bookmarkStart w:id="37" w:name="_Toc383548866"/>
      <w:bookmarkStart w:id="38" w:name="_Toc411601019"/>
      <w:bookmarkStart w:id="39" w:name="_Toc384906549"/>
      <w:bookmarkStart w:id="40" w:name="_Toc385363296"/>
      <w:bookmarkStart w:id="41" w:name="_Toc410886790"/>
      <w:r>
        <w:rPr>
          <w:b/>
          <w:bCs/>
        </w:rPr>
        <w:t>Place</w:t>
      </w:r>
      <w:bookmarkEnd w:id="35"/>
      <w:bookmarkEnd w:id="36"/>
      <w:bookmarkEnd w:id="37"/>
      <w:bookmarkEnd w:id="38"/>
      <w:bookmarkEnd w:id="39"/>
      <w:bookmarkEnd w:id="40"/>
      <w:bookmarkEnd w:id="41"/>
      <w:r>
        <w:rPr>
          <w:b/>
          <w:bCs/>
        </w:rPr>
        <w:t xml:space="preserve"> </w:t>
      </w:r>
    </w:p>
    <w:p>
      <w:pPr>
        <w:rPr>
          <w:rFonts w:cs="Times New Roman"/>
          <w:szCs w:val="24"/>
        </w:rPr>
      </w:pPr>
      <w:r>
        <w:rPr>
          <w:rFonts w:cs="Times New Roman"/>
          <w:szCs w:val="24"/>
        </w:rPr>
        <w:t>VW should use its showrooms across the UK as the appropriate place for selling its vehicles (</w:t>
      </w:r>
      <w:r>
        <w:rPr>
          <w:rFonts w:cs="Times New Roman"/>
          <w:bCs/>
          <w:szCs w:val="24"/>
        </w:rPr>
        <w:t>Al Badi, 2015</w:t>
      </w:r>
      <w:r>
        <w:rPr>
          <w:rFonts w:cs="Times New Roman"/>
          <w:szCs w:val="24"/>
        </w:rPr>
        <w:t xml:space="preserve">). The showrooms remain the most accessible locations that customers can walk in and seal their purchase deals in the most effective of environments. The company should equally make its official website a perfect place where customers can visit virtually and read more about the brands of their choices. </w:t>
      </w:r>
    </w:p>
    <w:p>
      <w:pPr>
        <w:rPr>
          <w:b/>
          <w:bCs/>
        </w:rPr>
      </w:pPr>
      <w:bookmarkStart w:id="42" w:name="_Toc411601020"/>
      <w:bookmarkStart w:id="43" w:name="_Toc518839562"/>
      <w:bookmarkStart w:id="44" w:name="_Toc410886791"/>
      <w:bookmarkStart w:id="45" w:name="_Toc385363297"/>
      <w:bookmarkStart w:id="46" w:name="_Toc384906550"/>
      <w:bookmarkStart w:id="47" w:name="_Toc383548867"/>
      <w:bookmarkStart w:id="48" w:name="_Toc407973734"/>
      <w:r>
        <w:rPr>
          <w:b/>
          <w:bCs/>
        </w:rPr>
        <w:t>Promotion</w:t>
      </w:r>
      <w:bookmarkEnd w:id="42"/>
      <w:bookmarkEnd w:id="43"/>
    </w:p>
    <w:p>
      <w:pPr>
        <w:rPr>
          <w:rFonts w:cs="Times New Roman"/>
          <w:szCs w:val="24"/>
        </w:rPr>
      </w:pPr>
      <w:r>
        <w:rPr>
          <w:rFonts w:cs="Times New Roman"/>
          <w:szCs w:val="24"/>
        </w:rPr>
        <w:t>Promotion of the VW vehicles should be via electronic, print, and outdoor advertising to reach a wider targeted audience. Given that the targeted customers are professionals and business people aged between 38 and 49, these individuals are highly likely to be busy in their day-to-day activities. However, they are likely to read newspapers, watch TV briefly, or glance at outdoor advertising boards while driving to the office or business location, essentially becoming aware of the VW marketing communication.</w:t>
      </w:r>
    </w:p>
    <w:p>
      <w:pPr>
        <w:pStyle w:val="3"/>
        <w:spacing w:before="0" w:after="120" w:line="360" w:lineRule="auto"/>
        <w:jc w:val="both"/>
        <w:rPr>
          <w:rFonts w:ascii="Times New Roman" w:hAnsi="Times New Roman" w:cs="Times New Roman"/>
          <w:color w:val="auto"/>
          <w:sz w:val="24"/>
          <w:szCs w:val="24"/>
        </w:rPr>
      </w:pPr>
      <w:bookmarkStart w:id="49" w:name="_Toc40014723"/>
      <w:r>
        <w:rPr>
          <w:rFonts w:ascii="Times New Roman" w:hAnsi="Times New Roman" w:cs="Times New Roman"/>
          <w:color w:val="auto"/>
          <w:sz w:val="24"/>
          <w:szCs w:val="24"/>
        </w:rPr>
        <w:t>5.2 Content/contact plan</w:t>
      </w:r>
      <w:bookmarkEnd w:id="49"/>
    </w:p>
    <w:p>
      <w:pPr>
        <w:pStyle w:val="10"/>
        <w:widowControl/>
        <w:spacing w:after="120" w:line="360" w:lineRule="auto"/>
        <w:textAlignment w:val="baseline"/>
        <w:rPr>
          <w:rFonts w:ascii="Times New Roman" w:hAnsi="Times New Roman" w:eastAsia="Segoe UI"/>
          <w:shd w:val="clear" w:color="auto" w:fill="FFFFFF"/>
          <w:lang w:val="en-GB"/>
        </w:rPr>
      </w:pPr>
      <w:r>
        <w:rPr>
          <w:rFonts w:ascii="Times New Roman" w:hAnsi="Times New Roman" w:eastAsia="Segoe UI"/>
          <w:shd w:val="clear" w:color="auto" w:fill="FFFFFF"/>
          <w:lang w:val="en-GB"/>
        </w:rPr>
        <w:t xml:space="preserve">A content/contact plan underscores an essential process through which a company establishes an organised framework through which it delivers appropriate communications to customers. Table 1 below illustrates the content/contact plan for VW UK. </w:t>
      </w:r>
    </w:p>
    <w:p>
      <w:pPr>
        <w:pStyle w:val="10"/>
        <w:widowControl/>
        <w:spacing w:after="120" w:line="360" w:lineRule="auto"/>
        <w:textAlignment w:val="baseline"/>
        <w:rPr>
          <w:rFonts w:ascii="Times New Roman" w:hAnsi="Times New Roman" w:eastAsia="Segoe UI"/>
          <w:shd w:val="clear" w:color="auto" w:fill="FFFFFF"/>
          <w:lang w:val="en-GB"/>
        </w:rPr>
      </w:pPr>
      <w:r>
        <w:rPr>
          <w:rFonts w:ascii="Times New Roman" w:hAnsi="Times New Roman" w:eastAsia="Segoe UI"/>
          <w:shd w:val="clear" w:color="auto" w:fill="FFFFFF"/>
          <w:lang w:val="en-GB"/>
        </w:rPr>
        <w:t>Table 1: Content/contact plan for VW UK</w:t>
      </w:r>
    </w:p>
    <w:p>
      <w:pPr>
        <w:pStyle w:val="10"/>
        <w:widowControl/>
        <w:spacing w:after="120" w:line="360" w:lineRule="auto"/>
        <w:textAlignment w:val="baseline"/>
        <w:rPr>
          <w:rFonts w:ascii="Times New Roman" w:hAnsi="Times New Roman" w:eastAsia="Segoe UI"/>
          <w:shd w:val="clear" w:color="auto" w:fill="FFFFFF"/>
          <w:lang w:val="en-GB"/>
        </w:rPr>
      </w:pPr>
      <w:r>
        <w:rPr>
          <w:lang w:val="en-GB"/>
        </w:rPr>
        <w:drawing>
          <wp:inline distT="0" distB="0" distL="0" distR="0">
            <wp:extent cx="5943600" cy="476758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9"/>
                    <a:stretch>
                      <a:fillRect/>
                    </a:stretch>
                  </pic:blipFill>
                  <pic:spPr>
                    <a:xfrm>
                      <a:off x="0" y="0"/>
                      <a:ext cx="5943600" cy="4767580"/>
                    </a:xfrm>
                    <a:prstGeom prst="rect">
                      <a:avLst/>
                    </a:prstGeom>
                  </pic:spPr>
                </pic:pic>
              </a:graphicData>
            </a:graphic>
          </wp:inline>
        </w:drawing>
      </w:r>
    </w:p>
    <w:bookmarkEnd w:id="44"/>
    <w:bookmarkEnd w:id="45"/>
    <w:bookmarkEnd w:id="46"/>
    <w:bookmarkEnd w:id="47"/>
    <w:bookmarkEnd w:id="48"/>
    <w:p>
      <w:pPr>
        <w:pStyle w:val="2"/>
        <w:spacing w:before="0" w:after="120"/>
        <w:rPr>
          <w:rFonts w:ascii="Times New Roman" w:hAnsi="Times New Roman" w:cs="Times New Roman"/>
          <w:color w:val="auto"/>
          <w:sz w:val="24"/>
          <w:szCs w:val="24"/>
        </w:rPr>
      </w:pPr>
      <w:bookmarkStart w:id="50" w:name="_Toc40014724"/>
      <w:r>
        <w:rPr>
          <w:rFonts w:ascii="Times New Roman" w:hAnsi="Times New Roman" w:cs="Times New Roman"/>
          <w:color w:val="auto"/>
          <w:sz w:val="24"/>
          <w:szCs w:val="24"/>
        </w:rPr>
        <w:t>6.0 Actions</w:t>
      </w:r>
      <w:bookmarkEnd w:id="50"/>
      <w:r>
        <w:rPr>
          <w:rFonts w:ascii="Times New Roman" w:hAnsi="Times New Roman" w:cs="Times New Roman"/>
          <w:color w:val="auto"/>
          <w:sz w:val="24"/>
          <w:szCs w:val="24"/>
        </w:rPr>
        <w:t> </w:t>
      </w:r>
    </w:p>
    <w:p>
      <w:pPr>
        <w:pStyle w:val="3"/>
        <w:spacing w:before="0" w:after="120" w:line="360" w:lineRule="auto"/>
        <w:jc w:val="both"/>
        <w:rPr>
          <w:rFonts w:ascii="Times New Roman" w:hAnsi="Times New Roman" w:cs="Times New Roman"/>
          <w:color w:val="auto"/>
          <w:sz w:val="24"/>
          <w:szCs w:val="24"/>
        </w:rPr>
      </w:pPr>
      <w:bookmarkStart w:id="51" w:name="_Toc40014725"/>
      <w:r>
        <w:rPr>
          <w:rFonts w:ascii="Times New Roman" w:hAnsi="Times New Roman" w:cs="Times New Roman"/>
          <w:color w:val="auto"/>
          <w:sz w:val="24"/>
          <w:szCs w:val="24"/>
        </w:rPr>
        <w:t>6.1 Responsibilities and structures</w:t>
      </w:r>
      <w:bookmarkEnd w:id="51"/>
      <w:r>
        <w:rPr>
          <w:rFonts w:ascii="Times New Roman" w:hAnsi="Times New Roman" w:cs="Times New Roman"/>
          <w:color w:val="auto"/>
          <w:sz w:val="24"/>
          <w:szCs w:val="24"/>
        </w:rPr>
        <w:t>  </w:t>
      </w:r>
    </w:p>
    <w:p>
      <w:pPr>
        <w:rPr>
          <w:rFonts w:cs="Times New Roman"/>
          <w:szCs w:val="24"/>
        </w:rPr>
      </w:pPr>
      <w:r>
        <w:rPr>
          <w:rFonts w:cs="Times New Roman"/>
          <w:szCs w:val="24"/>
        </w:rPr>
        <w:t xml:space="preserve">The marketing manager at VW UK will be in charge of implementing this marketing plan. A team constituted on the advise of the marketing manager will spell out supervision and field support roles clearly to ensure effectiveness in the implementation. The marketing plan’s outcome and recommendations to be drawn by the marketing manager will be shared with UK’s VW country director. </w:t>
      </w:r>
    </w:p>
    <w:p>
      <w:pPr>
        <w:pStyle w:val="3"/>
        <w:spacing w:before="0" w:after="120" w:line="360" w:lineRule="auto"/>
        <w:jc w:val="both"/>
        <w:rPr>
          <w:rFonts w:ascii="Times New Roman" w:hAnsi="Times New Roman" w:cs="Times New Roman"/>
          <w:color w:val="auto"/>
          <w:sz w:val="24"/>
          <w:szCs w:val="24"/>
        </w:rPr>
      </w:pPr>
      <w:bookmarkStart w:id="52" w:name="_Toc40014726"/>
      <w:r>
        <w:rPr>
          <w:rFonts w:ascii="Times New Roman" w:hAnsi="Times New Roman" w:cs="Times New Roman"/>
          <w:color w:val="auto"/>
          <w:sz w:val="24"/>
          <w:szCs w:val="24"/>
        </w:rPr>
        <w:t>6.2 Processes and systems</w:t>
      </w:r>
      <w:bookmarkEnd w:id="52"/>
      <w:r>
        <w:rPr>
          <w:rFonts w:ascii="Times New Roman" w:hAnsi="Times New Roman" w:cs="Times New Roman"/>
          <w:color w:val="auto"/>
          <w:sz w:val="24"/>
          <w:szCs w:val="24"/>
        </w:rPr>
        <w:t>  </w:t>
      </w:r>
    </w:p>
    <w:p>
      <w:pPr>
        <w:rPr>
          <w:rFonts w:cs="Times New Roman"/>
          <w:szCs w:val="24"/>
        </w:rPr>
      </w:pPr>
      <w:r>
        <w:rPr>
          <w:rFonts w:cs="Times New Roman"/>
          <w:szCs w:val="24"/>
        </w:rPr>
        <w:t>In marketing planning, processes and systems play a critical role in enabling the fulfillment of the intended objectives. These processes and systems help in speeding up the achievement of objectives (</w:t>
      </w:r>
      <w:r>
        <w:rPr>
          <w:rFonts w:cs="Times New Roman"/>
          <w:bCs/>
          <w:szCs w:val="24"/>
        </w:rPr>
        <w:t>Aghazadeh, 2015</w:t>
      </w:r>
      <w:r>
        <w:rPr>
          <w:rFonts w:cs="Times New Roman"/>
          <w:szCs w:val="24"/>
        </w:rPr>
        <w:t xml:space="preserve">). VW should utilize digital systems of communication to connect with customers. In particular, the company should prioritize website marketing, search engine optimisation (SEO), as well as email and pay per click. Moreover, digital communication strategies should get coordinated with both integrated marketing communications and customer relationship marketing. Such coordination will not only guarantee VW an expansion of its customer base but also will enhance profitability and boost customer satisfaction that will, in turn, increase the market share.    </w:t>
      </w:r>
    </w:p>
    <w:p>
      <w:pPr>
        <w:pStyle w:val="3"/>
        <w:spacing w:before="0" w:after="120" w:line="360" w:lineRule="auto"/>
        <w:jc w:val="both"/>
        <w:rPr>
          <w:rFonts w:ascii="Times New Roman" w:hAnsi="Times New Roman" w:cs="Times New Roman"/>
          <w:color w:val="auto"/>
          <w:sz w:val="24"/>
          <w:szCs w:val="24"/>
        </w:rPr>
      </w:pPr>
      <w:bookmarkStart w:id="53" w:name="_Toc40014727"/>
      <w:r>
        <w:rPr>
          <w:rFonts w:ascii="Times New Roman" w:hAnsi="Times New Roman" w:cs="Times New Roman"/>
          <w:color w:val="auto"/>
          <w:sz w:val="24"/>
          <w:szCs w:val="24"/>
        </w:rPr>
        <w:t>6.3 Internal resources and skills</w:t>
      </w:r>
      <w:bookmarkEnd w:id="53"/>
      <w:r>
        <w:rPr>
          <w:rFonts w:ascii="Times New Roman" w:hAnsi="Times New Roman" w:cs="Times New Roman"/>
          <w:color w:val="auto"/>
          <w:sz w:val="24"/>
          <w:szCs w:val="24"/>
        </w:rPr>
        <w:t> </w:t>
      </w:r>
    </w:p>
    <w:p>
      <w:pPr>
        <w:pStyle w:val="10"/>
        <w:widowControl/>
        <w:spacing w:after="120" w:line="360" w:lineRule="auto"/>
        <w:textAlignment w:val="baseline"/>
        <w:rPr>
          <w:rFonts w:ascii="Times New Roman" w:hAnsi="Times New Roman" w:eastAsia="Segoe UI"/>
          <w:shd w:val="clear" w:color="auto" w:fill="FFFFFF"/>
          <w:lang w:val="en-GB"/>
        </w:rPr>
      </w:pPr>
      <w:r>
        <w:rPr>
          <w:rFonts w:ascii="Times New Roman" w:hAnsi="Times New Roman" w:eastAsia="Segoe UI"/>
          <w:shd w:val="clear" w:color="auto" w:fill="FFFFFF"/>
          <w:lang w:val="en-GB"/>
        </w:rPr>
        <w:t>Marketing plans must be budgeted for effectively, in addition to being adequately resourced to ensure their successful implementation (</w:t>
      </w:r>
      <w:r>
        <w:rPr>
          <w:rFonts w:ascii="Times New Roman" w:hAnsi="Times New Roman"/>
          <w:bCs/>
          <w:lang w:val="en-GB"/>
        </w:rPr>
        <w:t>Aghazadeh, 2015</w:t>
      </w:r>
      <w:r>
        <w:rPr>
          <w:rFonts w:ascii="Times New Roman" w:hAnsi="Times New Roman" w:eastAsia="Segoe UI"/>
          <w:shd w:val="clear" w:color="auto" w:fill="FFFFFF"/>
          <w:lang w:val="en-GB"/>
        </w:rPr>
        <w:t xml:space="preserve">). Essentially, VW should adequately staff its marketing department in the UK to coordinate and oversee the numerous marketing plan interventions. The marketing personnel must be trained marketers because this will ensure they have courtesy, truthfulness, empathy, and honesty. These professional skills will guarantee VW's higher customer loyalty and trust. Additionally, VW’s budget for the marketing plan should ensure that all functions and activities receive funding accordingly to guarantee efficiency in the marketing plan’s implementation.   </w:t>
      </w:r>
    </w:p>
    <w:p>
      <w:pPr>
        <w:pStyle w:val="3"/>
        <w:spacing w:before="0" w:after="120" w:line="360" w:lineRule="auto"/>
        <w:jc w:val="both"/>
        <w:rPr>
          <w:rFonts w:ascii="Times New Roman" w:hAnsi="Times New Roman" w:cs="Times New Roman"/>
          <w:color w:val="auto"/>
          <w:sz w:val="24"/>
          <w:szCs w:val="24"/>
        </w:rPr>
      </w:pPr>
      <w:bookmarkStart w:id="54" w:name="_Toc40014728"/>
      <w:r>
        <w:rPr>
          <w:rFonts w:ascii="Times New Roman" w:hAnsi="Times New Roman" w:cs="Times New Roman"/>
          <w:color w:val="auto"/>
          <w:sz w:val="24"/>
          <w:szCs w:val="24"/>
        </w:rPr>
        <w:t>6.4 External agencies</w:t>
      </w:r>
      <w:bookmarkEnd w:id="54"/>
      <w:r>
        <w:rPr>
          <w:rFonts w:ascii="Times New Roman" w:hAnsi="Times New Roman" w:cs="Times New Roman"/>
          <w:color w:val="auto"/>
          <w:sz w:val="24"/>
          <w:szCs w:val="24"/>
        </w:rPr>
        <w:t>  </w:t>
      </w:r>
    </w:p>
    <w:p>
      <w:pPr>
        <w:rPr>
          <w:rFonts w:cs="Times New Roman"/>
          <w:szCs w:val="24"/>
        </w:rPr>
      </w:pPr>
      <w:r>
        <w:rPr>
          <w:rFonts w:cs="Times New Roman"/>
          <w:szCs w:val="24"/>
        </w:rPr>
        <w:t>External agencies are third-party service providers who play a complementing role when it comes to marketing plan implementation (</w:t>
      </w:r>
      <w:r>
        <w:rPr>
          <w:rFonts w:cs="Times New Roman"/>
          <w:bCs/>
          <w:szCs w:val="24"/>
        </w:rPr>
        <w:t>Aghazadeh, 2015</w:t>
      </w:r>
      <w:r>
        <w:rPr>
          <w:rFonts w:cs="Times New Roman"/>
          <w:szCs w:val="24"/>
        </w:rPr>
        <w:t>). VW may engage the services of third-party agencies for recruitment, customer relationship marketing, and web analytics to complement its marketing plan implementation. The recruitment agencies will particularly enable VW to hire competent and committed individuals whose total focus will come in handy to fulfill the company’s objectives. The customer relationship marketing agencies will equip VW in automating relationship-marketing activities, which will achieve greater efficiency. Web analytic agencies, on the other hand, will enable VW to conduct big data analysis and gain critical insights towards enhanced customer services.</w:t>
      </w:r>
    </w:p>
    <w:p>
      <w:pPr>
        <w:pStyle w:val="2"/>
        <w:spacing w:before="0" w:after="120"/>
        <w:rPr>
          <w:rFonts w:ascii="Times New Roman" w:hAnsi="Times New Roman" w:cs="Times New Roman"/>
          <w:color w:val="auto"/>
          <w:sz w:val="24"/>
          <w:szCs w:val="24"/>
        </w:rPr>
      </w:pPr>
      <w:bookmarkStart w:id="55" w:name="_Toc40014729"/>
      <w:r>
        <w:rPr>
          <w:rFonts w:ascii="Times New Roman" w:hAnsi="Times New Roman" w:cs="Times New Roman"/>
          <w:color w:val="auto"/>
          <w:sz w:val="24"/>
          <w:szCs w:val="24"/>
        </w:rPr>
        <w:t>7.0 Control</w:t>
      </w:r>
      <w:bookmarkEnd w:id="55"/>
      <w:r>
        <w:rPr>
          <w:rFonts w:ascii="Times New Roman" w:hAnsi="Times New Roman" w:cs="Times New Roman"/>
          <w:color w:val="auto"/>
          <w:sz w:val="24"/>
          <w:szCs w:val="24"/>
        </w:rPr>
        <w:t xml:space="preserve"> </w:t>
      </w:r>
    </w:p>
    <w:p>
      <w:pPr>
        <w:pStyle w:val="3"/>
        <w:spacing w:before="0" w:after="120" w:line="360" w:lineRule="auto"/>
        <w:jc w:val="both"/>
        <w:rPr>
          <w:rFonts w:ascii="Times New Roman" w:hAnsi="Times New Roman" w:cs="Times New Roman"/>
          <w:color w:val="auto"/>
          <w:sz w:val="24"/>
          <w:szCs w:val="24"/>
        </w:rPr>
      </w:pPr>
      <w:bookmarkStart w:id="56" w:name="_Toc40014730"/>
      <w:r>
        <w:rPr>
          <w:rFonts w:ascii="Times New Roman" w:hAnsi="Times New Roman" w:cs="Times New Roman"/>
          <w:color w:val="auto"/>
          <w:sz w:val="24"/>
          <w:szCs w:val="24"/>
        </w:rPr>
        <w:t>7.1 KPIs (key performance indicators)</w:t>
      </w:r>
      <w:bookmarkEnd w:id="56"/>
      <w:r>
        <w:rPr>
          <w:rFonts w:ascii="Times New Roman" w:hAnsi="Times New Roman" w:cs="Times New Roman"/>
          <w:color w:val="auto"/>
          <w:sz w:val="24"/>
          <w:szCs w:val="24"/>
        </w:rPr>
        <w:t xml:space="preserve"> </w:t>
      </w:r>
    </w:p>
    <w:p>
      <w:pPr>
        <w:rPr>
          <w:rFonts w:cs="Times New Roman"/>
          <w:szCs w:val="24"/>
        </w:rPr>
      </w:pPr>
      <w:r>
        <w:rPr>
          <w:rFonts w:cs="Times New Roman"/>
          <w:szCs w:val="24"/>
        </w:rPr>
        <w:t xml:space="preserve">VW should use sales revenue as the main KPI for the marketing plan. During the period of implementation of this marketing plan, VW should observe sales revenue performance to determine growth achievement. The sales revenue KPI should be assigned to the critical steps within the marketing funnel to act as a guide for each of the players involved.    </w:t>
      </w:r>
    </w:p>
    <w:p>
      <w:pPr>
        <w:pStyle w:val="3"/>
        <w:spacing w:before="0" w:after="120" w:line="360" w:lineRule="auto"/>
        <w:jc w:val="both"/>
        <w:rPr>
          <w:rFonts w:ascii="Times New Roman" w:hAnsi="Times New Roman" w:cs="Times New Roman"/>
          <w:color w:val="auto"/>
          <w:sz w:val="24"/>
          <w:szCs w:val="24"/>
        </w:rPr>
      </w:pPr>
      <w:bookmarkStart w:id="57" w:name="_Toc40014731"/>
      <w:r>
        <w:rPr>
          <w:rFonts w:ascii="Times New Roman" w:hAnsi="Times New Roman" w:cs="Times New Roman"/>
          <w:color w:val="auto"/>
          <w:sz w:val="24"/>
          <w:szCs w:val="24"/>
        </w:rPr>
        <w:t>7.2 Web analytics</w:t>
      </w:r>
      <w:bookmarkEnd w:id="57"/>
      <w:r>
        <w:rPr>
          <w:rFonts w:ascii="Times New Roman" w:hAnsi="Times New Roman" w:cs="Times New Roman"/>
          <w:color w:val="auto"/>
          <w:sz w:val="24"/>
          <w:szCs w:val="24"/>
        </w:rPr>
        <w:t xml:space="preserve">  </w:t>
      </w:r>
    </w:p>
    <w:p>
      <w:pPr>
        <w:rPr>
          <w:rFonts w:cs="Times New Roman"/>
          <w:szCs w:val="24"/>
        </w:rPr>
      </w:pPr>
      <w:r>
        <w:rPr>
          <w:rFonts w:cs="Times New Roman"/>
          <w:szCs w:val="24"/>
        </w:rPr>
        <w:t xml:space="preserve">Given that VW will use its website as a marketing place for its vehicles, web analytics will suffice in generating the identity of the site visitors. In particular, the company should use </w:t>
      </w:r>
      <w:bookmarkStart w:id="58" w:name="OLE_LINK1"/>
      <w:r>
        <w:rPr>
          <w:rFonts w:cs="Times New Roman"/>
          <w:szCs w:val="24"/>
        </w:rPr>
        <w:t xml:space="preserve">on-site engagement analytics </w:t>
      </w:r>
      <w:bookmarkEnd w:id="58"/>
      <w:r>
        <w:rPr>
          <w:rFonts w:cs="Times New Roman"/>
          <w:szCs w:val="24"/>
        </w:rPr>
        <w:t xml:space="preserve">to help in understanding what visitors to the site are doing, where exactly they are clicking, the exact spots they are hovering, and the areas they keep checking. On-site engagement analytics will help VW to determine ways of making the website more effective and productive because, from the mouse-move heat map, the company will note the areas needing readjustments on the website.  Besides,  the company should also use </w:t>
      </w:r>
      <w:r>
        <w:rPr>
          <w:rFonts w:eastAsia="Segoe UI"/>
          <w:shd w:val="clear" w:color="auto" w:fill="FFFFFF"/>
        </w:rPr>
        <w:t>Google analytics to track, analyse and drive traffic to its websites.</w:t>
      </w:r>
    </w:p>
    <w:p>
      <w:pPr>
        <w:pStyle w:val="3"/>
        <w:spacing w:before="0" w:after="120" w:line="360" w:lineRule="auto"/>
        <w:jc w:val="both"/>
        <w:rPr>
          <w:rFonts w:ascii="Times New Roman" w:hAnsi="Times New Roman" w:cs="Times New Roman"/>
          <w:color w:val="auto"/>
          <w:sz w:val="24"/>
          <w:szCs w:val="24"/>
        </w:rPr>
      </w:pPr>
      <w:bookmarkStart w:id="59" w:name="_Toc40014732"/>
      <w:r>
        <w:rPr>
          <w:rFonts w:ascii="Times New Roman" w:hAnsi="Times New Roman" w:cs="Times New Roman"/>
          <w:color w:val="auto"/>
          <w:sz w:val="24"/>
          <w:szCs w:val="24"/>
        </w:rPr>
        <w:t>7.3 User experience reviews</w:t>
      </w:r>
      <w:bookmarkEnd w:id="59"/>
      <w:r>
        <w:rPr>
          <w:rFonts w:ascii="Times New Roman" w:hAnsi="Times New Roman" w:cs="Times New Roman"/>
          <w:color w:val="auto"/>
          <w:sz w:val="24"/>
          <w:szCs w:val="24"/>
        </w:rPr>
        <w:t xml:space="preserve">  </w:t>
      </w:r>
    </w:p>
    <w:p>
      <w:pPr>
        <w:rPr>
          <w:rFonts w:cs="Times New Roman"/>
          <w:szCs w:val="24"/>
        </w:rPr>
      </w:pPr>
      <w:r>
        <w:rPr>
          <w:rFonts w:cs="Times New Roman"/>
          <w:szCs w:val="24"/>
        </w:rPr>
        <w:t>VW should rely on the user experience reviews to determine the voice of the customers regarding the products and the marketing approach involved. Based on the user experience reviews, VW should be able to identify areas of strength and weakness about the vehicles and establish intervention mechanisms to quickly address the weaknesses (</w:t>
      </w:r>
      <w:r>
        <w:rPr>
          <w:rFonts w:cs="Times New Roman"/>
          <w:bCs/>
          <w:szCs w:val="24"/>
        </w:rPr>
        <w:t>Chaffey &amp; Smith, 2017)</w:t>
      </w:r>
      <w:r>
        <w:rPr>
          <w:rFonts w:cs="Times New Roman"/>
          <w:szCs w:val="24"/>
        </w:rPr>
        <w:t xml:space="preserve">. </w:t>
      </w:r>
    </w:p>
    <w:p>
      <w:pPr>
        <w:pStyle w:val="3"/>
        <w:spacing w:before="0" w:after="120" w:line="360" w:lineRule="auto"/>
        <w:jc w:val="both"/>
        <w:rPr>
          <w:rFonts w:ascii="Times New Roman" w:hAnsi="Times New Roman" w:cs="Times New Roman"/>
          <w:color w:val="auto"/>
          <w:sz w:val="24"/>
          <w:szCs w:val="24"/>
        </w:rPr>
      </w:pPr>
      <w:bookmarkStart w:id="60" w:name="_Toc40014733"/>
      <w:r>
        <w:rPr>
          <w:rFonts w:ascii="Times New Roman" w:hAnsi="Times New Roman" w:cs="Times New Roman"/>
          <w:color w:val="auto"/>
          <w:sz w:val="24"/>
          <w:szCs w:val="24"/>
        </w:rPr>
        <w:t>7.4 Conversion rates</w:t>
      </w:r>
      <w:bookmarkEnd w:id="60"/>
      <w:r>
        <w:rPr>
          <w:rFonts w:ascii="Times New Roman" w:hAnsi="Times New Roman" w:cs="Times New Roman"/>
          <w:color w:val="auto"/>
          <w:sz w:val="24"/>
          <w:szCs w:val="24"/>
        </w:rPr>
        <w:t xml:space="preserve"> </w:t>
      </w:r>
    </w:p>
    <w:p>
      <w:pPr>
        <w:rPr>
          <w:rFonts w:cs="Times New Roman"/>
          <w:szCs w:val="24"/>
        </w:rPr>
      </w:pPr>
      <w:r>
        <w:rPr>
          <w:rFonts w:cs="Times New Roman"/>
          <w:szCs w:val="24"/>
        </w:rPr>
        <w:t xml:space="preserve">VW should determine the percentage of visitors completing VW’s desired action of purchasing vehicles. A higher conversion rate will reflect an effective marketing plan, while a low conversion rate will reflect an ineffective marketing plan. The conversion rate can be determined over time to determine whether the marketing plan’s effectiveness improves over the implementation period or remains nonresponsive.    </w:t>
      </w:r>
    </w:p>
    <w:p>
      <w:pPr>
        <w:pStyle w:val="3"/>
        <w:spacing w:before="0" w:after="120" w:line="360" w:lineRule="auto"/>
        <w:jc w:val="both"/>
        <w:rPr>
          <w:rFonts w:ascii="Times New Roman" w:hAnsi="Times New Roman" w:cs="Times New Roman"/>
          <w:color w:val="auto"/>
          <w:sz w:val="24"/>
          <w:szCs w:val="24"/>
        </w:rPr>
      </w:pPr>
      <w:bookmarkStart w:id="61" w:name="_Toc40014734"/>
      <w:r>
        <w:rPr>
          <w:rFonts w:ascii="Times New Roman" w:hAnsi="Times New Roman" w:cs="Times New Roman"/>
          <w:color w:val="auto"/>
          <w:sz w:val="24"/>
          <w:szCs w:val="24"/>
        </w:rPr>
        <w:t>7.5 Reporting</w:t>
      </w:r>
      <w:bookmarkEnd w:id="61"/>
      <w:r>
        <w:rPr>
          <w:rFonts w:ascii="Times New Roman" w:hAnsi="Times New Roman" w:cs="Times New Roman"/>
          <w:color w:val="auto"/>
          <w:sz w:val="24"/>
          <w:szCs w:val="24"/>
        </w:rPr>
        <w:t xml:space="preserve">  </w:t>
      </w:r>
    </w:p>
    <w:p>
      <w:pPr>
        <w:rPr>
          <w:rFonts w:cs="Times New Roman"/>
          <w:szCs w:val="24"/>
        </w:rPr>
      </w:pPr>
      <w:r>
        <w:rPr>
          <w:rFonts w:cs="Times New Roman"/>
          <w:szCs w:val="24"/>
        </w:rPr>
        <w:t xml:space="preserve">VW’s final marketing plan report will highlight details about the effectiveness of the marketing plan. The report will mention areas of weaknesses requiring interventions to improve, and will as well identify areas of strength. This information will be crucial in guiding the company to determine a new marketing plan and pinpointing areas that may require increased focus.   </w:t>
      </w:r>
    </w:p>
    <w:p>
      <w:pPr>
        <w:pStyle w:val="2"/>
        <w:spacing w:before="0" w:after="120"/>
        <w:rPr>
          <w:rFonts w:ascii="Times New Roman" w:hAnsi="Times New Roman" w:cs="Times New Roman"/>
          <w:color w:val="auto"/>
          <w:sz w:val="24"/>
          <w:szCs w:val="24"/>
        </w:rPr>
      </w:pPr>
      <w:bookmarkStart w:id="62" w:name="_Toc37927979"/>
      <w:bookmarkStart w:id="63" w:name="_Toc40014735"/>
      <w:r>
        <w:rPr>
          <w:rFonts w:ascii="Times New Roman" w:hAnsi="Times New Roman" w:cs="Times New Roman"/>
          <w:color w:val="auto"/>
          <w:sz w:val="24"/>
          <w:szCs w:val="24"/>
        </w:rPr>
        <w:t>8.0 Conclusion</w:t>
      </w:r>
      <w:bookmarkEnd w:id="62"/>
      <w:bookmarkEnd w:id="63"/>
    </w:p>
    <w:p>
      <w:pPr>
        <w:rPr>
          <w:rFonts w:cs="Times New Roman"/>
          <w:szCs w:val="24"/>
        </w:rPr>
      </w:pPr>
      <w:bookmarkStart w:id="64" w:name="_Toc37927980"/>
      <w:r>
        <w:rPr>
          <w:rFonts w:cs="Times New Roman"/>
          <w:szCs w:val="24"/>
        </w:rPr>
        <w:t>VW’s operations in the UK are buoyed by the multinational status that the company enjoys, which affords the company more considerable sales revenue and, therefore, immense stability. Moreover, the VW brand enjoys strong market loyalty from the 80 years of the company’s existence. However, the company has weaknesses in the high market recall rates as well as scandals that tarnish its reputation. The UK market presents opportunities for VW’s progression going forward, including the manufacturing of new vehicle models that run on alternative energy as opposed to fossil fuel, and the manufacturing of autonomous vehicles that can run with little or no human intervention at all. The market also presents numerous threats to VW, including stiff competition and an impending ban on the sale of new petrol and diesel cars taking effect in 2035.</w:t>
      </w:r>
    </w:p>
    <w:p>
      <w:pPr>
        <w:pStyle w:val="2"/>
        <w:spacing w:before="0" w:after="120"/>
        <w:rPr>
          <w:rFonts w:ascii="Times New Roman" w:hAnsi="Times New Roman" w:cs="Times New Roman"/>
          <w:color w:val="auto"/>
          <w:sz w:val="24"/>
          <w:szCs w:val="24"/>
        </w:rPr>
      </w:pPr>
      <w:bookmarkStart w:id="65" w:name="_Toc40014736"/>
      <w:r>
        <w:rPr>
          <w:rFonts w:ascii="Times New Roman" w:hAnsi="Times New Roman" w:cs="Times New Roman"/>
          <w:color w:val="auto"/>
          <w:sz w:val="24"/>
          <w:szCs w:val="24"/>
        </w:rPr>
        <w:t>9.0 Recommendations</w:t>
      </w:r>
      <w:bookmarkEnd w:id="64"/>
      <w:bookmarkEnd w:id="65"/>
    </w:p>
    <w:p>
      <w:pPr>
        <w:rPr>
          <w:rFonts w:cs="Times New Roman"/>
          <w:szCs w:val="24"/>
        </w:rPr>
      </w:pPr>
      <w:r>
        <w:rPr>
          <w:rFonts w:cs="Times New Roman"/>
          <w:szCs w:val="24"/>
        </w:rPr>
        <w:t xml:space="preserve">Firstly, VW suffers a lot of market recalls of its models, which tends to affect its market reputation negatively. This report recommends that the company addresses this issue by improving its quality production systems to check on the poor product designs and manufacturer. In particular, VW should fully automate its production system to ensure efficiency in the manufacturer and design process. Secondly, VW should eradicate scandals that dog its operations going forward. The company should uphold honesty as part of its values to dissuade employees and managers from ever attempting to cheat to beat systems. The company can embark on retraining its employees, especially for purposes of enforcing values amongst its community of workers and managers. Finally, VW should embark on extensive R&amp;D to guarantee the company more excellent continuity and sustainability in the future. Given that the UK will ban the sale of new petrol and diesel vehicles by 2035, it means that only continued research and development can enable the company to explore new ideas and alternatives. </w:t>
      </w:r>
    </w:p>
    <w:p>
      <w:pPr>
        <w:rPr>
          <w:rFonts w:cs="Times New Roman"/>
          <w:szCs w:val="24"/>
        </w:rPr>
      </w:pPr>
    </w:p>
    <w:p>
      <w:pPr>
        <w:rPr>
          <w:rFonts w:cs="Times New Roman"/>
          <w:b/>
          <w:szCs w:val="24"/>
        </w:rPr>
        <w:sectPr>
          <w:footerReference r:id="rId5" w:type="default"/>
          <w:pgSz w:w="12240" w:h="15840"/>
          <w:pgMar w:top="1440" w:right="1440" w:bottom="1440" w:left="1440" w:header="720" w:footer="720" w:gutter="0"/>
          <w:pgNumType w:start="1"/>
          <w:cols w:space="720" w:num="1"/>
          <w:docGrid w:linePitch="360" w:charSpace="0"/>
        </w:sectPr>
      </w:pPr>
    </w:p>
    <w:p>
      <w:pPr>
        <w:pStyle w:val="2"/>
        <w:spacing w:before="0" w:after="120"/>
        <w:rPr>
          <w:rFonts w:ascii="Times New Roman" w:hAnsi="Times New Roman" w:cs="Times New Roman"/>
          <w:color w:val="auto"/>
          <w:sz w:val="24"/>
          <w:szCs w:val="24"/>
        </w:rPr>
      </w:pPr>
      <w:bookmarkStart w:id="66" w:name="_Toc40014737"/>
      <w:r>
        <w:rPr>
          <w:rFonts w:ascii="Times New Roman" w:hAnsi="Times New Roman" w:cs="Times New Roman"/>
          <w:color w:val="auto"/>
          <w:sz w:val="24"/>
          <w:szCs w:val="24"/>
        </w:rPr>
        <w:t>References</w:t>
      </w:r>
      <w:bookmarkEnd w:id="66"/>
    </w:p>
    <w:p>
      <w:pPr>
        <w:rPr>
          <w:rFonts w:cs="Times New Roman"/>
          <w:bCs/>
          <w:szCs w:val="24"/>
        </w:rPr>
      </w:pPr>
      <w:r>
        <w:rPr>
          <w:rFonts w:cs="Times New Roman"/>
          <w:bCs/>
          <w:szCs w:val="24"/>
        </w:rPr>
        <w:t>A&amp;E</w:t>
      </w:r>
      <w:r>
        <w:rPr>
          <w:rFonts w:hint="eastAsia" w:cs="Times New Roman"/>
          <w:bCs/>
          <w:szCs w:val="24"/>
          <w:lang w:val="en-US" w:eastAsia="zh-CN"/>
        </w:rPr>
        <w:t>,</w:t>
      </w:r>
      <w:r>
        <w:rPr>
          <w:rFonts w:cs="Times New Roman"/>
          <w:bCs/>
          <w:szCs w:val="24"/>
        </w:rPr>
        <w:t xml:space="preserve"> Television Networks (2019) </w:t>
      </w:r>
      <w:r>
        <w:rPr>
          <w:rFonts w:cs="Times New Roman"/>
          <w:bCs/>
          <w:i/>
          <w:szCs w:val="24"/>
        </w:rPr>
        <w:t>Volkswagen is founded.</w:t>
      </w:r>
      <w:r>
        <w:rPr>
          <w:rFonts w:cs="Times New Roman"/>
          <w:bCs/>
          <w:szCs w:val="24"/>
        </w:rPr>
        <w:t xml:space="preserve"> [Online]. Available at: </w:t>
      </w:r>
      <w:r>
        <w:fldChar w:fldCharType="begin"/>
      </w:r>
      <w:r>
        <w:instrText xml:space="preserve"> HYPERLINK "https://www.history.com/this-day-in-history/volkswagen-is-founded" </w:instrText>
      </w:r>
      <w:r>
        <w:fldChar w:fldCharType="separate"/>
      </w:r>
      <w:r>
        <w:rPr>
          <w:rStyle w:val="14"/>
          <w:rFonts w:cs="Times New Roman"/>
          <w:bCs/>
          <w:color w:val="auto"/>
          <w:szCs w:val="24"/>
        </w:rPr>
        <w:t>https://www.history.com/this-day-in-history/volkswagen-is-founded</w:t>
      </w:r>
      <w:r>
        <w:rPr>
          <w:rStyle w:val="14"/>
          <w:rFonts w:cs="Times New Roman"/>
          <w:bCs/>
          <w:color w:val="auto"/>
          <w:szCs w:val="24"/>
        </w:rPr>
        <w:fldChar w:fldCharType="end"/>
      </w:r>
      <w:r>
        <w:rPr>
          <w:rFonts w:cs="Times New Roman"/>
          <w:bCs/>
          <w:szCs w:val="24"/>
        </w:rPr>
        <w:t xml:space="preserve"> (Accessed 20 April 2020)</w:t>
      </w:r>
    </w:p>
    <w:p>
      <w:pPr>
        <w:rPr>
          <w:rFonts w:cs="Times New Roman"/>
          <w:bCs/>
          <w:szCs w:val="24"/>
        </w:rPr>
      </w:pPr>
      <w:r>
        <w:rPr>
          <w:rFonts w:cs="Times New Roman"/>
          <w:bCs/>
          <w:szCs w:val="24"/>
        </w:rPr>
        <w:t xml:space="preserve">Aghazadeh, H. (2015) ‘Strategic Marketing Management: Achieving Superior Business Performance through Intelligent Marketing Strategy, </w:t>
      </w:r>
      <w:r>
        <w:rPr>
          <w:rFonts w:cs="Times New Roman"/>
          <w:bCs/>
          <w:i/>
          <w:szCs w:val="24"/>
        </w:rPr>
        <w:t xml:space="preserve">Procedia – Social and Behavioral Sciences, </w:t>
      </w:r>
      <w:r>
        <w:rPr>
          <w:rFonts w:cs="Times New Roman"/>
          <w:bCs/>
          <w:szCs w:val="24"/>
        </w:rPr>
        <w:t>207, pp. 125-134</w:t>
      </w:r>
    </w:p>
    <w:p>
      <w:pPr>
        <w:rPr>
          <w:rFonts w:cs="Times New Roman"/>
          <w:bCs/>
          <w:szCs w:val="24"/>
        </w:rPr>
      </w:pPr>
      <w:r>
        <w:rPr>
          <w:rFonts w:cs="Times New Roman"/>
          <w:bCs/>
          <w:szCs w:val="24"/>
        </w:rPr>
        <w:t xml:space="preserve">Al Badi, K. S. (2015) ‘The dimensions of marketing mix’, </w:t>
      </w:r>
      <w:r>
        <w:rPr>
          <w:rFonts w:cs="Times New Roman"/>
          <w:bCs/>
          <w:i/>
          <w:szCs w:val="24"/>
        </w:rPr>
        <w:t xml:space="preserve">Management and Organizational Studies, </w:t>
      </w:r>
      <w:r>
        <w:rPr>
          <w:rFonts w:cs="Times New Roman"/>
          <w:bCs/>
          <w:szCs w:val="24"/>
        </w:rPr>
        <w:t xml:space="preserve">2(1), pp. 136-141 </w:t>
      </w:r>
    </w:p>
    <w:p>
      <w:pPr>
        <w:rPr>
          <w:rFonts w:cs="Times New Roman"/>
          <w:bCs/>
          <w:szCs w:val="24"/>
        </w:rPr>
      </w:pPr>
      <w:r>
        <w:rPr>
          <w:rFonts w:cs="Times New Roman"/>
          <w:bCs/>
          <w:szCs w:val="24"/>
        </w:rPr>
        <w:t xml:space="preserve">Alawadhi, M., Almazrouie, J., Kamil, M. </w:t>
      </w:r>
      <w:r>
        <w:rPr>
          <w:rFonts w:cs="Times New Roman"/>
          <w:bCs/>
          <w:iCs/>
          <w:szCs w:val="24"/>
        </w:rPr>
        <w:t>&amp;</w:t>
      </w:r>
      <w:r>
        <w:rPr>
          <w:rFonts w:cs="Times New Roman"/>
          <w:bCs/>
          <w:i/>
          <w:iCs/>
          <w:szCs w:val="24"/>
        </w:rPr>
        <w:t xml:space="preserve"> </w:t>
      </w:r>
      <w:r>
        <w:rPr>
          <w:rFonts w:cs="Times New Roman"/>
          <w:bCs/>
          <w:iCs/>
          <w:szCs w:val="24"/>
        </w:rPr>
        <w:t>Khalil, K. A</w:t>
      </w:r>
      <w:r>
        <w:rPr>
          <w:rFonts w:cs="Times New Roman"/>
          <w:bCs/>
          <w:i/>
          <w:iCs/>
          <w:szCs w:val="24"/>
        </w:rPr>
        <w:t>.</w:t>
      </w:r>
      <w:r>
        <w:rPr>
          <w:rFonts w:cs="Times New Roman"/>
          <w:bCs/>
          <w:szCs w:val="24"/>
        </w:rPr>
        <w:t xml:space="preserve"> (2020) ‘Review and analysis of the importance of autonomous vehicles liability: a systematic literature review’, </w:t>
      </w:r>
      <w:r>
        <w:rPr>
          <w:rFonts w:cs="Times New Roman"/>
          <w:bCs/>
          <w:i/>
          <w:iCs/>
          <w:szCs w:val="24"/>
        </w:rPr>
        <w:t xml:space="preserve">International Journal of System Assurance Engineering and Management, </w:t>
      </w:r>
      <w:r>
        <w:rPr>
          <w:rFonts w:cs="Times New Roman"/>
          <w:bCs/>
          <w:iCs/>
          <w:szCs w:val="24"/>
        </w:rPr>
        <w:t>3(2), pp. 1-18</w:t>
      </w:r>
    </w:p>
    <w:p>
      <w:pPr>
        <w:rPr>
          <w:rFonts w:cs="Times New Roman"/>
          <w:bCs/>
          <w:szCs w:val="24"/>
        </w:rPr>
      </w:pPr>
      <w:r>
        <w:rPr>
          <w:rFonts w:cs="Times New Roman"/>
          <w:bCs/>
          <w:szCs w:val="24"/>
        </w:rPr>
        <w:t xml:space="preserve">Chaffey, D. &amp; Smith, P. R. (2017) </w:t>
      </w:r>
      <w:r>
        <w:rPr>
          <w:rFonts w:cs="Times New Roman"/>
          <w:bCs/>
          <w:i/>
          <w:szCs w:val="24"/>
        </w:rPr>
        <w:t xml:space="preserve">Digital Marketing Excellence. </w:t>
      </w:r>
      <w:r>
        <w:rPr>
          <w:rFonts w:cs="Times New Roman"/>
          <w:bCs/>
          <w:szCs w:val="24"/>
        </w:rPr>
        <w:t>London: Routledge</w:t>
      </w:r>
    </w:p>
    <w:p>
      <w:pPr>
        <w:rPr>
          <w:rFonts w:cs="Times New Roman"/>
          <w:bCs/>
          <w:szCs w:val="24"/>
        </w:rPr>
      </w:pPr>
      <w:r>
        <w:rPr>
          <w:rFonts w:cs="Times New Roman"/>
          <w:bCs/>
          <w:szCs w:val="24"/>
        </w:rPr>
        <w:t xml:space="preserve">Chillingsworth, L. (2019) </w:t>
      </w:r>
      <w:r>
        <w:rPr>
          <w:rFonts w:cs="Times New Roman"/>
          <w:bCs/>
          <w:i/>
          <w:szCs w:val="24"/>
        </w:rPr>
        <w:t>VW Polo car recall: Popular model sold online with potentially dangerous fault says Which?</w:t>
      </w:r>
      <w:r>
        <w:rPr>
          <w:rFonts w:cs="Times New Roman"/>
          <w:bCs/>
          <w:szCs w:val="24"/>
        </w:rPr>
        <w:t xml:space="preserve"> [Online]. Available at: </w:t>
      </w:r>
      <w:r>
        <w:fldChar w:fldCharType="begin"/>
      </w:r>
      <w:r>
        <w:instrText xml:space="preserve"> HYPERLINK "https://www.express.co.uk/life-style/cars/1222379/vw-car-recall-check-polo-uk-used-volkswagen-seat-belt-fault-which" </w:instrText>
      </w:r>
      <w:r>
        <w:fldChar w:fldCharType="separate"/>
      </w:r>
      <w:r>
        <w:rPr>
          <w:rStyle w:val="14"/>
          <w:rFonts w:cs="Times New Roman"/>
          <w:bCs/>
          <w:color w:val="auto"/>
          <w:szCs w:val="24"/>
        </w:rPr>
        <w:t>https://www.express.co.uk/life-style/cars/1222379/vw-car-recall-check-polo-uk-used-volkswagen-seat-belt-fault-which</w:t>
      </w:r>
      <w:r>
        <w:rPr>
          <w:rStyle w:val="14"/>
          <w:rFonts w:cs="Times New Roman"/>
          <w:bCs/>
          <w:color w:val="auto"/>
          <w:szCs w:val="24"/>
        </w:rPr>
        <w:fldChar w:fldCharType="end"/>
      </w:r>
      <w:r>
        <w:rPr>
          <w:rFonts w:cs="Times New Roman"/>
          <w:bCs/>
          <w:szCs w:val="24"/>
        </w:rPr>
        <w:t xml:space="preserve"> (Accessed 1 May 2020)</w:t>
      </w:r>
    </w:p>
    <w:p>
      <w:pPr>
        <w:rPr>
          <w:rFonts w:cs="Times New Roman"/>
          <w:bCs/>
          <w:szCs w:val="24"/>
        </w:rPr>
      </w:pPr>
      <w:r>
        <w:rPr>
          <w:rFonts w:cs="Times New Roman"/>
          <w:bCs/>
          <w:szCs w:val="24"/>
        </w:rPr>
        <w:t xml:space="preserve">Deloitte (2020) </w:t>
      </w:r>
      <w:r>
        <w:rPr>
          <w:rFonts w:cs="Times New Roman"/>
          <w:bCs/>
          <w:i/>
          <w:szCs w:val="24"/>
        </w:rPr>
        <w:t xml:space="preserve">2018 UK Automotive Consumer Study: Navigating the customer journey. </w:t>
      </w:r>
      <w:r>
        <w:rPr>
          <w:rFonts w:cs="Times New Roman"/>
          <w:bCs/>
          <w:szCs w:val="24"/>
        </w:rPr>
        <w:t xml:space="preserve">[Online]. Available at: </w:t>
      </w:r>
      <w:r>
        <w:fldChar w:fldCharType="begin"/>
      </w:r>
      <w:r>
        <w:instrText xml:space="preserve"> HYPERLINK "https://www2.deloitte.com/uk/en/pages/manufacturing/articles/automotive-consumer-study.html" </w:instrText>
      </w:r>
      <w:r>
        <w:fldChar w:fldCharType="separate"/>
      </w:r>
      <w:r>
        <w:rPr>
          <w:rStyle w:val="14"/>
          <w:rFonts w:cs="Times New Roman"/>
          <w:bCs/>
          <w:color w:val="auto"/>
          <w:szCs w:val="24"/>
        </w:rPr>
        <w:t>https://www2.deloitte.com/uk/en/pages/manufacturing/articles/automotive-consumer-study.html</w:t>
      </w:r>
      <w:r>
        <w:rPr>
          <w:rStyle w:val="14"/>
          <w:rFonts w:cs="Times New Roman"/>
          <w:bCs/>
          <w:color w:val="auto"/>
          <w:szCs w:val="24"/>
        </w:rPr>
        <w:fldChar w:fldCharType="end"/>
      </w:r>
      <w:r>
        <w:rPr>
          <w:rFonts w:cs="Times New Roman"/>
          <w:bCs/>
          <w:szCs w:val="24"/>
        </w:rPr>
        <w:t xml:space="preserve"> (Accessed 23 April 2020)</w:t>
      </w:r>
    </w:p>
    <w:p>
      <w:pPr>
        <w:rPr>
          <w:rFonts w:cs="Times New Roman"/>
          <w:bCs/>
          <w:szCs w:val="24"/>
        </w:rPr>
      </w:pPr>
      <w:r>
        <w:rPr>
          <w:rFonts w:cs="Times New Roman"/>
          <w:bCs/>
          <w:szCs w:val="24"/>
        </w:rPr>
        <w:t xml:space="preserve">Department for Environment Food &amp; Rural Affairs (2020) </w:t>
      </w:r>
      <w:r>
        <w:rPr>
          <w:rFonts w:cs="Times New Roman"/>
          <w:bCs/>
          <w:i/>
          <w:szCs w:val="24"/>
        </w:rPr>
        <w:t xml:space="preserve">Official Statistics: Rural population 2014/15. </w:t>
      </w:r>
      <w:r>
        <w:rPr>
          <w:rFonts w:cs="Times New Roman"/>
          <w:bCs/>
          <w:szCs w:val="24"/>
        </w:rPr>
        <w:t xml:space="preserve">[Online]. Available at: </w:t>
      </w:r>
      <w:r>
        <w:fldChar w:fldCharType="begin"/>
      </w:r>
      <w:r>
        <w:instrText xml:space="preserve"> HYPERLINK "https://www.gov.uk/government/publications/rural-population-and-migration/rural-population-201415" </w:instrText>
      </w:r>
      <w:r>
        <w:fldChar w:fldCharType="separate"/>
      </w:r>
      <w:r>
        <w:rPr>
          <w:rStyle w:val="14"/>
          <w:rFonts w:cs="Times New Roman"/>
          <w:bCs/>
          <w:color w:val="auto"/>
          <w:szCs w:val="24"/>
        </w:rPr>
        <w:t>https://www.gov.uk/government/publications/rural-population-and-migration/rural-population-201415</w:t>
      </w:r>
      <w:r>
        <w:rPr>
          <w:rStyle w:val="14"/>
          <w:rFonts w:cs="Times New Roman"/>
          <w:bCs/>
          <w:color w:val="auto"/>
          <w:szCs w:val="24"/>
        </w:rPr>
        <w:fldChar w:fldCharType="end"/>
      </w:r>
      <w:r>
        <w:rPr>
          <w:rFonts w:cs="Times New Roman"/>
          <w:bCs/>
          <w:szCs w:val="24"/>
        </w:rPr>
        <w:t xml:space="preserve"> (Accessed 24 April 2020)  </w:t>
      </w:r>
    </w:p>
    <w:p>
      <w:pPr>
        <w:rPr>
          <w:rFonts w:cs="Times New Roman"/>
          <w:bCs/>
          <w:szCs w:val="24"/>
        </w:rPr>
      </w:pPr>
      <w:r>
        <w:rPr>
          <w:rFonts w:cs="Times New Roman"/>
          <w:bCs/>
          <w:szCs w:val="24"/>
        </w:rPr>
        <w:t xml:space="preserve">Dolnicar, S., Grün, B., &amp; Leisch, F. (2018) </w:t>
      </w:r>
      <w:r>
        <w:rPr>
          <w:rFonts w:cs="Times New Roman"/>
          <w:bCs/>
          <w:i/>
          <w:iCs/>
          <w:szCs w:val="24"/>
        </w:rPr>
        <w:t>Market segmentation analysis: Understanding it, doing it, and making it useful</w:t>
      </w:r>
      <w:r>
        <w:rPr>
          <w:rFonts w:cs="Times New Roman"/>
          <w:bCs/>
          <w:szCs w:val="24"/>
        </w:rPr>
        <w:t>. Singapore: Springer</w:t>
      </w:r>
    </w:p>
    <w:p>
      <w:pPr>
        <w:rPr>
          <w:rFonts w:cs="Times New Roman"/>
          <w:bCs/>
          <w:szCs w:val="24"/>
        </w:rPr>
      </w:pPr>
      <w:r>
        <w:rPr>
          <w:rFonts w:cs="Times New Roman"/>
          <w:bCs/>
          <w:szCs w:val="24"/>
        </w:rPr>
        <w:t xml:space="preserve">Gürel, E. (2017) ‘SWOT Analysis: A Theoretical Review’, </w:t>
      </w:r>
      <w:r>
        <w:rPr>
          <w:rFonts w:cs="Times New Roman"/>
          <w:bCs/>
          <w:i/>
          <w:szCs w:val="24"/>
        </w:rPr>
        <w:t xml:space="preserve">The Journal of International Social Research, </w:t>
      </w:r>
      <w:r>
        <w:rPr>
          <w:rFonts w:cs="Times New Roman"/>
          <w:bCs/>
          <w:szCs w:val="24"/>
        </w:rPr>
        <w:t>10(51), pp. 994-1006</w:t>
      </w:r>
    </w:p>
    <w:p>
      <w:pPr>
        <w:rPr>
          <w:rFonts w:cs="Times New Roman"/>
          <w:bCs/>
          <w:szCs w:val="24"/>
        </w:rPr>
      </w:pPr>
      <w:r>
        <w:rPr>
          <w:rFonts w:cs="Times New Roman"/>
          <w:bCs/>
          <w:szCs w:val="24"/>
        </w:rPr>
        <w:t xml:space="preserve">Harvey, F. (2020) </w:t>
      </w:r>
      <w:r>
        <w:rPr>
          <w:rFonts w:cs="Times New Roman"/>
          <w:bCs/>
          <w:i/>
          <w:szCs w:val="24"/>
        </w:rPr>
        <w:t xml:space="preserve">VW installed 'defeat devices' to subvert emissions tests, high court finds. </w:t>
      </w:r>
      <w:r>
        <w:rPr>
          <w:rFonts w:cs="Times New Roman"/>
          <w:bCs/>
          <w:szCs w:val="24"/>
        </w:rPr>
        <w:t xml:space="preserve">[Online]. Available at: </w:t>
      </w:r>
      <w:r>
        <w:fldChar w:fldCharType="begin"/>
      </w:r>
      <w:r>
        <w:instrText xml:space="preserve"> HYPERLINK "https://www.theguardian.com/business/2020/apr/06/volkswagen-installed-thousands-unlawful-defeat-devices-high-court-dieselgate" </w:instrText>
      </w:r>
      <w:r>
        <w:fldChar w:fldCharType="separate"/>
      </w:r>
      <w:r>
        <w:rPr>
          <w:rStyle w:val="14"/>
          <w:rFonts w:cs="Times New Roman"/>
          <w:bCs/>
          <w:color w:val="auto"/>
          <w:szCs w:val="24"/>
        </w:rPr>
        <w:t>https://www.theguardian.com/business/2020/apr/06/volkswagen-installed-thousands-unlawful-defeat-devices-high-court-dieselgate</w:t>
      </w:r>
      <w:r>
        <w:rPr>
          <w:rStyle w:val="14"/>
          <w:rFonts w:cs="Times New Roman"/>
          <w:bCs/>
          <w:color w:val="auto"/>
          <w:szCs w:val="24"/>
        </w:rPr>
        <w:fldChar w:fldCharType="end"/>
      </w:r>
      <w:r>
        <w:rPr>
          <w:rFonts w:cs="Times New Roman"/>
          <w:bCs/>
          <w:szCs w:val="24"/>
        </w:rPr>
        <w:t xml:space="preserve"> (Accessed 2 May 2020)</w:t>
      </w:r>
    </w:p>
    <w:p>
      <w:pPr>
        <w:rPr>
          <w:rFonts w:cs="Times New Roman"/>
          <w:szCs w:val="24"/>
        </w:rPr>
      </w:pPr>
      <w:r>
        <w:rPr>
          <w:rFonts w:cs="Times New Roman"/>
          <w:szCs w:val="24"/>
        </w:rPr>
        <w:t xml:space="preserve">Hatzigeorgiou, A., &amp; Lodefalk, M. (2016) ‘The brexit trade disruption revisited’, </w:t>
      </w:r>
      <w:r>
        <w:rPr>
          <w:rFonts w:cs="Times New Roman"/>
          <w:i/>
          <w:iCs/>
          <w:szCs w:val="24"/>
        </w:rPr>
        <w:t xml:space="preserve">The Estey Centre Journal of International Law and Trade Policy, </w:t>
      </w:r>
      <w:r>
        <w:rPr>
          <w:rFonts w:cs="Times New Roman"/>
          <w:iCs/>
          <w:szCs w:val="24"/>
        </w:rPr>
        <w:t>17</w:t>
      </w:r>
      <w:r>
        <w:rPr>
          <w:rFonts w:cs="Times New Roman"/>
          <w:szCs w:val="24"/>
        </w:rPr>
        <w:t>(1), pp. 41-58.</w:t>
      </w:r>
    </w:p>
    <w:p>
      <w:pPr>
        <w:rPr>
          <w:rFonts w:cs="Times New Roman"/>
          <w:szCs w:val="24"/>
        </w:rPr>
      </w:pPr>
      <w:r>
        <w:rPr>
          <w:rFonts w:cs="Times New Roman"/>
          <w:szCs w:val="24"/>
        </w:rPr>
        <w:t xml:space="preserve">Higgins, E., Taylor, M., &amp; Francis, H. (2012) ‘A systemic approach to fire prevention support’, </w:t>
      </w:r>
      <w:r>
        <w:rPr>
          <w:rFonts w:cs="Times New Roman"/>
          <w:i/>
          <w:iCs/>
          <w:szCs w:val="24"/>
        </w:rPr>
        <w:t xml:space="preserve">Systemic Practice and Action Research, </w:t>
      </w:r>
      <w:r>
        <w:rPr>
          <w:rFonts w:cs="Times New Roman"/>
          <w:iCs/>
          <w:szCs w:val="24"/>
        </w:rPr>
        <w:t>25</w:t>
      </w:r>
      <w:r>
        <w:rPr>
          <w:rFonts w:cs="Times New Roman"/>
          <w:szCs w:val="24"/>
        </w:rPr>
        <w:t>(5), pp. 393-406.</w:t>
      </w:r>
    </w:p>
    <w:p>
      <w:pPr>
        <w:rPr>
          <w:rFonts w:cs="Times New Roman"/>
          <w:bCs/>
          <w:szCs w:val="24"/>
        </w:rPr>
      </w:pPr>
      <w:r>
        <w:rPr>
          <w:rFonts w:cs="Times New Roman"/>
          <w:bCs/>
          <w:szCs w:val="24"/>
        </w:rPr>
        <w:t xml:space="preserve">Holweg, M., Davies, P. &amp; Podpolny, D. (2009) The competitive status of the UK automotive industry. [Online]. Available at: </w:t>
      </w:r>
      <w:r>
        <w:fldChar w:fldCharType="begin"/>
      </w:r>
      <w:r>
        <w:instrText xml:space="preserve"> HYPERLINK "http://www.innovation.jbs.cam.ac.uk/research/downloads/holweg_competitive_status.pdf" </w:instrText>
      </w:r>
      <w:r>
        <w:fldChar w:fldCharType="separate"/>
      </w:r>
      <w:r>
        <w:rPr>
          <w:rStyle w:val="14"/>
          <w:rFonts w:cs="Times New Roman"/>
          <w:bCs/>
          <w:color w:val="auto"/>
          <w:szCs w:val="24"/>
        </w:rPr>
        <w:t>http://www.innovation.jbs.cam.ac.uk/research/downloads/holweg_competitive_status.pdf</w:t>
      </w:r>
      <w:r>
        <w:rPr>
          <w:rStyle w:val="14"/>
          <w:rFonts w:cs="Times New Roman"/>
          <w:bCs/>
          <w:color w:val="auto"/>
          <w:szCs w:val="24"/>
        </w:rPr>
        <w:fldChar w:fldCharType="end"/>
      </w:r>
      <w:r>
        <w:rPr>
          <w:rFonts w:cs="Times New Roman"/>
          <w:bCs/>
          <w:szCs w:val="24"/>
        </w:rPr>
        <w:t xml:space="preserve"> (Accessed 23 April 2020)</w:t>
      </w:r>
    </w:p>
    <w:p>
      <w:pPr>
        <w:rPr>
          <w:rFonts w:cs="Times New Roman"/>
          <w:bCs/>
          <w:szCs w:val="24"/>
        </w:rPr>
      </w:pPr>
      <w:r>
        <w:rPr>
          <w:rFonts w:cs="Times New Roman"/>
          <w:bCs/>
          <w:szCs w:val="24"/>
        </w:rPr>
        <w:t xml:space="preserve">Hotten, R. (2015) </w:t>
      </w:r>
      <w:r>
        <w:rPr>
          <w:rFonts w:cs="Times New Roman"/>
          <w:bCs/>
          <w:i/>
          <w:szCs w:val="24"/>
        </w:rPr>
        <w:t xml:space="preserve">Volkswagen: The scandal explained. </w:t>
      </w:r>
      <w:r>
        <w:rPr>
          <w:rFonts w:cs="Times New Roman"/>
          <w:bCs/>
          <w:szCs w:val="24"/>
        </w:rPr>
        <w:t xml:space="preserve">[Online]. Available at: </w:t>
      </w:r>
      <w:r>
        <w:fldChar w:fldCharType="begin"/>
      </w:r>
      <w:r>
        <w:instrText xml:space="preserve"> HYPERLINK "https://www.bbc.com/news/business-34324772" </w:instrText>
      </w:r>
      <w:r>
        <w:fldChar w:fldCharType="separate"/>
      </w:r>
      <w:r>
        <w:rPr>
          <w:rStyle w:val="14"/>
          <w:rFonts w:cs="Times New Roman"/>
          <w:bCs/>
          <w:color w:val="auto"/>
          <w:szCs w:val="24"/>
        </w:rPr>
        <w:t>https://www.bbc.com/news/business-34324772</w:t>
      </w:r>
      <w:r>
        <w:rPr>
          <w:rStyle w:val="14"/>
          <w:rFonts w:cs="Times New Roman"/>
          <w:bCs/>
          <w:color w:val="auto"/>
          <w:szCs w:val="24"/>
        </w:rPr>
        <w:fldChar w:fldCharType="end"/>
      </w:r>
      <w:r>
        <w:rPr>
          <w:rFonts w:cs="Times New Roman"/>
          <w:bCs/>
          <w:szCs w:val="24"/>
        </w:rPr>
        <w:t xml:space="preserve"> (Accessed 1 May 2020)</w:t>
      </w:r>
    </w:p>
    <w:p>
      <w:pPr>
        <w:rPr>
          <w:rFonts w:cs="Times New Roman"/>
          <w:bCs/>
          <w:szCs w:val="24"/>
        </w:rPr>
      </w:pPr>
      <w:r>
        <w:rPr>
          <w:rFonts w:cs="Times New Roman"/>
          <w:bCs/>
          <w:szCs w:val="24"/>
        </w:rPr>
        <w:t xml:space="preserve">Hull, R. (2016) </w:t>
      </w:r>
      <w:r>
        <w:rPr>
          <w:rFonts w:cs="Times New Roman"/>
          <w:bCs/>
          <w:i/>
          <w:szCs w:val="24"/>
        </w:rPr>
        <w:t xml:space="preserve">VW profits poleaxed by dieselgate emissions cheating scandal as earnings tank 57%. </w:t>
      </w:r>
      <w:r>
        <w:rPr>
          <w:rFonts w:cs="Times New Roman"/>
          <w:bCs/>
          <w:szCs w:val="24"/>
        </w:rPr>
        <w:t xml:space="preserve">[Online]. Available at: </w:t>
      </w:r>
      <w:r>
        <w:fldChar w:fldCharType="begin"/>
      </w:r>
      <w:r>
        <w:instrText xml:space="preserve"> HYPERLINK "https://www.thisismoney.co.uk/money/cars/article-3712942/VW-profits-drop-57-dieselgate-emissions-scandal.html" </w:instrText>
      </w:r>
      <w:r>
        <w:fldChar w:fldCharType="separate"/>
      </w:r>
      <w:r>
        <w:rPr>
          <w:rStyle w:val="14"/>
          <w:rFonts w:cs="Times New Roman"/>
          <w:bCs/>
          <w:color w:val="auto"/>
          <w:szCs w:val="24"/>
        </w:rPr>
        <w:t>https://www.thisismoney.co.uk/money/cars/article-3712942/VW-profits-drop-57-dieselgate-emissions-scandal.html</w:t>
      </w:r>
      <w:r>
        <w:rPr>
          <w:rStyle w:val="14"/>
          <w:rFonts w:cs="Times New Roman"/>
          <w:bCs/>
          <w:color w:val="auto"/>
          <w:szCs w:val="24"/>
        </w:rPr>
        <w:fldChar w:fldCharType="end"/>
      </w:r>
      <w:r>
        <w:rPr>
          <w:rFonts w:cs="Times New Roman"/>
          <w:bCs/>
          <w:szCs w:val="24"/>
        </w:rPr>
        <w:t xml:space="preserve"> (Accessed 30 April 2020).</w:t>
      </w:r>
    </w:p>
    <w:p>
      <w:pPr>
        <w:rPr>
          <w:rFonts w:cs="Times New Roman"/>
          <w:bCs/>
          <w:szCs w:val="24"/>
        </w:rPr>
      </w:pPr>
      <w:r>
        <w:rPr>
          <w:rFonts w:cs="Times New Roman"/>
          <w:bCs/>
          <w:szCs w:val="24"/>
        </w:rPr>
        <w:t xml:space="preserve">Hull, R. (2019) </w:t>
      </w:r>
      <w:r>
        <w:rPr>
          <w:rFonts w:cs="Times New Roman"/>
          <w:bCs/>
          <w:i/>
          <w:szCs w:val="24"/>
        </w:rPr>
        <w:t xml:space="preserve">The 10 best new car innovations being pioneered by manufacturers to save lives, extend journeys and boost connectivity. </w:t>
      </w:r>
      <w:r>
        <w:rPr>
          <w:rFonts w:cs="Times New Roman"/>
          <w:bCs/>
          <w:szCs w:val="24"/>
        </w:rPr>
        <w:t xml:space="preserve">[Online]. Available at: </w:t>
      </w:r>
      <w:r>
        <w:fldChar w:fldCharType="begin"/>
      </w:r>
      <w:r>
        <w:instrText xml:space="preserve"> HYPERLINK "https://www.thisismoney.co.uk/money/cars/article-7738401/The-10-best-new-car-innovations-pioneered-manufacturers.html" </w:instrText>
      </w:r>
      <w:r>
        <w:fldChar w:fldCharType="separate"/>
      </w:r>
      <w:r>
        <w:rPr>
          <w:rStyle w:val="14"/>
          <w:rFonts w:cs="Times New Roman"/>
          <w:bCs/>
          <w:color w:val="auto"/>
          <w:szCs w:val="24"/>
        </w:rPr>
        <w:t>https://www.thisismoney.co.uk/money/cars/article-7738401/The-10-best-new-car-innovations-pioneered-manufacturers.html</w:t>
      </w:r>
      <w:r>
        <w:rPr>
          <w:rStyle w:val="14"/>
          <w:rFonts w:cs="Times New Roman"/>
          <w:bCs/>
          <w:color w:val="auto"/>
          <w:szCs w:val="24"/>
        </w:rPr>
        <w:fldChar w:fldCharType="end"/>
      </w:r>
      <w:r>
        <w:rPr>
          <w:rFonts w:cs="Times New Roman"/>
          <w:bCs/>
          <w:szCs w:val="24"/>
        </w:rPr>
        <w:t xml:space="preserve"> (Accessed: 26 April 2020).</w:t>
      </w:r>
    </w:p>
    <w:p>
      <w:pPr>
        <w:rPr>
          <w:rFonts w:cs="Times New Roman"/>
          <w:bCs/>
          <w:szCs w:val="24"/>
        </w:rPr>
      </w:pPr>
      <w:r>
        <w:rPr>
          <w:rFonts w:cs="Times New Roman"/>
          <w:bCs/>
          <w:szCs w:val="24"/>
        </w:rPr>
        <w:t xml:space="preserve">Karlsson, J., Melin, H. &amp; Cullinane, K. (2018) ‘The impact of potential Brexit scenarios on German car exports to the UK: an application of the gravity model’, </w:t>
      </w:r>
      <w:r>
        <w:rPr>
          <w:rFonts w:cs="Times New Roman"/>
          <w:bCs/>
          <w:i/>
          <w:iCs/>
          <w:szCs w:val="24"/>
        </w:rPr>
        <w:t xml:space="preserve">Journal of Shipping and Trade, </w:t>
      </w:r>
      <w:r>
        <w:rPr>
          <w:rFonts w:cs="Times New Roman"/>
          <w:bCs/>
          <w:szCs w:val="24"/>
        </w:rPr>
        <w:t>3(12), pp. 1-22</w:t>
      </w:r>
    </w:p>
    <w:p>
      <w:pPr>
        <w:rPr>
          <w:rFonts w:cs="Times New Roman"/>
          <w:bCs/>
          <w:szCs w:val="24"/>
        </w:rPr>
      </w:pPr>
      <w:r>
        <w:rPr>
          <w:rFonts w:cs="Times New Roman"/>
          <w:bCs/>
          <w:szCs w:val="24"/>
        </w:rPr>
        <w:t xml:space="preserve">Kelly, F. J., &amp; Fussell, J. C. (2015) ‘Air pollution and public health: emerging hazards and improved understanding of risk’, </w:t>
      </w:r>
      <w:r>
        <w:rPr>
          <w:rFonts w:cs="Times New Roman"/>
          <w:bCs/>
          <w:i/>
          <w:iCs/>
          <w:szCs w:val="24"/>
        </w:rPr>
        <w:t>Environmental geochemistry and health</w:t>
      </w:r>
      <w:r>
        <w:rPr>
          <w:rFonts w:cs="Times New Roman"/>
          <w:bCs/>
          <w:szCs w:val="24"/>
        </w:rPr>
        <w:t xml:space="preserve">, </w:t>
      </w:r>
      <w:r>
        <w:rPr>
          <w:rFonts w:cs="Times New Roman"/>
          <w:bCs/>
          <w:iCs/>
          <w:szCs w:val="24"/>
        </w:rPr>
        <w:t>37</w:t>
      </w:r>
      <w:r>
        <w:rPr>
          <w:rFonts w:cs="Times New Roman"/>
          <w:bCs/>
          <w:szCs w:val="24"/>
        </w:rPr>
        <w:t>(4), pp. 631–649.</w:t>
      </w:r>
    </w:p>
    <w:p>
      <w:pPr>
        <w:rPr>
          <w:rFonts w:cs="Times New Roman"/>
          <w:bCs/>
          <w:szCs w:val="24"/>
        </w:rPr>
      </w:pPr>
      <w:r>
        <w:rPr>
          <w:rFonts w:cs="Times New Roman"/>
          <w:bCs/>
          <w:szCs w:val="24"/>
        </w:rPr>
        <w:t xml:space="preserve">Kienzler, M. &amp; Kowalkowski, C. (2017) ‘Pricing strategy: A review of 22 years of marketing research’, </w:t>
      </w:r>
      <w:r>
        <w:rPr>
          <w:rFonts w:cs="Times New Roman"/>
          <w:bCs/>
          <w:i/>
          <w:szCs w:val="24"/>
        </w:rPr>
        <w:t>Journal of Business Research,</w:t>
      </w:r>
      <w:r>
        <w:rPr>
          <w:rFonts w:cs="Times New Roman"/>
          <w:bCs/>
          <w:szCs w:val="24"/>
        </w:rPr>
        <w:t xml:space="preserve"> 78, pp. 101-110.</w:t>
      </w:r>
    </w:p>
    <w:p>
      <w:pPr>
        <w:rPr>
          <w:rFonts w:cs="Times New Roman"/>
          <w:bCs/>
          <w:szCs w:val="24"/>
        </w:rPr>
      </w:pPr>
      <w:r>
        <w:rPr>
          <w:rFonts w:cs="Times New Roman"/>
          <w:bCs/>
          <w:szCs w:val="24"/>
        </w:rPr>
        <w:t xml:space="preserve">Kundu, S. &amp; Rajan, C. R. S. (2017) ‘Word of Mouth: A Literature Review’, </w:t>
      </w:r>
      <w:r>
        <w:rPr>
          <w:rFonts w:cs="Times New Roman"/>
          <w:bCs/>
          <w:i/>
          <w:szCs w:val="24"/>
        </w:rPr>
        <w:t xml:space="preserve">International Journal of Economics &amp; Management Sciences, </w:t>
      </w:r>
      <w:r>
        <w:rPr>
          <w:rFonts w:cs="Times New Roman"/>
          <w:bCs/>
          <w:szCs w:val="24"/>
        </w:rPr>
        <w:t>6(6), pp. 1-9</w:t>
      </w:r>
    </w:p>
    <w:p>
      <w:pPr>
        <w:rPr>
          <w:rFonts w:cs="Times New Roman"/>
          <w:szCs w:val="24"/>
        </w:rPr>
      </w:pPr>
      <w:r>
        <w:rPr>
          <w:rFonts w:cs="Times New Roman"/>
          <w:szCs w:val="24"/>
        </w:rPr>
        <w:t xml:space="preserve">Liao, F., Molin, E. &amp; van Wee, B. (2015) ‘Consumer preferences for electric vehicles: a literature review’, </w:t>
      </w:r>
      <w:r>
        <w:rPr>
          <w:rFonts w:cs="Times New Roman"/>
          <w:i/>
          <w:szCs w:val="24"/>
        </w:rPr>
        <w:t xml:space="preserve">Transport Review, </w:t>
      </w:r>
      <w:r>
        <w:rPr>
          <w:rFonts w:cs="Times New Roman"/>
          <w:szCs w:val="24"/>
        </w:rPr>
        <w:t>37(3), pp. 252-275</w:t>
      </w:r>
    </w:p>
    <w:p>
      <w:pPr>
        <w:rPr>
          <w:rFonts w:cs="Times New Roman"/>
          <w:bCs/>
          <w:szCs w:val="24"/>
        </w:rPr>
      </w:pPr>
      <w:r>
        <w:rPr>
          <w:rFonts w:cs="Times New Roman"/>
          <w:bCs/>
          <w:szCs w:val="24"/>
        </w:rPr>
        <w:t xml:space="preserve">Morgan, N. A., Whitler, K. A., Feng, H. &amp; Chari, S. (2018) ‘Research in marketing strategy’, </w:t>
      </w:r>
      <w:r>
        <w:rPr>
          <w:rFonts w:cs="Times New Roman"/>
          <w:bCs/>
          <w:i/>
          <w:szCs w:val="24"/>
        </w:rPr>
        <w:t xml:space="preserve">Journal of the Academy of Marketing Science, </w:t>
      </w:r>
      <w:r>
        <w:rPr>
          <w:rFonts w:cs="Times New Roman"/>
          <w:bCs/>
          <w:szCs w:val="24"/>
        </w:rPr>
        <w:t xml:space="preserve">47, pp. 4-29. </w:t>
      </w:r>
    </w:p>
    <w:p>
      <w:pPr>
        <w:rPr>
          <w:rFonts w:cs="Times New Roman"/>
          <w:bCs/>
          <w:szCs w:val="24"/>
        </w:rPr>
      </w:pPr>
      <w:r>
        <w:rPr>
          <w:rFonts w:cs="Times New Roman"/>
          <w:bCs/>
          <w:szCs w:val="24"/>
        </w:rPr>
        <w:t xml:space="preserve">Office for National Statistics (2019) </w:t>
      </w:r>
      <w:r>
        <w:rPr>
          <w:rFonts w:cs="Times New Roman"/>
          <w:bCs/>
          <w:i/>
          <w:szCs w:val="24"/>
        </w:rPr>
        <w:t>Average household income, UK: Financial year ending 2019 (provisional).</w:t>
      </w:r>
      <w:r>
        <w:rPr>
          <w:rFonts w:cs="Times New Roman"/>
          <w:bCs/>
          <w:szCs w:val="24"/>
        </w:rPr>
        <w:t xml:space="preserve"> [Online]. Available at </w:t>
      </w:r>
      <w:r>
        <w:fldChar w:fldCharType="begin"/>
      </w:r>
      <w:r>
        <w:instrText xml:space="preserve"> HYPERLINK "https://www.ons.gov.uk/peoplepopulationandcommunity/personalandhouseholdfinances/incomeandwealth/bulletins/householddisposableincomeandinequality/financialyearending2019provisional" </w:instrText>
      </w:r>
      <w:r>
        <w:fldChar w:fldCharType="separate"/>
      </w:r>
      <w:r>
        <w:rPr>
          <w:rStyle w:val="14"/>
          <w:rFonts w:cs="Times New Roman"/>
          <w:bCs/>
          <w:color w:val="auto"/>
          <w:szCs w:val="24"/>
        </w:rPr>
        <w:t>https://www.ons.gov.uk/peoplepopulationandcommunity/personalandhouseholdfinances/incomeandwealth/bulletins/householddisposableincomeandinequality/financialyearending2019provisional</w:t>
      </w:r>
      <w:r>
        <w:rPr>
          <w:rStyle w:val="14"/>
          <w:rFonts w:cs="Times New Roman"/>
          <w:bCs/>
          <w:color w:val="auto"/>
          <w:szCs w:val="24"/>
        </w:rPr>
        <w:fldChar w:fldCharType="end"/>
      </w:r>
      <w:r>
        <w:rPr>
          <w:rFonts w:cs="Times New Roman"/>
          <w:bCs/>
          <w:szCs w:val="24"/>
        </w:rPr>
        <w:t xml:space="preserve"> (Accessed 18 April 2020)</w:t>
      </w:r>
    </w:p>
    <w:p>
      <w:pPr>
        <w:rPr>
          <w:rFonts w:cs="Times New Roman"/>
          <w:bCs/>
          <w:szCs w:val="24"/>
        </w:rPr>
      </w:pPr>
      <w:r>
        <w:rPr>
          <w:rFonts w:cs="Times New Roman"/>
          <w:bCs/>
          <w:szCs w:val="24"/>
        </w:rPr>
        <w:t xml:space="preserve">Oude L. A., Stefanou, S. E., &amp; Kapelko, M. (2015) ‘The impact of inefficiency on diversification’. </w:t>
      </w:r>
      <w:r>
        <w:rPr>
          <w:rFonts w:cs="Times New Roman"/>
          <w:bCs/>
          <w:i/>
          <w:iCs/>
          <w:szCs w:val="24"/>
        </w:rPr>
        <w:t>Journal of Productivity Analysis, 44</w:t>
      </w:r>
      <w:r>
        <w:rPr>
          <w:rFonts w:cs="Times New Roman"/>
          <w:bCs/>
          <w:szCs w:val="24"/>
        </w:rPr>
        <w:t>(2), 189-198</w:t>
      </w:r>
    </w:p>
    <w:p>
      <w:pPr>
        <w:rPr>
          <w:rFonts w:cs="Times New Roman"/>
          <w:bCs/>
          <w:szCs w:val="24"/>
        </w:rPr>
      </w:pPr>
      <w:r>
        <w:rPr>
          <w:rFonts w:cs="Times New Roman"/>
          <w:bCs/>
          <w:szCs w:val="24"/>
        </w:rPr>
        <w:t xml:space="preserve">Smith, P. R. (2015) </w:t>
      </w:r>
      <w:r>
        <w:rPr>
          <w:rFonts w:cs="Times New Roman"/>
          <w:bCs/>
          <w:i/>
          <w:szCs w:val="24"/>
        </w:rPr>
        <w:t>The SOSTAC guide to your perfect digital marketing plan.</w:t>
      </w:r>
      <w:r>
        <w:rPr>
          <w:rFonts w:cs="Times New Roman"/>
          <w:bCs/>
          <w:szCs w:val="24"/>
        </w:rPr>
        <w:t xml:space="preserve"> London: PR Smith. </w:t>
      </w:r>
    </w:p>
    <w:p>
      <w:pPr>
        <w:rPr>
          <w:rFonts w:cs="Times New Roman"/>
          <w:bCs/>
          <w:szCs w:val="24"/>
        </w:rPr>
      </w:pPr>
      <w:r>
        <w:rPr>
          <w:rFonts w:cs="Times New Roman"/>
          <w:bCs/>
          <w:szCs w:val="24"/>
        </w:rPr>
        <w:t xml:space="preserve">Sood, T. (2017) </w:t>
      </w:r>
      <w:r>
        <w:rPr>
          <w:rFonts w:cs="Times New Roman"/>
          <w:bCs/>
          <w:i/>
          <w:iCs/>
          <w:szCs w:val="24"/>
        </w:rPr>
        <w:t>Strategic marketing management and tactics in the service industry</w:t>
      </w:r>
      <w:r>
        <w:rPr>
          <w:rFonts w:cs="Times New Roman"/>
          <w:bCs/>
          <w:szCs w:val="24"/>
        </w:rPr>
        <w:t>. Hershey, PA: IGI Global</w:t>
      </w:r>
    </w:p>
    <w:p>
      <w:pPr>
        <w:rPr>
          <w:rFonts w:cs="Times New Roman"/>
          <w:bCs/>
          <w:szCs w:val="24"/>
        </w:rPr>
      </w:pPr>
      <w:r>
        <w:rPr>
          <w:rFonts w:cs="Times New Roman"/>
          <w:bCs/>
          <w:szCs w:val="24"/>
        </w:rPr>
        <w:t xml:space="preserve">Sridhar, R., Sachithanandam, V., Mageswaran, T., Purvaja, R., Ramesh, R., Vel, A. S. &amp; Thirunavukkarasu, E. (2016) ‘A Political, Economic, Social, Technological, Legal and Environmental (PESTLE) approach for assessment of coastal zone management practice in India’, </w:t>
      </w:r>
      <w:r>
        <w:rPr>
          <w:rFonts w:cs="Times New Roman"/>
          <w:bCs/>
          <w:i/>
          <w:szCs w:val="24"/>
        </w:rPr>
        <w:t>International Review of Public Administration,</w:t>
      </w:r>
      <w:r>
        <w:rPr>
          <w:rFonts w:cs="Times New Roman"/>
          <w:bCs/>
          <w:szCs w:val="24"/>
        </w:rPr>
        <w:t>21(3), pp. 216-232</w:t>
      </w:r>
    </w:p>
    <w:p>
      <w:pPr>
        <w:rPr>
          <w:rFonts w:cs="Times New Roman"/>
          <w:szCs w:val="24"/>
        </w:rPr>
      </w:pPr>
      <w:r>
        <w:rPr>
          <w:rFonts w:cs="Times New Roman"/>
          <w:szCs w:val="24"/>
        </w:rPr>
        <w:t xml:space="preserve">Trading Economics (2019) </w:t>
      </w:r>
      <w:r>
        <w:rPr>
          <w:rFonts w:cs="Times New Roman"/>
          <w:i/>
          <w:szCs w:val="24"/>
        </w:rPr>
        <w:t>United Kingdom Unemployment Rate.</w:t>
      </w:r>
      <w:r>
        <w:rPr>
          <w:rFonts w:cs="Times New Roman"/>
          <w:szCs w:val="24"/>
        </w:rPr>
        <w:t xml:space="preserve"> [Online]. Available at: </w:t>
      </w:r>
      <w:r>
        <w:fldChar w:fldCharType="begin"/>
      </w:r>
      <w:r>
        <w:instrText xml:space="preserve"> HYPERLINK "https://tradingeconomics.com/united-kingdom/unemployment-rate" </w:instrText>
      </w:r>
      <w:r>
        <w:fldChar w:fldCharType="separate"/>
      </w:r>
      <w:r>
        <w:rPr>
          <w:rStyle w:val="14"/>
          <w:rFonts w:cs="Times New Roman"/>
          <w:color w:val="auto"/>
          <w:szCs w:val="24"/>
        </w:rPr>
        <w:t>https://tradingeconomics.com/united-kingdom/unemployment-rate</w:t>
      </w:r>
      <w:r>
        <w:rPr>
          <w:rStyle w:val="14"/>
          <w:rFonts w:cs="Times New Roman"/>
          <w:color w:val="auto"/>
          <w:szCs w:val="24"/>
        </w:rPr>
        <w:fldChar w:fldCharType="end"/>
      </w:r>
      <w:r>
        <w:rPr>
          <w:rFonts w:cs="Times New Roman"/>
          <w:szCs w:val="24"/>
        </w:rPr>
        <w:t xml:space="preserve"> (Accessed 20 April 2020)</w:t>
      </w:r>
    </w:p>
    <w:p>
      <w:pPr>
        <w:rPr>
          <w:rFonts w:cs="Times New Roman"/>
          <w:bCs/>
          <w:szCs w:val="24"/>
        </w:rPr>
      </w:pPr>
      <w:r>
        <w:rPr>
          <w:rFonts w:cs="Times New Roman"/>
          <w:bCs/>
          <w:szCs w:val="24"/>
        </w:rPr>
        <w:t xml:space="preserve">Volkswagen (2020) </w:t>
      </w:r>
      <w:r>
        <w:rPr>
          <w:rFonts w:cs="Times New Roman"/>
          <w:bCs/>
          <w:i/>
          <w:szCs w:val="24"/>
        </w:rPr>
        <w:t xml:space="preserve">History. </w:t>
      </w:r>
      <w:r>
        <w:rPr>
          <w:rFonts w:cs="Times New Roman"/>
          <w:bCs/>
          <w:szCs w:val="24"/>
        </w:rPr>
        <w:t xml:space="preserve">[Online]. Available at: </w:t>
      </w:r>
      <w:r>
        <w:fldChar w:fldCharType="begin"/>
      </w:r>
      <w:r>
        <w:instrText xml:space="preserve"> HYPERLINK "https://www.volkswagen-newsroom.com/en/history-3693" </w:instrText>
      </w:r>
      <w:r>
        <w:fldChar w:fldCharType="separate"/>
      </w:r>
      <w:r>
        <w:rPr>
          <w:rStyle w:val="14"/>
          <w:rFonts w:cs="Times New Roman"/>
          <w:bCs/>
          <w:color w:val="auto"/>
          <w:szCs w:val="24"/>
        </w:rPr>
        <w:t>https://www.volkswagen-newsroom.com/en/history-3693</w:t>
      </w:r>
      <w:r>
        <w:rPr>
          <w:rStyle w:val="14"/>
          <w:rFonts w:cs="Times New Roman"/>
          <w:bCs/>
          <w:color w:val="auto"/>
          <w:szCs w:val="24"/>
        </w:rPr>
        <w:fldChar w:fldCharType="end"/>
      </w:r>
      <w:r>
        <w:rPr>
          <w:rFonts w:cs="Times New Roman"/>
          <w:bCs/>
          <w:szCs w:val="24"/>
        </w:rPr>
        <w:t xml:space="preserve"> (Accessed 1 May 2020)</w:t>
      </w:r>
    </w:p>
    <w:p>
      <w:pPr>
        <w:rPr>
          <w:rFonts w:cs="Times New Roman"/>
          <w:bCs/>
          <w:szCs w:val="24"/>
        </w:rPr>
      </w:pPr>
      <w:r>
        <w:rPr>
          <w:rFonts w:cs="Times New Roman"/>
          <w:bCs/>
          <w:szCs w:val="24"/>
        </w:rPr>
        <w:t xml:space="preserve">Worldometers (2020) </w:t>
      </w:r>
      <w:r>
        <w:rPr>
          <w:rFonts w:cs="Times New Roman"/>
          <w:bCs/>
          <w:i/>
          <w:szCs w:val="24"/>
        </w:rPr>
        <w:t>UK Population.</w:t>
      </w:r>
      <w:r>
        <w:rPr>
          <w:rFonts w:cs="Times New Roman"/>
          <w:bCs/>
          <w:szCs w:val="24"/>
        </w:rPr>
        <w:t xml:space="preserve"> [Online]. </w:t>
      </w:r>
      <w:r>
        <w:rPr>
          <w:rFonts w:cs="Times New Roman"/>
          <w:szCs w:val="24"/>
        </w:rPr>
        <w:t>Available at: https://www.worldometers.info/world-population/uk-population/</w:t>
      </w:r>
      <w:r>
        <w:rPr>
          <w:rFonts w:cs="Times New Roman"/>
          <w:bCs/>
          <w:szCs w:val="24"/>
        </w:rPr>
        <w:t xml:space="preserve"> (Accessed: 2 May 2020).</w:t>
      </w: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Segoe UI">
    <w:panose1 w:val="020B0502040204020203"/>
    <w:charset w:val="00"/>
    <w:family w:val="swiss"/>
    <w:pitch w:val="default"/>
    <w:sig w:usb0="E4002EFF" w:usb1="C000E47F" w:usb2="00000009" w:usb3="00000000" w:csb0="200001FF" w:csb1="00000000"/>
  </w:font>
  <w:font w:name="Courier New">
    <w:panose1 w:val="02070309020205020404"/>
    <w:charset w:val="00"/>
    <w:family w:val="modern"/>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right"/>
    </w:pPr>
  </w:p>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right"/>
    </w:pPr>
  </w:p>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65736781"/>
      <w:docPartObj>
        <w:docPartGallery w:val="AutoText"/>
      </w:docPartObj>
    </w:sdtPr>
    <w:sdtContent>
      <w:p>
        <w:pPr>
          <w:pStyle w:val="6"/>
          <w:jc w:val="right"/>
        </w:pPr>
        <w:r>
          <w:fldChar w:fldCharType="begin"/>
        </w:r>
        <w:r>
          <w:instrText xml:space="preserve">PAGE   \* MERGEFORMAT</w:instrText>
        </w:r>
        <w:r>
          <w:fldChar w:fldCharType="separate"/>
        </w:r>
        <w:r>
          <w:rPr>
            <w:lang w:val="zh-CN" w:eastAsia="zh-CN"/>
          </w:rPr>
          <w:t>2</w:t>
        </w:r>
        <w:r>
          <w:fldChar w:fldCharType="end"/>
        </w:r>
      </w:p>
    </w:sdtContent>
  </w:sdt>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0512E2"/>
    <w:multiLevelType w:val="multilevel"/>
    <w:tmpl w:val="410512E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bordersDoNotSurroundHeader w:val="1"/>
  <w:bordersDoNotSurroundFooter w:val="1"/>
  <w:documentProtection w:enforcement="0"/>
  <w:defaultTabStop w:val="720"/>
  <w:characterSpacingControl w:val="doNotCompress"/>
  <w:compat>
    <w:useFELayout/>
    <w:compatSetting w:name="compatibilityMode" w:uri="http://schemas.microsoft.com/office/word" w:val="12"/>
  </w:compat>
  <w:docVars>
    <w:docVar w:name="__Grammarly_42____i" w:val="H4sIAAAAAAAEAKtWckksSQxILCpxzi/NK1GyMqwFAAEhoTITAAAA"/>
    <w:docVar w:name="__Grammarly_42___1" w:val="H4sIAAAAAAAEAKtWcslP9kxRslIyNDYyNjY0sTA1MTMxMzcytrBQ0lEKTi0uzszPAykwqgUAEskvFSwAAAA="/>
  </w:docVars>
  <w:rsids>
    <w:rsidRoot w:val="00537C1E"/>
    <w:rsid w:val="0000055C"/>
    <w:rsid w:val="00001F11"/>
    <w:rsid w:val="00002C3B"/>
    <w:rsid w:val="0003223F"/>
    <w:rsid w:val="000350DC"/>
    <w:rsid w:val="00053E19"/>
    <w:rsid w:val="00057F0C"/>
    <w:rsid w:val="00070138"/>
    <w:rsid w:val="00072113"/>
    <w:rsid w:val="0008001B"/>
    <w:rsid w:val="00083976"/>
    <w:rsid w:val="000844B2"/>
    <w:rsid w:val="00086152"/>
    <w:rsid w:val="00091DF3"/>
    <w:rsid w:val="000921E5"/>
    <w:rsid w:val="0009312C"/>
    <w:rsid w:val="000A2387"/>
    <w:rsid w:val="000A49FA"/>
    <w:rsid w:val="000B456D"/>
    <w:rsid w:val="000E2A17"/>
    <w:rsid w:val="000E2D4B"/>
    <w:rsid w:val="000E3CFC"/>
    <w:rsid w:val="00105A01"/>
    <w:rsid w:val="001100B9"/>
    <w:rsid w:val="00134A93"/>
    <w:rsid w:val="00136E43"/>
    <w:rsid w:val="001375A0"/>
    <w:rsid w:val="00145437"/>
    <w:rsid w:val="001476EA"/>
    <w:rsid w:val="00153522"/>
    <w:rsid w:val="00153BC9"/>
    <w:rsid w:val="0015566E"/>
    <w:rsid w:val="00157DB1"/>
    <w:rsid w:val="00164CC3"/>
    <w:rsid w:val="001763CE"/>
    <w:rsid w:val="0017746D"/>
    <w:rsid w:val="00187049"/>
    <w:rsid w:val="00187497"/>
    <w:rsid w:val="001A40B7"/>
    <w:rsid w:val="001A6081"/>
    <w:rsid w:val="001B0B2E"/>
    <w:rsid w:val="001B298C"/>
    <w:rsid w:val="001B3B03"/>
    <w:rsid w:val="001B7E38"/>
    <w:rsid w:val="00207986"/>
    <w:rsid w:val="002249CA"/>
    <w:rsid w:val="00230A5B"/>
    <w:rsid w:val="0023166E"/>
    <w:rsid w:val="0023262C"/>
    <w:rsid w:val="00250126"/>
    <w:rsid w:val="00255779"/>
    <w:rsid w:val="00261B73"/>
    <w:rsid w:val="00261FF2"/>
    <w:rsid w:val="00266141"/>
    <w:rsid w:val="00271228"/>
    <w:rsid w:val="00271E5E"/>
    <w:rsid w:val="00283C5A"/>
    <w:rsid w:val="002869D7"/>
    <w:rsid w:val="00291283"/>
    <w:rsid w:val="00293FC7"/>
    <w:rsid w:val="00294F67"/>
    <w:rsid w:val="00296457"/>
    <w:rsid w:val="002A2AA7"/>
    <w:rsid w:val="002B473A"/>
    <w:rsid w:val="002C076A"/>
    <w:rsid w:val="002C5516"/>
    <w:rsid w:val="002D2057"/>
    <w:rsid w:val="002F031D"/>
    <w:rsid w:val="002F6748"/>
    <w:rsid w:val="00305F84"/>
    <w:rsid w:val="0032627F"/>
    <w:rsid w:val="0033053E"/>
    <w:rsid w:val="003328CE"/>
    <w:rsid w:val="0034129A"/>
    <w:rsid w:val="003473E1"/>
    <w:rsid w:val="00351C30"/>
    <w:rsid w:val="0035628E"/>
    <w:rsid w:val="00362221"/>
    <w:rsid w:val="003661E6"/>
    <w:rsid w:val="00376273"/>
    <w:rsid w:val="00390C25"/>
    <w:rsid w:val="0039579D"/>
    <w:rsid w:val="00397B73"/>
    <w:rsid w:val="003A316D"/>
    <w:rsid w:val="003B0C53"/>
    <w:rsid w:val="003C07C3"/>
    <w:rsid w:val="003C1B0C"/>
    <w:rsid w:val="003C53E0"/>
    <w:rsid w:val="003D5168"/>
    <w:rsid w:val="003E474E"/>
    <w:rsid w:val="003E574D"/>
    <w:rsid w:val="003F6BB3"/>
    <w:rsid w:val="004022F7"/>
    <w:rsid w:val="00421405"/>
    <w:rsid w:val="004235BD"/>
    <w:rsid w:val="00427912"/>
    <w:rsid w:val="004320E1"/>
    <w:rsid w:val="00441940"/>
    <w:rsid w:val="00465B80"/>
    <w:rsid w:val="00474BEE"/>
    <w:rsid w:val="00476690"/>
    <w:rsid w:val="004876BD"/>
    <w:rsid w:val="00496D90"/>
    <w:rsid w:val="004B166F"/>
    <w:rsid w:val="004B7336"/>
    <w:rsid w:val="004C052A"/>
    <w:rsid w:val="004C35AB"/>
    <w:rsid w:val="004D12B2"/>
    <w:rsid w:val="004D5C50"/>
    <w:rsid w:val="004D796D"/>
    <w:rsid w:val="004E0A69"/>
    <w:rsid w:val="004F4F25"/>
    <w:rsid w:val="004F7178"/>
    <w:rsid w:val="004F7E0F"/>
    <w:rsid w:val="00514DC0"/>
    <w:rsid w:val="005161D0"/>
    <w:rsid w:val="00520288"/>
    <w:rsid w:val="005236AA"/>
    <w:rsid w:val="00537C1E"/>
    <w:rsid w:val="00545E83"/>
    <w:rsid w:val="00551923"/>
    <w:rsid w:val="00557A47"/>
    <w:rsid w:val="005648BA"/>
    <w:rsid w:val="00575F2B"/>
    <w:rsid w:val="00590A7E"/>
    <w:rsid w:val="005937A2"/>
    <w:rsid w:val="00596B3F"/>
    <w:rsid w:val="005A4D12"/>
    <w:rsid w:val="005B14AE"/>
    <w:rsid w:val="005D0569"/>
    <w:rsid w:val="005D0825"/>
    <w:rsid w:val="005D3B76"/>
    <w:rsid w:val="005D4881"/>
    <w:rsid w:val="005D66CA"/>
    <w:rsid w:val="005E0A40"/>
    <w:rsid w:val="005E62EB"/>
    <w:rsid w:val="005E711A"/>
    <w:rsid w:val="005F0FE8"/>
    <w:rsid w:val="005F31E1"/>
    <w:rsid w:val="005F402C"/>
    <w:rsid w:val="0060060C"/>
    <w:rsid w:val="0060066E"/>
    <w:rsid w:val="0060303F"/>
    <w:rsid w:val="0060597D"/>
    <w:rsid w:val="00607A8F"/>
    <w:rsid w:val="006115A7"/>
    <w:rsid w:val="00616764"/>
    <w:rsid w:val="00627F9E"/>
    <w:rsid w:val="006428D3"/>
    <w:rsid w:val="00642B9C"/>
    <w:rsid w:val="00650C90"/>
    <w:rsid w:val="00650E3A"/>
    <w:rsid w:val="0065379A"/>
    <w:rsid w:val="00653D49"/>
    <w:rsid w:val="00655030"/>
    <w:rsid w:val="00660154"/>
    <w:rsid w:val="00660BF2"/>
    <w:rsid w:val="00665EA1"/>
    <w:rsid w:val="0067035E"/>
    <w:rsid w:val="00674642"/>
    <w:rsid w:val="00676DD6"/>
    <w:rsid w:val="006822CF"/>
    <w:rsid w:val="00685805"/>
    <w:rsid w:val="00690D91"/>
    <w:rsid w:val="006A7F30"/>
    <w:rsid w:val="006B12C4"/>
    <w:rsid w:val="006D0A42"/>
    <w:rsid w:val="006D15E1"/>
    <w:rsid w:val="006D28CC"/>
    <w:rsid w:val="006D7224"/>
    <w:rsid w:val="006F04E9"/>
    <w:rsid w:val="006F46D5"/>
    <w:rsid w:val="006F6372"/>
    <w:rsid w:val="00700AD1"/>
    <w:rsid w:val="00704056"/>
    <w:rsid w:val="007052E1"/>
    <w:rsid w:val="00705A6D"/>
    <w:rsid w:val="00712F58"/>
    <w:rsid w:val="00715297"/>
    <w:rsid w:val="00726EDA"/>
    <w:rsid w:val="00731CD0"/>
    <w:rsid w:val="00741B66"/>
    <w:rsid w:val="00742350"/>
    <w:rsid w:val="00776979"/>
    <w:rsid w:val="00776CE9"/>
    <w:rsid w:val="00780727"/>
    <w:rsid w:val="00787369"/>
    <w:rsid w:val="0079171A"/>
    <w:rsid w:val="0079692D"/>
    <w:rsid w:val="00797F15"/>
    <w:rsid w:val="007A0F82"/>
    <w:rsid w:val="007B03DB"/>
    <w:rsid w:val="007D0AF6"/>
    <w:rsid w:val="007D55BB"/>
    <w:rsid w:val="007E3EA1"/>
    <w:rsid w:val="007F6C83"/>
    <w:rsid w:val="00800EB0"/>
    <w:rsid w:val="00804431"/>
    <w:rsid w:val="00805A18"/>
    <w:rsid w:val="0080771E"/>
    <w:rsid w:val="008107ED"/>
    <w:rsid w:val="00821258"/>
    <w:rsid w:val="008223E4"/>
    <w:rsid w:val="00840FCE"/>
    <w:rsid w:val="00851D84"/>
    <w:rsid w:val="0085533E"/>
    <w:rsid w:val="00860F7F"/>
    <w:rsid w:val="00863CCE"/>
    <w:rsid w:val="00873E18"/>
    <w:rsid w:val="0087593C"/>
    <w:rsid w:val="00882A24"/>
    <w:rsid w:val="00886B90"/>
    <w:rsid w:val="00895476"/>
    <w:rsid w:val="00895677"/>
    <w:rsid w:val="00896A51"/>
    <w:rsid w:val="00897AE3"/>
    <w:rsid w:val="008D10CB"/>
    <w:rsid w:val="008D1AEA"/>
    <w:rsid w:val="008D388F"/>
    <w:rsid w:val="008D6373"/>
    <w:rsid w:val="008D6C0B"/>
    <w:rsid w:val="008D7163"/>
    <w:rsid w:val="008D7601"/>
    <w:rsid w:val="008E09A0"/>
    <w:rsid w:val="008E4D50"/>
    <w:rsid w:val="008E635F"/>
    <w:rsid w:val="008F025A"/>
    <w:rsid w:val="008F2503"/>
    <w:rsid w:val="009036C0"/>
    <w:rsid w:val="00903FA1"/>
    <w:rsid w:val="00906C0D"/>
    <w:rsid w:val="00931490"/>
    <w:rsid w:val="00935E6D"/>
    <w:rsid w:val="00946191"/>
    <w:rsid w:val="00946393"/>
    <w:rsid w:val="0096071F"/>
    <w:rsid w:val="00961E66"/>
    <w:rsid w:val="0096247D"/>
    <w:rsid w:val="009668CA"/>
    <w:rsid w:val="009703B5"/>
    <w:rsid w:val="009749E9"/>
    <w:rsid w:val="0098031A"/>
    <w:rsid w:val="00980EBD"/>
    <w:rsid w:val="00992005"/>
    <w:rsid w:val="00995B73"/>
    <w:rsid w:val="009A172B"/>
    <w:rsid w:val="009A1B8D"/>
    <w:rsid w:val="009B09B3"/>
    <w:rsid w:val="009C163C"/>
    <w:rsid w:val="009C642C"/>
    <w:rsid w:val="009D74B1"/>
    <w:rsid w:val="009E2C5C"/>
    <w:rsid w:val="009E2E7B"/>
    <w:rsid w:val="009E6DDA"/>
    <w:rsid w:val="009F7FA7"/>
    <w:rsid w:val="00A15010"/>
    <w:rsid w:val="00A234E7"/>
    <w:rsid w:val="00A26027"/>
    <w:rsid w:val="00A36505"/>
    <w:rsid w:val="00A45D08"/>
    <w:rsid w:val="00A503BF"/>
    <w:rsid w:val="00A530BF"/>
    <w:rsid w:val="00A5505F"/>
    <w:rsid w:val="00A57C1E"/>
    <w:rsid w:val="00A60D59"/>
    <w:rsid w:val="00A7108C"/>
    <w:rsid w:val="00A72BDA"/>
    <w:rsid w:val="00A75BAB"/>
    <w:rsid w:val="00A854C3"/>
    <w:rsid w:val="00A86587"/>
    <w:rsid w:val="00A910CC"/>
    <w:rsid w:val="00A97B40"/>
    <w:rsid w:val="00AB6E06"/>
    <w:rsid w:val="00AC442A"/>
    <w:rsid w:val="00AC5A47"/>
    <w:rsid w:val="00AD5F6D"/>
    <w:rsid w:val="00AE0E1A"/>
    <w:rsid w:val="00AE2BDB"/>
    <w:rsid w:val="00AE3D28"/>
    <w:rsid w:val="00AE3E8A"/>
    <w:rsid w:val="00AE7B8D"/>
    <w:rsid w:val="00AF29C9"/>
    <w:rsid w:val="00AF33F6"/>
    <w:rsid w:val="00B0588C"/>
    <w:rsid w:val="00B10FAE"/>
    <w:rsid w:val="00B16DFA"/>
    <w:rsid w:val="00B202ED"/>
    <w:rsid w:val="00B25D05"/>
    <w:rsid w:val="00B310AC"/>
    <w:rsid w:val="00B36E18"/>
    <w:rsid w:val="00B37102"/>
    <w:rsid w:val="00B3741F"/>
    <w:rsid w:val="00B431D5"/>
    <w:rsid w:val="00B43C1E"/>
    <w:rsid w:val="00B44342"/>
    <w:rsid w:val="00B4525A"/>
    <w:rsid w:val="00B5331C"/>
    <w:rsid w:val="00B5569A"/>
    <w:rsid w:val="00B74BD6"/>
    <w:rsid w:val="00B80456"/>
    <w:rsid w:val="00B82284"/>
    <w:rsid w:val="00B8321A"/>
    <w:rsid w:val="00BA2E03"/>
    <w:rsid w:val="00BB01E4"/>
    <w:rsid w:val="00BB5889"/>
    <w:rsid w:val="00BC09F3"/>
    <w:rsid w:val="00BC25C5"/>
    <w:rsid w:val="00BC48BA"/>
    <w:rsid w:val="00BC71F6"/>
    <w:rsid w:val="00BD0650"/>
    <w:rsid w:val="00BD1C3F"/>
    <w:rsid w:val="00BD1C8F"/>
    <w:rsid w:val="00BD42BA"/>
    <w:rsid w:val="00BD510B"/>
    <w:rsid w:val="00BD694C"/>
    <w:rsid w:val="00BD6FE2"/>
    <w:rsid w:val="00BE0AB6"/>
    <w:rsid w:val="00BE5EF1"/>
    <w:rsid w:val="00BF74A5"/>
    <w:rsid w:val="00C02504"/>
    <w:rsid w:val="00C110F3"/>
    <w:rsid w:val="00C11EF8"/>
    <w:rsid w:val="00C16E7B"/>
    <w:rsid w:val="00C32555"/>
    <w:rsid w:val="00C34BE6"/>
    <w:rsid w:val="00C43082"/>
    <w:rsid w:val="00C55BC4"/>
    <w:rsid w:val="00C60E25"/>
    <w:rsid w:val="00C62334"/>
    <w:rsid w:val="00C709FC"/>
    <w:rsid w:val="00C7367A"/>
    <w:rsid w:val="00C75DA4"/>
    <w:rsid w:val="00C82480"/>
    <w:rsid w:val="00C83C8D"/>
    <w:rsid w:val="00C91BA7"/>
    <w:rsid w:val="00C932D4"/>
    <w:rsid w:val="00C94686"/>
    <w:rsid w:val="00CB747F"/>
    <w:rsid w:val="00CC1EAE"/>
    <w:rsid w:val="00CC49B6"/>
    <w:rsid w:val="00CC6B34"/>
    <w:rsid w:val="00CD45BC"/>
    <w:rsid w:val="00CD5D71"/>
    <w:rsid w:val="00CE7C0A"/>
    <w:rsid w:val="00CF28C8"/>
    <w:rsid w:val="00CF2956"/>
    <w:rsid w:val="00CF4182"/>
    <w:rsid w:val="00CF789C"/>
    <w:rsid w:val="00D00092"/>
    <w:rsid w:val="00D11807"/>
    <w:rsid w:val="00D128E7"/>
    <w:rsid w:val="00D216FB"/>
    <w:rsid w:val="00D25D99"/>
    <w:rsid w:val="00D310C6"/>
    <w:rsid w:val="00D310FE"/>
    <w:rsid w:val="00D52FDE"/>
    <w:rsid w:val="00D60B89"/>
    <w:rsid w:val="00D6302B"/>
    <w:rsid w:val="00D7642C"/>
    <w:rsid w:val="00D85BC9"/>
    <w:rsid w:val="00D949C0"/>
    <w:rsid w:val="00D94EE7"/>
    <w:rsid w:val="00DA4937"/>
    <w:rsid w:val="00DB2CAD"/>
    <w:rsid w:val="00DC4E2B"/>
    <w:rsid w:val="00DC748E"/>
    <w:rsid w:val="00DD23E5"/>
    <w:rsid w:val="00DD4CB5"/>
    <w:rsid w:val="00DE1F2E"/>
    <w:rsid w:val="00DE7FF6"/>
    <w:rsid w:val="00DF6B52"/>
    <w:rsid w:val="00DF7927"/>
    <w:rsid w:val="00E103D3"/>
    <w:rsid w:val="00E105DD"/>
    <w:rsid w:val="00E12C97"/>
    <w:rsid w:val="00E2291C"/>
    <w:rsid w:val="00E2588B"/>
    <w:rsid w:val="00E25EE2"/>
    <w:rsid w:val="00E3683A"/>
    <w:rsid w:val="00E41B6F"/>
    <w:rsid w:val="00E6338B"/>
    <w:rsid w:val="00E75D53"/>
    <w:rsid w:val="00E764FF"/>
    <w:rsid w:val="00E76B35"/>
    <w:rsid w:val="00E83D0F"/>
    <w:rsid w:val="00E87AD3"/>
    <w:rsid w:val="00E926E8"/>
    <w:rsid w:val="00E934BB"/>
    <w:rsid w:val="00E97604"/>
    <w:rsid w:val="00EA32B2"/>
    <w:rsid w:val="00EA4868"/>
    <w:rsid w:val="00ED6252"/>
    <w:rsid w:val="00EE4425"/>
    <w:rsid w:val="00EF1275"/>
    <w:rsid w:val="00EF4025"/>
    <w:rsid w:val="00F01C9B"/>
    <w:rsid w:val="00F06B60"/>
    <w:rsid w:val="00F1054D"/>
    <w:rsid w:val="00F22D5D"/>
    <w:rsid w:val="00F2789D"/>
    <w:rsid w:val="00F311BB"/>
    <w:rsid w:val="00F36B01"/>
    <w:rsid w:val="00F40246"/>
    <w:rsid w:val="00F438A6"/>
    <w:rsid w:val="00F50DA2"/>
    <w:rsid w:val="00F53256"/>
    <w:rsid w:val="00F82850"/>
    <w:rsid w:val="00F8686D"/>
    <w:rsid w:val="00F90001"/>
    <w:rsid w:val="00FA3B87"/>
    <w:rsid w:val="00FA7EEF"/>
    <w:rsid w:val="00FD5A4C"/>
    <w:rsid w:val="00FD689C"/>
    <w:rsid w:val="00FE2349"/>
    <w:rsid w:val="00FE3335"/>
    <w:rsid w:val="00FE4E97"/>
    <w:rsid w:val="00FF6367"/>
    <w:rsid w:val="36DD1A99"/>
    <w:rsid w:val="544C7517"/>
    <w:rsid w:val="5799501A"/>
    <w:rsid w:val="76C81D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jc w:val="both"/>
    </w:pPr>
    <w:rPr>
      <w:rFonts w:ascii="Times New Roman" w:hAnsi="Times New Roman" w:eastAsia="宋体" w:cstheme="minorBidi"/>
      <w:sz w:val="24"/>
      <w:szCs w:val="22"/>
      <w:lang w:val="en-GB" w:eastAsia="en-US" w:bidi="ar-SA"/>
    </w:rPr>
  </w:style>
  <w:style w:type="paragraph" w:styleId="2">
    <w:name w:val="heading 1"/>
    <w:basedOn w:val="1"/>
    <w:next w:val="1"/>
    <w:link w:val="19"/>
    <w:qFormat/>
    <w:uiPriority w:val="9"/>
    <w:pPr>
      <w:keepNext/>
      <w:keepLines/>
      <w:spacing w:before="480" w:after="0"/>
      <w:outlineLvl w:val="0"/>
    </w:pPr>
    <w:rPr>
      <w:rFonts w:asciiTheme="majorHAnsi" w:hAnsiTheme="majorHAnsi" w:eastAsiaTheme="majorEastAsia" w:cstheme="majorBidi"/>
      <w:b/>
      <w:bCs/>
      <w:color w:val="366091" w:themeColor="accent1" w:themeShade="BF"/>
      <w:sz w:val="28"/>
      <w:szCs w:val="28"/>
    </w:rPr>
  </w:style>
  <w:style w:type="paragraph" w:styleId="3">
    <w:name w:val="heading 2"/>
    <w:basedOn w:val="1"/>
    <w:next w:val="1"/>
    <w:link w:val="18"/>
    <w:unhideWhenUsed/>
    <w:qFormat/>
    <w:uiPriority w:val="9"/>
    <w:pPr>
      <w:keepNext/>
      <w:keepLines/>
      <w:spacing w:before="200" w:after="0" w:line="276" w:lineRule="auto"/>
      <w:jc w:val="left"/>
      <w:outlineLvl w:val="1"/>
    </w:pPr>
    <w:rPr>
      <w:rFonts w:asciiTheme="majorHAnsi" w:hAnsiTheme="majorHAnsi" w:eastAsiaTheme="majorEastAsia" w:cstheme="majorBidi"/>
      <w:b/>
      <w:bCs/>
      <w:color w:val="4F81BD" w:themeColor="accent1"/>
      <w:sz w:val="26"/>
      <w:szCs w:val="26"/>
    </w:rPr>
  </w:style>
  <w:style w:type="character" w:default="1" w:styleId="13">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1"/>
    <w:semiHidden/>
    <w:unhideWhenUsed/>
    <w:uiPriority w:val="99"/>
    <w:pPr>
      <w:spacing w:line="240" w:lineRule="auto"/>
    </w:pPr>
    <w:rPr>
      <w:sz w:val="20"/>
      <w:szCs w:val="20"/>
    </w:rPr>
  </w:style>
  <w:style w:type="paragraph" w:styleId="5">
    <w:name w:val="Balloon Text"/>
    <w:basedOn w:val="1"/>
    <w:link w:val="16"/>
    <w:semiHidden/>
    <w:unhideWhenUsed/>
    <w:uiPriority w:val="99"/>
    <w:pPr>
      <w:spacing w:after="0" w:line="240" w:lineRule="auto"/>
    </w:pPr>
    <w:rPr>
      <w:rFonts w:ascii="Tahoma" w:hAnsi="Tahoma" w:cs="Tahoma"/>
      <w:sz w:val="16"/>
      <w:szCs w:val="16"/>
    </w:rPr>
  </w:style>
  <w:style w:type="paragraph" w:styleId="6">
    <w:name w:val="footer"/>
    <w:basedOn w:val="1"/>
    <w:link w:val="24"/>
    <w:unhideWhenUsed/>
    <w:uiPriority w:val="99"/>
    <w:pPr>
      <w:tabs>
        <w:tab w:val="center" w:pos="4153"/>
        <w:tab w:val="right" w:pos="8306"/>
      </w:tabs>
      <w:spacing w:after="0" w:line="240" w:lineRule="auto"/>
    </w:pPr>
  </w:style>
  <w:style w:type="paragraph" w:styleId="7">
    <w:name w:val="header"/>
    <w:basedOn w:val="1"/>
    <w:link w:val="23"/>
    <w:unhideWhenUsed/>
    <w:uiPriority w:val="99"/>
    <w:pPr>
      <w:tabs>
        <w:tab w:val="center" w:pos="4153"/>
        <w:tab w:val="right" w:pos="8306"/>
      </w:tabs>
      <w:spacing w:after="0" w:line="240" w:lineRule="auto"/>
    </w:pPr>
  </w:style>
  <w:style w:type="paragraph" w:styleId="8">
    <w:name w:val="toc 1"/>
    <w:basedOn w:val="1"/>
    <w:next w:val="1"/>
    <w:unhideWhenUsed/>
    <w:uiPriority w:val="39"/>
    <w:pPr>
      <w:spacing w:after="100"/>
    </w:pPr>
  </w:style>
  <w:style w:type="paragraph" w:styleId="9">
    <w:name w:val="toc 2"/>
    <w:basedOn w:val="1"/>
    <w:next w:val="1"/>
    <w:unhideWhenUsed/>
    <w:uiPriority w:val="39"/>
    <w:pPr>
      <w:spacing w:after="100"/>
      <w:ind w:left="240"/>
    </w:pPr>
  </w:style>
  <w:style w:type="paragraph" w:styleId="10">
    <w:name w:val="Normal (Web)"/>
    <w:basedOn w:val="1"/>
    <w:uiPriority w:val="0"/>
    <w:pPr>
      <w:widowControl w:val="0"/>
      <w:spacing w:after="0" w:line="240" w:lineRule="auto"/>
    </w:pPr>
    <w:rPr>
      <w:rFonts w:ascii="Calibri" w:hAnsi="Calibri" w:cs="Times New Roman"/>
      <w:kern w:val="2"/>
      <w:szCs w:val="24"/>
      <w:lang w:val="en-US" w:eastAsia="zh-CN"/>
    </w:rPr>
  </w:style>
  <w:style w:type="paragraph" w:styleId="11">
    <w:name w:val="annotation subject"/>
    <w:basedOn w:val="4"/>
    <w:next w:val="4"/>
    <w:link w:val="22"/>
    <w:semiHidden/>
    <w:unhideWhenUsed/>
    <w:uiPriority w:val="99"/>
    <w:rPr>
      <w:b/>
      <w:bCs/>
    </w:rPr>
  </w:style>
  <w:style w:type="character" w:styleId="14">
    <w:name w:val="Hyperlink"/>
    <w:basedOn w:val="13"/>
    <w:unhideWhenUsed/>
    <w:uiPriority w:val="99"/>
    <w:rPr>
      <w:color w:val="0000FF" w:themeColor="hyperlink"/>
      <w:u w:val="single"/>
    </w:rPr>
  </w:style>
  <w:style w:type="character" w:styleId="15">
    <w:name w:val="annotation reference"/>
    <w:basedOn w:val="13"/>
    <w:semiHidden/>
    <w:unhideWhenUsed/>
    <w:uiPriority w:val="99"/>
    <w:rPr>
      <w:sz w:val="16"/>
      <w:szCs w:val="16"/>
    </w:rPr>
  </w:style>
  <w:style w:type="character" w:customStyle="1" w:styleId="16">
    <w:name w:val="批注框文本 字符"/>
    <w:basedOn w:val="13"/>
    <w:link w:val="5"/>
    <w:semiHidden/>
    <w:uiPriority w:val="99"/>
    <w:rPr>
      <w:rFonts w:ascii="Tahoma" w:hAnsi="Tahoma" w:cs="Tahoma"/>
      <w:sz w:val="16"/>
      <w:szCs w:val="16"/>
      <w:lang w:val="en-GB"/>
    </w:rPr>
  </w:style>
  <w:style w:type="paragraph" w:styleId="17">
    <w:name w:val="List Paragraph"/>
    <w:basedOn w:val="1"/>
    <w:qFormat/>
    <w:uiPriority w:val="34"/>
    <w:pPr>
      <w:ind w:left="720"/>
      <w:contextualSpacing/>
    </w:pPr>
  </w:style>
  <w:style w:type="character" w:customStyle="1" w:styleId="18">
    <w:name w:val="标题 2 字符"/>
    <w:basedOn w:val="13"/>
    <w:link w:val="3"/>
    <w:uiPriority w:val="9"/>
    <w:rPr>
      <w:rFonts w:asciiTheme="majorHAnsi" w:hAnsiTheme="majorHAnsi" w:eastAsiaTheme="majorEastAsia" w:cstheme="majorBidi"/>
      <w:b/>
      <w:bCs/>
      <w:color w:val="4F81BD" w:themeColor="accent1"/>
      <w:sz w:val="26"/>
      <w:szCs w:val="26"/>
      <w:lang w:val="en-GB"/>
    </w:rPr>
  </w:style>
  <w:style w:type="character" w:customStyle="1" w:styleId="19">
    <w:name w:val="标题 1 字符"/>
    <w:basedOn w:val="13"/>
    <w:link w:val="2"/>
    <w:uiPriority w:val="9"/>
    <w:rPr>
      <w:rFonts w:asciiTheme="majorHAnsi" w:hAnsiTheme="majorHAnsi" w:eastAsiaTheme="majorEastAsia" w:cstheme="majorBidi"/>
      <w:b/>
      <w:bCs/>
      <w:color w:val="366091" w:themeColor="accent1" w:themeShade="BF"/>
      <w:sz w:val="28"/>
      <w:szCs w:val="28"/>
      <w:lang w:val="en-GB"/>
    </w:rPr>
  </w:style>
  <w:style w:type="paragraph" w:customStyle="1" w:styleId="20">
    <w:name w:val="TOC Heading"/>
    <w:basedOn w:val="2"/>
    <w:next w:val="1"/>
    <w:semiHidden/>
    <w:unhideWhenUsed/>
    <w:qFormat/>
    <w:uiPriority w:val="39"/>
    <w:pPr>
      <w:spacing w:line="276" w:lineRule="auto"/>
      <w:jc w:val="left"/>
      <w:outlineLvl w:val="9"/>
    </w:pPr>
    <w:rPr>
      <w:lang w:val="en-US"/>
    </w:rPr>
  </w:style>
  <w:style w:type="character" w:customStyle="1" w:styleId="21">
    <w:name w:val="批注文字 字符"/>
    <w:basedOn w:val="13"/>
    <w:link w:val="4"/>
    <w:semiHidden/>
    <w:uiPriority w:val="99"/>
    <w:rPr>
      <w:sz w:val="20"/>
      <w:szCs w:val="20"/>
      <w:lang w:val="en-GB"/>
    </w:rPr>
  </w:style>
  <w:style w:type="character" w:customStyle="1" w:styleId="22">
    <w:name w:val="批注主题 字符"/>
    <w:basedOn w:val="21"/>
    <w:link w:val="11"/>
    <w:semiHidden/>
    <w:uiPriority w:val="99"/>
    <w:rPr>
      <w:b/>
      <w:bCs/>
      <w:sz w:val="20"/>
      <w:szCs w:val="20"/>
      <w:lang w:val="en-GB"/>
    </w:rPr>
  </w:style>
  <w:style w:type="character" w:customStyle="1" w:styleId="23">
    <w:name w:val="页眉 字符"/>
    <w:basedOn w:val="13"/>
    <w:link w:val="7"/>
    <w:uiPriority w:val="99"/>
    <w:rPr>
      <w:lang w:val="en-GB"/>
    </w:rPr>
  </w:style>
  <w:style w:type="character" w:customStyle="1" w:styleId="24">
    <w:name w:val="页脚 字符"/>
    <w:basedOn w:val="13"/>
    <w:link w:val="6"/>
    <w:uiPriority w:val="99"/>
    <w:rPr>
      <w:lang w:val="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s:customData>
</file>

<file path=customXml/item2.xml><?xml version="1.0" encoding="utf-8"?>
<b:Sources xmlns:b="http://schemas.openxmlformats.org/officeDocument/2006/bibliography" xmlns="http://schemas.openxmlformats.org/officeDocument/2006/bibliography" SelectedStyle="\CHICAGO.XSL" StyleName="Chicago Fifteenth Edition"/>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E8932E1-50F5-496E-8F84-03BA07A60EE8}">
  <ds:schemaRefs/>
</ds:datastoreItem>
</file>

<file path=docProps/app.xml><?xml version="1.0" encoding="utf-8"?>
<Properties xmlns="http://schemas.openxmlformats.org/officeDocument/2006/extended-properties" xmlns:vt="http://schemas.openxmlformats.org/officeDocument/2006/docPropsVTypes">
  <Template>Normal</Template>
  <Pages>1</Pages>
  <Words>5886</Words>
  <Characters>33556</Characters>
  <Lines>279</Lines>
  <Paragraphs>78</Paragraphs>
  <TotalTime>3</TotalTime>
  <ScaleCrop>false</ScaleCrop>
  <LinksUpToDate>false</LinksUpToDate>
  <CharactersWithSpaces>39364</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2020-05-09T21:29:00Z</dcterms:created>
  <dc:creator>枫</dc:creator>
  <cp:lastModifiedBy>枫</cp:lastModifiedBy>
  <dcterms:modified xsi:type="dcterms:W3CDTF">2020-05-10T17:01:32Z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