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40F30" w14:textId="77777777" w:rsidR="00077300" w:rsidRDefault="00077300" w:rsidP="00077300">
      <w:pPr>
        <w:spacing w:after="165" w:line="360" w:lineRule="auto"/>
        <w:rPr>
          <w:rFonts w:ascii="Arial" w:hAnsi="Arial" w:cs="Arial"/>
          <w:color w:val="000000"/>
          <w:sz w:val="40"/>
          <w:szCs w:val="40"/>
        </w:rPr>
      </w:pPr>
    </w:p>
    <w:p w14:paraId="3CEC1C5B" w14:textId="77777777" w:rsidR="00AE6E7F" w:rsidRPr="00033A27" w:rsidRDefault="00AE6E7F" w:rsidP="00077300">
      <w:pPr>
        <w:spacing w:after="165" w:line="360" w:lineRule="auto"/>
        <w:rPr>
          <w:rFonts w:ascii="Arial" w:hAnsi="Arial" w:cs="Arial"/>
          <w:color w:val="000000"/>
          <w:sz w:val="40"/>
          <w:szCs w:val="40"/>
        </w:rPr>
      </w:pPr>
    </w:p>
    <w:sdt>
      <w:sdtPr>
        <w:rPr>
          <w:rFonts w:ascii="Arial" w:eastAsia="Times New Roman" w:hAnsi="Arial" w:cs="Arial"/>
          <w:b/>
          <w:bCs/>
          <w:color w:val="000000"/>
          <w:kern w:val="36"/>
          <w:sz w:val="40"/>
          <w:szCs w:val="40"/>
          <w:lang w:eastAsia="en-GB"/>
        </w:rPr>
        <w:id w:val="102854481"/>
        <w:docPartObj>
          <w:docPartGallery w:val="Cover Pages"/>
          <w:docPartUnique/>
        </w:docPartObj>
      </w:sdtPr>
      <w:sdtEndPr>
        <w:rPr>
          <w:rFonts w:asciiTheme="minorHAnsi" w:eastAsiaTheme="minorHAnsi" w:hAnsiTheme="minorHAnsi"/>
          <w:b w:val="0"/>
          <w:bCs w:val="0"/>
          <w:color w:val="auto"/>
          <w:kern w:val="0"/>
          <w:sz w:val="22"/>
          <w:szCs w:val="22"/>
          <w:lang w:eastAsia="en-US"/>
        </w:rPr>
      </w:sdtEndPr>
      <w:sdtContent>
        <w:p w14:paraId="5867937B" w14:textId="77777777" w:rsidR="00077300" w:rsidRPr="00033A27" w:rsidRDefault="00077300" w:rsidP="00077300">
          <w:pPr>
            <w:spacing w:after="165" w:line="360" w:lineRule="auto"/>
            <w:rPr>
              <w:rFonts w:ascii="Arial" w:hAnsi="Arial" w:cs="Arial"/>
              <w:color w:val="000000"/>
              <w:sz w:val="40"/>
              <w:szCs w:val="40"/>
            </w:rPr>
          </w:pPr>
          <w:r w:rsidRPr="00033A27">
            <w:rPr>
              <w:rFonts w:ascii="Arial" w:hAnsi="Arial" w:cs="Arial"/>
              <w:b/>
              <w:noProof/>
              <w:lang w:eastAsia="en-GB"/>
            </w:rPr>
            <w:drawing>
              <wp:inline distT="0" distB="0" distL="0" distR="0" wp14:anchorId="7FB2632B" wp14:editId="799364A0">
                <wp:extent cx="2209800" cy="742950"/>
                <wp:effectExtent l="19050" t="0" r="0" b="0"/>
                <wp:docPr id="7" name="Picture 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891B6DE" w14:textId="77777777" w:rsidR="00077300" w:rsidRPr="00033A27" w:rsidRDefault="00077300" w:rsidP="00077300">
          <w:pPr>
            <w:spacing w:after="165" w:line="360" w:lineRule="auto"/>
            <w:jc w:val="center"/>
            <w:rPr>
              <w:rFonts w:ascii="Arial" w:hAnsi="Arial" w:cs="Arial"/>
              <w:color w:val="000000"/>
              <w:sz w:val="40"/>
              <w:szCs w:val="40"/>
            </w:rPr>
          </w:pPr>
          <w:r w:rsidRPr="00033A27">
            <w:rPr>
              <w:rFonts w:ascii="Arial" w:hAnsi="Arial" w:cs="Arial"/>
              <w:color w:val="000000"/>
              <w:sz w:val="40"/>
              <w:szCs w:val="40"/>
            </w:rPr>
            <w:t>Skills for the Workplace</w:t>
          </w:r>
          <w:r w:rsidRPr="00033A27">
            <w:rPr>
              <w:rFonts w:ascii="Arial" w:hAnsi="Arial" w:cs="Arial"/>
              <w:color w:val="000000"/>
              <w:sz w:val="40"/>
              <w:szCs w:val="40"/>
            </w:rPr>
            <w:br/>
            <w:t xml:space="preserve">Module Assignment Submission </w:t>
          </w:r>
          <w:r w:rsidRPr="00033A27">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77300" w:rsidRPr="00033A27" w14:paraId="58CF0D16" w14:textId="77777777" w:rsidTr="00983490">
            <w:tc>
              <w:tcPr>
                <w:tcW w:w="3438" w:type="dxa"/>
                <w:shd w:val="clear" w:color="auto" w:fill="D9D9D9"/>
              </w:tcPr>
              <w:p w14:paraId="29212CAE" w14:textId="77777777" w:rsidR="00077300" w:rsidRPr="00033A27" w:rsidRDefault="00077300" w:rsidP="00983490">
                <w:pPr>
                  <w:spacing w:before="120" w:after="120" w:line="360" w:lineRule="auto"/>
                  <w:rPr>
                    <w:rFonts w:ascii="Arial" w:hAnsi="Arial" w:cs="Arial"/>
                    <w:sz w:val="32"/>
                    <w:szCs w:val="32"/>
                  </w:rPr>
                </w:pPr>
                <w:r w:rsidRPr="00033A27">
                  <w:rPr>
                    <w:rFonts w:ascii="Arial" w:hAnsi="Arial" w:cs="Arial"/>
                    <w:sz w:val="32"/>
                    <w:szCs w:val="32"/>
                  </w:rPr>
                  <w:t>Student Name:</w:t>
                </w:r>
              </w:p>
            </w:tc>
            <w:tc>
              <w:tcPr>
                <w:tcW w:w="6055" w:type="dxa"/>
              </w:tcPr>
              <w:p w14:paraId="78BBD45E" w14:textId="4992AB95" w:rsidR="00077300" w:rsidRPr="00033A27" w:rsidRDefault="00A9297A" w:rsidP="00983490">
                <w:pPr>
                  <w:spacing w:before="120" w:after="120" w:line="360" w:lineRule="auto"/>
                  <w:rPr>
                    <w:rFonts w:ascii="Arial" w:hAnsi="Arial" w:cs="Arial"/>
                    <w:color w:val="000000" w:themeColor="text1"/>
                    <w:sz w:val="32"/>
                    <w:szCs w:val="32"/>
                  </w:rPr>
                </w:pPr>
                <w:r>
                  <w:rPr>
                    <w:rFonts w:ascii="Arial" w:hAnsi="Arial" w:cs="Arial"/>
                    <w:color w:val="000000" w:themeColor="text1"/>
                    <w:sz w:val="32"/>
                    <w:szCs w:val="32"/>
                  </w:rPr>
                  <w:t>Monica Iftode</w:t>
                </w:r>
              </w:p>
            </w:tc>
          </w:tr>
          <w:tr w:rsidR="00077300" w:rsidRPr="00033A27" w14:paraId="63C66F3F" w14:textId="77777777" w:rsidTr="00983490">
            <w:tc>
              <w:tcPr>
                <w:tcW w:w="3438" w:type="dxa"/>
                <w:shd w:val="clear" w:color="auto" w:fill="D9D9D9"/>
              </w:tcPr>
              <w:p w14:paraId="1A35F769" w14:textId="77777777" w:rsidR="00077300" w:rsidRPr="00033A27" w:rsidRDefault="00077300" w:rsidP="00983490">
                <w:pPr>
                  <w:spacing w:before="120" w:after="120" w:line="360" w:lineRule="auto"/>
                  <w:rPr>
                    <w:rFonts w:ascii="Arial" w:hAnsi="Arial" w:cs="Arial"/>
                    <w:sz w:val="32"/>
                    <w:szCs w:val="32"/>
                  </w:rPr>
                </w:pPr>
                <w:r w:rsidRPr="00033A27">
                  <w:rPr>
                    <w:rFonts w:ascii="Arial" w:hAnsi="Arial" w:cs="Arial"/>
                    <w:sz w:val="32"/>
                    <w:szCs w:val="32"/>
                  </w:rPr>
                  <w:t>Student Number:</w:t>
                </w:r>
              </w:p>
            </w:tc>
            <w:tc>
              <w:tcPr>
                <w:tcW w:w="6055" w:type="dxa"/>
              </w:tcPr>
              <w:p w14:paraId="236138A2" w14:textId="6E697FC4" w:rsidR="00077300" w:rsidRPr="00033A27" w:rsidRDefault="00077300" w:rsidP="00983490">
                <w:pPr>
                  <w:spacing w:before="120" w:after="120" w:line="360" w:lineRule="auto"/>
                  <w:rPr>
                    <w:rFonts w:ascii="Arial" w:hAnsi="Arial" w:cs="Arial"/>
                    <w:color w:val="000000" w:themeColor="text1"/>
                    <w:sz w:val="32"/>
                    <w:szCs w:val="32"/>
                  </w:rPr>
                </w:pPr>
                <w:r w:rsidRPr="00033A27">
                  <w:rPr>
                    <w:rFonts w:ascii="Arial" w:hAnsi="Arial" w:cs="Arial"/>
                    <w:color w:val="000000" w:themeColor="text1"/>
                    <w:sz w:val="32"/>
                    <w:szCs w:val="32"/>
                  </w:rPr>
                  <w:t>200883</w:t>
                </w:r>
                <w:r w:rsidR="00A9297A">
                  <w:rPr>
                    <w:rFonts w:ascii="Arial" w:hAnsi="Arial" w:cs="Arial"/>
                    <w:color w:val="000000" w:themeColor="text1"/>
                    <w:sz w:val="32"/>
                    <w:szCs w:val="32"/>
                  </w:rPr>
                  <w:t>9</w:t>
                </w:r>
              </w:p>
            </w:tc>
          </w:tr>
          <w:tr w:rsidR="00077300" w:rsidRPr="00033A27" w14:paraId="7DAB6581" w14:textId="77777777" w:rsidTr="00983490">
            <w:tc>
              <w:tcPr>
                <w:tcW w:w="3438" w:type="dxa"/>
                <w:shd w:val="clear" w:color="auto" w:fill="D9D9D9"/>
              </w:tcPr>
              <w:p w14:paraId="4EA6C044" w14:textId="77777777" w:rsidR="00077300" w:rsidRPr="00033A27" w:rsidRDefault="00077300" w:rsidP="00983490">
                <w:pPr>
                  <w:spacing w:before="120" w:after="120" w:line="360" w:lineRule="auto"/>
                  <w:rPr>
                    <w:rFonts w:ascii="Arial" w:hAnsi="Arial" w:cs="Arial"/>
                    <w:sz w:val="32"/>
                    <w:szCs w:val="32"/>
                  </w:rPr>
                </w:pPr>
                <w:r w:rsidRPr="00033A27">
                  <w:rPr>
                    <w:rFonts w:ascii="Arial" w:hAnsi="Arial" w:cs="Arial"/>
                    <w:sz w:val="32"/>
                    <w:szCs w:val="32"/>
                  </w:rPr>
                  <w:t>Module No:</w:t>
                </w:r>
              </w:p>
            </w:tc>
            <w:tc>
              <w:tcPr>
                <w:tcW w:w="6055" w:type="dxa"/>
              </w:tcPr>
              <w:p w14:paraId="6E2ADE9F" w14:textId="4BA162E3" w:rsidR="00077300" w:rsidRPr="00033A27" w:rsidRDefault="00077300" w:rsidP="00983490">
                <w:pPr>
                  <w:rPr>
                    <w:rFonts w:ascii="Arial" w:hAnsi="Arial" w:cs="Arial"/>
                    <w:color w:val="000000" w:themeColor="text1"/>
                    <w:sz w:val="32"/>
                    <w:szCs w:val="32"/>
                    <w:lang w:eastAsia="en-GB"/>
                  </w:rPr>
                </w:pPr>
                <w:r w:rsidRPr="00033A27">
                  <w:rPr>
                    <w:rFonts w:ascii="Arial" w:hAnsi="Arial" w:cs="Arial"/>
                    <w:color w:val="000000" w:themeColor="text1"/>
                    <w:sz w:val="32"/>
                    <w:szCs w:val="32"/>
                    <w:lang w:eastAsia="en-GB"/>
                  </w:rPr>
                  <w:t>BMSK</w:t>
                </w:r>
                <w:r w:rsidR="00387786" w:rsidRPr="00033A27">
                  <w:rPr>
                    <w:rFonts w:ascii="Arial" w:hAnsi="Arial" w:cs="Arial"/>
                    <w:color w:val="000000" w:themeColor="text1"/>
                    <w:sz w:val="32"/>
                    <w:szCs w:val="32"/>
                    <w:lang w:eastAsia="en-GB"/>
                  </w:rPr>
                  <w:t>600</w:t>
                </w:r>
                <w:r w:rsidR="002D1945">
                  <w:rPr>
                    <w:rFonts w:ascii="Arial" w:hAnsi="Arial" w:cs="Arial"/>
                    <w:color w:val="000000" w:themeColor="text1"/>
                    <w:sz w:val="32"/>
                    <w:szCs w:val="32"/>
                    <w:lang w:eastAsia="en-GB"/>
                  </w:rPr>
                  <w:t>3</w:t>
                </w:r>
              </w:p>
            </w:tc>
          </w:tr>
          <w:tr w:rsidR="00077300" w:rsidRPr="00033A27" w14:paraId="3492C1B9" w14:textId="77777777" w:rsidTr="00983490">
            <w:trPr>
              <w:trHeight w:val="413"/>
            </w:trPr>
            <w:tc>
              <w:tcPr>
                <w:tcW w:w="3438" w:type="dxa"/>
                <w:shd w:val="clear" w:color="auto" w:fill="D9D9D9"/>
              </w:tcPr>
              <w:p w14:paraId="33620DDC" w14:textId="77777777" w:rsidR="00077300" w:rsidRPr="00033A27" w:rsidRDefault="00077300" w:rsidP="00983490">
                <w:pPr>
                  <w:spacing w:before="120" w:after="120" w:line="360" w:lineRule="auto"/>
                  <w:rPr>
                    <w:rFonts w:ascii="Arial" w:hAnsi="Arial" w:cs="Arial"/>
                    <w:sz w:val="32"/>
                    <w:szCs w:val="32"/>
                  </w:rPr>
                </w:pPr>
                <w:r w:rsidRPr="00033A27">
                  <w:rPr>
                    <w:rFonts w:ascii="Arial" w:hAnsi="Arial" w:cs="Arial"/>
                    <w:sz w:val="32"/>
                    <w:szCs w:val="32"/>
                  </w:rPr>
                  <w:t>Module Title:</w:t>
                </w:r>
              </w:p>
            </w:tc>
            <w:tc>
              <w:tcPr>
                <w:tcW w:w="6055" w:type="dxa"/>
              </w:tcPr>
              <w:p w14:paraId="53BA7E79" w14:textId="1F604770" w:rsidR="00077300" w:rsidRPr="00033A27" w:rsidRDefault="002D1945" w:rsidP="00983490">
                <w:pPr>
                  <w:spacing w:before="120" w:after="120" w:line="360" w:lineRule="auto"/>
                  <w:rPr>
                    <w:rFonts w:ascii="Arial" w:hAnsi="Arial" w:cs="Arial"/>
                    <w:color w:val="000000" w:themeColor="text1"/>
                    <w:sz w:val="32"/>
                    <w:szCs w:val="32"/>
                  </w:rPr>
                </w:pPr>
                <w:r w:rsidRPr="002D1945">
                  <w:rPr>
                    <w:rFonts w:ascii="Arial" w:hAnsi="Arial" w:cs="Arial"/>
                    <w:color w:val="000000" w:themeColor="text1"/>
                    <w:sz w:val="32"/>
                    <w:szCs w:val="32"/>
                  </w:rPr>
                  <w:t>Leading and Implementing Workplace Change</w:t>
                </w:r>
              </w:p>
            </w:tc>
          </w:tr>
        </w:tbl>
        <w:p w14:paraId="7D1EA0E8" w14:textId="77777777" w:rsidR="00077300" w:rsidRPr="00033A27" w:rsidRDefault="00077300" w:rsidP="00077300">
          <w:pPr>
            <w:spacing w:before="120" w:after="120" w:line="360" w:lineRule="auto"/>
            <w:rPr>
              <w:rFonts w:ascii="Arial" w:hAnsi="Arial" w:cs="Arial"/>
              <w:color w:val="FF0000"/>
              <w:sz w:val="24"/>
              <w:szCs w:val="24"/>
            </w:rPr>
          </w:pPr>
        </w:p>
        <w:p w14:paraId="1B0FE828" w14:textId="77777777" w:rsidR="00077300" w:rsidRPr="00033A27" w:rsidRDefault="00077300" w:rsidP="00077300">
          <w:pPr>
            <w:spacing w:before="120" w:after="120" w:line="360" w:lineRule="auto"/>
            <w:rPr>
              <w:rFonts w:ascii="Arial" w:hAnsi="Arial" w:cs="Arial"/>
              <w:b/>
              <w:color w:val="000000"/>
              <w:sz w:val="24"/>
              <w:szCs w:val="24"/>
            </w:rPr>
          </w:pPr>
          <w:r w:rsidRPr="00033A27">
            <w:rPr>
              <w:rFonts w:ascii="Arial" w:hAnsi="Arial" w:cs="Arial"/>
              <w:b/>
              <w:color w:val="000000"/>
              <w:sz w:val="24"/>
              <w:szCs w:val="24"/>
            </w:rPr>
            <w:t>Statement of Confirmation of Authenticity</w:t>
          </w:r>
        </w:p>
        <w:p w14:paraId="4C4A1462" w14:textId="77777777" w:rsidR="00077300" w:rsidRPr="00033A27" w:rsidRDefault="00077300" w:rsidP="00077300">
          <w:pPr>
            <w:spacing w:before="120" w:after="120" w:line="360" w:lineRule="auto"/>
            <w:rPr>
              <w:rFonts w:ascii="Arial" w:hAnsi="Arial" w:cs="Arial"/>
              <w:color w:val="000000"/>
              <w:sz w:val="24"/>
              <w:szCs w:val="24"/>
            </w:rPr>
          </w:pPr>
          <w:r w:rsidRPr="00033A27">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0FCC2E0" w14:textId="3B50CE90" w:rsidR="00077300" w:rsidRPr="00033A27" w:rsidRDefault="00077300" w:rsidP="00077300">
          <w:pPr>
            <w:spacing w:before="120" w:after="120" w:line="360" w:lineRule="auto"/>
            <w:rPr>
              <w:rFonts w:ascii="Arial" w:hAnsi="Arial" w:cs="Arial"/>
              <w:color w:val="000000"/>
              <w:sz w:val="24"/>
              <w:szCs w:val="24"/>
            </w:rPr>
          </w:pPr>
          <w:r w:rsidRPr="00033A27">
            <w:rPr>
              <w:rFonts w:ascii="Arial" w:hAnsi="Arial" w:cs="Arial"/>
              <w:color w:val="000000"/>
              <w:sz w:val="24"/>
              <w:szCs w:val="24"/>
            </w:rPr>
            <w:t>Attention is drawn to the plagiarism and unfair practice policies of both the University and of ILM.</w:t>
          </w:r>
        </w:p>
        <w:p w14:paraId="26113851" w14:textId="7DAA3245" w:rsidR="00077300" w:rsidRPr="00033A27" w:rsidRDefault="00077300" w:rsidP="00077300">
          <w:pPr>
            <w:spacing w:before="120" w:after="120" w:line="360" w:lineRule="auto"/>
            <w:rPr>
              <w:rFonts w:ascii="Arial" w:hAnsi="Arial" w:cs="Arial"/>
              <w:color w:val="000000"/>
              <w:sz w:val="24"/>
              <w:szCs w:val="24"/>
            </w:rPr>
          </w:pPr>
        </w:p>
        <w:p w14:paraId="05577FC6" w14:textId="77777777" w:rsidR="00077300" w:rsidRPr="00033A27" w:rsidRDefault="00077300" w:rsidP="00077300">
          <w:pPr>
            <w:spacing w:before="120" w:after="120" w:line="360" w:lineRule="auto"/>
            <w:rPr>
              <w:rFonts w:ascii="Arial" w:hAnsi="Arial" w:cs="Arial"/>
              <w:color w:val="000000"/>
              <w:sz w:val="24"/>
              <w:szCs w:val="24"/>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0BCCEBF6" w14:textId="77777777" w:rsidR="00077300" w:rsidRPr="00CE5CFB" w:rsidRDefault="00077300" w:rsidP="00077300">
              <w:pPr>
                <w:pStyle w:val="TOCHeading"/>
                <w:rPr>
                  <w:rFonts w:ascii="Arial" w:hAnsi="Arial" w:cs="Arial"/>
                </w:rPr>
              </w:pPr>
              <w:r w:rsidRPr="00CE5CFB">
                <w:rPr>
                  <w:rFonts w:ascii="Arial" w:hAnsi="Arial" w:cs="Arial"/>
                </w:rPr>
                <w:t>Table of Contents</w:t>
              </w:r>
            </w:p>
            <w:p w14:paraId="4F84F503" w14:textId="77777777" w:rsidR="00077300" w:rsidRPr="00E62ECE" w:rsidRDefault="00077300" w:rsidP="00077300">
              <w:pPr>
                <w:rPr>
                  <w:rFonts w:ascii="Arial" w:hAnsi="Arial" w:cs="Arial"/>
                  <w:color w:val="000000" w:themeColor="text1"/>
                  <w:lang w:val="en-US"/>
                </w:rPr>
              </w:pPr>
            </w:p>
            <w:p w14:paraId="30121101" w14:textId="31EAA2C4" w:rsidR="004A512A" w:rsidRDefault="00077300">
              <w:pPr>
                <w:pStyle w:val="TOC1"/>
                <w:rPr>
                  <w:rFonts w:asciiTheme="minorHAnsi" w:eastAsiaTheme="minorEastAsia" w:hAnsiTheme="minorHAnsi" w:cstheme="minorBidi"/>
                  <w:b w:val="0"/>
                  <w:bCs w:val="0"/>
                  <w:kern w:val="2"/>
                  <w:sz w:val="24"/>
                  <w:szCs w:val="24"/>
                  <w:lang w:eastAsia="en-GB"/>
                  <w14:ligatures w14:val="standardContextual"/>
                </w:rPr>
              </w:pPr>
              <w:r w:rsidRPr="007202E4">
                <w:rPr>
                  <w:rFonts w:ascii="Arial" w:hAnsi="Arial" w:cs="Arial"/>
                  <w:b w:val="0"/>
                  <w:bCs w:val="0"/>
                  <w:noProof w:val="0"/>
                </w:rPr>
                <w:fldChar w:fldCharType="begin"/>
              </w:r>
              <w:r w:rsidRPr="007202E4">
                <w:rPr>
                  <w:rFonts w:ascii="Arial" w:hAnsi="Arial" w:cs="Arial"/>
                  <w:b w:val="0"/>
                  <w:bCs w:val="0"/>
                </w:rPr>
                <w:instrText xml:space="preserve"> TOC \o "1-3" \h \z \u </w:instrText>
              </w:r>
              <w:r w:rsidRPr="007202E4">
                <w:rPr>
                  <w:rFonts w:ascii="Arial" w:hAnsi="Arial" w:cs="Arial"/>
                  <w:b w:val="0"/>
                  <w:bCs w:val="0"/>
                  <w:noProof w:val="0"/>
                </w:rPr>
                <w:fldChar w:fldCharType="separate"/>
              </w:r>
              <w:hyperlink w:anchor="_Toc157590503" w:history="1">
                <w:r w:rsidR="004A512A" w:rsidRPr="007B79B3">
                  <w:rPr>
                    <w:rStyle w:val="Hyperlink"/>
                    <w:rFonts w:cs="Arial"/>
                  </w:rPr>
                  <w:t>Introduction.</w:t>
                </w:r>
                <w:r w:rsidR="004A512A">
                  <w:rPr>
                    <w:webHidden/>
                  </w:rPr>
                  <w:tab/>
                </w:r>
                <w:r w:rsidR="004A512A">
                  <w:rPr>
                    <w:webHidden/>
                  </w:rPr>
                  <w:fldChar w:fldCharType="begin"/>
                </w:r>
                <w:r w:rsidR="004A512A">
                  <w:rPr>
                    <w:webHidden/>
                  </w:rPr>
                  <w:instrText xml:space="preserve"> PAGEREF _Toc157590503 \h </w:instrText>
                </w:r>
                <w:r w:rsidR="004A512A">
                  <w:rPr>
                    <w:webHidden/>
                  </w:rPr>
                </w:r>
                <w:r w:rsidR="004A512A">
                  <w:rPr>
                    <w:webHidden/>
                  </w:rPr>
                  <w:fldChar w:fldCharType="separate"/>
                </w:r>
                <w:r w:rsidR="004A512A">
                  <w:rPr>
                    <w:webHidden/>
                  </w:rPr>
                  <w:t>3</w:t>
                </w:r>
                <w:r w:rsidR="004A512A">
                  <w:rPr>
                    <w:webHidden/>
                  </w:rPr>
                  <w:fldChar w:fldCharType="end"/>
                </w:r>
              </w:hyperlink>
            </w:p>
            <w:p w14:paraId="402328C8" w14:textId="4EF85ADE"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04" w:history="1">
                <w:r w:rsidRPr="007B79B3">
                  <w:rPr>
                    <w:rStyle w:val="Hyperlink"/>
                    <w:rFonts w:cs="Arial"/>
                  </w:rPr>
                  <w:t>1.Critically analyse the current forces for change in the organisations micro and macro environment that can impact workplace culture and capability</w:t>
                </w:r>
                <w:r>
                  <w:rPr>
                    <w:webHidden/>
                  </w:rPr>
                  <w:tab/>
                </w:r>
                <w:r>
                  <w:rPr>
                    <w:webHidden/>
                  </w:rPr>
                  <w:fldChar w:fldCharType="begin"/>
                </w:r>
                <w:r>
                  <w:rPr>
                    <w:webHidden/>
                  </w:rPr>
                  <w:instrText xml:space="preserve"> PAGEREF _Toc157590504 \h </w:instrText>
                </w:r>
                <w:r>
                  <w:rPr>
                    <w:webHidden/>
                  </w:rPr>
                </w:r>
                <w:r>
                  <w:rPr>
                    <w:webHidden/>
                  </w:rPr>
                  <w:fldChar w:fldCharType="separate"/>
                </w:r>
                <w:r>
                  <w:rPr>
                    <w:webHidden/>
                  </w:rPr>
                  <w:t>3</w:t>
                </w:r>
                <w:r>
                  <w:rPr>
                    <w:webHidden/>
                  </w:rPr>
                  <w:fldChar w:fldCharType="end"/>
                </w:r>
              </w:hyperlink>
            </w:p>
            <w:p w14:paraId="1FE05D32" w14:textId="67C7DBC5"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05" w:history="1">
                <w:r w:rsidRPr="007B79B3">
                  <w:rPr>
                    <w:rStyle w:val="Hyperlink"/>
                    <w:rFonts w:cs="Arial"/>
                  </w:rPr>
                  <w:t>1.1: Macro Environmental Analysis of the NHS</w:t>
                </w:r>
                <w:r>
                  <w:rPr>
                    <w:webHidden/>
                  </w:rPr>
                  <w:tab/>
                </w:r>
                <w:r>
                  <w:rPr>
                    <w:webHidden/>
                  </w:rPr>
                  <w:fldChar w:fldCharType="begin"/>
                </w:r>
                <w:r>
                  <w:rPr>
                    <w:webHidden/>
                  </w:rPr>
                  <w:instrText xml:space="preserve"> PAGEREF _Toc157590505 \h </w:instrText>
                </w:r>
                <w:r>
                  <w:rPr>
                    <w:webHidden/>
                  </w:rPr>
                </w:r>
                <w:r>
                  <w:rPr>
                    <w:webHidden/>
                  </w:rPr>
                  <w:fldChar w:fldCharType="separate"/>
                </w:r>
                <w:r>
                  <w:rPr>
                    <w:webHidden/>
                  </w:rPr>
                  <w:t>3</w:t>
                </w:r>
                <w:r>
                  <w:rPr>
                    <w:webHidden/>
                  </w:rPr>
                  <w:fldChar w:fldCharType="end"/>
                </w:r>
              </w:hyperlink>
            </w:p>
            <w:p w14:paraId="7D640726" w14:textId="49860A53"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06" w:history="1">
                <w:r w:rsidRPr="007B79B3">
                  <w:rPr>
                    <w:rStyle w:val="Hyperlink"/>
                    <w:rFonts w:cs="Arial"/>
                  </w:rPr>
                  <w:t>Political Factors</w:t>
                </w:r>
                <w:r>
                  <w:rPr>
                    <w:webHidden/>
                  </w:rPr>
                  <w:tab/>
                </w:r>
                <w:r>
                  <w:rPr>
                    <w:webHidden/>
                  </w:rPr>
                  <w:fldChar w:fldCharType="begin"/>
                </w:r>
                <w:r>
                  <w:rPr>
                    <w:webHidden/>
                  </w:rPr>
                  <w:instrText xml:space="preserve"> PAGEREF _Toc157590506 \h </w:instrText>
                </w:r>
                <w:r>
                  <w:rPr>
                    <w:webHidden/>
                  </w:rPr>
                </w:r>
                <w:r>
                  <w:rPr>
                    <w:webHidden/>
                  </w:rPr>
                  <w:fldChar w:fldCharType="separate"/>
                </w:r>
                <w:r>
                  <w:rPr>
                    <w:webHidden/>
                  </w:rPr>
                  <w:t>3</w:t>
                </w:r>
                <w:r>
                  <w:rPr>
                    <w:webHidden/>
                  </w:rPr>
                  <w:fldChar w:fldCharType="end"/>
                </w:r>
              </w:hyperlink>
            </w:p>
            <w:p w14:paraId="017341A8" w14:textId="3ADF3499"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07" w:history="1">
                <w:r w:rsidRPr="007B79B3">
                  <w:rPr>
                    <w:rStyle w:val="Hyperlink"/>
                    <w:rFonts w:cs="Arial"/>
                  </w:rPr>
                  <w:t>Economic Factors</w:t>
                </w:r>
                <w:r>
                  <w:rPr>
                    <w:webHidden/>
                  </w:rPr>
                  <w:tab/>
                </w:r>
                <w:r>
                  <w:rPr>
                    <w:webHidden/>
                  </w:rPr>
                  <w:fldChar w:fldCharType="begin"/>
                </w:r>
                <w:r>
                  <w:rPr>
                    <w:webHidden/>
                  </w:rPr>
                  <w:instrText xml:space="preserve"> PAGEREF _Toc157590507 \h </w:instrText>
                </w:r>
                <w:r>
                  <w:rPr>
                    <w:webHidden/>
                  </w:rPr>
                </w:r>
                <w:r>
                  <w:rPr>
                    <w:webHidden/>
                  </w:rPr>
                  <w:fldChar w:fldCharType="separate"/>
                </w:r>
                <w:r>
                  <w:rPr>
                    <w:webHidden/>
                  </w:rPr>
                  <w:t>5</w:t>
                </w:r>
                <w:r>
                  <w:rPr>
                    <w:webHidden/>
                  </w:rPr>
                  <w:fldChar w:fldCharType="end"/>
                </w:r>
              </w:hyperlink>
            </w:p>
            <w:p w14:paraId="3DAA7F75" w14:textId="0D02C01C"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08" w:history="1">
                <w:r w:rsidRPr="007B79B3">
                  <w:rPr>
                    <w:rStyle w:val="Hyperlink"/>
                    <w:rFonts w:cs="Arial"/>
                  </w:rPr>
                  <w:t>Social Factors</w:t>
                </w:r>
                <w:r>
                  <w:rPr>
                    <w:webHidden/>
                  </w:rPr>
                  <w:tab/>
                </w:r>
                <w:r>
                  <w:rPr>
                    <w:webHidden/>
                  </w:rPr>
                  <w:fldChar w:fldCharType="begin"/>
                </w:r>
                <w:r>
                  <w:rPr>
                    <w:webHidden/>
                  </w:rPr>
                  <w:instrText xml:space="preserve"> PAGEREF _Toc157590508 \h </w:instrText>
                </w:r>
                <w:r>
                  <w:rPr>
                    <w:webHidden/>
                  </w:rPr>
                </w:r>
                <w:r>
                  <w:rPr>
                    <w:webHidden/>
                  </w:rPr>
                  <w:fldChar w:fldCharType="separate"/>
                </w:r>
                <w:r>
                  <w:rPr>
                    <w:webHidden/>
                  </w:rPr>
                  <w:t>6</w:t>
                </w:r>
                <w:r>
                  <w:rPr>
                    <w:webHidden/>
                  </w:rPr>
                  <w:fldChar w:fldCharType="end"/>
                </w:r>
              </w:hyperlink>
            </w:p>
            <w:p w14:paraId="50E87289" w14:textId="1E39325A"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09" w:history="1">
                <w:r w:rsidRPr="007B79B3">
                  <w:rPr>
                    <w:rStyle w:val="Hyperlink"/>
                    <w:rFonts w:cs="Arial"/>
                  </w:rPr>
                  <w:t>Technological Factors</w:t>
                </w:r>
                <w:r>
                  <w:rPr>
                    <w:webHidden/>
                  </w:rPr>
                  <w:tab/>
                </w:r>
                <w:r>
                  <w:rPr>
                    <w:webHidden/>
                  </w:rPr>
                  <w:fldChar w:fldCharType="begin"/>
                </w:r>
                <w:r>
                  <w:rPr>
                    <w:webHidden/>
                  </w:rPr>
                  <w:instrText xml:space="preserve"> PAGEREF _Toc157590509 \h </w:instrText>
                </w:r>
                <w:r>
                  <w:rPr>
                    <w:webHidden/>
                  </w:rPr>
                </w:r>
                <w:r>
                  <w:rPr>
                    <w:webHidden/>
                  </w:rPr>
                  <w:fldChar w:fldCharType="separate"/>
                </w:r>
                <w:r>
                  <w:rPr>
                    <w:webHidden/>
                  </w:rPr>
                  <w:t>7</w:t>
                </w:r>
                <w:r>
                  <w:rPr>
                    <w:webHidden/>
                  </w:rPr>
                  <w:fldChar w:fldCharType="end"/>
                </w:r>
              </w:hyperlink>
            </w:p>
            <w:p w14:paraId="007EDE92" w14:textId="7E167CDF"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10" w:history="1">
                <w:r w:rsidRPr="007B79B3">
                  <w:rPr>
                    <w:rStyle w:val="Hyperlink"/>
                    <w:rFonts w:cs="Arial"/>
                  </w:rPr>
                  <w:t>Legal Factors</w:t>
                </w:r>
                <w:r>
                  <w:rPr>
                    <w:webHidden/>
                  </w:rPr>
                  <w:tab/>
                </w:r>
                <w:r>
                  <w:rPr>
                    <w:webHidden/>
                  </w:rPr>
                  <w:fldChar w:fldCharType="begin"/>
                </w:r>
                <w:r>
                  <w:rPr>
                    <w:webHidden/>
                  </w:rPr>
                  <w:instrText xml:space="preserve"> PAGEREF _Toc157590510 \h </w:instrText>
                </w:r>
                <w:r>
                  <w:rPr>
                    <w:webHidden/>
                  </w:rPr>
                </w:r>
                <w:r>
                  <w:rPr>
                    <w:webHidden/>
                  </w:rPr>
                  <w:fldChar w:fldCharType="separate"/>
                </w:r>
                <w:r>
                  <w:rPr>
                    <w:webHidden/>
                  </w:rPr>
                  <w:t>8</w:t>
                </w:r>
                <w:r>
                  <w:rPr>
                    <w:webHidden/>
                  </w:rPr>
                  <w:fldChar w:fldCharType="end"/>
                </w:r>
              </w:hyperlink>
            </w:p>
            <w:p w14:paraId="1E2D30A0" w14:textId="1174CA34"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11" w:history="1">
                <w:r w:rsidRPr="007B79B3">
                  <w:rPr>
                    <w:rStyle w:val="Hyperlink"/>
                    <w:rFonts w:cs="Arial"/>
                  </w:rPr>
                  <w:t>Environmental Factors</w:t>
                </w:r>
                <w:r>
                  <w:rPr>
                    <w:webHidden/>
                  </w:rPr>
                  <w:tab/>
                </w:r>
                <w:r>
                  <w:rPr>
                    <w:webHidden/>
                  </w:rPr>
                  <w:fldChar w:fldCharType="begin"/>
                </w:r>
                <w:r>
                  <w:rPr>
                    <w:webHidden/>
                  </w:rPr>
                  <w:instrText xml:space="preserve"> PAGEREF _Toc157590511 \h </w:instrText>
                </w:r>
                <w:r>
                  <w:rPr>
                    <w:webHidden/>
                  </w:rPr>
                </w:r>
                <w:r>
                  <w:rPr>
                    <w:webHidden/>
                  </w:rPr>
                  <w:fldChar w:fldCharType="separate"/>
                </w:r>
                <w:r>
                  <w:rPr>
                    <w:webHidden/>
                  </w:rPr>
                  <w:t>9</w:t>
                </w:r>
                <w:r>
                  <w:rPr>
                    <w:webHidden/>
                  </w:rPr>
                  <w:fldChar w:fldCharType="end"/>
                </w:r>
              </w:hyperlink>
            </w:p>
            <w:p w14:paraId="46AF3CB2" w14:textId="20BCFC1E"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12" w:history="1">
                <w:r w:rsidRPr="007B79B3">
                  <w:rPr>
                    <w:rStyle w:val="Hyperlink"/>
                    <w:rFonts w:cs="Arial"/>
                  </w:rPr>
                  <w:t>1.2: Micro Environmental Analysis of the NHS</w:t>
                </w:r>
                <w:r>
                  <w:rPr>
                    <w:webHidden/>
                  </w:rPr>
                  <w:tab/>
                </w:r>
                <w:r>
                  <w:rPr>
                    <w:webHidden/>
                  </w:rPr>
                  <w:fldChar w:fldCharType="begin"/>
                </w:r>
                <w:r>
                  <w:rPr>
                    <w:webHidden/>
                  </w:rPr>
                  <w:instrText xml:space="preserve"> PAGEREF _Toc157590512 \h </w:instrText>
                </w:r>
                <w:r>
                  <w:rPr>
                    <w:webHidden/>
                  </w:rPr>
                </w:r>
                <w:r>
                  <w:rPr>
                    <w:webHidden/>
                  </w:rPr>
                  <w:fldChar w:fldCharType="separate"/>
                </w:r>
                <w:r>
                  <w:rPr>
                    <w:webHidden/>
                  </w:rPr>
                  <w:t>11</w:t>
                </w:r>
                <w:r>
                  <w:rPr>
                    <w:webHidden/>
                  </w:rPr>
                  <w:fldChar w:fldCharType="end"/>
                </w:r>
              </w:hyperlink>
            </w:p>
            <w:p w14:paraId="4BB86473" w14:textId="0D63EE65"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13" w:history="1">
                <w:r w:rsidRPr="007B79B3">
                  <w:rPr>
                    <w:rStyle w:val="Hyperlink"/>
                    <w:rFonts w:cs="Arial"/>
                  </w:rPr>
                  <w:t>SWOT Analysis</w:t>
                </w:r>
                <w:r>
                  <w:rPr>
                    <w:webHidden/>
                  </w:rPr>
                  <w:tab/>
                </w:r>
                <w:r>
                  <w:rPr>
                    <w:webHidden/>
                  </w:rPr>
                  <w:fldChar w:fldCharType="begin"/>
                </w:r>
                <w:r>
                  <w:rPr>
                    <w:webHidden/>
                  </w:rPr>
                  <w:instrText xml:space="preserve"> PAGEREF _Toc157590513 \h </w:instrText>
                </w:r>
                <w:r>
                  <w:rPr>
                    <w:webHidden/>
                  </w:rPr>
                </w:r>
                <w:r>
                  <w:rPr>
                    <w:webHidden/>
                  </w:rPr>
                  <w:fldChar w:fldCharType="separate"/>
                </w:r>
                <w:r>
                  <w:rPr>
                    <w:webHidden/>
                  </w:rPr>
                  <w:t>11</w:t>
                </w:r>
                <w:r>
                  <w:rPr>
                    <w:webHidden/>
                  </w:rPr>
                  <w:fldChar w:fldCharType="end"/>
                </w:r>
              </w:hyperlink>
            </w:p>
            <w:p w14:paraId="7BF26199" w14:textId="2485254B"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14" w:history="1">
                <w:r w:rsidRPr="007B79B3">
                  <w:rPr>
                    <w:rStyle w:val="Hyperlink"/>
                    <w:rFonts w:cs="Arial"/>
                  </w:rPr>
                  <w:t>Linking Theory to Practice</w:t>
                </w:r>
                <w:r>
                  <w:rPr>
                    <w:webHidden/>
                  </w:rPr>
                  <w:tab/>
                </w:r>
                <w:r>
                  <w:rPr>
                    <w:webHidden/>
                  </w:rPr>
                  <w:fldChar w:fldCharType="begin"/>
                </w:r>
                <w:r>
                  <w:rPr>
                    <w:webHidden/>
                  </w:rPr>
                  <w:instrText xml:space="preserve"> PAGEREF _Toc157590514 \h </w:instrText>
                </w:r>
                <w:r>
                  <w:rPr>
                    <w:webHidden/>
                  </w:rPr>
                </w:r>
                <w:r>
                  <w:rPr>
                    <w:webHidden/>
                  </w:rPr>
                  <w:fldChar w:fldCharType="separate"/>
                </w:r>
                <w:r>
                  <w:rPr>
                    <w:webHidden/>
                  </w:rPr>
                  <w:t>13</w:t>
                </w:r>
                <w:r>
                  <w:rPr>
                    <w:webHidden/>
                  </w:rPr>
                  <w:fldChar w:fldCharType="end"/>
                </w:r>
              </w:hyperlink>
            </w:p>
            <w:p w14:paraId="1C9711E9" w14:textId="2C152B41"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15" w:history="1">
                <w:r w:rsidRPr="007B79B3">
                  <w:rPr>
                    <w:rStyle w:val="Hyperlink"/>
                    <w:rFonts w:cs="Arial"/>
                  </w:rPr>
                  <w:t>2. Evaluate how organisational stakeholders can be efficiently led through complex workplace change</w:t>
                </w:r>
                <w:r>
                  <w:rPr>
                    <w:webHidden/>
                  </w:rPr>
                  <w:tab/>
                </w:r>
                <w:r>
                  <w:rPr>
                    <w:webHidden/>
                  </w:rPr>
                  <w:fldChar w:fldCharType="begin"/>
                </w:r>
                <w:r>
                  <w:rPr>
                    <w:webHidden/>
                  </w:rPr>
                  <w:instrText xml:space="preserve"> PAGEREF _Toc157590515 \h </w:instrText>
                </w:r>
                <w:r>
                  <w:rPr>
                    <w:webHidden/>
                  </w:rPr>
                </w:r>
                <w:r>
                  <w:rPr>
                    <w:webHidden/>
                  </w:rPr>
                  <w:fldChar w:fldCharType="separate"/>
                </w:r>
                <w:r>
                  <w:rPr>
                    <w:webHidden/>
                  </w:rPr>
                  <w:t>14</w:t>
                </w:r>
                <w:r>
                  <w:rPr>
                    <w:webHidden/>
                  </w:rPr>
                  <w:fldChar w:fldCharType="end"/>
                </w:r>
              </w:hyperlink>
            </w:p>
            <w:p w14:paraId="6A96DDB3" w14:textId="594E6086"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16" w:history="1">
                <w:r w:rsidRPr="007B79B3">
                  <w:rPr>
                    <w:rStyle w:val="Hyperlink"/>
                    <w:rFonts w:cs="Arial"/>
                  </w:rPr>
                  <w:t>2.1: Stakeholder Analysis of the NHS</w:t>
                </w:r>
                <w:r>
                  <w:rPr>
                    <w:webHidden/>
                  </w:rPr>
                  <w:tab/>
                </w:r>
                <w:r>
                  <w:rPr>
                    <w:webHidden/>
                  </w:rPr>
                  <w:fldChar w:fldCharType="begin"/>
                </w:r>
                <w:r>
                  <w:rPr>
                    <w:webHidden/>
                  </w:rPr>
                  <w:instrText xml:space="preserve"> PAGEREF _Toc157590516 \h </w:instrText>
                </w:r>
                <w:r>
                  <w:rPr>
                    <w:webHidden/>
                  </w:rPr>
                </w:r>
                <w:r>
                  <w:rPr>
                    <w:webHidden/>
                  </w:rPr>
                  <w:fldChar w:fldCharType="separate"/>
                </w:r>
                <w:r>
                  <w:rPr>
                    <w:webHidden/>
                  </w:rPr>
                  <w:t>14</w:t>
                </w:r>
                <w:r>
                  <w:rPr>
                    <w:webHidden/>
                  </w:rPr>
                  <w:fldChar w:fldCharType="end"/>
                </w:r>
              </w:hyperlink>
            </w:p>
            <w:p w14:paraId="38C415DD" w14:textId="3F688028"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17" w:history="1">
                <w:r w:rsidRPr="007B79B3">
                  <w:rPr>
                    <w:rStyle w:val="Hyperlink"/>
                    <w:rFonts w:cs="Arial"/>
                  </w:rPr>
                  <w:t>Section 2.2: Evaluation of a Specific Change Initiative in the NHS</w:t>
                </w:r>
                <w:r>
                  <w:rPr>
                    <w:webHidden/>
                  </w:rPr>
                  <w:tab/>
                </w:r>
                <w:r>
                  <w:rPr>
                    <w:webHidden/>
                  </w:rPr>
                  <w:fldChar w:fldCharType="begin"/>
                </w:r>
                <w:r>
                  <w:rPr>
                    <w:webHidden/>
                  </w:rPr>
                  <w:instrText xml:space="preserve"> PAGEREF _Toc157590517 \h </w:instrText>
                </w:r>
                <w:r>
                  <w:rPr>
                    <w:webHidden/>
                  </w:rPr>
                </w:r>
                <w:r>
                  <w:rPr>
                    <w:webHidden/>
                  </w:rPr>
                  <w:fldChar w:fldCharType="separate"/>
                </w:r>
                <w:r>
                  <w:rPr>
                    <w:webHidden/>
                  </w:rPr>
                  <w:t>15</w:t>
                </w:r>
                <w:r>
                  <w:rPr>
                    <w:webHidden/>
                  </w:rPr>
                  <w:fldChar w:fldCharType="end"/>
                </w:r>
              </w:hyperlink>
            </w:p>
            <w:p w14:paraId="55878019" w14:textId="67C71284"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18" w:history="1">
                <w:r w:rsidRPr="007B79B3">
                  <w:rPr>
                    <w:rStyle w:val="Hyperlink"/>
                    <w:rFonts w:cs="Arial"/>
                  </w:rPr>
                  <w:t>Critical Evaluation of the NHS Long Term Workforce Plan</w:t>
                </w:r>
                <w:r>
                  <w:rPr>
                    <w:webHidden/>
                  </w:rPr>
                  <w:tab/>
                </w:r>
                <w:r>
                  <w:rPr>
                    <w:webHidden/>
                  </w:rPr>
                  <w:fldChar w:fldCharType="begin"/>
                </w:r>
                <w:r>
                  <w:rPr>
                    <w:webHidden/>
                  </w:rPr>
                  <w:instrText xml:space="preserve"> PAGEREF _Toc157590518 \h </w:instrText>
                </w:r>
                <w:r>
                  <w:rPr>
                    <w:webHidden/>
                  </w:rPr>
                </w:r>
                <w:r>
                  <w:rPr>
                    <w:webHidden/>
                  </w:rPr>
                  <w:fldChar w:fldCharType="separate"/>
                </w:r>
                <w:r>
                  <w:rPr>
                    <w:webHidden/>
                  </w:rPr>
                  <w:t>16</w:t>
                </w:r>
                <w:r>
                  <w:rPr>
                    <w:webHidden/>
                  </w:rPr>
                  <w:fldChar w:fldCharType="end"/>
                </w:r>
              </w:hyperlink>
            </w:p>
            <w:p w14:paraId="4A4A1D7E" w14:textId="55990989"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19" w:history="1">
                <w:r w:rsidRPr="007B79B3">
                  <w:rPr>
                    <w:rStyle w:val="Hyperlink"/>
                    <w:rFonts w:cs="Arial"/>
                  </w:rPr>
                  <w:t>Evaluating the NHS Workforce Plan Through Various Management Models</w:t>
                </w:r>
                <w:r>
                  <w:rPr>
                    <w:webHidden/>
                  </w:rPr>
                  <w:tab/>
                </w:r>
                <w:r>
                  <w:rPr>
                    <w:webHidden/>
                  </w:rPr>
                  <w:fldChar w:fldCharType="begin"/>
                </w:r>
                <w:r>
                  <w:rPr>
                    <w:webHidden/>
                  </w:rPr>
                  <w:instrText xml:space="preserve"> PAGEREF _Toc157590519 \h </w:instrText>
                </w:r>
                <w:r>
                  <w:rPr>
                    <w:webHidden/>
                  </w:rPr>
                </w:r>
                <w:r>
                  <w:rPr>
                    <w:webHidden/>
                  </w:rPr>
                  <w:fldChar w:fldCharType="separate"/>
                </w:r>
                <w:r>
                  <w:rPr>
                    <w:webHidden/>
                  </w:rPr>
                  <w:t>17</w:t>
                </w:r>
                <w:r>
                  <w:rPr>
                    <w:webHidden/>
                  </w:rPr>
                  <w:fldChar w:fldCharType="end"/>
                </w:r>
              </w:hyperlink>
            </w:p>
            <w:p w14:paraId="185A3F85" w14:textId="27AD04A6"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20" w:history="1">
                <w:r w:rsidRPr="007B79B3">
                  <w:rPr>
                    <w:rStyle w:val="Hyperlink"/>
                    <w:rFonts w:cs="Arial"/>
                  </w:rPr>
                  <w:t>A Critical Evaluation of Change Management Models in the NHS</w:t>
                </w:r>
                <w:r>
                  <w:rPr>
                    <w:webHidden/>
                  </w:rPr>
                  <w:tab/>
                </w:r>
                <w:r>
                  <w:rPr>
                    <w:webHidden/>
                  </w:rPr>
                  <w:fldChar w:fldCharType="begin"/>
                </w:r>
                <w:r>
                  <w:rPr>
                    <w:webHidden/>
                  </w:rPr>
                  <w:instrText xml:space="preserve"> PAGEREF _Toc157590520 \h </w:instrText>
                </w:r>
                <w:r>
                  <w:rPr>
                    <w:webHidden/>
                  </w:rPr>
                </w:r>
                <w:r>
                  <w:rPr>
                    <w:webHidden/>
                  </w:rPr>
                  <w:fldChar w:fldCharType="separate"/>
                </w:r>
                <w:r>
                  <w:rPr>
                    <w:webHidden/>
                  </w:rPr>
                  <w:t>18</w:t>
                </w:r>
                <w:r>
                  <w:rPr>
                    <w:webHidden/>
                  </w:rPr>
                  <w:fldChar w:fldCharType="end"/>
                </w:r>
              </w:hyperlink>
            </w:p>
            <w:p w14:paraId="59439580" w14:textId="3D82D448"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21" w:history="1">
                <w:r w:rsidRPr="007B79B3">
                  <w:rPr>
                    <w:rStyle w:val="Hyperlink"/>
                    <w:rFonts w:cs="Arial"/>
                  </w:rPr>
                  <w:t>References.</w:t>
                </w:r>
                <w:r>
                  <w:rPr>
                    <w:webHidden/>
                  </w:rPr>
                  <w:tab/>
                </w:r>
                <w:r>
                  <w:rPr>
                    <w:webHidden/>
                  </w:rPr>
                  <w:fldChar w:fldCharType="begin"/>
                </w:r>
                <w:r>
                  <w:rPr>
                    <w:webHidden/>
                  </w:rPr>
                  <w:instrText xml:space="preserve"> PAGEREF _Toc157590521 \h </w:instrText>
                </w:r>
                <w:r>
                  <w:rPr>
                    <w:webHidden/>
                  </w:rPr>
                </w:r>
                <w:r>
                  <w:rPr>
                    <w:webHidden/>
                  </w:rPr>
                  <w:fldChar w:fldCharType="separate"/>
                </w:r>
                <w:r>
                  <w:rPr>
                    <w:webHidden/>
                  </w:rPr>
                  <w:t>20</w:t>
                </w:r>
                <w:r>
                  <w:rPr>
                    <w:webHidden/>
                  </w:rPr>
                  <w:fldChar w:fldCharType="end"/>
                </w:r>
              </w:hyperlink>
            </w:p>
            <w:p w14:paraId="10CB3495" w14:textId="49B50AD8" w:rsidR="004A512A" w:rsidRDefault="004A512A">
              <w:pPr>
                <w:pStyle w:val="TOC1"/>
                <w:rPr>
                  <w:rFonts w:asciiTheme="minorHAnsi" w:eastAsiaTheme="minorEastAsia" w:hAnsiTheme="minorHAnsi" w:cstheme="minorBidi"/>
                  <w:b w:val="0"/>
                  <w:bCs w:val="0"/>
                  <w:kern w:val="2"/>
                  <w:sz w:val="24"/>
                  <w:szCs w:val="24"/>
                  <w:lang w:eastAsia="en-GB"/>
                  <w14:ligatures w14:val="standardContextual"/>
                </w:rPr>
              </w:pPr>
              <w:hyperlink w:anchor="_Toc157590522" w:history="1">
                <w:r w:rsidRPr="007B79B3">
                  <w:rPr>
                    <w:rStyle w:val="Hyperlink"/>
                    <w:rFonts w:cs="Arial"/>
                  </w:rPr>
                  <w:t>Append</w:t>
                </w:r>
                <w:r w:rsidRPr="007B79B3">
                  <w:rPr>
                    <w:rStyle w:val="Hyperlink"/>
                    <w:rFonts w:cs="Arial"/>
                  </w:rPr>
                  <w:t>i</w:t>
                </w:r>
                <w:r w:rsidRPr="007B79B3">
                  <w:rPr>
                    <w:rStyle w:val="Hyperlink"/>
                    <w:rFonts w:cs="Arial"/>
                  </w:rPr>
                  <w:t>x.</w:t>
                </w:r>
                <w:r>
                  <w:rPr>
                    <w:webHidden/>
                  </w:rPr>
                  <w:tab/>
                </w:r>
                <w:r>
                  <w:rPr>
                    <w:webHidden/>
                  </w:rPr>
                  <w:fldChar w:fldCharType="begin"/>
                </w:r>
                <w:r>
                  <w:rPr>
                    <w:webHidden/>
                  </w:rPr>
                  <w:instrText xml:space="preserve"> PAGEREF _Toc157590522 \h </w:instrText>
                </w:r>
                <w:r>
                  <w:rPr>
                    <w:webHidden/>
                  </w:rPr>
                </w:r>
                <w:r>
                  <w:rPr>
                    <w:webHidden/>
                  </w:rPr>
                  <w:fldChar w:fldCharType="separate"/>
                </w:r>
                <w:r>
                  <w:rPr>
                    <w:webHidden/>
                  </w:rPr>
                  <w:t>25</w:t>
                </w:r>
                <w:r>
                  <w:rPr>
                    <w:webHidden/>
                  </w:rPr>
                  <w:fldChar w:fldCharType="end"/>
                </w:r>
              </w:hyperlink>
            </w:p>
            <w:p w14:paraId="61C8A57B" w14:textId="5EACECE0" w:rsidR="00FD15CC" w:rsidRDefault="00077300" w:rsidP="008D19D9">
              <w:pPr>
                <w:rPr>
                  <w:rFonts w:ascii="Arial" w:hAnsi="Arial" w:cs="Arial"/>
                  <w:noProof/>
                  <w:color w:val="000000" w:themeColor="text1"/>
                </w:rPr>
              </w:pPr>
              <w:r w:rsidRPr="007202E4">
                <w:rPr>
                  <w:rFonts w:ascii="Arial" w:hAnsi="Arial" w:cs="Arial"/>
                  <w:noProof/>
                </w:rPr>
                <w:fldChar w:fldCharType="end"/>
              </w:r>
            </w:p>
            <w:p w14:paraId="04B5D11E" w14:textId="5707D023" w:rsidR="00077300" w:rsidRPr="008D19D9" w:rsidRDefault="00000000" w:rsidP="008D19D9">
              <w:pPr>
                <w:rPr>
                  <w:rFonts w:ascii="Arial" w:hAnsi="Arial" w:cs="Arial"/>
                </w:rPr>
              </w:pPr>
            </w:p>
          </w:sdtContent>
        </w:sdt>
      </w:sdtContent>
    </w:sdt>
    <w:p w14:paraId="47AAC279" w14:textId="77777777" w:rsidR="00FD15CC" w:rsidRDefault="00FD15CC" w:rsidP="00293B0B">
      <w:pPr>
        <w:pStyle w:val="Heading1"/>
        <w:spacing w:line="276" w:lineRule="auto"/>
        <w:jc w:val="both"/>
        <w:rPr>
          <w:rFonts w:cs="Arial"/>
          <w:b w:val="0"/>
          <w:bCs w:val="0"/>
          <w:color w:val="2E74B5" w:themeColor="accent5" w:themeShade="BF"/>
          <w:sz w:val="32"/>
          <w:szCs w:val="32"/>
        </w:rPr>
      </w:pPr>
    </w:p>
    <w:p w14:paraId="21881577" w14:textId="77777777" w:rsidR="00FD15CC" w:rsidRDefault="00FD15CC" w:rsidP="00293B0B">
      <w:pPr>
        <w:pStyle w:val="Heading1"/>
        <w:spacing w:line="276" w:lineRule="auto"/>
        <w:jc w:val="both"/>
        <w:rPr>
          <w:rFonts w:cs="Arial"/>
          <w:b w:val="0"/>
          <w:bCs w:val="0"/>
          <w:color w:val="2E74B5" w:themeColor="accent5" w:themeShade="BF"/>
          <w:sz w:val="32"/>
          <w:szCs w:val="32"/>
        </w:rPr>
      </w:pPr>
    </w:p>
    <w:p w14:paraId="458B971E" w14:textId="77777777" w:rsidR="002F6607" w:rsidRDefault="002F6607" w:rsidP="00293B0B">
      <w:pPr>
        <w:pStyle w:val="Heading1"/>
        <w:spacing w:line="276" w:lineRule="auto"/>
        <w:jc w:val="both"/>
        <w:rPr>
          <w:rFonts w:cs="Arial"/>
          <w:b w:val="0"/>
          <w:bCs w:val="0"/>
          <w:color w:val="2E74B5" w:themeColor="accent5" w:themeShade="BF"/>
          <w:sz w:val="32"/>
          <w:szCs w:val="32"/>
        </w:rPr>
      </w:pPr>
    </w:p>
    <w:p w14:paraId="5F7F7FEC" w14:textId="77777777" w:rsidR="009F2A0E" w:rsidRDefault="009F2A0E" w:rsidP="00293B0B">
      <w:pPr>
        <w:pStyle w:val="Heading1"/>
        <w:spacing w:line="276" w:lineRule="auto"/>
        <w:jc w:val="both"/>
        <w:rPr>
          <w:rFonts w:cs="Arial"/>
          <w:b w:val="0"/>
          <w:bCs w:val="0"/>
          <w:color w:val="2F5496" w:themeColor="accent1" w:themeShade="BF"/>
          <w:sz w:val="32"/>
          <w:szCs w:val="32"/>
        </w:rPr>
      </w:pPr>
    </w:p>
    <w:p w14:paraId="37FBA0F5" w14:textId="21EB6B48" w:rsidR="00137DE2" w:rsidRPr="002B445D" w:rsidRDefault="00137DE2" w:rsidP="00293B0B">
      <w:pPr>
        <w:pStyle w:val="Heading1"/>
        <w:spacing w:line="276" w:lineRule="auto"/>
        <w:jc w:val="both"/>
        <w:rPr>
          <w:rFonts w:cs="Arial"/>
          <w:b w:val="0"/>
          <w:bCs w:val="0"/>
          <w:color w:val="2F5496" w:themeColor="accent1" w:themeShade="BF"/>
          <w:sz w:val="32"/>
          <w:szCs w:val="32"/>
        </w:rPr>
      </w:pPr>
      <w:bookmarkStart w:id="0" w:name="_Toc157590503"/>
      <w:r w:rsidRPr="002B445D">
        <w:rPr>
          <w:rFonts w:cs="Arial"/>
          <w:b w:val="0"/>
          <w:bCs w:val="0"/>
          <w:color w:val="2F5496" w:themeColor="accent1" w:themeShade="BF"/>
          <w:sz w:val="32"/>
          <w:szCs w:val="32"/>
        </w:rPr>
        <w:lastRenderedPageBreak/>
        <w:t>Introduction</w:t>
      </w:r>
      <w:r w:rsidR="007F38C7" w:rsidRPr="002B445D">
        <w:rPr>
          <w:rFonts w:cs="Arial"/>
          <w:b w:val="0"/>
          <w:bCs w:val="0"/>
          <w:color w:val="2F5496" w:themeColor="accent1" w:themeShade="BF"/>
          <w:sz w:val="32"/>
          <w:szCs w:val="32"/>
        </w:rPr>
        <w:t>.</w:t>
      </w:r>
      <w:bookmarkEnd w:id="0"/>
    </w:p>
    <w:p w14:paraId="12D98846" w14:textId="77777777" w:rsidR="001B4D1F" w:rsidRPr="002B445D" w:rsidRDefault="001B4D1F" w:rsidP="001B4D1F">
      <w:pPr>
        <w:spacing w:line="276" w:lineRule="auto"/>
        <w:rPr>
          <w:rFonts w:ascii="Arial" w:hAnsi="Arial" w:cs="Arial"/>
        </w:rPr>
      </w:pPr>
      <w:bookmarkStart w:id="1" w:name="_Hlk157533964"/>
      <w:r w:rsidRPr="002B445D">
        <w:rPr>
          <w:rFonts w:ascii="Arial" w:hAnsi="Arial" w:cs="Arial"/>
        </w:rPr>
        <w:t>The National Health Service (NHS), an institution at the heart of British society, is undergoing a period of profound transformation influenced by a complex array of macro and micro environmental factors. This detailed analysis aims to dissect the multifaceted and dynamic landscape in which the NHS operates, exploring the intersections of political, economic, social, technological, legal, and environmental dimensions that critically shape its present and future. We delve into the intricate ways in which shifts in government policies, economic challenges, social dynamics, and technological advancements continually redefine the NHS's strategic objectives and operational effectiveness. This report not only scrutinizes the external factors like Brexit, funding constraints, and evolving public health trends but also examines the internal responses of the NHS, including its approach to workforce management, patient care innovation, and adaptation to regulatory changes. By bridging theory with practice, this analysis presents a comprehensive view of the NHS's resilience and adaptability in an ever-changing healthcare landscape, highlighting the need for strategic foresight and agility in navigating these turbulent waters. As the NHS stands at this critical juncture, this report offers an insightful exploration of the challenges and opportunities that lie ahead, providing a roadmap for a sustainable and responsive healthcare system.</w:t>
      </w:r>
    </w:p>
    <w:bookmarkEnd w:id="1"/>
    <w:p w14:paraId="155C4517" w14:textId="77777777" w:rsidR="00AE6E7F" w:rsidRPr="002B445D" w:rsidRDefault="00AE6E7F" w:rsidP="00293B0B">
      <w:pPr>
        <w:pStyle w:val="Heading1"/>
        <w:spacing w:line="276" w:lineRule="auto"/>
        <w:jc w:val="both"/>
        <w:rPr>
          <w:rFonts w:cs="Arial"/>
          <w:b w:val="0"/>
          <w:bCs w:val="0"/>
          <w:color w:val="2E74B5" w:themeColor="accent5" w:themeShade="BF"/>
          <w:sz w:val="32"/>
          <w:szCs w:val="32"/>
        </w:rPr>
      </w:pPr>
    </w:p>
    <w:p w14:paraId="0FD60B43" w14:textId="3BAA4454" w:rsidR="00720809" w:rsidRPr="002B445D" w:rsidRDefault="00AE6E7F" w:rsidP="00293B0B">
      <w:pPr>
        <w:pStyle w:val="Heading1"/>
        <w:spacing w:line="276" w:lineRule="auto"/>
        <w:jc w:val="both"/>
        <w:rPr>
          <w:rFonts w:cs="Arial"/>
          <w:b w:val="0"/>
          <w:bCs w:val="0"/>
          <w:color w:val="2F5496" w:themeColor="accent1" w:themeShade="BF"/>
          <w:sz w:val="32"/>
          <w:szCs w:val="32"/>
        </w:rPr>
      </w:pPr>
      <w:bookmarkStart w:id="2" w:name="_Toc157590504"/>
      <w:r w:rsidRPr="002B445D">
        <w:rPr>
          <w:rFonts w:cs="Arial"/>
          <w:b w:val="0"/>
          <w:bCs w:val="0"/>
          <w:color w:val="2F5496" w:themeColor="accent1" w:themeShade="BF"/>
          <w:sz w:val="32"/>
          <w:szCs w:val="32"/>
        </w:rPr>
        <w:t>1.</w:t>
      </w:r>
      <w:r w:rsidR="000C1B9E" w:rsidRPr="002B445D">
        <w:rPr>
          <w:rFonts w:cs="Arial"/>
          <w:b w:val="0"/>
          <w:bCs w:val="0"/>
          <w:color w:val="2F5496" w:themeColor="accent1" w:themeShade="BF"/>
          <w:sz w:val="32"/>
          <w:szCs w:val="32"/>
        </w:rPr>
        <w:t>Critically analyse the current forces for change in the organisations micro and macro environment that can impact workplace culture and capability</w:t>
      </w:r>
      <w:bookmarkEnd w:id="2"/>
      <w:r w:rsidR="000C1B9E" w:rsidRPr="002B445D">
        <w:rPr>
          <w:rFonts w:cs="Arial"/>
          <w:b w:val="0"/>
          <w:bCs w:val="0"/>
          <w:color w:val="2F5496" w:themeColor="accent1" w:themeShade="BF"/>
          <w:sz w:val="32"/>
          <w:szCs w:val="32"/>
        </w:rPr>
        <w:t xml:space="preserve">   </w:t>
      </w:r>
    </w:p>
    <w:p w14:paraId="5354EE87" w14:textId="36B4267E" w:rsidR="001B4D1F" w:rsidRPr="002B445D" w:rsidRDefault="001B4D1F" w:rsidP="00CE5CFB">
      <w:pPr>
        <w:pStyle w:val="Heading1"/>
        <w:spacing w:line="276" w:lineRule="auto"/>
        <w:jc w:val="both"/>
        <w:rPr>
          <w:rFonts w:cs="Arial"/>
          <w:b w:val="0"/>
          <w:bCs w:val="0"/>
          <w:color w:val="2F5496" w:themeColor="accent1" w:themeShade="BF"/>
          <w:sz w:val="44"/>
          <w:szCs w:val="44"/>
        </w:rPr>
      </w:pPr>
      <w:bookmarkStart w:id="3" w:name="_Toc157590505"/>
      <w:r w:rsidRPr="002B445D">
        <w:rPr>
          <w:rFonts w:cs="Arial"/>
          <w:b w:val="0"/>
          <w:bCs w:val="0"/>
          <w:color w:val="2F5496" w:themeColor="accent1" w:themeShade="BF"/>
          <w:sz w:val="32"/>
          <w:szCs w:val="32"/>
        </w:rPr>
        <w:t>1.1: Macro Environmental Analysis of the NHS</w:t>
      </w:r>
      <w:bookmarkEnd w:id="3"/>
    </w:p>
    <w:p w14:paraId="7C4F91EC" w14:textId="77777777" w:rsidR="001B4D1F" w:rsidRPr="002B445D" w:rsidRDefault="001B4D1F" w:rsidP="001B4D1F">
      <w:pPr>
        <w:spacing w:line="276" w:lineRule="auto"/>
        <w:rPr>
          <w:rFonts w:ascii="Arial" w:hAnsi="Arial" w:cs="Arial"/>
          <w:b/>
          <w:bCs/>
          <w:color w:val="2F5496" w:themeColor="accent1" w:themeShade="BF"/>
        </w:rPr>
      </w:pPr>
    </w:p>
    <w:p w14:paraId="139E059F" w14:textId="7C9D6BC8" w:rsidR="001B4D1F" w:rsidRPr="002B445D" w:rsidRDefault="001B4D1F" w:rsidP="00CE5CFB">
      <w:pPr>
        <w:pStyle w:val="Heading1"/>
        <w:spacing w:line="276" w:lineRule="auto"/>
        <w:jc w:val="both"/>
        <w:rPr>
          <w:rFonts w:cs="Arial"/>
          <w:b w:val="0"/>
          <w:bCs w:val="0"/>
          <w:color w:val="2F5496" w:themeColor="accent1" w:themeShade="BF"/>
          <w:sz w:val="40"/>
          <w:szCs w:val="40"/>
        </w:rPr>
      </w:pPr>
      <w:bookmarkStart w:id="4" w:name="_Toc157590506"/>
      <w:r w:rsidRPr="002B445D">
        <w:rPr>
          <w:rFonts w:cs="Arial"/>
          <w:b w:val="0"/>
          <w:bCs w:val="0"/>
          <w:color w:val="2F5496" w:themeColor="accent1" w:themeShade="BF"/>
          <w:szCs w:val="28"/>
          <w:u w:val="single"/>
        </w:rPr>
        <w:t>Political Factors</w:t>
      </w:r>
      <w:bookmarkEnd w:id="4"/>
      <w:r w:rsidRPr="002B445D">
        <w:rPr>
          <w:rFonts w:cs="Arial"/>
          <w:b w:val="0"/>
          <w:bCs w:val="0"/>
          <w:color w:val="2F5496" w:themeColor="accent1" w:themeShade="BF"/>
          <w:szCs w:val="28"/>
          <w:u w:val="single"/>
        </w:rPr>
        <w:t xml:space="preserve"> </w:t>
      </w:r>
    </w:p>
    <w:p w14:paraId="304A540B" w14:textId="77777777" w:rsidR="001B4D1F" w:rsidRPr="002B445D" w:rsidRDefault="001B4D1F" w:rsidP="001B4D1F">
      <w:pPr>
        <w:spacing w:line="276" w:lineRule="auto"/>
        <w:rPr>
          <w:rFonts w:ascii="Arial" w:hAnsi="Arial" w:cs="Arial"/>
          <w:b/>
          <w:bCs/>
          <w:u w:val="single"/>
        </w:rPr>
      </w:pPr>
    </w:p>
    <w:p w14:paraId="2E86F513" w14:textId="77777777" w:rsidR="001B4D1F" w:rsidRPr="002B445D" w:rsidRDefault="001B4D1F" w:rsidP="001B4D1F">
      <w:pPr>
        <w:spacing w:line="276" w:lineRule="auto"/>
        <w:rPr>
          <w:rFonts w:ascii="Arial" w:hAnsi="Arial" w:cs="Arial"/>
          <w:b/>
          <w:bCs/>
        </w:rPr>
      </w:pPr>
      <w:r w:rsidRPr="002B445D">
        <w:rPr>
          <w:rFonts w:ascii="Arial" w:hAnsi="Arial" w:cs="Arial"/>
          <w:b/>
          <w:bCs/>
        </w:rPr>
        <w:t>Government Policies and Healthcare Priorities</w:t>
      </w:r>
    </w:p>
    <w:p w14:paraId="0A74B3E5" w14:textId="1DE26D7B" w:rsidR="001B4D1F" w:rsidRPr="002B445D" w:rsidRDefault="001B4D1F" w:rsidP="001B4D1F">
      <w:pPr>
        <w:spacing w:line="276" w:lineRule="auto"/>
        <w:rPr>
          <w:rFonts w:ascii="Arial" w:hAnsi="Arial" w:cs="Arial"/>
        </w:rPr>
      </w:pPr>
      <w:r w:rsidRPr="002B445D">
        <w:rPr>
          <w:rFonts w:ascii="Arial" w:hAnsi="Arial" w:cs="Arial"/>
        </w:rPr>
        <w:t>The NHS's operations and strategic directions are deeply entangled with governmental policies and decisions. Changes in government often herald shifts in healthcare policies, directly impacting the NHS's priorities and resource allocation (Department of Health, 2009). For instance, the Health and Social Care Act of 2012 brought about significant organizational restructuring within the NHS. This Act exemplifies the profound influence political decisions exert on the NHS's structure and functioning (Timmins, 2012). While policy changes aim to improve healthcare delivery, they often lead to disruptions, requiring the NHS to continually adapt to new operational paradigms.</w:t>
      </w:r>
      <w:r w:rsidR="005278EE" w:rsidRPr="005278EE">
        <w:t xml:space="preserve"> </w:t>
      </w:r>
    </w:p>
    <w:p w14:paraId="3CB0E16F" w14:textId="77777777" w:rsidR="00CE5CFB" w:rsidRPr="002B445D" w:rsidRDefault="00CE5CFB" w:rsidP="001B4D1F">
      <w:pPr>
        <w:spacing w:line="276" w:lineRule="auto"/>
        <w:rPr>
          <w:rFonts w:ascii="Arial" w:hAnsi="Arial" w:cs="Arial"/>
        </w:rPr>
      </w:pPr>
    </w:p>
    <w:p w14:paraId="101D6FF8" w14:textId="77777777" w:rsidR="00B07BCD" w:rsidRPr="002B445D" w:rsidRDefault="00B07BCD" w:rsidP="001B4D1F">
      <w:pPr>
        <w:spacing w:line="276" w:lineRule="auto"/>
        <w:rPr>
          <w:rFonts w:ascii="Arial" w:hAnsi="Arial" w:cs="Arial"/>
        </w:rPr>
      </w:pPr>
    </w:p>
    <w:p w14:paraId="3A261170" w14:textId="37CEB5B3" w:rsidR="001B4D1F" w:rsidRPr="002B445D" w:rsidRDefault="001B4D1F" w:rsidP="001B4D1F">
      <w:pPr>
        <w:spacing w:line="276" w:lineRule="auto"/>
        <w:rPr>
          <w:rFonts w:ascii="Arial" w:hAnsi="Arial" w:cs="Arial"/>
          <w:b/>
          <w:bCs/>
        </w:rPr>
      </w:pPr>
      <w:r w:rsidRPr="002B445D">
        <w:rPr>
          <w:rFonts w:ascii="Arial" w:hAnsi="Arial" w:cs="Arial"/>
          <w:b/>
          <w:bCs/>
        </w:rPr>
        <w:lastRenderedPageBreak/>
        <w:t>The Impact of Brexit</w:t>
      </w:r>
    </w:p>
    <w:p w14:paraId="6177C6D5" w14:textId="128EC0B5" w:rsidR="001B4D1F" w:rsidRPr="002B445D" w:rsidRDefault="001B4D1F" w:rsidP="001B4D1F">
      <w:pPr>
        <w:spacing w:line="276" w:lineRule="auto"/>
        <w:rPr>
          <w:rFonts w:ascii="Arial" w:hAnsi="Arial" w:cs="Arial"/>
        </w:rPr>
      </w:pPr>
      <w:r w:rsidRPr="002B445D">
        <w:rPr>
          <w:rFonts w:ascii="Arial" w:hAnsi="Arial" w:cs="Arial"/>
        </w:rPr>
        <w:t>Brexit represents a critical juncture for the NHS, particularly concerning workforce dynamics and regulatory frameworks. The NHS's reliance on EU staff highlights its vulnerability to changes in immigration policies post-Brexit. These policy shifts may exacerbate existing workforce shortages, impacting service delivery (Check B. R., 2019; Dayan et al., 2021). The uncertainty surrounding Brexit also underscores the challenges in strategic planning within the NHS, posing risks to maintaining a stable and skilled workforce. Post-Brexit, the NHS has faced notable staff shortages, exacerbated by changes in immigration policies. This has been particularly evident in operational roles where the staffing and wellbeing of NHS employees have become pressing concerns. The new immigration rules, effective from January 2021, have increased bureaucratic hurdles and costs for recruiting staff from the EU, placing them on the same footing as those from the rest of the world. This has led to a considerable decline in the number of European Economic Area (EEA)-trained nurses registered with the Nursing and Midwifery Council (NMC) between September 2016 and March 2022​ (Stone,2022; Hacker, 2021).</w:t>
      </w:r>
      <w:r w:rsidR="005278EE" w:rsidRPr="005278EE">
        <w:t xml:space="preserve"> </w:t>
      </w:r>
    </w:p>
    <w:p w14:paraId="4B13CEB7" w14:textId="77777777" w:rsidR="001B4D1F" w:rsidRPr="002B445D" w:rsidRDefault="001B4D1F" w:rsidP="001B4D1F">
      <w:pPr>
        <w:spacing w:line="276" w:lineRule="auto"/>
        <w:rPr>
          <w:rFonts w:ascii="Arial" w:hAnsi="Arial" w:cs="Arial"/>
          <w:b/>
          <w:bCs/>
        </w:rPr>
      </w:pPr>
      <w:r w:rsidRPr="002B445D">
        <w:rPr>
          <w:rFonts w:ascii="Arial" w:hAnsi="Arial" w:cs="Arial"/>
          <w:b/>
          <w:bCs/>
        </w:rPr>
        <w:t>Funding Fluctuations and Resource Allocation</w:t>
      </w:r>
    </w:p>
    <w:p w14:paraId="51EE2D8D" w14:textId="77777777" w:rsidR="001B4D1F" w:rsidRPr="002B445D" w:rsidRDefault="001B4D1F" w:rsidP="001B4D1F">
      <w:pPr>
        <w:spacing w:line="276" w:lineRule="auto"/>
        <w:rPr>
          <w:rFonts w:ascii="Arial" w:hAnsi="Arial" w:cs="Arial"/>
        </w:rPr>
      </w:pPr>
      <w:r w:rsidRPr="002B445D">
        <w:rPr>
          <w:rFonts w:ascii="Arial" w:hAnsi="Arial" w:cs="Arial"/>
        </w:rPr>
        <w:t>Political uncertainties often translate into funding fluctuations, undermining the NHS's ability to plan and allocate resources effectively for the long term. Budget constraints can impede investments in essential areas like technology, infrastructure, and workforce development, all critical for delivering quality healthcare (Department of Health, 2009; Charles et al., 2019). This financial instability challenges the NHS's resilience and adaptability, affecting everything from patient care to technological innovation.</w:t>
      </w:r>
    </w:p>
    <w:p w14:paraId="395669B7" w14:textId="77777777" w:rsidR="001B4D1F" w:rsidRPr="002B445D" w:rsidRDefault="001B4D1F" w:rsidP="001B4D1F">
      <w:pPr>
        <w:spacing w:line="276" w:lineRule="auto"/>
        <w:rPr>
          <w:rFonts w:ascii="Arial" w:hAnsi="Arial" w:cs="Arial"/>
          <w:b/>
          <w:bCs/>
        </w:rPr>
      </w:pPr>
      <w:r w:rsidRPr="002B445D">
        <w:rPr>
          <w:rFonts w:ascii="Arial" w:hAnsi="Arial" w:cs="Arial"/>
          <w:b/>
          <w:bCs/>
        </w:rPr>
        <w:t>Devolution and Healthcare Management</w:t>
      </w:r>
    </w:p>
    <w:p w14:paraId="4322761C" w14:textId="77777777" w:rsidR="001B4D1F" w:rsidRPr="002B445D" w:rsidRDefault="001B4D1F" w:rsidP="001B4D1F">
      <w:pPr>
        <w:spacing w:line="276" w:lineRule="auto"/>
        <w:rPr>
          <w:rFonts w:ascii="Arial" w:hAnsi="Arial" w:cs="Arial"/>
        </w:rPr>
      </w:pPr>
      <w:r w:rsidRPr="002B445D">
        <w:rPr>
          <w:rFonts w:ascii="Arial" w:hAnsi="Arial" w:cs="Arial"/>
        </w:rPr>
        <w:t>The devolution of healthcare policy in the UK adds another layer of complexity to the NHS's operational environment. Different regions, including Scotland, Wales, and Northern Ireland, exercise varying degrees of autonomy in healthcare management (Shuttleworth &amp; Nicholson, 2020). This decentralized structure necessitates a tailored approach to healthcare delivery in each region, reflecting diverse healthcare needs and priorities. Devolution, while promoting regional autonomy, may also lead to inconsistencies in healthcare standards and policies across the UK.</w:t>
      </w:r>
    </w:p>
    <w:p w14:paraId="1C19E7D7" w14:textId="77777777" w:rsidR="001B4D1F" w:rsidRPr="002B445D" w:rsidRDefault="001B4D1F" w:rsidP="001B4D1F">
      <w:pPr>
        <w:spacing w:line="276" w:lineRule="auto"/>
        <w:rPr>
          <w:rFonts w:ascii="Arial" w:hAnsi="Arial" w:cs="Arial"/>
          <w:b/>
          <w:bCs/>
        </w:rPr>
      </w:pPr>
      <w:r w:rsidRPr="002B445D">
        <w:rPr>
          <w:rFonts w:ascii="Arial" w:hAnsi="Arial" w:cs="Arial"/>
          <w:b/>
          <w:bCs/>
        </w:rPr>
        <w:t>Role in Political Advocacy</w:t>
      </w:r>
    </w:p>
    <w:p w14:paraId="28DFEA84" w14:textId="77777777" w:rsidR="001B4D1F" w:rsidRPr="002B445D" w:rsidRDefault="001B4D1F" w:rsidP="001B4D1F">
      <w:pPr>
        <w:spacing w:line="276" w:lineRule="auto"/>
        <w:rPr>
          <w:rFonts w:ascii="Arial" w:hAnsi="Arial" w:cs="Arial"/>
        </w:rPr>
      </w:pPr>
      <w:r w:rsidRPr="002B445D">
        <w:rPr>
          <w:rFonts w:ascii="Arial" w:hAnsi="Arial" w:cs="Arial"/>
        </w:rPr>
        <w:t>The NHS also engages in political advocacy, influencing policymaking to address public health interests. This role is pivotal in shaping health policies that respond to contemporary healthcare challenges (Bush, 2019). However, the effectiveness of this advocacy is contingent on the political climate and the NHS's ability to align its agenda with broader governmental priorities.</w:t>
      </w:r>
    </w:p>
    <w:p w14:paraId="31348167" w14:textId="77777777" w:rsidR="001B4D1F" w:rsidRPr="002B445D" w:rsidRDefault="001B4D1F" w:rsidP="001B4D1F">
      <w:pPr>
        <w:spacing w:line="276" w:lineRule="auto"/>
        <w:rPr>
          <w:rFonts w:ascii="Arial" w:hAnsi="Arial" w:cs="Arial"/>
          <w:b/>
          <w:bCs/>
        </w:rPr>
      </w:pPr>
      <w:r w:rsidRPr="002B445D">
        <w:rPr>
          <w:rFonts w:ascii="Arial" w:hAnsi="Arial" w:cs="Arial"/>
          <w:b/>
          <w:bCs/>
        </w:rPr>
        <w:t>Interplay with Broader Political Agendas</w:t>
      </w:r>
    </w:p>
    <w:p w14:paraId="46550FC7" w14:textId="77777777" w:rsidR="001B4D1F" w:rsidRPr="002B445D" w:rsidRDefault="001B4D1F" w:rsidP="001B4D1F">
      <w:pPr>
        <w:spacing w:line="276" w:lineRule="auto"/>
        <w:rPr>
          <w:rFonts w:ascii="Arial" w:hAnsi="Arial" w:cs="Arial"/>
        </w:rPr>
      </w:pPr>
      <w:r w:rsidRPr="002B445D">
        <w:rPr>
          <w:rFonts w:ascii="Arial" w:hAnsi="Arial" w:cs="Arial"/>
        </w:rPr>
        <w:t>The NHS's functionality is intertwined with broader political agendas, such as tackling social determinants of health and addressing health inequalities. Policies in areas like education, housing, and social welfare have direct implications for public health outcomes (Bush, 2019). The NHS's strategic alignment with these broader agendas is crucial for holistic healthcare delivery but also poses challenges in synchronizing objectives across different policy domains.</w:t>
      </w:r>
    </w:p>
    <w:p w14:paraId="484B2A72" w14:textId="77777777" w:rsidR="001B4D1F" w:rsidRPr="002B445D" w:rsidRDefault="001B4D1F" w:rsidP="001B4D1F">
      <w:pPr>
        <w:spacing w:line="276" w:lineRule="auto"/>
        <w:rPr>
          <w:rFonts w:ascii="Arial" w:hAnsi="Arial" w:cs="Arial"/>
        </w:rPr>
      </w:pPr>
      <w:r w:rsidRPr="002B445D">
        <w:rPr>
          <w:rFonts w:ascii="Arial" w:hAnsi="Arial" w:cs="Arial"/>
        </w:rPr>
        <w:lastRenderedPageBreak/>
        <w:t>The NHS operates within a complex and dynamic political landscape that significantly influences its functionality and strategic direction. Understanding and navigating these political factors are essential for the NHS to adapt to changes, manage challenges effectively, and maintain high-quality healthcare services.</w:t>
      </w:r>
    </w:p>
    <w:p w14:paraId="06A83980" w14:textId="326D71DC" w:rsidR="001B4D1F" w:rsidRPr="002B445D" w:rsidRDefault="001B4D1F" w:rsidP="00CE5CFB">
      <w:pPr>
        <w:pStyle w:val="Heading1"/>
        <w:spacing w:line="276" w:lineRule="auto"/>
        <w:jc w:val="both"/>
        <w:rPr>
          <w:rFonts w:cs="Arial"/>
          <w:b w:val="0"/>
          <w:bCs w:val="0"/>
          <w:color w:val="2F5496" w:themeColor="accent1" w:themeShade="BF"/>
          <w:sz w:val="40"/>
          <w:szCs w:val="40"/>
        </w:rPr>
      </w:pPr>
      <w:bookmarkStart w:id="5" w:name="_Toc157590507"/>
      <w:r w:rsidRPr="002B445D">
        <w:rPr>
          <w:rFonts w:cs="Arial"/>
          <w:b w:val="0"/>
          <w:bCs w:val="0"/>
          <w:color w:val="2F5496" w:themeColor="accent1" w:themeShade="BF"/>
          <w:szCs w:val="28"/>
          <w:u w:val="single"/>
        </w:rPr>
        <w:t>Economic Factors</w:t>
      </w:r>
      <w:bookmarkEnd w:id="5"/>
      <w:r w:rsidRPr="002B445D">
        <w:rPr>
          <w:rFonts w:cs="Arial"/>
          <w:b w:val="0"/>
          <w:bCs w:val="0"/>
          <w:color w:val="2F5496" w:themeColor="accent1" w:themeShade="BF"/>
          <w:szCs w:val="28"/>
          <w:u w:val="single"/>
        </w:rPr>
        <w:t xml:space="preserve"> </w:t>
      </w:r>
    </w:p>
    <w:p w14:paraId="7EB28E0E" w14:textId="77777777" w:rsidR="001B4D1F" w:rsidRPr="002B445D" w:rsidRDefault="001B4D1F" w:rsidP="001B4D1F">
      <w:pPr>
        <w:spacing w:line="276" w:lineRule="auto"/>
        <w:rPr>
          <w:rFonts w:ascii="Arial" w:hAnsi="Arial" w:cs="Arial"/>
          <w:b/>
          <w:bCs/>
        </w:rPr>
      </w:pPr>
      <w:r w:rsidRPr="002B445D">
        <w:rPr>
          <w:rFonts w:ascii="Arial" w:hAnsi="Arial" w:cs="Arial"/>
          <w:b/>
          <w:bCs/>
        </w:rPr>
        <w:t>Budget Constraints: A Double-Edged Sword</w:t>
      </w:r>
    </w:p>
    <w:p w14:paraId="2300B5E2" w14:textId="77777777" w:rsidR="001B4D1F" w:rsidRPr="002B445D" w:rsidRDefault="001B4D1F" w:rsidP="001B4D1F">
      <w:pPr>
        <w:spacing w:line="276" w:lineRule="auto"/>
        <w:rPr>
          <w:rFonts w:ascii="Arial" w:hAnsi="Arial" w:cs="Arial"/>
        </w:rPr>
      </w:pPr>
      <w:r w:rsidRPr="002B445D">
        <w:rPr>
          <w:rFonts w:ascii="Arial" w:hAnsi="Arial" w:cs="Arial"/>
        </w:rPr>
        <w:t>The NHS's operation within stringent budget constraints, as mandated by government policies, is a constant source of tension (Department of Health, 2009). While fiscal discipline is necessary, it often leads to underinvestment in crucial areas like infrastructure and technology. Robertson (2016) argues that this financial stringency, while aimed at efficiency, can inadvertently compromise patient care quality. The paradox here is that the drive to cut costs can lead to greater long-term expenditures, as underfunding often exacerbates systemic inefficiencies.</w:t>
      </w:r>
    </w:p>
    <w:p w14:paraId="6D4E703F" w14:textId="77777777" w:rsidR="001B4D1F" w:rsidRPr="002B445D" w:rsidRDefault="001B4D1F" w:rsidP="001B4D1F">
      <w:pPr>
        <w:spacing w:line="276" w:lineRule="auto"/>
        <w:rPr>
          <w:rFonts w:ascii="Arial" w:hAnsi="Arial" w:cs="Arial"/>
          <w:b/>
          <w:bCs/>
        </w:rPr>
      </w:pPr>
      <w:r w:rsidRPr="002B445D">
        <w:rPr>
          <w:rFonts w:ascii="Arial" w:hAnsi="Arial" w:cs="Arial"/>
          <w:b/>
          <w:bCs/>
        </w:rPr>
        <w:t>The Compounded Impact of COVID-19 and Brexit</w:t>
      </w:r>
    </w:p>
    <w:p w14:paraId="75351639" w14:textId="77777777" w:rsidR="001B4D1F" w:rsidRPr="002B445D" w:rsidRDefault="001B4D1F" w:rsidP="001B4D1F">
      <w:pPr>
        <w:spacing w:line="276" w:lineRule="auto"/>
        <w:rPr>
          <w:rFonts w:ascii="Arial" w:hAnsi="Arial" w:cs="Arial"/>
        </w:rPr>
      </w:pPr>
      <w:r w:rsidRPr="002B445D">
        <w:rPr>
          <w:rFonts w:ascii="Arial" w:hAnsi="Arial" w:cs="Arial"/>
        </w:rPr>
        <w:t>The economic landscape of the NHS has been significantly altered by COVID-19 and Brexit. The pandemic demanded emergency funding, which, although essential, has led to a diversion of resources from other critical areas (Propper et al., 2020; Dayan et al., 2021). Furthermore, Brexit's implications on workforce composition, particularly the dependence on EU staff, present a challenging scenario (Check B. R., 2019). There is a real risk that these combined pressures could lead to a vicious cycle of workforce shortages and increased operational costs, ultimately impacting patient care.</w:t>
      </w:r>
    </w:p>
    <w:p w14:paraId="10A273EF" w14:textId="77777777" w:rsidR="001B4D1F" w:rsidRPr="002B445D" w:rsidRDefault="001B4D1F" w:rsidP="001B4D1F">
      <w:pPr>
        <w:spacing w:line="276" w:lineRule="auto"/>
        <w:rPr>
          <w:rFonts w:ascii="Arial" w:hAnsi="Arial" w:cs="Arial"/>
          <w:b/>
          <w:bCs/>
        </w:rPr>
      </w:pPr>
      <w:r w:rsidRPr="002B445D">
        <w:rPr>
          <w:rFonts w:ascii="Arial" w:hAnsi="Arial" w:cs="Arial"/>
          <w:b/>
          <w:bCs/>
        </w:rPr>
        <w:t>Workforce Challenges: Beyond Numbers</w:t>
      </w:r>
    </w:p>
    <w:p w14:paraId="4346489A" w14:textId="77777777" w:rsidR="001B4D1F" w:rsidRPr="002B445D" w:rsidRDefault="001B4D1F" w:rsidP="001B4D1F">
      <w:pPr>
        <w:spacing w:line="276" w:lineRule="auto"/>
        <w:rPr>
          <w:rFonts w:ascii="Arial" w:hAnsi="Arial" w:cs="Arial"/>
        </w:rPr>
      </w:pPr>
      <w:r w:rsidRPr="002B445D">
        <w:rPr>
          <w:rFonts w:ascii="Arial" w:hAnsi="Arial" w:cs="Arial"/>
        </w:rPr>
        <w:t>While addressing staff shortages is crucial, the focus should not be on numbers alone. The NHS faces a qualitative challenge – ensuring that the workforce is not only adequate in numbers but also equipped with the necessary skills and supported in a way that promotes retention (Baines, 2022). The economic implications of staffing shortages are complex, often leading to an over-reliance on temporary staff, which is a costlier alternative and may not provide the same level of care continuity.</w:t>
      </w:r>
    </w:p>
    <w:p w14:paraId="7A5C1F4C" w14:textId="77777777" w:rsidR="001B4D1F" w:rsidRPr="002B445D" w:rsidRDefault="001B4D1F" w:rsidP="001B4D1F">
      <w:pPr>
        <w:spacing w:line="276" w:lineRule="auto"/>
        <w:rPr>
          <w:rFonts w:ascii="Arial" w:hAnsi="Arial" w:cs="Arial"/>
          <w:b/>
          <w:bCs/>
        </w:rPr>
      </w:pPr>
      <w:r w:rsidRPr="002B445D">
        <w:rPr>
          <w:rFonts w:ascii="Arial" w:hAnsi="Arial" w:cs="Arial"/>
          <w:b/>
          <w:bCs/>
        </w:rPr>
        <w:t>The Sustainability Dilemma</w:t>
      </w:r>
    </w:p>
    <w:p w14:paraId="3B29A145" w14:textId="77777777" w:rsidR="001B4D1F" w:rsidRPr="002B445D" w:rsidRDefault="001B4D1F" w:rsidP="001B4D1F">
      <w:pPr>
        <w:spacing w:line="276" w:lineRule="auto"/>
        <w:rPr>
          <w:rFonts w:ascii="Arial" w:hAnsi="Arial" w:cs="Arial"/>
        </w:rPr>
      </w:pPr>
      <w:r w:rsidRPr="002B445D">
        <w:rPr>
          <w:rFonts w:ascii="Arial" w:hAnsi="Arial" w:cs="Arial"/>
        </w:rPr>
        <w:t>In terms of long-term financial planning, the NHS faces a sustainability dilemma. While Charles et al. (2019) highlights the need for innovative funding solutions, there is a lack of consensus on what these solutions might entail. The challenge lies in developing funding models that ensure sustainability without compromising the quality of care or accessibility. This issue is particularly acute considering the aging population and the increasing demand for healthcare services.</w:t>
      </w:r>
    </w:p>
    <w:p w14:paraId="471C94E1" w14:textId="77777777" w:rsidR="001B4D1F" w:rsidRPr="002B445D" w:rsidRDefault="001B4D1F" w:rsidP="001B4D1F">
      <w:pPr>
        <w:spacing w:line="276" w:lineRule="auto"/>
        <w:rPr>
          <w:rFonts w:ascii="Arial" w:hAnsi="Arial" w:cs="Arial"/>
          <w:b/>
          <w:bCs/>
        </w:rPr>
      </w:pPr>
      <w:r w:rsidRPr="002B445D">
        <w:rPr>
          <w:rFonts w:ascii="Arial" w:hAnsi="Arial" w:cs="Arial"/>
          <w:b/>
          <w:bCs/>
        </w:rPr>
        <w:t>Addressing Healthcare Equity</w:t>
      </w:r>
    </w:p>
    <w:p w14:paraId="2E885A26" w14:textId="77777777" w:rsidR="001B4D1F" w:rsidRPr="002B445D" w:rsidRDefault="001B4D1F" w:rsidP="001B4D1F">
      <w:pPr>
        <w:spacing w:line="276" w:lineRule="auto"/>
        <w:rPr>
          <w:rFonts w:ascii="Arial" w:hAnsi="Arial" w:cs="Arial"/>
        </w:rPr>
      </w:pPr>
      <w:r w:rsidRPr="002B445D">
        <w:rPr>
          <w:rFonts w:ascii="Arial" w:hAnsi="Arial" w:cs="Arial"/>
        </w:rPr>
        <w:t xml:space="preserve">Economic factors and budgetary constraints have a disproportionate impact on healthcare equity. The risk is that austerity measures could widen the gap in healthcare provision, especially for underserved communities (Department of Health, 2009). There is a critical </w:t>
      </w:r>
      <w:r w:rsidRPr="002B445D">
        <w:rPr>
          <w:rFonts w:ascii="Arial" w:hAnsi="Arial" w:cs="Arial"/>
        </w:rPr>
        <w:lastRenderedPageBreak/>
        <w:t>need for an economic strategy that not only addresses the fiscal challenges but also prioritizes equitable access to healthcare.</w:t>
      </w:r>
    </w:p>
    <w:p w14:paraId="3FF7388D" w14:textId="0F55A389" w:rsidR="001B4D1F" w:rsidRPr="002B445D" w:rsidRDefault="001B4D1F" w:rsidP="00CE5CFB">
      <w:pPr>
        <w:pStyle w:val="Heading1"/>
        <w:spacing w:line="276" w:lineRule="auto"/>
        <w:jc w:val="both"/>
        <w:rPr>
          <w:rFonts w:cs="Arial"/>
          <w:b w:val="0"/>
          <w:bCs w:val="0"/>
          <w:color w:val="2F5496" w:themeColor="accent1" w:themeShade="BF"/>
          <w:sz w:val="40"/>
          <w:szCs w:val="40"/>
        </w:rPr>
      </w:pPr>
      <w:bookmarkStart w:id="6" w:name="_Toc157590508"/>
      <w:r w:rsidRPr="002B445D">
        <w:rPr>
          <w:rFonts w:cs="Arial"/>
          <w:b w:val="0"/>
          <w:bCs w:val="0"/>
          <w:color w:val="2F5496" w:themeColor="accent1" w:themeShade="BF"/>
          <w:szCs w:val="28"/>
          <w:u w:val="single"/>
        </w:rPr>
        <w:t>Social Factors</w:t>
      </w:r>
      <w:bookmarkEnd w:id="6"/>
      <w:r w:rsidRPr="002B445D">
        <w:rPr>
          <w:rFonts w:cs="Arial"/>
          <w:b w:val="0"/>
          <w:bCs w:val="0"/>
          <w:color w:val="2F5496" w:themeColor="accent1" w:themeShade="BF"/>
          <w:szCs w:val="28"/>
          <w:u w:val="single"/>
        </w:rPr>
        <w:t xml:space="preserve"> </w:t>
      </w:r>
    </w:p>
    <w:p w14:paraId="0A413D69" w14:textId="77777777" w:rsidR="001B4D1F" w:rsidRPr="002B445D" w:rsidRDefault="001B4D1F" w:rsidP="001B4D1F">
      <w:pPr>
        <w:spacing w:line="276" w:lineRule="auto"/>
        <w:rPr>
          <w:rFonts w:ascii="Arial" w:hAnsi="Arial" w:cs="Arial"/>
          <w:b/>
          <w:bCs/>
          <w:u w:val="single"/>
        </w:rPr>
      </w:pPr>
    </w:p>
    <w:p w14:paraId="03DDA3DD" w14:textId="77777777" w:rsidR="001B4D1F" w:rsidRPr="002B445D" w:rsidRDefault="001B4D1F" w:rsidP="001B4D1F">
      <w:pPr>
        <w:spacing w:line="276" w:lineRule="auto"/>
        <w:rPr>
          <w:rFonts w:ascii="Arial" w:hAnsi="Arial" w:cs="Arial"/>
          <w:b/>
          <w:bCs/>
        </w:rPr>
      </w:pPr>
      <w:r w:rsidRPr="002B445D">
        <w:rPr>
          <w:rFonts w:ascii="Arial" w:hAnsi="Arial" w:cs="Arial"/>
          <w:b/>
          <w:bCs/>
        </w:rPr>
        <w:t>Demographic Shifts: The Aging Population Challenge</w:t>
      </w:r>
    </w:p>
    <w:p w14:paraId="68E40A08" w14:textId="77777777" w:rsidR="001B4D1F" w:rsidRPr="002B445D" w:rsidRDefault="001B4D1F" w:rsidP="001B4D1F">
      <w:pPr>
        <w:spacing w:line="276" w:lineRule="auto"/>
        <w:rPr>
          <w:rFonts w:ascii="Arial" w:hAnsi="Arial" w:cs="Arial"/>
        </w:rPr>
      </w:pPr>
      <w:r w:rsidRPr="002B445D">
        <w:rPr>
          <w:rFonts w:ascii="Arial" w:hAnsi="Arial" w:cs="Arial"/>
        </w:rPr>
        <w:t>The UK's aging population presents a significant challenge for the NHS, as older individuals typically require more healthcare services (Government Office for Science, 2016). This demographic shift not only increases the demand for long-term care and geriatric expertise but also strains resources and necessitates a revaluation of service delivery. The key concern is whether the NHS can adapt its infrastructure and workforce to meet these changing demands without compromising the quality of care for other patient groups.</w:t>
      </w:r>
    </w:p>
    <w:p w14:paraId="0F61D051" w14:textId="77777777" w:rsidR="001B4D1F" w:rsidRPr="002B445D" w:rsidRDefault="001B4D1F" w:rsidP="001B4D1F">
      <w:pPr>
        <w:spacing w:line="276" w:lineRule="auto"/>
        <w:rPr>
          <w:rFonts w:ascii="Arial" w:hAnsi="Arial" w:cs="Arial"/>
          <w:b/>
          <w:bCs/>
        </w:rPr>
      </w:pPr>
      <w:r w:rsidRPr="002B445D">
        <w:rPr>
          <w:rFonts w:ascii="Arial" w:hAnsi="Arial" w:cs="Arial"/>
          <w:b/>
          <w:bCs/>
        </w:rPr>
        <w:t>Public Health Trends: Addressing Evolving Needs</w:t>
      </w:r>
    </w:p>
    <w:p w14:paraId="36816D1F" w14:textId="77777777" w:rsidR="001B4D1F" w:rsidRPr="002B445D" w:rsidRDefault="001B4D1F" w:rsidP="001B4D1F">
      <w:pPr>
        <w:spacing w:line="276" w:lineRule="auto"/>
        <w:rPr>
          <w:rFonts w:ascii="Arial" w:hAnsi="Arial" w:cs="Arial"/>
        </w:rPr>
      </w:pPr>
      <w:r w:rsidRPr="002B445D">
        <w:rPr>
          <w:rFonts w:ascii="Arial" w:hAnsi="Arial" w:cs="Arial"/>
        </w:rPr>
        <w:t>Changing public health trends, such as the rise in mental health issues and lifestyle-related diseases, require the NHS to continually adapt its response strategies. The growing prevalence of mental health concerns, particularly among young adults, has prompted a shift towards prioritizing mental health services and adopting a more holistic care approach (Singh et al., 2022). However, this shift raises questions about resource allocation and the NHS's capacity to address these evolving health trends effectively without neglecting other areas of healthcare.</w:t>
      </w:r>
    </w:p>
    <w:p w14:paraId="1E4412DC" w14:textId="77777777" w:rsidR="001B4D1F" w:rsidRPr="002B445D" w:rsidRDefault="001B4D1F" w:rsidP="001B4D1F">
      <w:pPr>
        <w:spacing w:line="276" w:lineRule="auto"/>
        <w:rPr>
          <w:rFonts w:ascii="Arial" w:hAnsi="Arial" w:cs="Arial"/>
          <w:b/>
          <w:bCs/>
        </w:rPr>
      </w:pPr>
      <w:r w:rsidRPr="002B445D">
        <w:rPr>
          <w:rFonts w:ascii="Arial" w:hAnsi="Arial" w:cs="Arial"/>
          <w:b/>
          <w:bCs/>
        </w:rPr>
        <w:t>Societal Attitudes Toward Healthcare: Rising Expectations</w:t>
      </w:r>
    </w:p>
    <w:p w14:paraId="3494382C" w14:textId="77777777" w:rsidR="001B4D1F" w:rsidRPr="002B445D" w:rsidRDefault="001B4D1F" w:rsidP="001B4D1F">
      <w:pPr>
        <w:spacing w:line="276" w:lineRule="auto"/>
        <w:rPr>
          <w:rFonts w:ascii="Arial" w:hAnsi="Arial" w:cs="Arial"/>
        </w:rPr>
      </w:pPr>
      <w:r w:rsidRPr="002B445D">
        <w:rPr>
          <w:rFonts w:ascii="Arial" w:hAnsi="Arial" w:cs="Arial"/>
        </w:rPr>
        <w:t>Public expectations for high-quality, accessible, and timely healthcare services exert significant pressure on the NHS to innovate and improve continuously (Martin et al., 2011). The shift towards patient empowerment and informed decision-making reflects a broader societal trend towards participatory healthcare. However, meeting these rising expectations within the constraints of existing resources is a considerable challenge, potentially leading to gaps between patient expectations and the reality of service delivery.</w:t>
      </w:r>
    </w:p>
    <w:p w14:paraId="353BB6F1" w14:textId="77777777" w:rsidR="001B4D1F" w:rsidRPr="002B445D" w:rsidRDefault="001B4D1F" w:rsidP="001B4D1F">
      <w:pPr>
        <w:spacing w:line="276" w:lineRule="auto"/>
        <w:rPr>
          <w:rFonts w:ascii="Arial" w:hAnsi="Arial" w:cs="Arial"/>
          <w:b/>
          <w:bCs/>
        </w:rPr>
      </w:pPr>
      <w:r w:rsidRPr="002B445D">
        <w:rPr>
          <w:rFonts w:ascii="Arial" w:hAnsi="Arial" w:cs="Arial"/>
          <w:b/>
          <w:bCs/>
        </w:rPr>
        <w:t>Workforce Dynamics and Diversity: Reflecting Societal Changes</w:t>
      </w:r>
    </w:p>
    <w:p w14:paraId="4EE615EA" w14:textId="77777777" w:rsidR="001B4D1F" w:rsidRPr="002B445D" w:rsidRDefault="001B4D1F" w:rsidP="001B4D1F">
      <w:pPr>
        <w:spacing w:line="276" w:lineRule="auto"/>
        <w:rPr>
          <w:rFonts w:ascii="Arial" w:hAnsi="Arial" w:cs="Arial"/>
        </w:rPr>
      </w:pPr>
      <w:r w:rsidRPr="002B445D">
        <w:rPr>
          <w:rFonts w:ascii="Arial" w:hAnsi="Arial" w:cs="Arial"/>
        </w:rPr>
        <w:t>The NHS's workforce dynamics are increasingly influenced by societal shifts towards diversity and inclusion. While this is a positive development, it also presents challenges in terms of ensuring equitable representation and managing the evolving roles in healthcare professions (Cummings et al., 2010). The key issue is whether the NHS can effectively integrate these societal changes into its workforce development strategies while maintaining high standards of patient care.</w:t>
      </w:r>
    </w:p>
    <w:p w14:paraId="6BE38E18" w14:textId="77777777" w:rsidR="001B4D1F" w:rsidRPr="002B445D" w:rsidRDefault="001B4D1F" w:rsidP="001B4D1F">
      <w:pPr>
        <w:spacing w:line="276" w:lineRule="auto"/>
        <w:rPr>
          <w:rFonts w:ascii="Arial" w:hAnsi="Arial" w:cs="Arial"/>
          <w:b/>
          <w:bCs/>
        </w:rPr>
      </w:pPr>
      <w:r w:rsidRPr="002B445D">
        <w:rPr>
          <w:rFonts w:ascii="Arial" w:hAnsi="Arial" w:cs="Arial"/>
          <w:b/>
          <w:bCs/>
        </w:rPr>
        <w:t>Addressing Health Inequalities: A Moral Imperative</w:t>
      </w:r>
    </w:p>
    <w:p w14:paraId="13CF11A1" w14:textId="77777777" w:rsidR="001B4D1F" w:rsidRPr="002B445D" w:rsidRDefault="001B4D1F" w:rsidP="001B4D1F">
      <w:pPr>
        <w:spacing w:line="276" w:lineRule="auto"/>
        <w:rPr>
          <w:rFonts w:ascii="Arial" w:hAnsi="Arial" w:cs="Arial"/>
        </w:rPr>
      </w:pPr>
      <w:r w:rsidRPr="002B445D">
        <w:rPr>
          <w:rFonts w:ascii="Arial" w:hAnsi="Arial" w:cs="Arial"/>
        </w:rPr>
        <w:t>The societal focus on health inequalities has underscored the NHS's role in developing policies to reduce disparities in healthcare access and outcomes (Martin et al., 2011). However, effectively addressing these inequalities requires not only policy initiatives but also a fundamental shift in how healthcare services are designed and delivered, with a focus on reaching underserved and marginalized communities.</w:t>
      </w:r>
    </w:p>
    <w:p w14:paraId="09E3F7FA" w14:textId="2B97142F" w:rsidR="001B4D1F" w:rsidRPr="002B445D" w:rsidRDefault="001B4D1F" w:rsidP="00CE5CFB">
      <w:pPr>
        <w:pStyle w:val="Heading1"/>
        <w:spacing w:line="276" w:lineRule="auto"/>
        <w:jc w:val="both"/>
        <w:rPr>
          <w:rFonts w:cs="Arial"/>
          <w:b w:val="0"/>
          <w:bCs w:val="0"/>
          <w:color w:val="2F5496" w:themeColor="accent1" w:themeShade="BF"/>
          <w:sz w:val="40"/>
          <w:szCs w:val="40"/>
        </w:rPr>
      </w:pPr>
      <w:bookmarkStart w:id="7" w:name="_Toc157590509"/>
      <w:r w:rsidRPr="002B445D">
        <w:rPr>
          <w:rFonts w:cs="Arial"/>
          <w:b w:val="0"/>
          <w:bCs w:val="0"/>
          <w:color w:val="2F5496" w:themeColor="accent1" w:themeShade="BF"/>
          <w:szCs w:val="28"/>
          <w:u w:val="single"/>
        </w:rPr>
        <w:lastRenderedPageBreak/>
        <w:t>Technological Factors</w:t>
      </w:r>
      <w:bookmarkEnd w:id="7"/>
      <w:r w:rsidRPr="002B445D">
        <w:rPr>
          <w:rFonts w:cs="Arial"/>
          <w:b w:val="0"/>
          <w:bCs w:val="0"/>
          <w:color w:val="2F5496" w:themeColor="accent1" w:themeShade="BF"/>
          <w:szCs w:val="28"/>
          <w:u w:val="single"/>
        </w:rPr>
        <w:t xml:space="preserve"> </w:t>
      </w:r>
    </w:p>
    <w:p w14:paraId="09ACE4ED" w14:textId="77777777" w:rsidR="001B4D1F" w:rsidRPr="002B445D" w:rsidRDefault="001B4D1F" w:rsidP="001B4D1F">
      <w:pPr>
        <w:spacing w:line="276" w:lineRule="auto"/>
        <w:rPr>
          <w:rFonts w:ascii="Arial" w:hAnsi="Arial" w:cs="Arial"/>
          <w:b/>
          <w:bCs/>
        </w:rPr>
      </w:pPr>
    </w:p>
    <w:p w14:paraId="48D706ED" w14:textId="77777777" w:rsidR="001B4D1F" w:rsidRPr="002B445D" w:rsidRDefault="001B4D1F" w:rsidP="001B4D1F">
      <w:pPr>
        <w:spacing w:line="276" w:lineRule="auto"/>
        <w:rPr>
          <w:rFonts w:ascii="Arial" w:hAnsi="Arial" w:cs="Arial"/>
          <w:b/>
          <w:bCs/>
        </w:rPr>
      </w:pPr>
      <w:r w:rsidRPr="002B445D">
        <w:rPr>
          <w:rFonts w:ascii="Arial" w:hAnsi="Arial" w:cs="Arial"/>
          <w:b/>
          <w:bCs/>
        </w:rPr>
        <w:t>Advancements in Medical Technology</w:t>
      </w:r>
    </w:p>
    <w:p w14:paraId="7C31A017" w14:textId="77777777" w:rsidR="001B4D1F" w:rsidRPr="002B445D" w:rsidRDefault="001B4D1F" w:rsidP="001B4D1F">
      <w:pPr>
        <w:spacing w:line="276" w:lineRule="auto"/>
        <w:rPr>
          <w:rFonts w:ascii="Arial" w:hAnsi="Arial" w:cs="Arial"/>
        </w:rPr>
      </w:pPr>
      <w:r w:rsidRPr="002B445D">
        <w:rPr>
          <w:rFonts w:ascii="Arial" w:hAnsi="Arial" w:cs="Arial"/>
        </w:rPr>
        <w:t>The rapid evolution of medical technology offers significant opportunities for the NHS, such as improved patient outcomes and healthcare efficiency (Glomb et al., 2011). Innovations in medical devices and diagnostic tools can lead to more effective treatments and faster recovery times. However, these advancements also pose substantial challenges, including the high costs of new technologies, the need for specialized training for healthcare staff, and the integration of these technologies into existing systems. Balancing these factors is crucial to ensure that technological advancements contribute positively to healthcare delivery without exacerbating existing disparities or financial constraints.</w:t>
      </w:r>
    </w:p>
    <w:p w14:paraId="16D78513" w14:textId="77777777" w:rsidR="001B4D1F" w:rsidRPr="002B445D" w:rsidRDefault="001B4D1F" w:rsidP="001B4D1F">
      <w:pPr>
        <w:spacing w:line="276" w:lineRule="auto"/>
        <w:rPr>
          <w:rFonts w:ascii="Arial" w:hAnsi="Arial" w:cs="Arial"/>
          <w:b/>
          <w:bCs/>
        </w:rPr>
      </w:pPr>
      <w:r w:rsidRPr="002B445D">
        <w:rPr>
          <w:rFonts w:ascii="Arial" w:hAnsi="Arial" w:cs="Arial"/>
          <w:b/>
          <w:bCs/>
        </w:rPr>
        <w:t>Digital Health Transformation</w:t>
      </w:r>
    </w:p>
    <w:p w14:paraId="6518E0F9" w14:textId="77777777" w:rsidR="001B4D1F" w:rsidRPr="002B445D" w:rsidRDefault="001B4D1F" w:rsidP="001B4D1F">
      <w:pPr>
        <w:spacing w:line="276" w:lineRule="auto"/>
        <w:rPr>
          <w:rFonts w:ascii="Arial" w:hAnsi="Arial" w:cs="Arial"/>
        </w:rPr>
      </w:pPr>
      <w:r w:rsidRPr="002B445D">
        <w:rPr>
          <w:rFonts w:ascii="Arial" w:hAnsi="Arial" w:cs="Arial"/>
        </w:rPr>
        <w:t>The NHS's digital transformation, including the implementation of the NHS app and electronic health records (EHRs), aims to enhance patient care and operational efficiency (Wyatt et al., 2020). Digital health technologies can streamline administrative processes and improve data management, leading to better patient experiences. However, this digital shift also raises significant concerns about data security, the digital literacy of both patients and staff, and the need for substantial investment in training and infrastructure to support these technologies.</w:t>
      </w:r>
    </w:p>
    <w:p w14:paraId="067B9DB5" w14:textId="77777777" w:rsidR="001B4D1F" w:rsidRPr="002B445D" w:rsidRDefault="001B4D1F" w:rsidP="001B4D1F">
      <w:pPr>
        <w:spacing w:line="276" w:lineRule="auto"/>
        <w:rPr>
          <w:rFonts w:ascii="Arial" w:hAnsi="Arial" w:cs="Arial"/>
          <w:b/>
          <w:bCs/>
        </w:rPr>
      </w:pPr>
      <w:r w:rsidRPr="002B445D">
        <w:rPr>
          <w:rFonts w:ascii="Arial" w:hAnsi="Arial" w:cs="Arial"/>
          <w:b/>
          <w:bCs/>
        </w:rPr>
        <w:t>Telemedicine and Remote Care</w:t>
      </w:r>
    </w:p>
    <w:p w14:paraId="4F5DD5C9" w14:textId="77777777" w:rsidR="001B4D1F" w:rsidRPr="002B445D" w:rsidRDefault="001B4D1F" w:rsidP="001B4D1F">
      <w:pPr>
        <w:spacing w:line="276" w:lineRule="auto"/>
        <w:rPr>
          <w:rFonts w:ascii="Arial" w:hAnsi="Arial" w:cs="Arial"/>
        </w:rPr>
      </w:pPr>
      <w:r w:rsidRPr="002B445D">
        <w:rPr>
          <w:rFonts w:ascii="Arial" w:hAnsi="Arial" w:cs="Arial"/>
        </w:rPr>
        <w:t>The COVID-19 pandemic has underscored the value of telemedicine and remote care solutions within the NHS (Neves et al., 2021). These technologies have the potential to increase healthcare accessibility and reduce the burden on physical healthcare facilities. However, they require robust infrastructure, including reliable internet connectivity and secure communication platforms, which may not be uniformly available across all regions. The rapid adoption of telemedicine also raises questions about the quality of care and the ability to maintain a personal connection between patients and healthcare providers.</w:t>
      </w:r>
    </w:p>
    <w:p w14:paraId="5DDF603A" w14:textId="77777777" w:rsidR="001B4D1F" w:rsidRPr="002B445D" w:rsidRDefault="001B4D1F" w:rsidP="001B4D1F">
      <w:pPr>
        <w:spacing w:line="276" w:lineRule="auto"/>
        <w:rPr>
          <w:rFonts w:ascii="Arial" w:hAnsi="Arial" w:cs="Arial"/>
          <w:b/>
          <w:bCs/>
        </w:rPr>
      </w:pPr>
      <w:r w:rsidRPr="002B445D">
        <w:rPr>
          <w:rFonts w:ascii="Arial" w:hAnsi="Arial" w:cs="Arial"/>
          <w:b/>
          <w:bCs/>
        </w:rPr>
        <w:t>Impact on Patient Engagement</w:t>
      </w:r>
    </w:p>
    <w:p w14:paraId="5D7B7399" w14:textId="77777777" w:rsidR="001B4D1F" w:rsidRPr="002B445D" w:rsidRDefault="001B4D1F" w:rsidP="001B4D1F">
      <w:pPr>
        <w:spacing w:line="276" w:lineRule="auto"/>
        <w:rPr>
          <w:rFonts w:ascii="Arial" w:hAnsi="Arial" w:cs="Arial"/>
        </w:rPr>
      </w:pPr>
      <w:r w:rsidRPr="002B445D">
        <w:rPr>
          <w:rFonts w:ascii="Arial" w:hAnsi="Arial" w:cs="Arial"/>
        </w:rPr>
        <w:t>Technological advancements have transformed patient engagement in healthcare. Digital platforms that allow patients to access health records, book appointments, and communicate with healthcare professionals online promote a more patient-centred approach (Haleem et al., 2021). However, there is a risk that an over-reliance on technology could alienate some patient groups, particularly those who are less technologically savvy or have limited access to digital resources (Neves et al., 2021).</w:t>
      </w:r>
    </w:p>
    <w:p w14:paraId="640EAF50" w14:textId="77777777" w:rsidR="001B4D1F" w:rsidRPr="002B445D" w:rsidRDefault="001B4D1F" w:rsidP="001B4D1F">
      <w:pPr>
        <w:spacing w:line="276" w:lineRule="auto"/>
        <w:rPr>
          <w:rFonts w:ascii="Arial" w:hAnsi="Arial" w:cs="Arial"/>
          <w:b/>
          <w:bCs/>
        </w:rPr>
      </w:pPr>
      <w:r w:rsidRPr="002B445D">
        <w:rPr>
          <w:rFonts w:ascii="Arial" w:hAnsi="Arial" w:cs="Arial"/>
          <w:b/>
          <w:bCs/>
        </w:rPr>
        <w:t>Challenges in Technology Adoption</w:t>
      </w:r>
    </w:p>
    <w:p w14:paraId="22687E22" w14:textId="77777777" w:rsidR="001B4D1F" w:rsidRPr="002B445D" w:rsidRDefault="001B4D1F" w:rsidP="001B4D1F">
      <w:pPr>
        <w:spacing w:line="276" w:lineRule="auto"/>
        <w:rPr>
          <w:rFonts w:ascii="Arial" w:hAnsi="Arial" w:cs="Arial"/>
        </w:rPr>
      </w:pPr>
      <w:r w:rsidRPr="002B445D">
        <w:rPr>
          <w:rFonts w:ascii="Arial" w:hAnsi="Arial" w:cs="Arial"/>
        </w:rPr>
        <w:t xml:space="preserve">The integration of new technologies in the NHS faces several challenges, including interoperability between different systems, securing patient data, and managing the costs associated with new technologies. Additionally, the NHS must address the need for ongoing training and support for staff to effectively utilize these technologies (Rogers, 2003). The success of technology adoption depends not only on the perceived benefits and compatibility </w:t>
      </w:r>
      <w:r w:rsidRPr="002B445D">
        <w:rPr>
          <w:rFonts w:ascii="Arial" w:hAnsi="Arial" w:cs="Arial"/>
        </w:rPr>
        <w:lastRenderedPageBreak/>
        <w:t>with existing systems but also on ease of use and the overall readiness of the NHS infrastructure to support these changes.</w:t>
      </w:r>
    </w:p>
    <w:p w14:paraId="1DBBB1AD" w14:textId="47F0A440" w:rsidR="001B4D1F" w:rsidRPr="002B445D" w:rsidRDefault="001B4D1F" w:rsidP="00CE5CFB">
      <w:pPr>
        <w:pStyle w:val="Heading1"/>
        <w:spacing w:line="276" w:lineRule="auto"/>
        <w:jc w:val="both"/>
        <w:rPr>
          <w:rFonts w:cs="Arial"/>
          <w:b w:val="0"/>
          <w:bCs w:val="0"/>
          <w:color w:val="2F5496" w:themeColor="accent1" w:themeShade="BF"/>
          <w:sz w:val="40"/>
          <w:szCs w:val="40"/>
        </w:rPr>
      </w:pPr>
      <w:bookmarkStart w:id="8" w:name="_Toc157590510"/>
      <w:r w:rsidRPr="002B445D">
        <w:rPr>
          <w:rFonts w:cs="Arial"/>
          <w:b w:val="0"/>
          <w:bCs w:val="0"/>
          <w:color w:val="2F5496" w:themeColor="accent1" w:themeShade="BF"/>
          <w:szCs w:val="28"/>
          <w:u w:val="single"/>
        </w:rPr>
        <w:t>Legal Factors</w:t>
      </w:r>
      <w:bookmarkEnd w:id="8"/>
      <w:r w:rsidRPr="002B445D">
        <w:rPr>
          <w:rFonts w:cs="Arial"/>
          <w:b w:val="0"/>
          <w:bCs w:val="0"/>
          <w:color w:val="2F5496" w:themeColor="accent1" w:themeShade="BF"/>
          <w:szCs w:val="28"/>
          <w:u w:val="single"/>
        </w:rPr>
        <w:t xml:space="preserve"> </w:t>
      </w:r>
    </w:p>
    <w:p w14:paraId="449BECB9" w14:textId="77777777" w:rsidR="001B4D1F" w:rsidRPr="002B445D" w:rsidRDefault="001B4D1F" w:rsidP="001B4D1F">
      <w:pPr>
        <w:spacing w:line="276" w:lineRule="auto"/>
        <w:rPr>
          <w:rFonts w:ascii="Arial" w:hAnsi="Arial" w:cs="Arial"/>
          <w:b/>
          <w:bCs/>
        </w:rPr>
      </w:pPr>
      <w:r w:rsidRPr="002B445D">
        <w:rPr>
          <w:rFonts w:ascii="Arial" w:hAnsi="Arial" w:cs="Arial"/>
          <w:b/>
          <w:bCs/>
        </w:rPr>
        <w:t>Regulatory Standards and Compliance: A Balancing Act</w:t>
      </w:r>
    </w:p>
    <w:p w14:paraId="2CD55BDC" w14:textId="15624B1F" w:rsidR="001B4D1F" w:rsidRPr="002B445D" w:rsidRDefault="001B4D1F" w:rsidP="001B4D1F">
      <w:pPr>
        <w:spacing w:line="276" w:lineRule="auto"/>
        <w:rPr>
          <w:rFonts w:ascii="Arial" w:hAnsi="Arial" w:cs="Arial"/>
        </w:rPr>
      </w:pPr>
      <w:r w:rsidRPr="002B445D">
        <w:rPr>
          <w:rFonts w:ascii="Arial" w:hAnsi="Arial" w:cs="Arial"/>
        </w:rPr>
        <w:t xml:space="preserve">The NHS's adherence to a stringent legal framework, encompassing patient care standards and safety protocols, is both essential and challenging (Health </w:t>
      </w:r>
      <w:r w:rsidR="00B07BCD" w:rsidRPr="002B445D">
        <w:rPr>
          <w:rFonts w:ascii="Arial" w:hAnsi="Arial" w:cs="Arial"/>
        </w:rPr>
        <w:t>and</w:t>
      </w:r>
      <w:r w:rsidRPr="002B445D">
        <w:rPr>
          <w:rFonts w:ascii="Arial" w:hAnsi="Arial" w:cs="Arial"/>
        </w:rPr>
        <w:t xml:space="preserve"> Social Care Act, 2012). While these regulations are crucial for maintaining healthcare quality and safety, they can also lead to a rigid compliance culture. This rigidity might stifle clinical innovation and flexibility, potentially impacting the ability to implement patient-centred care approaches. The key issue is finding a balance between strict adherence to regulations and fostering an environment conducive to innovation and improvement.</w:t>
      </w:r>
    </w:p>
    <w:p w14:paraId="1031DAEB" w14:textId="77777777" w:rsidR="001B4D1F" w:rsidRPr="002B445D" w:rsidRDefault="001B4D1F" w:rsidP="001B4D1F">
      <w:pPr>
        <w:spacing w:line="276" w:lineRule="auto"/>
        <w:rPr>
          <w:rFonts w:ascii="Arial" w:hAnsi="Arial" w:cs="Arial"/>
          <w:b/>
          <w:bCs/>
        </w:rPr>
      </w:pPr>
      <w:r w:rsidRPr="002B445D">
        <w:rPr>
          <w:rFonts w:ascii="Arial" w:hAnsi="Arial" w:cs="Arial"/>
          <w:b/>
          <w:bCs/>
        </w:rPr>
        <w:t>Patient Rights and Data Protection: Beyond Compliance</w:t>
      </w:r>
    </w:p>
    <w:p w14:paraId="63A83499" w14:textId="77777777" w:rsidR="001B4D1F" w:rsidRPr="002B445D" w:rsidRDefault="001B4D1F" w:rsidP="001B4D1F">
      <w:pPr>
        <w:spacing w:line="276" w:lineRule="auto"/>
        <w:rPr>
          <w:rFonts w:ascii="Arial" w:hAnsi="Arial" w:cs="Arial"/>
        </w:rPr>
      </w:pPr>
      <w:r w:rsidRPr="002B445D">
        <w:rPr>
          <w:rFonts w:ascii="Arial" w:hAnsi="Arial" w:cs="Arial"/>
        </w:rPr>
        <w:t>The protection of patient rights and data, particularly post-GDPR, has become a cornerstone of the NHS's legal obligations (ICO, 2023). However, the emphasis on data security and patient confidentiality, while paramount, can also impose significant administrative burdens. There is a risk that these obligations could divert resources and attention from direct patient care. Ensuring compliance with GDPR is not just about legal adherence but also about embedding a culture of privacy and respect for patient autonomy throughout the NHS.</w:t>
      </w:r>
    </w:p>
    <w:p w14:paraId="46F6B982" w14:textId="77777777" w:rsidR="001B4D1F" w:rsidRPr="002B445D" w:rsidRDefault="001B4D1F" w:rsidP="001B4D1F">
      <w:pPr>
        <w:spacing w:line="276" w:lineRule="auto"/>
        <w:rPr>
          <w:rFonts w:ascii="Arial" w:hAnsi="Arial" w:cs="Arial"/>
          <w:b/>
          <w:bCs/>
        </w:rPr>
      </w:pPr>
      <w:r w:rsidRPr="002B445D">
        <w:rPr>
          <w:rFonts w:ascii="Arial" w:hAnsi="Arial" w:cs="Arial"/>
          <w:b/>
          <w:bCs/>
        </w:rPr>
        <w:t>Legal and Regulatory Changes: The Challenge of Agility</w:t>
      </w:r>
    </w:p>
    <w:p w14:paraId="02378799" w14:textId="77777777" w:rsidR="001B4D1F" w:rsidRPr="002B445D" w:rsidRDefault="001B4D1F" w:rsidP="001B4D1F">
      <w:pPr>
        <w:spacing w:line="276" w:lineRule="auto"/>
        <w:rPr>
          <w:rFonts w:ascii="Arial" w:hAnsi="Arial" w:cs="Arial"/>
        </w:rPr>
      </w:pPr>
      <w:r w:rsidRPr="002B445D">
        <w:rPr>
          <w:rFonts w:ascii="Arial" w:hAnsi="Arial" w:cs="Arial"/>
        </w:rPr>
        <w:t>The NHS is subject to a dynamic legal environment, reflecting evolving societal values and advancements in healthcare technology. The challenge lies in the NHS's ability to integrate these legal changes quickly and effectively into its policies and practices (NHS England, 2022). Frequent legal amendments require not only robust policy frameworks but also a workforce that is continually updated and trained in new legal standards, which can be resource intensive.</w:t>
      </w:r>
    </w:p>
    <w:p w14:paraId="2759A41E" w14:textId="77777777" w:rsidR="001B4D1F" w:rsidRPr="002B445D" w:rsidRDefault="001B4D1F" w:rsidP="001B4D1F">
      <w:pPr>
        <w:spacing w:line="276" w:lineRule="auto"/>
        <w:rPr>
          <w:rFonts w:ascii="Arial" w:hAnsi="Arial" w:cs="Arial"/>
          <w:b/>
          <w:bCs/>
        </w:rPr>
      </w:pPr>
      <w:r w:rsidRPr="002B445D">
        <w:rPr>
          <w:rFonts w:ascii="Arial" w:hAnsi="Arial" w:cs="Arial"/>
          <w:b/>
          <w:bCs/>
        </w:rPr>
        <w:t>Legal Influences on Organizational Policies</w:t>
      </w:r>
    </w:p>
    <w:p w14:paraId="34F9DAD5" w14:textId="77777777" w:rsidR="001B4D1F" w:rsidRPr="002B445D" w:rsidRDefault="001B4D1F" w:rsidP="001B4D1F">
      <w:pPr>
        <w:spacing w:line="276" w:lineRule="auto"/>
        <w:rPr>
          <w:rFonts w:ascii="Arial" w:hAnsi="Arial" w:cs="Arial"/>
        </w:rPr>
      </w:pPr>
      <w:r w:rsidRPr="002B445D">
        <w:rPr>
          <w:rFonts w:ascii="Arial" w:hAnsi="Arial" w:cs="Arial"/>
        </w:rPr>
        <w:t>Legal factors heavily influence NHS organizational policies, especially those related to employee conduct and clinical procedures (Stewart et al., 2020). The critical issue here is ensuring that these policies are not only legally compliant but also practically implementable and aligned with the realities of healthcare delivery. There's a potential disconnect between policy formulation at the higher levels and the practicalities of day-to-day clinical practice.</w:t>
      </w:r>
    </w:p>
    <w:p w14:paraId="704CF63E" w14:textId="77777777" w:rsidR="001B4D1F" w:rsidRPr="002B445D" w:rsidRDefault="001B4D1F" w:rsidP="001B4D1F">
      <w:pPr>
        <w:spacing w:line="276" w:lineRule="auto"/>
        <w:rPr>
          <w:rFonts w:ascii="Arial" w:hAnsi="Arial" w:cs="Arial"/>
          <w:b/>
          <w:bCs/>
        </w:rPr>
      </w:pPr>
      <w:r w:rsidRPr="002B445D">
        <w:rPr>
          <w:rFonts w:ascii="Arial" w:hAnsi="Arial" w:cs="Arial"/>
          <w:b/>
          <w:bCs/>
        </w:rPr>
        <w:t>Addressing Societal Inequalities through Legal Frameworks</w:t>
      </w:r>
    </w:p>
    <w:p w14:paraId="538F92B2" w14:textId="77777777" w:rsidR="001B4D1F" w:rsidRPr="002B445D" w:rsidRDefault="001B4D1F" w:rsidP="001B4D1F">
      <w:pPr>
        <w:spacing w:line="276" w:lineRule="auto"/>
        <w:rPr>
          <w:rFonts w:ascii="Arial" w:hAnsi="Arial" w:cs="Arial"/>
        </w:rPr>
      </w:pPr>
      <w:r w:rsidRPr="002B445D">
        <w:rPr>
          <w:rFonts w:ascii="Arial" w:hAnsi="Arial" w:cs="Arial"/>
        </w:rPr>
        <w:t>Legal considerations in the NHS extend to addressing societal inequalities in healthcare. The legal framework plays a pivotal role in shaping policies related to public health and equal access to healthcare services (Office for Health Improvement and Disparities, 2022). However, the effectiveness of these legal frameworks in reducing health disparities is a matter of ongoing debate. The question arises whether current legal policies are sufficient and effective in addressing the root causes of healthcare inequalities.</w:t>
      </w:r>
    </w:p>
    <w:p w14:paraId="48107461" w14:textId="77777777" w:rsidR="00CE5CFB" w:rsidRPr="002B445D" w:rsidRDefault="00CE5CFB" w:rsidP="001B4D1F">
      <w:pPr>
        <w:spacing w:line="276" w:lineRule="auto"/>
        <w:rPr>
          <w:rFonts w:ascii="Arial" w:hAnsi="Arial" w:cs="Arial"/>
        </w:rPr>
      </w:pPr>
    </w:p>
    <w:p w14:paraId="45FB9F57" w14:textId="654C145B" w:rsidR="001B4D1F" w:rsidRPr="002B445D" w:rsidRDefault="001B4D1F" w:rsidP="00CE5CFB">
      <w:pPr>
        <w:pStyle w:val="Heading1"/>
        <w:spacing w:line="276" w:lineRule="auto"/>
        <w:jc w:val="both"/>
        <w:rPr>
          <w:rFonts w:cs="Arial"/>
          <w:b w:val="0"/>
          <w:bCs w:val="0"/>
          <w:color w:val="2F5496" w:themeColor="accent1" w:themeShade="BF"/>
          <w:sz w:val="40"/>
          <w:szCs w:val="40"/>
        </w:rPr>
      </w:pPr>
      <w:bookmarkStart w:id="9" w:name="_Toc157590511"/>
      <w:r w:rsidRPr="002B445D">
        <w:rPr>
          <w:rFonts w:cs="Arial"/>
          <w:b w:val="0"/>
          <w:bCs w:val="0"/>
          <w:color w:val="2F5496" w:themeColor="accent1" w:themeShade="BF"/>
          <w:szCs w:val="28"/>
          <w:u w:val="single"/>
        </w:rPr>
        <w:lastRenderedPageBreak/>
        <w:t>Environmental Factors</w:t>
      </w:r>
      <w:bookmarkEnd w:id="9"/>
      <w:r w:rsidRPr="002B445D">
        <w:rPr>
          <w:rFonts w:cs="Arial"/>
          <w:b w:val="0"/>
          <w:bCs w:val="0"/>
          <w:color w:val="2F5496" w:themeColor="accent1" w:themeShade="BF"/>
          <w:szCs w:val="28"/>
          <w:u w:val="single"/>
        </w:rPr>
        <w:t xml:space="preserve"> </w:t>
      </w:r>
    </w:p>
    <w:p w14:paraId="611C9CED" w14:textId="77777777" w:rsidR="001B4D1F" w:rsidRPr="002B445D" w:rsidRDefault="001B4D1F" w:rsidP="001B4D1F">
      <w:pPr>
        <w:spacing w:line="276" w:lineRule="auto"/>
        <w:rPr>
          <w:rFonts w:ascii="Arial" w:hAnsi="Arial" w:cs="Arial"/>
          <w:b/>
          <w:bCs/>
        </w:rPr>
      </w:pPr>
      <w:r w:rsidRPr="002B445D">
        <w:rPr>
          <w:rFonts w:ascii="Arial" w:hAnsi="Arial" w:cs="Arial"/>
          <w:b/>
          <w:bCs/>
        </w:rPr>
        <w:t xml:space="preserve">Sustainability and Environmental Impact: Beyond Policy to Practice </w:t>
      </w:r>
    </w:p>
    <w:p w14:paraId="21BD2583" w14:textId="77777777" w:rsidR="001B4D1F" w:rsidRPr="002B445D" w:rsidRDefault="001B4D1F" w:rsidP="001B4D1F">
      <w:pPr>
        <w:spacing w:line="276" w:lineRule="auto"/>
        <w:rPr>
          <w:rFonts w:ascii="Arial" w:hAnsi="Arial" w:cs="Arial"/>
        </w:rPr>
      </w:pPr>
      <w:r w:rsidRPr="002B445D">
        <w:rPr>
          <w:rFonts w:ascii="Arial" w:hAnsi="Arial" w:cs="Arial"/>
        </w:rPr>
        <w:t>While the NHS's commitment to sustainability is notable, the real challenge lies in effectively integrating these policies into everyday practice. Initiatives focusing on waste management, energy consumption, and resource optimization often face operational and financial barriers, raising questions about the depth of integration of these sustainability efforts into the NHS's core functions. These initiatives, while essential, risk being sidelined as secondary priorities when faced with immediate healthcare demands (Stevenson &amp; Moore, 2019; NHS England, 2020b).</w:t>
      </w:r>
    </w:p>
    <w:p w14:paraId="7054DE44" w14:textId="77777777" w:rsidR="001B4D1F" w:rsidRPr="002B445D" w:rsidRDefault="001B4D1F" w:rsidP="001B4D1F">
      <w:pPr>
        <w:spacing w:line="276" w:lineRule="auto"/>
        <w:rPr>
          <w:rFonts w:ascii="Arial" w:hAnsi="Arial" w:cs="Arial"/>
          <w:b/>
          <w:bCs/>
        </w:rPr>
      </w:pPr>
      <w:r w:rsidRPr="002B445D">
        <w:rPr>
          <w:rFonts w:ascii="Arial" w:hAnsi="Arial" w:cs="Arial"/>
          <w:b/>
          <w:bCs/>
        </w:rPr>
        <w:t xml:space="preserve">Climate Change: Navigating Dual Responsibilities </w:t>
      </w:r>
    </w:p>
    <w:p w14:paraId="02DFC214" w14:textId="77777777" w:rsidR="001B4D1F" w:rsidRPr="002B445D" w:rsidRDefault="001B4D1F" w:rsidP="001B4D1F">
      <w:pPr>
        <w:spacing w:line="276" w:lineRule="auto"/>
        <w:rPr>
          <w:rFonts w:ascii="Arial" w:hAnsi="Arial" w:cs="Arial"/>
        </w:rPr>
      </w:pPr>
      <w:r w:rsidRPr="002B445D">
        <w:rPr>
          <w:rFonts w:ascii="Arial" w:hAnsi="Arial" w:cs="Arial"/>
        </w:rPr>
        <w:t>The NHS's approach to the health impacts of climate change, such as increased respiratory illnesses and heat-related diseases, necessitates a dual strategy of adapting healthcare services and engaging in climate mitigation. This multifaceted role is fraught with challenges in allocating resources, especially when balancing immediate healthcare needs with long-term climate goals. The risk here is that, particularly in times of crisis like the COVID-19 pandemic, climate initiatives may not receive the priority they require (Costello et al., 2009; NHS England, 2020a; Mahase, 2023).</w:t>
      </w:r>
    </w:p>
    <w:p w14:paraId="5D2537FB" w14:textId="77777777" w:rsidR="001B4D1F" w:rsidRPr="002B445D" w:rsidRDefault="001B4D1F" w:rsidP="001B4D1F">
      <w:pPr>
        <w:spacing w:line="276" w:lineRule="auto"/>
        <w:rPr>
          <w:rFonts w:ascii="Arial" w:hAnsi="Arial" w:cs="Arial"/>
          <w:b/>
          <w:bCs/>
        </w:rPr>
      </w:pPr>
      <w:r w:rsidRPr="002B445D">
        <w:rPr>
          <w:rFonts w:ascii="Arial" w:hAnsi="Arial" w:cs="Arial"/>
          <w:b/>
          <w:bCs/>
        </w:rPr>
        <w:t xml:space="preserve">Reducing Carbon Footprint: The Challenge of Implementation </w:t>
      </w:r>
    </w:p>
    <w:p w14:paraId="77E1734C" w14:textId="77777777" w:rsidR="001B4D1F" w:rsidRPr="002B445D" w:rsidRDefault="001B4D1F" w:rsidP="001B4D1F">
      <w:pPr>
        <w:spacing w:line="276" w:lineRule="auto"/>
        <w:rPr>
          <w:rFonts w:ascii="Arial" w:hAnsi="Arial" w:cs="Arial"/>
        </w:rPr>
      </w:pPr>
      <w:r w:rsidRPr="002B445D">
        <w:rPr>
          <w:rFonts w:ascii="Arial" w:hAnsi="Arial" w:cs="Arial"/>
        </w:rPr>
        <w:t>The NHS’s ambition to reduce its carbon footprint faces tangible hurdles. Strategies aimed at enhancing energy efficiency and minimizing waste clash with infrastructural and budgetary limitations. A significant reduction in carbon footprint necessitates not just policy implementation but a cultural shift within the NHS towards prioritizing environmental sustainability (NHS England, 2020c; Tennison et al., 2021; Bugaj et al., 2020).</w:t>
      </w:r>
    </w:p>
    <w:p w14:paraId="1F1116A9" w14:textId="77777777" w:rsidR="001B4D1F" w:rsidRPr="002B445D" w:rsidRDefault="001B4D1F" w:rsidP="001B4D1F">
      <w:pPr>
        <w:spacing w:line="276" w:lineRule="auto"/>
        <w:rPr>
          <w:rFonts w:ascii="Arial" w:hAnsi="Arial" w:cs="Arial"/>
        </w:rPr>
      </w:pPr>
      <w:r w:rsidRPr="002B445D">
        <w:rPr>
          <w:rFonts w:ascii="Arial" w:hAnsi="Arial" w:cs="Arial"/>
        </w:rPr>
        <w:t>Public Health Policies and Environmental Health: A Complex Integration Incorporating environmental health into public health policy is a complex endeavour. Addressing the health implications of environmental factors, such as pollution and exposure to hazardous substances, requires manoeuvring through a maze of intersectoral policies and initiatives. The NHS is pivotal in this integration process, yet it must judiciously balance these environmental responsibilities with its fundamental healthcare delivery objectives (WHO, 2018; Pineo et al., 2020).</w:t>
      </w:r>
    </w:p>
    <w:p w14:paraId="6D9F022C" w14:textId="77777777" w:rsidR="001B4D1F" w:rsidRPr="002B445D" w:rsidRDefault="001B4D1F" w:rsidP="001B4D1F">
      <w:pPr>
        <w:spacing w:line="276" w:lineRule="auto"/>
        <w:rPr>
          <w:rFonts w:ascii="Arial" w:hAnsi="Arial" w:cs="Arial"/>
          <w:b/>
          <w:bCs/>
        </w:rPr>
      </w:pPr>
      <w:r w:rsidRPr="002B445D">
        <w:rPr>
          <w:rFonts w:ascii="Arial" w:hAnsi="Arial" w:cs="Arial"/>
          <w:b/>
          <w:bCs/>
        </w:rPr>
        <w:t xml:space="preserve">Collaboration and Partnerships: Expanding Horizons </w:t>
      </w:r>
    </w:p>
    <w:p w14:paraId="08233558" w14:textId="77777777" w:rsidR="001B4D1F" w:rsidRPr="002B445D" w:rsidRDefault="001B4D1F" w:rsidP="001B4D1F">
      <w:pPr>
        <w:spacing w:line="276" w:lineRule="auto"/>
        <w:rPr>
          <w:rFonts w:ascii="Arial" w:hAnsi="Arial" w:cs="Arial"/>
        </w:rPr>
      </w:pPr>
      <w:r w:rsidRPr="002B445D">
        <w:rPr>
          <w:rFonts w:ascii="Arial" w:hAnsi="Arial" w:cs="Arial"/>
        </w:rPr>
        <w:t>Effectively addressing environmental challenges in the NHS extends beyond the healthcare sector and necessitates partnerships with environmental agencies, government bodies, and community groups. These collaborations, however, need to be based on shared goals and realistic expectations to ensure their effectiveness and sustainability (NHS England, 2020c).</w:t>
      </w:r>
    </w:p>
    <w:p w14:paraId="49C21F0D" w14:textId="77777777" w:rsidR="001B4D1F" w:rsidRPr="002B445D" w:rsidRDefault="001B4D1F" w:rsidP="001B4D1F">
      <w:pPr>
        <w:spacing w:line="276" w:lineRule="auto"/>
        <w:rPr>
          <w:rFonts w:ascii="Arial" w:hAnsi="Arial" w:cs="Arial"/>
          <w:b/>
          <w:bCs/>
        </w:rPr>
      </w:pPr>
      <w:r w:rsidRPr="002B445D">
        <w:rPr>
          <w:rFonts w:ascii="Arial" w:hAnsi="Arial" w:cs="Arial"/>
          <w:b/>
          <w:bCs/>
        </w:rPr>
        <w:t>Critical Analysis of NHS's Macro Environmental Factors</w:t>
      </w:r>
    </w:p>
    <w:p w14:paraId="372E0466" w14:textId="77777777" w:rsidR="001B4D1F" w:rsidRPr="002B445D" w:rsidRDefault="001B4D1F" w:rsidP="001B4D1F">
      <w:pPr>
        <w:spacing w:line="276" w:lineRule="auto"/>
        <w:rPr>
          <w:rFonts w:ascii="Arial" w:hAnsi="Arial" w:cs="Arial"/>
        </w:rPr>
      </w:pPr>
      <w:r w:rsidRPr="002B445D">
        <w:rPr>
          <w:rFonts w:ascii="Arial" w:hAnsi="Arial" w:cs="Arial"/>
        </w:rPr>
        <w:t>The National Health Service (NHS) operates within a complex macro environment influenced by political, economic, social, technological, legal, and environmental factors. Understanding these influences requires an integration of various organizational theories, each providing a unique lens to examine the challenges and opportunities faced by the NHS.</w:t>
      </w:r>
    </w:p>
    <w:p w14:paraId="7B6B8C40" w14:textId="77777777" w:rsidR="001B4D1F" w:rsidRPr="002B445D" w:rsidRDefault="001B4D1F" w:rsidP="001B4D1F">
      <w:pPr>
        <w:spacing w:line="276" w:lineRule="auto"/>
        <w:rPr>
          <w:rFonts w:ascii="Arial" w:hAnsi="Arial" w:cs="Arial"/>
        </w:rPr>
      </w:pPr>
      <w:r w:rsidRPr="002B445D">
        <w:rPr>
          <w:rFonts w:ascii="Arial" w:hAnsi="Arial" w:cs="Arial"/>
          <w:b/>
          <w:bCs/>
        </w:rPr>
        <w:lastRenderedPageBreak/>
        <w:t>Resource Dependence Theory</w:t>
      </w:r>
      <w:r w:rsidRPr="002B445D">
        <w:rPr>
          <w:rFonts w:ascii="Arial" w:hAnsi="Arial" w:cs="Arial"/>
        </w:rPr>
        <w:t xml:space="preserve"> offers insight into the NHS's reliance on government funding and policy decisions. This dependence significantly shapes the NHS's capacity to deliver services and allocate resources. However, the NHS's response to the COVID-19 pandemic demonstrates its ability to adapt and innovate within these constraints, challenging the notion of complete dependency (Pfeffer &amp; </w:t>
      </w:r>
      <w:proofErr w:type="spellStart"/>
      <w:r w:rsidRPr="002B445D">
        <w:rPr>
          <w:rFonts w:ascii="Arial" w:hAnsi="Arial" w:cs="Arial"/>
        </w:rPr>
        <w:t>Salancik</w:t>
      </w:r>
      <w:proofErr w:type="spellEnd"/>
      <w:r w:rsidRPr="002B445D">
        <w:rPr>
          <w:rFonts w:ascii="Arial" w:hAnsi="Arial" w:cs="Arial"/>
        </w:rPr>
        <w:t>, 1978; Ham, 2020).</w:t>
      </w:r>
    </w:p>
    <w:p w14:paraId="67F0733A" w14:textId="77777777" w:rsidR="001B4D1F" w:rsidRPr="002B445D" w:rsidRDefault="001B4D1F" w:rsidP="001B4D1F">
      <w:pPr>
        <w:spacing w:line="276" w:lineRule="auto"/>
        <w:rPr>
          <w:rFonts w:ascii="Arial" w:hAnsi="Arial" w:cs="Arial"/>
        </w:rPr>
      </w:pPr>
      <w:r w:rsidRPr="002B445D">
        <w:rPr>
          <w:rFonts w:ascii="Arial" w:hAnsi="Arial" w:cs="Arial"/>
          <w:b/>
          <w:bCs/>
        </w:rPr>
        <w:t>Institutional Theory</w:t>
      </w:r>
      <w:r w:rsidRPr="002B445D">
        <w:rPr>
          <w:rFonts w:ascii="Arial" w:hAnsi="Arial" w:cs="Arial"/>
        </w:rPr>
        <w:t xml:space="preserve"> highlights the NHS's need to comply with legal and ethical standards, shaped by societal expectations. This compliance ensures legitimacy but may sometimes hinder innovation due to bureaucratic processes. For instance, the slow adoption of new healthcare practices can be attributed to stringent compliance requirements (Meyer &amp; Rowan, 1977; </w:t>
      </w:r>
      <w:proofErr w:type="spellStart"/>
      <w:r w:rsidRPr="002B445D">
        <w:rPr>
          <w:rFonts w:ascii="Arial" w:eastAsia="Times New Roman" w:hAnsi="Arial" w:cs="Arial"/>
        </w:rPr>
        <w:t>Zimlichman</w:t>
      </w:r>
      <w:proofErr w:type="spellEnd"/>
      <w:r w:rsidRPr="002B445D">
        <w:rPr>
          <w:rFonts w:ascii="Arial" w:eastAsia="Times New Roman" w:hAnsi="Arial" w:cs="Arial"/>
        </w:rPr>
        <w:t xml:space="preserve"> et al.,2021</w:t>
      </w:r>
      <w:r w:rsidRPr="002B445D">
        <w:rPr>
          <w:rFonts w:ascii="Arial" w:hAnsi="Arial" w:cs="Arial"/>
        </w:rPr>
        <w:t>).</w:t>
      </w:r>
    </w:p>
    <w:p w14:paraId="0E815B34" w14:textId="77777777" w:rsidR="001B4D1F" w:rsidRPr="002B445D" w:rsidRDefault="001B4D1F" w:rsidP="001B4D1F">
      <w:pPr>
        <w:spacing w:line="276" w:lineRule="auto"/>
        <w:rPr>
          <w:rFonts w:ascii="Arial" w:hAnsi="Arial" w:cs="Arial"/>
        </w:rPr>
      </w:pPr>
      <w:r w:rsidRPr="002B445D">
        <w:rPr>
          <w:rFonts w:ascii="Arial" w:hAnsi="Arial" w:cs="Arial"/>
          <w:b/>
          <w:bCs/>
        </w:rPr>
        <w:t>Stakeholder Theory</w:t>
      </w:r>
      <w:r w:rsidRPr="002B445D">
        <w:rPr>
          <w:rFonts w:ascii="Arial" w:hAnsi="Arial" w:cs="Arial"/>
        </w:rPr>
        <w:t xml:space="preserve"> emphasizes the importance of balancing the diverse interests of patients, employees, and the government. The NHS often faces challenges in prioritizing stakeholder interests, especially when patient care objectives clash with budgetary constraints (Freeman, 1984; Ham, 2020).</w:t>
      </w:r>
    </w:p>
    <w:p w14:paraId="13949948" w14:textId="77777777" w:rsidR="001B4D1F" w:rsidRPr="002B445D" w:rsidRDefault="001B4D1F" w:rsidP="001B4D1F">
      <w:pPr>
        <w:spacing w:line="276" w:lineRule="auto"/>
        <w:rPr>
          <w:rFonts w:ascii="Arial" w:hAnsi="Arial" w:cs="Arial"/>
        </w:rPr>
      </w:pPr>
      <w:r w:rsidRPr="002B445D">
        <w:rPr>
          <w:rFonts w:ascii="Arial" w:hAnsi="Arial" w:cs="Arial"/>
          <w:b/>
          <w:bCs/>
        </w:rPr>
        <w:t>Systems Theory</w:t>
      </w:r>
      <w:r w:rsidRPr="002B445D">
        <w:rPr>
          <w:rFonts w:ascii="Arial" w:hAnsi="Arial" w:cs="Arial"/>
        </w:rPr>
        <w:t xml:space="preserve"> underscores the NHS's role within a larger societal system, where changes in demographics and societal attitudes directly impact healthcare delivery. The interconnectedness within this system necessitates a responsive approach by the NHS but also introduces complexities in aligning with broader social changes (</w:t>
      </w:r>
      <w:proofErr w:type="spellStart"/>
      <w:r w:rsidRPr="002B445D">
        <w:rPr>
          <w:rFonts w:ascii="Arial" w:hAnsi="Arial" w:cs="Arial"/>
        </w:rPr>
        <w:t>Bertalanffy</w:t>
      </w:r>
      <w:proofErr w:type="spellEnd"/>
      <w:r w:rsidRPr="002B445D">
        <w:rPr>
          <w:rFonts w:ascii="Arial" w:hAnsi="Arial" w:cs="Arial"/>
        </w:rPr>
        <w:t xml:space="preserve">, 1968; </w:t>
      </w:r>
      <w:proofErr w:type="spellStart"/>
      <w:r w:rsidRPr="002B445D">
        <w:rPr>
          <w:rFonts w:ascii="Arial" w:eastAsia="Times New Roman" w:hAnsi="Arial" w:cs="Arial"/>
        </w:rPr>
        <w:t>Maniatopoulos</w:t>
      </w:r>
      <w:proofErr w:type="spellEnd"/>
      <w:r w:rsidRPr="002B445D">
        <w:rPr>
          <w:rFonts w:ascii="Arial" w:eastAsia="Times New Roman" w:hAnsi="Arial" w:cs="Arial"/>
        </w:rPr>
        <w:t xml:space="preserve"> et al.,2020</w:t>
      </w:r>
      <w:r w:rsidRPr="002B445D">
        <w:rPr>
          <w:rFonts w:ascii="Arial" w:hAnsi="Arial" w:cs="Arial"/>
        </w:rPr>
        <w:t>).</w:t>
      </w:r>
    </w:p>
    <w:p w14:paraId="46C92C42" w14:textId="77777777" w:rsidR="001B4D1F" w:rsidRPr="002B445D" w:rsidRDefault="001B4D1F" w:rsidP="001B4D1F">
      <w:pPr>
        <w:spacing w:line="276" w:lineRule="auto"/>
        <w:rPr>
          <w:rFonts w:ascii="Arial" w:hAnsi="Arial" w:cs="Arial"/>
        </w:rPr>
      </w:pPr>
      <w:r w:rsidRPr="002B445D">
        <w:rPr>
          <w:rFonts w:ascii="Arial" w:hAnsi="Arial" w:cs="Arial"/>
          <w:b/>
          <w:bCs/>
        </w:rPr>
        <w:t>Diffusion of Innovations Theory</w:t>
      </w:r>
      <w:r w:rsidRPr="002B445D">
        <w:rPr>
          <w:rFonts w:ascii="Arial" w:hAnsi="Arial" w:cs="Arial"/>
        </w:rPr>
        <w:t xml:space="preserve"> is pertinent to the NHS's adoption of new technologies. Successful technology adoption in the NHS requires an understanding of various factors, including perceived benefits and compatibility with existing systems. However, barriers such as budget limitations and resistance to change can impede this process (Rogers, 2003; Llewellyn et al., 2015).</w:t>
      </w:r>
    </w:p>
    <w:p w14:paraId="2EB3B64C" w14:textId="77777777" w:rsidR="001B4D1F" w:rsidRPr="002B445D" w:rsidRDefault="001B4D1F" w:rsidP="001B4D1F">
      <w:pPr>
        <w:spacing w:line="276" w:lineRule="auto"/>
        <w:rPr>
          <w:rFonts w:ascii="Arial" w:hAnsi="Arial" w:cs="Arial"/>
        </w:rPr>
      </w:pPr>
      <w:r w:rsidRPr="002B445D">
        <w:rPr>
          <w:rFonts w:ascii="Arial" w:hAnsi="Arial" w:cs="Arial"/>
          <w:b/>
          <w:bCs/>
        </w:rPr>
        <w:t>Ecological Systems Theory</w:t>
      </w:r>
      <w:r w:rsidRPr="002B445D">
        <w:rPr>
          <w:rFonts w:ascii="Arial" w:hAnsi="Arial" w:cs="Arial"/>
        </w:rPr>
        <w:t xml:space="preserve"> positions the NHS within a broader ecological context. The NHS's operations impact and are impacted by the environment, highlighting the importance of integrating environmentally sustainable practices. However, this integration is challenging due to competing operational priorities and the complexities of large-scale organizational change (Bronfenbrenner, 1979; Tennison et al., 2021).</w:t>
      </w:r>
    </w:p>
    <w:p w14:paraId="3F653EAD" w14:textId="77777777" w:rsidR="001B4D1F" w:rsidRPr="002B445D" w:rsidRDefault="001B4D1F" w:rsidP="001B4D1F">
      <w:pPr>
        <w:spacing w:line="276" w:lineRule="auto"/>
        <w:rPr>
          <w:rFonts w:ascii="Arial" w:hAnsi="Arial" w:cs="Arial"/>
        </w:rPr>
      </w:pPr>
      <w:r w:rsidRPr="002B445D">
        <w:rPr>
          <w:rFonts w:ascii="Arial" w:hAnsi="Arial" w:cs="Arial"/>
          <w:b/>
          <w:bCs/>
        </w:rPr>
        <w:t>Conclusion</w:t>
      </w:r>
      <w:r w:rsidRPr="002B445D">
        <w:rPr>
          <w:rFonts w:ascii="Arial" w:hAnsi="Arial" w:cs="Arial"/>
        </w:rPr>
        <w:t xml:space="preserve"> The NHS's macro environment presents a dynamic landscape where political, economic, social, technological, legal, and environmental factors interplay. Theoretical frameworks provide valuable insights, but the real-world application reveals a more nuanced picture. Balancing external influences with internal capacities for innovation and adaptation is key to the NHS's effectiveness in delivering healthcare services. This analysis underscores the need for a strategic, responsive approach to navigate these multifaceted environmental factors.</w:t>
      </w:r>
    </w:p>
    <w:p w14:paraId="3E876574" w14:textId="77777777" w:rsidR="00CE5CFB" w:rsidRPr="002B445D" w:rsidRDefault="00CE5CFB" w:rsidP="001B4D1F">
      <w:pPr>
        <w:spacing w:line="276" w:lineRule="auto"/>
        <w:rPr>
          <w:rFonts w:ascii="Arial" w:hAnsi="Arial" w:cs="Arial"/>
        </w:rPr>
      </w:pPr>
    </w:p>
    <w:p w14:paraId="5964FB26" w14:textId="77777777" w:rsidR="00CE5CFB" w:rsidRPr="002B445D" w:rsidRDefault="00CE5CFB" w:rsidP="001B4D1F">
      <w:pPr>
        <w:spacing w:line="276" w:lineRule="auto"/>
        <w:rPr>
          <w:rFonts w:ascii="Arial" w:hAnsi="Arial" w:cs="Arial"/>
        </w:rPr>
      </w:pPr>
    </w:p>
    <w:p w14:paraId="371E7AF4" w14:textId="77777777" w:rsidR="00CE5CFB" w:rsidRPr="002B445D" w:rsidRDefault="00CE5CFB" w:rsidP="001B4D1F">
      <w:pPr>
        <w:spacing w:line="276" w:lineRule="auto"/>
        <w:rPr>
          <w:rFonts w:ascii="Arial" w:hAnsi="Arial" w:cs="Arial"/>
        </w:rPr>
      </w:pPr>
    </w:p>
    <w:p w14:paraId="1FF3BF2B" w14:textId="77777777" w:rsidR="00CE5CFB" w:rsidRPr="002B445D" w:rsidRDefault="00CE5CFB" w:rsidP="001B4D1F">
      <w:pPr>
        <w:spacing w:line="276" w:lineRule="auto"/>
        <w:rPr>
          <w:rFonts w:ascii="Arial" w:hAnsi="Arial" w:cs="Arial"/>
        </w:rPr>
      </w:pPr>
    </w:p>
    <w:p w14:paraId="5414F6AF" w14:textId="77777777" w:rsidR="00CE5CFB" w:rsidRPr="002B445D" w:rsidRDefault="00CE5CFB" w:rsidP="001B4D1F">
      <w:pPr>
        <w:spacing w:line="276" w:lineRule="auto"/>
        <w:rPr>
          <w:rFonts w:ascii="Arial" w:hAnsi="Arial" w:cs="Arial"/>
        </w:rPr>
      </w:pPr>
    </w:p>
    <w:p w14:paraId="2A224E1D" w14:textId="626903DF" w:rsidR="001B4D1F" w:rsidRPr="002B445D" w:rsidRDefault="001B4D1F" w:rsidP="00CE5CFB">
      <w:pPr>
        <w:pStyle w:val="Heading1"/>
        <w:spacing w:line="276" w:lineRule="auto"/>
        <w:jc w:val="both"/>
        <w:rPr>
          <w:rFonts w:cs="Arial"/>
          <w:b w:val="0"/>
          <w:bCs w:val="0"/>
          <w:color w:val="2F5496" w:themeColor="accent1" w:themeShade="BF"/>
          <w:sz w:val="44"/>
          <w:szCs w:val="44"/>
        </w:rPr>
      </w:pPr>
      <w:bookmarkStart w:id="10" w:name="_Toc157590512"/>
      <w:r w:rsidRPr="002B445D">
        <w:rPr>
          <w:rFonts w:cs="Arial"/>
          <w:b w:val="0"/>
          <w:bCs w:val="0"/>
          <w:color w:val="2F5496" w:themeColor="accent1" w:themeShade="BF"/>
          <w:sz w:val="32"/>
          <w:szCs w:val="32"/>
        </w:rPr>
        <w:lastRenderedPageBreak/>
        <w:t>1.2: Micro Environmental Analysis of the NHS</w:t>
      </w:r>
      <w:bookmarkEnd w:id="10"/>
    </w:p>
    <w:p w14:paraId="011B6B28" w14:textId="32449F85" w:rsidR="001B4D1F" w:rsidRPr="002B445D" w:rsidRDefault="001B4D1F" w:rsidP="00CE5CFB">
      <w:pPr>
        <w:pStyle w:val="Heading1"/>
        <w:spacing w:line="276" w:lineRule="auto"/>
        <w:jc w:val="both"/>
        <w:rPr>
          <w:rFonts w:cs="Arial"/>
          <w:b w:val="0"/>
          <w:bCs w:val="0"/>
          <w:color w:val="2F5496" w:themeColor="accent1" w:themeShade="BF"/>
          <w:sz w:val="40"/>
          <w:szCs w:val="40"/>
        </w:rPr>
      </w:pPr>
      <w:bookmarkStart w:id="11" w:name="_Toc157590513"/>
      <w:r w:rsidRPr="002B445D">
        <w:rPr>
          <w:rFonts w:cs="Arial"/>
          <w:b w:val="0"/>
          <w:bCs w:val="0"/>
          <w:color w:val="2F5496" w:themeColor="accent1" w:themeShade="BF"/>
          <w:szCs w:val="28"/>
        </w:rPr>
        <w:t>SWOT Analysis</w:t>
      </w:r>
      <w:bookmarkEnd w:id="11"/>
    </w:p>
    <w:p w14:paraId="13EA8EFD" w14:textId="77777777" w:rsidR="001B4D1F" w:rsidRPr="002B445D" w:rsidRDefault="001B4D1F" w:rsidP="001B4D1F">
      <w:pPr>
        <w:spacing w:line="276" w:lineRule="auto"/>
        <w:rPr>
          <w:rFonts w:ascii="Arial" w:hAnsi="Arial" w:cs="Arial"/>
          <w:b/>
          <w:bCs/>
          <w:sz w:val="28"/>
          <w:szCs w:val="28"/>
          <w:u w:val="single"/>
        </w:rPr>
      </w:pPr>
      <w:r w:rsidRPr="002B445D">
        <w:rPr>
          <w:rFonts w:ascii="Arial" w:hAnsi="Arial" w:cs="Arial"/>
          <w:b/>
          <w:bCs/>
          <w:sz w:val="28"/>
          <w:szCs w:val="28"/>
          <w:u w:val="single"/>
        </w:rPr>
        <w:t>Strengths</w:t>
      </w:r>
    </w:p>
    <w:p w14:paraId="287C2EE5" w14:textId="77777777" w:rsidR="001B4D1F" w:rsidRPr="002B445D" w:rsidRDefault="001B4D1F" w:rsidP="001B4D1F">
      <w:pPr>
        <w:numPr>
          <w:ilvl w:val="0"/>
          <w:numId w:val="7"/>
        </w:numPr>
        <w:spacing w:line="276" w:lineRule="auto"/>
        <w:rPr>
          <w:rFonts w:ascii="Arial" w:hAnsi="Arial" w:cs="Arial"/>
        </w:rPr>
      </w:pPr>
      <w:r w:rsidRPr="002B445D">
        <w:rPr>
          <w:rFonts w:ascii="Arial" w:hAnsi="Arial" w:cs="Arial"/>
          <w:b/>
          <w:bCs/>
        </w:rPr>
        <w:t>Universal Health Coverage</w:t>
      </w:r>
      <w:r w:rsidRPr="002B445D">
        <w:rPr>
          <w:rFonts w:ascii="Arial" w:hAnsi="Arial" w:cs="Arial"/>
        </w:rPr>
        <w:t>: The NHS's commitment to universal health coverage is a primary strength, offering comprehensive care to all citizens, as highlighted in the Health and Social Care Act 2012 (Department of Health, 2009).</w:t>
      </w:r>
    </w:p>
    <w:p w14:paraId="3F1FC1E6" w14:textId="77777777" w:rsidR="001B4D1F" w:rsidRPr="002B445D" w:rsidRDefault="001B4D1F" w:rsidP="001B4D1F">
      <w:pPr>
        <w:numPr>
          <w:ilvl w:val="0"/>
          <w:numId w:val="7"/>
        </w:numPr>
        <w:spacing w:line="276" w:lineRule="auto"/>
        <w:rPr>
          <w:rFonts w:ascii="Arial" w:hAnsi="Arial" w:cs="Arial"/>
        </w:rPr>
      </w:pPr>
      <w:r w:rsidRPr="002B445D">
        <w:rPr>
          <w:rFonts w:ascii="Arial" w:hAnsi="Arial" w:cs="Arial"/>
          <w:b/>
          <w:bCs/>
        </w:rPr>
        <w:t>Innovation in Patient Care</w:t>
      </w:r>
      <w:r w:rsidRPr="002B445D">
        <w:rPr>
          <w:rFonts w:ascii="Arial" w:hAnsi="Arial" w:cs="Arial"/>
        </w:rPr>
        <w:t>: Innovations, such as telemedicine, showcase the NHS's ability to modernize healthcare delivery (Neves et al., 2021).</w:t>
      </w:r>
    </w:p>
    <w:p w14:paraId="405E6750" w14:textId="77777777" w:rsidR="001B4D1F" w:rsidRPr="002B445D" w:rsidRDefault="001B4D1F" w:rsidP="001B4D1F">
      <w:pPr>
        <w:spacing w:line="276" w:lineRule="auto"/>
        <w:rPr>
          <w:rFonts w:ascii="Arial" w:hAnsi="Arial" w:cs="Arial"/>
          <w:b/>
          <w:bCs/>
          <w:sz w:val="28"/>
          <w:szCs w:val="28"/>
          <w:u w:val="single"/>
        </w:rPr>
      </w:pPr>
      <w:r w:rsidRPr="002B445D">
        <w:rPr>
          <w:rFonts w:ascii="Arial" w:hAnsi="Arial" w:cs="Arial"/>
          <w:b/>
          <w:bCs/>
          <w:sz w:val="28"/>
          <w:szCs w:val="28"/>
          <w:u w:val="single"/>
        </w:rPr>
        <w:t>Weaknesses</w:t>
      </w:r>
    </w:p>
    <w:p w14:paraId="00AE46A0" w14:textId="77777777" w:rsidR="001B4D1F" w:rsidRPr="002B445D" w:rsidRDefault="001B4D1F" w:rsidP="001B4D1F">
      <w:pPr>
        <w:numPr>
          <w:ilvl w:val="0"/>
          <w:numId w:val="8"/>
        </w:numPr>
        <w:spacing w:line="276" w:lineRule="auto"/>
        <w:rPr>
          <w:rFonts w:ascii="Arial" w:hAnsi="Arial" w:cs="Arial"/>
        </w:rPr>
      </w:pPr>
      <w:r w:rsidRPr="002B445D">
        <w:rPr>
          <w:rFonts w:ascii="Arial" w:hAnsi="Arial" w:cs="Arial"/>
          <w:b/>
          <w:bCs/>
        </w:rPr>
        <w:t>Bureaucratic Inefficiency</w:t>
      </w:r>
      <w:r w:rsidRPr="002B445D">
        <w:rPr>
          <w:rFonts w:ascii="Arial" w:hAnsi="Arial" w:cs="Arial"/>
        </w:rPr>
        <w:t>: The NHS faces challenges with bureaucratic inefficiencies, affecting decision-making processes and responsiveness (Propper et al., 2020).</w:t>
      </w:r>
    </w:p>
    <w:p w14:paraId="38D82471" w14:textId="77777777" w:rsidR="001B4D1F" w:rsidRPr="002B445D" w:rsidRDefault="001B4D1F" w:rsidP="001B4D1F">
      <w:pPr>
        <w:numPr>
          <w:ilvl w:val="0"/>
          <w:numId w:val="8"/>
        </w:numPr>
        <w:spacing w:line="276" w:lineRule="auto"/>
        <w:rPr>
          <w:rFonts w:ascii="Arial" w:hAnsi="Arial" w:cs="Arial"/>
        </w:rPr>
      </w:pPr>
      <w:r w:rsidRPr="002B445D">
        <w:rPr>
          <w:rFonts w:ascii="Arial" w:hAnsi="Arial" w:cs="Arial"/>
          <w:b/>
          <w:bCs/>
        </w:rPr>
        <w:t>Workforce Challenges</w:t>
      </w:r>
      <w:r w:rsidRPr="002B445D">
        <w:rPr>
          <w:rFonts w:ascii="Arial" w:hAnsi="Arial" w:cs="Arial"/>
        </w:rPr>
        <w:t>: Persistent staff shortages and reliance on international healthcare workers are significant issues (Check B. R., 2019; Baines, 2022).</w:t>
      </w:r>
    </w:p>
    <w:p w14:paraId="56FAE55B" w14:textId="77777777" w:rsidR="001B4D1F" w:rsidRPr="002B445D" w:rsidRDefault="001B4D1F" w:rsidP="001B4D1F">
      <w:pPr>
        <w:spacing w:line="276" w:lineRule="auto"/>
        <w:rPr>
          <w:rFonts w:ascii="Arial" w:hAnsi="Arial" w:cs="Arial"/>
          <w:b/>
          <w:bCs/>
          <w:sz w:val="28"/>
          <w:szCs w:val="28"/>
          <w:u w:val="single"/>
        </w:rPr>
      </w:pPr>
      <w:r w:rsidRPr="002B445D">
        <w:rPr>
          <w:rFonts w:ascii="Arial" w:hAnsi="Arial" w:cs="Arial"/>
          <w:b/>
          <w:bCs/>
          <w:sz w:val="28"/>
          <w:szCs w:val="28"/>
          <w:u w:val="single"/>
        </w:rPr>
        <w:t>Opportunities</w:t>
      </w:r>
    </w:p>
    <w:p w14:paraId="723DC559" w14:textId="77777777" w:rsidR="001B4D1F" w:rsidRPr="002B445D" w:rsidRDefault="001B4D1F" w:rsidP="001B4D1F">
      <w:pPr>
        <w:numPr>
          <w:ilvl w:val="0"/>
          <w:numId w:val="9"/>
        </w:numPr>
        <w:spacing w:line="276" w:lineRule="auto"/>
        <w:rPr>
          <w:rFonts w:ascii="Arial" w:hAnsi="Arial" w:cs="Arial"/>
        </w:rPr>
      </w:pPr>
      <w:r w:rsidRPr="002B445D">
        <w:rPr>
          <w:rFonts w:ascii="Arial" w:hAnsi="Arial" w:cs="Arial"/>
          <w:b/>
          <w:bCs/>
        </w:rPr>
        <w:t>Digital Transformation</w:t>
      </w:r>
      <w:r w:rsidRPr="002B445D">
        <w:rPr>
          <w:rFonts w:ascii="Arial" w:hAnsi="Arial" w:cs="Arial"/>
        </w:rPr>
        <w:t>: Opportunities lie in the digitalization of healthcare, like Electronic Health Records (EHRs), which can enhance efficiency and patient care (Wyatt et al., 2020).</w:t>
      </w:r>
    </w:p>
    <w:p w14:paraId="46C8D9BF" w14:textId="77777777" w:rsidR="001B4D1F" w:rsidRPr="002B445D" w:rsidRDefault="001B4D1F" w:rsidP="001B4D1F">
      <w:pPr>
        <w:numPr>
          <w:ilvl w:val="0"/>
          <w:numId w:val="9"/>
        </w:numPr>
        <w:spacing w:line="276" w:lineRule="auto"/>
        <w:rPr>
          <w:rFonts w:ascii="Arial" w:hAnsi="Arial" w:cs="Arial"/>
        </w:rPr>
      </w:pPr>
      <w:r w:rsidRPr="002B445D">
        <w:rPr>
          <w:rFonts w:ascii="Arial" w:hAnsi="Arial" w:cs="Arial"/>
          <w:b/>
          <w:bCs/>
        </w:rPr>
        <w:t>Addressing Health Inequalities</w:t>
      </w:r>
      <w:r w:rsidRPr="002B445D">
        <w:rPr>
          <w:rFonts w:ascii="Arial" w:hAnsi="Arial" w:cs="Arial"/>
        </w:rPr>
        <w:t>: Initiatives to reduce health disparities can enhance the NHS's public image and align with societal needs (Office for Health Improvement and Disparities, 2022).</w:t>
      </w:r>
    </w:p>
    <w:p w14:paraId="22565C50" w14:textId="77777777" w:rsidR="001B4D1F" w:rsidRPr="002B445D" w:rsidRDefault="001B4D1F" w:rsidP="001B4D1F">
      <w:pPr>
        <w:spacing w:line="276" w:lineRule="auto"/>
        <w:rPr>
          <w:rFonts w:ascii="Arial" w:hAnsi="Arial" w:cs="Arial"/>
          <w:b/>
          <w:bCs/>
          <w:sz w:val="28"/>
          <w:szCs w:val="28"/>
          <w:u w:val="single"/>
        </w:rPr>
      </w:pPr>
      <w:r w:rsidRPr="002B445D">
        <w:rPr>
          <w:rFonts w:ascii="Arial" w:hAnsi="Arial" w:cs="Arial"/>
          <w:b/>
          <w:bCs/>
          <w:sz w:val="28"/>
          <w:szCs w:val="28"/>
          <w:u w:val="single"/>
        </w:rPr>
        <w:t>Threats</w:t>
      </w:r>
    </w:p>
    <w:p w14:paraId="6620406D" w14:textId="77777777" w:rsidR="001B4D1F" w:rsidRPr="002B445D" w:rsidRDefault="001B4D1F" w:rsidP="001B4D1F">
      <w:pPr>
        <w:numPr>
          <w:ilvl w:val="0"/>
          <w:numId w:val="10"/>
        </w:numPr>
        <w:spacing w:line="276" w:lineRule="auto"/>
        <w:rPr>
          <w:rFonts w:ascii="Arial" w:hAnsi="Arial" w:cs="Arial"/>
        </w:rPr>
      </w:pPr>
      <w:r w:rsidRPr="002B445D">
        <w:rPr>
          <w:rFonts w:ascii="Arial" w:hAnsi="Arial" w:cs="Arial"/>
          <w:b/>
          <w:bCs/>
        </w:rPr>
        <w:t>Financial Pressures</w:t>
      </w:r>
      <w:r w:rsidRPr="002B445D">
        <w:rPr>
          <w:rFonts w:ascii="Arial" w:hAnsi="Arial" w:cs="Arial"/>
        </w:rPr>
        <w:t>: Financial constraints, especially post-COVID-19, threaten the sustainability of services (Propper et al., 2020).</w:t>
      </w:r>
    </w:p>
    <w:p w14:paraId="7E548DDB" w14:textId="53E6E145" w:rsidR="001B4D1F" w:rsidRPr="002B445D" w:rsidRDefault="001B4D1F" w:rsidP="001B4D1F">
      <w:pPr>
        <w:numPr>
          <w:ilvl w:val="0"/>
          <w:numId w:val="10"/>
        </w:numPr>
        <w:spacing w:line="276" w:lineRule="auto"/>
        <w:rPr>
          <w:rFonts w:ascii="Arial" w:hAnsi="Arial" w:cs="Arial"/>
        </w:rPr>
      </w:pPr>
      <w:r w:rsidRPr="002B445D">
        <w:rPr>
          <w:rFonts w:ascii="Arial" w:hAnsi="Arial" w:cs="Arial"/>
          <w:b/>
          <w:bCs/>
        </w:rPr>
        <w:t>Policy and Regulatory Changes</w:t>
      </w:r>
      <w:r w:rsidRPr="002B445D">
        <w:rPr>
          <w:rFonts w:ascii="Arial" w:hAnsi="Arial" w:cs="Arial"/>
        </w:rPr>
        <w:t xml:space="preserve">: The NHS must constantly adapt to healthcare policy and regulatory changes, creating uncertainties (Health </w:t>
      </w:r>
      <w:r w:rsidR="00B07BCD" w:rsidRPr="002B445D">
        <w:rPr>
          <w:rFonts w:ascii="Arial" w:hAnsi="Arial" w:cs="Arial"/>
        </w:rPr>
        <w:t>and</w:t>
      </w:r>
      <w:r w:rsidRPr="002B445D">
        <w:rPr>
          <w:rFonts w:ascii="Arial" w:hAnsi="Arial" w:cs="Arial"/>
        </w:rPr>
        <w:t xml:space="preserve"> Social Care Act, 2012).</w:t>
      </w:r>
    </w:p>
    <w:p w14:paraId="14A1AB6C" w14:textId="77777777" w:rsidR="001B4D1F" w:rsidRPr="002B445D" w:rsidRDefault="001B4D1F" w:rsidP="001B4D1F">
      <w:pPr>
        <w:spacing w:line="276" w:lineRule="auto"/>
        <w:rPr>
          <w:rFonts w:ascii="Arial" w:hAnsi="Arial" w:cs="Arial"/>
        </w:rPr>
      </w:pPr>
    </w:p>
    <w:p w14:paraId="652EE8F2" w14:textId="71C67CAB" w:rsidR="001B4D1F" w:rsidRPr="002B445D" w:rsidRDefault="001B4D1F" w:rsidP="001B4D1F">
      <w:pPr>
        <w:spacing w:line="276" w:lineRule="auto"/>
        <w:rPr>
          <w:rFonts w:ascii="Arial" w:hAnsi="Arial" w:cs="Arial"/>
        </w:rPr>
      </w:pPr>
      <w:r w:rsidRPr="002B445D">
        <w:rPr>
          <w:rFonts w:ascii="Arial" w:hAnsi="Arial" w:cs="Arial"/>
        </w:rPr>
        <w:t>The internal environment of the National Health Service (NHS) presents a complex interplay of strengths, weaknesses, opportunities, and threats that require critical analysis for effective strategic planning.</w:t>
      </w:r>
    </w:p>
    <w:p w14:paraId="74B5A8E4" w14:textId="66A99338" w:rsidR="001B4D1F" w:rsidRPr="002B445D" w:rsidRDefault="001B4D1F" w:rsidP="001B4D1F">
      <w:pPr>
        <w:spacing w:line="276" w:lineRule="auto"/>
        <w:rPr>
          <w:rFonts w:ascii="Arial" w:hAnsi="Arial" w:cs="Arial"/>
        </w:rPr>
      </w:pPr>
      <w:r w:rsidRPr="002B445D">
        <w:rPr>
          <w:rFonts w:ascii="Arial" w:hAnsi="Arial" w:cs="Arial"/>
        </w:rPr>
        <w:t xml:space="preserve">A notable strength of the NHS is its commitment to universal health coverage. This foundational principle ensures equitable access to healthcare for all citizens, representing a significant achievement in public health. However, this strength is frequently challenged by bureaucratic inefficiencies, as identified by Propper et al. (2020). These inefficiencies can </w:t>
      </w:r>
      <w:r w:rsidRPr="002B445D">
        <w:rPr>
          <w:rFonts w:ascii="Arial" w:hAnsi="Arial" w:cs="Arial"/>
        </w:rPr>
        <w:lastRenderedPageBreak/>
        <w:t>slow down responsiveness and impede the introduction of innovative health solutions, indicating a need for more streamlined administrative processes.</w:t>
      </w:r>
    </w:p>
    <w:p w14:paraId="106FCBEF" w14:textId="27B1F37A" w:rsidR="001B4D1F" w:rsidRPr="002B445D" w:rsidRDefault="001B4D1F" w:rsidP="001B4D1F">
      <w:pPr>
        <w:spacing w:line="276" w:lineRule="auto"/>
        <w:rPr>
          <w:rFonts w:ascii="Arial" w:hAnsi="Arial" w:cs="Arial"/>
        </w:rPr>
      </w:pPr>
      <w:r w:rsidRPr="002B445D">
        <w:rPr>
          <w:rFonts w:ascii="Arial" w:hAnsi="Arial" w:cs="Arial"/>
        </w:rPr>
        <w:t>Concurrently, workforce challenges, particularly staff shortages, have been exacerbated by external factors such as Brexit and the pandemic. These challenges, highlighted by Check (2019) and Baines (2022), underscore the urgent need for sustainable workforce planning. The NHS's dependency on international healthcare workers and the struggle to retain sufficient staff levels point to deeper systemic issues in workforce management.</w:t>
      </w:r>
    </w:p>
    <w:p w14:paraId="158B2BEC" w14:textId="1281C927" w:rsidR="001B4D1F" w:rsidRPr="002B445D" w:rsidRDefault="001B4D1F" w:rsidP="001B4D1F">
      <w:pPr>
        <w:spacing w:line="276" w:lineRule="auto"/>
        <w:rPr>
          <w:rFonts w:ascii="Arial" w:hAnsi="Arial" w:cs="Arial"/>
        </w:rPr>
      </w:pPr>
      <w:r w:rsidRPr="002B445D">
        <w:rPr>
          <w:rFonts w:ascii="Arial" w:hAnsi="Arial" w:cs="Arial"/>
        </w:rPr>
        <w:t>The opportunities presented by digital transformation, as discussed by Wyatt et al. (2020), offer a promising pathway for the NHS. The integration of advanced technologies like Electronic Health Records (EHRs) could significantly enhance patient care and operational efficiency. Nevertheless, this digital shift necessitates careful management to ensure that it does not exacerbate existing health disparities, especially among vulnerable populations.</w:t>
      </w:r>
    </w:p>
    <w:p w14:paraId="5E64FEA5" w14:textId="180E8FAC" w:rsidR="001B4D1F" w:rsidRPr="002B445D" w:rsidRDefault="001B4D1F" w:rsidP="001B4D1F">
      <w:pPr>
        <w:spacing w:line="276" w:lineRule="auto"/>
        <w:rPr>
          <w:rFonts w:ascii="Arial" w:hAnsi="Arial" w:cs="Arial"/>
        </w:rPr>
      </w:pPr>
      <w:r w:rsidRPr="002B445D">
        <w:rPr>
          <w:rFonts w:ascii="Arial" w:hAnsi="Arial" w:cs="Arial"/>
        </w:rPr>
        <w:t>Furthermore, addressing health inequalities represents a dual facet of challenge and opportunity. The NHS's initiatives to reduce disparities, aligned with societal needs, can strengthen its public image and effectiveness in delivering equitable healthcare. However, as the Office for Health Improvement and Disparities (2022) suggests, these initiatives must be strategically managed to ensure resources are distributed fairly and access to care is equitable across different population groups.</w:t>
      </w:r>
    </w:p>
    <w:p w14:paraId="3F65666D" w14:textId="6077C055" w:rsidR="001B4D1F" w:rsidRPr="002B445D" w:rsidRDefault="001B4D1F" w:rsidP="001B4D1F">
      <w:pPr>
        <w:spacing w:line="276" w:lineRule="auto"/>
        <w:rPr>
          <w:rFonts w:ascii="Arial" w:hAnsi="Arial" w:cs="Arial"/>
        </w:rPr>
      </w:pPr>
      <w:r w:rsidRPr="002B445D">
        <w:rPr>
          <w:rFonts w:ascii="Arial" w:hAnsi="Arial" w:cs="Arial"/>
        </w:rPr>
        <w:t>Financial pressures, exacerbated by the COVID-19 pandemic, pose a significant threat to the sustainability of NHS services, as Propper et al. (2020) observe. Balancing the maintenance of high service standards with the constraints of budget management is a delicate task, requiring innovative solutions to deliver cost-effective healthcare without compromising quality.</w:t>
      </w:r>
    </w:p>
    <w:p w14:paraId="301732CC" w14:textId="2A7FD459" w:rsidR="001B4D1F" w:rsidRDefault="001B4D1F" w:rsidP="001B4D1F">
      <w:pPr>
        <w:spacing w:line="276" w:lineRule="auto"/>
        <w:rPr>
          <w:rFonts w:ascii="Arial" w:hAnsi="Arial" w:cs="Arial"/>
        </w:rPr>
      </w:pPr>
      <w:r w:rsidRPr="002B445D">
        <w:rPr>
          <w:rFonts w:ascii="Arial" w:hAnsi="Arial" w:cs="Arial"/>
        </w:rPr>
        <w:t xml:space="preserve">Lastly, the NHS faces the challenge of adapting to ongoing policy and regulatory changes. The Health </w:t>
      </w:r>
      <w:r w:rsidR="00CE5CFB" w:rsidRPr="002B445D">
        <w:rPr>
          <w:rFonts w:ascii="Arial" w:hAnsi="Arial" w:cs="Arial"/>
        </w:rPr>
        <w:t>and</w:t>
      </w:r>
      <w:r w:rsidRPr="002B445D">
        <w:rPr>
          <w:rFonts w:ascii="Arial" w:hAnsi="Arial" w:cs="Arial"/>
        </w:rPr>
        <w:t xml:space="preserve"> Social Care Act (2012) underscores the necessity for the NHS to remain flexible and responsive to these changes, advocating for policies that support its mission and values while ensuring compliance with regulatory requirements.</w:t>
      </w:r>
    </w:p>
    <w:p w14:paraId="1096694A" w14:textId="7E0BC875" w:rsidR="00D12A76" w:rsidRPr="00D12A76" w:rsidRDefault="00D12A76" w:rsidP="001B4D1F">
      <w:pPr>
        <w:spacing w:line="276" w:lineRule="auto"/>
        <w:rPr>
          <w:rFonts w:ascii="Arial" w:hAnsi="Arial" w:cs="Arial"/>
          <w:b/>
          <w:bCs/>
        </w:rPr>
      </w:pPr>
      <w:r w:rsidRPr="00D12A76">
        <w:rPr>
          <w:rFonts w:ascii="Arial" w:hAnsi="Arial" w:cs="Arial"/>
          <w:b/>
          <w:bCs/>
        </w:rPr>
        <w:t>Deciphering Organizational Culture: Its Role in NHS Change Management</w:t>
      </w:r>
    </w:p>
    <w:p w14:paraId="70BB5D97" w14:textId="38310453" w:rsidR="00D12A76" w:rsidRPr="00D12A76" w:rsidRDefault="00D12A76" w:rsidP="00D12A76">
      <w:pPr>
        <w:spacing w:line="276" w:lineRule="auto"/>
        <w:rPr>
          <w:rFonts w:ascii="Arial" w:hAnsi="Arial" w:cs="Arial"/>
        </w:rPr>
      </w:pPr>
      <w:r w:rsidRPr="00D12A76">
        <w:rPr>
          <w:rFonts w:ascii="Arial" w:hAnsi="Arial" w:cs="Arial"/>
        </w:rPr>
        <w:t xml:space="preserve">The NHS's organizational culture encompasses a range of shared ways of thinking, values, and beliefs that justify and sustain its practices. This includes prevailing views on patient needs, autonomy, dignity, and expectations about safety, quality, clinical performance, and service improvement. These cultural elements are deeply ingrained, often formed early in professional </w:t>
      </w:r>
      <w:r w:rsidR="00BB2AA4" w:rsidRPr="00D12A76">
        <w:rPr>
          <w:rFonts w:ascii="Arial" w:hAnsi="Arial" w:cs="Arial"/>
        </w:rPr>
        <w:t>education,</w:t>
      </w:r>
      <w:r w:rsidRPr="00D12A76">
        <w:rPr>
          <w:rFonts w:ascii="Arial" w:hAnsi="Arial" w:cs="Arial"/>
        </w:rPr>
        <w:t xml:space="preserve"> and reinforced through ongoing professional interactions, making them less amenable to modification. As healthcare becomes more global, influences on cultural aspects of care may also include national, ethnic, or religious cultures. (Mannion &amp; Davies, 2018b)</w:t>
      </w:r>
    </w:p>
    <w:p w14:paraId="5F024C3C" w14:textId="77777777" w:rsidR="00D12A76" w:rsidRPr="00D12A76" w:rsidRDefault="00D12A76" w:rsidP="00D12A76">
      <w:pPr>
        <w:spacing w:line="276" w:lineRule="auto"/>
        <w:rPr>
          <w:rFonts w:ascii="Arial" w:hAnsi="Arial" w:cs="Arial"/>
        </w:rPr>
      </w:pPr>
      <w:r w:rsidRPr="00D12A76">
        <w:rPr>
          <w:rFonts w:ascii="Arial" w:hAnsi="Arial" w:cs="Arial"/>
        </w:rPr>
        <w:t>The NHS is characterized by a variety of subcultures, often delineated by professional groupings, each with its own set of assumptions, values, beliefs, and behaviours. These subcultures can either be catalysts for innovation and improvement or defenders of the status quo. The challenge lies in understanding and navigating these subcultural dynamics, which are crucial for any cultural diagnosis and subsequent quality improvement efforts within the organization. (Mannion &amp; Davies, 2018b)</w:t>
      </w:r>
    </w:p>
    <w:p w14:paraId="763386AA" w14:textId="77777777" w:rsidR="00D12A76" w:rsidRPr="00D12A76" w:rsidRDefault="00D12A76" w:rsidP="00D12A76">
      <w:pPr>
        <w:spacing w:line="276" w:lineRule="auto"/>
        <w:rPr>
          <w:rFonts w:ascii="Arial" w:hAnsi="Arial" w:cs="Arial"/>
        </w:rPr>
      </w:pPr>
    </w:p>
    <w:p w14:paraId="03434541" w14:textId="31C2250A" w:rsidR="00D12A76" w:rsidRPr="002B445D" w:rsidRDefault="00D12A76" w:rsidP="00D12A76">
      <w:pPr>
        <w:spacing w:line="276" w:lineRule="auto"/>
        <w:rPr>
          <w:rFonts w:ascii="Arial" w:hAnsi="Arial" w:cs="Arial"/>
        </w:rPr>
      </w:pPr>
      <w:r w:rsidRPr="00D12A76">
        <w:rPr>
          <w:rFonts w:ascii="Arial" w:hAnsi="Arial" w:cs="Arial"/>
        </w:rPr>
        <w:lastRenderedPageBreak/>
        <w:t>Leadership plays a pivotal role in shaping the culture of the NHS. Collaborative, inclusive, and compassionate leadership is essential to address deep-seated cultural issues such as work-related stress, bullying, and discrimination. The quality of care is closely linked to the engagement of staff, with higher staff engagement associated with improved patient experiences and organizational outcomes. However, the NHS workforce faces significant cultural challenges, including high levels of stress and reports of bullying and harassment. These challenges are exacerbated by severe workforce pressures and are reflective of the culture in which staff work. Leadership at all levels is crucial in improving organizational culture. Effective leadership in the NHS is increasingly recognized as needing to shift from traditional hierarchical structures to more distributed models, focusing on empathetic support and collaborative decision-making. (The King's Fund, 2019)</w:t>
      </w:r>
    </w:p>
    <w:p w14:paraId="050495BA" w14:textId="77777777" w:rsidR="001B4D1F" w:rsidRPr="002B445D" w:rsidRDefault="001B4D1F" w:rsidP="001B4D1F">
      <w:pPr>
        <w:spacing w:line="276" w:lineRule="auto"/>
        <w:rPr>
          <w:rFonts w:ascii="Arial" w:hAnsi="Arial" w:cs="Arial"/>
        </w:rPr>
      </w:pPr>
    </w:p>
    <w:p w14:paraId="1BF0BD57" w14:textId="5AD3C2BD" w:rsidR="001B4D1F" w:rsidRPr="002B445D" w:rsidRDefault="001B4D1F" w:rsidP="009058F5">
      <w:pPr>
        <w:pStyle w:val="Heading1"/>
        <w:spacing w:line="276" w:lineRule="auto"/>
        <w:jc w:val="both"/>
        <w:rPr>
          <w:rFonts w:cs="Arial"/>
          <w:b w:val="0"/>
          <w:bCs w:val="0"/>
          <w:color w:val="2F5496" w:themeColor="accent1" w:themeShade="BF"/>
          <w:sz w:val="40"/>
          <w:szCs w:val="40"/>
        </w:rPr>
      </w:pPr>
      <w:bookmarkStart w:id="12" w:name="_Toc157590514"/>
      <w:r w:rsidRPr="002B445D">
        <w:rPr>
          <w:rFonts w:cs="Arial"/>
          <w:b w:val="0"/>
          <w:bCs w:val="0"/>
          <w:color w:val="2F5496" w:themeColor="accent1" w:themeShade="BF"/>
          <w:szCs w:val="28"/>
        </w:rPr>
        <w:t>Linking Theory to Practice</w:t>
      </w:r>
      <w:bookmarkEnd w:id="12"/>
    </w:p>
    <w:p w14:paraId="7D9C71FE" w14:textId="77777777" w:rsidR="001B4D1F" w:rsidRPr="002B445D" w:rsidRDefault="001B4D1F" w:rsidP="001B4D1F">
      <w:pPr>
        <w:spacing w:line="276" w:lineRule="auto"/>
        <w:rPr>
          <w:rFonts w:ascii="Arial" w:hAnsi="Arial" w:cs="Arial"/>
          <w:b/>
          <w:bCs/>
        </w:rPr>
      </w:pPr>
    </w:p>
    <w:p w14:paraId="7D64F90D" w14:textId="77777777" w:rsidR="001B4D1F" w:rsidRPr="002B445D" w:rsidRDefault="001B4D1F" w:rsidP="001B4D1F">
      <w:pPr>
        <w:spacing w:line="276" w:lineRule="auto"/>
        <w:rPr>
          <w:rFonts w:ascii="Arial" w:hAnsi="Arial" w:cs="Arial"/>
        </w:rPr>
      </w:pPr>
      <w:r w:rsidRPr="002B445D">
        <w:rPr>
          <w:rFonts w:ascii="Arial" w:hAnsi="Arial" w:cs="Arial"/>
          <w:b/>
          <w:bCs/>
        </w:rPr>
        <w:t>Theory X and Y in Practice:</w:t>
      </w:r>
      <w:r w:rsidRPr="002B445D">
        <w:rPr>
          <w:rFonts w:ascii="Arial" w:hAnsi="Arial" w:cs="Arial"/>
        </w:rPr>
        <w:t xml:space="preserve"> An example of this is the NHS's implementation of flexible working policies and increased focus on employee well-being. These initiatives align with Theory Y, emphasizing the value of treating staff as self-motivated and responsible. A study by Liden et al. (2014) shows that such empowering approaches can enhance staff commitment and performance.</w:t>
      </w:r>
    </w:p>
    <w:p w14:paraId="25B35233" w14:textId="77777777" w:rsidR="001B4D1F" w:rsidRPr="002B445D" w:rsidRDefault="001B4D1F" w:rsidP="001B4D1F">
      <w:pPr>
        <w:spacing w:line="276" w:lineRule="auto"/>
        <w:rPr>
          <w:rFonts w:ascii="Arial" w:hAnsi="Arial" w:cs="Arial"/>
        </w:rPr>
      </w:pPr>
      <w:r w:rsidRPr="002B445D">
        <w:rPr>
          <w:rFonts w:ascii="Arial" w:hAnsi="Arial" w:cs="Arial"/>
          <w:b/>
          <w:bCs/>
        </w:rPr>
        <w:t>Organizational Culture Theory in Practice:</w:t>
      </w:r>
      <w:r w:rsidRPr="002B445D">
        <w:rPr>
          <w:rFonts w:ascii="Arial" w:hAnsi="Arial" w:cs="Arial"/>
        </w:rPr>
        <w:t xml:space="preserve"> The Francis Report (2013) on the Mid Staffordshire NHS Foundation Trust highlighted how a negative organizational culture could lead to serious failures in patient care. The report recommended cultural transformation, stressing the importance of openness, transparency, and a focus on patient care – core elements of positive organizational culture as proposed by Schein (1992).</w:t>
      </w:r>
    </w:p>
    <w:p w14:paraId="6B652659" w14:textId="77777777" w:rsidR="001B4D1F" w:rsidRPr="002B445D" w:rsidRDefault="001B4D1F" w:rsidP="001B4D1F">
      <w:pPr>
        <w:spacing w:line="276" w:lineRule="auto"/>
        <w:rPr>
          <w:rFonts w:ascii="Arial" w:hAnsi="Arial" w:cs="Arial"/>
        </w:rPr>
      </w:pPr>
      <w:r w:rsidRPr="002B445D">
        <w:rPr>
          <w:rFonts w:ascii="Arial" w:hAnsi="Arial" w:cs="Arial"/>
          <w:b/>
          <w:bCs/>
        </w:rPr>
        <w:t>Transformational Leadership in Practice:</w:t>
      </w:r>
      <w:r w:rsidRPr="002B445D">
        <w:rPr>
          <w:rFonts w:ascii="Arial" w:hAnsi="Arial" w:cs="Arial"/>
        </w:rPr>
        <w:t xml:space="preserve"> NHS leadership programs, such as the NHS Leadership Academy's programs, focus on developing transformational leaders who can inspire and motivate their teams. Research by Bass (1985) and others have shown that such leadership styles can lead to improved patient outcomes and staff satisfaction.</w:t>
      </w:r>
    </w:p>
    <w:p w14:paraId="227D0A89" w14:textId="77777777" w:rsidR="001B4D1F" w:rsidRPr="002B445D" w:rsidRDefault="001B4D1F" w:rsidP="001B4D1F">
      <w:pPr>
        <w:spacing w:line="276" w:lineRule="auto"/>
        <w:rPr>
          <w:rFonts w:ascii="Arial" w:hAnsi="Arial" w:cs="Arial"/>
        </w:rPr>
      </w:pPr>
      <w:r w:rsidRPr="002B445D">
        <w:rPr>
          <w:rFonts w:ascii="Arial" w:hAnsi="Arial" w:cs="Arial"/>
          <w:b/>
          <w:bCs/>
        </w:rPr>
        <w:t>Change Management in Practice:</w:t>
      </w:r>
      <w:r w:rsidRPr="002B445D">
        <w:rPr>
          <w:rFonts w:ascii="Arial" w:hAnsi="Arial" w:cs="Arial"/>
        </w:rPr>
        <w:t xml:space="preserve"> The NHS has utilized Kotter’s (1996) 8-Step Process for Leading Change in various initiatives, including the implementation of new healthcare technologies and restructuring of services. This approach emphasizes the importance of creating a sense of urgency, forming powerful coalitions, and generating short-term wins.</w:t>
      </w:r>
    </w:p>
    <w:p w14:paraId="3209FA52" w14:textId="77777777" w:rsidR="001B4D1F" w:rsidRPr="002B445D" w:rsidRDefault="001B4D1F" w:rsidP="001B4D1F">
      <w:pPr>
        <w:spacing w:line="276" w:lineRule="auto"/>
        <w:rPr>
          <w:rFonts w:ascii="Arial" w:hAnsi="Arial" w:cs="Arial"/>
        </w:rPr>
      </w:pPr>
      <w:r w:rsidRPr="002B445D">
        <w:rPr>
          <w:rFonts w:ascii="Arial" w:hAnsi="Arial" w:cs="Arial"/>
          <w:b/>
          <w:bCs/>
        </w:rPr>
        <w:t>Total Quality Management in Practice:</w:t>
      </w:r>
      <w:r w:rsidRPr="002B445D">
        <w:rPr>
          <w:rFonts w:ascii="Arial" w:hAnsi="Arial" w:cs="Arial"/>
        </w:rPr>
        <w:t xml:space="preserve"> TQM principles have been applied in various NHS initiatives aimed at improving patient care quality and operational efficiency. For instance, the use of continuous quality improvement tools in NHS hospitals has been linked to enhanced patient satisfaction and reduced errors (Deming, 1986).</w:t>
      </w:r>
    </w:p>
    <w:p w14:paraId="43D4D961" w14:textId="77777777" w:rsidR="001B4D1F" w:rsidRPr="002B445D" w:rsidRDefault="001B4D1F" w:rsidP="001B4D1F">
      <w:pPr>
        <w:spacing w:line="276" w:lineRule="auto"/>
        <w:rPr>
          <w:rFonts w:ascii="Arial" w:hAnsi="Arial" w:cs="Arial"/>
        </w:rPr>
      </w:pPr>
      <w:r w:rsidRPr="002B445D">
        <w:rPr>
          <w:rFonts w:ascii="Arial" w:hAnsi="Arial" w:cs="Arial"/>
          <w:b/>
          <w:bCs/>
        </w:rPr>
        <w:t>Lean Management in Practice:</w:t>
      </w:r>
      <w:r w:rsidRPr="002B445D">
        <w:rPr>
          <w:rFonts w:ascii="Arial" w:hAnsi="Arial" w:cs="Arial"/>
        </w:rPr>
        <w:t xml:space="preserve"> The NHS has adopted lean management principles in efforts to reduce waste and improve efficiency in service delivery. Womack and Jones (1996) provide insights into how lean principles can be adapted in healthcare settings, though there's recognition that careful implementation is necessary to ensure patient care remains paramount.</w:t>
      </w:r>
    </w:p>
    <w:p w14:paraId="77E15AD8" w14:textId="77777777" w:rsidR="001B4D1F" w:rsidRPr="002B445D" w:rsidRDefault="001B4D1F" w:rsidP="00293B0B">
      <w:pPr>
        <w:pStyle w:val="Heading1"/>
        <w:spacing w:line="276" w:lineRule="auto"/>
        <w:jc w:val="both"/>
        <w:rPr>
          <w:rFonts w:cs="Arial"/>
          <w:b w:val="0"/>
          <w:bCs w:val="0"/>
          <w:color w:val="2E74B5" w:themeColor="accent5" w:themeShade="BF"/>
          <w:sz w:val="32"/>
          <w:szCs w:val="32"/>
        </w:rPr>
      </w:pPr>
    </w:p>
    <w:p w14:paraId="1F490193" w14:textId="253349FD" w:rsidR="00332B3C" w:rsidRPr="002B445D" w:rsidRDefault="00387786" w:rsidP="00FB5328">
      <w:pPr>
        <w:pStyle w:val="Heading1"/>
        <w:spacing w:line="360" w:lineRule="auto"/>
        <w:jc w:val="both"/>
        <w:rPr>
          <w:rFonts w:cs="Arial"/>
          <w:b w:val="0"/>
          <w:bCs w:val="0"/>
          <w:color w:val="2F5496" w:themeColor="accent1" w:themeShade="BF"/>
          <w:sz w:val="32"/>
          <w:szCs w:val="32"/>
        </w:rPr>
      </w:pPr>
      <w:bookmarkStart w:id="13" w:name="_Toc157590515"/>
      <w:r w:rsidRPr="002B445D">
        <w:rPr>
          <w:rFonts w:cs="Arial"/>
          <w:b w:val="0"/>
          <w:bCs w:val="0"/>
          <w:color w:val="2F5496" w:themeColor="accent1" w:themeShade="BF"/>
          <w:sz w:val="32"/>
          <w:szCs w:val="32"/>
        </w:rPr>
        <w:t>2.</w:t>
      </w:r>
      <w:r w:rsidR="000C1B9E" w:rsidRPr="002B445D">
        <w:rPr>
          <w:rFonts w:cs="Arial"/>
          <w:b w:val="0"/>
          <w:bCs w:val="0"/>
          <w:color w:val="2F5496" w:themeColor="accent1" w:themeShade="BF"/>
        </w:rPr>
        <w:t xml:space="preserve"> </w:t>
      </w:r>
      <w:r w:rsidR="000C1B9E" w:rsidRPr="002B445D">
        <w:rPr>
          <w:rFonts w:cs="Arial"/>
          <w:b w:val="0"/>
          <w:bCs w:val="0"/>
          <w:color w:val="2F5496" w:themeColor="accent1" w:themeShade="BF"/>
          <w:sz w:val="32"/>
          <w:szCs w:val="32"/>
        </w:rPr>
        <w:t>Evaluate how organisational stakeholders can be efficiently led through complex workplace change</w:t>
      </w:r>
      <w:bookmarkEnd w:id="13"/>
      <w:r w:rsidR="000C1B9E" w:rsidRPr="002B445D">
        <w:rPr>
          <w:rFonts w:cs="Arial"/>
          <w:b w:val="0"/>
          <w:bCs w:val="0"/>
          <w:color w:val="2F5496" w:themeColor="accent1" w:themeShade="BF"/>
          <w:sz w:val="32"/>
          <w:szCs w:val="32"/>
        </w:rPr>
        <w:t xml:space="preserve">   </w:t>
      </w:r>
    </w:p>
    <w:p w14:paraId="35DA5A5D" w14:textId="391A277C" w:rsidR="00CE5CFB" w:rsidRPr="002B445D" w:rsidRDefault="00CE5CFB" w:rsidP="009058F5">
      <w:pPr>
        <w:pStyle w:val="Heading1"/>
        <w:spacing w:line="276" w:lineRule="auto"/>
        <w:jc w:val="both"/>
        <w:rPr>
          <w:rFonts w:cs="Arial"/>
          <w:b w:val="0"/>
          <w:bCs w:val="0"/>
          <w:color w:val="2F5496" w:themeColor="accent1" w:themeShade="BF"/>
          <w:sz w:val="44"/>
          <w:szCs w:val="44"/>
        </w:rPr>
      </w:pPr>
      <w:bookmarkStart w:id="14" w:name="_Toc157590516"/>
      <w:r w:rsidRPr="002B445D">
        <w:rPr>
          <w:rFonts w:cs="Arial"/>
          <w:b w:val="0"/>
          <w:bCs w:val="0"/>
          <w:color w:val="2F5496" w:themeColor="accent1" w:themeShade="BF"/>
          <w:sz w:val="32"/>
          <w:szCs w:val="32"/>
        </w:rPr>
        <w:t>2.1: Stakeholder Analysis of the NHS</w:t>
      </w:r>
      <w:bookmarkEnd w:id="14"/>
    </w:p>
    <w:p w14:paraId="14C97D6D" w14:textId="77777777" w:rsidR="00CE5CFB" w:rsidRPr="002B445D" w:rsidRDefault="00CE5CFB" w:rsidP="00CE5CFB">
      <w:pPr>
        <w:spacing w:line="276" w:lineRule="auto"/>
        <w:rPr>
          <w:rFonts w:ascii="Arial" w:hAnsi="Arial" w:cs="Arial"/>
          <w:b/>
          <w:bCs/>
        </w:rPr>
      </w:pPr>
      <w:r w:rsidRPr="002B445D">
        <w:rPr>
          <w:rFonts w:ascii="Arial" w:hAnsi="Arial" w:cs="Arial"/>
          <w:b/>
          <w:bCs/>
        </w:rPr>
        <w:t>Identification and Influence of Key Stakeholders</w:t>
      </w:r>
    </w:p>
    <w:p w14:paraId="10DD77B2" w14:textId="7CEC014C" w:rsidR="00CE5CFB" w:rsidRPr="002B445D" w:rsidRDefault="00CE5CFB" w:rsidP="00CE5CFB">
      <w:pPr>
        <w:spacing w:line="276" w:lineRule="auto"/>
        <w:rPr>
          <w:rFonts w:ascii="Arial" w:hAnsi="Arial" w:cs="Arial"/>
        </w:rPr>
      </w:pPr>
      <w:r w:rsidRPr="002B445D">
        <w:rPr>
          <w:rFonts w:ascii="Arial" w:hAnsi="Arial" w:cs="Arial"/>
        </w:rPr>
        <w:t xml:space="preserve">The NHS is influenced by a diverse array of stakeholders, each with varying priorities. Patients, healthcare professionals, government bodies, and the public constitute the primary stakeholders. Their influences are often conflicting; for instance, patients and healthcare professionals advocate for quality care and sufficient staffing, while government bodies may impose budgetary constraints due to economic pressures (Propper, Stoye, &amp; </w:t>
      </w:r>
      <w:proofErr w:type="spellStart"/>
      <w:r w:rsidRPr="002B445D">
        <w:rPr>
          <w:rFonts w:ascii="Arial" w:hAnsi="Arial" w:cs="Arial"/>
        </w:rPr>
        <w:t>Zaranko</w:t>
      </w:r>
      <w:proofErr w:type="spellEnd"/>
      <w:r w:rsidRPr="002B445D">
        <w:rPr>
          <w:rFonts w:ascii="Arial" w:hAnsi="Arial" w:cs="Arial"/>
        </w:rPr>
        <w:t>, 2020). This creates a dichotomy where the pursuit of operational efficiency may come at the cost of patient care quality, challenging the NHS's core values (Mannion &amp; Davies, 2018</w:t>
      </w:r>
      <w:r w:rsidR="000027E8">
        <w:rPr>
          <w:rFonts w:ascii="Arial" w:hAnsi="Arial" w:cs="Arial"/>
        </w:rPr>
        <w:t>a</w:t>
      </w:r>
      <w:r w:rsidRPr="002B445D">
        <w:rPr>
          <w:rFonts w:ascii="Arial" w:hAnsi="Arial" w:cs="Arial"/>
        </w:rPr>
        <w:t>).</w:t>
      </w:r>
    </w:p>
    <w:p w14:paraId="1B45AAE1" w14:textId="77777777" w:rsidR="00CE5CFB" w:rsidRPr="002B445D" w:rsidRDefault="00CE5CFB" w:rsidP="009058F5">
      <w:pPr>
        <w:spacing w:line="276" w:lineRule="auto"/>
        <w:rPr>
          <w:rFonts w:ascii="Arial" w:hAnsi="Arial" w:cs="Arial"/>
        </w:rPr>
      </w:pPr>
      <w:r w:rsidRPr="002B445D">
        <w:rPr>
          <w:rFonts w:ascii="Arial" w:hAnsi="Arial" w:cs="Arial"/>
          <w:b/>
          <w:bCs/>
        </w:rPr>
        <w:t>Patients</w:t>
      </w:r>
      <w:r w:rsidRPr="002B445D">
        <w:rPr>
          <w:rFonts w:ascii="Arial" w:hAnsi="Arial" w:cs="Arial"/>
        </w:rPr>
        <w:t>: As primary recipients of healthcare services, patients have a significant impact on NHS operations. Their needs and expectations drive the NHS's service quality standards. However, the increasing demand for personalized care amidst resource constraints poses a significant challenge, often leading to discrepancies in service delivery and patient satisfaction (Charles et al., 2019).</w:t>
      </w:r>
    </w:p>
    <w:p w14:paraId="5AB92A97" w14:textId="77777777" w:rsidR="00CE5CFB" w:rsidRPr="002B445D" w:rsidRDefault="00CE5CFB" w:rsidP="009058F5">
      <w:pPr>
        <w:spacing w:line="276" w:lineRule="auto"/>
        <w:rPr>
          <w:rFonts w:ascii="Arial" w:hAnsi="Arial" w:cs="Arial"/>
        </w:rPr>
      </w:pPr>
      <w:r w:rsidRPr="002B445D">
        <w:rPr>
          <w:rFonts w:ascii="Arial" w:hAnsi="Arial" w:cs="Arial"/>
          <w:b/>
          <w:bCs/>
        </w:rPr>
        <w:t>Healthcare Professionals</w:t>
      </w:r>
      <w:r w:rsidRPr="002B445D">
        <w:rPr>
          <w:rFonts w:ascii="Arial" w:hAnsi="Arial" w:cs="Arial"/>
        </w:rPr>
        <w:t>: This group includes doctors, nurses, and allied health professionals. They are crucial for the delivery of healthcare services but face challenges like work-related stress and understaffing. The case of staff shortages highlighted in a BBC News report (Check B. R., 2019) exemplifies how these challenges can adversely affect service delivery and staff morale.</w:t>
      </w:r>
    </w:p>
    <w:p w14:paraId="0CA3CD2F" w14:textId="77777777" w:rsidR="00CE5CFB" w:rsidRPr="002B445D" w:rsidRDefault="00CE5CFB" w:rsidP="009058F5">
      <w:pPr>
        <w:spacing w:line="276" w:lineRule="auto"/>
        <w:rPr>
          <w:rFonts w:ascii="Arial" w:hAnsi="Arial" w:cs="Arial"/>
        </w:rPr>
      </w:pPr>
      <w:r w:rsidRPr="002B445D">
        <w:rPr>
          <w:rFonts w:ascii="Arial" w:hAnsi="Arial" w:cs="Arial"/>
          <w:b/>
          <w:bCs/>
        </w:rPr>
        <w:t>Government Entities</w:t>
      </w:r>
      <w:r w:rsidRPr="002B445D">
        <w:rPr>
          <w:rFonts w:ascii="Arial" w:hAnsi="Arial" w:cs="Arial"/>
        </w:rPr>
        <w:t>: Government bodies exert considerable influence over the NHS through funding decisions, policy-making, and regulatory frameworks. The NHS’s dependency on government funding and policy directives makes it susceptible to political changes and economic fluctuations, as seen in the impact of austerity measures on NHS funding (Robertson, 2016).</w:t>
      </w:r>
    </w:p>
    <w:p w14:paraId="03032DE3" w14:textId="77777777" w:rsidR="00CE5CFB" w:rsidRPr="002B445D" w:rsidRDefault="00CE5CFB" w:rsidP="009058F5">
      <w:pPr>
        <w:spacing w:line="276" w:lineRule="auto"/>
        <w:rPr>
          <w:rFonts w:ascii="Arial" w:hAnsi="Arial" w:cs="Arial"/>
        </w:rPr>
      </w:pPr>
      <w:r w:rsidRPr="002B445D">
        <w:rPr>
          <w:rFonts w:ascii="Arial" w:hAnsi="Arial" w:cs="Arial"/>
          <w:b/>
          <w:bCs/>
        </w:rPr>
        <w:t>General Public and Media</w:t>
      </w:r>
      <w:r w:rsidRPr="002B445D">
        <w:rPr>
          <w:rFonts w:ascii="Arial" w:hAnsi="Arial" w:cs="Arial"/>
        </w:rPr>
        <w:t xml:space="preserve">: Public perception and media coverage play a significant role in shaping the NHS’s image and priorities. Public scrutiny, as seen in the response to the COVID-19 pandemic, can pressure the NHS to adapt its strategies and communication approaches (Propper, Stoye, &amp; </w:t>
      </w:r>
      <w:proofErr w:type="spellStart"/>
      <w:r w:rsidRPr="002B445D">
        <w:rPr>
          <w:rFonts w:ascii="Arial" w:hAnsi="Arial" w:cs="Arial"/>
        </w:rPr>
        <w:t>Zaranko</w:t>
      </w:r>
      <w:proofErr w:type="spellEnd"/>
      <w:r w:rsidRPr="002B445D">
        <w:rPr>
          <w:rFonts w:ascii="Arial" w:hAnsi="Arial" w:cs="Arial"/>
        </w:rPr>
        <w:t>, 2020).</w:t>
      </w:r>
    </w:p>
    <w:p w14:paraId="2C041E94" w14:textId="77777777" w:rsidR="00CE5CFB" w:rsidRPr="002B445D" w:rsidRDefault="00CE5CFB" w:rsidP="009058F5">
      <w:pPr>
        <w:spacing w:line="276" w:lineRule="auto"/>
        <w:rPr>
          <w:rFonts w:ascii="Arial" w:hAnsi="Arial" w:cs="Arial"/>
        </w:rPr>
      </w:pPr>
      <w:r w:rsidRPr="002B445D">
        <w:rPr>
          <w:rFonts w:ascii="Arial" w:hAnsi="Arial" w:cs="Arial"/>
          <w:b/>
          <w:bCs/>
        </w:rPr>
        <w:t>Private Sector Partners</w:t>
      </w:r>
      <w:r w:rsidRPr="002B445D">
        <w:rPr>
          <w:rFonts w:ascii="Arial" w:hAnsi="Arial" w:cs="Arial"/>
        </w:rPr>
        <w:t xml:space="preserve">: Collaborations with private entities for service delivery and technological advancements introduce both opportunities and complexities. For instance, the integration of digital health technologies from private partners has been both a boon and a source of operational challenges for the NHS (Price, Green, &amp; </w:t>
      </w:r>
      <w:proofErr w:type="spellStart"/>
      <w:r w:rsidRPr="002B445D">
        <w:rPr>
          <w:rFonts w:ascii="Arial" w:hAnsi="Arial" w:cs="Arial"/>
        </w:rPr>
        <w:t>Suhomlinova</w:t>
      </w:r>
      <w:proofErr w:type="spellEnd"/>
      <w:r w:rsidRPr="002B445D">
        <w:rPr>
          <w:rFonts w:ascii="Arial" w:hAnsi="Arial" w:cs="Arial"/>
        </w:rPr>
        <w:t>, 2019).</w:t>
      </w:r>
    </w:p>
    <w:p w14:paraId="24662634" w14:textId="17312AF9" w:rsidR="00CE5CFB" w:rsidRPr="002B445D" w:rsidRDefault="00CE5CFB" w:rsidP="00CE5CFB">
      <w:pPr>
        <w:spacing w:line="276" w:lineRule="auto"/>
        <w:rPr>
          <w:rFonts w:ascii="Arial" w:hAnsi="Arial" w:cs="Arial"/>
        </w:rPr>
      </w:pPr>
      <w:r w:rsidRPr="002B445D">
        <w:rPr>
          <w:rFonts w:ascii="Arial" w:hAnsi="Arial" w:cs="Arial"/>
          <w:b/>
          <w:bCs/>
        </w:rPr>
        <w:t>Regulatory Bodies</w:t>
      </w:r>
      <w:r w:rsidRPr="002B445D">
        <w:rPr>
          <w:rFonts w:ascii="Arial" w:hAnsi="Arial" w:cs="Arial"/>
        </w:rPr>
        <w:t xml:space="preserve">: Organizations such as the Care Quality Commission (CQC) play a critical role in maintaining service standards in the NHS. Their evaluations and </w:t>
      </w:r>
      <w:r w:rsidRPr="002B445D">
        <w:rPr>
          <w:rFonts w:ascii="Arial" w:hAnsi="Arial" w:cs="Arial"/>
        </w:rPr>
        <w:lastRenderedPageBreak/>
        <w:t>recommendations directly impact operational practices and healthcare delivery within the NHS (CQC reports).</w:t>
      </w:r>
    </w:p>
    <w:p w14:paraId="7DD45581" w14:textId="77777777" w:rsidR="00CE5CFB" w:rsidRPr="002B445D" w:rsidRDefault="00CE5CFB" w:rsidP="00CE5CFB">
      <w:pPr>
        <w:spacing w:line="276" w:lineRule="auto"/>
        <w:rPr>
          <w:rFonts w:ascii="Arial" w:hAnsi="Arial" w:cs="Arial"/>
          <w:b/>
          <w:bCs/>
        </w:rPr>
      </w:pPr>
      <w:r w:rsidRPr="002B445D">
        <w:rPr>
          <w:rFonts w:ascii="Arial" w:hAnsi="Arial" w:cs="Arial"/>
          <w:b/>
          <w:bCs/>
        </w:rPr>
        <w:t>Critical Analysis of Stakeholder Interests</w:t>
      </w:r>
    </w:p>
    <w:p w14:paraId="55E1340B" w14:textId="77777777" w:rsidR="00CE5CFB" w:rsidRPr="002B445D" w:rsidRDefault="00CE5CFB" w:rsidP="00CE5CFB">
      <w:pPr>
        <w:spacing w:line="276" w:lineRule="auto"/>
        <w:rPr>
          <w:rFonts w:ascii="Arial" w:hAnsi="Arial" w:cs="Arial"/>
        </w:rPr>
      </w:pPr>
      <w:r w:rsidRPr="002B445D">
        <w:rPr>
          <w:rFonts w:ascii="Arial" w:hAnsi="Arial" w:cs="Arial"/>
        </w:rPr>
        <w:t>Patients demand high-quality, accessible healthcare, whereas healthcare professionals seek supportive work environments and adequate resources. Government stakeholders, on the other hand, focus on cost-efficiency and policy compliance. The NHS often struggles to balance these interests, leading to operational challenges, such as staff burnout and patient dissatisfaction (Robertson, 2016). Furthermore, public expectations for transparency and accountability in healthcare delivery add another layer of complexity to the NHS's operational dynamics (Bush, 2019).</w:t>
      </w:r>
    </w:p>
    <w:p w14:paraId="78C71C74" w14:textId="0901BAA0" w:rsidR="00CE5CFB" w:rsidRPr="002B445D" w:rsidRDefault="00CE5CFB" w:rsidP="009058F5">
      <w:pPr>
        <w:pStyle w:val="Heading1"/>
        <w:spacing w:line="276" w:lineRule="auto"/>
        <w:jc w:val="both"/>
        <w:rPr>
          <w:rFonts w:cs="Arial"/>
          <w:b w:val="0"/>
          <w:bCs w:val="0"/>
          <w:color w:val="2F5496" w:themeColor="accent1" w:themeShade="BF"/>
          <w:sz w:val="44"/>
          <w:szCs w:val="44"/>
        </w:rPr>
      </w:pPr>
      <w:bookmarkStart w:id="15" w:name="_Toc157590517"/>
      <w:r w:rsidRPr="002B445D">
        <w:rPr>
          <w:rFonts w:cs="Arial"/>
          <w:b w:val="0"/>
          <w:bCs w:val="0"/>
          <w:color w:val="2F5496" w:themeColor="accent1" w:themeShade="BF"/>
          <w:sz w:val="32"/>
          <w:szCs w:val="32"/>
        </w:rPr>
        <w:t>Section 2.2: Evaluation of a Specific Change Initiative in the NHS</w:t>
      </w:r>
      <w:bookmarkEnd w:id="15"/>
    </w:p>
    <w:p w14:paraId="099B929E" w14:textId="77777777" w:rsidR="00CE5CFB" w:rsidRPr="002B445D" w:rsidRDefault="00CE5CFB" w:rsidP="00CE5CFB">
      <w:pPr>
        <w:spacing w:line="276" w:lineRule="auto"/>
        <w:rPr>
          <w:rFonts w:ascii="Arial" w:hAnsi="Arial" w:cs="Arial"/>
          <w:b/>
          <w:bCs/>
        </w:rPr>
      </w:pPr>
      <w:r w:rsidRPr="002B445D">
        <w:rPr>
          <w:rFonts w:ascii="Arial" w:hAnsi="Arial" w:cs="Arial"/>
          <w:b/>
          <w:bCs/>
        </w:rPr>
        <w:t>Introduction to the Change Initiative</w:t>
      </w:r>
    </w:p>
    <w:p w14:paraId="30547045" w14:textId="77777777" w:rsidR="00CE5CFB" w:rsidRPr="002B445D" w:rsidRDefault="00CE5CFB" w:rsidP="00CE5CFB">
      <w:pPr>
        <w:spacing w:line="276" w:lineRule="auto"/>
        <w:rPr>
          <w:rFonts w:ascii="Arial" w:hAnsi="Arial" w:cs="Arial"/>
        </w:rPr>
      </w:pPr>
      <w:r w:rsidRPr="002B445D">
        <w:rPr>
          <w:rFonts w:ascii="Arial" w:hAnsi="Arial" w:cs="Arial"/>
        </w:rPr>
        <w:t>The NHS Long Term Workforce Plan (NHS England, 2023) exemplifies the complexities of implementing organizational change within the NHS. This initiative aims to address critical workforce challenges, including staff shortages and skill development.</w:t>
      </w:r>
    </w:p>
    <w:p w14:paraId="3263DBBD" w14:textId="77777777" w:rsidR="00CE5CFB" w:rsidRPr="002B445D" w:rsidRDefault="00CE5CFB" w:rsidP="00CE5CFB">
      <w:pPr>
        <w:spacing w:line="276" w:lineRule="auto"/>
        <w:rPr>
          <w:rFonts w:ascii="Arial" w:hAnsi="Arial" w:cs="Arial"/>
          <w:b/>
          <w:bCs/>
        </w:rPr>
      </w:pPr>
      <w:r w:rsidRPr="002B445D">
        <w:rPr>
          <w:rFonts w:ascii="Arial" w:hAnsi="Arial" w:cs="Arial"/>
          <w:b/>
          <w:bCs/>
        </w:rPr>
        <w:t>Application and Critique of Change Management Models</w:t>
      </w:r>
    </w:p>
    <w:p w14:paraId="3BF19EE1" w14:textId="77777777" w:rsidR="00CE5CFB" w:rsidRPr="002B445D" w:rsidRDefault="00CE5CFB" w:rsidP="00CE5CFB">
      <w:pPr>
        <w:spacing w:line="276" w:lineRule="auto"/>
        <w:rPr>
          <w:rFonts w:ascii="Arial" w:hAnsi="Arial" w:cs="Arial"/>
        </w:rPr>
      </w:pPr>
      <w:r w:rsidRPr="002B445D">
        <w:rPr>
          <w:rFonts w:ascii="Arial" w:hAnsi="Arial" w:cs="Arial"/>
        </w:rPr>
        <w:t>While Kotter’s 8-Step Change Model offers a systematic framework, its applicability in the fluid and complex environment of the NHS is debatable. The model's linear progression may not align with the iterative and often unpredictable nature of change within healthcare systems (Hayes, 2018). Moreover, Kotter's model has been criticized for its top-down approach, which may not adequately address grassroots-level challenges and employee resistance in the NHS (Cummings &amp; Worley, 2014).</w:t>
      </w:r>
    </w:p>
    <w:p w14:paraId="3F68E093" w14:textId="77777777" w:rsidR="00CE5CFB" w:rsidRPr="002B445D" w:rsidRDefault="00CE5CFB" w:rsidP="00CE5CFB">
      <w:pPr>
        <w:spacing w:line="276" w:lineRule="auto"/>
        <w:rPr>
          <w:rFonts w:ascii="Arial" w:hAnsi="Arial" w:cs="Arial"/>
          <w:b/>
          <w:bCs/>
        </w:rPr>
      </w:pPr>
      <w:r w:rsidRPr="002B445D">
        <w:rPr>
          <w:rFonts w:ascii="Arial" w:hAnsi="Arial" w:cs="Arial"/>
          <w:b/>
          <w:bCs/>
        </w:rPr>
        <w:t>Evaluation of Effectiveness and Relevance</w:t>
      </w:r>
    </w:p>
    <w:p w14:paraId="357C4224" w14:textId="77777777" w:rsidR="00CE5CFB" w:rsidRPr="002B445D" w:rsidRDefault="00CE5CFB" w:rsidP="00CE5CFB">
      <w:pPr>
        <w:spacing w:line="276" w:lineRule="auto"/>
        <w:rPr>
          <w:rFonts w:ascii="Arial" w:hAnsi="Arial" w:cs="Arial"/>
        </w:rPr>
      </w:pPr>
      <w:r w:rsidRPr="002B445D">
        <w:rPr>
          <w:rFonts w:ascii="Arial" w:hAnsi="Arial" w:cs="Arial"/>
        </w:rPr>
        <w:t>Applying Kotter’s model to the NHS workforce plan reveals a disconnection between theory and practice. While the initial steps of establishing urgency and forming a guiding coalition may be evident, the later stages, such as generating short-term wins and anchoring new approaches, are more challenging to discern in the NHS context. This discrepancy raises questions about the model's relevance in addressing the unique challenges of public healthcare systems, where changes often span across multiple political and funding cycles (Edmondson, 1999).</w:t>
      </w:r>
    </w:p>
    <w:p w14:paraId="7B0237A4" w14:textId="77777777" w:rsidR="00CE5CFB" w:rsidRPr="002B445D" w:rsidRDefault="00CE5CFB" w:rsidP="00CE5CFB">
      <w:pPr>
        <w:spacing w:line="276" w:lineRule="auto"/>
        <w:rPr>
          <w:rFonts w:ascii="Arial" w:hAnsi="Arial" w:cs="Arial"/>
          <w:b/>
          <w:bCs/>
        </w:rPr>
      </w:pPr>
      <w:r w:rsidRPr="002B445D">
        <w:rPr>
          <w:rFonts w:ascii="Arial" w:hAnsi="Arial" w:cs="Arial"/>
          <w:b/>
          <w:bCs/>
        </w:rPr>
        <w:t>Emotional and Human Aspects</w:t>
      </w:r>
    </w:p>
    <w:p w14:paraId="1F1D833E" w14:textId="77777777" w:rsidR="00CE5CFB" w:rsidRPr="002B445D" w:rsidRDefault="00CE5CFB" w:rsidP="00CE5CFB">
      <w:pPr>
        <w:spacing w:line="276" w:lineRule="auto"/>
        <w:rPr>
          <w:rFonts w:ascii="Arial" w:hAnsi="Arial" w:cs="Arial"/>
        </w:rPr>
      </w:pPr>
      <w:r w:rsidRPr="002B445D">
        <w:rPr>
          <w:rFonts w:ascii="Arial" w:hAnsi="Arial" w:cs="Arial"/>
        </w:rPr>
        <w:t>The implementation of the workforce plan also necessitates a focus on the emotional and human aspects of change. Emotional intelligence theories suggest that managing staff emotions and expectations is crucial for successful change (Goleman, 2021). However, the NHS has faced criticism for its often-mechanistic approach to change, which overlooks the emotional impact on staff, leading to resistance and lower morale (</w:t>
      </w:r>
      <w:proofErr w:type="spellStart"/>
      <w:r w:rsidRPr="002B445D">
        <w:rPr>
          <w:rFonts w:ascii="Arial" w:hAnsi="Arial" w:cs="Arial"/>
        </w:rPr>
        <w:t>Karanikolos</w:t>
      </w:r>
      <w:proofErr w:type="spellEnd"/>
      <w:r w:rsidRPr="002B445D">
        <w:rPr>
          <w:rFonts w:ascii="Arial" w:hAnsi="Arial" w:cs="Arial"/>
        </w:rPr>
        <w:t xml:space="preserve"> et al., 2013). In the NHS, changes often evoke emotional responses among staff, including fears related to job security, increased workload, and alterations to established routines. These emotional responses can significantly hinder the implementation of new initiatives. Integrating psychological or behavioural theories that focus on stress management, job satisfaction, and </w:t>
      </w:r>
      <w:r w:rsidRPr="002B445D">
        <w:rPr>
          <w:rFonts w:ascii="Arial" w:hAnsi="Arial" w:cs="Arial"/>
        </w:rPr>
        <w:lastRenderedPageBreak/>
        <w:t>organizational psychology could provide deeper insights into managing these emotional aspects effectively.</w:t>
      </w:r>
    </w:p>
    <w:p w14:paraId="0A83702D" w14:textId="4727B529" w:rsidR="00CE5CFB" w:rsidRPr="002B445D" w:rsidRDefault="00CE5CFB" w:rsidP="009058F5">
      <w:pPr>
        <w:pStyle w:val="Heading1"/>
        <w:spacing w:line="276" w:lineRule="auto"/>
        <w:jc w:val="both"/>
        <w:rPr>
          <w:rFonts w:cs="Arial"/>
          <w:b w:val="0"/>
          <w:bCs w:val="0"/>
          <w:color w:val="2F5496" w:themeColor="accent1" w:themeShade="BF"/>
          <w:sz w:val="44"/>
          <w:szCs w:val="44"/>
        </w:rPr>
      </w:pPr>
      <w:bookmarkStart w:id="16" w:name="_Toc157590518"/>
      <w:r w:rsidRPr="002B445D">
        <w:rPr>
          <w:rFonts w:cs="Arial"/>
          <w:b w:val="0"/>
          <w:bCs w:val="0"/>
          <w:color w:val="2F5496" w:themeColor="accent1" w:themeShade="BF"/>
          <w:sz w:val="32"/>
          <w:szCs w:val="32"/>
        </w:rPr>
        <w:t>Critical Evaluation of the NHS Long Term Workforce Plan</w:t>
      </w:r>
      <w:bookmarkEnd w:id="16"/>
    </w:p>
    <w:p w14:paraId="6F73195B" w14:textId="77777777" w:rsidR="00CE5CFB" w:rsidRPr="002B445D" w:rsidRDefault="00CE5CFB" w:rsidP="00CE5CFB">
      <w:pPr>
        <w:spacing w:line="276" w:lineRule="auto"/>
        <w:rPr>
          <w:rFonts w:ascii="Arial" w:hAnsi="Arial" w:cs="Arial"/>
          <w:b/>
          <w:bCs/>
        </w:rPr>
      </w:pPr>
      <w:r w:rsidRPr="002B445D">
        <w:rPr>
          <w:rFonts w:ascii="Arial" w:hAnsi="Arial" w:cs="Arial"/>
          <w:b/>
          <w:bCs/>
        </w:rPr>
        <w:t>Introduction to the Change Initiative</w:t>
      </w:r>
    </w:p>
    <w:p w14:paraId="2DA09BF1" w14:textId="77777777" w:rsidR="00CE5CFB" w:rsidRPr="002B445D" w:rsidRDefault="00CE5CFB" w:rsidP="00CE5CFB">
      <w:pPr>
        <w:spacing w:line="276" w:lineRule="auto"/>
        <w:rPr>
          <w:rFonts w:ascii="Arial" w:hAnsi="Arial" w:cs="Arial"/>
        </w:rPr>
      </w:pPr>
      <w:r w:rsidRPr="002B445D">
        <w:rPr>
          <w:rFonts w:ascii="Arial" w:hAnsi="Arial" w:cs="Arial"/>
        </w:rPr>
        <w:t>The NHS Long Term Workforce Plan (NHS England, 2023) aims to address significant systemic challenges, including workforce sustainability and skill development. While the plan is ambitious in scope, its execution illustrates a pattern prevalent in NHS initiatives: a top-down approach that often underestimates the complexities of organizational culture and employee engagement (Kotter, 1996; Cummings &amp; Worley, 2014).</w:t>
      </w:r>
    </w:p>
    <w:p w14:paraId="058B24FA" w14:textId="77777777" w:rsidR="00CE5CFB" w:rsidRPr="002B445D" w:rsidRDefault="00CE5CFB" w:rsidP="00CE5CFB">
      <w:pPr>
        <w:spacing w:line="276" w:lineRule="auto"/>
        <w:rPr>
          <w:rFonts w:ascii="Arial" w:hAnsi="Arial" w:cs="Arial"/>
          <w:b/>
          <w:bCs/>
        </w:rPr>
      </w:pPr>
      <w:r w:rsidRPr="002B445D">
        <w:rPr>
          <w:rFonts w:ascii="Arial" w:hAnsi="Arial" w:cs="Arial"/>
          <w:b/>
          <w:bCs/>
        </w:rPr>
        <w:t>Application and Critique of Kotter’s Model</w:t>
      </w:r>
    </w:p>
    <w:p w14:paraId="461635AE" w14:textId="77777777" w:rsidR="00CE5CFB" w:rsidRPr="002B445D" w:rsidRDefault="00CE5CFB" w:rsidP="00CE5CFB">
      <w:pPr>
        <w:spacing w:line="276" w:lineRule="auto"/>
        <w:rPr>
          <w:rFonts w:ascii="Arial" w:hAnsi="Arial" w:cs="Arial"/>
        </w:rPr>
      </w:pPr>
      <w:r w:rsidRPr="002B445D">
        <w:rPr>
          <w:rFonts w:ascii="Arial" w:hAnsi="Arial" w:cs="Arial"/>
        </w:rPr>
        <w:t xml:space="preserve">Applying Kotter’s 8-Step Change Model to this initiative reveals significant incongruities. The NHS’s traditional hierarchical structure may stifle the genuine engagement and buy-in necessary for the first few steps of Kotter's model, particularly in creating a sense of urgency and building a guiding coalition (Hayes, 2018). These steps, instead of being dynamic and inclusive, often become procedural formalities, lacking in practical </w:t>
      </w:r>
      <w:proofErr w:type="gramStart"/>
      <w:r w:rsidRPr="002B445D">
        <w:rPr>
          <w:rFonts w:ascii="Arial" w:hAnsi="Arial" w:cs="Arial"/>
        </w:rPr>
        <w:t>substance</w:t>
      </w:r>
      <w:proofErr w:type="gramEnd"/>
      <w:r w:rsidRPr="002B445D">
        <w:rPr>
          <w:rFonts w:ascii="Arial" w:hAnsi="Arial" w:cs="Arial"/>
        </w:rPr>
        <w:t xml:space="preserve"> and failing to resonate with the staff at different levels (Edmondson, 1999).</w:t>
      </w:r>
    </w:p>
    <w:p w14:paraId="5D162A27" w14:textId="77777777" w:rsidR="00CE5CFB" w:rsidRPr="002B445D" w:rsidRDefault="00CE5CFB" w:rsidP="00CE5CFB">
      <w:pPr>
        <w:spacing w:line="276" w:lineRule="auto"/>
        <w:rPr>
          <w:rFonts w:ascii="Arial" w:hAnsi="Arial" w:cs="Arial"/>
          <w:b/>
          <w:bCs/>
        </w:rPr>
      </w:pPr>
      <w:r w:rsidRPr="002B445D">
        <w:rPr>
          <w:rFonts w:ascii="Arial" w:hAnsi="Arial" w:cs="Arial"/>
          <w:b/>
          <w:bCs/>
        </w:rPr>
        <w:t>The Cultural and Structural Challenges</w:t>
      </w:r>
    </w:p>
    <w:p w14:paraId="365C011F" w14:textId="77777777" w:rsidR="00CE5CFB" w:rsidRPr="002B445D" w:rsidRDefault="00CE5CFB" w:rsidP="00CE5CFB">
      <w:pPr>
        <w:spacing w:line="276" w:lineRule="auto"/>
        <w:rPr>
          <w:rFonts w:ascii="Arial" w:hAnsi="Arial" w:cs="Arial"/>
        </w:rPr>
      </w:pPr>
      <w:r w:rsidRPr="002B445D">
        <w:rPr>
          <w:rFonts w:ascii="Arial" w:hAnsi="Arial" w:cs="Arial"/>
        </w:rPr>
        <w:t>The NHS's culture, characterized by its risk-averse and bureaucratic nature, poses a formidable barrier to implementing the workforce plan (Martin et al., 2015). This aspect is often overlooked by linear change models like Kotter’s, which do not account for the deep-seated cultural inertia within large organizations (Burnes, 2017). The NHS's internal culture, marked by a resistance to change and a tendency towards preserving status quo, can significantly impede the implementation of new strategies (Francis Report, 2013).</w:t>
      </w:r>
    </w:p>
    <w:p w14:paraId="02A3CBC5" w14:textId="77777777" w:rsidR="00CE5CFB" w:rsidRPr="002B445D" w:rsidRDefault="00CE5CFB" w:rsidP="00CE5CFB">
      <w:pPr>
        <w:spacing w:line="276" w:lineRule="auto"/>
        <w:rPr>
          <w:rFonts w:ascii="Arial" w:hAnsi="Arial" w:cs="Arial"/>
          <w:b/>
          <w:bCs/>
        </w:rPr>
      </w:pPr>
      <w:r w:rsidRPr="002B445D">
        <w:rPr>
          <w:rFonts w:ascii="Arial" w:hAnsi="Arial" w:cs="Arial"/>
          <w:b/>
          <w:bCs/>
        </w:rPr>
        <w:t>Emotional and Human Aspects in Change Management</w:t>
      </w:r>
    </w:p>
    <w:p w14:paraId="60CCFF4F" w14:textId="04FAC0E4" w:rsidR="00CE5CFB" w:rsidRPr="002B445D" w:rsidRDefault="00CE5CFB" w:rsidP="00CE5CFB">
      <w:pPr>
        <w:spacing w:line="276" w:lineRule="auto"/>
        <w:rPr>
          <w:rFonts w:ascii="Arial" w:hAnsi="Arial" w:cs="Arial"/>
        </w:rPr>
      </w:pPr>
      <w:r w:rsidRPr="002B445D">
        <w:rPr>
          <w:rFonts w:ascii="Arial" w:hAnsi="Arial" w:cs="Arial"/>
        </w:rPr>
        <w:t xml:space="preserve">A crucial oversight in many change management models, including Kotter’s, is the underestimation of emotional responses to change. In the NHS context, fears related to job security, increased workload, and changes to familiar routines are prevalent among staff, leading to resistance or passive-aggressive </w:t>
      </w:r>
      <w:proofErr w:type="spellStart"/>
      <w:r w:rsidRPr="002B445D">
        <w:rPr>
          <w:rFonts w:ascii="Arial" w:hAnsi="Arial" w:cs="Arial"/>
        </w:rPr>
        <w:t>behaviors</w:t>
      </w:r>
      <w:proofErr w:type="spellEnd"/>
      <w:r w:rsidRPr="002B445D">
        <w:rPr>
          <w:rFonts w:ascii="Arial" w:hAnsi="Arial" w:cs="Arial"/>
        </w:rPr>
        <w:t xml:space="preserve"> towards change initiatives (</w:t>
      </w:r>
      <w:proofErr w:type="spellStart"/>
      <w:r w:rsidRPr="002B445D">
        <w:rPr>
          <w:rFonts w:ascii="Arial" w:hAnsi="Arial" w:cs="Arial"/>
        </w:rPr>
        <w:t>Karanikolos</w:t>
      </w:r>
      <w:proofErr w:type="spellEnd"/>
      <w:r w:rsidRPr="002B445D">
        <w:rPr>
          <w:rFonts w:ascii="Arial" w:hAnsi="Arial" w:cs="Arial"/>
        </w:rPr>
        <w:t xml:space="preserve"> et al., 2013; Goleman, 2021). This emotional resistance is often </w:t>
      </w:r>
      <w:proofErr w:type="spellStart"/>
      <w:r w:rsidRPr="002B445D">
        <w:rPr>
          <w:rFonts w:ascii="Arial" w:hAnsi="Arial" w:cs="Arial"/>
        </w:rPr>
        <w:t>fueled</w:t>
      </w:r>
      <w:proofErr w:type="spellEnd"/>
      <w:r w:rsidRPr="002B445D">
        <w:rPr>
          <w:rFonts w:ascii="Arial" w:hAnsi="Arial" w:cs="Arial"/>
        </w:rPr>
        <w:t xml:space="preserve"> by a lack of transparent communication and a perceived disconnect between management and frontline staff (Mannion &amp; Davies, 2018</w:t>
      </w:r>
      <w:r w:rsidR="000027E8">
        <w:rPr>
          <w:rFonts w:ascii="Arial" w:hAnsi="Arial" w:cs="Arial"/>
        </w:rPr>
        <w:t>a</w:t>
      </w:r>
      <w:r w:rsidRPr="002B445D">
        <w:rPr>
          <w:rFonts w:ascii="Arial" w:hAnsi="Arial" w:cs="Arial"/>
        </w:rPr>
        <w:t>).</w:t>
      </w:r>
    </w:p>
    <w:p w14:paraId="336B6320" w14:textId="77777777" w:rsidR="00CE5CFB" w:rsidRPr="002B445D" w:rsidRDefault="00CE5CFB" w:rsidP="00CE5CFB">
      <w:pPr>
        <w:spacing w:line="276" w:lineRule="auto"/>
        <w:rPr>
          <w:rFonts w:ascii="Arial" w:hAnsi="Arial" w:cs="Arial"/>
          <w:b/>
          <w:bCs/>
        </w:rPr>
      </w:pPr>
      <w:r w:rsidRPr="002B445D">
        <w:rPr>
          <w:rFonts w:ascii="Arial" w:hAnsi="Arial" w:cs="Arial"/>
          <w:b/>
          <w:bCs/>
        </w:rPr>
        <w:t>The Need for a More Holistic Approach</w:t>
      </w:r>
    </w:p>
    <w:p w14:paraId="39C6A2E9" w14:textId="77777777" w:rsidR="00CE5CFB" w:rsidRPr="002B445D" w:rsidRDefault="00CE5CFB" w:rsidP="00CE5CFB">
      <w:pPr>
        <w:spacing w:line="276" w:lineRule="auto"/>
        <w:rPr>
          <w:rFonts w:ascii="Arial" w:hAnsi="Arial" w:cs="Arial"/>
        </w:rPr>
      </w:pPr>
      <w:r w:rsidRPr="002B445D">
        <w:rPr>
          <w:rFonts w:ascii="Arial" w:hAnsi="Arial" w:cs="Arial"/>
        </w:rPr>
        <w:t>The NHS Long Term Workforce Plan's implementation could benefit from a more holistic approach that transcends the linear steps of traditional models. This approach should incorporate elements of organizational culture change, address the emotional and psychological aspects of change, and foster a more participative and inclusive environment. Recent studies emphasize the importance of engaging healthcare professionals in the change process and tailoring strategies to meet the unique challenges of healthcare settings (Bate, Mendel, &amp; Robert, 2008).</w:t>
      </w:r>
    </w:p>
    <w:p w14:paraId="146487C9" w14:textId="47C92C77" w:rsidR="00CE5CFB" w:rsidRPr="002B445D" w:rsidRDefault="00CE5CFB" w:rsidP="009058F5">
      <w:pPr>
        <w:pStyle w:val="Heading1"/>
        <w:spacing w:line="276" w:lineRule="auto"/>
        <w:jc w:val="both"/>
        <w:rPr>
          <w:rFonts w:cs="Arial"/>
          <w:b w:val="0"/>
          <w:bCs w:val="0"/>
          <w:color w:val="2F5496" w:themeColor="accent1" w:themeShade="BF"/>
          <w:sz w:val="44"/>
          <w:szCs w:val="44"/>
        </w:rPr>
      </w:pPr>
      <w:bookmarkStart w:id="17" w:name="_Toc157590519"/>
      <w:r w:rsidRPr="002B445D">
        <w:rPr>
          <w:rFonts w:cs="Arial"/>
          <w:b w:val="0"/>
          <w:bCs w:val="0"/>
          <w:color w:val="2F5496" w:themeColor="accent1" w:themeShade="BF"/>
          <w:sz w:val="32"/>
          <w:szCs w:val="32"/>
        </w:rPr>
        <w:lastRenderedPageBreak/>
        <w:t>Evaluating the NHS Workforce Plan Through Various Management Models</w:t>
      </w:r>
      <w:bookmarkEnd w:id="17"/>
    </w:p>
    <w:p w14:paraId="6FB9D3E7" w14:textId="77777777" w:rsidR="00CE5CFB" w:rsidRPr="002B445D" w:rsidRDefault="00CE5CFB" w:rsidP="00CE5CFB">
      <w:pPr>
        <w:spacing w:line="276" w:lineRule="auto"/>
        <w:rPr>
          <w:rFonts w:ascii="Arial" w:hAnsi="Arial" w:cs="Arial"/>
          <w:b/>
          <w:bCs/>
        </w:rPr>
      </w:pPr>
      <w:r w:rsidRPr="002B445D">
        <w:rPr>
          <w:rFonts w:ascii="Arial" w:hAnsi="Arial" w:cs="Arial"/>
          <w:b/>
          <w:bCs/>
        </w:rPr>
        <w:t>Introduction to Diverse Management Models</w:t>
      </w:r>
    </w:p>
    <w:p w14:paraId="4703335D" w14:textId="77777777" w:rsidR="00CE5CFB" w:rsidRPr="002B445D" w:rsidRDefault="00CE5CFB" w:rsidP="00CE5CFB">
      <w:pPr>
        <w:spacing w:line="276" w:lineRule="auto"/>
        <w:rPr>
          <w:rFonts w:ascii="Arial" w:hAnsi="Arial" w:cs="Arial"/>
        </w:rPr>
      </w:pPr>
      <w:r w:rsidRPr="002B445D">
        <w:rPr>
          <w:rFonts w:ascii="Arial" w:hAnsi="Arial" w:cs="Arial"/>
        </w:rPr>
        <w:t>While Kotter’s model offers a structured approach, other management models can provide additional insights into the complexities of implementing change within the NHS. Models such as Lewin's Change Management Model and the McKinsey 7-S Framework can contribute to a more nuanced understanding of the challenges and opportunities within the NHS’s change initiatives.</w:t>
      </w:r>
    </w:p>
    <w:p w14:paraId="60D646BB" w14:textId="77777777" w:rsidR="00CE5CFB" w:rsidRPr="002B445D" w:rsidRDefault="00CE5CFB" w:rsidP="00CE5CFB">
      <w:pPr>
        <w:spacing w:line="276" w:lineRule="auto"/>
        <w:rPr>
          <w:rFonts w:ascii="Arial" w:hAnsi="Arial" w:cs="Arial"/>
          <w:b/>
          <w:bCs/>
        </w:rPr>
      </w:pPr>
      <w:r w:rsidRPr="002B445D">
        <w:rPr>
          <w:rFonts w:ascii="Arial" w:hAnsi="Arial" w:cs="Arial"/>
          <w:b/>
          <w:bCs/>
        </w:rPr>
        <w:t>Application of Lewin’s Change Management Model</w:t>
      </w:r>
    </w:p>
    <w:p w14:paraId="17646CDF" w14:textId="77777777" w:rsidR="00CE5CFB" w:rsidRPr="002B445D" w:rsidRDefault="00CE5CFB" w:rsidP="00CE5CFB">
      <w:pPr>
        <w:spacing w:line="276" w:lineRule="auto"/>
        <w:rPr>
          <w:rFonts w:ascii="Arial" w:hAnsi="Arial" w:cs="Arial"/>
        </w:rPr>
      </w:pPr>
      <w:r w:rsidRPr="002B445D">
        <w:rPr>
          <w:rFonts w:ascii="Arial" w:hAnsi="Arial" w:cs="Arial"/>
        </w:rPr>
        <w:t>Kurt Lewin’s model, with its stages of unfreezing, change, and refreezing, emphasizes the need for preparing the organization for change, implementing the change, and then solidifying it within the organization’s culture (Lewin, 1951). When applied to the NHS Workforce Plan, this model suggests a need for a more gradual and comprehensive approach to change, particularly in the 'unfreezing' stage, where employee attitudes and existing processes are prepared for transformation. This model highlights the potential shortfall in the NHS’s approach, where changes are often rapidly introduced without adequately addressing ingrained practices and mindsets.</w:t>
      </w:r>
    </w:p>
    <w:p w14:paraId="02B160EF" w14:textId="77777777" w:rsidR="00CE5CFB" w:rsidRPr="002B445D" w:rsidRDefault="00CE5CFB" w:rsidP="00CE5CFB">
      <w:pPr>
        <w:spacing w:line="276" w:lineRule="auto"/>
        <w:rPr>
          <w:rFonts w:ascii="Arial" w:hAnsi="Arial" w:cs="Arial"/>
          <w:b/>
          <w:bCs/>
        </w:rPr>
      </w:pPr>
      <w:r w:rsidRPr="002B445D">
        <w:rPr>
          <w:rFonts w:ascii="Arial" w:hAnsi="Arial" w:cs="Arial"/>
          <w:b/>
          <w:bCs/>
        </w:rPr>
        <w:t>Critiquing Through the McKinsey 7-S Framework</w:t>
      </w:r>
    </w:p>
    <w:p w14:paraId="69E073F5" w14:textId="77777777" w:rsidR="00CE5CFB" w:rsidRPr="002B445D" w:rsidRDefault="00CE5CFB" w:rsidP="00CE5CFB">
      <w:pPr>
        <w:spacing w:line="276" w:lineRule="auto"/>
        <w:rPr>
          <w:rFonts w:ascii="Arial" w:hAnsi="Arial" w:cs="Arial"/>
        </w:rPr>
      </w:pPr>
      <w:r w:rsidRPr="002B445D">
        <w:rPr>
          <w:rFonts w:ascii="Arial" w:hAnsi="Arial" w:cs="Arial"/>
        </w:rPr>
        <w:t>The McKinsey 7-S Framework, which includes elements like structure, strategy, systems, shared values, skills, style, and staff, offers a holistic view of organizational change (Waterman et al., 1980). Applying this framework to the NHS Workforce Plan reveals potential misalignments, particularly in areas like shared values and staff. For instance, the NHS's strategy might not fully align with the shared values of its workforce, leading to resistance. Furthermore, the 'staff' element of the framework underscores the challenges in aligning the workforce's skills and attitudes with the new strategic direction.</w:t>
      </w:r>
    </w:p>
    <w:p w14:paraId="62CD749E" w14:textId="77777777" w:rsidR="00CE5CFB" w:rsidRPr="002B445D" w:rsidRDefault="00CE5CFB" w:rsidP="00CE5CFB">
      <w:pPr>
        <w:spacing w:line="276" w:lineRule="auto"/>
        <w:rPr>
          <w:rFonts w:ascii="Arial" w:hAnsi="Arial" w:cs="Arial"/>
          <w:b/>
          <w:bCs/>
        </w:rPr>
      </w:pPr>
      <w:r w:rsidRPr="002B445D">
        <w:rPr>
          <w:rFonts w:ascii="Arial" w:hAnsi="Arial" w:cs="Arial"/>
          <w:b/>
          <w:bCs/>
        </w:rPr>
        <w:t>Emotional Intelligence in Change Management</w:t>
      </w:r>
    </w:p>
    <w:p w14:paraId="7EFFB07B" w14:textId="77777777" w:rsidR="00CE5CFB" w:rsidRPr="002B445D" w:rsidRDefault="00CE5CFB" w:rsidP="00CE5CFB">
      <w:pPr>
        <w:spacing w:line="276" w:lineRule="auto"/>
        <w:rPr>
          <w:rFonts w:ascii="Arial" w:hAnsi="Arial" w:cs="Arial"/>
        </w:rPr>
      </w:pPr>
      <w:r w:rsidRPr="002B445D">
        <w:rPr>
          <w:rFonts w:ascii="Arial" w:hAnsi="Arial" w:cs="Arial"/>
        </w:rPr>
        <w:t>In addition to these models, theories of emotional intelligence (Goleman, 2021) suggest that successful change management requires understanding and managing the emotions of those involved. The NHS’s approach could be critiqued for not adequately addressing the emotional landscape of its staff during the implementation of the Workforce Plan, potentially leading to resistance and disengagement.</w:t>
      </w:r>
    </w:p>
    <w:p w14:paraId="32224BC8" w14:textId="77777777" w:rsidR="00CE5CFB" w:rsidRPr="002B445D" w:rsidRDefault="00CE5CFB" w:rsidP="00CE5CFB">
      <w:pPr>
        <w:spacing w:line="276" w:lineRule="auto"/>
        <w:rPr>
          <w:rFonts w:ascii="Arial" w:hAnsi="Arial" w:cs="Arial"/>
          <w:b/>
          <w:bCs/>
        </w:rPr>
      </w:pPr>
      <w:r w:rsidRPr="002B445D">
        <w:rPr>
          <w:rFonts w:ascii="Arial" w:hAnsi="Arial" w:cs="Arial"/>
          <w:b/>
          <w:bCs/>
        </w:rPr>
        <w:t>Integrating Theory and Practice</w:t>
      </w:r>
    </w:p>
    <w:p w14:paraId="68C1FD1D" w14:textId="77777777" w:rsidR="00CE5CFB" w:rsidRDefault="00CE5CFB" w:rsidP="00CE5CFB">
      <w:pPr>
        <w:spacing w:line="276" w:lineRule="auto"/>
        <w:rPr>
          <w:rFonts w:ascii="Arial" w:hAnsi="Arial" w:cs="Arial"/>
        </w:rPr>
      </w:pPr>
      <w:r w:rsidRPr="002B445D">
        <w:rPr>
          <w:rFonts w:ascii="Arial" w:hAnsi="Arial" w:cs="Arial"/>
        </w:rPr>
        <w:t>While these models provide comprehensive frameworks, the NHS’s application of them reveals a gap between theoretical ideals and practical implementation. The challenge lies in not just adopting these models but also adapting them to the unique context of the NHS, which is marked by complex stakeholder landscapes, deeply ingrained cultural norms, and a highly diversified workforce (Bate, Mendel, &amp; Robert, 2008).</w:t>
      </w:r>
    </w:p>
    <w:p w14:paraId="1478B493" w14:textId="77777777" w:rsidR="00AD4962" w:rsidRDefault="00AD4962" w:rsidP="00CE5CFB">
      <w:pPr>
        <w:spacing w:line="276" w:lineRule="auto"/>
        <w:rPr>
          <w:rFonts w:ascii="Arial" w:hAnsi="Arial" w:cs="Arial"/>
        </w:rPr>
      </w:pPr>
    </w:p>
    <w:p w14:paraId="1B33C25A" w14:textId="77777777" w:rsidR="00AD4962" w:rsidRPr="002B445D" w:rsidRDefault="00AD4962" w:rsidP="00CE5CFB">
      <w:pPr>
        <w:spacing w:line="276" w:lineRule="auto"/>
        <w:rPr>
          <w:rFonts w:ascii="Arial" w:hAnsi="Arial" w:cs="Arial"/>
        </w:rPr>
      </w:pPr>
    </w:p>
    <w:p w14:paraId="34EFBC0E" w14:textId="437D5010" w:rsidR="009058F5" w:rsidRPr="002B445D" w:rsidRDefault="00CE5CFB" w:rsidP="009058F5">
      <w:pPr>
        <w:pStyle w:val="Heading1"/>
        <w:spacing w:line="276" w:lineRule="auto"/>
        <w:jc w:val="both"/>
        <w:rPr>
          <w:rFonts w:cs="Arial"/>
          <w:b w:val="0"/>
          <w:bCs w:val="0"/>
          <w:color w:val="2E74B5" w:themeColor="accent5" w:themeShade="BF"/>
          <w:sz w:val="32"/>
          <w:szCs w:val="32"/>
        </w:rPr>
      </w:pPr>
      <w:bookmarkStart w:id="18" w:name="_Toc157590520"/>
      <w:r w:rsidRPr="002B445D">
        <w:rPr>
          <w:rFonts w:cs="Arial"/>
          <w:b w:val="0"/>
          <w:bCs w:val="0"/>
          <w:color w:val="2F5496" w:themeColor="accent1" w:themeShade="BF"/>
          <w:sz w:val="32"/>
          <w:szCs w:val="32"/>
        </w:rPr>
        <w:lastRenderedPageBreak/>
        <w:t>A Critical Evaluation of Change Management Models in the NHS</w:t>
      </w:r>
      <w:bookmarkEnd w:id="18"/>
    </w:p>
    <w:p w14:paraId="751829FB" w14:textId="790AF897" w:rsidR="00CE5CFB" w:rsidRPr="002B445D" w:rsidRDefault="00CE5CFB" w:rsidP="00CE5CFB">
      <w:pPr>
        <w:spacing w:line="276" w:lineRule="auto"/>
        <w:rPr>
          <w:rFonts w:ascii="Arial" w:hAnsi="Arial" w:cs="Arial"/>
        </w:rPr>
      </w:pPr>
      <w:r w:rsidRPr="002B445D">
        <w:rPr>
          <w:rFonts w:ascii="Arial" w:hAnsi="Arial" w:cs="Arial"/>
        </w:rPr>
        <w:t>The implementation of the NHS Long Term Workforce Plan, when examined through the lens of various change management models, reveals a complex interplay between theoretical frameworks and the practical realities of the healthcare sector. While models like Kotter’s 8-Step Change Model and Lewin’s Change Management Model offer structured approaches, their application within the NHS highlights significant challenges and raises questions about their efficacy in such a complex environment.</w:t>
      </w:r>
    </w:p>
    <w:p w14:paraId="3B0F8A54" w14:textId="77777777" w:rsidR="00CE5CFB" w:rsidRPr="002B445D" w:rsidRDefault="00CE5CFB" w:rsidP="00CE5CFB">
      <w:pPr>
        <w:spacing w:line="276" w:lineRule="auto"/>
        <w:rPr>
          <w:rFonts w:ascii="Arial" w:hAnsi="Arial" w:cs="Arial"/>
        </w:rPr>
      </w:pPr>
      <w:r w:rsidRPr="002B445D">
        <w:rPr>
          <w:rFonts w:ascii="Arial" w:hAnsi="Arial" w:cs="Arial"/>
        </w:rPr>
        <w:t>Kotter’s model, celebrated for its clarity and step-by-step process, may be too linear and prescriptive for the fluid and dynamic nature of the NHS (Kotter, 1996). The model's initial steps, such as creating a sense of urgency and forming a guiding coalition, are critical but often face resistance in the hierarchical and bureaucratic structure of the NHS (Hayes, 2018). Moreover, the 'top-down' approach inherent in Kotter’s model may not adequately address the grassroots-level challenges and employee resistance in the NHS, as illustrated by the difficulties encountered during the implementation of electronic health records (Greenhalgh et al., 2010).</w:t>
      </w:r>
    </w:p>
    <w:p w14:paraId="5E3A9400" w14:textId="77777777" w:rsidR="00CE5CFB" w:rsidRPr="002B445D" w:rsidRDefault="00CE5CFB" w:rsidP="00CE5CFB">
      <w:pPr>
        <w:spacing w:line="276" w:lineRule="auto"/>
        <w:rPr>
          <w:rFonts w:ascii="Arial" w:hAnsi="Arial" w:cs="Arial"/>
        </w:rPr>
      </w:pPr>
      <w:r w:rsidRPr="002B445D">
        <w:rPr>
          <w:rFonts w:ascii="Arial" w:hAnsi="Arial" w:cs="Arial"/>
        </w:rPr>
        <w:t>Lewin’s model, with its emphasis on 'unfreezing' before change can occur, suggests the need for a gradual approach to change, preparing employee attitudes and existing processes for transformation (Lewin, 1951). However, this model too faces criticism for its simplicity and may not fully encapsulate the complexities and stakeholder dynamics within the NHS. For instance, the 'refreezing' stage in Lewin’s model might overlook the need for continuous adaptation and learning in an ever-evolving healthcare environment.</w:t>
      </w:r>
    </w:p>
    <w:p w14:paraId="084CBBE4" w14:textId="77777777" w:rsidR="00CE5CFB" w:rsidRPr="002B445D" w:rsidRDefault="00CE5CFB" w:rsidP="00CE5CFB">
      <w:pPr>
        <w:spacing w:line="276" w:lineRule="auto"/>
        <w:rPr>
          <w:rFonts w:ascii="Arial" w:hAnsi="Arial" w:cs="Arial"/>
        </w:rPr>
      </w:pPr>
      <w:r w:rsidRPr="002B445D">
        <w:rPr>
          <w:rFonts w:ascii="Arial" w:hAnsi="Arial" w:cs="Arial"/>
        </w:rPr>
        <w:t>The McKinsey 7-S Framework offers a more holistic view but still struggles with the NHS’s entrenched culture and complex stakeholder relationships (Waterman et al., 1980). The framework's emphasis on shared values and staff alignment can be particularly challenging in the NHS, where diverse professional groups and external pressures often lead to conflicting interests and priorities.</w:t>
      </w:r>
    </w:p>
    <w:p w14:paraId="02D0BEEC" w14:textId="77777777" w:rsidR="00CE5CFB" w:rsidRPr="002B445D" w:rsidRDefault="00CE5CFB" w:rsidP="00CE5CFB">
      <w:pPr>
        <w:spacing w:line="276" w:lineRule="auto"/>
        <w:rPr>
          <w:rFonts w:ascii="Arial" w:hAnsi="Arial" w:cs="Arial"/>
        </w:rPr>
      </w:pPr>
      <w:r w:rsidRPr="002B445D">
        <w:rPr>
          <w:rFonts w:ascii="Arial" w:hAnsi="Arial" w:cs="Arial"/>
        </w:rPr>
        <w:t>One critical case that highlights these challenges is the Francis Report on the Mid Staffordshire NHS Foundation Trust scandal (Francis Report, 2013). This report exposed severe deficiencies in care and organizational culture, underscoring the gaps between change management theory and practice. It illustrates the consequences of neglecting the cultural and human elements of change within healthcare settings.</w:t>
      </w:r>
    </w:p>
    <w:p w14:paraId="1D3913D7" w14:textId="22C69D1B" w:rsidR="00CE5CFB" w:rsidRPr="002B445D" w:rsidRDefault="00CE5CFB" w:rsidP="00CE5CFB">
      <w:pPr>
        <w:spacing w:line="276" w:lineRule="auto"/>
        <w:rPr>
          <w:rFonts w:ascii="Arial" w:hAnsi="Arial" w:cs="Arial"/>
        </w:rPr>
      </w:pPr>
      <w:r w:rsidRPr="002B445D">
        <w:rPr>
          <w:rFonts w:ascii="Arial" w:hAnsi="Arial" w:cs="Arial"/>
        </w:rPr>
        <w:t>Furthermore, the emotional intelligence aspect, crucial in managing change, is often underemphasized in structured models like Kotter’s and Lewin’s. In the NHS, emotional resistance to change, stemming from fears of job security and alterations to established routines, can significantly impede the implementation of initiatives like the Workforce Plan (Goleman, 2021; Mannion &amp; Davies, 2018</w:t>
      </w:r>
      <w:r w:rsidR="000027E8">
        <w:rPr>
          <w:rFonts w:ascii="Arial" w:hAnsi="Arial" w:cs="Arial"/>
        </w:rPr>
        <w:t>a</w:t>
      </w:r>
      <w:r w:rsidRPr="002B445D">
        <w:rPr>
          <w:rFonts w:ascii="Arial" w:hAnsi="Arial" w:cs="Arial"/>
        </w:rPr>
        <w:t>).</w:t>
      </w:r>
    </w:p>
    <w:p w14:paraId="19F22DC4" w14:textId="77777777" w:rsidR="00997976" w:rsidRDefault="00CE5CFB" w:rsidP="00997976">
      <w:pPr>
        <w:spacing w:line="276" w:lineRule="auto"/>
        <w:rPr>
          <w:rFonts w:ascii="Arial" w:hAnsi="Arial" w:cs="Arial"/>
        </w:rPr>
      </w:pPr>
      <w:r w:rsidRPr="002B445D">
        <w:rPr>
          <w:rFonts w:ascii="Arial" w:hAnsi="Arial" w:cs="Arial"/>
        </w:rPr>
        <w:t>While Kotter’s 8-Step Change Model and Lewin’s Change Management Model offer structured frameworks, their application within the NHS reveals significant challenges. These models may be too linear and prescriptive for the NHS's dynamic and complex environment. The NHS's hierarchical and bureaucratic structure may resist the initial steps of these models, such as creating a sense of urgency or forming a guiding coalition. Furthermore, these models may not fully address the cultural and human elements of change, which are crucial in healthcare settings.</w:t>
      </w:r>
    </w:p>
    <w:p w14:paraId="6AB41E31" w14:textId="216E279B" w:rsidR="00CE5CFB" w:rsidRPr="00997976" w:rsidRDefault="00CE5CFB" w:rsidP="00997976">
      <w:pPr>
        <w:spacing w:line="276" w:lineRule="auto"/>
        <w:rPr>
          <w:rFonts w:ascii="Arial" w:hAnsi="Arial" w:cs="Arial"/>
        </w:rPr>
      </w:pPr>
      <w:r w:rsidRPr="002B445D">
        <w:rPr>
          <w:rFonts w:cs="Arial"/>
          <w:color w:val="2F5496" w:themeColor="accent1" w:themeShade="BF"/>
          <w:sz w:val="32"/>
          <w:szCs w:val="32"/>
        </w:rPr>
        <w:lastRenderedPageBreak/>
        <w:t>Conclusion</w:t>
      </w:r>
    </w:p>
    <w:p w14:paraId="1AF73ED4" w14:textId="77777777" w:rsidR="00CE5CFB" w:rsidRPr="002B445D" w:rsidRDefault="00CE5CFB" w:rsidP="00CE5CFB">
      <w:pPr>
        <w:spacing w:line="276" w:lineRule="auto"/>
        <w:rPr>
          <w:rFonts w:ascii="Arial" w:hAnsi="Arial" w:cs="Arial"/>
          <w:b/>
          <w:bCs/>
        </w:rPr>
      </w:pPr>
    </w:p>
    <w:p w14:paraId="0F808576" w14:textId="1A1966A9" w:rsidR="00CE5CFB" w:rsidRPr="002B445D" w:rsidRDefault="00CE5CFB" w:rsidP="00CE5CFB">
      <w:pPr>
        <w:spacing w:line="276" w:lineRule="auto"/>
        <w:rPr>
          <w:rFonts w:ascii="Arial" w:hAnsi="Arial" w:cs="Arial"/>
        </w:rPr>
      </w:pPr>
      <w:r w:rsidRPr="002B445D">
        <w:rPr>
          <w:rFonts w:ascii="Arial" w:hAnsi="Arial" w:cs="Arial"/>
        </w:rPr>
        <w:t>The NHS stands as a paragon of resilience and innovation in the face of a complex and rapidly evolving healthcare landscape. This analysis has navigated through the multifarious dimensions of political, economic, social, technological, legal, and environmental factors, each exerting its influence and posing unique challenges. The NHS, in its enduring quest for excellence, demonstrates a remarkable capacity to adapt and evolve, reflecting the dynamic nature of healthcare itself.</w:t>
      </w:r>
    </w:p>
    <w:p w14:paraId="3FA99593" w14:textId="4B7D1EF4" w:rsidR="00CE5CFB" w:rsidRPr="002B445D" w:rsidRDefault="00CE5CFB" w:rsidP="00CE5CFB">
      <w:pPr>
        <w:spacing w:line="276" w:lineRule="auto"/>
        <w:rPr>
          <w:rFonts w:ascii="Arial" w:hAnsi="Arial" w:cs="Arial"/>
        </w:rPr>
      </w:pPr>
      <w:r w:rsidRPr="002B445D">
        <w:rPr>
          <w:rFonts w:ascii="Arial" w:hAnsi="Arial" w:cs="Arial"/>
        </w:rPr>
        <w:t>The strengths of the NHS, embodied in its unwavering commitment to universal health coverage and its pioneering strides in patient care innovation, are laudable. Yet, these strengths are continually tested against the backdrop of challenges such as bureaucratic complexities, workforce shortages, and stringent budget constraints. This dichotomy underscores the critical need for strategic agility and robust management in steering the NHS through these turbulent waters.</w:t>
      </w:r>
    </w:p>
    <w:p w14:paraId="67DBF7E6" w14:textId="77777777" w:rsidR="00CE5CFB" w:rsidRPr="002B445D" w:rsidRDefault="00CE5CFB" w:rsidP="00CE5CFB">
      <w:pPr>
        <w:spacing w:line="276" w:lineRule="auto"/>
        <w:rPr>
          <w:rFonts w:ascii="Arial" w:hAnsi="Arial" w:cs="Arial"/>
        </w:rPr>
      </w:pPr>
      <w:r w:rsidRPr="002B445D">
        <w:rPr>
          <w:rFonts w:ascii="Arial" w:hAnsi="Arial" w:cs="Arial"/>
        </w:rPr>
        <w:t>Moreover, the NHS’s journey is a reflective microcosm of the broader societal and global health shifts. It encapsulates the challenges of integrating advanced technology and digital health initiatives, balancing legal and ethical considerations, and championing environmental sustainability, all while striving to uphold the highest standards of patient care.</w:t>
      </w:r>
    </w:p>
    <w:p w14:paraId="7CC2280A" w14:textId="77777777" w:rsidR="00CE5CFB" w:rsidRPr="002B445D" w:rsidRDefault="00CE5CFB" w:rsidP="00CE5CFB">
      <w:pPr>
        <w:spacing w:line="276" w:lineRule="auto"/>
        <w:rPr>
          <w:rFonts w:ascii="Arial" w:hAnsi="Arial" w:cs="Arial"/>
        </w:rPr>
      </w:pPr>
    </w:p>
    <w:p w14:paraId="39307AE8" w14:textId="6AC966E4" w:rsidR="00CE5CFB" w:rsidRPr="002B445D" w:rsidRDefault="00CE5CFB" w:rsidP="00CE5CFB">
      <w:pPr>
        <w:spacing w:line="276" w:lineRule="auto"/>
        <w:rPr>
          <w:rFonts w:ascii="Arial" w:hAnsi="Arial" w:cs="Arial"/>
        </w:rPr>
      </w:pPr>
      <w:r w:rsidRPr="002B445D">
        <w:rPr>
          <w:rFonts w:ascii="Arial" w:hAnsi="Arial" w:cs="Arial"/>
        </w:rPr>
        <w:t>Looking to the future, the NHS is poised at a pivotal juncture. The path forward calls for an innovative and holistic approach that embraces adaptability and inclusivity. This entails not only a deep understanding of the diverse stakeholder perspectives but also an empathetic approach to the human and emotional aspects of healthcare. The integration of sophisticated change management models, coupled with emotional intelligence and proactive stakeholder engagement, will be instrumental in navigating the NHS through the intricacies of future healthcare landscapes.</w:t>
      </w:r>
    </w:p>
    <w:p w14:paraId="13E7DC44" w14:textId="77777777" w:rsidR="00CE5CFB" w:rsidRPr="002B445D" w:rsidRDefault="00CE5CFB" w:rsidP="00CE5CFB">
      <w:pPr>
        <w:spacing w:line="276" w:lineRule="auto"/>
        <w:rPr>
          <w:rFonts w:ascii="Arial" w:hAnsi="Arial" w:cs="Arial"/>
        </w:rPr>
      </w:pPr>
      <w:r w:rsidRPr="002B445D">
        <w:rPr>
          <w:rFonts w:ascii="Arial" w:hAnsi="Arial" w:cs="Arial"/>
        </w:rPr>
        <w:t>In essence, this analysis serves as a testament to the NHS's enduring spirit and its pivotal role in shaping the future of public health. As it continues to navigate the complexities of its external and internal environments, the NHS stands as a beacon of hope and a model of healthcare excellence. Its journey is one of perpetual learning and adaptation, ready to meet the challenges of tomorrow with the same commitment and resilience that have been its hallmark for decades.</w:t>
      </w:r>
    </w:p>
    <w:p w14:paraId="31451697" w14:textId="77777777" w:rsidR="00AE3DD1" w:rsidRDefault="00AE3DD1" w:rsidP="00AE3DD1">
      <w:pPr>
        <w:pStyle w:val="Heading1"/>
        <w:jc w:val="both"/>
        <w:rPr>
          <w:rFonts w:cs="Arial"/>
          <w:b w:val="0"/>
          <w:bCs w:val="0"/>
          <w:color w:val="2E74B5" w:themeColor="accent5" w:themeShade="BF"/>
          <w:sz w:val="32"/>
          <w:szCs w:val="32"/>
        </w:rPr>
      </w:pPr>
    </w:p>
    <w:p w14:paraId="79313913" w14:textId="77777777" w:rsidR="00997976" w:rsidRDefault="00997976" w:rsidP="00EC10E0">
      <w:pPr>
        <w:pStyle w:val="Heading1"/>
        <w:jc w:val="both"/>
        <w:rPr>
          <w:rFonts w:cs="Arial"/>
          <w:b w:val="0"/>
          <w:bCs w:val="0"/>
          <w:color w:val="2E74B5" w:themeColor="accent5" w:themeShade="BF"/>
          <w:sz w:val="32"/>
          <w:szCs w:val="32"/>
        </w:rPr>
      </w:pPr>
      <w:bookmarkStart w:id="19" w:name="_Toc119231277"/>
    </w:p>
    <w:p w14:paraId="4C81D90F" w14:textId="77777777" w:rsidR="00997976" w:rsidRDefault="00997976" w:rsidP="00EC10E0">
      <w:pPr>
        <w:pStyle w:val="Heading1"/>
        <w:jc w:val="both"/>
        <w:rPr>
          <w:rFonts w:cs="Arial"/>
          <w:b w:val="0"/>
          <w:bCs w:val="0"/>
          <w:color w:val="2E74B5" w:themeColor="accent5" w:themeShade="BF"/>
          <w:sz w:val="32"/>
          <w:szCs w:val="32"/>
        </w:rPr>
      </w:pPr>
    </w:p>
    <w:p w14:paraId="054F8917" w14:textId="77777777" w:rsidR="00997976" w:rsidRDefault="00997976" w:rsidP="00EC10E0">
      <w:pPr>
        <w:pStyle w:val="Heading1"/>
        <w:jc w:val="both"/>
        <w:rPr>
          <w:rFonts w:cs="Arial"/>
          <w:b w:val="0"/>
          <w:bCs w:val="0"/>
          <w:color w:val="2E74B5" w:themeColor="accent5" w:themeShade="BF"/>
          <w:sz w:val="32"/>
          <w:szCs w:val="32"/>
        </w:rPr>
      </w:pPr>
    </w:p>
    <w:p w14:paraId="7105B4B4" w14:textId="77777777" w:rsidR="00997976" w:rsidRDefault="00997976" w:rsidP="00EC10E0">
      <w:pPr>
        <w:pStyle w:val="Heading1"/>
        <w:jc w:val="both"/>
        <w:rPr>
          <w:rFonts w:cs="Arial"/>
          <w:b w:val="0"/>
          <w:bCs w:val="0"/>
          <w:color w:val="2E74B5" w:themeColor="accent5" w:themeShade="BF"/>
          <w:sz w:val="32"/>
          <w:szCs w:val="32"/>
        </w:rPr>
      </w:pPr>
    </w:p>
    <w:p w14:paraId="02D326A8" w14:textId="574AF0D3" w:rsidR="00E04540" w:rsidRPr="002B445D" w:rsidRDefault="00785C38" w:rsidP="00EC10E0">
      <w:pPr>
        <w:pStyle w:val="Heading1"/>
        <w:jc w:val="both"/>
        <w:rPr>
          <w:rFonts w:cs="Arial"/>
          <w:b w:val="0"/>
          <w:bCs w:val="0"/>
          <w:color w:val="2F5496" w:themeColor="accent1" w:themeShade="BF"/>
          <w:sz w:val="32"/>
          <w:szCs w:val="32"/>
        </w:rPr>
      </w:pPr>
      <w:bookmarkStart w:id="20" w:name="_Toc157590521"/>
      <w:r w:rsidRPr="002B445D">
        <w:rPr>
          <w:rFonts w:cs="Arial"/>
          <w:b w:val="0"/>
          <w:bCs w:val="0"/>
          <w:color w:val="2F5496" w:themeColor="accent1" w:themeShade="BF"/>
          <w:sz w:val="32"/>
          <w:szCs w:val="32"/>
        </w:rPr>
        <w:lastRenderedPageBreak/>
        <w:t>References</w:t>
      </w:r>
      <w:bookmarkEnd w:id="19"/>
      <w:r w:rsidR="007F38C7" w:rsidRPr="002B445D">
        <w:rPr>
          <w:rFonts w:cs="Arial"/>
          <w:b w:val="0"/>
          <w:bCs w:val="0"/>
          <w:color w:val="2F5496" w:themeColor="accent1" w:themeShade="BF"/>
          <w:sz w:val="32"/>
          <w:szCs w:val="32"/>
        </w:rPr>
        <w:t>.</w:t>
      </w:r>
      <w:bookmarkEnd w:id="20"/>
    </w:p>
    <w:p w14:paraId="70690A58" w14:textId="77777777" w:rsidR="002B445D" w:rsidRPr="002B445D" w:rsidRDefault="002B445D" w:rsidP="002B445D">
      <w:pPr>
        <w:spacing w:line="240" w:lineRule="auto"/>
        <w:rPr>
          <w:rFonts w:ascii="Arial" w:hAnsi="Arial" w:cs="Arial"/>
        </w:rPr>
      </w:pPr>
      <w:r w:rsidRPr="002B445D">
        <w:rPr>
          <w:rFonts w:ascii="Arial" w:hAnsi="Arial" w:cs="Arial"/>
        </w:rPr>
        <w:t xml:space="preserve">Baines, E. (2022). WHO warns of Nursing Workforce 'ticking timebomb' in UK and Europe. Nursing Times. Retrieved from </w:t>
      </w:r>
      <w:hyperlink r:id="rId9" w:tgtFrame="_new" w:history="1">
        <w:r w:rsidRPr="002B445D">
          <w:rPr>
            <w:rStyle w:val="Hyperlink"/>
            <w:rFonts w:ascii="Arial" w:hAnsi="Arial" w:cs="Arial"/>
          </w:rPr>
          <w:t>https://www.nursingtimes.net/news/workforce/who-warns-of-nursing-workforce-ticking-timebomb-in-uk-and-europe-15-09-2022/</w:t>
        </w:r>
      </w:hyperlink>
      <w:r w:rsidRPr="002B445D">
        <w:rPr>
          <w:rFonts w:ascii="Arial" w:hAnsi="Arial" w:cs="Arial"/>
        </w:rPr>
        <w:t>.</w:t>
      </w:r>
    </w:p>
    <w:p w14:paraId="08BED433" w14:textId="77777777" w:rsidR="002B445D" w:rsidRPr="002B445D" w:rsidRDefault="002B445D" w:rsidP="002B445D">
      <w:pPr>
        <w:spacing w:line="240" w:lineRule="auto"/>
        <w:rPr>
          <w:rFonts w:ascii="Arial" w:hAnsi="Arial" w:cs="Arial"/>
        </w:rPr>
      </w:pPr>
      <w:r w:rsidRPr="002B445D">
        <w:rPr>
          <w:rFonts w:ascii="Arial" w:hAnsi="Arial" w:cs="Arial"/>
        </w:rPr>
        <w:t>Bass, B. M. (1985). Leadership and performance beyond expectations. Free Press; Collier Macmillan.</w:t>
      </w:r>
    </w:p>
    <w:p w14:paraId="1BDF5051" w14:textId="77777777" w:rsidR="002B445D" w:rsidRPr="002B445D" w:rsidRDefault="002B445D" w:rsidP="002B445D">
      <w:pPr>
        <w:spacing w:line="240" w:lineRule="auto"/>
        <w:rPr>
          <w:rFonts w:ascii="Arial" w:hAnsi="Arial" w:cs="Arial"/>
        </w:rPr>
      </w:pPr>
      <w:proofErr w:type="spellStart"/>
      <w:r w:rsidRPr="002B445D">
        <w:rPr>
          <w:rFonts w:ascii="Arial" w:hAnsi="Arial" w:cs="Arial"/>
        </w:rPr>
        <w:t>Bertalanffy</w:t>
      </w:r>
      <w:proofErr w:type="spellEnd"/>
      <w:r w:rsidRPr="002B445D">
        <w:rPr>
          <w:rFonts w:ascii="Arial" w:hAnsi="Arial" w:cs="Arial"/>
        </w:rPr>
        <w:t xml:space="preserve">, L. V. (1968). General system theory: Foundations, development, applications. G. </w:t>
      </w:r>
      <w:proofErr w:type="spellStart"/>
      <w:r w:rsidRPr="002B445D">
        <w:rPr>
          <w:rFonts w:ascii="Arial" w:hAnsi="Arial" w:cs="Arial"/>
        </w:rPr>
        <w:t>Braziller</w:t>
      </w:r>
      <w:proofErr w:type="spellEnd"/>
      <w:r w:rsidRPr="002B445D">
        <w:rPr>
          <w:rFonts w:ascii="Arial" w:hAnsi="Arial" w:cs="Arial"/>
        </w:rPr>
        <w:t>.</w:t>
      </w:r>
    </w:p>
    <w:p w14:paraId="6118F835" w14:textId="77777777" w:rsidR="002B445D" w:rsidRPr="002B445D" w:rsidRDefault="002B445D" w:rsidP="002B445D">
      <w:pPr>
        <w:spacing w:line="240" w:lineRule="auto"/>
        <w:rPr>
          <w:rFonts w:ascii="Arial" w:hAnsi="Arial" w:cs="Arial"/>
        </w:rPr>
      </w:pPr>
      <w:r w:rsidRPr="002B445D">
        <w:rPr>
          <w:rFonts w:ascii="Arial" w:hAnsi="Arial" w:cs="Arial"/>
        </w:rPr>
        <w:t>Bronfenbrenner, U. (1979). The ecology of human development: Experiments by nature and design. Harvard university press.</w:t>
      </w:r>
    </w:p>
    <w:p w14:paraId="15F6FFB8" w14:textId="77777777" w:rsidR="002B445D" w:rsidRPr="002B445D" w:rsidRDefault="002B445D" w:rsidP="002B445D">
      <w:pPr>
        <w:spacing w:line="240" w:lineRule="auto"/>
        <w:rPr>
          <w:rFonts w:ascii="Arial" w:eastAsia="Times New Roman" w:hAnsi="Arial" w:cs="Arial"/>
        </w:rPr>
      </w:pPr>
      <w:r w:rsidRPr="002B445D">
        <w:rPr>
          <w:rFonts w:ascii="Arial" w:eastAsia="Times New Roman" w:hAnsi="Arial" w:cs="Arial"/>
        </w:rPr>
        <w:t xml:space="preserve">Bugaj, T. J., Cranz, A., &amp; </w:t>
      </w:r>
      <w:proofErr w:type="spellStart"/>
      <w:r w:rsidRPr="002B445D">
        <w:rPr>
          <w:rFonts w:ascii="Arial" w:eastAsia="Times New Roman" w:hAnsi="Arial" w:cs="Arial"/>
        </w:rPr>
        <w:t>Nikendei</w:t>
      </w:r>
      <w:proofErr w:type="spellEnd"/>
      <w:r w:rsidRPr="002B445D">
        <w:rPr>
          <w:rFonts w:ascii="Arial" w:eastAsia="Times New Roman" w:hAnsi="Arial" w:cs="Arial"/>
        </w:rPr>
        <w:t>, C. (2020). The health-care sector's role in climate stabilisation. The Lancet, 396(10244), 91-92.</w:t>
      </w:r>
      <w:r w:rsidRPr="002B445D">
        <w:rPr>
          <w:rFonts w:ascii="Arial" w:hAnsi="Arial" w:cs="Arial"/>
        </w:rPr>
        <w:t xml:space="preserve"> </w:t>
      </w:r>
      <w:hyperlink r:id="rId10" w:history="1">
        <w:r w:rsidRPr="002B445D">
          <w:rPr>
            <w:rStyle w:val="Hyperlink"/>
            <w:rFonts w:ascii="Arial" w:hAnsi="Arial" w:cs="Arial"/>
          </w:rPr>
          <w:t>https://doi.org/10.1016/S0140-6736(20)30808-4</w:t>
        </w:r>
      </w:hyperlink>
      <w:r w:rsidRPr="002B445D">
        <w:rPr>
          <w:rFonts w:ascii="Arial" w:eastAsia="Times New Roman" w:hAnsi="Arial" w:cs="Arial"/>
        </w:rPr>
        <w:t xml:space="preserve"> </w:t>
      </w:r>
    </w:p>
    <w:p w14:paraId="3FBCEFFD" w14:textId="77777777" w:rsidR="002B445D" w:rsidRPr="002B445D" w:rsidRDefault="002B445D" w:rsidP="002B445D">
      <w:pPr>
        <w:spacing w:line="240" w:lineRule="auto"/>
        <w:rPr>
          <w:rFonts w:ascii="Arial" w:hAnsi="Arial" w:cs="Arial"/>
        </w:rPr>
      </w:pPr>
      <w:r w:rsidRPr="002B445D">
        <w:rPr>
          <w:rFonts w:ascii="Arial" w:hAnsi="Arial" w:cs="Arial"/>
        </w:rPr>
        <w:t>Burnes, B. (2017). Managing Change. Pearson Education.</w:t>
      </w:r>
    </w:p>
    <w:p w14:paraId="4E4F94F3" w14:textId="77777777" w:rsidR="002B445D" w:rsidRPr="002B445D" w:rsidRDefault="002B445D" w:rsidP="002B445D">
      <w:pPr>
        <w:spacing w:line="240" w:lineRule="auto"/>
        <w:rPr>
          <w:rFonts w:ascii="Arial" w:hAnsi="Arial" w:cs="Arial"/>
        </w:rPr>
      </w:pPr>
      <w:r w:rsidRPr="002B445D">
        <w:rPr>
          <w:rFonts w:ascii="Arial" w:hAnsi="Arial" w:cs="Arial"/>
        </w:rPr>
        <w:t xml:space="preserve">Bush, T. (2019, October 29). PESTLE Analysis of the NHS. PESTLE Analysis. </w:t>
      </w:r>
      <w:hyperlink r:id="rId11" w:tgtFrame="_new" w:history="1">
        <w:r w:rsidRPr="002B445D">
          <w:rPr>
            <w:rStyle w:val="Hyperlink"/>
            <w:rFonts w:ascii="Arial" w:hAnsi="Arial" w:cs="Arial"/>
          </w:rPr>
          <w:t>https://pestleanalysis.com/nhs-pestle-analysis/</w:t>
        </w:r>
      </w:hyperlink>
    </w:p>
    <w:p w14:paraId="5E121886" w14:textId="77777777" w:rsidR="002B445D" w:rsidRPr="002B445D" w:rsidRDefault="002B445D" w:rsidP="002B445D">
      <w:pPr>
        <w:spacing w:line="240" w:lineRule="auto"/>
        <w:rPr>
          <w:rFonts w:ascii="Arial" w:hAnsi="Arial" w:cs="Arial"/>
        </w:rPr>
      </w:pPr>
      <w:bookmarkStart w:id="21" w:name="_Hlk157523320"/>
      <w:r w:rsidRPr="002B445D">
        <w:rPr>
          <w:rFonts w:ascii="Arial" w:hAnsi="Arial" w:cs="Arial"/>
        </w:rPr>
        <w:t xml:space="preserve">Charles, A., Ewbank, L., McKenna, H., &amp; Wenzel, L. (2019, January 23). The NHS long-term plan explained. The King’s Fund. Retrieved from </w:t>
      </w:r>
      <w:hyperlink r:id="rId12" w:anchor="acute" w:tgtFrame="_new" w:history="1">
        <w:r w:rsidRPr="002B445D">
          <w:rPr>
            <w:rStyle w:val="Hyperlink"/>
            <w:rFonts w:ascii="Arial" w:hAnsi="Arial" w:cs="Arial"/>
          </w:rPr>
          <w:t>https://www.kingsfund.org.uk/publications/nhs-long-term-plan-explained#acute</w:t>
        </w:r>
      </w:hyperlink>
      <w:r w:rsidRPr="002B445D">
        <w:rPr>
          <w:rFonts w:ascii="Arial" w:hAnsi="Arial" w:cs="Arial"/>
        </w:rPr>
        <w:t>.</w:t>
      </w:r>
    </w:p>
    <w:p w14:paraId="7743BC3F" w14:textId="77777777" w:rsidR="002B445D" w:rsidRPr="002B445D" w:rsidRDefault="002B445D" w:rsidP="002B445D">
      <w:pPr>
        <w:spacing w:line="240" w:lineRule="auto"/>
        <w:rPr>
          <w:rFonts w:ascii="Arial" w:hAnsi="Arial" w:cs="Arial"/>
        </w:rPr>
      </w:pPr>
      <w:r w:rsidRPr="002B445D">
        <w:rPr>
          <w:rFonts w:ascii="Arial" w:hAnsi="Arial" w:cs="Arial"/>
        </w:rPr>
        <w:t xml:space="preserve">Check B. R. (2019, May 13). NHS staff shortage: How many doctors and nurses come from abroad? BBC News. Retrieved from </w:t>
      </w:r>
      <w:hyperlink r:id="rId13" w:tgtFrame="_new" w:history="1">
        <w:r w:rsidRPr="002B445D">
          <w:rPr>
            <w:rStyle w:val="Hyperlink"/>
            <w:rFonts w:ascii="Arial" w:hAnsi="Arial" w:cs="Arial"/>
          </w:rPr>
          <w:t>https://www.bbc.co.uk/news/world-48205445</w:t>
        </w:r>
      </w:hyperlink>
      <w:r w:rsidRPr="002B445D">
        <w:rPr>
          <w:rFonts w:ascii="Arial" w:hAnsi="Arial" w:cs="Arial"/>
        </w:rPr>
        <w:t>.</w:t>
      </w:r>
    </w:p>
    <w:bookmarkEnd w:id="21"/>
    <w:p w14:paraId="7C99A87B" w14:textId="77777777" w:rsidR="002B445D" w:rsidRPr="002B445D" w:rsidRDefault="002B445D" w:rsidP="002B445D">
      <w:pPr>
        <w:spacing w:line="240" w:lineRule="auto"/>
        <w:rPr>
          <w:rFonts w:ascii="Arial" w:eastAsia="Times New Roman" w:hAnsi="Arial" w:cs="Arial"/>
        </w:rPr>
      </w:pPr>
      <w:r w:rsidRPr="002B445D">
        <w:rPr>
          <w:rFonts w:ascii="Arial" w:eastAsia="Times New Roman" w:hAnsi="Arial" w:cs="Arial"/>
        </w:rPr>
        <w:t xml:space="preserve">Costello, A., et al. (2009). Managing the health effects of climate change. The Lancet, 373(9676), 1693-1733. </w:t>
      </w:r>
      <w:hyperlink r:id="rId14" w:history="1">
        <w:r w:rsidRPr="002B445D">
          <w:rPr>
            <w:rStyle w:val="Hyperlink"/>
            <w:rFonts w:ascii="Arial" w:hAnsi="Arial" w:cs="Arial"/>
          </w:rPr>
          <w:t>https://doi.org/10.1016/S0140-6736(09)60935-1</w:t>
        </w:r>
      </w:hyperlink>
      <w:r w:rsidRPr="002B445D">
        <w:rPr>
          <w:rFonts w:ascii="Arial" w:eastAsia="Times New Roman" w:hAnsi="Arial" w:cs="Arial"/>
        </w:rPr>
        <w:t xml:space="preserve"> </w:t>
      </w:r>
    </w:p>
    <w:p w14:paraId="2DE17098" w14:textId="77777777" w:rsidR="002B445D" w:rsidRPr="002B445D" w:rsidRDefault="002B445D" w:rsidP="002B445D">
      <w:pPr>
        <w:spacing w:line="240" w:lineRule="auto"/>
        <w:rPr>
          <w:rFonts w:ascii="Arial" w:hAnsi="Arial" w:cs="Arial"/>
        </w:rPr>
      </w:pPr>
      <w:bookmarkStart w:id="22" w:name="_Hlk157523363"/>
      <w:r w:rsidRPr="002B445D">
        <w:rPr>
          <w:rFonts w:ascii="Arial" w:hAnsi="Arial" w:cs="Arial"/>
        </w:rPr>
        <w:t xml:space="preserve">Cummings, G. G., MacGregor, T., Davey, M., Lee, H., Wong, C. A., Lo, E., et al. (2010). Leadership styles and outcome patterns for the nursing workforce and work environment: A systematic review. International Journal of Nursing Studies, 47(3), 363-385. </w:t>
      </w:r>
      <w:hyperlink r:id="rId15" w:tgtFrame="_new" w:history="1">
        <w:r w:rsidRPr="002B445D">
          <w:rPr>
            <w:rStyle w:val="Hyperlink"/>
            <w:rFonts w:ascii="Arial" w:hAnsi="Arial" w:cs="Arial"/>
          </w:rPr>
          <w:t>https://doi.org/10.1016/j.ijnurstu.2009.08.006</w:t>
        </w:r>
      </w:hyperlink>
    </w:p>
    <w:p w14:paraId="3CA93F13" w14:textId="77777777" w:rsidR="002B445D" w:rsidRPr="002B445D" w:rsidRDefault="002B445D" w:rsidP="002B445D">
      <w:pPr>
        <w:spacing w:line="240" w:lineRule="auto"/>
        <w:rPr>
          <w:rFonts w:ascii="Arial" w:hAnsi="Arial" w:cs="Arial"/>
        </w:rPr>
      </w:pPr>
      <w:r w:rsidRPr="002B445D">
        <w:rPr>
          <w:rFonts w:ascii="Arial" w:hAnsi="Arial" w:cs="Arial"/>
        </w:rPr>
        <w:t>Cummings, T. G., &amp; Worley, C. G. (2014). Organization development and change. Cengage Learning.</w:t>
      </w:r>
    </w:p>
    <w:p w14:paraId="43E59D29" w14:textId="77777777" w:rsidR="002B445D" w:rsidRPr="002B445D" w:rsidRDefault="002B445D" w:rsidP="002B445D">
      <w:pPr>
        <w:spacing w:line="240" w:lineRule="auto"/>
        <w:rPr>
          <w:rFonts w:ascii="Arial" w:hAnsi="Arial" w:cs="Arial"/>
        </w:rPr>
      </w:pPr>
      <w:r w:rsidRPr="002B445D">
        <w:rPr>
          <w:rFonts w:ascii="Arial" w:hAnsi="Arial" w:cs="Arial"/>
        </w:rPr>
        <w:t xml:space="preserve">Dayan, M., McCarey, M., Hervey, T., Fahy, N., Greer, S. L., Jarman, H., &amp; Bristow, D. (2021). Going it Alone: Health and Brexit in the UK. Nuffield Trust. Retrieved from </w:t>
      </w:r>
      <w:hyperlink r:id="rId16" w:history="1">
        <w:r w:rsidRPr="002B445D">
          <w:rPr>
            <w:rStyle w:val="Hyperlink"/>
            <w:rFonts w:ascii="Arial" w:hAnsi="Arial" w:cs="Arial"/>
          </w:rPr>
          <w:t>https://www.nuffieldtrust.org.uk/research/going-it-alone-health-and-brexit-in-the-uk</w:t>
        </w:r>
      </w:hyperlink>
      <w:r w:rsidRPr="002B445D">
        <w:rPr>
          <w:rFonts w:ascii="Arial" w:hAnsi="Arial" w:cs="Arial"/>
        </w:rPr>
        <w:t>.</w:t>
      </w:r>
    </w:p>
    <w:p w14:paraId="5ACAFEE4" w14:textId="77777777" w:rsidR="002B445D" w:rsidRPr="002B445D" w:rsidRDefault="002B445D" w:rsidP="002B445D">
      <w:pPr>
        <w:spacing w:line="240" w:lineRule="auto"/>
        <w:rPr>
          <w:rFonts w:ascii="Arial" w:hAnsi="Arial" w:cs="Arial"/>
        </w:rPr>
      </w:pPr>
      <w:r w:rsidRPr="002B445D">
        <w:rPr>
          <w:rFonts w:ascii="Arial" w:hAnsi="Arial" w:cs="Arial"/>
        </w:rPr>
        <w:t>Deming, W. E. (1986). Out of the Crisis. MIT Press.</w:t>
      </w:r>
    </w:p>
    <w:p w14:paraId="38A1583B" w14:textId="77777777" w:rsidR="002B445D" w:rsidRPr="002B445D" w:rsidRDefault="002B445D" w:rsidP="002B445D">
      <w:pPr>
        <w:spacing w:line="240" w:lineRule="auto"/>
        <w:rPr>
          <w:rFonts w:ascii="Arial" w:hAnsi="Arial" w:cs="Arial"/>
        </w:rPr>
      </w:pPr>
      <w:r w:rsidRPr="002B445D">
        <w:rPr>
          <w:rFonts w:ascii="Arial" w:hAnsi="Arial" w:cs="Arial"/>
        </w:rPr>
        <w:t xml:space="preserve">Department of Health. (2009). Health and Social Care Act 2012. Retrieved from </w:t>
      </w:r>
      <w:hyperlink r:id="rId17" w:history="1">
        <w:r w:rsidRPr="002B445D">
          <w:rPr>
            <w:rStyle w:val="Hyperlink"/>
            <w:rFonts w:ascii="Arial" w:hAnsi="Arial" w:cs="Arial"/>
          </w:rPr>
          <w:t>https://www.legislation.gov.uk/ukpga/2012/7/contents/enacted</w:t>
        </w:r>
      </w:hyperlink>
      <w:r w:rsidRPr="002B445D">
        <w:rPr>
          <w:rFonts w:ascii="Arial" w:hAnsi="Arial" w:cs="Arial"/>
        </w:rPr>
        <w:t xml:space="preserve">. </w:t>
      </w:r>
    </w:p>
    <w:p w14:paraId="20C29C63" w14:textId="77777777" w:rsidR="002B445D" w:rsidRPr="002B445D" w:rsidRDefault="002B445D" w:rsidP="002B445D">
      <w:pPr>
        <w:spacing w:line="240" w:lineRule="auto"/>
        <w:rPr>
          <w:rFonts w:ascii="Arial" w:hAnsi="Arial" w:cs="Arial"/>
        </w:rPr>
      </w:pPr>
      <w:r w:rsidRPr="002B445D">
        <w:rPr>
          <w:rFonts w:ascii="Arial" w:hAnsi="Arial" w:cs="Arial"/>
        </w:rPr>
        <w:t xml:space="preserve">Edmondson, A. (1999). Psychological safety and learning </w:t>
      </w:r>
      <w:proofErr w:type="spellStart"/>
      <w:r w:rsidRPr="002B445D">
        <w:rPr>
          <w:rFonts w:ascii="Arial" w:hAnsi="Arial" w:cs="Arial"/>
        </w:rPr>
        <w:t>behavior</w:t>
      </w:r>
      <w:proofErr w:type="spellEnd"/>
      <w:r w:rsidRPr="002B445D">
        <w:rPr>
          <w:rFonts w:ascii="Arial" w:hAnsi="Arial" w:cs="Arial"/>
        </w:rPr>
        <w:t xml:space="preserve"> in work teams. Administrative science quarterly, 44(2), 350-383.</w:t>
      </w:r>
      <w:hyperlink r:id="rId18" w:tgtFrame="_new" w:history="1">
        <w:r w:rsidRPr="002B445D">
          <w:rPr>
            <w:rStyle w:val="Hyperlink"/>
            <w:rFonts w:ascii="Arial" w:hAnsi="Arial" w:cs="Arial"/>
          </w:rPr>
          <w:t>https://doi.org/10.2307/2666999</w:t>
        </w:r>
      </w:hyperlink>
    </w:p>
    <w:p w14:paraId="64F64A58" w14:textId="77777777" w:rsidR="002B445D" w:rsidRPr="002B445D" w:rsidRDefault="002B445D" w:rsidP="002B445D">
      <w:pPr>
        <w:spacing w:line="240" w:lineRule="auto"/>
        <w:rPr>
          <w:rFonts w:ascii="Arial" w:hAnsi="Arial" w:cs="Arial"/>
        </w:rPr>
      </w:pPr>
      <w:r w:rsidRPr="002B445D">
        <w:rPr>
          <w:rFonts w:ascii="Arial" w:hAnsi="Arial" w:cs="Arial"/>
        </w:rPr>
        <w:t>Francis, R. (2013). Report of the Mid Staffordshire NHS Foundation Trust Public Inquiry. London: The Stationery Office.</w:t>
      </w:r>
    </w:p>
    <w:p w14:paraId="578EFDA4" w14:textId="77777777" w:rsidR="002B445D" w:rsidRPr="002B445D" w:rsidRDefault="002B445D" w:rsidP="002B445D">
      <w:pPr>
        <w:spacing w:line="240" w:lineRule="auto"/>
        <w:rPr>
          <w:rFonts w:ascii="Arial" w:hAnsi="Arial" w:cs="Arial"/>
        </w:rPr>
      </w:pPr>
      <w:r w:rsidRPr="002B445D">
        <w:rPr>
          <w:rFonts w:ascii="Arial" w:hAnsi="Arial" w:cs="Arial"/>
        </w:rPr>
        <w:t>Freeman, R. E. (2010). Strategic management: A stakeholder approach. Cambridge university press.</w:t>
      </w:r>
    </w:p>
    <w:p w14:paraId="23A55718" w14:textId="77777777" w:rsidR="002B445D" w:rsidRPr="002B445D" w:rsidRDefault="002B445D" w:rsidP="002B445D">
      <w:pPr>
        <w:spacing w:line="240" w:lineRule="auto"/>
        <w:rPr>
          <w:rFonts w:ascii="Arial" w:hAnsi="Arial" w:cs="Arial"/>
        </w:rPr>
      </w:pPr>
      <w:r w:rsidRPr="002B445D">
        <w:rPr>
          <w:rFonts w:ascii="Arial" w:hAnsi="Arial" w:cs="Arial"/>
        </w:rPr>
        <w:lastRenderedPageBreak/>
        <w:t xml:space="preserve">Glisson, C. (2015). The role of organizational culture and climate in innovation and effectiveness. Human service organizations: management, leadership &amp; governance, 39(4), 245-250. </w:t>
      </w:r>
      <w:hyperlink r:id="rId19" w:tgtFrame="_new" w:history="1">
        <w:r w:rsidRPr="002B445D">
          <w:rPr>
            <w:rStyle w:val="Hyperlink"/>
            <w:rFonts w:ascii="Arial" w:hAnsi="Arial" w:cs="Arial"/>
          </w:rPr>
          <w:t>https://doi-org.ezproxy.uwtsd.ac.uk/10.1080/23303131.2015.1087770</w:t>
        </w:r>
      </w:hyperlink>
      <w:r w:rsidRPr="002B445D">
        <w:rPr>
          <w:rFonts w:ascii="Arial" w:hAnsi="Arial" w:cs="Arial"/>
        </w:rPr>
        <w:t>.</w:t>
      </w:r>
    </w:p>
    <w:p w14:paraId="190AF762" w14:textId="77777777" w:rsidR="002B445D" w:rsidRPr="002B445D" w:rsidRDefault="002B445D" w:rsidP="002B445D">
      <w:pPr>
        <w:spacing w:line="240" w:lineRule="auto"/>
        <w:rPr>
          <w:rFonts w:ascii="Arial" w:hAnsi="Arial" w:cs="Arial"/>
        </w:rPr>
      </w:pPr>
      <w:r w:rsidRPr="002B445D">
        <w:rPr>
          <w:rFonts w:ascii="Arial" w:hAnsi="Arial" w:cs="Arial"/>
        </w:rPr>
        <w:t xml:space="preserve">Glomb, T. M., Duffy, M. K., Bono, J. E., &amp; Yang, T. (2011). Mindfulness at work. In Research in personnel and human resources management (Vol. 30, pp. 115-157). Emerald Group Publishing Limited. </w:t>
      </w:r>
      <w:hyperlink r:id="rId20" w:tgtFrame="_new" w:history="1">
        <w:r w:rsidRPr="002B445D">
          <w:rPr>
            <w:rStyle w:val="Hyperlink"/>
            <w:rFonts w:ascii="Arial" w:hAnsi="Arial" w:cs="Arial"/>
          </w:rPr>
          <w:t>https://doi.org/10.1108/S0742-7301(2011)0000030005</w:t>
        </w:r>
      </w:hyperlink>
      <w:r w:rsidRPr="002B445D">
        <w:rPr>
          <w:rFonts w:ascii="Arial" w:hAnsi="Arial" w:cs="Arial"/>
        </w:rPr>
        <w:t>.</w:t>
      </w:r>
    </w:p>
    <w:p w14:paraId="54C11EE7" w14:textId="77777777" w:rsidR="002B445D" w:rsidRPr="002B445D" w:rsidRDefault="002B445D" w:rsidP="002B445D">
      <w:pPr>
        <w:spacing w:line="240" w:lineRule="auto"/>
        <w:rPr>
          <w:rFonts w:ascii="Arial" w:hAnsi="Arial" w:cs="Arial"/>
        </w:rPr>
      </w:pPr>
      <w:bookmarkStart w:id="23" w:name="_Hlk157523373"/>
      <w:bookmarkEnd w:id="22"/>
      <w:r w:rsidRPr="002B445D">
        <w:rPr>
          <w:rFonts w:ascii="Arial" w:hAnsi="Arial" w:cs="Arial"/>
        </w:rPr>
        <w:t>Goleman, D. (2021). Leadership: The power of emotional intelligence. More Than Sound LLC.</w:t>
      </w:r>
    </w:p>
    <w:p w14:paraId="0FCB5585" w14:textId="77777777" w:rsidR="002B445D" w:rsidRPr="002B445D" w:rsidRDefault="002B445D" w:rsidP="002B445D">
      <w:pPr>
        <w:spacing w:line="240" w:lineRule="auto"/>
        <w:rPr>
          <w:rFonts w:ascii="Arial" w:hAnsi="Arial" w:cs="Arial"/>
        </w:rPr>
      </w:pPr>
      <w:r w:rsidRPr="002B445D">
        <w:rPr>
          <w:rFonts w:ascii="Arial" w:hAnsi="Arial" w:cs="Arial"/>
        </w:rPr>
        <w:t xml:space="preserve">Government Office for Science. (2016). Future of an Ageing Population. Retrieved from </w:t>
      </w:r>
      <w:hyperlink r:id="rId21" w:tgtFrame="_new" w:history="1">
        <w:r w:rsidRPr="002B445D">
          <w:rPr>
            <w:rStyle w:val="Hyperlink"/>
            <w:rFonts w:ascii="Arial" w:hAnsi="Arial" w:cs="Arial"/>
          </w:rPr>
          <w:t>https://assets.publishing.service.gov.uk/media/5d273adce5274a5862768ff9/future-of-an-ageing-population.pdf</w:t>
        </w:r>
      </w:hyperlink>
      <w:r w:rsidRPr="002B445D">
        <w:rPr>
          <w:rFonts w:ascii="Arial" w:hAnsi="Arial" w:cs="Arial"/>
        </w:rPr>
        <w:t>.</w:t>
      </w:r>
    </w:p>
    <w:p w14:paraId="069C7B61" w14:textId="77777777" w:rsidR="002B445D" w:rsidRPr="002B445D" w:rsidRDefault="002B445D" w:rsidP="002B445D">
      <w:pPr>
        <w:spacing w:line="240" w:lineRule="auto"/>
        <w:rPr>
          <w:rFonts w:ascii="Arial" w:hAnsi="Arial" w:cs="Arial"/>
        </w:rPr>
      </w:pPr>
      <w:r w:rsidRPr="002B445D">
        <w:rPr>
          <w:rFonts w:ascii="Arial" w:hAnsi="Arial" w:cs="Arial"/>
        </w:rPr>
        <w:t>Greenhalgh, T., et al. (2010). Implementation of electronic health records in hospitals. BMJ, 341, c5819.</w:t>
      </w:r>
    </w:p>
    <w:p w14:paraId="3C35E439" w14:textId="77777777" w:rsidR="002B445D" w:rsidRPr="002B445D" w:rsidRDefault="002B445D" w:rsidP="002B445D">
      <w:pPr>
        <w:rPr>
          <w:rFonts w:ascii="Arial" w:hAnsi="Arial" w:cs="Arial"/>
        </w:rPr>
      </w:pPr>
      <w:bookmarkStart w:id="24" w:name="_Hlk157531844"/>
      <w:r w:rsidRPr="002B445D">
        <w:rPr>
          <w:rFonts w:ascii="Arial" w:hAnsi="Arial" w:cs="Arial"/>
        </w:rPr>
        <w:t>Hacker</w:t>
      </w:r>
      <w:bookmarkEnd w:id="24"/>
      <w:r w:rsidRPr="002B445D">
        <w:rPr>
          <w:rFonts w:ascii="Arial" w:hAnsi="Arial" w:cs="Arial"/>
        </w:rPr>
        <w:t xml:space="preserve">, J. (2021, December 22). NHS staff crisis “most pressing concern” post-Brexit, report finds. Nursing in Practice. </w:t>
      </w:r>
      <w:hyperlink r:id="rId22" w:history="1">
        <w:r w:rsidRPr="002B445D">
          <w:rPr>
            <w:rStyle w:val="Hyperlink"/>
            <w:rFonts w:ascii="Arial" w:hAnsi="Arial" w:cs="Arial"/>
          </w:rPr>
          <w:t>https://www.nursinginpractice.com/community-nursing/nhs-staff-crisis-most-pressing-concern-post-brexit-report-finds/</w:t>
        </w:r>
      </w:hyperlink>
      <w:r w:rsidRPr="002B445D">
        <w:rPr>
          <w:rFonts w:ascii="Arial" w:hAnsi="Arial" w:cs="Arial"/>
        </w:rPr>
        <w:t xml:space="preserve"> </w:t>
      </w:r>
    </w:p>
    <w:p w14:paraId="7A812A15" w14:textId="77777777" w:rsidR="002B445D" w:rsidRPr="002B445D" w:rsidRDefault="002B445D" w:rsidP="002B445D">
      <w:pPr>
        <w:spacing w:line="240" w:lineRule="auto"/>
        <w:rPr>
          <w:rFonts w:ascii="Arial" w:hAnsi="Arial" w:cs="Arial"/>
        </w:rPr>
      </w:pPr>
      <w:r w:rsidRPr="002B445D">
        <w:rPr>
          <w:rFonts w:ascii="Arial" w:hAnsi="Arial" w:cs="Arial"/>
        </w:rPr>
        <w:t xml:space="preserve">Haleem, A., et al. (2021). Telemedicine for healthcare: Capabilities, features, barriers, and applications. Sensors International, 2, 100117. DOI: </w:t>
      </w:r>
      <w:hyperlink r:id="rId23" w:tgtFrame="_new" w:history="1">
        <w:r w:rsidRPr="002B445D">
          <w:rPr>
            <w:rStyle w:val="Hyperlink"/>
            <w:rFonts w:ascii="Arial" w:hAnsi="Arial" w:cs="Arial"/>
          </w:rPr>
          <w:t>https://doi.org/10.1016/j.sintl.2021.100117</w:t>
        </w:r>
      </w:hyperlink>
      <w:r w:rsidRPr="002B445D">
        <w:rPr>
          <w:rFonts w:ascii="Arial" w:hAnsi="Arial" w:cs="Arial"/>
        </w:rPr>
        <w:t>.</w:t>
      </w:r>
    </w:p>
    <w:p w14:paraId="48385D7E" w14:textId="77777777" w:rsidR="002B445D" w:rsidRPr="002B445D" w:rsidRDefault="002B445D" w:rsidP="002B445D">
      <w:pPr>
        <w:spacing w:line="240" w:lineRule="auto"/>
        <w:rPr>
          <w:rFonts w:ascii="Arial" w:eastAsia="Times New Roman" w:hAnsi="Arial" w:cs="Arial"/>
        </w:rPr>
      </w:pPr>
      <w:r w:rsidRPr="002B445D">
        <w:rPr>
          <w:rFonts w:ascii="Arial" w:eastAsia="Times New Roman" w:hAnsi="Arial" w:cs="Arial"/>
        </w:rPr>
        <w:t xml:space="preserve">Ham, C. (2020, April 10). The NHS in England and its response to COVID-19 | NHS Confederation. Www.nhsconfed.org. </w:t>
      </w:r>
      <w:hyperlink r:id="rId24" w:history="1">
        <w:r w:rsidRPr="002B445D">
          <w:rPr>
            <w:rStyle w:val="Hyperlink"/>
            <w:rFonts w:ascii="Arial" w:hAnsi="Arial" w:cs="Arial"/>
          </w:rPr>
          <w:t>https://www.nhsconfed.org/articles/nhs-england-and-its-response-covid-19</w:t>
        </w:r>
      </w:hyperlink>
      <w:r w:rsidRPr="002B445D">
        <w:rPr>
          <w:rFonts w:ascii="Arial" w:eastAsia="Times New Roman" w:hAnsi="Arial" w:cs="Arial"/>
        </w:rPr>
        <w:t xml:space="preserve"> </w:t>
      </w:r>
    </w:p>
    <w:p w14:paraId="356779F9" w14:textId="77777777" w:rsidR="002B445D" w:rsidRPr="002B445D" w:rsidRDefault="002B445D" w:rsidP="002B445D">
      <w:pPr>
        <w:spacing w:line="240" w:lineRule="auto"/>
        <w:rPr>
          <w:rFonts w:ascii="Arial" w:hAnsi="Arial" w:cs="Arial"/>
        </w:rPr>
      </w:pPr>
      <w:r w:rsidRPr="002B445D">
        <w:rPr>
          <w:rFonts w:ascii="Arial" w:hAnsi="Arial" w:cs="Arial"/>
        </w:rPr>
        <w:t>Hayes, J. (2018). The theory and practice of change management. Palgrave.</w:t>
      </w:r>
    </w:p>
    <w:bookmarkEnd w:id="23"/>
    <w:p w14:paraId="5DBF1F12" w14:textId="77777777" w:rsidR="002B445D" w:rsidRPr="002B445D" w:rsidRDefault="002B445D" w:rsidP="002B445D">
      <w:pPr>
        <w:spacing w:line="240" w:lineRule="auto"/>
        <w:rPr>
          <w:rFonts w:ascii="Arial" w:hAnsi="Arial" w:cs="Arial"/>
        </w:rPr>
      </w:pPr>
      <w:r w:rsidRPr="002B445D">
        <w:rPr>
          <w:rFonts w:ascii="Arial" w:hAnsi="Arial" w:cs="Arial"/>
        </w:rPr>
        <w:t xml:space="preserve">Health And Social Care Act. (2012). Health and Social Care Act 2012. Legislation.gov.uk. https://www.legislation.gov.uk/ukpga/2012/7/contents </w:t>
      </w:r>
      <w:hyperlink r:id="rId25" w:history="1">
        <w:r w:rsidRPr="002B445D">
          <w:rPr>
            <w:rStyle w:val="Hyperlink"/>
            <w:rFonts w:ascii="Arial" w:hAnsi="Arial" w:cs="Arial"/>
          </w:rPr>
          <w:t>https://www.legislation.gov.uk/ukpga/2012/7/contents/enacted</w:t>
        </w:r>
      </w:hyperlink>
      <w:r w:rsidRPr="002B445D">
        <w:rPr>
          <w:rFonts w:ascii="Arial" w:hAnsi="Arial" w:cs="Arial"/>
        </w:rPr>
        <w:t xml:space="preserve">. </w:t>
      </w:r>
    </w:p>
    <w:p w14:paraId="0817D8AC" w14:textId="77777777" w:rsidR="002B445D" w:rsidRPr="002B445D" w:rsidRDefault="002B445D" w:rsidP="002B445D">
      <w:pPr>
        <w:spacing w:line="240" w:lineRule="auto"/>
        <w:rPr>
          <w:rFonts w:ascii="Arial" w:hAnsi="Arial" w:cs="Arial"/>
        </w:rPr>
      </w:pPr>
      <w:r w:rsidRPr="002B445D">
        <w:rPr>
          <w:rFonts w:ascii="Arial" w:hAnsi="Arial" w:cs="Arial"/>
        </w:rPr>
        <w:t xml:space="preserve">ICO. (2023). UK GDPR guidance and resources. Ico.org.uk. Retrieved from </w:t>
      </w:r>
      <w:hyperlink r:id="rId26" w:history="1">
        <w:r w:rsidRPr="002B445D">
          <w:rPr>
            <w:rStyle w:val="Hyperlink"/>
            <w:rFonts w:ascii="Arial" w:hAnsi="Arial" w:cs="Arial"/>
          </w:rPr>
          <w:t>https://ico.org.uk/for-organisations/uk-gdpr-guidance-and-resources/</w:t>
        </w:r>
      </w:hyperlink>
      <w:r w:rsidRPr="002B445D">
        <w:rPr>
          <w:rFonts w:ascii="Arial" w:hAnsi="Arial" w:cs="Arial"/>
        </w:rPr>
        <w:t xml:space="preserve">   </w:t>
      </w:r>
    </w:p>
    <w:p w14:paraId="15DFFDE0" w14:textId="77777777" w:rsidR="002B445D" w:rsidRPr="002B445D" w:rsidRDefault="002B445D" w:rsidP="002B445D">
      <w:pPr>
        <w:spacing w:line="240" w:lineRule="auto"/>
        <w:rPr>
          <w:rFonts w:ascii="Arial" w:hAnsi="Arial" w:cs="Arial"/>
        </w:rPr>
      </w:pPr>
      <w:proofErr w:type="spellStart"/>
      <w:r w:rsidRPr="002B445D">
        <w:rPr>
          <w:rFonts w:ascii="Arial" w:hAnsi="Arial" w:cs="Arial"/>
        </w:rPr>
        <w:t>Karanikolos</w:t>
      </w:r>
      <w:proofErr w:type="spellEnd"/>
      <w:r w:rsidRPr="002B445D">
        <w:rPr>
          <w:rFonts w:ascii="Arial" w:hAnsi="Arial" w:cs="Arial"/>
        </w:rPr>
        <w:t xml:space="preserve">, M., </w:t>
      </w:r>
      <w:proofErr w:type="spellStart"/>
      <w:r w:rsidRPr="002B445D">
        <w:rPr>
          <w:rFonts w:ascii="Arial" w:hAnsi="Arial" w:cs="Arial"/>
        </w:rPr>
        <w:t>Mladovsky</w:t>
      </w:r>
      <w:proofErr w:type="spellEnd"/>
      <w:r w:rsidRPr="002B445D">
        <w:rPr>
          <w:rFonts w:ascii="Arial" w:hAnsi="Arial" w:cs="Arial"/>
        </w:rPr>
        <w:t xml:space="preserve">, P., Cylus, J., Thomson, S., Basu, S., Stuckler, D., </w:t>
      </w:r>
      <w:proofErr w:type="spellStart"/>
      <w:r w:rsidRPr="002B445D">
        <w:rPr>
          <w:rFonts w:ascii="Arial" w:hAnsi="Arial" w:cs="Arial"/>
        </w:rPr>
        <w:t>Mackenbach</w:t>
      </w:r>
      <w:proofErr w:type="spellEnd"/>
      <w:r w:rsidRPr="002B445D">
        <w:rPr>
          <w:rFonts w:ascii="Arial" w:hAnsi="Arial" w:cs="Arial"/>
        </w:rPr>
        <w:t xml:space="preserve">, J. P., &amp; McKee, M. (2013). Financial crisis, austerity, and health in Europe. The Lancet, 381(9874), 1323-1331. </w:t>
      </w:r>
      <w:hyperlink r:id="rId27" w:tgtFrame="_new" w:history="1">
        <w:r w:rsidRPr="002B445D">
          <w:rPr>
            <w:rStyle w:val="Hyperlink"/>
            <w:rFonts w:ascii="Arial" w:hAnsi="Arial" w:cs="Arial"/>
          </w:rPr>
          <w:t>https://doi.org/10.1016/S0140-6736(13)60102-6</w:t>
        </w:r>
      </w:hyperlink>
    </w:p>
    <w:p w14:paraId="4D1B477A" w14:textId="77777777" w:rsidR="002B445D" w:rsidRPr="002B445D" w:rsidRDefault="002B445D" w:rsidP="002B445D">
      <w:pPr>
        <w:spacing w:line="240" w:lineRule="auto"/>
        <w:rPr>
          <w:rFonts w:ascii="Arial" w:hAnsi="Arial" w:cs="Arial"/>
        </w:rPr>
      </w:pPr>
      <w:r w:rsidRPr="002B445D">
        <w:rPr>
          <w:rFonts w:ascii="Arial" w:hAnsi="Arial" w:cs="Arial"/>
        </w:rPr>
        <w:t>Kotter, J. P. (1996). Leading Change. Harvard Business Review Press.</w:t>
      </w:r>
    </w:p>
    <w:p w14:paraId="2A91E9A4" w14:textId="77777777" w:rsidR="002B445D" w:rsidRPr="002B445D" w:rsidRDefault="002B445D" w:rsidP="002B445D">
      <w:pPr>
        <w:spacing w:line="240" w:lineRule="auto"/>
        <w:rPr>
          <w:rFonts w:ascii="Arial" w:hAnsi="Arial" w:cs="Arial"/>
        </w:rPr>
      </w:pPr>
      <w:r w:rsidRPr="002B445D">
        <w:rPr>
          <w:rFonts w:ascii="Arial" w:hAnsi="Arial" w:cs="Arial"/>
        </w:rPr>
        <w:t>Lewin, K. (1951). Field theory in social science: Selected theoretical papers. Harper &amp; Row.</w:t>
      </w:r>
    </w:p>
    <w:p w14:paraId="3ABCF5A5" w14:textId="77777777" w:rsidR="002B445D" w:rsidRPr="002B445D" w:rsidRDefault="002B445D" w:rsidP="002B445D">
      <w:pPr>
        <w:spacing w:line="240" w:lineRule="auto"/>
        <w:rPr>
          <w:rFonts w:ascii="Arial" w:hAnsi="Arial" w:cs="Arial"/>
        </w:rPr>
      </w:pPr>
      <w:r w:rsidRPr="002B445D">
        <w:rPr>
          <w:rFonts w:ascii="Arial" w:hAnsi="Arial" w:cs="Arial"/>
        </w:rPr>
        <w:t xml:space="preserve">Liden, R. C., Wayne, S. J., Liao, C., &amp; Meuser, J. D. (2014). Servant leadership and serving culture: Influence on individual and unit performance. Academy of Management Journal, 57(5), 1434-1452. </w:t>
      </w:r>
      <w:hyperlink r:id="rId28" w:tgtFrame="_new" w:history="1">
        <w:r w:rsidRPr="002B445D">
          <w:rPr>
            <w:rStyle w:val="Hyperlink"/>
            <w:rFonts w:ascii="Arial" w:hAnsi="Arial" w:cs="Arial"/>
          </w:rPr>
          <w:t>https://search-ebscohost-com.ezproxy.uwtsd.ac.uk/login.aspx?direct=true&amp;db=bth&amp;AN=98835633&amp;site=ehost-live</w:t>
        </w:r>
      </w:hyperlink>
      <w:r w:rsidRPr="002B445D">
        <w:rPr>
          <w:rFonts w:ascii="Arial" w:hAnsi="Arial" w:cs="Arial"/>
        </w:rPr>
        <w:t>.</w:t>
      </w:r>
    </w:p>
    <w:p w14:paraId="7E289633" w14:textId="77777777" w:rsidR="002B445D" w:rsidRPr="002B445D" w:rsidRDefault="002B445D" w:rsidP="002B445D">
      <w:pPr>
        <w:spacing w:line="240" w:lineRule="auto"/>
        <w:rPr>
          <w:rFonts w:ascii="Arial" w:hAnsi="Arial" w:cs="Arial"/>
        </w:rPr>
      </w:pPr>
      <w:bookmarkStart w:id="25" w:name="_Hlk157523384"/>
      <w:r w:rsidRPr="002B445D">
        <w:rPr>
          <w:rFonts w:ascii="Arial" w:hAnsi="Arial" w:cs="Arial"/>
        </w:rPr>
        <w:t xml:space="preserve">Llewellyn, S., Procter, R., Harvey, G., </w:t>
      </w:r>
      <w:proofErr w:type="spellStart"/>
      <w:r w:rsidRPr="002B445D">
        <w:rPr>
          <w:rFonts w:ascii="Arial" w:hAnsi="Arial" w:cs="Arial"/>
        </w:rPr>
        <w:t>Maniatopoulos</w:t>
      </w:r>
      <w:proofErr w:type="spellEnd"/>
      <w:r w:rsidRPr="002B445D">
        <w:rPr>
          <w:rFonts w:ascii="Arial" w:hAnsi="Arial" w:cs="Arial"/>
        </w:rPr>
        <w:t xml:space="preserve">, G., &amp; Boyd, A. (2015). Facilitating technology adoption in the NHS: negotiating the organisational and policy context–a qualitative study. </w:t>
      </w:r>
      <w:hyperlink r:id="rId29" w:history="1">
        <w:r w:rsidRPr="002B445D">
          <w:rPr>
            <w:rStyle w:val="Hyperlink"/>
            <w:rFonts w:ascii="Arial" w:hAnsi="Arial" w:cs="Arial"/>
          </w:rPr>
          <w:t>https://www.ncbi.nlm.nih.gov/books/NBK259898/</w:t>
        </w:r>
      </w:hyperlink>
      <w:r w:rsidRPr="002B445D">
        <w:rPr>
          <w:rFonts w:ascii="Arial" w:hAnsi="Arial" w:cs="Arial"/>
        </w:rPr>
        <w:t xml:space="preserve"> </w:t>
      </w:r>
    </w:p>
    <w:bookmarkEnd w:id="25"/>
    <w:p w14:paraId="76172BDE" w14:textId="77777777" w:rsidR="002B445D" w:rsidRPr="002B445D" w:rsidRDefault="002B445D" w:rsidP="002B445D">
      <w:pPr>
        <w:spacing w:line="240" w:lineRule="auto"/>
        <w:rPr>
          <w:rFonts w:ascii="Arial" w:eastAsia="Times New Roman" w:hAnsi="Arial" w:cs="Arial"/>
        </w:rPr>
      </w:pPr>
      <w:r w:rsidRPr="002B445D">
        <w:rPr>
          <w:rFonts w:ascii="Arial" w:eastAsia="Times New Roman" w:hAnsi="Arial" w:cs="Arial"/>
        </w:rPr>
        <w:t xml:space="preserve">Mahase, E. (2023). Climate emergency: Health sector must prepare for more extreme weather events. </w:t>
      </w:r>
      <w:hyperlink r:id="rId30" w:history="1">
        <w:r w:rsidRPr="002B445D">
          <w:rPr>
            <w:rStyle w:val="Hyperlink"/>
            <w:rFonts w:ascii="Arial" w:hAnsi="Arial" w:cs="Arial"/>
          </w:rPr>
          <w:t>https://doi.org/10.1136/bmj.p2584</w:t>
        </w:r>
      </w:hyperlink>
      <w:r w:rsidRPr="002B445D">
        <w:rPr>
          <w:rFonts w:ascii="Arial" w:eastAsia="Times New Roman" w:hAnsi="Arial" w:cs="Arial"/>
        </w:rPr>
        <w:t xml:space="preserve"> </w:t>
      </w:r>
    </w:p>
    <w:p w14:paraId="71FAE1E6" w14:textId="77777777" w:rsidR="002B445D" w:rsidRPr="002B445D" w:rsidRDefault="002B445D" w:rsidP="002B445D">
      <w:pPr>
        <w:spacing w:line="240" w:lineRule="auto"/>
        <w:rPr>
          <w:rFonts w:ascii="Arial" w:eastAsia="Times New Roman" w:hAnsi="Arial" w:cs="Arial"/>
        </w:rPr>
      </w:pPr>
      <w:proofErr w:type="spellStart"/>
      <w:r w:rsidRPr="002B445D">
        <w:rPr>
          <w:rFonts w:ascii="Arial" w:eastAsia="Times New Roman" w:hAnsi="Arial" w:cs="Arial"/>
        </w:rPr>
        <w:t>Maniatopoulos</w:t>
      </w:r>
      <w:proofErr w:type="spellEnd"/>
      <w:r w:rsidRPr="002B445D">
        <w:rPr>
          <w:rFonts w:ascii="Arial" w:eastAsia="Times New Roman" w:hAnsi="Arial" w:cs="Arial"/>
        </w:rPr>
        <w:t xml:space="preserve">, G., Hunter, D. J., Erskine, J., &amp; Hudson, B. (2020). Large-scale health system transformation in the United Kingdom: Implementing the new care models in the </w:t>
      </w:r>
      <w:r w:rsidRPr="002B445D">
        <w:rPr>
          <w:rFonts w:ascii="Arial" w:eastAsia="Times New Roman" w:hAnsi="Arial" w:cs="Arial"/>
        </w:rPr>
        <w:lastRenderedPageBreak/>
        <w:t>NHS. Journal of health organization and management, 34(3), 325-344.</w:t>
      </w:r>
      <w:r w:rsidRPr="002B445D">
        <w:rPr>
          <w:rFonts w:ascii="Arial" w:hAnsi="Arial" w:cs="Arial"/>
        </w:rPr>
        <w:t xml:space="preserve"> </w:t>
      </w:r>
      <w:hyperlink r:id="rId31" w:history="1">
        <w:r w:rsidRPr="002B445D">
          <w:rPr>
            <w:rStyle w:val="Hyperlink"/>
            <w:rFonts w:ascii="Arial" w:hAnsi="Arial" w:cs="Arial"/>
          </w:rPr>
          <w:t>https://doi.org/10.1108/JHOM-05-2019-0144</w:t>
        </w:r>
      </w:hyperlink>
      <w:r w:rsidRPr="002B445D">
        <w:rPr>
          <w:rFonts w:ascii="Arial" w:eastAsia="Times New Roman" w:hAnsi="Arial" w:cs="Arial"/>
        </w:rPr>
        <w:t xml:space="preserve"> </w:t>
      </w:r>
    </w:p>
    <w:p w14:paraId="40B9374E" w14:textId="3885EA14" w:rsidR="002B445D" w:rsidRDefault="002B445D" w:rsidP="002B445D">
      <w:pPr>
        <w:spacing w:line="240" w:lineRule="auto"/>
        <w:rPr>
          <w:rFonts w:ascii="Arial" w:hAnsi="Arial" w:cs="Arial"/>
        </w:rPr>
      </w:pPr>
      <w:r w:rsidRPr="002B445D">
        <w:rPr>
          <w:rFonts w:ascii="Arial" w:hAnsi="Arial" w:cs="Arial"/>
        </w:rPr>
        <w:t>Mannion, R., &amp; Davies, H. T. (2018</w:t>
      </w:r>
      <w:r w:rsidR="000027E8">
        <w:rPr>
          <w:rFonts w:ascii="Arial" w:hAnsi="Arial" w:cs="Arial"/>
        </w:rPr>
        <w:t>a</w:t>
      </w:r>
      <w:r w:rsidRPr="002B445D">
        <w:rPr>
          <w:rFonts w:ascii="Arial" w:hAnsi="Arial" w:cs="Arial"/>
        </w:rPr>
        <w:t xml:space="preserve">). Cultures of silence and cultures of voice: The role of leadership in improving NHS performance. Public Money &amp; Management, 38(6), 441-448. DOI: </w:t>
      </w:r>
      <w:hyperlink r:id="rId32" w:tgtFrame="_new" w:history="1">
        <w:r w:rsidRPr="002B445D">
          <w:rPr>
            <w:rStyle w:val="Hyperlink"/>
            <w:rFonts w:ascii="Arial" w:hAnsi="Arial" w:cs="Arial"/>
          </w:rPr>
          <w:t>https://doi.org/10.15171/ijhpm.2015.120</w:t>
        </w:r>
      </w:hyperlink>
      <w:r w:rsidRPr="002B445D">
        <w:rPr>
          <w:rFonts w:ascii="Arial" w:hAnsi="Arial" w:cs="Arial"/>
        </w:rPr>
        <w:t>.</w:t>
      </w:r>
    </w:p>
    <w:p w14:paraId="4AF2CC3B" w14:textId="0471CFDF" w:rsidR="000027E8" w:rsidRPr="002B445D" w:rsidRDefault="000027E8" w:rsidP="002B445D">
      <w:pPr>
        <w:spacing w:line="240" w:lineRule="auto"/>
        <w:rPr>
          <w:rFonts w:ascii="Arial" w:hAnsi="Arial" w:cs="Arial"/>
        </w:rPr>
      </w:pPr>
      <w:r w:rsidRPr="000027E8">
        <w:rPr>
          <w:rFonts w:ascii="Arial" w:hAnsi="Arial" w:cs="Arial"/>
        </w:rPr>
        <w:t>Mannion, R., &amp; Davies, H. (2018</w:t>
      </w:r>
      <w:r>
        <w:rPr>
          <w:rFonts w:ascii="Arial" w:hAnsi="Arial" w:cs="Arial"/>
        </w:rPr>
        <w:t>b</w:t>
      </w:r>
      <w:r w:rsidRPr="000027E8">
        <w:rPr>
          <w:rFonts w:ascii="Arial" w:hAnsi="Arial" w:cs="Arial"/>
        </w:rPr>
        <w:t xml:space="preserve">). Understanding Organisational Culture for Healthcare Quality Improvement. British Medical Journal, 363(363). BMJ. </w:t>
      </w:r>
      <w:hyperlink r:id="rId33" w:history="1">
        <w:r w:rsidRPr="001E723F">
          <w:rPr>
            <w:rStyle w:val="Hyperlink"/>
            <w:rFonts w:ascii="Arial" w:hAnsi="Arial" w:cs="Arial"/>
          </w:rPr>
          <w:t>https://doi.org/10.1136/bmj.k4907</w:t>
        </w:r>
      </w:hyperlink>
      <w:r>
        <w:rPr>
          <w:rFonts w:ascii="Arial" w:hAnsi="Arial" w:cs="Arial"/>
        </w:rPr>
        <w:t xml:space="preserve"> </w:t>
      </w:r>
    </w:p>
    <w:p w14:paraId="1C8B83D4" w14:textId="77777777" w:rsidR="002B445D" w:rsidRPr="002B445D" w:rsidRDefault="002B445D" w:rsidP="002B445D">
      <w:pPr>
        <w:spacing w:line="240" w:lineRule="auto"/>
        <w:rPr>
          <w:rFonts w:ascii="Arial" w:hAnsi="Arial" w:cs="Arial"/>
        </w:rPr>
      </w:pPr>
      <w:r w:rsidRPr="002B445D">
        <w:rPr>
          <w:rFonts w:ascii="Arial" w:hAnsi="Arial" w:cs="Arial"/>
        </w:rPr>
        <w:t xml:space="preserve">Martin, G. P., Currie, G., Finn, R., &amp; McDonald, R. (2011). The medium-term sustainability of organizational innovations in the National Health Service. Implementation Science, 6(19), 1-11. </w:t>
      </w:r>
      <w:hyperlink r:id="rId34" w:tgtFrame="_new" w:history="1">
        <w:r w:rsidRPr="002B445D">
          <w:rPr>
            <w:rStyle w:val="Hyperlink"/>
            <w:rFonts w:ascii="Arial" w:hAnsi="Arial" w:cs="Arial"/>
          </w:rPr>
          <w:t>https://doi.org/10.1186/1748-5908-6-19</w:t>
        </w:r>
      </w:hyperlink>
      <w:r w:rsidRPr="002B445D">
        <w:rPr>
          <w:rFonts w:ascii="Arial" w:hAnsi="Arial" w:cs="Arial"/>
        </w:rPr>
        <w:t>.</w:t>
      </w:r>
    </w:p>
    <w:p w14:paraId="2F4D2359" w14:textId="77777777" w:rsidR="002B445D" w:rsidRPr="002B445D" w:rsidRDefault="002B445D" w:rsidP="002B445D">
      <w:pPr>
        <w:spacing w:line="240" w:lineRule="auto"/>
        <w:rPr>
          <w:rFonts w:ascii="Arial" w:hAnsi="Arial" w:cs="Arial"/>
        </w:rPr>
      </w:pPr>
      <w:r w:rsidRPr="002B445D">
        <w:rPr>
          <w:rFonts w:ascii="Arial" w:hAnsi="Arial" w:cs="Arial"/>
        </w:rPr>
        <w:t xml:space="preserve">Martin, G., Beech, N., MacIntosh, R., &amp; Bushfield, S. (2015). Potential challenges facing distributed leadership in health care: evidence from the UK National Health Service. Sociology of health &amp; illness, 37(1), 14-29. </w:t>
      </w:r>
      <w:hyperlink r:id="rId35" w:tgtFrame="_new" w:history="1">
        <w:r w:rsidRPr="002B445D">
          <w:rPr>
            <w:rStyle w:val="Hyperlink"/>
            <w:rFonts w:ascii="Arial" w:hAnsi="Arial" w:cs="Arial"/>
          </w:rPr>
          <w:t>https://doi-org.ezproxy.uwtsd.ac.uk/10.1111/1467-9566.12171</w:t>
        </w:r>
      </w:hyperlink>
      <w:r w:rsidRPr="002B445D">
        <w:rPr>
          <w:rFonts w:ascii="Arial" w:hAnsi="Arial" w:cs="Arial"/>
        </w:rPr>
        <w:t>.</w:t>
      </w:r>
    </w:p>
    <w:p w14:paraId="3D51E42D" w14:textId="77777777" w:rsidR="002B445D" w:rsidRPr="002B445D" w:rsidRDefault="002B445D" w:rsidP="002B445D">
      <w:pPr>
        <w:spacing w:line="240" w:lineRule="auto"/>
        <w:rPr>
          <w:rFonts w:ascii="Arial" w:hAnsi="Arial" w:cs="Arial"/>
        </w:rPr>
      </w:pPr>
      <w:r w:rsidRPr="002B445D">
        <w:rPr>
          <w:rFonts w:ascii="Arial" w:hAnsi="Arial" w:cs="Arial"/>
        </w:rPr>
        <w:t xml:space="preserve">Meyer, J. W., &amp; Rowan, B. (1977). Institutionalized organizations: Formal structure as myth and ceremony. American journal of sociology, 83(2), 340-363. </w:t>
      </w:r>
      <w:hyperlink r:id="rId36" w:history="1">
        <w:r w:rsidRPr="002B445D">
          <w:rPr>
            <w:rStyle w:val="Hyperlink"/>
            <w:rFonts w:ascii="Arial" w:hAnsi="Arial" w:cs="Arial"/>
          </w:rPr>
          <w:t>https://www.jstor.org/stable/2778293</w:t>
        </w:r>
      </w:hyperlink>
      <w:r w:rsidRPr="002B445D">
        <w:rPr>
          <w:rFonts w:ascii="Arial" w:hAnsi="Arial" w:cs="Arial"/>
        </w:rPr>
        <w:t xml:space="preserve"> </w:t>
      </w:r>
    </w:p>
    <w:p w14:paraId="09AB59D5" w14:textId="77777777" w:rsidR="002B445D" w:rsidRPr="002B445D" w:rsidRDefault="002B445D" w:rsidP="002B445D">
      <w:pPr>
        <w:spacing w:line="240" w:lineRule="auto"/>
        <w:rPr>
          <w:rFonts w:ascii="Arial" w:hAnsi="Arial" w:cs="Arial"/>
        </w:rPr>
      </w:pPr>
      <w:r w:rsidRPr="002B445D">
        <w:rPr>
          <w:rFonts w:ascii="Arial" w:hAnsi="Arial" w:cs="Arial"/>
        </w:rPr>
        <w:t xml:space="preserve">Neves, A. L., van Dael, J., O’Brien, N., Flott, K., Ghafur, S., Darzi, A., &amp; Mayer, E. (2021). Use and impact of virtual primary care on quality and safety: The public's perspectives during the COVID-19 pandemic. Journal of Telemedicine and Telecare, 1357633X211066235. Retrieved from </w:t>
      </w:r>
      <w:hyperlink r:id="rId37" w:history="1">
        <w:r w:rsidRPr="002B445D">
          <w:rPr>
            <w:rStyle w:val="Hyperlink"/>
            <w:rFonts w:ascii="Arial" w:hAnsi="Arial" w:cs="Arial"/>
          </w:rPr>
          <w:t>https://doi.org/10.1177/1357633X211066235</w:t>
        </w:r>
      </w:hyperlink>
      <w:r w:rsidRPr="002B445D">
        <w:rPr>
          <w:rFonts w:ascii="Arial" w:hAnsi="Arial" w:cs="Arial"/>
        </w:rPr>
        <w:t xml:space="preserve"> </w:t>
      </w:r>
    </w:p>
    <w:p w14:paraId="0DA1FECC" w14:textId="77777777" w:rsidR="002B445D" w:rsidRPr="002B445D" w:rsidRDefault="002B445D" w:rsidP="002B445D">
      <w:pPr>
        <w:spacing w:line="240" w:lineRule="auto"/>
        <w:rPr>
          <w:rFonts w:ascii="Arial" w:eastAsia="Times New Roman" w:hAnsi="Arial" w:cs="Arial"/>
        </w:rPr>
      </w:pPr>
      <w:r w:rsidRPr="002B445D">
        <w:rPr>
          <w:rFonts w:ascii="Arial" w:eastAsia="Times New Roman" w:hAnsi="Arial" w:cs="Arial"/>
        </w:rPr>
        <w:t xml:space="preserve">NHS England. (2020a). NHS becomes the world’s first national health system to commit to become carbon net zero. Retrieved from </w:t>
      </w:r>
      <w:hyperlink r:id="rId38" w:history="1">
        <w:r w:rsidRPr="002B445D">
          <w:rPr>
            <w:rStyle w:val="Hyperlink"/>
            <w:rFonts w:ascii="Arial" w:hAnsi="Arial" w:cs="Arial"/>
          </w:rPr>
          <w:t>https://www.england.nhs.uk/2020/10/nhs-becomes-the-worlds-national-health-system-to-commit-to-become-carbon-net-zero-backed-by-clear-deliverables-and-milestones/</w:t>
        </w:r>
      </w:hyperlink>
    </w:p>
    <w:p w14:paraId="1AB8975A" w14:textId="77777777" w:rsidR="002B445D" w:rsidRPr="002B445D" w:rsidRDefault="002B445D" w:rsidP="002B445D">
      <w:pPr>
        <w:spacing w:line="240" w:lineRule="auto"/>
        <w:rPr>
          <w:rFonts w:ascii="Arial" w:hAnsi="Arial" w:cs="Arial"/>
        </w:rPr>
      </w:pPr>
      <w:r w:rsidRPr="002B445D">
        <w:rPr>
          <w:rFonts w:ascii="Arial" w:hAnsi="Arial" w:cs="Arial"/>
        </w:rPr>
        <w:t xml:space="preserve">NHS England. (2020b). NHS and the Environment. Retrieved from </w:t>
      </w:r>
      <w:hyperlink r:id="rId39" w:history="1">
        <w:r w:rsidRPr="002B445D">
          <w:rPr>
            <w:rStyle w:val="Hyperlink"/>
            <w:rFonts w:ascii="Arial" w:hAnsi="Arial" w:cs="Arial"/>
          </w:rPr>
          <w:t>https://www.england.nhs.uk/greenernhs/</w:t>
        </w:r>
      </w:hyperlink>
      <w:r w:rsidRPr="002B445D">
        <w:rPr>
          <w:rFonts w:ascii="Arial" w:hAnsi="Arial" w:cs="Arial"/>
        </w:rPr>
        <w:t xml:space="preserve"> </w:t>
      </w:r>
    </w:p>
    <w:p w14:paraId="369316DC" w14:textId="77777777" w:rsidR="002B445D" w:rsidRPr="002B445D" w:rsidRDefault="002B445D" w:rsidP="002B445D">
      <w:pPr>
        <w:spacing w:line="240" w:lineRule="auto"/>
        <w:rPr>
          <w:rFonts w:ascii="Arial" w:eastAsia="Times New Roman" w:hAnsi="Arial" w:cs="Arial"/>
        </w:rPr>
      </w:pPr>
      <w:r w:rsidRPr="002B445D">
        <w:rPr>
          <w:rFonts w:ascii="Arial" w:eastAsia="Times New Roman" w:hAnsi="Arial" w:cs="Arial"/>
        </w:rPr>
        <w:t>NHS</w:t>
      </w:r>
      <w:r w:rsidRPr="002B445D">
        <w:rPr>
          <w:rFonts w:ascii="Arial" w:hAnsi="Arial" w:cs="Arial"/>
        </w:rPr>
        <w:t xml:space="preserve"> England</w:t>
      </w:r>
      <w:r w:rsidRPr="002B445D">
        <w:rPr>
          <w:rFonts w:ascii="Arial" w:eastAsia="Times New Roman" w:hAnsi="Arial" w:cs="Arial"/>
        </w:rPr>
        <w:t xml:space="preserve">. (2020c). For a greener NHS» A Net Zero NHS. Www.england.nhs.uk. </w:t>
      </w:r>
      <w:hyperlink r:id="rId40" w:history="1">
        <w:r w:rsidRPr="002B445D">
          <w:rPr>
            <w:rStyle w:val="Hyperlink"/>
            <w:rFonts w:ascii="Arial" w:hAnsi="Arial" w:cs="Arial"/>
          </w:rPr>
          <w:t>https://www.england.nhs.uk/greenernhs/a-net-zero-nhs/</w:t>
        </w:r>
      </w:hyperlink>
      <w:r w:rsidRPr="002B445D">
        <w:rPr>
          <w:rFonts w:ascii="Arial" w:eastAsia="Times New Roman" w:hAnsi="Arial" w:cs="Arial"/>
        </w:rPr>
        <w:t xml:space="preserve"> </w:t>
      </w:r>
    </w:p>
    <w:p w14:paraId="43E0D47B" w14:textId="77777777" w:rsidR="002B445D" w:rsidRPr="002B445D" w:rsidRDefault="002B445D" w:rsidP="002B445D">
      <w:pPr>
        <w:spacing w:line="240" w:lineRule="auto"/>
        <w:rPr>
          <w:rFonts w:ascii="Arial" w:hAnsi="Arial" w:cs="Arial"/>
        </w:rPr>
      </w:pPr>
      <w:r w:rsidRPr="002B445D">
        <w:rPr>
          <w:rFonts w:ascii="Arial" w:hAnsi="Arial" w:cs="Arial"/>
        </w:rPr>
        <w:t xml:space="preserve">NHS England. (2021). NHS People Plan. Retrieved from </w:t>
      </w:r>
      <w:hyperlink r:id="rId41" w:history="1">
        <w:r w:rsidRPr="002B445D">
          <w:rPr>
            <w:rStyle w:val="Hyperlink"/>
            <w:rFonts w:ascii="Arial" w:hAnsi="Arial" w:cs="Arial"/>
          </w:rPr>
          <w:t>https://www.england.nhs.uk/ournhspeople/online-version/</w:t>
        </w:r>
      </w:hyperlink>
    </w:p>
    <w:p w14:paraId="2344555E" w14:textId="77777777" w:rsidR="002B445D" w:rsidRPr="002B445D" w:rsidRDefault="002B445D" w:rsidP="002B445D">
      <w:pPr>
        <w:spacing w:line="240" w:lineRule="auto"/>
        <w:rPr>
          <w:rFonts w:ascii="Arial" w:hAnsi="Arial" w:cs="Arial"/>
        </w:rPr>
      </w:pPr>
      <w:r w:rsidRPr="002B445D">
        <w:rPr>
          <w:rFonts w:ascii="Arial" w:hAnsi="Arial" w:cs="Arial"/>
        </w:rPr>
        <w:t xml:space="preserve">NHS England. (2022). Evolving to meet a changing world. Www.england.nhs.uk. </w:t>
      </w:r>
      <w:hyperlink r:id="rId42" w:history="1">
        <w:r w:rsidRPr="002B445D">
          <w:rPr>
            <w:rStyle w:val="Hyperlink"/>
            <w:rFonts w:ascii="Arial" w:hAnsi="Arial" w:cs="Arial"/>
          </w:rPr>
          <w:t>https://www.england.nhs.uk/future-of-human-resources-and-organisational-development/the-future-of-nhs-human-resources-and-organisational-development-report/evolving-to-meet-a-changing-world/</w:t>
        </w:r>
      </w:hyperlink>
      <w:r w:rsidRPr="002B445D">
        <w:rPr>
          <w:rFonts w:ascii="Arial" w:hAnsi="Arial" w:cs="Arial"/>
        </w:rPr>
        <w:t xml:space="preserve">  Stewart, E., Greer, S. L., Ercia, A., &amp; Donnelly, P. D. (2020). Transforming health care: the policy and politics of service reconfiguration in the UK's four health systems. Health Economics, </w:t>
      </w:r>
      <w:proofErr w:type="gramStart"/>
      <w:r w:rsidRPr="002B445D">
        <w:rPr>
          <w:rFonts w:ascii="Arial" w:hAnsi="Arial" w:cs="Arial"/>
        </w:rPr>
        <w:t>Policy</w:t>
      </w:r>
      <w:proofErr w:type="gramEnd"/>
      <w:r w:rsidRPr="002B445D">
        <w:rPr>
          <w:rFonts w:ascii="Arial" w:hAnsi="Arial" w:cs="Arial"/>
        </w:rPr>
        <w:t xml:space="preserve"> and Law, 15(3), 289-307. </w:t>
      </w:r>
      <w:hyperlink r:id="rId43" w:history="1">
        <w:r w:rsidRPr="002B445D">
          <w:rPr>
            <w:rStyle w:val="Hyperlink"/>
            <w:rFonts w:ascii="Arial" w:hAnsi="Arial" w:cs="Arial"/>
          </w:rPr>
          <w:t>https://doi.org/10.1017/S1744133119000148</w:t>
        </w:r>
      </w:hyperlink>
      <w:r w:rsidRPr="002B445D">
        <w:rPr>
          <w:rFonts w:ascii="Arial" w:hAnsi="Arial" w:cs="Arial"/>
        </w:rPr>
        <w:t xml:space="preserve"> </w:t>
      </w:r>
    </w:p>
    <w:p w14:paraId="0F8BB318" w14:textId="77777777" w:rsidR="002B445D" w:rsidRPr="002B445D" w:rsidRDefault="002B445D" w:rsidP="002B445D">
      <w:pPr>
        <w:spacing w:line="240" w:lineRule="auto"/>
        <w:rPr>
          <w:rFonts w:ascii="Arial" w:hAnsi="Arial" w:cs="Arial"/>
        </w:rPr>
      </w:pPr>
      <w:r w:rsidRPr="002B445D">
        <w:rPr>
          <w:rFonts w:ascii="Arial" w:hAnsi="Arial" w:cs="Arial"/>
        </w:rPr>
        <w:t xml:space="preserve">NHS England. (2023). NHS Long Term Workforce Plan. </w:t>
      </w:r>
      <w:hyperlink r:id="rId44" w:tgtFrame="_new" w:history="1">
        <w:r w:rsidRPr="002B445D">
          <w:rPr>
            <w:rStyle w:val="Hyperlink"/>
            <w:rFonts w:ascii="Arial" w:hAnsi="Arial" w:cs="Arial"/>
          </w:rPr>
          <w:t>https://www.england.nhs.uk/wp-content/uploads/2023/06/nhs-long-term-workforce-plan-v1.2.pdf</w:t>
        </w:r>
      </w:hyperlink>
    </w:p>
    <w:p w14:paraId="7D625F2E" w14:textId="77777777" w:rsidR="002B445D" w:rsidRPr="002B445D" w:rsidRDefault="002B445D" w:rsidP="002B445D">
      <w:pPr>
        <w:spacing w:line="240" w:lineRule="auto"/>
        <w:rPr>
          <w:rFonts w:ascii="Arial" w:hAnsi="Arial" w:cs="Arial"/>
        </w:rPr>
      </w:pPr>
      <w:r w:rsidRPr="002B445D">
        <w:rPr>
          <w:rFonts w:ascii="Arial" w:eastAsia="Times New Roman" w:hAnsi="Arial" w:cs="Arial"/>
        </w:rPr>
        <w:t xml:space="preserve">Office for Health Improvement and Disparities. (2022, October 11). Health Disparities and Health inequalities: Applying All Our Health. Gov.uk. </w:t>
      </w:r>
      <w:hyperlink r:id="rId45" w:history="1">
        <w:r w:rsidRPr="002B445D">
          <w:rPr>
            <w:rStyle w:val="Hyperlink"/>
            <w:rFonts w:ascii="Arial" w:hAnsi="Arial" w:cs="Arial"/>
          </w:rPr>
          <w:t>https://www.gov.uk/government/publications/health-disparities-and-health-inequalities-applying-all-our-health/health-disparities-and-health-inequalities-applying-all-our-health</w:t>
        </w:r>
      </w:hyperlink>
      <w:r w:rsidRPr="002B445D">
        <w:rPr>
          <w:rFonts w:ascii="Arial" w:eastAsia="Times New Roman" w:hAnsi="Arial" w:cs="Arial"/>
        </w:rPr>
        <w:t xml:space="preserve"> </w:t>
      </w:r>
    </w:p>
    <w:p w14:paraId="41EA6225" w14:textId="77777777" w:rsidR="002B445D" w:rsidRPr="002B445D" w:rsidRDefault="002B445D" w:rsidP="002B445D">
      <w:pPr>
        <w:spacing w:line="240" w:lineRule="auto"/>
        <w:rPr>
          <w:rFonts w:ascii="Arial" w:hAnsi="Arial" w:cs="Arial"/>
        </w:rPr>
      </w:pPr>
      <w:r w:rsidRPr="002B445D">
        <w:rPr>
          <w:rFonts w:ascii="Arial" w:hAnsi="Arial" w:cs="Arial"/>
        </w:rPr>
        <w:lastRenderedPageBreak/>
        <w:t xml:space="preserve">Pfeffer, J., &amp; </w:t>
      </w:r>
      <w:proofErr w:type="spellStart"/>
      <w:r w:rsidRPr="002B445D">
        <w:rPr>
          <w:rFonts w:ascii="Arial" w:hAnsi="Arial" w:cs="Arial"/>
        </w:rPr>
        <w:t>Salancik</w:t>
      </w:r>
      <w:proofErr w:type="spellEnd"/>
      <w:r w:rsidRPr="002B445D">
        <w:rPr>
          <w:rFonts w:ascii="Arial" w:hAnsi="Arial" w:cs="Arial"/>
        </w:rPr>
        <w:t>, G. R. (1978). The External Control of Organizations: A Resource Dependence Perspective.</w:t>
      </w:r>
    </w:p>
    <w:p w14:paraId="57C3F7C9" w14:textId="77777777" w:rsidR="002B445D" w:rsidRPr="002B445D" w:rsidRDefault="002B445D" w:rsidP="002B445D">
      <w:pPr>
        <w:spacing w:line="240" w:lineRule="auto"/>
        <w:rPr>
          <w:rFonts w:ascii="Arial" w:eastAsia="Times New Roman" w:hAnsi="Arial" w:cs="Arial"/>
        </w:rPr>
      </w:pPr>
      <w:r w:rsidRPr="002B445D">
        <w:rPr>
          <w:rFonts w:ascii="Arial" w:eastAsia="Times New Roman" w:hAnsi="Arial" w:cs="Arial"/>
        </w:rPr>
        <w:t>Pineo, H., Zimmermann, N., &amp; Davies, M. (2020). Integrating health into the complex urban planning policy and decision-making context: A systems thinking analysis. Palgrave Communications, 6(1).</w:t>
      </w:r>
      <w:r w:rsidRPr="002B445D">
        <w:rPr>
          <w:rFonts w:ascii="Arial" w:hAnsi="Arial" w:cs="Arial"/>
        </w:rPr>
        <w:t xml:space="preserve"> </w:t>
      </w:r>
      <w:hyperlink r:id="rId46" w:history="1">
        <w:r w:rsidRPr="002B445D">
          <w:rPr>
            <w:rStyle w:val="Hyperlink"/>
            <w:rFonts w:ascii="Arial" w:hAnsi="Arial" w:cs="Arial"/>
          </w:rPr>
          <w:t>https://doi.org/10.1057/s41599-020-0398-3</w:t>
        </w:r>
      </w:hyperlink>
      <w:r w:rsidRPr="002B445D">
        <w:rPr>
          <w:rFonts w:ascii="Arial" w:eastAsia="Times New Roman" w:hAnsi="Arial" w:cs="Arial"/>
        </w:rPr>
        <w:t xml:space="preserve"> </w:t>
      </w:r>
    </w:p>
    <w:p w14:paraId="1405CBC4" w14:textId="77777777" w:rsidR="002B445D" w:rsidRPr="002B445D" w:rsidRDefault="002B445D" w:rsidP="002B445D">
      <w:pPr>
        <w:spacing w:line="240" w:lineRule="auto"/>
        <w:rPr>
          <w:rFonts w:ascii="Arial" w:hAnsi="Arial" w:cs="Arial"/>
        </w:rPr>
      </w:pPr>
      <w:r w:rsidRPr="002B445D">
        <w:rPr>
          <w:rFonts w:ascii="Arial" w:hAnsi="Arial" w:cs="Arial"/>
        </w:rPr>
        <w:t xml:space="preserve">Price, Green, W., &amp; </w:t>
      </w:r>
      <w:proofErr w:type="spellStart"/>
      <w:r w:rsidRPr="002B445D">
        <w:rPr>
          <w:rFonts w:ascii="Arial" w:hAnsi="Arial" w:cs="Arial"/>
        </w:rPr>
        <w:t>Suhomlinova</w:t>
      </w:r>
      <w:proofErr w:type="spellEnd"/>
      <w:r w:rsidRPr="002B445D">
        <w:rPr>
          <w:rFonts w:ascii="Arial" w:hAnsi="Arial" w:cs="Arial"/>
        </w:rPr>
        <w:t xml:space="preserve">, O. (2019). Twenty-five years of national health IT: exploring strategy, structure, and systems in the English NHS. Journal of the American Medical Informatics </w:t>
      </w:r>
      <w:proofErr w:type="gramStart"/>
      <w:r w:rsidRPr="002B445D">
        <w:rPr>
          <w:rFonts w:ascii="Arial" w:hAnsi="Arial" w:cs="Arial"/>
        </w:rPr>
        <w:t>Association :</w:t>
      </w:r>
      <w:proofErr w:type="gramEnd"/>
      <w:r w:rsidRPr="002B445D">
        <w:rPr>
          <w:rFonts w:ascii="Arial" w:hAnsi="Arial" w:cs="Arial"/>
        </w:rPr>
        <w:t xml:space="preserve"> JAMIA., 26(3), 188–197. </w:t>
      </w:r>
      <w:hyperlink r:id="rId47" w:tgtFrame="_new" w:history="1">
        <w:r w:rsidRPr="002B445D">
          <w:rPr>
            <w:rStyle w:val="Hyperlink"/>
            <w:rFonts w:ascii="Arial" w:hAnsi="Arial" w:cs="Arial"/>
          </w:rPr>
          <w:t>https://doi.org/10.1093/jamia/ocy162</w:t>
        </w:r>
      </w:hyperlink>
      <w:r w:rsidRPr="002B445D">
        <w:rPr>
          <w:rFonts w:ascii="Arial" w:hAnsi="Arial" w:cs="Arial"/>
        </w:rPr>
        <w:t>.</w:t>
      </w:r>
    </w:p>
    <w:p w14:paraId="3D66C757" w14:textId="77777777" w:rsidR="002B445D" w:rsidRPr="002B445D" w:rsidRDefault="002B445D" w:rsidP="002B445D">
      <w:pPr>
        <w:spacing w:line="240" w:lineRule="auto"/>
        <w:rPr>
          <w:rFonts w:ascii="Arial" w:hAnsi="Arial" w:cs="Arial"/>
        </w:rPr>
      </w:pPr>
      <w:r w:rsidRPr="002B445D">
        <w:rPr>
          <w:rFonts w:ascii="Arial" w:hAnsi="Arial" w:cs="Arial"/>
        </w:rPr>
        <w:t xml:space="preserve">Propper, C., Stoye, G., &amp; </w:t>
      </w:r>
      <w:proofErr w:type="spellStart"/>
      <w:r w:rsidRPr="002B445D">
        <w:rPr>
          <w:rFonts w:ascii="Arial" w:hAnsi="Arial" w:cs="Arial"/>
        </w:rPr>
        <w:t>Zaranko</w:t>
      </w:r>
      <w:proofErr w:type="spellEnd"/>
      <w:r w:rsidRPr="002B445D">
        <w:rPr>
          <w:rFonts w:ascii="Arial" w:hAnsi="Arial" w:cs="Arial"/>
        </w:rPr>
        <w:t xml:space="preserve">, B. (2020). The wider impacts of the coronavirus pandemic on the NHS. Fiscal Studies, 41(2), 345-356. DOI: </w:t>
      </w:r>
      <w:hyperlink r:id="rId48" w:tgtFrame="_new" w:history="1">
        <w:r w:rsidRPr="002B445D">
          <w:rPr>
            <w:rStyle w:val="Hyperlink"/>
            <w:rFonts w:ascii="Arial" w:hAnsi="Arial" w:cs="Arial"/>
          </w:rPr>
          <w:t>https://doi.org/10.1111/1475-5890.12227</w:t>
        </w:r>
      </w:hyperlink>
      <w:r w:rsidRPr="002B445D">
        <w:rPr>
          <w:rFonts w:ascii="Arial" w:hAnsi="Arial" w:cs="Arial"/>
        </w:rPr>
        <w:t>.</w:t>
      </w:r>
    </w:p>
    <w:p w14:paraId="2AFA23BB" w14:textId="77777777" w:rsidR="002B445D" w:rsidRPr="002B445D" w:rsidRDefault="002B445D" w:rsidP="002B445D">
      <w:pPr>
        <w:spacing w:line="240" w:lineRule="auto"/>
        <w:rPr>
          <w:rFonts w:ascii="Arial" w:hAnsi="Arial" w:cs="Arial"/>
        </w:rPr>
      </w:pPr>
      <w:r w:rsidRPr="002B445D">
        <w:rPr>
          <w:rFonts w:ascii="Arial" w:hAnsi="Arial" w:cs="Arial"/>
        </w:rPr>
        <w:t xml:space="preserve">Robertson, R. (2016). How are NHS financial pressures affecting patient care? The King’s Fund. Retrieved from </w:t>
      </w:r>
      <w:hyperlink r:id="rId49" w:tgtFrame="_new" w:history="1">
        <w:r w:rsidRPr="002B445D">
          <w:rPr>
            <w:rStyle w:val="Hyperlink"/>
            <w:rFonts w:ascii="Arial" w:hAnsi="Arial" w:cs="Arial"/>
          </w:rPr>
          <w:t>https://www.kingsfund.org.uk/blog/2016/03/nhs-financial-pressures-patient-care</w:t>
        </w:r>
      </w:hyperlink>
      <w:r w:rsidRPr="002B445D">
        <w:rPr>
          <w:rFonts w:ascii="Arial" w:hAnsi="Arial" w:cs="Arial"/>
        </w:rPr>
        <w:t>.</w:t>
      </w:r>
    </w:p>
    <w:p w14:paraId="59398F94" w14:textId="77777777" w:rsidR="002B445D" w:rsidRPr="002B445D" w:rsidRDefault="002B445D" w:rsidP="002B445D">
      <w:pPr>
        <w:spacing w:line="240" w:lineRule="auto"/>
        <w:rPr>
          <w:rFonts w:ascii="Arial" w:hAnsi="Arial" w:cs="Arial"/>
        </w:rPr>
      </w:pPr>
      <w:bookmarkStart w:id="26" w:name="_Hlk157509341"/>
      <w:r w:rsidRPr="002B445D">
        <w:rPr>
          <w:rFonts w:ascii="Arial" w:hAnsi="Arial" w:cs="Arial"/>
        </w:rPr>
        <w:t>Rogers, E. M. (2003). Diffusion of Innovations, 5th Edition. Free Press.</w:t>
      </w:r>
    </w:p>
    <w:bookmarkEnd w:id="26"/>
    <w:p w14:paraId="10460805" w14:textId="77777777" w:rsidR="002B445D" w:rsidRPr="002B445D" w:rsidRDefault="002B445D" w:rsidP="002B445D">
      <w:pPr>
        <w:spacing w:line="240" w:lineRule="auto"/>
        <w:rPr>
          <w:rFonts w:ascii="Arial" w:hAnsi="Arial" w:cs="Arial"/>
        </w:rPr>
      </w:pPr>
      <w:r w:rsidRPr="002B445D">
        <w:rPr>
          <w:rFonts w:ascii="Arial" w:hAnsi="Arial" w:cs="Arial"/>
        </w:rPr>
        <w:t xml:space="preserve">Shuttleworth, K., &amp; Nicholson, E. (2020). Devolution and the NHS. Institute for Government. Retrieved from </w:t>
      </w:r>
      <w:hyperlink r:id="rId50" w:history="1">
        <w:r w:rsidRPr="002B445D">
          <w:rPr>
            <w:rStyle w:val="Hyperlink"/>
            <w:rFonts w:ascii="Arial" w:hAnsi="Arial" w:cs="Arial"/>
          </w:rPr>
          <w:t>https://www.instituteforgovernment.org.uk/explainer/devolution-and-nhs</w:t>
        </w:r>
      </w:hyperlink>
      <w:r w:rsidRPr="002B445D">
        <w:rPr>
          <w:rFonts w:ascii="Arial" w:hAnsi="Arial" w:cs="Arial"/>
        </w:rPr>
        <w:t xml:space="preserve">. </w:t>
      </w:r>
    </w:p>
    <w:p w14:paraId="69AE66D4" w14:textId="77777777" w:rsidR="002B445D" w:rsidRPr="002B445D" w:rsidRDefault="002B445D" w:rsidP="002B445D">
      <w:pPr>
        <w:spacing w:line="240" w:lineRule="auto"/>
        <w:rPr>
          <w:rFonts w:ascii="Arial" w:hAnsi="Arial" w:cs="Arial"/>
        </w:rPr>
      </w:pPr>
      <w:r w:rsidRPr="002B445D">
        <w:rPr>
          <w:rFonts w:ascii="Arial" w:hAnsi="Arial" w:cs="Arial"/>
        </w:rPr>
        <w:t xml:space="preserve">Singh, V., Kumar, A., &amp; Gupta, S. (2022). Mental health prevention and promotion—A narrative review. Frontiers in Psychiatry, 13, 898009. </w:t>
      </w:r>
      <w:hyperlink r:id="rId51" w:tgtFrame="_new" w:history="1">
        <w:r w:rsidRPr="002B445D">
          <w:rPr>
            <w:rStyle w:val="Hyperlink"/>
            <w:rFonts w:ascii="Arial" w:hAnsi="Arial" w:cs="Arial"/>
          </w:rPr>
          <w:t>https://doi.org/10.3389/fpsyt.2022.898009</w:t>
        </w:r>
      </w:hyperlink>
      <w:r w:rsidRPr="002B445D">
        <w:rPr>
          <w:rFonts w:ascii="Arial" w:hAnsi="Arial" w:cs="Arial"/>
        </w:rPr>
        <w:t>.</w:t>
      </w:r>
    </w:p>
    <w:p w14:paraId="62ABCA00" w14:textId="77777777" w:rsidR="002B445D" w:rsidRPr="002B445D" w:rsidRDefault="002B445D" w:rsidP="002B445D">
      <w:pPr>
        <w:spacing w:line="240" w:lineRule="auto"/>
        <w:rPr>
          <w:rFonts w:ascii="Arial" w:eastAsia="Times New Roman" w:hAnsi="Arial" w:cs="Arial"/>
        </w:rPr>
      </w:pPr>
      <w:r w:rsidRPr="002B445D">
        <w:rPr>
          <w:rFonts w:ascii="Arial" w:eastAsia="Times New Roman" w:hAnsi="Arial" w:cs="Arial"/>
        </w:rPr>
        <w:t xml:space="preserve">Stevenson, R. D., &amp; Moore, D. E. (2019). A culture of learning for the NHS. Journal of European CME, 8(1), 1613862. </w:t>
      </w:r>
      <w:hyperlink r:id="rId52" w:history="1">
        <w:r w:rsidRPr="002B445D">
          <w:rPr>
            <w:rStyle w:val="Hyperlink"/>
            <w:rFonts w:ascii="Arial" w:hAnsi="Arial" w:cs="Arial"/>
          </w:rPr>
          <w:t>https://doi.org/10.1080/21614083.2019.1613862</w:t>
        </w:r>
      </w:hyperlink>
      <w:r w:rsidRPr="002B445D">
        <w:rPr>
          <w:rFonts w:ascii="Arial" w:eastAsia="Times New Roman" w:hAnsi="Arial" w:cs="Arial"/>
        </w:rPr>
        <w:t xml:space="preserve"> </w:t>
      </w:r>
    </w:p>
    <w:p w14:paraId="73714CEB" w14:textId="77777777" w:rsidR="002B445D" w:rsidRPr="002B445D" w:rsidRDefault="002B445D" w:rsidP="002B445D">
      <w:pPr>
        <w:rPr>
          <w:rFonts w:ascii="Arial" w:hAnsi="Arial" w:cs="Arial"/>
        </w:rPr>
      </w:pPr>
      <w:r w:rsidRPr="002B445D">
        <w:rPr>
          <w:rFonts w:ascii="Arial" w:hAnsi="Arial" w:cs="Arial"/>
        </w:rPr>
        <w:t xml:space="preserve">Stone, J. (2022, December 19). Brexit damaging NHS with staff shortages and expensive medicines, study finds. The Independent. </w:t>
      </w:r>
      <w:hyperlink r:id="rId53" w:history="1">
        <w:r w:rsidRPr="002B445D">
          <w:rPr>
            <w:rStyle w:val="Hyperlink"/>
            <w:rFonts w:ascii="Arial" w:hAnsi="Arial" w:cs="Arial"/>
          </w:rPr>
          <w:t>https://www.independent.co.uk/news/uk/politics/brexit-nhs-staff-medicine-shortages-b2247575.html</w:t>
        </w:r>
      </w:hyperlink>
      <w:r w:rsidRPr="002B445D">
        <w:rPr>
          <w:rFonts w:ascii="Arial" w:hAnsi="Arial" w:cs="Arial"/>
        </w:rPr>
        <w:t xml:space="preserve"> </w:t>
      </w:r>
    </w:p>
    <w:p w14:paraId="5CA0DB4A" w14:textId="77777777" w:rsidR="002B445D" w:rsidRDefault="002B445D" w:rsidP="002B445D">
      <w:pPr>
        <w:spacing w:line="240" w:lineRule="auto"/>
        <w:rPr>
          <w:rFonts w:ascii="Arial" w:eastAsia="Times New Roman" w:hAnsi="Arial" w:cs="Arial"/>
        </w:rPr>
      </w:pPr>
      <w:r w:rsidRPr="002B445D">
        <w:rPr>
          <w:rFonts w:ascii="Arial" w:eastAsia="Times New Roman" w:hAnsi="Arial" w:cs="Arial"/>
        </w:rPr>
        <w:t xml:space="preserve">Tennison, I., </w:t>
      </w:r>
      <w:proofErr w:type="spellStart"/>
      <w:r w:rsidRPr="002B445D">
        <w:rPr>
          <w:rFonts w:ascii="Arial" w:eastAsia="Times New Roman" w:hAnsi="Arial" w:cs="Arial"/>
        </w:rPr>
        <w:t>Roschnik</w:t>
      </w:r>
      <w:proofErr w:type="spellEnd"/>
      <w:r w:rsidRPr="002B445D">
        <w:rPr>
          <w:rFonts w:ascii="Arial" w:eastAsia="Times New Roman" w:hAnsi="Arial" w:cs="Arial"/>
        </w:rPr>
        <w:t xml:space="preserve">, S., Ashby, B., Boyd, R., Hamilton, I., </w:t>
      </w:r>
      <w:proofErr w:type="spellStart"/>
      <w:r w:rsidRPr="002B445D">
        <w:rPr>
          <w:rFonts w:ascii="Arial" w:eastAsia="Times New Roman" w:hAnsi="Arial" w:cs="Arial"/>
        </w:rPr>
        <w:t>Oreszczyn</w:t>
      </w:r>
      <w:proofErr w:type="spellEnd"/>
      <w:r w:rsidRPr="002B445D">
        <w:rPr>
          <w:rFonts w:ascii="Arial" w:eastAsia="Times New Roman" w:hAnsi="Arial" w:cs="Arial"/>
        </w:rPr>
        <w:t>, T., ... &amp; Eckelman, M. J. (2021). Health care's response to climate change: a carbon footprint assessment of the NHS in England. The Lancet Planetary Health, 5(2), e84-e92.</w:t>
      </w:r>
      <w:r w:rsidRPr="002B445D">
        <w:rPr>
          <w:rFonts w:ascii="Arial" w:hAnsi="Arial" w:cs="Arial"/>
        </w:rPr>
        <w:t xml:space="preserve"> </w:t>
      </w:r>
      <w:hyperlink r:id="rId54" w:history="1">
        <w:r w:rsidRPr="002B445D">
          <w:rPr>
            <w:rStyle w:val="Hyperlink"/>
            <w:rFonts w:ascii="Arial" w:hAnsi="Arial" w:cs="Arial"/>
          </w:rPr>
          <w:t>https://doi.org/10.1016/S2542-5196(20)30271-0</w:t>
        </w:r>
      </w:hyperlink>
      <w:r w:rsidRPr="002B445D">
        <w:rPr>
          <w:rFonts w:ascii="Arial" w:eastAsia="Times New Roman" w:hAnsi="Arial" w:cs="Arial"/>
        </w:rPr>
        <w:t xml:space="preserve"> </w:t>
      </w:r>
    </w:p>
    <w:p w14:paraId="4C1D9CB6" w14:textId="68B04035" w:rsidR="000027E8" w:rsidRPr="002B445D" w:rsidRDefault="000027E8" w:rsidP="002B445D">
      <w:pPr>
        <w:spacing w:line="240" w:lineRule="auto"/>
        <w:rPr>
          <w:rFonts w:ascii="Arial" w:eastAsia="Times New Roman" w:hAnsi="Arial" w:cs="Arial"/>
        </w:rPr>
      </w:pPr>
      <w:r w:rsidRPr="000027E8">
        <w:rPr>
          <w:rFonts w:ascii="Arial" w:eastAsia="Times New Roman" w:hAnsi="Arial" w:cs="Arial"/>
        </w:rPr>
        <w:t xml:space="preserve">The King's Fund. (2019). NHS Leadership and culture: Our Position. The Kings Fund. </w:t>
      </w:r>
      <w:hyperlink r:id="rId55" w:history="1">
        <w:r w:rsidRPr="001E723F">
          <w:rPr>
            <w:rStyle w:val="Hyperlink"/>
            <w:rFonts w:ascii="Arial" w:eastAsia="Times New Roman" w:hAnsi="Arial" w:cs="Arial"/>
          </w:rPr>
          <w:t>https://www.kingsfund.org.uk/projects/positions/NHS-leadership-culture</w:t>
        </w:r>
      </w:hyperlink>
      <w:r>
        <w:rPr>
          <w:rFonts w:ascii="Arial" w:eastAsia="Times New Roman" w:hAnsi="Arial" w:cs="Arial"/>
        </w:rPr>
        <w:t xml:space="preserve"> </w:t>
      </w:r>
    </w:p>
    <w:p w14:paraId="220992E8" w14:textId="77777777" w:rsidR="002B445D" w:rsidRPr="002B445D" w:rsidRDefault="002B445D" w:rsidP="002B445D">
      <w:pPr>
        <w:spacing w:line="240" w:lineRule="auto"/>
        <w:rPr>
          <w:rFonts w:ascii="Arial" w:hAnsi="Arial" w:cs="Arial"/>
        </w:rPr>
      </w:pPr>
      <w:r w:rsidRPr="002B445D">
        <w:rPr>
          <w:rFonts w:ascii="Arial" w:hAnsi="Arial" w:cs="Arial"/>
        </w:rPr>
        <w:t xml:space="preserve">The Francis Report. (2013). Report of the Mid Staffordshire NHS Foundation Trust Public Inquiry. Retrieved from </w:t>
      </w:r>
      <w:hyperlink r:id="rId56" w:history="1">
        <w:r w:rsidRPr="002B445D">
          <w:rPr>
            <w:rStyle w:val="Hyperlink"/>
            <w:rFonts w:ascii="Arial" w:hAnsi="Arial" w:cs="Arial"/>
          </w:rPr>
          <w:t>https://www.gov.uk/government/publications/report-of-the-mid-staffordshire-nhs-foundation-trust-public-inquiry</w:t>
        </w:r>
      </w:hyperlink>
      <w:r w:rsidRPr="002B445D">
        <w:rPr>
          <w:rFonts w:ascii="Arial" w:hAnsi="Arial" w:cs="Arial"/>
        </w:rPr>
        <w:t xml:space="preserve"> </w:t>
      </w:r>
    </w:p>
    <w:p w14:paraId="64558CC5" w14:textId="77777777" w:rsidR="002B445D" w:rsidRPr="002B445D" w:rsidRDefault="002B445D" w:rsidP="002B445D">
      <w:pPr>
        <w:spacing w:line="240" w:lineRule="auto"/>
        <w:rPr>
          <w:rFonts w:ascii="Arial" w:hAnsi="Arial" w:cs="Arial"/>
        </w:rPr>
      </w:pPr>
      <w:r w:rsidRPr="002B445D">
        <w:rPr>
          <w:rFonts w:ascii="Arial" w:hAnsi="Arial" w:cs="Arial"/>
        </w:rPr>
        <w:t xml:space="preserve">Timmins, N. (2012). Never Again? The story of the Health and Social Care Act 2012. Institute for Government and The King's Fund. Retrieved from </w:t>
      </w:r>
      <w:hyperlink r:id="rId57" w:history="1">
        <w:r w:rsidRPr="002B445D">
          <w:rPr>
            <w:rStyle w:val="Hyperlink"/>
            <w:rFonts w:ascii="Arial" w:hAnsi="Arial" w:cs="Arial"/>
          </w:rPr>
          <w:t>https://www.kingsfund.org.uk/publications/never-again</w:t>
        </w:r>
      </w:hyperlink>
      <w:r w:rsidRPr="002B445D">
        <w:rPr>
          <w:rFonts w:ascii="Arial" w:hAnsi="Arial" w:cs="Arial"/>
        </w:rPr>
        <w:t xml:space="preserve">. </w:t>
      </w:r>
    </w:p>
    <w:p w14:paraId="41064E23" w14:textId="77777777" w:rsidR="002B445D" w:rsidRPr="002B445D" w:rsidRDefault="002B445D" w:rsidP="002B445D">
      <w:pPr>
        <w:spacing w:line="240" w:lineRule="auto"/>
        <w:rPr>
          <w:rFonts w:ascii="Arial" w:hAnsi="Arial" w:cs="Arial"/>
        </w:rPr>
      </w:pPr>
      <w:r w:rsidRPr="002B445D">
        <w:rPr>
          <w:rFonts w:ascii="Arial" w:hAnsi="Arial" w:cs="Arial"/>
        </w:rPr>
        <w:t>Waterman, R. H., Peters, T. J., &amp; Phillips, J. R. (1980). Structure is not organization. Business Horizons, 23(3), 14-26.</w:t>
      </w:r>
    </w:p>
    <w:p w14:paraId="29F07620" w14:textId="77777777" w:rsidR="002B445D" w:rsidRPr="002B445D" w:rsidRDefault="002B445D" w:rsidP="002B445D">
      <w:pPr>
        <w:spacing w:line="240" w:lineRule="auto"/>
        <w:rPr>
          <w:rFonts w:ascii="Arial" w:eastAsia="Times New Roman" w:hAnsi="Arial" w:cs="Arial"/>
        </w:rPr>
      </w:pPr>
      <w:r w:rsidRPr="002B445D">
        <w:rPr>
          <w:rFonts w:ascii="Arial" w:eastAsia="Times New Roman" w:hAnsi="Arial" w:cs="Arial"/>
        </w:rPr>
        <w:t xml:space="preserve">WHO. (2018). Environmental Health. Retrieved from </w:t>
      </w:r>
      <w:hyperlink r:id="rId58" w:history="1">
        <w:r w:rsidRPr="002B445D">
          <w:rPr>
            <w:rStyle w:val="Hyperlink"/>
            <w:rFonts w:ascii="Arial" w:hAnsi="Arial" w:cs="Arial"/>
          </w:rPr>
          <w:t>https://www.who.int/health-topics/environmental-health</w:t>
        </w:r>
      </w:hyperlink>
      <w:r w:rsidRPr="002B445D">
        <w:rPr>
          <w:rFonts w:ascii="Arial" w:eastAsia="Times New Roman" w:hAnsi="Arial" w:cs="Arial"/>
        </w:rPr>
        <w:t xml:space="preserve"> </w:t>
      </w:r>
    </w:p>
    <w:p w14:paraId="08F06233" w14:textId="77777777" w:rsidR="002B445D" w:rsidRPr="002B445D" w:rsidRDefault="002B445D" w:rsidP="002B445D">
      <w:pPr>
        <w:spacing w:line="240" w:lineRule="auto"/>
        <w:rPr>
          <w:rFonts w:ascii="Arial" w:hAnsi="Arial" w:cs="Arial"/>
        </w:rPr>
      </w:pPr>
      <w:r w:rsidRPr="002B445D">
        <w:rPr>
          <w:rFonts w:ascii="Arial" w:hAnsi="Arial" w:cs="Arial"/>
        </w:rPr>
        <w:lastRenderedPageBreak/>
        <w:t>Womack, J. P., &amp; Jones, D. T. (1996). Lean Thinking: Banish Waste and Create Wealth in Your Corporation. Simon &amp; Schuster.</w:t>
      </w:r>
    </w:p>
    <w:p w14:paraId="08F3F754" w14:textId="77777777" w:rsidR="002B445D" w:rsidRPr="002B445D" w:rsidRDefault="002B445D" w:rsidP="002B445D">
      <w:pPr>
        <w:spacing w:line="240" w:lineRule="auto"/>
        <w:rPr>
          <w:rFonts w:ascii="Arial" w:hAnsi="Arial" w:cs="Arial"/>
        </w:rPr>
      </w:pPr>
      <w:bookmarkStart w:id="27" w:name="_Hlk157511484"/>
      <w:r w:rsidRPr="002B445D">
        <w:rPr>
          <w:rFonts w:ascii="Arial" w:hAnsi="Arial" w:cs="Arial"/>
        </w:rPr>
        <w:t>Wyatt</w:t>
      </w:r>
      <w:bookmarkEnd w:id="27"/>
      <w:r w:rsidRPr="002B445D">
        <w:rPr>
          <w:rFonts w:ascii="Arial" w:hAnsi="Arial" w:cs="Arial"/>
        </w:rPr>
        <w:t xml:space="preserve">, D., Lampon, S., &amp; McKevitt, C. (2020). Delivering healthcare’s ‘triple aim’: Electronic health records and the health research participant in the UK National Health Service. Sociology of health &amp; illness, 42(6), 1312-1327. </w:t>
      </w:r>
      <w:hyperlink r:id="rId59" w:history="1">
        <w:r w:rsidRPr="002B445D">
          <w:rPr>
            <w:rStyle w:val="Hyperlink"/>
            <w:rFonts w:ascii="Arial" w:hAnsi="Arial" w:cs="Arial"/>
          </w:rPr>
          <w:t>https://doi.org/10.1111/1467-9566.13101</w:t>
        </w:r>
      </w:hyperlink>
      <w:r w:rsidRPr="002B445D">
        <w:rPr>
          <w:rFonts w:ascii="Arial" w:hAnsi="Arial" w:cs="Arial"/>
        </w:rPr>
        <w:t xml:space="preserve"> </w:t>
      </w:r>
    </w:p>
    <w:p w14:paraId="1263F8DB" w14:textId="77777777" w:rsidR="002B445D" w:rsidRPr="002B445D" w:rsidRDefault="002B445D" w:rsidP="002B445D">
      <w:pPr>
        <w:spacing w:line="240" w:lineRule="auto"/>
        <w:rPr>
          <w:rFonts w:ascii="Arial" w:eastAsia="Times New Roman" w:hAnsi="Arial" w:cs="Arial"/>
        </w:rPr>
      </w:pPr>
      <w:proofErr w:type="spellStart"/>
      <w:r w:rsidRPr="002B445D">
        <w:rPr>
          <w:rFonts w:ascii="Arial" w:eastAsia="Times New Roman" w:hAnsi="Arial" w:cs="Arial"/>
        </w:rPr>
        <w:t>Zimlichman</w:t>
      </w:r>
      <w:proofErr w:type="spellEnd"/>
      <w:r w:rsidRPr="002B445D">
        <w:rPr>
          <w:rFonts w:ascii="Arial" w:eastAsia="Times New Roman" w:hAnsi="Arial" w:cs="Arial"/>
        </w:rPr>
        <w:t xml:space="preserve">, E., Nicklin, W., Aggarwal, R., &amp; Bates, D. W. (2021). Health care 2030: The coming transformation. NEJM Catalyst Innovations in Care Delivery, 2(2). </w:t>
      </w:r>
      <w:hyperlink r:id="rId60" w:history="1">
        <w:r w:rsidRPr="002B445D">
          <w:rPr>
            <w:rStyle w:val="Hyperlink"/>
            <w:rFonts w:ascii="Arial" w:hAnsi="Arial" w:cs="Arial"/>
          </w:rPr>
          <w:t>https://catalyst.nejm.org/doi/full/10.1056/CAT.20.0569</w:t>
        </w:r>
      </w:hyperlink>
      <w:r w:rsidRPr="002B445D">
        <w:rPr>
          <w:rFonts w:ascii="Arial" w:eastAsia="Times New Roman" w:hAnsi="Arial" w:cs="Arial"/>
        </w:rPr>
        <w:t>.</w:t>
      </w:r>
    </w:p>
    <w:p w14:paraId="722D319A" w14:textId="77777777" w:rsidR="00997976" w:rsidRDefault="00997976" w:rsidP="00785C38">
      <w:pPr>
        <w:pStyle w:val="Heading1"/>
        <w:jc w:val="both"/>
        <w:rPr>
          <w:rFonts w:cs="Arial"/>
          <w:b w:val="0"/>
          <w:bCs w:val="0"/>
          <w:color w:val="2F5496" w:themeColor="accent1" w:themeShade="BF"/>
          <w:sz w:val="32"/>
          <w:szCs w:val="32"/>
        </w:rPr>
      </w:pPr>
    </w:p>
    <w:p w14:paraId="6305099A" w14:textId="77777777" w:rsidR="00997976" w:rsidRDefault="00997976" w:rsidP="00785C38">
      <w:pPr>
        <w:pStyle w:val="Heading1"/>
        <w:jc w:val="both"/>
        <w:rPr>
          <w:rFonts w:cs="Arial"/>
          <w:b w:val="0"/>
          <w:bCs w:val="0"/>
          <w:color w:val="2F5496" w:themeColor="accent1" w:themeShade="BF"/>
          <w:sz w:val="32"/>
          <w:szCs w:val="32"/>
        </w:rPr>
      </w:pPr>
    </w:p>
    <w:p w14:paraId="7DF5CD09" w14:textId="77777777" w:rsidR="00997976" w:rsidRDefault="00997976" w:rsidP="00785C38">
      <w:pPr>
        <w:pStyle w:val="Heading1"/>
        <w:jc w:val="both"/>
        <w:rPr>
          <w:rFonts w:cs="Arial"/>
          <w:b w:val="0"/>
          <w:bCs w:val="0"/>
          <w:color w:val="2F5496" w:themeColor="accent1" w:themeShade="BF"/>
          <w:sz w:val="32"/>
          <w:szCs w:val="32"/>
        </w:rPr>
      </w:pPr>
    </w:p>
    <w:p w14:paraId="6246D940" w14:textId="77777777" w:rsidR="00997976" w:rsidRDefault="00997976" w:rsidP="00785C38">
      <w:pPr>
        <w:pStyle w:val="Heading1"/>
        <w:jc w:val="both"/>
        <w:rPr>
          <w:rFonts w:cs="Arial"/>
          <w:b w:val="0"/>
          <w:bCs w:val="0"/>
          <w:color w:val="2F5496" w:themeColor="accent1" w:themeShade="BF"/>
          <w:sz w:val="32"/>
          <w:szCs w:val="32"/>
        </w:rPr>
      </w:pPr>
    </w:p>
    <w:p w14:paraId="2939AAD8" w14:textId="77777777" w:rsidR="00997976" w:rsidRDefault="00997976" w:rsidP="00785C38">
      <w:pPr>
        <w:pStyle w:val="Heading1"/>
        <w:jc w:val="both"/>
        <w:rPr>
          <w:rFonts w:cs="Arial"/>
          <w:b w:val="0"/>
          <w:bCs w:val="0"/>
          <w:color w:val="2F5496" w:themeColor="accent1" w:themeShade="BF"/>
          <w:sz w:val="32"/>
          <w:szCs w:val="32"/>
        </w:rPr>
      </w:pPr>
    </w:p>
    <w:p w14:paraId="74657F7C" w14:textId="77777777" w:rsidR="00997976" w:rsidRDefault="00997976" w:rsidP="00785C38">
      <w:pPr>
        <w:pStyle w:val="Heading1"/>
        <w:jc w:val="both"/>
        <w:rPr>
          <w:rFonts w:cs="Arial"/>
          <w:b w:val="0"/>
          <w:bCs w:val="0"/>
          <w:color w:val="2F5496" w:themeColor="accent1" w:themeShade="BF"/>
          <w:sz w:val="32"/>
          <w:szCs w:val="32"/>
        </w:rPr>
      </w:pPr>
    </w:p>
    <w:p w14:paraId="3815ED1A" w14:textId="77777777" w:rsidR="00997976" w:rsidRDefault="00997976" w:rsidP="00785C38">
      <w:pPr>
        <w:pStyle w:val="Heading1"/>
        <w:jc w:val="both"/>
        <w:rPr>
          <w:rFonts w:cs="Arial"/>
          <w:b w:val="0"/>
          <w:bCs w:val="0"/>
          <w:color w:val="2F5496" w:themeColor="accent1" w:themeShade="BF"/>
          <w:sz w:val="32"/>
          <w:szCs w:val="32"/>
        </w:rPr>
      </w:pPr>
    </w:p>
    <w:p w14:paraId="74F165A4" w14:textId="77777777" w:rsidR="00997976" w:rsidRDefault="00997976" w:rsidP="00785C38">
      <w:pPr>
        <w:pStyle w:val="Heading1"/>
        <w:jc w:val="both"/>
        <w:rPr>
          <w:rFonts w:cs="Arial"/>
          <w:b w:val="0"/>
          <w:bCs w:val="0"/>
          <w:color w:val="2F5496" w:themeColor="accent1" w:themeShade="BF"/>
          <w:sz w:val="32"/>
          <w:szCs w:val="32"/>
        </w:rPr>
      </w:pPr>
    </w:p>
    <w:p w14:paraId="703538F8" w14:textId="77777777" w:rsidR="00997976" w:rsidRDefault="00997976" w:rsidP="00785C38">
      <w:pPr>
        <w:pStyle w:val="Heading1"/>
        <w:jc w:val="both"/>
        <w:rPr>
          <w:rFonts w:cs="Arial"/>
          <w:b w:val="0"/>
          <w:bCs w:val="0"/>
          <w:color w:val="2F5496" w:themeColor="accent1" w:themeShade="BF"/>
          <w:sz w:val="32"/>
          <w:szCs w:val="32"/>
        </w:rPr>
      </w:pPr>
    </w:p>
    <w:p w14:paraId="18BA45DD" w14:textId="77777777" w:rsidR="00997976" w:rsidRDefault="00997976" w:rsidP="00785C38">
      <w:pPr>
        <w:pStyle w:val="Heading1"/>
        <w:jc w:val="both"/>
        <w:rPr>
          <w:rFonts w:cs="Arial"/>
          <w:b w:val="0"/>
          <w:bCs w:val="0"/>
          <w:color w:val="2F5496" w:themeColor="accent1" w:themeShade="BF"/>
          <w:sz w:val="32"/>
          <w:szCs w:val="32"/>
        </w:rPr>
      </w:pPr>
    </w:p>
    <w:p w14:paraId="313A0DB2" w14:textId="77777777" w:rsidR="00997976" w:rsidRDefault="00997976" w:rsidP="00785C38">
      <w:pPr>
        <w:pStyle w:val="Heading1"/>
        <w:jc w:val="both"/>
        <w:rPr>
          <w:rFonts w:cs="Arial"/>
          <w:b w:val="0"/>
          <w:bCs w:val="0"/>
          <w:color w:val="2F5496" w:themeColor="accent1" w:themeShade="BF"/>
          <w:sz w:val="32"/>
          <w:szCs w:val="32"/>
        </w:rPr>
      </w:pPr>
    </w:p>
    <w:p w14:paraId="0956C304" w14:textId="77777777" w:rsidR="00997976" w:rsidRDefault="00997976" w:rsidP="00785C38">
      <w:pPr>
        <w:pStyle w:val="Heading1"/>
        <w:jc w:val="both"/>
        <w:rPr>
          <w:rFonts w:cs="Arial"/>
          <w:b w:val="0"/>
          <w:bCs w:val="0"/>
          <w:color w:val="2F5496" w:themeColor="accent1" w:themeShade="BF"/>
          <w:sz w:val="32"/>
          <w:szCs w:val="32"/>
        </w:rPr>
      </w:pPr>
    </w:p>
    <w:p w14:paraId="4940892D" w14:textId="77777777" w:rsidR="00997976" w:rsidRDefault="00997976" w:rsidP="00785C38">
      <w:pPr>
        <w:pStyle w:val="Heading1"/>
        <w:jc w:val="both"/>
        <w:rPr>
          <w:rFonts w:cs="Arial"/>
          <w:b w:val="0"/>
          <w:bCs w:val="0"/>
          <w:color w:val="2F5496" w:themeColor="accent1" w:themeShade="BF"/>
          <w:sz w:val="32"/>
          <w:szCs w:val="32"/>
        </w:rPr>
      </w:pPr>
    </w:p>
    <w:p w14:paraId="37F1FEDD" w14:textId="77777777" w:rsidR="00997976" w:rsidRDefault="00997976" w:rsidP="00785C38">
      <w:pPr>
        <w:pStyle w:val="Heading1"/>
        <w:jc w:val="both"/>
        <w:rPr>
          <w:rFonts w:cs="Arial"/>
          <w:b w:val="0"/>
          <w:bCs w:val="0"/>
          <w:color w:val="2F5496" w:themeColor="accent1" w:themeShade="BF"/>
          <w:sz w:val="32"/>
          <w:szCs w:val="32"/>
        </w:rPr>
      </w:pPr>
    </w:p>
    <w:p w14:paraId="6860FEC7" w14:textId="77777777" w:rsidR="00B565CE" w:rsidRDefault="00B565CE" w:rsidP="00785C38">
      <w:pPr>
        <w:pStyle w:val="Heading1"/>
        <w:jc w:val="both"/>
        <w:rPr>
          <w:rFonts w:cs="Arial"/>
          <w:b w:val="0"/>
          <w:bCs w:val="0"/>
          <w:color w:val="2F5496" w:themeColor="accent1" w:themeShade="BF"/>
          <w:sz w:val="32"/>
          <w:szCs w:val="32"/>
        </w:rPr>
      </w:pPr>
    </w:p>
    <w:p w14:paraId="65D839B2" w14:textId="77777777" w:rsidR="00B565CE" w:rsidRDefault="00B565CE" w:rsidP="00785C38">
      <w:pPr>
        <w:pStyle w:val="Heading1"/>
        <w:jc w:val="both"/>
        <w:rPr>
          <w:rFonts w:cs="Arial"/>
          <w:b w:val="0"/>
          <w:bCs w:val="0"/>
          <w:color w:val="2F5496" w:themeColor="accent1" w:themeShade="BF"/>
          <w:sz w:val="32"/>
          <w:szCs w:val="32"/>
        </w:rPr>
      </w:pPr>
    </w:p>
    <w:p w14:paraId="7958B194" w14:textId="77777777" w:rsidR="00B565CE" w:rsidRDefault="00B565CE" w:rsidP="00785C38">
      <w:pPr>
        <w:pStyle w:val="Heading1"/>
        <w:jc w:val="both"/>
        <w:rPr>
          <w:rFonts w:cs="Arial"/>
          <w:b w:val="0"/>
          <w:bCs w:val="0"/>
          <w:color w:val="2F5496" w:themeColor="accent1" w:themeShade="BF"/>
          <w:sz w:val="32"/>
          <w:szCs w:val="32"/>
        </w:rPr>
      </w:pPr>
    </w:p>
    <w:p w14:paraId="0A3D3BF4" w14:textId="332A5056" w:rsidR="00387786" w:rsidRPr="002B445D" w:rsidRDefault="00387786" w:rsidP="00785C38">
      <w:pPr>
        <w:pStyle w:val="Heading1"/>
        <w:jc w:val="both"/>
        <w:rPr>
          <w:rFonts w:cs="Arial"/>
          <w:b w:val="0"/>
          <w:bCs w:val="0"/>
          <w:color w:val="2F5496" w:themeColor="accent1" w:themeShade="BF"/>
          <w:sz w:val="32"/>
          <w:szCs w:val="32"/>
        </w:rPr>
      </w:pPr>
      <w:bookmarkStart w:id="28" w:name="_Toc157590522"/>
      <w:r w:rsidRPr="002B445D">
        <w:rPr>
          <w:rFonts w:cs="Arial"/>
          <w:b w:val="0"/>
          <w:bCs w:val="0"/>
          <w:color w:val="2F5496" w:themeColor="accent1" w:themeShade="BF"/>
          <w:sz w:val="32"/>
          <w:szCs w:val="32"/>
        </w:rPr>
        <w:lastRenderedPageBreak/>
        <w:t>Appendix</w:t>
      </w:r>
      <w:r w:rsidR="00401FA1" w:rsidRPr="002B445D">
        <w:rPr>
          <w:rFonts w:cs="Arial"/>
          <w:b w:val="0"/>
          <w:bCs w:val="0"/>
          <w:color w:val="2F5496" w:themeColor="accent1" w:themeShade="BF"/>
          <w:sz w:val="32"/>
          <w:szCs w:val="32"/>
        </w:rPr>
        <w:t>.</w:t>
      </w:r>
      <w:bookmarkEnd w:id="28"/>
    </w:p>
    <w:p w14:paraId="63DA6F19" w14:textId="0EFDF27D" w:rsidR="00E62ECE" w:rsidRPr="002B445D" w:rsidRDefault="00E62ECE" w:rsidP="00FD15CC">
      <w:pPr>
        <w:spacing w:before="10" w:line="80" w:lineRule="exact"/>
        <w:rPr>
          <w:rFonts w:ascii="Arial" w:hAnsi="Arial" w:cs="Arial"/>
        </w:rPr>
        <w:sectPr w:rsidR="00E62ECE" w:rsidRPr="002B445D" w:rsidSect="002E1267">
          <w:footerReference w:type="default" r:id="rId61"/>
          <w:pgSz w:w="11906" w:h="16838"/>
          <w:pgMar w:top="1440" w:right="1440" w:bottom="1440" w:left="1440" w:header="708" w:footer="708" w:gutter="0"/>
          <w:cols w:space="708"/>
          <w:docGrid w:linePitch="360"/>
        </w:sectPr>
      </w:pPr>
    </w:p>
    <w:p w14:paraId="17A62F96" w14:textId="77777777" w:rsidR="00E62ECE" w:rsidRPr="002B445D" w:rsidRDefault="00E62ECE" w:rsidP="00785C38">
      <w:pPr>
        <w:pStyle w:val="Heading1"/>
        <w:jc w:val="both"/>
        <w:rPr>
          <w:rFonts w:cs="Arial"/>
          <w:b w:val="0"/>
          <w:bCs w:val="0"/>
          <w:sz w:val="32"/>
          <w:szCs w:val="32"/>
        </w:rPr>
      </w:pPr>
    </w:p>
    <w:sectPr w:rsidR="00E62ECE" w:rsidRPr="002B445D">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D04A9" w14:textId="77777777" w:rsidR="002E1267" w:rsidRDefault="002E1267" w:rsidP="004D6CCD">
      <w:pPr>
        <w:spacing w:after="0" w:line="240" w:lineRule="auto"/>
      </w:pPr>
      <w:r>
        <w:separator/>
      </w:r>
    </w:p>
  </w:endnote>
  <w:endnote w:type="continuationSeparator" w:id="0">
    <w:p w14:paraId="63E63FF0" w14:textId="77777777" w:rsidR="002E1267" w:rsidRDefault="002E1267" w:rsidP="004D6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6440353"/>
      <w:docPartObj>
        <w:docPartGallery w:val="Page Numbers (Bottom of Page)"/>
        <w:docPartUnique/>
      </w:docPartObj>
    </w:sdtPr>
    <w:sdtContent>
      <w:p w14:paraId="4F40902E" w14:textId="364C4505" w:rsidR="00CE5CFB" w:rsidRDefault="00CE5CFB">
        <w:pPr>
          <w:pStyle w:val="Footer"/>
          <w:jc w:val="right"/>
        </w:pPr>
        <w:r>
          <w:fldChar w:fldCharType="begin"/>
        </w:r>
        <w:r>
          <w:instrText>PAGE   \* MERGEFORMAT</w:instrText>
        </w:r>
        <w:r>
          <w:fldChar w:fldCharType="separate"/>
        </w:r>
        <w:r>
          <w:t>2</w:t>
        </w:r>
        <w:r>
          <w:fldChar w:fldCharType="end"/>
        </w:r>
      </w:p>
    </w:sdtContent>
  </w:sdt>
  <w:p w14:paraId="795A3352" w14:textId="77777777" w:rsidR="00CE5CFB" w:rsidRDefault="00CE5C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130743"/>
      <w:docPartObj>
        <w:docPartGallery w:val="Page Numbers (Bottom of Page)"/>
        <w:docPartUnique/>
      </w:docPartObj>
    </w:sdtPr>
    <w:sdtEndPr>
      <w:rPr>
        <w:noProof/>
      </w:rPr>
    </w:sdtEndPr>
    <w:sdtContent>
      <w:p w14:paraId="7E23131D" w14:textId="2081371D" w:rsidR="004D6CCD" w:rsidRDefault="004D6C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044000" w14:textId="77777777" w:rsidR="004D6CCD" w:rsidRDefault="004D6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34727" w14:textId="77777777" w:rsidR="002E1267" w:rsidRDefault="002E1267" w:rsidP="004D6CCD">
      <w:pPr>
        <w:spacing w:after="0" w:line="240" w:lineRule="auto"/>
      </w:pPr>
      <w:r>
        <w:separator/>
      </w:r>
    </w:p>
  </w:footnote>
  <w:footnote w:type="continuationSeparator" w:id="0">
    <w:p w14:paraId="0C351550" w14:textId="77777777" w:rsidR="002E1267" w:rsidRDefault="002E1267" w:rsidP="004D6C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76817"/>
    <w:multiLevelType w:val="multilevel"/>
    <w:tmpl w:val="274026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C37DE3"/>
    <w:multiLevelType w:val="multilevel"/>
    <w:tmpl w:val="9D487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4B39FC"/>
    <w:multiLevelType w:val="multilevel"/>
    <w:tmpl w:val="69FC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0803E8"/>
    <w:multiLevelType w:val="multilevel"/>
    <w:tmpl w:val="3806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393C2E"/>
    <w:multiLevelType w:val="multilevel"/>
    <w:tmpl w:val="E954B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3775E7"/>
    <w:multiLevelType w:val="multilevel"/>
    <w:tmpl w:val="F5209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6B74F5"/>
    <w:multiLevelType w:val="multilevel"/>
    <w:tmpl w:val="48CE7B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EB8643A"/>
    <w:multiLevelType w:val="multilevel"/>
    <w:tmpl w:val="C342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945C8C"/>
    <w:multiLevelType w:val="multilevel"/>
    <w:tmpl w:val="48D4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4E7407"/>
    <w:multiLevelType w:val="multilevel"/>
    <w:tmpl w:val="F0245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B01745"/>
    <w:multiLevelType w:val="multilevel"/>
    <w:tmpl w:val="C764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05702">
    <w:abstractNumId w:val="4"/>
  </w:num>
  <w:num w:numId="2" w16cid:durableId="1203401434">
    <w:abstractNumId w:val="7"/>
  </w:num>
  <w:num w:numId="3" w16cid:durableId="1426220762">
    <w:abstractNumId w:val="2"/>
  </w:num>
  <w:num w:numId="4" w16cid:durableId="1415785516">
    <w:abstractNumId w:val="0"/>
  </w:num>
  <w:num w:numId="5" w16cid:durableId="587497201">
    <w:abstractNumId w:val="9"/>
  </w:num>
  <w:num w:numId="6" w16cid:durableId="950669610">
    <w:abstractNumId w:val="6"/>
  </w:num>
  <w:num w:numId="7" w16cid:durableId="111705375">
    <w:abstractNumId w:val="1"/>
  </w:num>
  <w:num w:numId="8" w16cid:durableId="718289408">
    <w:abstractNumId w:val="10"/>
  </w:num>
  <w:num w:numId="9" w16cid:durableId="2033266771">
    <w:abstractNumId w:val="8"/>
  </w:num>
  <w:num w:numId="10" w16cid:durableId="1946188096">
    <w:abstractNumId w:val="3"/>
  </w:num>
  <w:num w:numId="11" w16cid:durableId="16456928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A24"/>
    <w:rsid w:val="000027E8"/>
    <w:rsid w:val="000133E9"/>
    <w:rsid w:val="00031842"/>
    <w:rsid w:val="00033A27"/>
    <w:rsid w:val="00057A24"/>
    <w:rsid w:val="00077300"/>
    <w:rsid w:val="00090467"/>
    <w:rsid w:val="000C1B9E"/>
    <w:rsid w:val="000F1E1B"/>
    <w:rsid w:val="00137935"/>
    <w:rsid w:val="00137DE2"/>
    <w:rsid w:val="00177996"/>
    <w:rsid w:val="0018503F"/>
    <w:rsid w:val="001B4D1F"/>
    <w:rsid w:val="001D5212"/>
    <w:rsid w:val="00230232"/>
    <w:rsid w:val="00293B0B"/>
    <w:rsid w:val="002B445D"/>
    <w:rsid w:val="002D1945"/>
    <w:rsid w:val="002E1267"/>
    <w:rsid w:val="002F6607"/>
    <w:rsid w:val="003159AF"/>
    <w:rsid w:val="00332B3C"/>
    <w:rsid w:val="00335EBD"/>
    <w:rsid w:val="003366D7"/>
    <w:rsid w:val="00387786"/>
    <w:rsid w:val="00393152"/>
    <w:rsid w:val="003D0351"/>
    <w:rsid w:val="003F376D"/>
    <w:rsid w:val="004012C3"/>
    <w:rsid w:val="00401FA1"/>
    <w:rsid w:val="004358C1"/>
    <w:rsid w:val="00462ACD"/>
    <w:rsid w:val="004706A4"/>
    <w:rsid w:val="004A512A"/>
    <w:rsid w:val="004D6CCD"/>
    <w:rsid w:val="004E5517"/>
    <w:rsid w:val="004E75BC"/>
    <w:rsid w:val="005278EE"/>
    <w:rsid w:val="00563547"/>
    <w:rsid w:val="00581786"/>
    <w:rsid w:val="00595324"/>
    <w:rsid w:val="005A75CA"/>
    <w:rsid w:val="005B39E7"/>
    <w:rsid w:val="005C0DD1"/>
    <w:rsid w:val="005F56B9"/>
    <w:rsid w:val="0064268B"/>
    <w:rsid w:val="00654BCB"/>
    <w:rsid w:val="00681C5C"/>
    <w:rsid w:val="006A4D4C"/>
    <w:rsid w:val="006A760D"/>
    <w:rsid w:val="00700800"/>
    <w:rsid w:val="007202E4"/>
    <w:rsid w:val="00720809"/>
    <w:rsid w:val="00785C38"/>
    <w:rsid w:val="007F33EF"/>
    <w:rsid w:val="007F38C7"/>
    <w:rsid w:val="00803C07"/>
    <w:rsid w:val="008B6F86"/>
    <w:rsid w:val="008C45E8"/>
    <w:rsid w:val="008C78B5"/>
    <w:rsid w:val="008D19D9"/>
    <w:rsid w:val="008F1EDB"/>
    <w:rsid w:val="00900813"/>
    <w:rsid w:val="009058F5"/>
    <w:rsid w:val="009101E1"/>
    <w:rsid w:val="0094656F"/>
    <w:rsid w:val="00954B3B"/>
    <w:rsid w:val="00997976"/>
    <w:rsid w:val="00997F42"/>
    <w:rsid w:val="009F2A0E"/>
    <w:rsid w:val="00A327AA"/>
    <w:rsid w:val="00A423C8"/>
    <w:rsid w:val="00A9297A"/>
    <w:rsid w:val="00AD4962"/>
    <w:rsid w:val="00AE3DD1"/>
    <w:rsid w:val="00AE6E7F"/>
    <w:rsid w:val="00AE7E68"/>
    <w:rsid w:val="00B03FDF"/>
    <w:rsid w:val="00B07BCD"/>
    <w:rsid w:val="00B25A9B"/>
    <w:rsid w:val="00B565CE"/>
    <w:rsid w:val="00BB156E"/>
    <w:rsid w:val="00BB215A"/>
    <w:rsid w:val="00BB2AA4"/>
    <w:rsid w:val="00BC6174"/>
    <w:rsid w:val="00C06943"/>
    <w:rsid w:val="00C118D0"/>
    <w:rsid w:val="00C972D9"/>
    <w:rsid w:val="00CD7864"/>
    <w:rsid w:val="00CE5CFB"/>
    <w:rsid w:val="00CE7E89"/>
    <w:rsid w:val="00D12A76"/>
    <w:rsid w:val="00D83FB0"/>
    <w:rsid w:val="00DA36AC"/>
    <w:rsid w:val="00DD2573"/>
    <w:rsid w:val="00E04540"/>
    <w:rsid w:val="00E62ECE"/>
    <w:rsid w:val="00E838B2"/>
    <w:rsid w:val="00EC10E0"/>
    <w:rsid w:val="00F0075F"/>
    <w:rsid w:val="00F06CD6"/>
    <w:rsid w:val="00F11F08"/>
    <w:rsid w:val="00FB5328"/>
    <w:rsid w:val="00FD1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7A26A"/>
  <w15:chartTrackingRefBased/>
  <w15:docId w15:val="{76EB44A2-1F9D-4C3F-A0DE-41AAE62AB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5C38"/>
    <w:pPr>
      <w:spacing w:before="100" w:beforeAutospacing="1" w:after="100" w:afterAutospacing="1" w:line="240" w:lineRule="auto"/>
      <w:outlineLvl w:val="0"/>
    </w:pPr>
    <w:rPr>
      <w:rFonts w:ascii="Arial" w:eastAsia="Times New Roman" w:hAnsi="Arial" w:cs="Times New Roman"/>
      <w:b/>
      <w:bCs/>
      <w:color w:val="4472C4" w:themeColor="accent1"/>
      <w:kern w:val="36"/>
      <w:sz w:val="28"/>
      <w:szCs w:val="48"/>
      <w:lang w:eastAsia="en-GB"/>
    </w:rPr>
  </w:style>
  <w:style w:type="paragraph" w:styleId="Heading2">
    <w:name w:val="heading 2"/>
    <w:basedOn w:val="Normal"/>
    <w:next w:val="Normal"/>
    <w:link w:val="Heading2Char"/>
    <w:uiPriority w:val="9"/>
    <w:semiHidden/>
    <w:unhideWhenUsed/>
    <w:qFormat/>
    <w:rsid w:val="004E75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E75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90467"/>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090467"/>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090467"/>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090467"/>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090467"/>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090467"/>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25">
    <w:name w:val="mb-2.5"/>
    <w:basedOn w:val="Normal"/>
    <w:rsid w:val="008F1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A75CA"/>
    <w:rPr>
      <w:color w:val="0563C1" w:themeColor="hyperlink"/>
      <w:u w:val="single"/>
    </w:rPr>
  </w:style>
  <w:style w:type="character" w:styleId="UnresolvedMention">
    <w:name w:val="Unresolved Mention"/>
    <w:basedOn w:val="DefaultParagraphFont"/>
    <w:uiPriority w:val="99"/>
    <w:semiHidden/>
    <w:unhideWhenUsed/>
    <w:rsid w:val="005A75CA"/>
    <w:rPr>
      <w:color w:val="605E5C"/>
      <w:shd w:val="clear" w:color="auto" w:fill="E1DFDD"/>
    </w:rPr>
  </w:style>
  <w:style w:type="character" w:customStyle="1" w:styleId="Heading1Char">
    <w:name w:val="Heading 1 Char"/>
    <w:basedOn w:val="DefaultParagraphFont"/>
    <w:link w:val="Heading1"/>
    <w:uiPriority w:val="9"/>
    <w:rsid w:val="00785C38"/>
    <w:rPr>
      <w:rFonts w:ascii="Arial" w:eastAsia="Times New Roman" w:hAnsi="Arial" w:cs="Times New Roman"/>
      <w:b/>
      <w:bCs/>
      <w:color w:val="4472C4" w:themeColor="accent1"/>
      <w:kern w:val="36"/>
      <w:sz w:val="28"/>
      <w:szCs w:val="48"/>
      <w:lang w:eastAsia="en-GB"/>
    </w:rPr>
  </w:style>
  <w:style w:type="character" w:styleId="FollowedHyperlink">
    <w:name w:val="FollowedHyperlink"/>
    <w:basedOn w:val="DefaultParagraphFont"/>
    <w:uiPriority w:val="99"/>
    <w:semiHidden/>
    <w:unhideWhenUsed/>
    <w:rsid w:val="00C06943"/>
    <w:rPr>
      <w:color w:val="954F72" w:themeColor="followedHyperlink"/>
      <w:u w:val="single"/>
    </w:rPr>
  </w:style>
  <w:style w:type="paragraph" w:styleId="NormalWeb">
    <w:name w:val="Normal (Web)"/>
    <w:basedOn w:val="Normal"/>
    <w:uiPriority w:val="99"/>
    <w:unhideWhenUsed/>
    <w:rsid w:val="00C0694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37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ssue-underline">
    <w:name w:val="issue-underline"/>
    <w:basedOn w:val="DefaultParagraphFont"/>
    <w:rsid w:val="000133E9"/>
  </w:style>
  <w:style w:type="paragraph" w:styleId="TOCHeading">
    <w:name w:val="TOC Heading"/>
    <w:basedOn w:val="Heading1"/>
    <w:next w:val="Normal"/>
    <w:uiPriority w:val="39"/>
    <w:unhideWhenUsed/>
    <w:qFormat/>
    <w:rsid w:val="0007730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077300"/>
    <w:pPr>
      <w:tabs>
        <w:tab w:val="right" w:leader="dot" w:pos="9350"/>
      </w:tabs>
      <w:spacing w:after="100"/>
      <w:ind w:left="220"/>
    </w:pPr>
    <w:rPr>
      <w:rFonts w:asciiTheme="majorHAnsi" w:hAnsiTheme="majorHAnsi" w:cstheme="majorHAnsi"/>
      <w:noProof/>
    </w:rPr>
  </w:style>
  <w:style w:type="paragraph" w:styleId="TOC1">
    <w:name w:val="toc 1"/>
    <w:basedOn w:val="Normal"/>
    <w:next w:val="Normal"/>
    <w:autoRedefine/>
    <w:uiPriority w:val="39"/>
    <w:unhideWhenUsed/>
    <w:rsid w:val="00077300"/>
    <w:pPr>
      <w:tabs>
        <w:tab w:val="right" w:leader="dot" w:pos="9350"/>
      </w:tabs>
      <w:spacing w:after="100"/>
    </w:pPr>
    <w:rPr>
      <w:rFonts w:asciiTheme="majorHAnsi" w:hAnsiTheme="majorHAnsi" w:cstheme="majorHAnsi"/>
      <w:b/>
      <w:bCs/>
      <w:noProof/>
    </w:rPr>
  </w:style>
  <w:style w:type="paragraph" w:styleId="Header">
    <w:name w:val="header"/>
    <w:basedOn w:val="Normal"/>
    <w:link w:val="HeaderChar"/>
    <w:uiPriority w:val="99"/>
    <w:unhideWhenUsed/>
    <w:rsid w:val="004D6C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CCD"/>
  </w:style>
  <w:style w:type="paragraph" w:styleId="Footer">
    <w:name w:val="footer"/>
    <w:basedOn w:val="Normal"/>
    <w:link w:val="FooterChar"/>
    <w:uiPriority w:val="99"/>
    <w:unhideWhenUsed/>
    <w:rsid w:val="004D6C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CCD"/>
  </w:style>
  <w:style w:type="character" w:customStyle="1" w:styleId="Heading2Char">
    <w:name w:val="Heading 2 Char"/>
    <w:basedOn w:val="DefaultParagraphFont"/>
    <w:link w:val="Heading2"/>
    <w:uiPriority w:val="9"/>
    <w:semiHidden/>
    <w:rsid w:val="004E75B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E75BC"/>
    <w:rPr>
      <w:rFonts w:asciiTheme="majorHAnsi" w:eastAsiaTheme="majorEastAsia" w:hAnsiTheme="majorHAnsi" w:cstheme="majorBidi"/>
      <w:color w:val="1F3763" w:themeColor="accent1" w:themeShade="7F"/>
      <w:sz w:val="24"/>
      <w:szCs w:val="24"/>
    </w:rPr>
  </w:style>
  <w:style w:type="numbering" w:customStyle="1" w:styleId="NoList1">
    <w:name w:val="No List1"/>
    <w:next w:val="NoList"/>
    <w:uiPriority w:val="99"/>
    <w:semiHidden/>
    <w:unhideWhenUsed/>
    <w:rsid w:val="00A423C8"/>
  </w:style>
  <w:style w:type="character" w:styleId="Strong">
    <w:name w:val="Strong"/>
    <w:uiPriority w:val="22"/>
    <w:qFormat/>
    <w:rsid w:val="00A423C8"/>
    <w:rPr>
      <w:b/>
      <w:bCs/>
    </w:rPr>
  </w:style>
  <w:style w:type="paragraph" w:styleId="z-TopofForm">
    <w:name w:val="HTML Top of Form"/>
    <w:basedOn w:val="Normal"/>
    <w:next w:val="Normal"/>
    <w:link w:val="z-TopofFormChar"/>
    <w:hidden/>
    <w:uiPriority w:val="99"/>
    <w:semiHidden/>
    <w:unhideWhenUsed/>
    <w:rsid w:val="00A423C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423C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A423C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A423C8"/>
    <w:rPr>
      <w:rFonts w:ascii="Arial" w:eastAsia="Times New Roman" w:hAnsi="Arial" w:cs="Arial"/>
      <w:vanish/>
      <w:sz w:val="16"/>
      <w:szCs w:val="16"/>
      <w:lang w:eastAsia="en-GB"/>
    </w:rPr>
  </w:style>
  <w:style w:type="paragraph" w:customStyle="1" w:styleId="pb-2">
    <w:name w:val="pb-2"/>
    <w:basedOn w:val="Normal"/>
    <w:rsid w:val="00AE6E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E6E7F"/>
    <w:rPr>
      <w:i/>
      <w:iCs/>
    </w:rPr>
  </w:style>
  <w:style w:type="character" w:customStyle="1" w:styleId="Heading4Char">
    <w:name w:val="Heading 4 Char"/>
    <w:basedOn w:val="DefaultParagraphFont"/>
    <w:link w:val="Heading4"/>
    <w:uiPriority w:val="9"/>
    <w:semiHidden/>
    <w:rsid w:val="00090467"/>
    <w:rPr>
      <w:rFonts w:eastAsiaTheme="minorEastAsia"/>
      <w:b/>
      <w:bCs/>
      <w:sz w:val="28"/>
      <w:szCs w:val="28"/>
      <w:lang w:val="en-US"/>
    </w:rPr>
  </w:style>
  <w:style w:type="character" w:customStyle="1" w:styleId="Heading5Char">
    <w:name w:val="Heading 5 Char"/>
    <w:basedOn w:val="DefaultParagraphFont"/>
    <w:link w:val="Heading5"/>
    <w:uiPriority w:val="9"/>
    <w:semiHidden/>
    <w:rsid w:val="00090467"/>
    <w:rPr>
      <w:rFonts w:eastAsiaTheme="minorEastAsia"/>
      <w:b/>
      <w:bCs/>
      <w:i/>
      <w:iCs/>
      <w:sz w:val="26"/>
      <w:szCs w:val="26"/>
      <w:lang w:val="en-US"/>
    </w:rPr>
  </w:style>
  <w:style w:type="character" w:customStyle="1" w:styleId="Heading6Char">
    <w:name w:val="Heading 6 Char"/>
    <w:basedOn w:val="DefaultParagraphFont"/>
    <w:link w:val="Heading6"/>
    <w:rsid w:val="00090467"/>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090467"/>
    <w:rPr>
      <w:rFonts w:eastAsiaTheme="minorEastAsia"/>
      <w:sz w:val="24"/>
      <w:szCs w:val="24"/>
      <w:lang w:val="en-US"/>
    </w:rPr>
  </w:style>
  <w:style w:type="character" w:customStyle="1" w:styleId="Heading8Char">
    <w:name w:val="Heading 8 Char"/>
    <w:basedOn w:val="DefaultParagraphFont"/>
    <w:link w:val="Heading8"/>
    <w:uiPriority w:val="9"/>
    <w:semiHidden/>
    <w:rsid w:val="00090467"/>
    <w:rPr>
      <w:rFonts w:eastAsiaTheme="minorEastAsia"/>
      <w:i/>
      <w:iCs/>
      <w:sz w:val="24"/>
      <w:szCs w:val="24"/>
      <w:lang w:val="en-US"/>
    </w:rPr>
  </w:style>
  <w:style w:type="character" w:customStyle="1" w:styleId="Heading9Char">
    <w:name w:val="Heading 9 Char"/>
    <w:basedOn w:val="DefaultParagraphFont"/>
    <w:link w:val="Heading9"/>
    <w:uiPriority w:val="9"/>
    <w:semiHidden/>
    <w:rsid w:val="00090467"/>
    <w:rPr>
      <w:rFonts w:asciiTheme="majorHAnsi" w:eastAsiaTheme="majorEastAsia" w:hAnsiTheme="majorHAnsi" w:cstheme="majorBidi"/>
      <w:lang w:val="en-US"/>
    </w:rPr>
  </w:style>
  <w:style w:type="table" w:customStyle="1" w:styleId="Style1">
    <w:name w:val="Style1"/>
    <w:basedOn w:val="TableNormal"/>
    <w:uiPriority w:val="99"/>
    <w:rsid w:val="00090467"/>
    <w:pPr>
      <w:spacing w:after="0" w:line="240" w:lineRule="auto"/>
    </w:pPr>
    <w:rPr>
      <w:rFonts w:ascii="Times New Roman" w:eastAsia="Times New Roman" w:hAnsi="Times New Roman" w:cs="Times New Roman"/>
      <w:sz w:val="20"/>
      <w:szCs w:val="20"/>
      <w:lang w:val="en-US"/>
    </w:rPr>
    <w:tblPr/>
  </w:style>
  <w:style w:type="paragraph" w:styleId="BalloonText">
    <w:name w:val="Balloon Text"/>
    <w:basedOn w:val="Normal"/>
    <w:link w:val="BalloonTextChar"/>
    <w:uiPriority w:val="99"/>
    <w:semiHidden/>
    <w:unhideWhenUsed/>
    <w:rsid w:val="00090467"/>
    <w:pPr>
      <w:spacing w:after="0" w:line="240" w:lineRule="auto"/>
    </w:pPr>
    <w:rPr>
      <w:rFonts w:ascii="Segoe UI" w:eastAsia="Times New Roman" w:hAnsi="Segoe UI" w:cs="Segoe UI"/>
      <w:sz w:val="18"/>
      <w:szCs w:val="18"/>
      <w:lang w:val="en-US"/>
    </w:rPr>
  </w:style>
  <w:style w:type="character" w:customStyle="1" w:styleId="BalloonTextChar">
    <w:name w:val="Balloon Text Char"/>
    <w:basedOn w:val="DefaultParagraphFont"/>
    <w:link w:val="BalloonText"/>
    <w:uiPriority w:val="99"/>
    <w:semiHidden/>
    <w:rsid w:val="00090467"/>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17489">
      <w:bodyDiv w:val="1"/>
      <w:marLeft w:val="0"/>
      <w:marRight w:val="0"/>
      <w:marTop w:val="0"/>
      <w:marBottom w:val="0"/>
      <w:divBdr>
        <w:top w:val="none" w:sz="0" w:space="0" w:color="auto"/>
        <w:left w:val="none" w:sz="0" w:space="0" w:color="auto"/>
        <w:bottom w:val="none" w:sz="0" w:space="0" w:color="auto"/>
        <w:right w:val="none" w:sz="0" w:space="0" w:color="auto"/>
      </w:divBdr>
    </w:div>
    <w:div w:id="332535494">
      <w:bodyDiv w:val="1"/>
      <w:marLeft w:val="0"/>
      <w:marRight w:val="0"/>
      <w:marTop w:val="0"/>
      <w:marBottom w:val="0"/>
      <w:divBdr>
        <w:top w:val="none" w:sz="0" w:space="0" w:color="auto"/>
        <w:left w:val="none" w:sz="0" w:space="0" w:color="auto"/>
        <w:bottom w:val="none" w:sz="0" w:space="0" w:color="auto"/>
        <w:right w:val="none" w:sz="0" w:space="0" w:color="auto"/>
      </w:divBdr>
    </w:div>
    <w:div w:id="760613471">
      <w:bodyDiv w:val="1"/>
      <w:marLeft w:val="0"/>
      <w:marRight w:val="0"/>
      <w:marTop w:val="0"/>
      <w:marBottom w:val="0"/>
      <w:divBdr>
        <w:top w:val="none" w:sz="0" w:space="0" w:color="auto"/>
        <w:left w:val="none" w:sz="0" w:space="0" w:color="auto"/>
        <w:bottom w:val="none" w:sz="0" w:space="0" w:color="auto"/>
        <w:right w:val="none" w:sz="0" w:space="0" w:color="auto"/>
      </w:divBdr>
    </w:div>
    <w:div w:id="1013997164">
      <w:bodyDiv w:val="1"/>
      <w:marLeft w:val="0"/>
      <w:marRight w:val="0"/>
      <w:marTop w:val="0"/>
      <w:marBottom w:val="0"/>
      <w:divBdr>
        <w:top w:val="none" w:sz="0" w:space="0" w:color="auto"/>
        <w:left w:val="none" w:sz="0" w:space="0" w:color="auto"/>
        <w:bottom w:val="none" w:sz="0" w:space="0" w:color="auto"/>
        <w:right w:val="none" w:sz="0" w:space="0" w:color="auto"/>
      </w:divBdr>
    </w:div>
    <w:div w:id="1058743733">
      <w:bodyDiv w:val="1"/>
      <w:marLeft w:val="0"/>
      <w:marRight w:val="0"/>
      <w:marTop w:val="0"/>
      <w:marBottom w:val="0"/>
      <w:divBdr>
        <w:top w:val="none" w:sz="0" w:space="0" w:color="auto"/>
        <w:left w:val="none" w:sz="0" w:space="0" w:color="auto"/>
        <w:bottom w:val="none" w:sz="0" w:space="0" w:color="auto"/>
        <w:right w:val="none" w:sz="0" w:space="0" w:color="auto"/>
      </w:divBdr>
    </w:div>
    <w:div w:id="1291209683">
      <w:bodyDiv w:val="1"/>
      <w:marLeft w:val="0"/>
      <w:marRight w:val="0"/>
      <w:marTop w:val="0"/>
      <w:marBottom w:val="0"/>
      <w:divBdr>
        <w:top w:val="none" w:sz="0" w:space="0" w:color="auto"/>
        <w:left w:val="none" w:sz="0" w:space="0" w:color="auto"/>
        <w:bottom w:val="none" w:sz="0" w:space="0" w:color="auto"/>
        <w:right w:val="none" w:sz="0" w:space="0" w:color="auto"/>
      </w:divBdr>
    </w:div>
    <w:div w:id="1414160773">
      <w:bodyDiv w:val="1"/>
      <w:marLeft w:val="0"/>
      <w:marRight w:val="0"/>
      <w:marTop w:val="0"/>
      <w:marBottom w:val="0"/>
      <w:divBdr>
        <w:top w:val="none" w:sz="0" w:space="0" w:color="auto"/>
        <w:left w:val="none" w:sz="0" w:space="0" w:color="auto"/>
        <w:bottom w:val="none" w:sz="0" w:space="0" w:color="auto"/>
        <w:right w:val="none" w:sz="0" w:space="0" w:color="auto"/>
      </w:divBdr>
    </w:div>
    <w:div w:id="1487938497">
      <w:bodyDiv w:val="1"/>
      <w:marLeft w:val="0"/>
      <w:marRight w:val="0"/>
      <w:marTop w:val="0"/>
      <w:marBottom w:val="0"/>
      <w:divBdr>
        <w:top w:val="none" w:sz="0" w:space="0" w:color="auto"/>
        <w:left w:val="none" w:sz="0" w:space="0" w:color="auto"/>
        <w:bottom w:val="none" w:sz="0" w:space="0" w:color="auto"/>
        <w:right w:val="none" w:sz="0" w:space="0" w:color="auto"/>
      </w:divBdr>
    </w:div>
    <w:div w:id="1642731895">
      <w:bodyDiv w:val="1"/>
      <w:marLeft w:val="0"/>
      <w:marRight w:val="0"/>
      <w:marTop w:val="0"/>
      <w:marBottom w:val="0"/>
      <w:divBdr>
        <w:top w:val="none" w:sz="0" w:space="0" w:color="auto"/>
        <w:left w:val="none" w:sz="0" w:space="0" w:color="auto"/>
        <w:bottom w:val="none" w:sz="0" w:space="0" w:color="auto"/>
        <w:right w:val="none" w:sz="0" w:space="0" w:color="auto"/>
      </w:divBdr>
    </w:div>
    <w:div w:id="1672560789">
      <w:bodyDiv w:val="1"/>
      <w:marLeft w:val="0"/>
      <w:marRight w:val="0"/>
      <w:marTop w:val="0"/>
      <w:marBottom w:val="0"/>
      <w:divBdr>
        <w:top w:val="none" w:sz="0" w:space="0" w:color="auto"/>
        <w:left w:val="none" w:sz="0" w:space="0" w:color="auto"/>
        <w:bottom w:val="none" w:sz="0" w:space="0" w:color="auto"/>
        <w:right w:val="none" w:sz="0" w:space="0" w:color="auto"/>
      </w:divBdr>
    </w:div>
    <w:div w:id="1889142862">
      <w:bodyDiv w:val="1"/>
      <w:marLeft w:val="0"/>
      <w:marRight w:val="0"/>
      <w:marTop w:val="0"/>
      <w:marBottom w:val="0"/>
      <w:divBdr>
        <w:top w:val="none" w:sz="0" w:space="0" w:color="auto"/>
        <w:left w:val="none" w:sz="0" w:space="0" w:color="auto"/>
        <w:bottom w:val="none" w:sz="0" w:space="0" w:color="auto"/>
        <w:right w:val="none" w:sz="0" w:space="0" w:color="auto"/>
      </w:divBdr>
    </w:div>
    <w:div w:id="1889409611">
      <w:bodyDiv w:val="1"/>
      <w:marLeft w:val="0"/>
      <w:marRight w:val="0"/>
      <w:marTop w:val="0"/>
      <w:marBottom w:val="0"/>
      <w:divBdr>
        <w:top w:val="none" w:sz="0" w:space="0" w:color="auto"/>
        <w:left w:val="none" w:sz="0" w:space="0" w:color="auto"/>
        <w:bottom w:val="none" w:sz="0" w:space="0" w:color="auto"/>
        <w:right w:val="none" w:sz="0" w:space="0" w:color="auto"/>
      </w:divBdr>
    </w:div>
    <w:div w:id="1909461428">
      <w:bodyDiv w:val="1"/>
      <w:marLeft w:val="0"/>
      <w:marRight w:val="0"/>
      <w:marTop w:val="0"/>
      <w:marBottom w:val="0"/>
      <w:divBdr>
        <w:top w:val="none" w:sz="0" w:space="0" w:color="auto"/>
        <w:left w:val="none" w:sz="0" w:space="0" w:color="auto"/>
        <w:bottom w:val="none" w:sz="0" w:space="0" w:color="auto"/>
        <w:right w:val="none" w:sz="0" w:space="0" w:color="auto"/>
      </w:divBdr>
      <w:divsChild>
        <w:div w:id="1226722088">
          <w:marLeft w:val="0"/>
          <w:marRight w:val="0"/>
          <w:marTop w:val="0"/>
          <w:marBottom w:val="0"/>
          <w:divBdr>
            <w:top w:val="none" w:sz="0" w:space="0" w:color="auto"/>
            <w:left w:val="none" w:sz="0" w:space="0" w:color="auto"/>
            <w:bottom w:val="none" w:sz="0" w:space="0" w:color="auto"/>
            <w:right w:val="none" w:sz="0" w:space="0" w:color="auto"/>
          </w:divBdr>
        </w:div>
        <w:div w:id="1594319747">
          <w:marLeft w:val="0"/>
          <w:marRight w:val="0"/>
          <w:marTop w:val="0"/>
          <w:marBottom w:val="0"/>
          <w:divBdr>
            <w:top w:val="none" w:sz="0" w:space="0" w:color="auto"/>
            <w:left w:val="none" w:sz="0" w:space="0" w:color="auto"/>
            <w:bottom w:val="none" w:sz="0" w:space="0" w:color="auto"/>
            <w:right w:val="none" w:sz="0" w:space="0" w:color="auto"/>
          </w:divBdr>
        </w:div>
        <w:div w:id="888764607">
          <w:marLeft w:val="0"/>
          <w:marRight w:val="0"/>
          <w:marTop w:val="0"/>
          <w:marBottom w:val="0"/>
          <w:divBdr>
            <w:top w:val="none" w:sz="0" w:space="0" w:color="auto"/>
            <w:left w:val="none" w:sz="0" w:space="0" w:color="auto"/>
            <w:bottom w:val="none" w:sz="0" w:space="0" w:color="auto"/>
            <w:right w:val="none" w:sz="0" w:space="0" w:color="auto"/>
          </w:divBdr>
        </w:div>
      </w:divsChild>
    </w:div>
    <w:div w:id="1970938036">
      <w:bodyDiv w:val="1"/>
      <w:marLeft w:val="0"/>
      <w:marRight w:val="0"/>
      <w:marTop w:val="0"/>
      <w:marBottom w:val="0"/>
      <w:divBdr>
        <w:top w:val="none" w:sz="0" w:space="0" w:color="auto"/>
        <w:left w:val="none" w:sz="0" w:space="0" w:color="auto"/>
        <w:bottom w:val="none" w:sz="0" w:space="0" w:color="auto"/>
        <w:right w:val="none" w:sz="0" w:space="0" w:color="auto"/>
      </w:divBdr>
      <w:divsChild>
        <w:div w:id="147359314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world-48205445" TargetMode="External"/><Relationship Id="rId18" Type="http://schemas.openxmlformats.org/officeDocument/2006/relationships/hyperlink" Target="https://doi.org/10.2307/2666999" TargetMode="External"/><Relationship Id="rId26" Type="http://schemas.openxmlformats.org/officeDocument/2006/relationships/hyperlink" Target="https://ico.org.uk/for-organisations/uk-gdpr-guidance-and-resources/" TargetMode="External"/><Relationship Id="rId39" Type="http://schemas.openxmlformats.org/officeDocument/2006/relationships/hyperlink" Target="https://www.england.nhs.uk/greenernhs/" TargetMode="External"/><Relationship Id="rId21" Type="http://schemas.openxmlformats.org/officeDocument/2006/relationships/hyperlink" Target="https://assets.publishing.service.gov.uk/media/5d273adce5274a5862768ff9/future-of-an-ageing-population.pdf" TargetMode="External"/><Relationship Id="rId34" Type="http://schemas.openxmlformats.org/officeDocument/2006/relationships/hyperlink" Target="https://doi.org/10.1186/1748-5908-6-19" TargetMode="External"/><Relationship Id="rId42" Type="http://schemas.openxmlformats.org/officeDocument/2006/relationships/hyperlink" Target="https://www.england.nhs.uk/future-of-human-resources-and-organisational-development/the-future-of-nhs-human-resources-and-organisational-development-report/evolving-to-meet-a-changing-world/" TargetMode="External"/><Relationship Id="rId47" Type="http://schemas.openxmlformats.org/officeDocument/2006/relationships/hyperlink" Target="https://doi.org/10.1093/jamia/ocy162" TargetMode="External"/><Relationship Id="rId50" Type="http://schemas.openxmlformats.org/officeDocument/2006/relationships/hyperlink" Target="https://www.instituteforgovernment.org.uk/explainer/devolution-and-nhs" TargetMode="External"/><Relationship Id="rId55" Type="http://schemas.openxmlformats.org/officeDocument/2006/relationships/hyperlink" Target="https://www.kingsfund.org.uk/projects/positions/NHS-leadership-culture"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uffieldtrust.org.uk/research/going-it-alone-health-and-brexit-in-the-uk" TargetMode="External"/><Relationship Id="rId20" Type="http://schemas.openxmlformats.org/officeDocument/2006/relationships/hyperlink" Target="https://doi.org/10.1108/S0742-7301(2011)0000030005" TargetMode="External"/><Relationship Id="rId29" Type="http://schemas.openxmlformats.org/officeDocument/2006/relationships/hyperlink" Target="https://www.ncbi.nlm.nih.gov/books/NBK259898/" TargetMode="External"/><Relationship Id="rId41" Type="http://schemas.openxmlformats.org/officeDocument/2006/relationships/hyperlink" Target="https://www.england.nhs.uk/ournhspeople/online-version/" TargetMode="External"/><Relationship Id="rId54" Type="http://schemas.openxmlformats.org/officeDocument/2006/relationships/hyperlink" Target="https://doi.org/10.1016/S2542-5196(20)30271-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nhs-pestle-analysis/" TargetMode="External"/><Relationship Id="rId24" Type="http://schemas.openxmlformats.org/officeDocument/2006/relationships/hyperlink" Target="https://www.nhsconfed.org/articles/nhs-england-and-its-response-covid-19" TargetMode="External"/><Relationship Id="rId32" Type="http://schemas.openxmlformats.org/officeDocument/2006/relationships/hyperlink" Target="https://doi.org/10.15171/ijhpm.2015.120" TargetMode="External"/><Relationship Id="rId37" Type="http://schemas.openxmlformats.org/officeDocument/2006/relationships/hyperlink" Target="https://doi.org/10.1177/1357633X211066235" TargetMode="External"/><Relationship Id="rId40" Type="http://schemas.openxmlformats.org/officeDocument/2006/relationships/hyperlink" Target="https://www.england.nhs.uk/greenernhs/a-net-zero-nhs/" TargetMode="External"/><Relationship Id="rId45" Type="http://schemas.openxmlformats.org/officeDocument/2006/relationships/hyperlink" Target="https://www.gov.uk/government/publications/health-disparities-and-health-inequalities-applying-all-our-health/health-disparities-and-health-inequalities-applying-all-our-health" TargetMode="External"/><Relationship Id="rId53" Type="http://schemas.openxmlformats.org/officeDocument/2006/relationships/hyperlink" Target="https://www.independent.co.uk/news/uk/politics/brexit-nhs-staff-medicine-shortages-b2247575.html" TargetMode="External"/><Relationship Id="rId58" Type="http://schemas.openxmlformats.org/officeDocument/2006/relationships/hyperlink" Target="https://www.who.int/health-topics/environmental-health" TargetMode="External"/><Relationship Id="rId5" Type="http://schemas.openxmlformats.org/officeDocument/2006/relationships/webSettings" Target="webSettings.xml"/><Relationship Id="rId15" Type="http://schemas.openxmlformats.org/officeDocument/2006/relationships/hyperlink" Target="https://doi.org/10.1016/j.ijnurstu.2009.08.006" TargetMode="External"/><Relationship Id="rId23" Type="http://schemas.openxmlformats.org/officeDocument/2006/relationships/hyperlink" Target="https://doi.org/10.1016/j.sintl.2021.100117" TargetMode="External"/><Relationship Id="rId28" Type="http://schemas.openxmlformats.org/officeDocument/2006/relationships/hyperlink" Target="https://search-ebscohost-com.ezproxy.uwtsd.ac.uk/login.aspx?direct=true&amp;db=bth&amp;AN=98835633&amp;site=ehost-live" TargetMode="External"/><Relationship Id="rId36" Type="http://schemas.openxmlformats.org/officeDocument/2006/relationships/hyperlink" Target="https://www.jstor.org/stable/2778293" TargetMode="External"/><Relationship Id="rId49" Type="http://schemas.openxmlformats.org/officeDocument/2006/relationships/hyperlink" Target="https://www.kingsfund.org.uk/blog/2016/03/nhs-financial-pressures-patient-care" TargetMode="External"/><Relationship Id="rId57" Type="http://schemas.openxmlformats.org/officeDocument/2006/relationships/hyperlink" Target="https://www.kingsfund.org.uk/publications/never-again" TargetMode="External"/><Relationship Id="rId61" Type="http://schemas.openxmlformats.org/officeDocument/2006/relationships/footer" Target="footer1.xml"/><Relationship Id="rId10" Type="http://schemas.openxmlformats.org/officeDocument/2006/relationships/hyperlink" Target="https://doi.org/10.1016/S0140-6736(20)30808-4" TargetMode="External"/><Relationship Id="rId19" Type="http://schemas.openxmlformats.org/officeDocument/2006/relationships/hyperlink" Target="https://doi-org.ezproxy.uwtsd.ac.uk/10.1080/23303131.2015.1087770" TargetMode="External"/><Relationship Id="rId31" Type="http://schemas.openxmlformats.org/officeDocument/2006/relationships/hyperlink" Target="https://doi.org/10.1108/JHOM-05-2019-0144" TargetMode="External"/><Relationship Id="rId44" Type="http://schemas.openxmlformats.org/officeDocument/2006/relationships/hyperlink" Target="https://www.england.nhs.uk/wp-content/uploads/2023/06/nhs-long-term-workforce-plan-v1.2.pdf" TargetMode="External"/><Relationship Id="rId52" Type="http://schemas.openxmlformats.org/officeDocument/2006/relationships/hyperlink" Target="https://doi.org/10.1080/21614083.2019.1613862" TargetMode="External"/><Relationship Id="rId60" Type="http://schemas.openxmlformats.org/officeDocument/2006/relationships/hyperlink" Target="https://catalyst.nejm.org/doi/full/10.1056/CAT.20.0569" TargetMode="External"/><Relationship Id="rId4" Type="http://schemas.openxmlformats.org/officeDocument/2006/relationships/settings" Target="settings.xml"/><Relationship Id="rId9" Type="http://schemas.openxmlformats.org/officeDocument/2006/relationships/hyperlink" Target="https://www.nursingtimes.net/news/workforce/who-warns-of-nursing-workforce-ticking-timebomb-in-uk-and-europe-15-09-2022/" TargetMode="External"/><Relationship Id="rId14" Type="http://schemas.openxmlformats.org/officeDocument/2006/relationships/hyperlink" Target="https://doi.org/10.1016/S0140-6736(09)60935-1" TargetMode="External"/><Relationship Id="rId22" Type="http://schemas.openxmlformats.org/officeDocument/2006/relationships/hyperlink" Target="https://www.nursinginpractice.com/community-nursing/nhs-staff-crisis-most-pressing-concern-post-brexit-report-finds/" TargetMode="External"/><Relationship Id="rId27" Type="http://schemas.openxmlformats.org/officeDocument/2006/relationships/hyperlink" Target="https://doi.org/10.1016/S0140-6736(13)60102-6" TargetMode="External"/><Relationship Id="rId30" Type="http://schemas.openxmlformats.org/officeDocument/2006/relationships/hyperlink" Target="https://doi.org/10.1136/bmj.p2584" TargetMode="External"/><Relationship Id="rId35" Type="http://schemas.openxmlformats.org/officeDocument/2006/relationships/hyperlink" Target="https://doi-org.ezproxy.uwtsd.ac.uk/10.1111/1467-9566.12171" TargetMode="External"/><Relationship Id="rId43" Type="http://schemas.openxmlformats.org/officeDocument/2006/relationships/hyperlink" Target="https://doi.org/10.1017/S1744133119000148" TargetMode="External"/><Relationship Id="rId48" Type="http://schemas.openxmlformats.org/officeDocument/2006/relationships/hyperlink" Target="https://doi.org/10.1111/1475-5890.12227" TargetMode="External"/><Relationship Id="rId56" Type="http://schemas.openxmlformats.org/officeDocument/2006/relationships/hyperlink" Target="https://www.gov.uk/government/publications/report-of-the-mid-staffordshire-nhs-foundation-trust-public-inquiry"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doi.org/10.3389/fpsyt.2022.898009" TargetMode="External"/><Relationship Id="rId3" Type="http://schemas.openxmlformats.org/officeDocument/2006/relationships/styles" Target="styles.xml"/><Relationship Id="rId12" Type="http://schemas.openxmlformats.org/officeDocument/2006/relationships/hyperlink" Target="https://www.kingsfund.org.uk/publications/nhs-long-term-plan-explained" TargetMode="External"/><Relationship Id="rId17" Type="http://schemas.openxmlformats.org/officeDocument/2006/relationships/hyperlink" Target="https://www.legislation.gov.uk/ukpga/2012/7/contents/enacted" TargetMode="External"/><Relationship Id="rId25" Type="http://schemas.openxmlformats.org/officeDocument/2006/relationships/hyperlink" Target="https://www.legislation.gov.uk/ukpga/2012/7/contents/enacted" TargetMode="External"/><Relationship Id="rId33" Type="http://schemas.openxmlformats.org/officeDocument/2006/relationships/hyperlink" Target="https://doi.org/10.1136/bmj.k4907" TargetMode="External"/><Relationship Id="rId38" Type="http://schemas.openxmlformats.org/officeDocument/2006/relationships/hyperlink" Target="https://www.england.nhs.uk/2020/10/nhs-becomes-the-worlds-national-health-system-to-commit-to-become-carbon-net-zero-backed-by-clear-deliverables-and-milestones/" TargetMode="External"/><Relationship Id="rId46" Type="http://schemas.openxmlformats.org/officeDocument/2006/relationships/hyperlink" Target="https://doi.org/10.1057/s41599-020-0398-3" TargetMode="External"/><Relationship Id="rId59" Type="http://schemas.openxmlformats.org/officeDocument/2006/relationships/hyperlink" Target="https://doi.org/10.1111/1467-9566.13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0DCF5-8F0D-4B4F-B414-D2CB0B20A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26</Pages>
  <Words>10390</Words>
  <Characters>59227</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chirila</dc:creator>
  <cp:keywords/>
  <dc:description/>
  <cp:lastModifiedBy>Monica Iftode (2008839)</cp:lastModifiedBy>
  <cp:revision>20</cp:revision>
  <dcterms:created xsi:type="dcterms:W3CDTF">2024-01-21T12:20:00Z</dcterms:created>
  <dcterms:modified xsi:type="dcterms:W3CDTF">2024-01-31T10:48:00Z</dcterms:modified>
</cp:coreProperties>
</file>