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ackground w:color="FFFFFF"/>
  <w:body>
    <w:p>
      <w:pPr>
        <w:pStyle w:val="Body A"/>
        <w:rPr>
          <w:sz w:val="28"/>
          <w:szCs w:val="28"/>
        </w:rPr>
      </w:pPr>
      <w:r>
        <w:rPr>
          <w:sz w:val="28"/>
          <w:szCs w:val="28"/>
          <w:rtl w:val="0"/>
          <w:lang w:val="en-US"/>
        </w:rPr>
        <w:t>Choose a group/individual within Society and Education being at risk of exclusion. Use the literature and theory to critically analyse whether policy translates into good/best practise in education.</w:t>
      </w:r>
    </w:p>
    <w:p>
      <w:pPr>
        <w:pStyle w:val="Body A"/>
      </w:pPr>
    </w:p>
    <w:p>
      <w:pPr>
        <w:pStyle w:val="Body A"/>
      </w:pPr>
    </w:p>
    <w:p>
      <w:pPr>
        <w:pStyle w:val="Body A"/>
      </w:pPr>
      <w:r>
        <w:rPr>
          <w:rtl w:val="0"/>
        </w:rPr>
        <w:t xml:space="preserve">This assignment will look at the meaning of social inclusion and the theory and philosophies that surround it. It will highlight the various groups and individuals in society that are at risk of being excluded, such as low income families or those with additional learning needs (ALN) and discuss the reasons why this may be the case. It will also focus on the current initiatives and policies within Wales and the UK as a whole, critically reflecting on what works and where perhaps improvements could be made. The assignment will look in further detail at Looked after children (LAC) in education and the initiatives used to ensure that social inclusion is promoted for these individuals, emphasising the reasons why inclusion is important, with particular reference to practice in setting A. The United Nations Convention on the Rights of the Child (1989, p.8) Article 27 states that </w:t>
      </w:r>
      <w:r>
        <w:rPr>
          <w:rtl w:val="0"/>
        </w:rPr>
        <w:t>‘</w:t>
      </w:r>
      <w:r>
        <w:rPr>
          <w:rtl w:val="0"/>
        </w:rPr>
        <w:t>every child has the right to a standard of living that is good enough to meet their physical and social needs and support their development</w:t>
      </w:r>
      <w:r>
        <w:rPr>
          <w:rtl w:val="0"/>
        </w:rPr>
        <w:t>’</w:t>
      </w:r>
      <w:r>
        <w:rPr>
          <w:rtl w:val="0"/>
        </w:rPr>
        <w:t>.</w:t>
      </w:r>
    </w:p>
    <w:p>
      <w:pPr>
        <w:pStyle w:val="Body A"/>
      </w:pPr>
    </w:p>
    <w:p>
      <w:pPr>
        <w:pStyle w:val="Body A"/>
      </w:pPr>
      <w:r>
        <w:rPr>
          <w:rtl w:val="0"/>
        </w:rPr>
        <w:t xml:space="preserve">The concept of social exclusion was first used in the UK by the then Labour Government who formed the Social Exclusion Unit (SEU) in 1997. The department dealt with the issues </w:t>
      </w:r>
      <w:r>
        <w:rPr>
          <w:rtl w:val="0"/>
        </w:rPr>
        <w:t>‘</w:t>
      </w:r>
      <w:r>
        <w:rPr>
          <w:rtl w:val="0"/>
        </w:rPr>
        <w:t>facing teenage parents, rough sleepers, deprived neighbourhoods and young people at risk of social exclusion</w:t>
      </w:r>
      <w:r>
        <w:rPr>
          <w:rtl w:val="0"/>
        </w:rPr>
        <w:t xml:space="preserve">’ </w:t>
      </w:r>
      <w:r>
        <w:rPr>
          <w:rtl w:val="0"/>
        </w:rPr>
        <w:t xml:space="preserve">(Office of the Deputy Prime Minister, 2004, p.3), and recognised that exclusion is a </w:t>
      </w:r>
      <w:r>
        <w:rPr>
          <w:rtl w:val="0"/>
        </w:rPr>
        <w:t>‘</w:t>
      </w:r>
      <w:r>
        <w:rPr>
          <w:rtl w:val="0"/>
        </w:rPr>
        <w:t>complex and multi-dimensional process</w:t>
      </w:r>
      <w:r>
        <w:rPr>
          <w:rtl w:val="0"/>
        </w:rPr>
        <w:t xml:space="preserve">’ </w:t>
      </w:r>
      <w:r>
        <w:rPr>
          <w:rtl w:val="0"/>
        </w:rPr>
        <w:t>(Levitas, 2007, p.9) involving many factors. Unsurprisingly, there are many different definitions of Social exclusion  depending on standpoint, but Duffy (1995) states that:</w:t>
      </w:r>
    </w:p>
    <w:p>
      <w:pPr>
        <w:pStyle w:val="Body A"/>
      </w:pPr>
    </w:p>
    <w:p>
      <w:pPr>
        <w:pStyle w:val="Body A"/>
        <w:ind w:left="720" w:right="360" w:firstLine="0"/>
      </w:pPr>
      <w:r>
        <w:rPr>
          <w:rtl w:val="0"/>
          <w:lang w:val="en-US"/>
        </w:rPr>
        <w:t>‘</w:t>
      </w:r>
      <w:r>
        <w:rPr>
          <w:rtl w:val="0"/>
          <w:lang w:val="en-US"/>
        </w:rPr>
        <w:t>Social exclusion is a broader concept than poverty, encompassing not only low material means but the inability to participate effectively in economic, social, political and cultural life, and in some characterisations alienation and distance from mainstream society</w:t>
      </w:r>
      <w:r>
        <w:rPr>
          <w:rtl w:val="0"/>
          <w:lang w:val="en-US"/>
        </w:rPr>
        <w:t>’</w:t>
      </w:r>
      <w:r>
        <w:rPr>
          <w:rtl w:val="0"/>
          <w:lang w:val="en-US"/>
        </w:rPr>
        <w:t>.</w:t>
        <w:tab/>
        <w:tab/>
        <w:tab/>
        <w:tab/>
      </w:r>
    </w:p>
    <w:p>
      <w:pPr>
        <w:pStyle w:val="Body A"/>
        <w:ind w:left="720" w:firstLine="0"/>
      </w:pPr>
      <w:r>
        <w:rPr>
          <w:rtl w:val="0"/>
        </w:rPr>
        <w:tab/>
        <w:tab/>
        <w:tab/>
        <w:tab/>
        <w:tab/>
        <w:t>Duffy (1995) cited in Levitas (2007, p. 21)</w:t>
      </w:r>
    </w:p>
    <w:p>
      <w:pPr>
        <w:pStyle w:val="Body A"/>
      </w:pPr>
    </w:p>
    <w:p>
      <w:pPr>
        <w:pStyle w:val="Body A"/>
      </w:pPr>
    </w:p>
    <w:p>
      <w:pPr>
        <w:pStyle w:val="Body A"/>
      </w:pPr>
      <w:r>
        <w:rPr>
          <w:rtl w:val="0"/>
        </w:rPr>
        <w:t xml:space="preserve">Inclusion is therefore </w:t>
      </w:r>
      <w:r>
        <w:rPr>
          <w:rtl w:val="0"/>
        </w:rPr>
        <w:t>‘</w:t>
      </w:r>
      <w:r>
        <w:rPr>
          <w:rtl w:val="0"/>
        </w:rPr>
        <w:t>about enabling people or communities to fully participate in society</w:t>
      </w:r>
      <w:r>
        <w:rPr>
          <w:rtl w:val="0"/>
        </w:rPr>
        <w:t xml:space="preserve">’ </w:t>
      </w:r>
      <w:r>
        <w:rPr>
          <w:rtl w:val="0"/>
        </w:rPr>
        <w:t>The Charity Commission (2001 p.2), and subsequently leading fulfilling lives.</w:t>
      </w:r>
    </w:p>
    <w:p>
      <w:pPr>
        <w:pStyle w:val="Body A"/>
      </w:pPr>
    </w:p>
    <w:p>
      <w:pPr>
        <w:pStyle w:val="Body A"/>
      </w:pPr>
      <w:r>
        <w:rPr>
          <w:rtl w:val="0"/>
        </w:rPr>
        <w:t>Levitas (2007) outlined 3 models of social exclusion:</w:t>
      </w:r>
    </w:p>
    <w:p>
      <w:pPr>
        <w:pStyle w:val="Body A"/>
      </w:pPr>
    </w:p>
    <w:p>
      <w:pPr>
        <w:pStyle w:val="Body A"/>
      </w:pPr>
      <w:r>
        <w:rPr>
          <w:rtl w:val="0"/>
        </w:rPr>
        <w:t>RED - redistributionist discourse (no money). Wealth is redistributed by collection from the wealthier via taxes, and given out as benefits to those who have lower incomes.</w:t>
      </w:r>
    </w:p>
    <w:p>
      <w:pPr>
        <w:pStyle w:val="Body A"/>
      </w:pPr>
      <w:r>
        <w:rPr>
          <w:rtl w:val="0"/>
        </w:rPr>
        <w:t xml:space="preserve">MUD - a moral underclass discourse (no morals). Low income neighbourhoods experience high levels of crime and lack work ethic. </w:t>
      </w:r>
    </w:p>
    <w:p>
      <w:pPr>
        <w:pStyle w:val="Body A"/>
      </w:pPr>
      <w:r>
        <w:rPr>
          <w:rtl w:val="0"/>
        </w:rPr>
        <w:t>SID - social integrationist discourse (no work). This theory focuses on paid work and entry into the labour market. Social integration and cohesion are achieved through paid work, and so conversely without paid work you are excluded from society.</w:t>
      </w:r>
    </w:p>
    <w:p>
      <w:pPr>
        <w:pStyle w:val="Body A"/>
      </w:pPr>
    </w:p>
    <w:p>
      <w:pPr>
        <w:pStyle w:val="Body A"/>
      </w:pPr>
      <w:r>
        <w:rPr>
          <w:rtl w:val="0"/>
        </w:rPr>
        <w:t>Political debate has shifted inconsistently between these different approaches. But whatever the political standpoint, social constructivism says that social factors are not a natural given, but have been constructed due to decisions made and the interaction of social forces (Thompson, 2011). A new approach to the issues could therefore lead to a new outcome.</w:t>
      </w:r>
    </w:p>
    <w:p>
      <w:pPr>
        <w:pStyle w:val="Body A"/>
      </w:pPr>
    </w:p>
    <w:p>
      <w:pPr>
        <w:pStyle w:val="Body A"/>
      </w:pPr>
      <w:r>
        <w:rPr>
          <w:rtl w:val="0"/>
        </w:rPr>
        <w:t xml:space="preserve">The Joseph Rowntree Foundation (2017) also tells us that there are groups within society where poverty and consequently exclusion, is more prevalent such as lone parents, large families, low paid jobs/unemployed, family that have a disabled member, some ethnic minorities, Looked after Children (LAC), migrants and asylum seekers. </w:t>
      </w:r>
    </w:p>
    <w:p>
      <w:pPr>
        <w:pStyle w:val="Body A"/>
      </w:pPr>
    </w:p>
    <w:p>
      <w:pPr>
        <w:pStyle w:val="Body A"/>
      </w:pPr>
      <w:r>
        <w:rPr>
          <w:rtl w:val="0"/>
        </w:rPr>
        <w:t>There are lots of things going on in a child</w:t>
      </w:r>
      <w:r>
        <w:rPr>
          <w:rtl w:val="0"/>
        </w:rPr>
        <w:t>’</w:t>
      </w:r>
      <w:r>
        <w:rPr>
          <w:rtl w:val="0"/>
        </w:rPr>
        <w:t>s life even before they set foot in school, and arguably one the most vulnerable groups in society where this is most prominent are Looked After Children, who are placed in the care of their Local Authority. They are more likely to have suffered childhood trauma, and Maslow</w:t>
      </w:r>
      <w:r>
        <w:rPr>
          <w:rtl w:val="0"/>
        </w:rPr>
        <w:t>’</w:t>
      </w:r>
      <w:r>
        <w:rPr>
          <w:rtl w:val="0"/>
        </w:rPr>
        <w:t xml:space="preserve">s (1934) basic needs will not have been met. The number of looked after children has increased from 4,635 in 2008 to 6,405 in 2018 (Welsh Government, 2018), and so we cannot afford to lose sight of this group of children as </w:t>
      </w:r>
      <w:r>
        <w:rPr>
          <w:rtl w:val="0"/>
        </w:rPr>
        <w:t>‘</w:t>
      </w:r>
      <w:r>
        <w:rPr>
          <w:rtl w:val="0"/>
        </w:rPr>
        <w:t>someone</w:t>
      </w:r>
      <w:r>
        <w:rPr>
          <w:rtl w:val="0"/>
        </w:rPr>
        <w:t>’</w:t>
      </w:r>
      <w:r>
        <w:rPr>
          <w:rtl w:val="0"/>
        </w:rPr>
        <w:t>s ability to benefit from education should not be determined by their personal circumstances</w:t>
      </w:r>
      <w:r>
        <w:rPr>
          <w:rtl w:val="0"/>
        </w:rPr>
        <w:t xml:space="preserve">’ </w:t>
      </w:r>
      <w:r>
        <w:rPr>
          <w:rtl w:val="0"/>
        </w:rPr>
        <w:t>(Welsh Gov, 2017, p.2). The majority of LAC (73%) are placed in foster care, although a number are placed in care homes, or in the home of another person with parental responsibility for them.</w:t>
      </w:r>
    </w:p>
    <w:p>
      <w:pPr>
        <w:pStyle w:val="Body A"/>
      </w:pPr>
    </w:p>
    <w:p>
      <w:pPr>
        <w:pStyle w:val="Body A"/>
      </w:pPr>
      <w:r>
        <w:rPr>
          <w:rtl w:val="0"/>
        </w:rPr>
        <w:t>Issues that LAC children face will be numerous and may include poverty. It is known that those in receipt of Free School Meals (the indicator of poverty used in education) are much less likely to leave school with good qualifications. In 2016, 23% of children who were looked after achieved the equivalent of five GCSEs at grade A*-C including English or Welsh first language and mathematics, up from 17% in 2015, compared to a 59% pass rate for their peers (Welsh Government, 2017). As a consequence of this differential, they will have lower paid jobs and poorer standards of living. It becomes a cycle of poverty from which it is difficult to escape. This is know as intergenerational poverty (WG, 2018). Additionally, with no finances of their own, LAC have to rely on foster carers (funded by the Local Authority) for every financial need, which can have an effect on self esteem, and contribute to the feeling of being trapped.</w:t>
      </w:r>
    </w:p>
    <w:p>
      <w:pPr>
        <w:pStyle w:val="Body A"/>
      </w:pPr>
    </w:p>
    <w:p>
      <w:pPr>
        <w:pStyle w:val="Body A"/>
      </w:pPr>
      <w:r>
        <w:rPr>
          <w:rtl w:val="0"/>
        </w:rPr>
        <w:t>Children and young people may be insecure and unable to connect with foster carers and their families, or with their peers within the school setting. Quite understandably many are not trusting of anyone, which can also prevent them forming good relationships with the adults who could potentially help them (Rahilly and Hendry, 2014). Foster carers may be temporary, and LAC may have a number of carers over a short space of time, especially if relationships habitually break down. This lack of consistency can lead to a feeling of displacement, with no place of their own to call home (a basic need), and adverse behaviours may result as a means of coping.</w:t>
      </w:r>
    </w:p>
    <w:p>
      <w:pPr>
        <w:pStyle w:val="Body A"/>
      </w:pPr>
    </w:p>
    <w:p>
      <w:pPr>
        <w:pStyle w:val="Body A"/>
      </w:pPr>
      <w:r>
        <w:rPr>
          <w:rtl w:val="0"/>
        </w:rPr>
        <w:t>Social and emotional competencies (soft skills of communication) will undoubtably be affected in Looked After Children, as little time will have been spent by parents in teaching them about the world around them, or reading to them. We know that educational under-achievement by children living in poverty in Wales can be seen as early as the age of three, when they enter nursery (JRF, 2017). Additionally, there are often low expectations of behaviour or academic results, and so the child becomes aware that nothing is expected of them which becomes self-fulfilling, resulting in low ambitions for themselves.</w:t>
      </w:r>
    </w:p>
    <w:p>
      <w:pPr>
        <w:pStyle w:val="Body A"/>
      </w:pPr>
      <w:r>
        <w:rPr>
          <w:rtl w:val="0"/>
        </w:rPr>
        <w:t>Mental health and wellbeing is also of great concern, as the Department for Education (</w:t>
      </w:r>
      <w:r>
        <w:rPr>
          <w:rStyle w:val="Hyperlink.0"/>
        </w:rPr>
        <w:fldChar w:fldCharType="begin" w:fldLock="0"/>
      </w:r>
      <w:r>
        <w:rPr>
          <w:rStyle w:val="Hyperlink.0"/>
        </w:rPr>
        <w:instrText xml:space="preserve"> HYPERLINK "http://gov.uk"</w:instrText>
      </w:r>
      <w:r>
        <w:rPr>
          <w:rStyle w:val="Hyperlink.0"/>
        </w:rPr>
        <w:fldChar w:fldCharType="separate" w:fldLock="0"/>
      </w:r>
      <w:r>
        <w:rPr>
          <w:rStyle w:val="Hyperlink.0"/>
          <w:rtl w:val="0"/>
        </w:rPr>
        <w:t>gov.uk</w:t>
      </w:r>
      <w:r>
        <w:rPr/>
        <w:fldChar w:fldCharType="end" w:fldLock="0"/>
      </w:r>
      <w:r>
        <w:rPr>
          <w:rtl w:val="0"/>
        </w:rPr>
        <w:t xml:space="preserve">, 2018) informs us that </w:t>
      </w:r>
      <w:r>
        <w:rPr>
          <w:rtl w:val="0"/>
        </w:rPr>
        <w:t>‘</w:t>
      </w:r>
      <w:r>
        <w:rPr>
          <w:rtl w:val="0"/>
        </w:rPr>
        <w:t>currently half of all children in care meet the criteria for a possible mental health disorder, compared to one in ten children outside the care system</w:t>
      </w:r>
      <w:r>
        <w:rPr>
          <w:rtl w:val="0"/>
        </w:rPr>
        <w:t>’</w:t>
      </w:r>
      <w:r>
        <w:rPr>
          <w:rtl w:val="0"/>
        </w:rPr>
        <w:t xml:space="preserve">. </w:t>
      </w:r>
    </w:p>
    <w:p>
      <w:pPr>
        <w:pStyle w:val="Body A"/>
      </w:pPr>
      <w:r>
        <w:rPr>
          <w:rtl w:val="0"/>
        </w:rPr>
        <w:t>‘</w:t>
      </w:r>
      <w:r>
        <w:rPr>
          <w:rtl w:val="0"/>
        </w:rPr>
        <w:t>On a UK basis, up to 41% of children who end up in custody in the UK will have some history of being in care</w:t>
      </w:r>
      <w:r>
        <w:rPr>
          <w:rtl w:val="0"/>
        </w:rPr>
        <w:t xml:space="preserve">’ </w:t>
      </w:r>
      <w:r>
        <w:rPr>
          <w:rtl w:val="0"/>
        </w:rPr>
        <w:t>(National Assembly for Wales, 2007) which reflects the need for behavioural interventions and support in many instances.</w:t>
      </w:r>
    </w:p>
    <w:p>
      <w:pPr>
        <w:pStyle w:val="Body A"/>
      </w:pPr>
    </w:p>
    <w:p>
      <w:pPr>
        <w:pStyle w:val="Body A"/>
      </w:pPr>
      <w:r>
        <w:rPr>
          <w:rtl w:val="0"/>
        </w:rPr>
        <w:t>Each looked after child will have their own specific needs, many of which may be complex and diverse. On entering the care of the Local Authority it is therefore essential that a detailed care plan is put in place without delay to detail the complex interventions required that treat the whole person, and most especially Maslow</w:t>
      </w:r>
      <w:r>
        <w:rPr>
          <w:rtl w:val="0"/>
        </w:rPr>
        <w:t>’</w:t>
      </w:r>
      <w:r>
        <w:rPr>
          <w:rtl w:val="0"/>
        </w:rPr>
        <w:t>s (1943) basic needs of food, water, warmth and safety. Once these have been met, the psychological needs and finally self-fulfilling needs, including educational attainment, can be addressed.</w:t>
      </w:r>
    </w:p>
    <w:p>
      <w:pPr>
        <w:pStyle w:val="Body A"/>
      </w:pPr>
    </w:p>
    <w:p>
      <w:pPr>
        <w:pStyle w:val="Body A"/>
      </w:pPr>
      <w:r>
        <w:rPr>
          <w:rtl w:val="0"/>
        </w:rPr>
        <w:t>To ensure that all people responsible for Looked After Children are aware of their statutory responsibilities, the Welsh Government (2017) Making a difference: A guide for the designated person for looked after children in schools, sets out expectations and roles of all those involved. Each school should have a designated lead person, usually from a pastoral background or the ALNCo, to look after the complete range of needs of the LAC and liaise with all the relevant people involved in the child</w:t>
      </w:r>
      <w:r>
        <w:rPr>
          <w:rtl w:val="0"/>
        </w:rPr>
        <w:t>’</w:t>
      </w:r>
      <w:r>
        <w:rPr>
          <w:rtl w:val="0"/>
        </w:rPr>
        <w:t>s care and support. In setting A, strategies include continual monitoring of progress so that timely interventions can be given in areas of learning difficulty, access to a safe place to spend time when required, and the availability of school counselling services if needed. Personal Education Plans (PEP</w:t>
      </w:r>
      <w:r>
        <w:rPr>
          <w:rtl w:val="0"/>
        </w:rPr>
        <w:t>’</w:t>
      </w:r>
      <w:r>
        <w:rPr>
          <w:rtl w:val="0"/>
        </w:rPr>
        <w:t>s) and care plans are a statutory requirement, and can be used to great effect to specify the needs and aspirations of the student, and to outline how these needs will be met using SMART targets and objectives.</w:t>
      </w:r>
    </w:p>
    <w:p>
      <w:pPr>
        <w:pStyle w:val="Body A"/>
      </w:pPr>
    </w:p>
    <w:p>
      <w:pPr>
        <w:pStyle w:val="Body A"/>
      </w:pPr>
      <w:r>
        <w:rPr>
          <w:rtl w:val="0"/>
        </w:rPr>
        <w:t>There are also certain allowances made for LAC children when applying for school places. Looked After Children are given the discretion to attend a school of their choice, and have no time limitations for their application unlike their peers. The application is given priority permission over any other applications to the school. They may also stay in that same school even when their foster placement changes, and they may move out of catchment. This is done to try and maintain continuity which can be very important for a child</w:t>
      </w:r>
      <w:r>
        <w:rPr>
          <w:rtl w:val="0"/>
        </w:rPr>
        <w:t>’</w:t>
      </w:r>
      <w:r>
        <w:rPr>
          <w:rtl w:val="0"/>
        </w:rPr>
        <w:t>s wellbeing, especially those for whom continuity has not been previously present. LAC are also eligible for School Uniform grant to pay for any uniform needed, and in setting A essential school trips and after school activities are funded by the school.</w:t>
      </w:r>
    </w:p>
    <w:p>
      <w:pPr>
        <w:pStyle w:val="Body A"/>
      </w:pPr>
    </w:p>
    <w:p>
      <w:pPr>
        <w:pStyle w:val="Body A"/>
      </w:pPr>
      <w:r>
        <w:rPr>
          <w:rtl w:val="0"/>
        </w:rPr>
        <w:t>Social and Emotional Aspects of Learning (SEAL) programmes in primary schools, and Personal, Social and Health Education (PHSE) lessons in secondary schools help youngsters with life skills that they may otherwise miss out on, especially if they have no stable placement. Setting A has a comprehensive curriculum of PHSE activities, which are conducted on a rotational basis throughout the school year, so that information is readily available to all students. A team of Pastoral Guidance workers, and Heads of Year are also available at any time during the school day and for a short time after school, for any advice and help. Behaviour counselling and behaviour intervention plans are also used for those pupils who have recurring issues, to set boundaries and lay out expected behaviours to adhere to. In setting A, an after school Homework Club is open to all students who wish to make use of it. This can be essential to provide for the poorer students who do not have space, facilities such as computers or assistance at home. It enables them to access the support they need to do their homework with qualified learning coaches on hand.</w:t>
      </w:r>
    </w:p>
    <w:p>
      <w:pPr>
        <w:pStyle w:val="Body A"/>
      </w:pPr>
    </w:p>
    <w:p>
      <w:pPr>
        <w:pStyle w:val="Body A"/>
      </w:pPr>
      <w:r>
        <w:rPr>
          <w:rStyle w:val="None"/>
          <w:rtl w:val="0"/>
          <w:lang w:val="en-US"/>
        </w:rPr>
        <w:t>Free School Meals (FSM) provision shows a productivity increase. Entitlement is means tested (</w:t>
      </w:r>
      <w:r>
        <w:rPr>
          <w:rStyle w:val="None"/>
          <w:rtl w:val="0"/>
          <w:lang w:val="it-IT"/>
        </w:rPr>
        <w:t>i.e.,</w:t>
      </w:r>
      <w:r>
        <w:rPr>
          <w:rStyle w:val="None"/>
          <w:rtl w:val="0"/>
          <w:lang w:val="en-US"/>
        </w:rPr>
        <w:t xml:space="preserve"> linked to income), and also linked to other benefits, so not all who need it will be entitled. However, for those that are eligible it may be the only balanced meal of the day, and will fulfil Maslow</w:t>
      </w:r>
      <w:r>
        <w:rPr>
          <w:rStyle w:val="None"/>
          <w:rtl w:val="0"/>
          <w:lang w:val="en-US"/>
        </w:rPr>
        <w:t>’</w:t>
      </w:r>
      <w:r>
        <w:rPr>
          <w:rStyle w:val="None"/>
          <w:rtl w:val="0"/>
          <w:lang w:val="en-US"/>
        </w:rPr>
        <w:t xml:space="preserve">s (1943) basic need of food/hunger so that a child can concentrate to study. The stigma of free school meals has been overcome in setting A by introducing a coin-less biometric system, where all pupils and staff pay using fingerprint. This ensures discretion is maintained, as pupils receiving FSM will have their account topped up from FSM funds, whilst parents of all other children will top theirs up at home. However, whilst we can ensure that primary aged pupils are receiving a healthy balanced meal by controlling what is served, we cannot control food choices for secondary school children. </w:t>
      </w:r>
    </w:p>
    <w:p>
      <w:pPr>
        <w:pStyle w:val="Body A"/>
      </w:pPr>
    </w:p>
    <w:p>
      <w:pPr>
        <w:pStyle w:val="Body A"/>
      </w:pPr>
      <w:r>
        <w:rPr>
          <w:rtl w:val="0"/>
        </w:rPr>
        <w:t xml:space="preserve">Breakfast clubs are also available to all primary aged children so that they have the opportunity to have a filling breakfast, with the aim of increasing productivity. In some instances this is being mis-used as a free childcare facility by parents, meaning that funds are spent on those who are not financially in need. Questions have been asked as to whether this money is reaching the children it needs to help the most. At present, the same facility is not offered to secondary aged pupils whose body and teenage brains are still developing, and need a nutritious start to the day which they may not be getting at home. </w:t>
      </w:r>
    </w:p>
    <w:p>
      <w:pPr>
        <w:pStyle w:val="Body A"/>
      </w:pPr>
    </w:p>
    <w:p>
      <w:pPr>
        <w:pStyle w:val="Body A"/>
      </w:pPr>
      <w:r>
        <w:rPr>
          <w:rtl w:val="0"/>
        </w:rPr>
        <w:t xml:space="preserve">The Welsh Government initiatives to reduce poverty such as the Child Poverty Strategy for Wales (2011 &amp; 2015) and the Tackling Poverty Action Plan (2012-2016) have lead to the Pupil Deprivation Grant (PDG), and School the Effectiveness Grant to help fund strategies for those who need intervention. The Pupil Deprivation Grant of </w:t>
      </w:r>
      <w:r>
        <w:rPr>
          <w:rtl w:val="0"/>
        </w:rPr>
        <w:t>£</w:t>
      </w:r>
      <w:r>
        <w:rPr>
          <w:rtl w:val="0"/>
        </w:rPr>
        <w:t>1,150 is allocated directly to schools for every child eligible for FSM, with extra funding also available for looked-after and adopted children and for under-fives. Funding should be used for FSM children and LAC only, or whole school initiatives which will directly benefit those groups of learners, and should not be used for the provision of any other learners e.g. ALN. Whilst this money is welcomed, some schools are often mis-using this budget so that the intended target children may not see the entire benefit.</w:t>
      </w:r>
    </w:p>
    <w:p>
      <w:pPr>
        <w:pStyle w:val="Body A"/>
      </w:pPr>
    </w:p>
    <w:p>
      <w:pPr>
        <w:pStyle w:val="Body A"/>
      </w:pPr>
      <w:r>
        <w:rPr>
          <w:rtl w:val="0"/>
        </w:rPr>
        <w:t>The School Effectiveness Grant is allocated to local authorities for their work with schools based on number of pupils aged five to 15 years in each authority. This money can be used for improvement activities such as providing catch-up learning activities for literacy and numeracy, and so will benefit all children.</w:t>
      </w:r>
    </w:p>
    <w:p>
      <w:pPr>
        <w:pStyle w:val="Body A"/>
      </w:pPr>
    </w:p>
    <w:p>
      <w:pPr>
        <w:pStyle w:val="Body A"/>
      </w:pPr>
      <w:r>
        <w:rPr>
          <w:rtl w:val="0"/>
        </w:rPr>
        <w:t>In conclusion, there are many groups and individuals in society that are at risk of being excluded, resulting in poorer educational outcomes, but there are also many initiatives to help overcome some of these issues in part, some which work well, and others which may not stand the test of time. Make no mistake, there is still a very long way to go, and many lessons to be learned to ensure that education is accessible for all. Effective policy also needs to be applied consistently and in a timely manner. Statistics alone don</w:t>
      </w:r>
      <w:r>
        <w:rPr>
          <w:rtl w:val="0"/>
        </w:rPr>
        <w:t>’</w:t>
      </w:r>
      <w:r>
        <w:rPr>
          <w:rtl w:val="0"/>
        </w:rPr>
        <w:t>t tell us the whole story, it is a complex issue with multiple factors at play, but what we always need to bear in mind is that behind every policy or statistic there is a human story of an actual child for whom we must strive to make improvements.</w:t>
      </w:r>
    </w:p>
    <w:p>
      <w:pPr>
        <w:pStyle w:val="Body A"/>
      </w:pPr>
    </w:p>
    <w:p>
      <w:pPr>
        <w:pStyle w:val="Body A"/>
      </w:pPr>
    </w:p>
    <w:p>
      <w:pPr>
        <w:pStyle w:val="Body A"/>
      </w:pPr>
    </w:p>
    <w:p>
      <w:pPr>
        <w:pStyle w:val="Body A"/>
        <w:spacing w:line="240" w:lineRule="auto"/>
        <w:jc w:val="left"/>
      </w:pPr>
    </w:p>
    <w:p>
      <w:pPr>
        <w:pStyle w:val="Body A"/>
        <w:spacing w:line="240" w:lineRule="auto"/>
        <w:jc w:val="left"/>
        <w:rPr>
          <w:rStyle w:val="None"/>
          <w:rFonts w:ascii="Helvetica Neue" w:cs="Helvetica Neue" w:hAnsi="Helvetica Neue" w:eastAsia="Helvetica Neue"/>
          <w:sz w:val="28"/>
          <w:szCs w:val="28"/>
          <w:u w:val="single"/>
        </w:rPr>
      </w:pPr>
      <w:r>
        <w:rPr>
          <w:rStyle w:val="None"/>
          <w:rFonts w:ascii="Helvetica Neue" w:hAnsi="Helvetica Neue"/>
          <w:sz w:val="28"/>
          <w:szCs w:val="28"/>
          <w:u w:val="single"/>
          <w:rtl w:val="0"/>
          <w:lang w:val="en-US"/>
        </w:rPr>
        <w:t>References SJIE 5003</w:t>
      </w:r>
    </w:p>
    <w:p>
      <w:pPr>
        <w:pStyle w:val="Body A"/>
        <w:spacing w:line="240" w:lineRule="auto"/>
        <w:jc w:val="left"/>
        <w:rPr>
          <w:rStyle w:val="None"/>
          <w:rFonts w:ascii="Helvetica Neue" w:cs="Helvetica Neue" w:hAnsi="Helvetica Neue" w:eastAsia="Helvetica Neue"/>
          <w:sz w:val="22"/>
          <w:szCs w:val="22"/>
        </w:rPr>
      </w:pPr>
    </w:p>
    <w:p>
      <w:pPr>
        <w:pStyle w:val="Body A"/>
        <w:spacing w:line="240" w:lineRule="auto"/>
        <w:jc w:val="left"/>
        <w:rPr>
          <w:rStyle w:val="None"/>
          <w:rFonts w:ascii="Helvetica Neue" w:cs="Helvetica Neue" w:hAnsi="Helvetica Neue" w:eastAsia="Helvetica Neue"/>
          <w:sz w:val="22"/>
          <w:szCs w:val="22"/>
        </w:rPr>
      </w:pPr>
    </w:p>
    <w:p>
      <w:pPr>
        <w:pStyle w:val="Body A"/>
        <w:spacing w:line="288" w:lineRule="auto"/>
        <w:jc w:val="left"/>
        <w:rPr>
          <w:rStyle w:val="None"/>
          <w:sz w:val="22"/>
          <w:szCs w:val="22"/>
        </w:rPr>
      </w:pPr>
      <w:r>
        <w:rPr>
          <w:rStyle w:val="None"/>
          <w:sz w:val="22"/>
          <w:szCs w:val="22"/>
          <w:rtl w:val="0"/>
          <w:lang w:val="en-US"/>
        </w:rPr>
        <w:t xml:space="preserve">The Charity Commission (2001) </w:t>
      </w:r>
      <w:r>
        <w:rPr>
          <w:rStyle w:val="None"/>
          <w:i w:val="1"/>
          <w:iCs w:val="1"/>
          <w:sz w:val="22"/>
          <w:szCs w:val="22"/>
          <w:rtl w:val="0"/>
          <w:lang w:val="en-US"/>
        </w:rPr>
        <w:t>The promotion of social Inclusion</w:t>
      </w:r>
      <w:r>
        <w:rPr>
          <w:rStyle w:val="None"/>
          <w:sz w:val="22"/>
          <w:szCs w:val="22"/>
          <w:rtl w:val="0"/>
          <w:lang w:val="en-US"/>
        </w:rPr>
        <w:t>. Crown Copyright: London.</w:t>
      </w:r>
    </w:p>
    <w:p>
      <w:pPr>
        <w:pStyle w:val="Body A"/>
        <w:spacing w:line="288" w:lineRule="auto"/>
        <w:jc w:val="left"/>
        <w:rPr>
          <w:sz w:val="22"/>
          <w:szCs w:val="22"/>
        </w:rPr>
      </w:pPr>
    </w:p>
    <w:p>
      <w:pPr>
        <w:pStyle w:val="Body A"/>
        <w:spacing w:line="288" w:lineRule="auto"/>
        <w:jc w:val="left"/>
        <w:rPr>
          <w:rStyle w:val="None"/>
          <w:sz w:val="22"/>
          <w:szCs w:val="22"/>
        </w:rPr>
      </w:pPr>
      <w:r>
        <w:rPr>
          <w:rStyle w:val="None"/>
          <w:sz w:val="22"/>
          <w:szCs w:val="22"/>
          <w:rtl w:val="0"/>
          <w:lang w:val="en-US"/>
        </w:rPr>
        <w:t xml:space="preserve">Equality and Human Rights Commission (2015) </w:t>
      </w:r>
      <w:r>
        <w:rPr>
          <w:rStyle w:val="None"/>
          <w:i w:val="1"/>
          <w:iCs w:val="1"/>
          <w:sz w:val="22"/>
          <w:szCs w:val="22"/>
          <w:rtl w:val="0"/>
          <w:lang w:val="en-US"/>
        </w:rPr>
        <w:t>Is Wales Fairer? The State of Equality and Human Rights</w:t>
      </w:r>
      <w:r>
        <w:rPr>
          <w:rStyle w:val="None"/>
          <w:sz w:val="22"/>
          <w:szCs w:val="22"/>
          <w:rtl w:val="0"/>
          <w:lang w:val="en-US"/>
        </w:rPr>
        <w:t xml:space="preserve">  </w:t>
      </w:r>
      <w:r>
        <w:rPr>
          <w:rStyle w:val="Hyperlink.1"/>
        </w:rPr>
        <w:fldChar w:fldCharType="begin" w:fldLock="0"/>
      </w:r>
      <w:r>
        <w:rPr>
          <w:rStyle w:val="Hyperlink.1"/>
        </w:rPr>
        <w:instrText xml:space="preserve"> HYPERLINK "https://www.equalityhumanrights.com/en/publication-download/wales-fairer-2015"</w:instrText>
      </w:r>
      <w:r>
        <w:rPr>
          <w:rStyle w:val="Hyperlink.1"/>
        </w:rPr>
        <w:fldChar w:fldCharType="separate" w:fldLock="0"/>
      </w:r>
      <w:r>
        <w:rPr>
          <w:rStyle w:val="Hyperlink.1"/>
          <w:rtl w:val="0"/>
          <w:lang w:val="en-US"/>
        </w:rPr>
        <w:t>https://www.equalityhumanrights.com/en/publication-download/wales-fairer-2015</w:t>
      </w:r>
      <w:r>
        <w:rPr/>
        <w:fldChar w:fldCharType="end" w:fldLock="0"/>
      </w:r>
    </w:p>
    <w:p>
      <w:pPr>
        <w:pStyle w:val="Body A"/>
        <w:spacing w:line="288" w:lineRule="auto"/>
        <w:jc w:val="left"/>
        <w:rPr>
          <w:rStyle w:val="None"/>
          <w:sz w:val="22"/>
          <w:szCs w:val="22"/>
        </w:rPr>
      </w:pPr>
      <w:r>
        <w:rPr>
          <w:rStyle w:val="None"/>
          <w:sz w:val="22"/>
          <w:szCs w:val="22"/>
          <w:rtl w:val="0"/>
          <w:lang w:val="en-US"/>
        </w:rPr>
        <w:t>(Accessed: 28th Dec 2018)</w:t>
      </w:r>
    </w:p>
    <w:p>
      <w:pPr>
        <w:pStyle w:val="Body A"/>
        <w:spacing w:line="288" w:lineRule="auto"/>
        <w:jc w:val="left"/>
        <w:rPr>
          <w:sz w:val="22"/>
          <w:szCs w:val="22"/>
        </w:rPr>
      </w:pPr>
    </w:p>
    <w:p>
      <w:pPr>
        <w:pStyle w:val="Body A"/>
        <w:spacing w:line="288" w:lineRule="auto"/>
        <w:jc w:val="left"/>
        <w:rPr>
          <w:rStyle w:val="None"/>
          <w:sz w:val="22"/>
          <w:szCs w:val="22"/>
        </w:rPr>
      </w:pPr>
      <w:r>
        <w:rPr>
          <w:rStyle w:val="None"/>
          <w:sz w:val="22"/>
          <w:szCs w:val="22"/>
          <w:rtl w:val="0"/>
          <w:lang w:val="en-US"/>
        </w:rPr>
        <w:t xml:space="preserve">Government (2018) </w:t>
      </w:r>
      <w:r>
        <w:rPr>
          <w:rStyle w:val="None"/>
          <w:i w:val="1"/>
          <w:iCs w:val="1"/>
          <w:sz w:val="22"/>
          <w:szCs w:val="22"/>
          <w:rtl w:val="0"/>
          <w:lang w:val="en-US"/>
        </w:rPr>
        <w:t>Improved mental health support for children in care: Department of Education</w:t>
      </w:r>
    </w:p>
    <w:p>
      <w:pPr>
        <w:pStyle w:val="Body A"/>
        <w:spacing w:line="288" w:lineRule="auto"/>
        <w:jc w:val="left"/>
        <w:rPr>
          <w:rStyle w:val="None"/>
          <w:sz w:val="22"/>
          <w:szCs w:val="22"/>
        </w:rPr>
      </w:pPr>
      <w:r>
        <w:rPr>
          <w:rStyle w:val="Hyperlink.1"/>
        </w:rPr>
        <w:fldChar w:fldCharType="begin" w:fldLock="0"/>
      </w:r>
      <w:r>
        <w:rPr>
          <w:rStyle w:val="Hyperlink.1"/>
        </w:rPr>
        <w:instrText xml:space="preserve"> HYPERLINK "https://www.gov.uk/government/news/improved-mental-health-support-for-children-in-care"</w:instrText>
      </w:r>
      <w:r>
        <w:rPr>
          <w:rStyle w:val="Hyperlink.1"/>
        </w:rPr>
        <w:fldChar w:fldCharType="separate" w:fldLock="0"/>
      </w:r>
      <w:r>
        <w:rPr>
          <w:rStyle w:val="Hyperlink.1"/>
          <w:rtl w:val="0"/>
          <w:lang w:val="en-US"/>
        </w:rPr>
        <w:t>https://www.gov.uk/government/news/improved-mental-health-support-for-children-in-care</w:t>
      </w:r>
      <w:r>
        <w:rPr/>
        <w:fldChar w:fldCharType="end" w:fldLock="0"/>
      </w:r>
      <w:r>
        <w:rPr>
          <w:rStyle w:val="None"/>
          <w:sz w:val="22"/>
          <w:szCs w:val="22"/>
          <w:rtl w:val="0"/>
          <w:lang w:val="en-US"/>
        </w:rPr>
        <w:t xml:space="preserve"> (Accessed: 28th Dec 2018)</w:t>
      </w:r>
    </w:p>
    <w:p>
      <w:pPr>
        <w:pStyle w:val="Body A"/>
        <w:spacing w:line="288" w:lineRule="auto"/>
        <w:jc w:val="left"/>
        <w:rPr>
          <w:sz w:val="22"/>
          <w:szCs w:val="22"/>
        </w:rPr>
      </w:pPr>
    </w:p>
    <w:p>
      <w:pPr>
        <w:pStyle w:val="Body A"/>
        <w:spacing w:line="288" w:lineRule="auto"/>
        <w:jc w:val="left"/>
        <w:rPr>
          <w:rStyle w:val="None"/>
          <w:sz w:val="22"/>
          <w:szCs w:val="22"/>
        </w:rPr>
      </w:pPr>
      <w:r>
        <w:rPr>
          <w:rStyle w:val="None"/>
          <w:sz w:val="22"/>
          <w:szCs w:val="22"/>
          <w:rtl w:val="0"/>
          <w:lang w:val="en-US"/>
        </w:rPr>
        <w:t xml:space="preserve">Joseph Rowntree Foundation (2017) </w:t>
      </w:r>
      <w:r>
        <w:rPr>
          <w:rStyle w:val="None"/>
          <w:i w:val="1"/>
          <w:iCs w:val="1"/>
          <w:sz w:val="22"/>
          <w:szCs w:val="22"/>
          <w:rtl w:val="0"/>
          <w:lang w:val="en-US"/>
        </w:rPr>
        <w:t>Education in Wales</w:t>
      </w:r>
    </w:p>
    <w:p>
      <w:pPr>
        <w:pStyle w:val="Body A"/>
        <w:spacing w:line="288" w:lineRule="auto"/>
        <w:jc w:val="left"/>
        <w:rPr>
          <w:rStyle w:val="None"/>
          <w:sz w:val="22"/>
          <w:szCs w:val="22"/>
        </w:rPr>
      </w:pPr>
      <w:r>
        <w:rPr>
          <w:rStyle w:val="Hyperlink.1"/>
        </w:rPr>
        <w:fldChar w:fldCharType="begin" w:fldLock="0"/>
      </w:r>
      <w:r>
        <w:rPr>
          <w:rStyle w:val="Hyperlink.1"/>
        </w:rPr>
        <w:instrText xml:space="preserve"> HYPERLINK "https://www.jrf.org.uk/data/education-wales"</w:instrText>
      </w:r>
      <w:r>
        <w:rPr>
          <w:rStyle w:val="Hyperlink.1"/>
        </w:rPr>
        <w:fldChar w:fldCharType="separate" w:fldLock="0"/>
      </w:r>
      <w:r>
        <w:rPr>
          <w:rStyle w:val="Hyperlink.1"/>
          <w:rtl w:val="0"/>
          <w:lang w:val="en-US"/>
        </w:rPr>
        <w:t>https://www.jrf.org.uk/data/education-wales</w:t>
      </w:r>
      <w:r>
        <w:rPr/>
        <w:fldChar w:fldCharType="end" w:fldLock="0"/>
      </w:r>
      <w:r>
        <w:rPr>
          <w:rStyle w:val="None"/>
          <w:sz w:val="22"/>
          <w:szCs w:val="22"/>
          <w:rtl w:val="0"/>
          <w:lang w:val="en-US"/>
        </w:rPr>
        <w:t xml:space="preserve"> (Accessed: 10th Jan 2019)</w:t>
      </w:r>
    </w:p>
    <w:p>
      <w:pPr>
        <w:pStyle w:val="Body A"/>
        <w:spacing w:line="288" w:lineRule="auto"/>
        <w:jc w:val="left"/>
        <w:rPr>
          <w:sz w:val="22"/>
          <w:szCs w:val="22"/>
        </w:rPr>
      </w:pPr>
    </w:p>
    <w:p>
      <w:pPr>
        <w:pStyle w:val="Body A"/>
        <w:spacing w:line="288" w:lineRule="auto"/>
        <w:jc w:val="left"/>
        <w:rPr>
          <w:rStyle w:val="None"/>
          <w:sz w:val="22"/>
          <w:szCs w:val="22"/>
        </w:rPr>
      </w:pPr>
      <w:r>
        <w:rPr>
          <w:rStyle w:val="None"/>
          <w:sz w:val="22"/>
          <w:szCs w:val="22"/>
          <w:rtl w:val="0"/>
          <w:lang w:val="pt-PT"/>
        </w:rPr>
        <w:t>Levitas, R</w:t>
      </w:r>
      <w:r>
        <w:rPr>
          <w:rStyle w:val="None"/>
          <w:sz w:val="22"/>
          <w:szCs w:val="22"/>
          <w:rtl w:val="0"/>
          <w:lang w:val="en-US"/>
        </w:rPr>
        <w:t xml:space="preserve">. et al (2007) </w:t>
      </w:r>
      <w:r>
        <w:rPr>
          <w:rStyle w:val="None"/>
          <w:i w:val="1"/>
          <w:iCs w:val="1"/>
          <w:sz w:val="22"/>
          <w:szCs w:val="22"/>
          <w:rtl w:val="0"/>
          <w:lang w:val="en-US"/>
        </w:rPr>
        <w:t>The multi-dimensional analysis of social exclusion</w:t>
      </w:r>
      <w:r>
        <w:rPr>
          <w:rStyle w:val="None"/>
          <w:sz w:val="22"/>
          <w:szCs w:val="22"/>
          <w:rtl w:val="0"/>
          <w:lang w:val="en-US"/>
        </w:rPr>
        <w:t xml:space="preserve">. University of Bristol: </w:t>
      </w:r>
      <w:r>
        <w:rPr>
          <w:rStyle w:val="None"/>
          <w:sz w:val="22"/>
          <w:szCs w:val="22"/>
          <w:rtl w:val="0"/>
          <w:lang w:val="pt-PT"/>
        </w:rPr>
        <w:t>Bristol.</w:t>
      </w:r>
    </w:p>
    <w:p>
      <w:pPr>
        <w:pStyle w:val="Body A"/>
        <w:spacing w:line="288" w:lineRule="auto"/>
        <w:jc w:val="left"/>
        <w:rPr>
          <w:sz w:val="22"/>
          <w:szCs w:val="22"/>
        </w:rPr>
      </w:pPr>
    </w:p>
    <w:p>
      <w:pPr>
        <w:pStyle w:val="Body A"/>
        <w:spacing w:line="288" w:lineRule="auto"/>
        <w:jc w:val="left"/>
        <w:rPr>
          <w:rStyle w:val="None"/>
          <w:sz w:val="22"/>
          <w:szCs w:val="22"/>
        </w:rPr>
      </w:pPr>
      <w:r>
        <w:rPr>
          <w:rStyle w:val="None"/>
          <w:sz w:val="22"/>
          <w:szCs w:val="22"/>
          <w:rtl w:val="0"/>
          <w:lang w:val="en-US"/>
        </w:rPr>
        <w:t xml:space="preserve">Maslow, A.H. (1943) </w:t>
      </w:r>
      <w:r>
        <w:rPr>
          <w:rStyle w:val="None"/>
          <w:i w:val="1"/>
          <w:iCs w:val="1"/>
          <w:sz w:val="22"/>
          <w:szCs w:val="22"/>
          <w:rtl w:val="0"/>
          <w:lang w:val="en-US"/>
        </w:rPr>
        <w:t>A Theory of Human Motivation</w:t>
      </w:r>
      <w:r>
        <w:rPr>
          <w:rStyle w:val="None"/>
          <w:sz w:val="22"/>
          <w:szCs w:val="22"/>
          <w:rtl w:val="0"/>
          <w:lang w:val="en-US"/>
        </w:rPr>
        <w:t>. Indianapolis: Bobbs-Merrill.</w:t>
      </w:r>
    </w:p>
    <w:p>
      <w:pPr>
        <w:pStyle w:val="Body A"/>
        <w:spacing w:line="288" w:lineRule="auto"/>
        <w:jc w:val="left"/>
        <w:rPr>
          <w:sz w:val="22"/>
          <w:szCs w:val="22"/>
        </w:rPr>
      </w:pPr>
    </w:p>
    <w:p>
      <w:pPr>
        <w:pStyle w:val="Body A"/>
        <w:spacing w:line="288" w:lineRule="auto"/>
        <w:jc w:val="left"/>
        <w:rPr>
          <w:rStyle w:val="None"/>
          <w:sz w:val="22"/>
          <w:szCs w:val="22"/>
        </w:rPr>
      </w:pPr>
      <w:r>
        <w:rPr>
          <w:rStyle w:val="None"/>
          <w:sz w:val="22"/>
          <w:szCs w:val="22"/>
          <w:rtl w:val="0"/>
          <w:lang w:val="en-US"/>
        </w:rPr>
        <w:t xml:space="preserve">National Assembly for Wales (2007) </w:t>
      </w:r>
      <w:r>
        <w:rPr>
          <w:rStyle w:val="None"/>
          <w:i w:val="1"/>
          <w:iCs w:val="1"/>
          <w:sz w:val="22"/>
          <w:szCs w:val="22"/>
          <w:rtl w:val="0"/>
          <w:lang w:val="en-US"/>
        </w:rPr>
        <w:t>Looked After Children</w:t>
      </w:r>
    </w:p>
    <w:p>
      <w:pPr>
        <w:pStyle w:val="Body A"/>
        <w:spacing w:line="288" w:lineRule="auto"/>
        <w:jc w:val="left"/>
        <w:rPr>
          <w:rStyle w:val="None"/>
          <w:sz w:val="22"/>
          <w:szCs w:val="22"/>
        </w:rPr>
      </w:pPr>
      <w:r>
        <w:rPr>
          <w:rStyle w:val="Hyperlink.1"/>
        </w:rPr>
        <w:fldChar w:fldCharType="begin" w:fldLock="0"/>
      </w:r>
      <w:r>
        <w:rPr>
          <w:rStyle w:val="Hyperlink.1"/>
        </w:rPr>
        <w:instrText xml:space="preserve"> HYPERLINK "http://www.assembly.wales/NAfW%2520Documents/tb-07-006.pdf%2520-%252028072009/tb-07-006-English.pdf"</w:instrText>
      </w:r>
      <w:r>
        <w:rPr>
          <w:rStyle w:val="Hyperlink.1"/>
        </w:rPr>
        <w:fldChar w:fldCharType="separate" w:fldLock="0"/>
      </w:r>
      <w:r>
        <w:rPr>
          <w:rStyle w:val="Hyperlink.1"/>
          <w:rtl w:val="0"/>
          <w:lang w:val="en-US"/>
        </w:rPr>
        <w:t>http://www.assembly.wales/NAfW%20Documents/tb-07-006.pdf%20-%2028072009/tb-07-006-English.pdf</w:t>
      </w:r>
      <w:r>
        <w:rPr/>
        <w:fldChar w:fldCharType="end" w:fldLock="0"/>
      </w:r>
      <w:r>
        <w:rPr>
          <w:rStyle w:val="None"/>
          <w:sz w:val="22"/>
          <w:szCs w:val="22"/>
          <w:rtl w:val="0"/>
          <w:lang w:val="en-US"/>
        </w:rPr>
        <w:t xml:space="preserve"> (Accessed: 28th Dec 2018)</w:t>
      </w:r>
    </w:p>
    <w:p>
      <w:pPr>
        <w:pStyle w:val="Body A"/>
        <w:spacing w:line="288" w:lineRule="auto"/>
        <w:jc w:val="left"/>
        <w:rPr>
          <w:sz w:val="22"/>
          <w:szCs w:val="22"/>
        </w:rPr>
      </w:pPr>
    </w:p>
    <w:p>
      <w:pPr>
        <w:pStyle w:val="Body A"/>
        <w:spacing w:line="288" w:lineRule="auto"/>
        <w:jc w:val="left"/>
        <w:rPr>
          <w:rStyle w:val="None"/>
          <w:sz w:val="22"/>
          <w:szCs w:val="22"/>
        </w:rPr>
      </w:pPr>
      <w:r>
        <w:rPr>
          <w:rStyle w:val="None"/>
          <w:sz w:val="22"/>
          <w:szCs w:val="22"/>
          <w:rtl w:val="0"/>
          <w:lang w:val="en-US"/>
        </w:rPr>
        <w:t xml:space="preserve">NSPCC (2018) </w:t>
      </w:r>
      <w:r>
        <w:rPr>
          <w:rStyle w:val="None"/>
          <w:i w:val="1"/>
          <w:iCs w:val="1"/>
          <w:sz w:val="22"/>
          <w:szCs w:val="22"/>
          <w:rtl w:val="0"/>
          <w:lang w:val="en-US"/>
        </w:rPr>
        <w:t>Looked after Children</w:t>
      </w:r>
      <w:r>
        <w:rPr>
          <w:rStyle w:val="None"/>
          <w:sz w:val="22"/>
          <w:szCs w:val="22"/>
          <w:rtl w:val="0"/>
          <w:lang w:val="en-US"/>
        </w:rPr>
        <w:t xml:space="preserve"> </w:t>
      </w:r>
    </w:p>
    <w:p>
      <w:pPr>
        <w:pStyle w:val="Body A"/>
        <w:spacing w:line="288" w:lineRule="auto"/>
        <w:jc w:val="left"/>
        <w:rPr>
          <w:rStyle w:val="None"/>
          <w:sz w:val="22"/>
          <w:szCs w:val="22"/>
        </w:rPr>
      </w:pPr>
      <w:r>
        <w:rPr>
          <w:rStyle w:val="Hyperlink.1"/>
        </w:rPr>
        <w:fldChar w:fldCharType="begin" w:fldLock="0"/>
      </w:r>
      <w:r>
        <w:rPr>
          <w:rStyle w:val="Hyperlink.1"/>
        </w:rPr>
        <w:instrText xml:space="preserve"> HYPERLINK "https://learning.nspcc.org.uk/children-and-families-at-risk/looked-after-children/%23heading-top"</w:instrText>
      </w:r>
      <w:r>
        <w:rPr>
          <w:rStyle w:val="Hyperlink.1"/>
        </w:rPr>
        <w:fldChar w:fldCharType="separate" w:fldLock="0"/>
      </w:r>
      <w:r>
        <w:rPr>
          <w:rStyle w:val="Hyperlink.1"/>
          <w:rtl w:val="0"/>
          <w:lang w:val="en-US"/>
        </w:rPr>
        <w:t>https://learning.nspcc.org.uk/children-and-families-at-risk/looked-after-children/#heading-top</w:t>
      </w:r>
      <w:r>
        <w:rPr/>
        <w:fldChar w:fldCharType="end" w:fldLock="0"/>
      </w:r>
      <w:r>
        <w:rPr>
          <w:rStyle w:val="None"/>
          <w:sz w:val="22"/>
          <w:szCs w:val="22"/>
          <w:rtl w:val="0"/>
          <w:lang w:val="en-US"/>
        </w:rPr>
        <w:t xml:space="preserve"> (Accessed: 6th Jan 2019)</w:t>
      </w:r>
    </w:p>
    <w:p>
      <w:pPr>
        <w:pStyle w:val="Body A"/>
        <w:spacing w:line="288" w:lineRule="auto"/>
        <w:jc w:val="left"/>
        <w:rPr>
          <w:sz w:val="22"/>
          <w:szCs w:val="22"/>
        </w:rPr>
      </w:pPr>
    </w:p>
    <w:p>
      <w:pPr>
        <w:pStyle w:val="Body A"/>
        <w:spacing w:line="288" w:lineRule="auto"/>
        <w:jc w:val="left"/>
        <w:rPr>
          <w:rStyle w:val="None"/>
          <w:sz w:val="22"/>
          <w:szCs w:val="22"/>
        </w:rPr>
      </w:pPr>
      <w:r>
        <w:rPr>
          <w:rStyle w:val="None"/>
          <w:sz w:val="22"/>
          <w:szCs w:val="22"/>
          <w:rtl w:val="0"/>
          <w:lang w:val="en-US"/>
        </w:rPr>
        <w:t xml:space="preserve">Pierson, J. (2010) </w:t>
      </w:r>
      <w:r>
        <w:rPr>
          <w:rStyle w:val="None"/>
          <w:rFonts w:ascii="Calibri" w:cs="Calibri" w:hAnsi="Calibri" w:eastAsia="Calibri"/>
          <w:i w:val="1"/>
          <w:iCs w:val="1"/>
          <w:sz w:val="22"/>
          <w:szCs w:val="22"/>
          <w:rtl w:val="0"/>
          <w:lang w:val="en-US"/>
        </w:rPr>
        <w:t xml:space="preserve">Tackling Social Exclusion. </w:t>
      </w:r>
      <w:r>
        <w:rPr>
          <w:rStyle w:val="None"/>
          <w:sz w:val="22"/>
          <w:szCs w:val="22"/>
          <w:rtl w:val="0"/>
          <w:lang w:val="en-US"/>
        </w:rPr>
        <w:t>London: Routledge.</w:t>
      </w:r>
    </w:p>
    <w:p>
      <w:pPr>
        <w:pStyle w:val="Body A"/>
        <w:spacing w:line="288" w:lineRule="auto"/>
        <w:jc w:val="left"/>
        <w:rPr>
          <w:sz w:val="22"/>
          <w:szCs w:val="22"/>
        </w:rPr>
      </w:pPr>
    </w:p>
    <w:p>
      <w:pPr>
        <w:pStyle w:val="Body A"/>
        <w:spacing w:line="288" w:lineRule="auto"/>
        <w:jc w:val="left"/>
        <w:rPr>
          <w:rStyle w:val="None"/>
          <w:rFonts w:ascii="Times" w:cs="Times" w:hAnsi="Times" w:eastAsia="Times"/>
        </w:rPr>
      </w:pPr>
      <w:r>
        <w:rPr>
          <w:rStyle w:val="None"/>
          <w:sz w:val="22"/>
          <w:szCs w:val="22"/>
          <w:rtl w:val="0"/>
          <w:lang w:val="en-US"/>
        </w:rPr>
        <w:t xml:space="preserve">UN (1989) </w:t>
      </w:r>
      <w:r>
        <w:rPr>
          <w:rStyle w:val="None"/>
          <w:i w:val="1"/>
          <w:iCs w:val="1"/>
          <w:sz w:val="22"/>
          <w:szCs w:val="22"/>
          <w:rtl w:val="0"/>
          <w:lang w:val="en-US"/>
        </w:rPr>
        <w:t>Convention on the Rights of the Child</w:t>
      </w:r>
      <w:r>
        <w:rPr>
          <w:rStyle w:val="None"/>
          <w:sz w:val="22"/>
          <w:szCs w:val="22"/>
          <w:rtl w:val="0"/>
          <w:lang w:val="en-US"/>
        </w:rPr>
        <w:t>: adopted by the General Assembly of the United Nations on 20 November 1989. [New York]: Office of the United Nations High Commissioner for Human Rights (OHCHR).</w:t>
      </w:r>
      <w:r>
        <w:rPr>
          <w:rStyle w:val="None"/>
          <w:rFonts w:ascii="Arial Unicode MS" w:cs="Arial Unicode MS" w:hAnsi="Arial Unicode MS" w:eastAsia="Arial Unicode MS"/>
          <w:sz w:val="22"/>
          <w:szCs w:val="22"/>
        </w:rPr>
        <w:br w:type="textWrapping"/>
      </w:r>
      <w:r>
        <w:rPr>
          <w:rStyle w:val="None"/>
          <w:sz w:val="22"/>
          <w:szCs w:val="22"/>
          <w:rtl w:val="0"/>
          <w:lang w:val="en-US"/>
        </w:rPr>
        <w:t>http://www2.ohchr.org/english/law/crc.htm (Accessed: 15th Nov 2018)</w:t>
      </w:r>
    </w:p>
    <w:p>
      <w:pPr>
        <w:pStyle w:val="Body A"/>
        <w:spacing w:line="288" w:lineRule="auto"/>
        <w:jc w:val="left"/>
        <w:rPr>
          <w:rStyle w:val="None"/>
          <w:rFonts w:ascii="Times" w:cs="Times" w:hAnsi="Times" w:eastAsia="Times"/>
        </w:rPr>
      </w:pPr>
    </w:p>
    <w:p>
      <w:pPr>
        <w:pStyle w:val="Body A"/>
        <w:spacing w:line="288" w:lineRule="auto"/>
        <w:jc w:val="left"/>
        <w:rPr>
          <w:rStyle w:val="None"/>
          <w:sz w:val="22"/>
          <w:szCs w:val="22"/>
        </w:rPr>
      </w:pPr>
      <w:r>
        <w:rPr>
          <w:rStyle w:val="None"/>
          <w:rFonts w:ascii="Times" w:hAnsi="Times"/>
          <w:rtl w:val="0"/>
          <w:lang w:val="en-US"/>
        </w:rPr>
        <w:t>W</w:t>
      </w:r>
      <w:r>
        <w:rPr>
          <w:rStyle w:val="None"/>
          <w:sz w:val="22"/>
          <w:szCs w:val="22"/>
          <w:rtl w:val="0"/>
          <w:lang w:val="en-US"/>
        </w:rPr>
        <w:t xml:space="preserve">elsh Government (2012) </w:t>
      </w:r>
      <w:r>
        <w:rPr>
          <w:rStyle w:val="None"/>
          <w:i w:val="1"/>
          <w:iCs w:val="1"/>
          <w:sz w:val="22"/>
          <w:szCs w:val="22"/>
          <w:rtl w:val="0"/>
          <w:lang w:val="en-US"/>
        </w:rPr>
        <w:t>Tackling Poverty Action Plan: 2012-2016</w:t>
      </w:r>
      <w:r>
        <w:rPr>
          <w:rStyle w:val="None"/>
          <w:sz w:val="22"/>
          <w:szCs w:val="22"/>
          <w:rtl w:val="0"/>
          <w:lang w:val="en-US"/>
        </w:rPr>
        <w:t>. Crown Copyright.</w:t>
      </w:r>
    </w:p>
    <w:p>
      <w:pPr>
        <w:pStyle w:val="Body A"/>
        <w:spacing w:line="288" w:lineRule="auto"/>
        <w:jc w:val="left"/>
        <w:rPr>
          <w:rStyle w:val="None"/>
          <w:sz w:val="22"/>
          <w:szCs w:val="22"/>
        </w:rPr>
      </w:pPr>
      <w:r>
        <w:rPr>
          <w:rStyle w:val="Hyperlink.1"/>
        </w:rPr>
        <w:fldChar w:fldCharType="begin" w:fldLock="0"/>
      </w:r>
      <w:r>
        <w:rPr>
          <w:rStyle w:val="Hyperlink.1"/>
        </w:rPr>
        <w:instrText xml:space="preserve"> HYPERLINK "http://www.senedd.assembly.wales/documents/s500001880/CELG4-20-14%2520Paper%25205.pdf"</w:instrText>
      </w:r>
      <w:r>
        <w:rPr>
          <w:rStyle w:val="Hyperlink.1"/>
        </w:rPr>
        <w:fldChar w:fldCharType="separate" w:fldLock="0"/>
      </w:r>
      <w:r>
        <w:rPr>
          <w:rStyle w:val="Hyperlink.1"/>
          <w:rtl w:val="0"/>
          <w:lang w:val="en-US"/>
        </w:rPr>
        <w:t>http://www.senedd.assembly.wales/documents/s500001880/CELG4-20-14%20Paper%205.pdf</w:t>
      </w:r>
      <w:r>
        <w:rPr/>
        <w:fldChar w:fldCharType="end" w:fldLock="0"/>
      </w:r>
      <w:r>
        <w:rPr>
          <w:rStyle w:val="None"/>
          <w:sz w:val="22"/>
          <w:szCs w:val="22"/>
          <w:rtl w:val="0"/>
          <w:lang w:val="en-US"/>
        </w:rPr>
        <w:t xml:space="preserve"> (Accessed: 16th Dec 2018)</w:t>
      </w:r>
    </w:p>
    <w:p>
      <w:pPr>
        <w:pStyle w:val="Body A"/>
        <w:spacing w:line="288" w:lineRule="auto"/>
        <w:jc w:val="left"/>
        <w:rPr>
          <w:sz w:val="22"/>
          <w:szCs w:val="22"/>
        </w:rPr>
      </w:pPr>
    </w:p>
    <w:p>
      <w:pPr>
        <w:pStyle w:val="Body A"/>
        <w:spacing w:line="288" w:lineRule="auto"/>
        <w:jc w:val="left"/>
        <w:rPr>
          <w:rStyle w:val="None"/>
          <w:sz w:val="22"/>
          <w:szCs w:val="22"/>
        </w:rPr>
      </w:pPr>
      <w:r>
        <w:rPr>
          <w:rStyle w:val="None"/>
          <w:sz w:val="22"/>
          <w:szCs w:val="22"/>
          <w:rtl w:val="0"/>
          <w:lang w:val="en-US"/>
        </w:rPr>
        <w:t xml:space="preserve">Welsh Government (2015) </w:t>
      </w:r>
      <w:r>
        <w:rPr>
          <w:rStyle w:val="None"/>
          <w:i w:val="1"/>
          <w:iCs w:val="1"/>
          <w:sz w:val="22"/>
          <w:szCs w:val="22"/>
          <w:rtl w:val="0"/>
          <w:lang w:val="en-US"/>
        </w:rPr>
        <w:t>Child Poverty Strategy for Wales</w:t>
      </w:r>
      <w:r>
        <w:rPr>
          <w:rStyle w:val="None"/>
          <w:sz w:val="22"/>
          <w:szCs w:val="22"/>
          <w:rtl w:val="0"/>
          <w:lang w:val="en-US"/>
        </w:rPr>
        <w:t>. Crown Copyright.</w:t>
      </w:r>
    </w:p>
    <w:p>
      <w:pPr>
        <w:pStyle w:val="Body A"/>
        <w:spacing w:line="288" w:lineRule="auto"/>
        <w:jc w:val="left"/>
        <w:rPr>
          <w:rStyle w:val="None"/>
          <w:sz w:val="22"/>
          <w:szCs w:val="22"/>
        </w:rPr>
      </w:pPr>
      <w:r>
        <w:rPr>
          <w:rStyle w:val="Hyperlink.1"/>
        </w:rPr>
        <w:fldChar w:fldCharType="begin" w:fldLock="0"/>
      </w:r>
      <w:r>
        <w:rPr>
          <w:rStyle w:val="Hyperlink.1"/>
        </w:rPr>
        <w:instrText xml:space="preserve"> HYPERLINK "https://gov.wales/docs/dsjlg/publications/150327-child-poverty-strategy-walesv2-en.pdf"</w:instrText>
      </w:r>
      <w:r>
        <w:rPr>
          <w:rStyle w:val="Hyperlink.1"/>
        </w:rPr>
        <w:fldChar w:fldCharType="separate" w:fldLock="0"/>
      </w:r>
      <w:r>
        <w:rPr>
          <w:rStyle w:val="Hyperlink.1"/>
          <w:rtl w:val="0"/>
          <w:lang w:val="en-US"/>
        </w:rPr>
        <w:t>https://gov.wales/docs/dsjlg/publications/150327-child-poverty-strategy-walesv2-en.pdf</w:t>
      </w:r>
      <w:r>
        <w:rPr/>
        <w:fldChar w:fldCharType="end" w:fldLock="0"/>
      </w:r>
      <w:r>
        <w:rPr>
          <w:rStyle w:val="None"/>
          <w:sz w:val="22"/>
          <w:szCs w:val="22"/>
          <w:rtl w:val="0"/>
          <w:lang w:val="en-US"/>
        </w:rPr>
        <w:t xml:space="preserve"> (Accessed: 16th Dec 2018)</w:t>
      </w:r>
    </w:p>
    <w:p>
      <w:pPr>
        <w:pStyle w:val="Body A"/>
        <w:spacing w:line="288" w:lineRule="auto"/>
        <w:jc w:val="left"/>
        <w:rPr>
          <w:sz w:val="22"/>
          <w:szCs w:val="22"/>
        </w:rPr>
      </w:pPr>
    </w:p>
    <w:p>
      <w:pPr>
        <w:pStyle w:val="Body A"/>
        <w:spacing w:line="288" w:lineRule="auto"/>
        <w:jc w:val="left"/>
        <w:rPr>
          <w:rStyle w:val="None"/>
          <w:sz w:val="22"/>
          <w:szCs w:val="22"/>
        </w:rPr>
      </w:pPr>
      <w:r>
        <w:rPr>
          <w:rStyle w:val="None"/>
          <w:sz w:val="22"/>
          <w:szCs w:val="22"/>
          <w:rtl w:val="0"/>
          <w:lang w:val="en-US"/>
        </w:rPr>
        <w:t>Welsh Government (2017)</w:t>
      </w:r>
      <w:r>
        <w:rPr>
          <w:rStyle w:val="None"/>
          <w:i w:val="1"/>
          <w:iCs w:val="1"/>
          <w:sz w:val="22"/>
          <w:szCs w:val="22"/>
          <w:rtl w:val="0"/>
          <w:lang w:val="en-US"/>
        </w:rPr>
        <w:t xml:space="preserve"> Making a difference: A guide for the designated person for looked after children in schools</w:t>
      </w:r>
      <w:r>
        <w:rPr>
          <w:rStyle w:val="None"/>
          <w:sz w:val="22"/>
          <w:szCs w:val="22"/>
          <w:rtl w:val="0"/>
          <w:lang w:val="en-US"/>
        </w:rPr>
        <w:t>. Crown Copyright: Cardiff.</w:t>
      </w:r>
    </w:p>
    <w:p>
      <w:pPr>
        <w:pStyle w:val="Body A"/>
        <w:spacing w:line="288" w:lineRule="auto"/>
        <w:jc w:val="left"/>
        <w:rPr>
          <w:rStyle w:val="None"/>
          <w:sz w:val="22"/>
          <w:szCs w:val="22"/>
        </w:rPr>
      </w:pPr>
      <w:r>
        <w:rPr>
          <w:rStyle w:val="Hyperlink.1"/>
        </w:rPr>
        <w:fldChar w:fldCharType="begin" w:fldLock="0"/>
      </w:r>
      <w:r>
        <w:rPr>
          <w:rStyle w:val="Hyperlink.1"/>
        </w:rPr>
        <w:instrText xml:space="preserve"> HYPERLINK "https://gov.wales/topics/educationandskills/?lang=en"</w:instrText>
      </w:r>
      <w:r>
        <w:rPr>
          <w:rStyle w:val="Hyperlink.1"/>
        </w:rPr>
        <w:fldChar w:fldCharType="separate" w:fldLock="0"/>
      </w:r>
      <w:r>
        <w:rPr>
          <w:rStyle w:val="Hyperlink.1"/>
          <w:rtl w:val="0"/>
          <w:lang w:val="en-US"/>
        </w:rPr>
        <w:t>https://gov.wales/topics/educationandskills/?lang=en</w:t>
      </w:r>
      <w:r>
        <w:rPr/>
        <w:fldChar w:fldCharType="end" w:fldLock="0"/>
      </w:r>
      <w:r>
        <w:rPr>
          <w:rStyle w:val="None"/>
          <w:sz w:val="22"/>
          <w:szCs w:val="22"/>
          <w:rtl w:val="0"/>
          <w:lang w:val="en-US"/>
        </w:rPr>
        <w:t xml:space="preserve"> (Accessed: 14th December 2018)</w:t>
      </w:r>
    </w:p>
    <w:p>
      <w:pPr>
        <w:pStyle w:val="Body A"/>
        <w:spacing w:line="288" w:lineRule="auto"/>
        <w:jc w:val="left"/>
        <w:rPr>
          <w:sz w:val="22"/>
          <w:szCs w:val="22"/>
        </w:rPr>
      </w:pPr>
    </w:p>
    <w:p>
      <w:pPr>
        <w:pStyle w:val="Body A"/>
        <w:spacing w:line="288" w:lineRule="auto"/>
        <w:jc w:val="left"/>
        <w:rPr>
          <w:sz w:val="22"/>
          <w:szCs w:val="22"/>
        </w:rPr>
      </w:pPr>
    </w:p>
    <w:p>
      <w:pPr>
        <w:pStyle w:val="Body A"/>
        <w:spacing w:line="288" w:lineRule="auto"/>
        <w:jc w:val="left"/>
        <w:rPr>
          <w:rStyle w:val="None"/>
          <w:b w:val="1"/>
          <w:bCs w:val="1"/>
          <w:i w:val="1"/>
          <w:iCs w:val="1"/>
          <w:sz w:val="22"/>
          <w:szCs w:val="22"/>
        </w:rPr>
      </w:pPr>
      <w:r>
        <w:rPr>
          <w:rStyle w:val="None"/>
          <w:sz w:val="22"/>
          <w:szCs w:val="22"/>
          <w:rtl w:val="0"/>
          <w:lang w:val="en-US"/>
        </w:rPr>
        <w:t>Welsh Government (2018)</w:t>
      </w:r>
      <w:r>
        <w:rPr>
          <w:rStyle w:val="None"/>
          <w:i w:val="1"/>
          <w:iCs w:val="1"/>
          <w:sz w:val="22"/>
          <w:szCs w:val="22"/>
          <w:rtl w:val="0"/>
          <w:lang w:val="en-US"/>
        </w:rPr>
        <w:t xml:space="preserve"> StatsWales: Children Looked After at 31 March by local authority and placement type</w:t>
      </w:r>
    </w:p>
    <w:p>
      <w:pPr>
        <w:pStyle w:val="Body A"/>
        <w:spacing w:line="288" w:lineRule="auto"/>
        <w:jc w:val="left"/>
      </w:pPr>
      <w:r>
        <w:rPr>
          <w:rStyle w:val="Hyperlink.1"/>
        </w:rPr>
        <w:fldChar w:fldCharType="begin" w:fldLock="0"/>
      </w:r>
      <w:r>
        <w:rPr>
          <w:rStyle w:val="Hyperlink.1"/>
        </w:rPr>
        <w:instrText xml:space="preserve"> HYPERLINK "https://statswales.gov.wales/Catalogue/Health-and-Social-Care/Social-Services/Childrens-Services/Children-Looked-After/childrenlookedafterat31march-by-localauthority-placementtype"</w:instrText>
      </w:r>
      <w:r>
        <w:rPr>
          <w:rStyle w:val="Hyperlink.1"/>
        </w:rPr>
        <w:fldChar w:fldCharType="separate" w:fldLock="0"/>
      </w:r>
      <w:r>
        <w:rPr>
          <w:rStyle w:val="Hyperlink.1"/>
          <w:rtl w:val="0"/>
          <w:lang w:val="en-US"/>
        </w:rPr>
        <w:t>https://statswales.gov.wales/Catalogue/Health-and-Social-Care/Social-Services/Childrens-Services/Children-Looked-After/childrenlookedafterat31march-by-localauthority-placementtype</w:t>
      </w:r>
      <w:r>
        <w:rPr/>
        <w:fldChar w:fldCharType="end" w:fldLock="0"/>
      </w:r>
      <w:r>
        <w:rPr>
          <w:rStyle w:val="None"/>
          <w:sz w:val="22"/>
          <w:szCs w:val="22"/>
          <w:rtl w:val="0"/>
          <w:lang w:val="en-US"/>
        </w:rPr>
        <w:t xml:space="preserve"> (Accessed: 10th Jan 2019)</w:t>
      </w:r>
    </w:p>
    <w:sectPr>
      <w:headerReference w:type="default" r:id="rId4"/>
      <w:footerReference w:type="default" r:id="rId5"/>
      <w:pgSz w:w="11900" w:h="16840" w:orient="portrait"/>
      <w:pgMar w:top="1134" w:right="1134" w:bottom="1800" w:left="1134" w:header="709" w:footer="108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rPr>
        <w:color w:val="5e5e5e"/>
        <w:sz w:val="20"/>
        <w:szCs w:val="20"/>
        <w:u w:color="5e5e5e"/>
        <w:rtl w:val="0"/>
        <w:lang w:val="en-US"/>
      </w:rPr>
      <w:t>Kate Buffee: 1602220</w:t>
      <w:tab/>
      <w:tab/>
      <w:t xml:space="preserve">Page </w:t>
    </w:r>
    <w:r>
      <w:rPr>
        <w:color w:val="5e5e5e"/>
        <w:sz w:val="20"/>
        <w:szCs w:val="20"/>
        <w:u w:color="5e5e5e"/>
        <w:rtl w:val="0"/>
      </w:rPr>
      <w:fldChar w:fldCharType="begin" w:fldLock="0"/>
    </w:r>
    <w:r>
      <w:rPr>
        <w:color w:val="5e5e5e"/>
        <w:sz w:val="20"/>
        <w:szCs w:val="20"/>
        <w:u w:color="5e5e5e"/>
        <w:rtl w:val="0"/>
      </w:rPr>
      <w:instrText xml:space="preserve"> PAGE </w:instrText>
    </w:r>
    <w:r>
      <w:rPr>
        <w:color w:val="5e5e5e"/>
        <w:sz w:val="20"/>
        <w:szCs w:val="20"/>
        <w:u w:color="5e5e5e"/>
        <w:rtl w:val="0"/>
      </w:rPr>
      <w:fldChar w:fldCharType="separate" w:fldLock="0"/>
    </w:r>
    <w:r>
      <w:rPr>
        <w:color w:val="5e5e5e"/>
        <w:sz w:val="20"/>
        <w:szCs w:val="20"/>
        <w:u w:color="5e5e5e"/>
        <w:rtl w:val="0"/>
      </w:rPr>
      <w:t>8</w:t>
    </w:r>
    <w:r>
      <w:rPr>
        <w:color w:val="5e5e5e"/>
        <w:sz w:val="20"/>
        <w:szCs w:val="20"/>
        <w:u w:color="5e5e5e"/>
        <w:rtl w:val="0"/>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Body A">
    <w:name w:val="Body A"/>
    <w:next w:val="Body A"/>
    <w:pPr>
      <w:keepNext w:val="0"/>
      <w:keepLines w:val="0"/>
      <w:pageBreakBefore w:val="0"/>
      <w:widowControl w:val="1"/>
      <w:shd w:val="clear" w:color="auto" w:fill="auto"/>
      <w:suppressAutoHyphens w:val="0"/>
      <w:bidi w:val="0"/>
      <w:spacing w:before="0" w:after="0" w:line="360" w:lineRule="auto"/>
      <w:ind w:left="0" w:right="0" w:firstLine="0"/>
      <w:jc w:val="both"/>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character" w:styleId="None">
    <w:name w:val="None"/>
  </w:style>
  <w:style w:type="character" w:styleId="Hyperlink.0">
    <w:name w:val="Hyperlink.0"/>
    <w:basedOn w:val="None"/>
    <w:next w:val="Hyperlink.0"/>
    <w:rPr>
      <w:u w:val="single"/>
    </w:rPr>
  </w:style>
  <w:style w:type="character" w:styleId="Hyperlink.1">
    <w:name w:val="Hyperlink.1"/>
    <w:basedOn w:val="None"/>
    <w:next w:val="Hyperlink.1"/>
    <w:rPr>
      <w:sz w:val="22"/>
      <w:szCs w:val="22"/>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