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Default Extension="odttf" ContentType="application/vnd.openxmlformats-officedocument.obfuscatedFont"/>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30AD2" w:rsidRPr="008E1890" w:rsidRDefault="00B028D0" w:rsidP="00B30AD2">
      <w:pPr>
        <w:jc w:val="center"/>
        <w:rPr>
          <w:lang w:val="en-GB"/>
        </w:rPr>
      </w:pPr>
      <w:bookmarkStart w:id="0" w:name="_1qqptdmqybuz" w:colFirst="0" w:colLast="0"/>
      <w:bookmarkEnd w:id="0"/>
      <w:r w:rsidRPr="008E1890">
        <w:rPr>
          <w:noProof/>
          <w:lang w:val="en-GB" w:eastAsia="en-GB"/>
        </w:rPr>
        <w:drawing>
          <wp:inline distT="0" distB="0" distL="0" distR="0">
            <wp:extent cx="2057400" cy="8096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057400" cy="809625"/>
                    </a:xfrm>
                    <a:prstGeom prst="rect">
                      <a:avLst/>
                    </a:prstGeom>
                  </pic:spPr>
                </pic:pic>
              </a:graphicData>
            </a:graphic>
          </wp:inline>
        </w:drawing>
      </w:r>
    </w:p>
    <w:p w:rsidR="00626A93" w:rsidRPr="008E1890" w:rsidRDefault="00626A93" w:rsidP="00B30AD2">
      <w:pPr>
        <w:jc w:val="center"/>
        <w:rPr>
          <w:b/>
          <w:sz w:val="24"/>
          <w:lang w:val="en-GB"/>
        </w:rPr>
      </w:pPr>
    </w:p>
    <w:p w:rsidR="00626A93" w:rsidRPr="008E1890" w:rsidRDefault="00626A93" w:rsidP="00B30AD2">
      <w:pPr>
        <w:jc w:val="center"/>
        <w:rPr>
          <w:b/>
          <w:sz w:val="24"/>
          <w:lang w:val="en-GB"/>
        </w:rPr>
      </w:pPr>
    </w:p>
    <w:p w:rsidR="00626A93" w:rsidRPr="008E1890" w:rsidRDefault="00626A93" w:rsidP="00B30AD2">
      <w:pPr>
        <w:jc w:val="center"/>
        <w:rPr>
          <w:b/>
          <w:sz w:val="24"/>
          <w:lang w:val="en-GB"/>
        </w:rPr>
      </w:pPr>
    </w:p>
    <w:p w:rsidR="00626A93" w:rsidRPr="008E1890" w:rsidRDefault="00626A93" w:rsidP="00B30AD2">
      <w:pPr>
        <w:jc w:val="center"/>
        <w:rPr>
          <w:b/>
          <w:sz w:val="24"/>
          <w:lang w:val="en-GB"/>
        </w:rPr>
      </w:pPr>
    </w:p>
    <w:p w:rsidR="00B30AD2" w:rsidRPr="008E1890" w:rsidRDefault="00B028D0" w:rsidP="00B30AD2">
      <w:pPr>
        <w:jc w:val="center"/>
        <w:rPr>
          <w:b/>
          <w:sz w:val="24"/>
          <w:lang w:val="en-GB"/>
        </w:rPr>
      </w:pPr>
      <w:r w:rsidRPr="008E1890">
        <w:rPr>
          <w:b/>
          <w:sz w:val="24"/>
          <w:lang w:val="en-GB"/>
        </w:rPr>
        <w:t>Student Name:</w:t>
      </w:r>
      <w:r w:rsidR="0025130B" w:rsidRPr="008E1890">
        <w:rPr>
          <w:b/>
          <w:sz w:val="24"/>
          <w:lang w:val="en-GB"/>
        </w:rPr>
        <w:t>Julie Clarke</w:t>
      </w:r>
    </w:p>
    <w:p w:rsidR="00626A93" w:rsidRPr="008E1890" w:rsidRDefault="00626A93" w:rsidP="00B30AD2">
      <w:pPr>
        <w:jc w:val="center"/>
        <w:rPr>
          <w:b/>
          <w:sz w:val="24"/>
          <w:lang w:val="en-GB"/>
        </w:rPr>
      </w:pPr>
    </w:p>
    <w:p w:rsidR="00626A93" w:rsidRPr="008E1890" w:rsidRDefault="00626A93" w:rsidP="00B30AD2">
      <w:pPr>
        <w:jc w:val="center"/>
        <w:rPr>
          <w:b/>
          <w:sz w:val="24"/>
          <w:lang w:val="en-GB"/>
        </w:rPr>
      </w:pPr>
    </w:p>
    <w:p w:rsidR="00B30AD2" w:rsidRPr="008E1890" w:rsidRDefault="00B028D0" w:rsidP="00B30AD2">
      <w:pPr>
        <w:jc w:val="center"/>
        <w:rPr>
          <w:b/>
          <w:sz w:val="24"/>
          <w:lang w:val="en-GB"/>
        </w:rPr>
      </w:pPr>
      <w:r w:rsidRPr="008E1890">
        <w:rPr>
          <w:b/>
          <w:sz w:val="24"/>
          <w:lang w:val="en-GB"/>
        </w:rPr>
        <w:t>Student Number:</w:t>
      </w:r>
      <w:r w:rsidR="0025130B" w:rsidRPr="008E1890">
        <w:rPr>
          <w:b/>
          <w:bCs/>
          <w:sz w:val="24"/>
          <w:lang w:val="en-GB"/>
        </w:rPr>
        <w:t>2412449</w:t>
      </w:r>
    </w:p>
    <w:p w:rsidR="00626A93" w:rsidRPr="008E1890" w:rsidRDefault="00626A93" w:rsidP="00B30AD2">
      <w:pPr>
        <w:jc w:val="center"/>
        <w:rPr>
          <w:b/>
          <w:sz w:val="24"/>
          <w:lang w:val="en-GB"/>
        </w:rPr>
      </w:pPr>
    </w:p>
    <w:p w:rsidR="00626A93" w:rsidRPr="008E1890" w:rsidRDefault="00626A93" w:rsidP="00B30AD2">
      <w:pPr>
        <w:jc w:val="center"/>
        <w:rPr>
          <w:b/>
          <w:sz w:val="24"/>
          <w:lang w:val="en-GB"/>
        </w:rPr>
      </w:pPr>
    </w:p>
    <w:p w:rsidR="00B30AD2" w:rsidRPr="008E1890" w:rsidRDefault="00B028D0" w:rsidP="00B30AD2">
      <w:pPr>
        <w:jc w:val="center"/>
        <w:rPr>
          <w:b/>
          <w:sz w:val="24"/>
          <w:lang w:val="en-GB"/>
        </w:rPr>
      </w:pPr>
      <w:r w:rsidRPr="008E1890">
        <w:rPr>
          <w:b/>
          <w:sz w:val="24"/>
          <w:lang w:val="en-GB"/>
        </w:rPr>
        <w:t>Module Code:</w:t>
      </w:r>
      <w:r w:rsidR="00626A93" w:rsidRPr="008E1890">
        <w:rPr>
          <w:b/>
          <w:sz w:val="24"/>
          <w:lang w:val="en-GB"/>
        </w:rPr>
        <w:t xml:space="preserve"> LCLM5002</w:t>
      </w:r>
    </w:p>
    <w:p w:rsidR="00626A93" w:rsidRPr="008E1890" w:rsidRDefault="00626A93" w:rsidP="00B30AD2">
      <w:pPr>
        <w:jc w:val="center"/>
        <w:rPr>
          <w:b/>
          <w:sz w:val="24"/>
          <w:lang w:val="en-GB"/>
        </w:rPr>
      </w:pPr>
    </w:p>
    <w:p w:rsidR="00626A93" w:rsidRPr="008E1890" w:rsidRDefault="00626A93" w:rsidP="00B30AD2">
      <w:pPr>
        <w:jc w:val="center"/>
        <w:rPr>
          <w:b/>
          <w:sz w:val="24"/>
          <w:lang w:val="en-GB"/>
        </w:rPr>
      </w:pPr>
    </w:p>
    <w:p w:rsidR="00B30AD2" w:rsidRPr="008E1890" w:rsidRDefault="00B028D0" w:rsidP="00B30AD2">
      <w:pPr>
        <w:jc w:val="center"/>
        <w:rPr>
          <w:b/>
          <w:sz w:val="24"/>
          <w:lang w:val="en-GB"/>
        </w:rPr>
      </w:pPr>
      <w:r w:rsidRPr="008E1890">
        <w:rPr>
          <w:b/>
          <w:sz w:val="24"/>
          <w:lang w:val="en-GB"/>
        </w:rPr>
        <w:t>Module Title:</w:t>
      </w:r>
      <w:r w:rsidR="00626A93" w:rsidRPr="008E1890">
        <w:rPr>
          <w:b/>
          <w:bCs/>
          <w:sz w:val="24"/>
          <w:lang w:val="en-GB"/>
        </w:rPr>
        <w:t>Developing and Managing Individuals and Teams</w:t>
      </w:r>
    </w:p>
    <w:p w:rsidR="00626A93" w:rsidRPr="008E1890" w:rsidRDefault="00626A93" w:rsidP="00626A93">
      <w:pPr>
        <w:jc w:val="center"/>
        <w:rPr>
          <w:b/>
          <w:sz w:val="24"/>
          <w:lang w:val="en-GB"/>
        </w:rPr>
      </w:pPr>
    </w:p>
    <w:p w:rsidR="00626A93" w:rsidRPr="008E1890" w:rsidRDefault="00626A93" w:rsidP="00626A93">
      <w:pPr>
        <w:jc w:val="center"/>
        <w:rPr>
          <w:b/>
          <w:sz w:val="24"/>
          <w:lang w:val="en-GB"/>
        </w:rPr>
      </w:pPr>
    </w:p>
    <w:p w:rsidR="00B30AD2" w:rsidRPr="008E1890" w:rsidRDefault="00B028D0" w:rsidP="00626A93">
      <w:pPr>
        <w:jc w:val="center"/>
        <w:rPr>
          <w:b/>
          <w:bCs/>
          <w:sz w:val="24"/>
          <w:lang w:val="en-GB"/>
        </w:rPr>
      </w:pPr>
      <w:r w:rsidRPr="008E1890">
        <w:rPr>
          <w:b/>
          <w:sz w:val="24"/>
          <w:lang w:val="en-GB"/>
        </w:rPr>
        <w:t>Lecturer’s Name:</w:t>
      </w:r>
      <w:r w:rsidR="00626A93" w:rsidRPr="008E1890">
        <w:rPr>
          <w:b/>
          <w:bCs/>
          <w:sz w:val="24"/>
          <w:lang w:val="en-GB"/>
        </w:rPr>
        <w:t>Doreen Nyaa Amundam and Nishi Ramsurrun</w:t>
      </w:r>
    </w:p>
    <w:p w:rsidR="00626A93" w:rsidRPr="008E1890" w:rsidRDefault="00626A93" w:rsidP="00B30AD2">
      <w:pPr>
        <w:jc w:val="center"/>
        <w:rPr>
          <w:b/>
          <w:sz w:val="24"/>
          <w:lang w:val="en-GB"/>
        </w:rPr>
      </w:pPr>
    </w:p>
    <w:p w:rsidR="00626A93" w:rsidRPr="008E1890" w:rsidRDefault="00626A93" w:rsidP="00B30AD2">
      <w:pPr>
        <w:jc w:val="center"/>
        <w:rPr>
          <w:b/>
          <w:sz w:val="24"/>
          <w:lang w:val="en-GB"/>
        </w:rPr>
      </w:pPr>
    </w:p>
    <w:p w:rsidR="009A3748" w:rsidRPr="008E1890" w:rsidRDefault="00B028D0" w:rsidP="00B30AD2">
      <w:pPr>
        <w:jc w:val="center"/>
        <w:rPr>
          <w:b/>
          <w:bCs/>
          <w:sz w:val="24"/>
          <w:lang w:val="en-GB"/>
        </w:rPr>
      </w:pPr>
      <w:r w:rsidRPr="008E1890">
        <w:rPr>
          <w:b/>
          <w:sz w:val="24"/>
          <w:lang w:val="en-GB"/>
        </w:rPr>
        <w:t xml:space="preserve">Assignment Title: </w:t>
      </w:r>
      <w:r w:rsidR="00626A93" w:rsidRPr="008E1890">
        <w:rPr>
          <w:b/>
          <w:bCs/>
          <w:sz w:val="24"/>
          <w:lang w:val="en-GB"/>
        </w:rPr>
        <w:t>Component 2- Individual Report</w:t>
      </w:r>
    </w:p>
    <w:p w:rsidR="00B5613B" w:rsidRPr="008E1890" w:rsidRDefault="00B028D0">
      <w:pPr>
        <w:rPr>
          <w:b/>
          <w:bCs/>
          <w:sz w:val="24"/>
          <w:lang w:val="en-GB"/>
        </w:rPr>
      </w:pPr>
      <w:r w:rsidRPr="008E1890">
        <w:rPr>
          <w:b/>
          <w:bCs/>
          <w:sz w:val="24"/>
          <w:lang w:val="en-GB"/>
        </w:rPr>
        <w:br w:type="page"/>
      </w:r>
    </w:p>
    <w:sdt>
      <w:sdtPr>
        <w:rPr>
          <w:rFonts w:ascii="Arial" w:eastAsia="Arial" w:hAnsi="Arial" w:cs="Arial"/>
          <w:color w:val="auto"/>
          <w:sz w:val="22"/>
          <w:szCs w:val="22"/>
          <w:lang w:val="en-GB"/>
        </w:rPr>
        <w:id w:val="-968734094"/>
        <w:docPartObj>
          <w:docPartGallery w:val="Table of Contents"/>
          <w:docPartUnique/>
        </w:docPartObj>
      </w:sdtPr>
      <w:sdtEndPr>
        <w:rPr>
          <w:b/>
          <w:bCs/>
          <w:noProof/>
        </w:rPr>
      </w:sdtEndPr>
      <w:sdtContent>
        <w:p w:rsidR="00B5613B" w:rsidRPr="00A20D1D" w:rsidRDefault="00B028D0" w:rsidP="00B5613B">
          <w:pPr>
            <w:pStyle w:val="TOCHeading"/>
            <w:spacing w:line="360" w:lineRule="auto"/>
            <w:jc w:val="center"/>
            <w:rPr>
              <w:rFonts w:ascii="Arial" w:hAnsi="Arial" w:cs="Arial"/>
              <w:b/>
              <w:color w:val="auto"/>
              <w:sz w:val="24"/>
              <w:szCs w:val="22"/>
              <w:lang w:val="en-GB"/>
            </w:rPr>
          </w:pPr>
          <w:r w:rsidRPr="00A20D1D">
            <w:rPr>
              <w:rFonts w:ascii="Arial" w:hAnsi="Arial" w:cs="Arial"/>
              <w:b/>
              <w:color w:val="auto"/>
              <w:sz w:val="24"/>
              <w:szCs w:val="22"/>
              <w:lang w:val="en-GB"/>
            </w:rPr>
            <w:t>Table of Contents</w:t>
          </w:r>
        </w:p>
        <w:p w:rsidR="00A20D1D" w:rsidRPr="00A20D1D" w:rsidRDefault="00C26314">
          <w:pPr>
            <w:pStyle w:val="TOC1"/>
            <w:tabs>
              <w:tab w:val="right" w:leader="dot" w:pos="9350"/>
            </w:tabs>
            <w:rPr>
              <w:rFonts w:asciiTheme="minorHAnsi" w:eastAsiaTheme="minorEastAsia" w:hAnsiTheme="minorHAnsi" w:cstheme="minorBidi"/>
              <w:noProof/>
              <w:kern w:val="2"/>
              <w:sz w:val="24"/>
              <w:szCs w:val="24"/>
              <w:lang w:val="en-US"/>
            </w:rPr>
          </w:pPr>
          <w:r w:rsidRPr="00C26314">
            <w:rPr>
              <w:lang w:val="en-GB"/>
            </w:rPr>
            <w:fldChar w:fldCharType="begin"/>
          </w:r>
          <w:r w:rsidR="00B028D0" w:rsidRPr="00A20D1D">
            <w:rPr>
              <w:lang w:val="en-GB"/>
            </w:rPr>
            <w:instrText xml:space="preserve"> TOC \o "1-3" \h \z \u </w:instrText>
          </w:r>
          <w:r w:rsidRPr="00C26314">
            <w:rPr>
              <w:lang w:val="en-GB"/>
            </w:rPr>
            <w:fldChar w:fldCharType="separate"/>
          </w:r>
          <w:hyperlink w:anchor="_Toc223706781" w:history="1">
            <w:r w:rsidR="00A20D1D" w:rsidRPr="00A20D1D">
              <w:rPr>
                <w:rStyle w:val="Hyperlink"/>
                <w:noProof/>
                <w:lang w:val="en-GB"/>
              </w:rPr>
              <w:t>Introduction</w:t>
            </w:r>
            <w:r w:rsidR="00A20D1D" w:rsidRPr="00A20D1D">
              <w:rPr>
                <w:noProof/>
                <w:webHidden/>
              </w:rPr>
              <w:tab/>
            </w:r>
            <w:r w:rsidRPr="00A20D1D">
              <w:rPr>
                <w:noProof/>
                <w:webHidden/>
              </w:rPr>
              <w:fldChar w:fldCharType="begin"/>
            </w:r>
            <w:r w:rsidR="00A20D1D" w:rsidRPr="00A20D1D">
              <w:rPr>
                <w:noProof/>
                <w:webHidden/>
              </w:rPr>
              <w:instrText xml:space="preserve"> PAGEREF _Toc223706781 \h </w:instrText>
            </w:r>
            <w:r w:rsidRPr="00A20D1D">
              <w:rPr>
                <w:noProof/>
                <w:webHidden/>
              </w:rPr>
            </w:r>
            <w:r w:rsidRPr="00A20D1D">
              <w:rPr>
                <w:noProof/>
                <w:webHidden/>
              </w:rPr>
              <w:fldChar w:fldCharType="separate"/>
            </w:r>
            <w:r w:rsidR="00A20D1D" w:rsidRPr="00A20D1D">
              <w:rPr>
                <w:noProof/>
                <w:webHidden/>
              </w:rPr>
              <w:t>3</w:t>
            </w:r>
            <w:r w:rsidRPr="00A20D1D">
              <w:rPr>
                <w:noProof/>
                <w:webHidden/>
              </w:rPr>
              <w:fldChar w:fldCharType="end"/>
            </w:r>
          </w:hyperlink>
        </w:p>
        <w:p w:rsidR="00A20D1D" w:rsidRPr="00A20D1D" w:rsidRDefault="00C26314">
          <w:pPr>
            <w:pStyle w:val="TOC1"/>
            <w:tabs>
              <w:tab w:val="right" w:leader="dot" w:pos="9350"/>
            </w:tabs>
            <w:rPr>
              <w:rFonts w:asciiTheme="minorHAnsi" w:eastAsiaTheme="minorEastAsia" w:hAnsiTheme="minorHAnsi" w:cstheme="minorBidi"/>
              <w:noProof/>
              <w:kern w:val="2"/>
              <w:sz w:val="24"/>
              <w:szCs w:val="24"/>
              <w:lang w:val="en-US"/>
            </w:rPr>
          </w:pPr>
          <w:hyperlink w:anchor="_Toc223706782" w:history="1">
            <w:r w:rsidR="00A20D1D" w:rsidRPr="00A20D1D">
              <w:rPr>
                <w:rStyle w:val="Hyperlink"/>
                <w:noProof/>
                <w:lang w:val="en-GB"/>
              </w:rPr>
              <w:t>1. An explanation of specific factors</w:t>
            </w:r>
            <w:r w:rsidR="00A20D1D" w:rsidRPr="00A20D1D">
              <w:rPr>
                <w:noProof/>
                <w:webHidden/>
              </w:rPr>
              <w:tab/>
            </w:r>
            <w:r w:rsidRPr="00A20D1D">
              <w:rPr>
                <w:noProof/>
                <w:webHidden/>
              </w:rPr>
              <w:fldChar w:fldCharType="begin"/>
            </w:r>
            <w:r w:rsidR="00A20D1D" w:rsidRPr="00A20D1D">
              <w:rPr>
                <w:noProof/>
                <w:webHidden/>
              </w:rPr>
              <w:instrText xml:space="preserve"> PAGEREF _Toc223706782 \h </w:instrText>
            </w:r>
            <w:r w:rsidRPr="00A20D1D">
              <w:rPr>
                <w:noProof/>
                <w:webHidden/>
              </w:rPr>
            </w:r>
            <w:r w:rsidRPr="00A20D1D">
              <w:rPr>
                <w:noProof/>
                <w:webHidden/>
              </w:rPr>
              <w:fldChar w:fldCharType="separate"/>
            </w:r>
            <w:r w:rsidR="00A20D1D" w:rsidRPr="00A20D1D">
              <w:rPr>
                <w:noProof/>
                <w:webHidden/>
              </w:rPr>
              <w:t>3</w:t>
            </w:r>
            <w:r w:rsidRPr="00A20D1D">
              <w:rPr>
                <w:noProof/>
                <w:webHidden/>
              </w:rPr>
              <w:fldChar w:fldCharType="end"/>
            </w:r>
          </w:hyperlink>
        </w:p>
        <w:p w:rsidR="00A20D1D" w:rsidRPr="00A20D1D" w:rsidRDefault="00C26314">
          <w:pPr>
            <w:pStyle w:val="TOC2"/>
            <w:tabs>
              <w:tab w:val="right" w:leader="dot" w:pos="9350"/>
            </w:tabs>
            <w:rPr>
              <w:rFonts w:asciiTheme="minorHAnsi" w:eastAsiaTheme="minorEastAsia" w:hAnsiTheme="minorHAnsi" w:cstheme="minorBidi"/>
              <w:noProof/>
              <w:kern w:val="2"/>
              <w:sz w:val="24"/>
              <w:szCs w:val="24"/>
              <w:lang w:val="en-US"/>
            </w:rPr>
          </w:pPr>
          <w:hyperlink w:anchor="_Toc223706783" w:history="1">
            <w:r w:rsidR="00A20D1D" w:rsidRPr="00A20D1D">
              <w:rPr>
                <w:rStyle w:val="Hyperlink"/>
                <w:noProof/>
                <w:lang w:val="en-GB"/>
              </w:rPr>
              <w:t>1.1 Meeting up with Technological Advancement</w:t>
            </w:r>
            <w:r w:rsidR="00A20D1D" w:rsidRPr="00A20D1D">
              <w:rPr>
                <w:noProof/>
                <w:webHidden/>
              </w:rPr>
              <w:tab/>
            </w:r>
            <w:r w:rsidRPr="00A20D1D">
              <w:rPr>
                <w:noProof/>
                <w:webHidden/>
              </w:rPr>
              <w:fldChar w:fldCharType="begin"/>
            </w:r>
            <w:r w:rsidR="00A20D1D" w:rsidRPr="00A20D1D">
              <w:rPr>
                <w:noProof/>
                <w:webHidden/>
              </w:rPr>
              <w:instrText xml:space="preserve"> PAGEREF _Toc223706783 \h </w:instrText>
            </w:r>
            <w:r w:rsidRPr="00A20D1D">
              <w:rPr>
                <w:noProof/>
                <w:webHidden/>
              </w:rPr>
            </w:r>
            <w:r w:rsidRPr="00A20D1D">
              <w:rPr>
                <w:noProof/>
                <w:webHidden/>
              </w:rPr>
              <w:fldChar w:fldCharType="separate"/>
            </w:r>
            <w:r w:rsidR="00A20D1D" w:rsidRPr="00A20D1D">
              <w:rPr>
                <w:noProof/>
                <w:webHidden/>
              </w:rPr>
              <w:t>3</w:t>
            </w:r>
            <w:r w:rsidRPr="00A20D1D">
              <w:rPr>
                <w:noProof/>
                <w:webHidden/>
              </w:rPr>
              <w:fldChar w:fldCharType="end"/>
            </w:r>
          </w:hyperlink>
        </w:p>
        <w:p w:rsidR="00A20D1D" w:rsidRPr="00A20D1D" w:rsidRDefault="00C26314">
          <w:pPr>
            <w:pStyle w:val="TOC2"/>
            <w:tabs>
              <w:tab w:val="right" w:leader="dot" w:pos="9350"/>
            </w:tabs>
            <w:rPr>
              <w:rFonts w:asciiTheme="minorHAnsi" w:eastAsiaTheme="minorEastAsia" w:hAnsiTheme="minorHAnsi" w:cstheme="minorBidi"/>
              <w:noProof/>
              <w:kern w:val="2"/>
              <w:sz w:val="24"/>
              <w:szCs w:val="24"/>
              <w:lang w:val="en-US"/>
            </w:rPr>
          </w:pPr>
          <w:hyperlink w:anchor="_Toc223706784" w:history="1">
            <w:r w:rsidR="00A20D1D" w:rsidRPr="00A20D1D">
              <w:rPr>
                <w:rStyle w:val="Hyperlink"/>
                <w:noProof/>
                <w:lang w:val="en-GB"/>
              </w:rPr>
              <w:t>1.2 Talent Acquisition and Retention</w:t>
            </w:r>
            <w:r w:rsidR="00A20D1D" w:rsidRPr="00A20D1D">
              <w:rPr>
                <w:noProof/>
                <w:webHidden/>
              </w:rPr>
              <w:tab/>
            </w:r>
            <w:r w:rsidRPr="00A20D1D">
              <w:rPr>
                <w:noProof/>
                <w:webHidden/>
              </w:rPr>
              <w:fldChar w:fldCharType="begin"/>
            </w:r>
            <w:r w:rsidR="00A20D1D" w:rsidRPr="00A20D1D">
              <w:rPr>
                <w:noProof/>
                <w:webHidden/>
              </w:rPr>
              <w:instrText xml:space="preserve"> PAGEREF _Toc223706784 \h </w:instrText>
            </w:r>
            <w:r w:rsidRPr="00A20D1D">
              <w:rPr>
                <w:noProof/>
                <w:webHidden/>
              </w:rPr>
            </w:r>
            <w:r w:rsidRPr="00A20D1D">
              <w:rPr>
                <w:noProof/>
                <w:webHidden/>
              </w:rPr>
              <w:fldChar w:fldCharType="separate"/>
            </w:r>
            <w:r w:rsidR="00A20D1D" w:rsidRPr="00A20D1D">
              <w:rPr>
                <w:noProof/>
                <w:webHidden/>
              </w:rPr>
              <w:t>3</w:t>
            </w:r>
            <w:r w:rsidRPr="00A20D1D">
              <w:rPr>
                <w:noProof/>
                <w:webHidden/>
              </w:rPr>
              <w:fldChar w:fldCharType="end"/>
            </w:r>
          </w:hyperlink>
        </w:p>
        <w:p w:rsidR="00A20D1D" w:rsidRPr="00A20D1D" w:rsidRDefault="00C26314">
          <w:pPr>
            <w:pStyle w:val="TOC2"/>
            <w:tabs>
              <w:tab w:val="right" w:leader="dot" w:pos="9350"/>
            </w:tabs>
            <w:rPr>
              <w:rFonts w:asciiTheme="minorHAnsi" w:eastAsiaTheme="minorEastAsia" w:hAnsiTheme="minorHAnsi" w:cstheme="minorBidi"/>
              <w:noProof/>
              <w:kern w:val="2"/>
              <w:sz w:val="24"/>
              <w:szCs w:val="24"/>
              <w:lang w:val="en-US"/>
            </w:rPr>
          </w:pPr>
          <w:hyperlink w:anchor="_Toc223706785" w:history="1">
            <w:r w:rsidR="00A20D1D" w:rsidRPr="00A20D1D">
              <w:rPr>
                <w:rStyle w:val="Hyperlink"/>
                <w:noProof/>
                <w:lang w:val="en-GB"/>
              </w:rPr>
              <w:t>1.3 Diversity, Equity and Inclusion (DEI)</w:t>
            </w:r>
            <w:r w:rsidR="00A20D1D" w:rsidRPr="00A20D1D">
              <w:rPr>
                <w:noProof/>
                <w:webHidden/>
              </w:rPr>
              <w:tab/>
            </w:r>
            <w:r w:rsidRPr="00A20D1D">
              <w:rPr>
                <w:noProof/>
                <w:webHidden/>
              </w:rPr>
              <w:fldChar w:fldCharType="begin"/>
            </w:r>
            <w:r w:rsidR="00A20D1D" w:rsidRPr="00A20D1D">
              <w:rPr>
                <w:noProof/>
                <w:webHidden/>
              </w:rPr>
              <w:instrText xml:space="preserve"> PAGEREF _Toc223706785 \h </w:instrText>
            </w:r>
            <w:r w:rsidRPr="00A20D1D">
              <w:rPr>
                <w:noProof/>
                <w:webHidden/>
              </w:rPr>
            </w:r>
            <w:r w:rsidRPr="00A20D1D">
              <w:rPr>
                <w:noProof/>
                <w:webHidden/>
              </w:rPr>
              <w:fldChar w:fldCharType="separate"/>
            </w:r>
            <w:r w:rsidR="00A20D1D" w:rsidRPr="00A20D1D">
              <w:rPr>
                <w:noProof/>
                <w:webHidden/>
              </w:rPr>
              <w:t>4</w:t>
            </w:r>
            <w:r w:rsidRPr="00A20D1D">
              <w:rPr>
                <w:noProof/>
                <w:webHidden/>
              </w:rPr>
              <w:fldChar w:fldCharType="end"/>
            </w:r>
          </w:hyperlink>
        </w:p>
        <w:p w:rsidR="00A20D1D" w:rsidRPr="00A20D1D" w:rsidRDefault="00C26314">
          <w:pPr>
            <w:pStyle w:val="TOC1"/>
            <w:tabs>
              <w:tab w:val="right" w:leader="dot" w:pos="9350"/>
            </w:tabs>
            <w:rPr>
              <w:rFonts w:asciiTheme="minorHAnsi" w:eastAsiaTheme="minorEastAsia" w:hAnsiTheme="minorHAnsi" w:cstheme="minorBidi"/>
              <w:noProof/>
              <w:kern w:val="2"/>
              <w:sz w:val="24"/>
              <w:szCs w:val="24"/>
              <w:lang w:val="en-US"/>
            </w:rPr>
          </w:pPr>
          <w:hyperlink w:anchor="_Toc223706786" w:history="1">
            <w:r w:rsidR="00A20D1D" w:rsidRPr="00A20D1D">
              <w:rPr>
                <w:rStyle w:val="Hyperlink"/>
                <w:noProof/>
                <w:lang w:val="en-GB"/>
              </w:rPr>
              <w:t>2. Evaluating different contemporary HR practices</w:t>
            </w:r>
            <w:r w:rsidR="00A20D1D" w:rsidRPr="00A20D1D">
              <w:rPr>
                <w:noProof/>
                <w:webHidden/>
              </w:rPr>
              <w:tab/>
            </w:r>
            <w:r w:rsidRPr="00A20D1D">
              <w:rPr>
                <w:noProof/>
                <w:webHidden/>
              </w:rPr>
              <w:fldChar w:fldCharType="begin"/>
            </w:r>
            <w:r w:rsidR="00A20D1D" w:rsidRPr="00A20D1D">
              <w:rPr>
                <w:noProof/>
                <w:webHidden/>
              </w:rPr>
              <w:instrText xml:space="preserve"> PAGEREF _Toc223706786 \h </w:instrText>
            </w:r>
            <w:r w:rsidRPr="00A20D1D">
              <w:rPr>
                <w:noProof/>
                <w:webHidden/>
              </w:rPr>
            </w:r>
            <w:r w:rsidRPr="00A20D1D">
              <w:rPr>
                <w:noProof/>
                <w:webHidden/>
              </w:rPr>
              <w:fldChar w:fldCharType="separate"/>
            </w:r>
            <w:r w:rsidR="00A20D1D" w:rsidRPr="00A20D1D">
              <w:rPr>
                <w:noProof/>
                <w:webHidden/>
              </w:rPr>
              <w:t>4</w:t>
            </w:r>
            <w:r w:rsidRPr="00A20D1D">
              <w:rPr>
                <w:noProof/>
                <w:webHidden/>
              </w:rPr>
              <w:fldChar w:fldCharType="end"/>
            </w:r>
          </w:hyperlink>
        </w:p>
        <w:p w:rsidR="00A20D1D" w:rsidRPr="00A20D1D" w:rsidRDefault="00C26314">
          <w:pPr>
            <w:pStyle w:val="TOC2"/>
            <w:tabs>
              <w:tab w:val="right" w:leader="dot" w:pos="9350"/>
            </w:tabs>
            <w:rPr>
              <w:rFonts w:asciiTheme="minorHAnsi" w:eastAsiaTheme="minorEastAsia" w:hAnsiTheme="minorHAnsi" w:cstheme="minorBidi"/>
              <w:noProof/>
              <w:kern w:val="2"/>
              <w:sz w:val="24"/>
              <w:szCs w:val="24"/>
              <w:lang w:val="en-US"/>
            </w:rPr>
          </w:pPr>
          <w:hyperlink w:anchor="_Toc223706787" w:history="1">
            <w:r w:rsidR="00A20D1D" w:rsidRPr="00A20D1D">
              <w:rPr>
                <w:rStyle w:val="Hyperlink"/>
                <w:noProof/>
                <w:lang w:val="en-GB"/>
              </w:rPr>
              <w:t>2.1 HR Practices to Address Technological Advancement</w:t>
            </w:r>
            <w:r w:rsidR="00A20D1D" w:rsidRPr="00A20D1D">
              <w:rPr>
                <w:noProof/>
                <w:webHidden/>
              </w:rPr>
              <w:tab/>
            </w:r>
            <w:r w:rsidRPr="00A20D1D">
              <w:rPr>
                <w:noProof/>
                <w:webHidden/>
              </w:rPr>
              <w:fldChar w:fldCharType="begin"/>
            </w:r>
            <w:r w:rsidR="00A20D1D" w:rsidRPr="00A20D1D">
              <w:rPr>
                <w:noProof/>
                <w:webHidden/>
              </w:rPr>
              <w:instrText xml:space="preserve"> PAGEREF _Toc223706787 \h </w:instrText>
            </w:r>
            <w:r w:rsidRPr="00A20D1D">
              <w:rPr>
                <w:noProof/>
                <w:webHidden/>
              </w:rPr>
            </w:r>
            <w:r w:rsidRPr="00A20D1D">
              <w:rPr>
                <w:noProof/>
                <w:webHidden/>
              </w:rPr>
              <w:fldChar w:fldCharType="separate"/>
            </w:r>
            <w:r w:rsidR="00A20D1D" w:rsidRPr="00A20D1D">
              <w:rPr>
                <w:noProof/>
                <w:webHidden/>
              </w:rPr>
              <w:t>4</w:t>
            </w:r>
            <w:r w:rsidRPr="00A20D1D">
              <w:rPr>
                <w:noProof/>
                <w:webHidden/>
              </w:rPr>
              <w:fldChar w:fldCharType="end"/>
            </w:r>
          </w:hyperlink>
        </w:p>
        <w:p w:rsidR="00A20D1D" w:rsidRPr="00A20D1D" w:rsidRDefault="00C26314">
          <w:pPr>
            <w:pStyle w:val="TOC2"/>
            <w:tabs>
              <w:tab w:val="right" w:leader="dot" w:pos="9350"/>
            </w:tabs>
            <w:rPr>
              <w:rFonts w:asciiTheme="minorHAnsi" w:eastAsiaTheme="minorEastAsia" w:hAnsiTheme="minorHAnsi" w:cstheme="minorBidi"/>
              <w:noProof/>
              <w:kern w:val="2"/>
              <w:sz w:val="24"/>
              <w:szCs w:val="24"/>
              <w:lang w:val="en-US"/>
            </w:rPr>
          </w:pPr>
          <w:hyperlink w:anchor="_Toc223706788" w:history="1">
            <w:r w:rsidR="00A20D1D" w:rsidRPr="00A20D1D">
              <w:rPr>
                <w:rStyle w:val="Hyperlink"/>
                <w:noProof/>
                <w:lang w:val="en-GB"/>
              </w:rPr>
              <w:t>2.2 HR Practices for Talent Acquisition and Retention</w:t>
            </w:r>
            <w:r w:rsidR="00A20D1D" w:rsidRPr="00A20D1D">
              <w:rPr>
                <w:noProof/>
                <w:webHidden/>
              </w:rPr>
              <w:tab/>
            </w:r>
            <w:r w:rsidRPr="00A20D1D">
              <w:rPr>
                <w:noProof/>
                <w:webHidden/>
              </w:rPr>
              <w:fldChar w:fldCharType="begin"/>
            </w:r>
            <w:r w:rsidR="00A20D1D" w:rsidRPr="00A20D1D">
              <w:rPr>
                <w:noProof/>
                <w:webHidden/>
              </w:rPr>
              <w:instrText xml:space="preserve"> PAGEREF _Toc223706788 \h </w:instrText>
            </w:r>
            <w:r w:rsidRPr="00A20D1D">
              <w:rPr>
                <w:noProof/>
                <w:webHidden/>
              </w:rPr>
            </w:r>
            <w:r w:rsidRPr="00A20D1D">
              <w:rPr>
                <w:noProof/>
                <w:webHidden/>
              </w:rPr>
              <w:fldChar w:fldCharType="separate"/>
            </w:r>
            <w:r w:rsidR="00A20D1D" w:rsidRPr="00A20D1D">
              <w:rPr>
                <w:noProof/>
                <w:webHidden/>
              </w:rPr>
              <w:t>5</w:t>
            </w:r>
            <w:r w:rsidRPr="00A20D1D">
              <w:rPr>
                <w:noProof/>
                <w:webHidden/>
              </w:rPr>
              <w:fldChar w:fldCharType="end"/>
            </w:r>
          </w:hyperlink>
        </w:p>
        <w:p w:rsidR="00A20D1D" w:rsidRPr="00A20D1D" w:rsidRDefault="00C26314">
          <w:pPr>
            <w:pStyle w:val="TOC2"/>
            <w:tabs>
              <w:tab w:val="right" w:leader="dot" w:pos="9350"/>
            </w:tabs>
            <w:rPr>
              <w:rFonts w:asciiTheme="minorHAnsi" w:eastAsiaTheme="minorEastAsia" w:hAnsiTheme="minorHAnsi" w:cstheme="minorBidi"/>
              <w:noProof/>
              <w:kern w:val="2"/>
              <w:sz w:val="24"/>
              <w:szCs w:val="24"/>
              <w:lang w:val="en-US"/>
            </w:rPr>
          </w:pPr>
          <w:hyperlink w:anchor="_Toc223706789" w:history="1">
            <w:r w:rsidR="00A20D1D" w:rsidRPr="00A20D1D">
              <w:rPr>
                <w:rStyle w:val="Hyperlink"/>
                <w:noProof/>
                <w:lang w:val="en-GB"/>
              </w:rPr>
              <w:t>2.3 HR Practices for Diversity, Equity and Inclusion (DEI)</w:t>
            </w:r>
            <w:r w:rsidR="00A20D1D" w:rsidRPr="00A20D1D">
              <w:rPr>
                <w:noProof/>
                <w:webHidden/>
              </w:rPr>
              <w:tab/>
            </w:r>
            <w:r w:rsidRPr="00A20D1D">
              <w:rPr>
                <w:noProof/>
                <w:webHidden/>
              </w:rPr>
              <w:fldChar w:fldCharType="begin"/>
            </w:r>
            <w:r w:rsidR="00A20D1D" w:rsidRPr="00A20D1D">
              <w:rPr>
                <w:noProof/>
                <w:webHidden/>
              </w:rPr>
              <w:instrText xml:space="preserve"> PAGEREF _Toc223706789 \h </w:instrText>
            </w:r>
            <w:r w:rsidRPr="00A20D1D">
              <w:rPr>
                <w:noProof/>
                <w:webHidden/>
              </w:rPr>
            </w:r>
            <w:r w:rsidRPr="00A20D1D">
              <w:rPr>
                <w:noProof/>
                <w:webHidden/>
              </w:rPr>
              <w:fldChar w:fldCharType="separate"/>
            </w:r>
            <w:r w:rsidR="00A20D1D" w:rsidRPr="00A20D1D">
              <w:rPr>
                <w:noProof/>
                <w:webHidden/>
              </w:rPr>
              <w:t>6</w:t>
            </w:r>
            <w:r w:rsidRPr="00A20D1D">
              <w:rPr>
                <w:noProof/>
                <w:webHidden/>
              </w:rPr>
              <w:fldChar w:fldCharType="end"/>
            </w:r>
          </w:hyperlink>
        </w:p>
        <w:p w:rsidR="00A20D1D" w:rsidRPr="00A20D1D" w:rsidRDefault="00C26314">
          <w:pPr>
            <w:pStyle w:val="TOC1"/>
            <w:tabs>
              <w:tab w:val="right" w:leader="dot" w:pos="9350"/>
            </w:tabs>
            <w:rPr>
              <w:rFonts w:asciiTheme="minorHAnsi" w:eastAsiaTheme="minorEastAsia" w:hAnsiTheme="minorHAnsi" w:cstheme="minorBidi"/>
              <w:noProof/>
              <w:kern w:val="2"/>
              <w:sz w:val="24"/>
              <w:szCs w:val="24"/>
              <w:lang w:val="en-US"/>
            </w:rPr>
          </w:pPr>
          <w:hyperlink w:anchor="_Toc223706790" w:history="1">
            <w:r w:rsidR="00A20D1D" w:rsidRPr="00A20D1D">
              <w:rPr>
                <w:rStyle w:val="Hyperlink"/>
                <w:noProof/>
                <w:lang w:val="en-GB"/>
              </w:rPr>
              <w:t>3. Critical Evaluation of the Role of Departmental Managers</w:t>
            </w:r>
            <w:r w:rsidR="00A20D1D" w:rsidRPr="00A20D1D">
              <w:rPr>
                <w:noProof/>
                <w:webHidden/>
              </w:rPr>
              <w:tab/>
            </w:r>
            <w:r w:rsidRPr="00A20D1D">
              <w:rPr>
                <w:noProof/>
                <w:webHidden/>
              </w:rPr>
              <w:fldChar w:fldCharType="begin"/>
            </w:r>
            <w:r w:rsidR="00A20D1D" w:rsidRPr="00A20D1D">
              <w:rPr>
                <w:noProof/>
                <w:webHidden/>
              </w:rPr>
              <w:instrText xml:space="preserve"> PAGEREF _Toc223706790 \h </w:instrText>
            </w:r>
            <w:r w:rsidRPr="00A20D1D">
              <w:rPr>
                <w:noProof/>
                <w:webHidden/>
              </w:rPr>
            </w:r>
            <w:r w:rsidRPr="00A20D1D">
              <w:rPr>
                <w:noProof/>
                <w:webHidden/>
              </w:rPr>
              <w:fldChar w:fldCharType="separate"/>
            </w:r>
            <w:r w:rsidR="00A20D1D" w:rsidRPr="00A20D1D">
              <w:rPr>
                <w:noProof/>
                <w:webHidden/>
              </w:rPr>
              <w:t>6</w:t>
            </w:r>
            <w:r w:rsidRPr="00A20D1D">
              <w:rPr>
                <w:noProof/>
                <w:webHidden/>
              </w:rPr>
              <w:fldChar w:fldCharType="end"/>
            </w:r>
          </w:hyperlink>
        </w:p>
        <w:p w:rsidR="00A20D1D" w:rsidRPr="00A20D1D" w:rsidRDefault="00C26314">
          <w:pPr>
            <w:pStyle w:val="TOC2"/>
            <w:tabs>
              <w:tab w:val="right" w:leader="dot" w:pos="9350"/>
            </w:tabs>
            <w:rPr>
              <w:rFonts w:asciiTheme="minorHAnsi" w:eastAsiaTheme="minorEastAsia" w:hAnsiTheme="minorHAnsi" w:cstheme="minorBidi"/>
              <w:noProof/>
              <w:kern w:val="2"/>
              <w:sz w:val="24"/>
              <w:szCs w:val="24"/>
              <w:lang w:val="en-US"/>
            </w:rPr>
          </w:pPr>
          <w:hyperlink w:anchor="_Toc223706791" w:history="1">
            <w:r w:rsidR="00A20D1D" w:rsidRPr="00A20D1D">
              <w:rPr>
                <w:rStyle w:val="Hyperlink"/>
                <w:noProof/>
                <w:lang w:val="en-GB"/>
              </w:rPr>
              <w:t>3.1 Leadership and Change Implementation</w:t>
            </w:r>
            <w:r w:rsidR="00A20D1D" w:rsidRPr="00A20D1D">
              <w:rPr>
                <w:noProof/>
                <w:webHidden/>
              </w:rPr>
              <w:tab/>
            </w:r>
            <w:r w:rsidRPr="00A20D1D">
              <w:rPr>
                <w:noProof/>
                <w:webHidden/>
              </w:rPr>
              <w:fldChar w:fldCharType="begin"/>
            </w:r>
            <w:r w:rsidR="00A20D1D" w:rsidRPr="00A20D1D">
              <w:rPr>
                <w:noProof/>
                <w:webHidden/>
              </w:rPr>
              <w:instrText xml:space="preserve"> PAGEREF _Toc223706791 \h </w:instrText>
            </w:r>
            <w:r w:rsidRPr="00A20D1D">
              <w:rPr>
                <w:noProof/>
                <w:webHidden/>
              </w:rPr>
            </w:r>
            <w:r w:rsidRPr="00A20D1D">
              <w:rPr>
                <w:noProof/>
                <w:webHidden/>
              </w:rPr>
              <w:fldChar w:fldCharType="separate"/>
            </w:r>
            <w:r w:rsidR="00A20D1D" w:rsidRPr="00A20D1D">
              <w:rPr>
                <w:noProof/>
                <w:webHidden/>
              </w:rPr>
              <w:t>6</w:t>
            </w:r>
            <w:r w:rsidRPr="00A20D1D">
              <w:rPr>
                <w:noProof/>
                <w:webHidden/>
              </w:rPr>
              <w:fldChar w:fldCharType="end"/>
            </w:r>
          </w:hyperlink>
        </w:p>
        <w:p w:rsidR="00A20D1D" w:rsidRPr="00A20D1D" w:rsidRDefault="00C26314">
          <w:pPr>
            <w:pStyle w:val="TOC2"/>
            <w:tabs>
              <w:tab w:val="right" w:leader="dot" w:pos="9350"/>
            </w:tabs>
            <w:rPr>
              <w:rFonts w:asciiTheme="minorHAnsi" w:eastAsiaTheme="minorEastAsia" w:hAnsiTheme="minorHAnsi" w:cstheme="minorBidi"/>
              <w:noProof/>
              <w:kern w:val="2"/>
              <w:sz w:val="24"/>
              <w:szCs w:val="24"/>
              <w:lang w:val="en-US"/>
            </w:rPr>
          </w:pPr>
          <w:hyperlink w:anchor="_Toc223706792" w:history="1">
            <w:r w:rsidR="00A20D1D" w:rsidRPr="00A20D1D">
              <w:rPr>
                <w:rStyle w:val="Hyperlink"/>
                <w:noProof/>
                <w:lang w:val="en-GB"/>
              </w:rPr>
              <w:t>3.2 Monitoring and Performance Management</w:t>
            </w:r>
            <w:r w:rsidR="00A20D1D" w:rsidRPr="00A20D1D">
              <w:rPr>
                <w:noProof/>
                <w:webHidden/>
              </w:rPr>
              <w:tab/>
            </w:r>
            <w:r w:rsidRPr="00A20D1D">
              <w:rPr>
                <w:noProof/>
                <w:webHidden/>
              </w:rPr>
              <w:fldChar w:fldCharType="begin"/>
            </w:r>
            <w:r w:rsidR="00A20D1D" w:rsidRPr="00A20D1D">
              <w:rPr>
                <w:noProof/>
                <w:webHidden/>
              </w:rPr>
              <w:instrText xml:space="preserve"> PAGEREF _Toc223706792 \h </w:instrText>
            </w:r>
            <w:r w:rsidRPr="00A20D1D">
              <w:rPr>
                <w:noProof/>
                <w:webHidden/>
              </w:rPr>
            </w:r>
            <w:r w:rsidRPr="00A20D1D">
              <w:rPr>
                <w:noProof/>
                <w:webHidden/>
              </w:rPr>
              <w:fldChar w:fldCharType="separate"/>
            </w:r>
            <w:r w:rsidR="00A20D1D" w:rsidRPr="00A20D1D">
              <w:rPr>
                <w:noProof/>
                <w:webHidden/>
              </w:rPr>
              <w:t>6</w:t>
            </w:r>
            <w:r w:rsidRPr="00A20D1D">
              <w:rPr>
                <w:noProof/>
                <w:webHidden/>
              </w:rPr>
              <w:fldChar w:fldCharType="end"/>
            </w:r>
          </w:hyperlink>
        </w:p>
        <w:p w:rsidR="00A20D1D" w:rsidRPr="00A20D1D" w:rsidRDefault="00C26314">
          <w:pPr>
            <w:pStyle w:val="TOC2"/>
            <w:tabs>
              <w:tab w:val="right" w:leader="dot" w:pos="9350"/>
            </w:tabs>
            <w:rPr>
              <w:rFonts w:asciiTheme="minorHAnsi" w:eastAsiaTheme="minorEastAsia" w:hAnsiTheme="minorHAnsi" w:cstheme="minorBidi"/>
              <w:noProof/>
              <w:kern w:val="2"/>
              <w:sz w:val="24"/>
              <w:szCs w:val="24"/>
              <w:lang w:val="en-US"/>
            </w:rPr>
          </w:pPr>
          <w:hyperlink w:anchor="_Toc223706793" w:history="1">
            <w:r w:rsidR="00A20D1D" w:rsidRPr="00A20D1D">
              <w:rPr>
                <w:rStyle w:val="Hyperlink"/>
                <w:noProof/>
                <w:lang w:val="en-GB"/>
              </w:rPr>
              <w:t>3.3 Creating an Inclusive and Supportive Work Environment</w:t>
            </w:r>
            <w:r w:rsidR="00A20D1D" w:rsidRPr="00A20D1D">
              <w:rPr>
                <w:noProof/>
                <w:webHidden/>
              </w:rPr>
              <w:tab/>
            </w:r>
            <w:r w:rsidRPr="00A20D1D">
              <w:rPr>
                <w:noProof/>
                <w:webHidden/>
              </w:rPr>
              <w:fldChar w:fldCharType="begin"/>
            </w:r>
            <w:r w:rsidR="00A20D1D" w:rsidRPr="00A20D1D">
              <w:rPr>
                <w:noProof/>
                <w:webHidden/>
              </w:rPr>
              <w:instrText xml:space="preserve"> PAGEREF _Toc223706793 \h </w:instrText>
            </w:r>
            <w:r w:rsidRPr="00A20D1D">
              <w:rPr>
                <w:noProof/>
                <w:webHidden/>
              </w:rPr>
            </w:r>
            <w:r w:rsidRPr="00A20D1D">
              <w:rPr>
                <w:noProof/>
                <w:webHidden/>
              </w:rPr>
              <w:fldChar w:fldCharType="separate"/>
            </w:r>
            <w:r w:rsidR="00A20D1D" w:rsidRPr="00A20D1D">
              <w:rPr>
                <w:noProof/>
                <w:webHidden/>
              </w:rPr>
              <w:t>7</w:t>
            </w:r>
            <w:r w:rsidRPr="00A20D1D">
              <w:rPr>
                <w:noProof/>
                <w:webHidden/>
              </w:rPr>
              <w:fldChar w:fldCharType="end"/>
            </w:r>
          </w:hyperlink>
        </w:p>
        <w:p w:rsidR="00A20D1D" w:rsidRPr="00A20D1D" w:rsidRDefault="00C26314">
          <w:pPr>
            <w:pStyle w:val="TOC1"/>
            <w:tabs>
              <w:tab w:val="right" w:leader="dot" w:pos="9350"/>
            </w:tabs>
            <w:rPr>
              <w:rFonts w:asciiTheme="minorHAnsi" w:eastAsiaTheme="minorEastAsia" w:hAnsiTheme="minorHAnsi" w:cstheme="minorBidi"/>
              <w:noProof/>
              <w:kern w:val="2"/>
              <w:sz w:val="24"/>
              <w:szCs w:val="24"/>
              <w:lang w:val="en-US"/>
            </w:rPr>
          </w:pPr>
          <w:hyperlink w:anchor="_Toc223706794" w:history="1">
            <w:r w:rsidR="00A20D1D" w:rsidRPr="00A20D1D">
              <w:rPr>
                <w:rStyle w:val="Hyperlink"/>
                <w:noProof/>
                <w:lang w:val="en-GB"/>
              </w:rPr>
              <w:t>4. Conclusion and recommendations</w:t>
            </w:r>
            <w:r w:rsidR="00A20D1D" w:rsidRPr="00A20D1D">
              <w:rPr>
                <w:noProof/>
                <w:webHidden/>
              </w:rPr>
              <w:tab/>
            </w:r>
            <w:r w:rsidRPr="00A20D1D">
              <w:rPr>
                <w:noProof/>
                <w:webHidden/>
              </w:rPr>
              <w:fldChar w:fldCharType="begin"/>
            </w:r>
            <w:r w:rsidR="00A20D1D" w:rsidRPr="00A20D1D">
              <w:rPr>
                <w:noProof/>
                <w:webHidden/>
              </w:rPr>
              <w:instrText xml:space="preserve"> PAGEREF _Toc223706794 \h </w:instrText>
            </w:r>
            <w:r w:rsidRPr="00A20D1D">
              <w:rPr>
                <w:noProof/>
                <w:webHidden/>
              </w:rPr>
            </w:r>
            <w:r w:rsidRPr="00A20D1D">
              <w:rPr>
                <w:noProof/>
                <w:webHidden/>
              </w:rPr>
              <w:fldChar w:fldCharType="separate"/>
            </w:r>
            <w:r w:rsidR="00A20D1D" w:rsidRPr="00A20D1D">
              <w:rPr>
                <w:noProof/>
                <w:webHidden/>
              </w:rPr>
              <w:t>7</w:t>
            </w:r>
            <w:r w:rsidRPr="00A20D1D">
              <w:rPr>
                <w:noProof/>
                <w:webHidden/>
              </w:rPr>
              <w:fldChar w:fldCharType="end"/>
            </w:r>
          </w:hyperlink>
        </w:p>
        <w:p w:rsidR="00A20D1D" w:rsidRPr="00A20D1D" w:rsidRDefault="00C26314">
          <w:pPr>
            <w:pStyle w:val="TOC2"/>
            <w:tabs>
              <w:tab w:val="right" w:leader="dot" w:pos="9350"/>
            </w:tabs>
            <w:rPr>
              <w:rFonts w:asciiTheme="minorHAnsi" w:eastAsiaTheme="minorEastAsia" w:hAnsiTheme="minorHAnsi" w:cstheme="minorBidi"/>
              <w:noProof/>
              <w:kern w:val="2"/>
              <w:sz w:val="24"/>
              <w:szCs w:val="24"/>
              <w:lang w:val="en-US"/>
            </w:rPr>
          </w:pPr>
          <w:hyperlink w:anchor="_Toc223706795" w:history="1">
            <w:r w:rsidR="00A20D1D" w:rsidRPr="00A20D1D">
              <w:rPr>
                <w:rStyle w:val="Hyperlink"/>
                <w:noProof/>
                <w:lang w:val="en-GB"/>
              </w:rPr>
              <w:t>4.1 Conclusion</w:t>
            </w:r>
            <w:r w:rsidR="00A20D1D" w:rsidRPr="00A20D1D">
              <w:rPr>
                <w:noProof/>
                <w:webHidden/>
              </w:rPr>
              <w:tab/>
            </w:r>
            <w:r w:rsidRPr="00A20D1D">
              <w:rPr>
                <w:noProof/>
                <w:webHidden/>
              </w:rPr>
              <w:fldChar w:fldCharType="begin"/>
            </w:r>
            <w:r w:rsidR="00A20D1D" w:rsidRPr="00A20D1D">
              <w:rPr>
                <w:noProof/>
                <w:webHidden/>
              </w:rPr>
              <w:instrText xml:space="preserve"> PAGEREF _Toc223706795 \h </w:instrText>
            </w:r>
            <w:r w:rsidRPr="00A20D1D">
              <w:rPr>
                <w:noProof/>
                <w:webHidden/>
              </w:rPr>
            </w:r>
            <w:r w:rsidRPr="00A20D1D">
              <w:rPr>
                <w:noProof/>
                <w:webHidden/>
              </w:rPr>
              <w:fldChar w:fldCharType="separate"/>
            </w:r>
            <w:r w:rsidR="00A20D1D" w:rsidRPr="00A20D1D">
              <w:rPr>
                <w:noProof/>
                <w:webHidden/>
              </w:rPr>
              <w:t>7</w:t>
            </w:r>
            <w:r w:rsidRPr="00A20D1D">
              <w:rPr>
                <w:noProof/>
                <w:webHidden/>
              </w:rPr>
              <w:fldChar w:fldCharType="end"/>
            </w:r>
          </w:hyperlink>
        </w:p>
        <w:p w:rsidR="00A20D1D" w:rsidRPr="00A20D1D" w:rsidRDefault="00C26314">
          <w:pPr>
            <w:pStyle w:val="TOC2"/>
            <w:tabs>
              <w:tab w:val="right" w:leader="dot" w:pos="9350"/>
            </w:tabs>
            <w:rPr>
              <w:rFonts w:asciiTheme="minorHAnsi" w:eastAsiaTheme="minorEastAsia" w:hAnsiTheme="minorHAnsi" w:cstheme="minorBidi"/>
              <w:noProof/>
              <w:kern w:val="2"/>
              <w:sz w:val="24"/>
              <w:szCs w:val="24"/>
              <w:lang w:val="en-US"/>
            </w:rPr>
          </w:pPr>
          <w:hyperlink w:anchor="_Toc223706796" w:history="1">
            <w:r w:rsidR="00A20D1D" w:rsidRPr="00A20D1D">
              <w:rPr>
                <w:rStyle w:val="Hyperlink"/>
                <w:noProof/>
                <w:lang w:val="en-GB"/>
              </w:rPr>
              <w:t>4.2 Recommendations</w:t>
            </w:r>
            <w:r w:rsidR="00A20D1D" w:rsidRPr="00A20D1D">
              <w:rPr>
                <w:noProof/>
                <w:webHidden/>
              </w:rPr>
              <w:tab/>
            </w:r>
            <w:r w:rsidRPr="00A20D1D">
              <w:rPr>
                <w:noProof/>
                <w:webHidden/>
              </w:rPr>
              <w:fldChar w:fldCharType="begin"/>
            </w:r>
            <w:r w:rsidR="00A20D1D" w:rsidRPr="00A20D1D">
              <w:rPr>
                <w:noProof/>
                <w:webHidden/>
              </w:rPr>
              <w:instrText xml:space="preserve"> PAGEREF _Toc223706796 \h </w:instrText>
            </w:r>
            <w:r w:rsidRPr="00A20D1D">
              <w:rPr>
                <w:noProof/>
                <w:webHidden/>
              </w:rPr>
            </w:r>
            <w:r w:rsidRPr="00A20D1D">
              <w:rPr>
                <w:noProof/>
                <w:webHidden/>
              </w:rPr>
              <w:fldChar w:fldCharType="separate"/>
            </w:r>
            <w:r w:rsidR="00A20D1D" w:rsidRPr="00A20D1D">
              <w:rPr>
                <w:noProof/>
                <w:webHidden/>
              </w:rPr>
              <w:t>7</w:t>
            </w:r>
            <w:r w:rsidRPr="00A20D1D">
              <w:rPr>
                <w:noProof/>
                <w:webHidden/>
              </w:rPr>
              <w:fldChar w:fldCharType="end"/>
            </w:r>
          </w:hyperlink>
        </w:p>
        <w:p w:rsidR="00A20D1D" w:rsidRPr="00A20D1D" w:rsidRDefault="00C26314">
          <w:pPr>
            <w:pStyle w:val="TOC1"/>
            <w:tabs>
              <w:tab w:val="right" w:leader="dot" w:pos="9350"/>
            </w:tabs>
            <w:rPr>
              <w:rFonts w:asciiTheme="minorHAnsi" w:eastAsiaTheme="minorEastAsia" w:hAnsiTheme="minorHAnsi" w:cstheme="minorBidi"/>
              <w:noProof/>
              <w:kern w:val="2"/>
              <w:sz w:val="24"/>
              <w:szCs w:val="24"/>
              <w:lang w:val="en-US"/>
            </w:rPr>
          </w:pPr>
          <w:hyperlink w:anchor="_Toc223706797" w:history="1">
            <w:r w:rsidR="00A20D1D" w:rsidRPr="00A20D1D">
              <w:rPr>
                <w:rStyle w:val="Hyperlink"/>
                <w:noProof/>
                <w:lang w:val="en-GB"/>
              </w:rPr>
              <w:t>Reference list</w:t>
            </w:r>
            <w:r w:rsidR="00A20D1D" w:rsidRPr="00A20D1D">
              <w:rPr>
                <w:noProof/>
                <w:webHidden/>
              </w:rPr>
              <w:tab/>
            </w:r>
            <w:r w:rsidRPr="00A20D1D">
              <w:rPr>
                <w:noProof/>
                <w:webHidden/>
              </w:rPr>
              <w:fldChar w:fldCharType="begin"/>
            </w:r>
            <w:r w:rsidR="00A20D1D" w:rsidRPr="00A20D1D">
              <w:rPr>
                <w:noProof/>
                <w:webHidden/>
              </w:rPr>
              <w:instrText xml:space="preserve"> PAGEREF _Toc223706797 \h </w:instrText>
            </w:r>
            <w:r w:rsidRPr="00A20D1D">
              <w:rPr>
                <w:noProof/>
                <w:webHidden/>
              </w:rPr>
            </w:r>
            <w:r w:rsidRPr="00A20D1D">
              <w:rPr>
                <w:noProof/>
                <w:webHidden/>
              </w:rPr>
              <w:fldChar w:fldCharType="separate"/>
            </w:r>
            <w:r w:rsidR="00A20D1D" w:rsidRPr="00A20D1D">
              <w:rPr>
                <w:noProof/>
                <w:webHidden/>
              </w:rPr>
              <w:t>9</w:t>
            </w:r>
            <w:r w:rsidRPr="00A20D1D">
              <w:rPr>
                <w:noProof/>
                <w:webHidden/>
              </w:rPr>
              <w:fldChar w:fldCharType="end"/>
            </w:r>
          </w:hyperlink>
        </w:p>
        <w:p w:rsidR="00B5613B" w:rsidRPr="008E1890" w:rsidRDefault="00C26314" w:rsidP="00B5613B">
          <w:pPr>
            <w:rPr>
              <w:lang w:val="en-GB"/>
            </w:rPr>
          </w:pPr>
          <w:r w:rsidRPr="00A20D1D">
            <w:rPr>
              <w:b/>
              <w:bCs/>
              <w:noProof/>
              <w:lang w:val="en-GB"/>
            </w:rPr>
            <w:fldChar w:fldCharType="end"/>
          </w:r>
        </w:p>
      </w:sdtContent>
    </w:sdt>
    <w:p w:rsidR="00B5613B" w:rsidRPr="008E1890" w:rsidRDefault="00B5613B" w:rsidP="00B5613B">
      <w:pPr>
        <w:rPr>
          <w:b/>
          <w:sz w:val="24"/>
          <w:lang w:val="en-GB"/>
        </w:rPr>
      </w:pPr>
    </w:p>
    <w:p w:rsidR="00B30AD2" w:rsidRPr="008E1890" w:rsidRDefault="00B028D0">
      <w:pPr>
        <w:rPr>
          <w:b/>
          <w:bCs/>
          <w:sz w:val="28"/>
          <w:szCs w:val="28"/>
          <w:lang w:val="en-GB"/>
        </w:rPr>
      </w:pPr>
      <w:r w:rsidRPr="008E1890">
        <w:rPr>
          <w:lang w:val="en-GB"/>
        </w:rPr>
        <w:br w:type="page"/>
      </w:r>
    </w:p>
    <w:p w:rsidR="00FE24CE" w:rsidRPr="008E1890" w:rsidRDefault="00B028D0">
      <w:pPr>
        <w:pStyle w:val="Heading1"/>
        <w:rPr>
          <w:lang w:val="en-GB"/>
        </w:rPr>
      </w:pPr>
      <w:bookmarkStart w:id="1" w:name="_Toc223706781"/>
      <w:r w:rsidRPr="008E1890">
        <w:rPr>
          <w:lang w:val="en-GB"/>
        </w:rPr>
        <w:lastRenderedPageBreak/>
        <w:t>Introduction</w:t>
      </w:r>
      <w:bookmarkEnd w:id="1"/>
    </w:p>
    <w:p w:rsidR="00FE24CE" w:rsidRPr="008E1890" w:rsidRDefault="00B028D0">
      <w:pPr>
        <w:rPr>
          <w:lang w:val="en-GB"/>
        </w:rPr>
      </w:pPr>
      <w:r w:rsidRPr="008E1890">
        <w:rPr>
          <w:lang w:val="en-GB"/>
        </w:rPr>
        <w:t xml:space="preserve">This report will critically assess the HR issues of </w:t>
      </w:r>
      <w:r w:rsidR="003B0728" w:rsidRPr="008E1890">
        <w:rPr>
          <w:b/>
          <w:bCs/>
          <w:highlight w:val="yellow"/>
          <w:lang w:val="en-GB"/>
        </w:rPr>
        <w:t>Guy's and St Thomas NHS Foundation Trust</w:t>
      </w:r>
      <w:r w:rsidRPr="008E1890">
        <w:rPr>
          <w:lang w:val="en-GB"/>
        </w:rPr>
        <w:t>based on the technological development, talent recruitment and retention, and the DEI. This will examine the efficacy of modern HR practises followed to deal with such issues and will critically examine the importance of departmental managers in ensuring that they are implemented immediately and persistently based on pertinent human resource management theories and organisational experience.</w:t>
      </w:r>
    </w:p>
    <w:p w:rsidR="00FE24CE" w:rsidRPr="008E1890" w:rsidRDefault="00B028D0">
      <w:pPr>
        <w:rPr>
          <w:lang w:val="en-GB"/>
        </w:rPr>
      </w:pPr>
      <w:r w:rsidRPr="008E1890">
        <w:rPr>
          <w:highlight w:val="yellow"/>
          <w:lang w:val="en-GB"/>
        </w:rPr>
        <w:t>Guy's and St Thomas NHS Foundation Trust</w:t>
      </w:r>
      <w:r w:rsidR="001A3692" w:rsidRPr="008E1890">
        <w:rPr>
          <w:highlight w:val="yellow"/>
          <w:lang w:val="en-GB"/>
        </w:rPr>
        <w:t xml:space="preserve"> is the largest </w:t>
      </w:r>
      <w:r w:rsidRPr="008E1890">
        <w:rPr>
          <w:highlight w:val="yellow"/>
          <w:lang w:val="en-GB"/>
        </w:rPr>
        <w:t>healthcare organisation</w:t>
      </w:r>
      <w:r w:rsidR="001A3692" w:rsidRPr="008E1890">
        <w:rPr>
          <w:highlight w:val="yellow"/>
          <w:lang w:val="en-GB"/>
        </w:rPr>
        <w:t xml:space="preserve"> in the UK that </w:t>
      </w:r>
      <w:r w:rsidRPr="008E1890">
        <w:rPr>
          <w:highlight w:val="yellow"/>
          <w:lang w:val="en-GB"/>
        </w:rPr>
        <w:t xml:space="preserve">provides high-quality care facilities to many patients.This organisation has a </w:t>
      </w:r>
      <w:r w:rsidR="001A3692" w:rsidRPr="008E1890">
        <w:rPr>
          <w:highlight w:val="yellow"/>
          <w:lang w:val="en-GB"/>
        </w:rPr>
        <w:t>competitive and technologically dynamic environment employing a very diverse workforce.</w:t>
      </w:r>
      <w:r w:rsidR="001A3692" w:rsidRPr="008E1890">
        <w:rPr>
          <w:lang w:val="en-GB"/>
        </w:rPr>
        <w:t xml:space="preserve"> The speed of digitalisation, the lack of </w:t>
      </w:r>
      <w:r w:rsidRPr="008E1890">
        <w:rPr>
          <w:lang w:val="en-GB"/>
        </w:rPr>
        <w:t>staff</w:t>
      </w:r>
      <w:r w:rsidR="001A3692" w:rsidRPr="008E1890">
        <w:rPr>
          <w:lang w:val="en-GB"/>
        </w:rPr>
        <w:t xml:space="preserve"> and growing demands in the fields of diversity, equity and inclusion have exacerbated the human resources management issues within the organisation.</w:t>
      </w:r>
    </w:p>
    <w:p w:rsidR="00143B7C" w:rsidRPr="008E1890" w:rsidRDefault="00B028D0" w:rsidP="00E95433">
      <w:pPr>
        <w:pStyle w:val="Heading1"/>
        <w:rPr>
          <w:highlight w:val="yellow"/>
          <w:lang w:val="en-GB"/>
        </w:rPr>
      </w:pPr>
      <w:bookmarkStart w:id="2" w:name="_d8v04md7jyiv" w:colFirst="0" w:colLast="0"/>
      <w:bookmarkStart w:id="3" w:name="_Toc223706782"/>
      <w:bookmarkEnd w:id="2"/>
      <w:r w:rsidRPr="008E1890">
        <w:rPr>
          <w:highlight w:val="yellow"/>
          <w:lang w:val="en-GB"/>
        </w:rPr>
        <w:t>1. An explanation of specific factors</w:t>
      </w:r>
      <w:bookmarkEnd w:id="3"/>
    </w:p>
    <w:p w:rsidR="00143B7C" w:rsidRPr="008E1890" w:rsidRDefault="00B028D0" w:rsidP="00E95433">
      <w:pPr>
        <w:pStyle w:val="Heading2"/>
        <w:rPr>
          <w:highlight w:val="yellow"/>
          <w:lang w:val="en-GB"/>
        </w:rPr>
      </w:pPr>
      <w:bookmarkStart w:id="4" w:name="_x5fncznjjrwo" w:colFirst="0" w:colLast="0"/>
      <w:bookmarkStart w:id="5" w:name="_Toc223706783"/>
      <w:bookmarkEnd w:id="4"/>
      <w:r w:rsidRPr="008E1890">
        <w:rPr>
          <w:highlight w:val="yellow"/>
          <w:lang w:val="en-GB"/>
        </w:rPr>
        <w:t>1.1 Meeting up with Technological Advancement</w:t>
      </w:r>
      <w:bookmarkEnd w:id="5"/>
    </w:p>
    <w:p w:rsidR="00143B7C" w:rsidRPr="008E1890" w:rsidRDefault="00B028D0" w:rsidP="00143B7C">
      <w:pPr>
        <w:rPr>
          <w:highlight w:val="yellow"/>
          <w:lang w:val="en-GB"/>
        </w:rPr>
      </w:pPr>
      <w:r w:rsidRPr="008E1890">
        <w:rPr>
          <w:highlight w:val="yellow"/>
          <w:lang w:val="en-GB"/>
        </w:rPr>
        <w:t xml:space="preserve">One of the biggest and most developed healthcare organisations in the United Kingdom is Guy's and St Thomas NHS Foundation Trust. This healthcare organisation has approximately </w:t>
      </w:r>
      <w:r w:rsidRPr="008E1890">
        <w:rPr>
          <w:b/>
          <w:bCs/>
          <w:highlight w:val="yellow"/>
          <w:lang w:val="en-GB"/>
        </w:rPr>
        <w:t>23,000 employees</w:t>
      </w:r>
      <w:r w:rsidRPr="008E1890">
        <w:rPr>
          <w:highlight w:val="yellow"/>
          <w:lang w:val="en-GB"/>
        </w:rPr>
        <w:t xml:space="preserve"> and offers annual healthcare services to </w:t>
      </w:r>
      <w:r w:rsidRPr="008E1890">
        <w:rPr>
          <w:b/>
          <w:bCs/>
          <w:highlight w:val="yellow"/>
          <w:lang w:val="en-GB"/>
        </w:rPr>
        <w:t>over 2.6 million patients</w:t>
      </w:r>
      <w:r w:rsidRPr="008E1890">
        <w:rPr>
          <w:highlight w:val="yellow"/>
          <w:lang w:val="en-GB"/>
        </w:rPr>
        <w:t xml:space="preserve"> (Whinnett, 2026). Over the last few years, the healthcare organisations have undergone a digital revolution. Electronic health records, artificial intelligence diagnosis software, telemedicine apps and digital patient management software are only gaining momentum (NHS, 2025). These are becoming crucial in enhancing healthcare service facilities. </w:t>
      </w:r>
    </w:p>
    <w:p w:rsidR="00143B7C" w:rsidRPr="008E1890" w:rsidRDefault="00B028D0" w:rsidP="00143B7C">
      <w:pPr>
        <w:rPr>
          <w:highlight w:val="yellow"/>
          <w:lang w:val="en-GB"/>
        </w:rPr>
      </w:pPr>
      <w:r w:rsidRPr="008E1890">
        <w:rPr>
          <w:highlight w:val="yellow"/>
          <w:lang w:val="en-GB"/>
        </w:rPr>
        <w:t>The adoption of digital technologies has a number of advantages. It enhances patient safety, can make clinical decisions faster, and makes the workforce more productive due to automated work (Gupta, 2022). Nevertheless, some problems are also present. The fear of poor confidence in digital systems is likely to make many employees opposed to technological change. Also, training programmes and IT infrastructure may be expensive.  Hence, to keep updated with different digital skills, HR departments must encourage</w:t>
      </w:r>
      <w:r w:rsidRPr="008E1890">
        <w:rPr>
          <w:b/>
          <w:bCs/>
          <w:highlight w:val="yellow"/>
          <w:lang w:val="en-GB"/>
        </w:rPr>
        <w:t xml:space="preserve"> constant digital skills improvement </w:t>
      </w:r>
      <w:r w:rsidRPr="008E1890">
        <w:rPr>
          <w:highlight w:val="yellow"/>
          <w:lang w:val="en-GB"/>
        </w:rPr>
        <w:t xml:space="preserve">and conduct </w:t>
      </w:r>
      <w:r w:rsidRPr="008E1890">
        <w:rPr>
          <w:b/>
          <w:bCs/>
          <w:highlight w:val="yellow"/>
          <w:lang w:val="en-GB"/>
        </w:rPr>
        <w:t>regular training</w:t>
      </w:r>
      <w:r w:rsidRPr="008E1890">
        <w:rPr>
          <w:highlight w:val="yellow"/>
          <w:lang w:val="en-GB"/>
        </w:rPr>
        <w:t xml:space="preserve"> so that the staff will not be left behind and feel competent and confident in their use of new healthcare technologies.</w:t>
      </w:r>
    </w:p>
    <w:p w:rsidR="00143B7C" w:rsidRPr="008E1890" w:rsidRDefault="00B028D0" w:rsidP="00143B7C">
      <w:pPr>
        <w:pStyle w:val="Heading2"/>
        <w:rPr>
          <w:highlight w:val="yellow"/>
          <w:lang w:val="en-GB"/>
        </w:rPr>
      </w:pPr>
      <w:bookmarkStart w:id="6" w:name="_qgqhhzyf4ic0" w:colFirst="0" w:colLast="0"/>
      <w:bookmarkStart w:id="7" w:name="_Toc223706784"/>
      <w:bookmarkEnd w:id="6"/>
      <w:r w:rsidRPr="008E1890">
        <w:rPr>
          <w:highlight w:val="yellow"/>
          <w:lang w:val="en-GB"/>
        </w:rPr>
        <w:t>1.2 Talent Acquisition and Retention</w:t>
      </w:r>
      <w:bookmarkEnd w:id="7"/>
    </w:p>
    <w:p w:rsidR="00143B7C" w:rsidRPr="008E1890" w:rsidRDefault="00B028D0" w:rsidP="00143B7C">
      <w:pPr>
        <w:rPr>
          <w:highlight w:val="yellow"/>
          <w:lang w:val="en-GB"/>
        </w:rPr>
      </w:pPr>
      <w:r w:rsidRPr="008E1890">
        <w:rPr>
          <w:highlight w:val="yellow"/>
          <w:lang w:val="en-GB"/>
        </w:rPr>
        <w:t xml:space="preserve">Talent acquisition and retention remain significant challenges in the UK healthcare industry. Talent acquisition and retention are critical issues in the UK healthcare industry. There is a severe shortage of the workforce in the NHS, and the vacancy rates can be constituted by </w:t>
      </w:r>
      <w:r w:rsidRPr="008E1890">
        <w:rPr>
          <w:highlight w:val="yellow"/>
          <w:lang w:val="en-GB"/>
        </w:rPr>
        <w:lastRenderedPageBreak/>
        <w:t>approximately</w:t>
      </w:r>
      <w:r w:rsidRPr="008E1890">
        <w:rPr>
          <w:b/>
          <w:bCs/>
          <w:highlight w:val="yellow"/>
          <w:lang w:val="en-GB"/>
        </w:rPr>
        <w:t>6.7% of all healthcare workers</w:t>
      </w:r>
      <w:r w:rsidRPr="008E1890">
        <w:rPr>
          <w:highlight w:val="yellow"/>
          <w:lang w:val="en-GB"/>
        </w:rPr>
        <w:t xml:space="preserve"> (NHS, 2026). Nursing shortages occur in many hospitals, and this places an additional burden on the employees. Burnout and turnover are the usual results of excessive workloads and emotional stress factors in the staff of such organisations as Guy's and St Thomas.</w:t>
      </w:r>
    </w:p>
    <w:p w:rsidR="00143B7C" w:rsidRPr="008E1890" w:rsidRDefault="00B028D0" w:rsidP="00143B7C">
      <w:pPr>
        <w:rPr>
          <w:highlight w:val="yellow"/>
          <w:lang w:val="en-GB"/>
        </w:rPr>
      </w:pPr>
      <w:r w:rsidRPr="008E1890">
        <w:rPr>
          <w:highlight w:val="yellow"/>
          <w:lang w:val="en-GB"/>
        </w:rPr>
        <w:t xml:space="preserve">Various reasons determine talent management within healthcare organisations. One, the level of competition in the healthcare field worldwide is high in terms of qualified professionals, mainly nurses and specialised clinicians (Kuhlmann </w:t>
      </w:r>
      <w:r w:rsidRPr="008E1890">
        <w:rPr>
          <w:i/>
          <w:iCs/>
          <w:highlight w:val="yellow"/>
          <w:lang w:val="en-GB"/>
        </w:rPr>
        <w:t>et al.,</w:t>
      </w:r>
      <w:r w:rsidRPr="008E1890">
        <w:rPr>
          <w:highlight w:val="yellow"/>
          <w:lang w:val="en-GB"/>
        </w:rPr>
        <w:t xml:space="preserve"> 2024). Due to the high salary or better working conditions that are available in other countries, a lot of healthcare workers move to other countries. Second, due to the COVID-19 pandemic, the healthcare professionals were under additional stress and workload, which has impacted the retention levels. Thirdly, the specialised medical skills are increasingly demanded in digital health, advanced diagnostics, and specialised surgery. Therefore, to sustain the performance of the workforce, the HR departments must develop the most effective recruitment practises, career management systems, and employee welfare practises.</w:t>
      </w:r>
    </w:p>
    <w:p w:rsidR="00143B7C" w:rsidRPr="008E1890" w:rsidRDefault="00B028D0" w:rsidP="00143B7C">
      <w:pPr>
        <w:pStyle w:val="Heading2"/>
        <w:rPr>
          <w:highlight w:val="yellow"/>
          <w:lang w:val="en-GB"/>
        </w:rPr>
      </w:pPr>
      <w:bookmarkStart w:id="8" w:name="_wsq9et2hkj5m" w:colFirst="0" w:colLast="0"/>
      <w:bookmarkStart w:id="9" w:name="_Toc223706785"/>
      <w:bookmarkEnd w:id="8"/>
      <w:r w:rsidRPr="008E1890">
        <w:rPr>
          <w:highlight w:val="yellow"/>
          <w:lang w:val="en-GB"/>
        </w:rPr>
        <w:t>1.3 Diversity, Equity and Inclusion (DEI)</w:t>
      </w:r>
      <w:bookmarkEnd w:id="9"/>
    </w:p>
    <w:p w:rsidR="00143B7C" w:rsidRPr="008E1890" w:rsidRDefault="00B028D0" w:rsidP="00143B7C">
      <w:pPr>
        <w:rPr>
          <w:highlight w:val="yellow"/>
          <w:lang w:val="en-GB"/>
        </w:rPr>
      </w:pPr>
      <w:r w:rsidRPr="008E1890">
        <w:rPr>
          <w:highlight w:val="yellow"/>
          <w:lang w:val="en-GB"/>
        </w:rPr>
        <w:t xml:space="preserve">Diversity, equity, and inclusion (DEI) are essential in contemporary healthcare organisations.  Most hospitals in London, such as Guy's and St Thomas' NHS, have more than </w:t>
      </w:r>
      <w:r w:rsidRPr="008E1890">
        <w:rPr>
          <w:b/>
          <w:bCs/>
          <w:highlight w:val="yellow"/>
          <w:lang w:val="en-GB"/>
        </w:rPr>
        <w:t>45% ethnically diverse staff</w:t>
      </w:r>
      <w:r w:rsidRPr="008E1890">
        <w:rPr>
          <w:highlight w:val="yellow"/>
          <w:lang w:val="en-GB"/>
        </w:rPr>
        <w:t xml:space="preserve"> (NHS, 2025). Despite this variety, there is still a lack of representation in the top leadership levels, and gender imbalance in the leadership roles still prevails. There are a number of issues that impact DEI in healthcare organisations. These are discrimination in the workplace, inequality in pay, and unequal opportunities to get promoted. This may have a bad impact on the motivation, job satisfaction and organisational commitment of the staff. </w:t>
      </w:r>
    </w:p>
    <w:p w:rsidR="00143B7C" w:rsidRPr="008E1890" w:rsidRDefault="00B028D0" w:rsidP="00143B7C">
      <w:pPr>
        <w:rPr>
          <w:highlight w:val="yellow"/>
          <w:lang w:val="en-GB"/>
        </w:rPr>
      </w:pPr>
      <w:r w:rsidRPr="008E1890">
        <w:rPr>
          <w:highlight w:val="yellow"/>
          <w:lang w:val="en-GB"/>
        </w:rPr>
        <w:t xml:space="preserve">In spite of such difficulties, diversity may imply numerous advantages. A diverse workforce enhances communication and cultural knowledge with patients, making it easier to perform better in terms of healthcare services. It is also able to promote innovation and creativity, because workers would have a variety of views and experiences (Linnéusson </w:t>
      </w:r>
      <w:r w:rsidRPr="008E1890">
        <w:rPr>
          <w:i/>
          <w:iCs/>
          <w:highlight w:val="yellow"/>
          <w:lang w:val="en-GB"/>
        </w:rPr>
        <w:t>et al.</w:t>
      </w:r>
      <w:r w:rsidRPr="008E1890">
        <w:rPr>
          <w:highlight w:val="yellow"/>
          <w:lang w:val="en-GB"/>
        </w:rPr>
        <w:t>, 2022). However, cultural differences can also cause misunderstanding or conflicts if they are not dealt with.  Therefore,  HR should foster a culture of inclusion in the organisation, equality in career and proper recruitment procedures. Proper diversity training and inclusion leadership approaches can help develop a culture of respect in a workplace.</w:t>
      </w:r>
    </w:p>
    <w:p w:rsidR="00143B7C" w:rsidRPr="008E1890" w:rsidRDefault="00B028D0" w:rsidP="00143B7C">
      <w:pPr>
        <w:pStyle w:val="Heading1"/>
        <w:rPr>
          <w:highlight w:val="yellow"/>
          <w:lang w:val="en-GB"/>
        </w:rPr>
      </w:pPr>
      <w:bookmarkStart w:id="10" w:name="_d6lga282ydvg" w:colFirst="0" w:colLast="0"/>
      <w:bookmarkStart w:id="11" w:name="_Toc223706786"/>
      <w:bookmarkEnd w:id="10"/>
      <w:r w:rsidRPr="008E1890">
        <w:rPr>
          <w:highlight w:val="yellow"/>
          <w:lang w:val="en-GB"/>
        </w:rPr>
        <w:t>2. Evaluating different contemporary HR practices</w:t>
      </w:r>
      <w:bookmarkEnd w:id="11"/>
    </w:p>
    <w:p w:rsidR="00143B7C" w:rsidRPr="008E1890" w:rsidRDefault="00B028D0" w:rsidP="00143B7C">
      <w:pPr>
        <w:pStyle w:val="Heading2"/>
        <w:rPr>
          <w:highlight w:val="yellow"/>
          <w:lang w:val="en-GB"/>
        </w:rPr>
      </w:pPr>
      <w:bookmarkStart w:id="12" w:name="_v2elivwojif5" w:colFirst="0" w:colLast="0"/>
      <w:bookmarkStart w:id="13" w:name="_Toc223706787"/>
      <w:bookmarkEnd w:id="12"/>
      <w:r w:rsidRPr="008E1890">
        <w:rPr>
          <w:highlight w:val="yellow"/>
          <w:lang w:val="en-GB"/>
        </w:rPr>
        <w:t>2.1 HR Practices to Address Technological Advancement</w:t>
      </w:r>
      <w:bookmarkEnd w:id="13"/>
    </w:p>
    <w:p w:rsidR="00143B7C" w:rsidRPr="008E1890" w:rsidRDefault="00B028D0" w:rsidP="00143B7C">
      <w:pPr>
        <w:rPr>
          <w:highlight w:val="yellow"/>
          <w:lang w:val="en-GB"/>
        </w:rPr>
      </w:pPr>
      <w:r w:rsidRPr="008E1890">
        <w:rPr>
          <w:highlight w:val="yellow"/>
          <w:lang w:val="en-GB"/>
        </w:rPr>
        <w:t xml:space="preserve">Digital technologies are increasingly becoming significant in healthcare organisations in enhancing service delivery. HR practices in Guy's and St Thomas' NHS Foundation Trust adopt </w:t>
      </w:r>
      <w:r w:rsidRPr="008E1890">
        <w:rPr>
          <w:highlight w:val="yellow"/>
          <w:lang w:val="en-GB"/>
        </w:rPr>
        <w:lastRenderedPageBreak/>
        <w:t xml:space="preserve">several modern HR practises that facilitate technological improvement. Continuous professional development (CPD) programmes are one of them because they assist employees to upgrade their digital skills and accommodate novel healthcare technologies (Merry </w:t>
      </w:r>
      <w:r w:rsidRPr="008E1890">
        <w:rPr>
          <w:i/>
          <w:iCs/>
          <w:highlight w:val="yellow"/>
          <w:lang w:val="en-GB"/>
        </w:rPr>
        <w:t>et al.</w:t>
      </w:r>
      <w:r w:rsidRPr="008E1890">
        <w:rPr>
          <w:highlight w:val="yellow"/>
          <w:lang w:val="en-GB"/>
        </w:rPr>
        <w:t xml:space="preserve">, 2023). Besides that, organisations offer online training and e-learning software, which enables employees to understand how to operate electronic health records and electronic patient management systems. Based on that, it can be stated that the mentioned organisation follows </w:t>
      </w:r>
      <w:r w:rsidRPr="008E1890">
        <w:rPr>
          <w:b/>
          <w:bCs/>
          <w:highlight w:val="yellow"/>
          <w:lang w:val="en-GB"/>
        </w:rPr>
        <w:t>the Learning Organisation Theory</w:t>
      </w:r>
      <w:r w:rsidRPr="008E1890">
        <w:rPr>
          <w:highlight w:val="yellow"/>
          <w:lang w:val="en-GB"/>
        </w:rPr>
        <w:t xml:space="preserve"> to encourage these practises because of its emphasis on constant learning and sharing of knowledge in organisations. </w:t>
      </w:r>
    </w:p>
    <w:p w:rsidR="00143B7C" w:rsidRPr="008E1890" w:rsidRDefault="00B028D0" w:rsidP="00143B7C">
      <w:pPr>
        <w:rPr>
          <w:highlight w:val="yellow"/>
          <w:lang w:val="en-GB"/>
        </w:rPr>
      </w:pPr>
      <w:r w:rsidRPr="008E1890">
        <w:rPr>
          <w:highlight w:val="yellow"/>
          <w:lang w:val="en-GB"/>
        </w:rPr>
        <w:t>On the other hand, Online training packages are quite costly and labour-intensive, particularly when operating a large healthcare facility. Employees can also be resistant to changing the technology, especially when they are not accustomed to the digital system. Therefore,</w:t>
      </w:r>
      <w:r w:rsidRPr="008E1890">
        <w:rPr>
          <w:b/>
          <w:bCs/>
          <w:highlight w:val="yellow"/>
          <w:lang w:val="en-GB"/>
        </w:rPr>
        <w:t xml:space="preserve"> Kotter's Change Management Model </w:t>
      </w:r>
      <w:r w:rsidRPr="008E1890">
        <w:rPr>
          <w:highlight w:val="yellow"/>
          <w:lang w:val="en-GB"/>
        </w:rPr>
        <w:t xml:space="preserve">can be followed to bring the technological changes.  This change management model can enable the staff to adjust to new healthcare technologies (Graves </w:t>
      </w:r>
      <w:r w:rsidRPr="008E1890">
        <w:rPr>
          <w:i/>
          <w:iCs/>
          <w:highlight w:val="yellow"/>
          <w:lang w:val="en-GB"/>
        </w:rPr>
        <w:t>et al.</w:t>
      </w:r>
      <w:r w:rsidRPr="008E1890">
        <w:rPr>
          <w:highlight w:val="yellow"/>
          <w:lang w:val="en-GB"/>
        </w:rPr>
        <w:t xml:space="preserve">, 2023). Thus, HR practices of Guy's and St Thomas' NHS Foundation Trust can address technological advancement. </w:t>
      </w:r>
    </w:p>
    <w:p w:rsidR="00143B7C" w:rsidRPr="008E1890" w:rsidRDefault="00B028D0" w:rsidP="00143B7C">
      <w:pPr>
        <w:pStyle w:val="Heading2"/>
        <w:rPr>
          <w:highlight w:val="yellow"/>
          <w:lang w:val="en-GB"/>
        </w:rPr>
      </w:pPr>
      <w:bookmarkStart w:id="14" w:name="_bp09esrsx0ft" w:colFirst="0" w:colLast="0"/>
      <w:bookmarkStart w:id="15" w:name="_Toc223706788"/>
      <w:bookmarkEnd w:id="14"/>
      <w:r w:rsidRPr="008E1890">
        <w:rPr>
          <w:highlight w:val="yellow"/>
          <w:lang w:val="en-GB"/>
        </w:rPr>
        <w:t>2.2 HR Practices for Talent Acquisition and Retention</w:t>
      </w:r>
      <w:bookmarkEnd w:id="15"/>
    </w:p>
    <w:p w:rsidR="00143B7C" w:rsidRPr="008E1890" w:rsidRDefault="00B028D0" w:rsidP="00143B7C">
      <w:pPr>
        <w:rPr>
          <w:highlight w:val="yellow"/>
          <w:lang w:val="en-GB"/>
        </w:rPr>
      </w:pPr>
      <w:r w:rsidRPr="008E1890">
        <w:rPr>
          <w:highlight w:val="yellow"/>
          <w:lang w:val="en-GB"/>
        </w:rPr>
        <w:t xml:space="preserve">Guy's and St Thomas' NHS Foundation Trust is a popular organisation which follows modern HR practices to overcome workforce shortage and enhance staff dedication.  Moreover, the well-being programmes for the employees are employed to assist in the mental and physical well-being of the medical professionals (NHS, 2025). The development of leadership programmes is another strategy adopted by many healthcare organisations to equip the future leaders and enhance internal career advancement. The HR practises can be discussed in terms of </w:t>
      </w:r>
      <w:r w:rsidRPr="008E1890">
        <w:rPr>
          <w:b/>
          <w:bCs/>
          <w:highlight w:val="yellow"/>
          <w:lang w:val="en-GB"/>
        </w:rPr>
        <w:t>Herzberg's Two-Factor Theory,</w:t>
      </w:r>
      <w:r w:rsidRPr="008E1890">
        <w:rPr>
          <w:highlight w:val="yellow"/>
          <w:lang w:val="en-GB"/>
        </w:rPr>
        <w:t xml:space="preserve"> which reveals that recognition, growth and meaningful work, among other factors, enhance employee satisfaction and motivation at the workplace (Shinde, 2025). The NHS has already made initiatives to improve staff wellbeing and international recruitment programmes to recruit and retain healthcare professionals.</w:t>
      </w:r>
    </w:p>
    <w:p w:rsidR="00143B7C" w:rsidRPr="008E1890" w:rsidRDefault="00B028D0" w:rsidP="00143B7C">
      <w:pPr>
        <w:rPr>
          <w:highlight w:val="yellow"/>
          <w:lang w:val="en-GB"/>
        </w:rPr>
      </w:pPr>
      <w:r w:rsidRPr="008E1890">
        <w:rPr>
          <w:highlight w:val="yellow"/>
          <w:lang w:val="en-GB"/>
        </w:rPr>
        <w:t xml:space="preserve">Another aspect of the </w:t>
      </w:r>
      <w:r w:rsidRPr="008E1890">
        <w:rPr>
          <w:b/>
          <w:bCs/>
          <w:highlight w:val="yellow"/>
          <w:lang w:val="en-GB"/>
        </w:rPr>
        <w:t xml:space="preserve">Strategic HRM Model </w:t>
      </w:r>
      <w:r w:rsidRPr="008E1890">
        <w:rPr>
          <w:highlight w:val="yellow"/>
          <w:lang w:val="en-GB"/>
        </w:rPr>
        <w:t>is that it gives more importance to aligning the HR strategies to organisational objectives to attain sustainable performance (Bamakhrama and Alqarni, 2024). These aspects have several advantages, such as better job satisfaction of the employees, fewer staff turnovers, and a higher rate of organisational commitment. Though implementing wellbeing programmes and flexible working arrangements are costly, this is the primary limitation.</w:t>
      </w:r>
    </w:p>
    <w:p w:rsidR="00143B7C" w:rsidRPr="008E1890" w:rsidRDefault="00B028D0" w:rsidP="00143B7C">
      <w:pPr>
        <w:pStyle w:val="Heading2"/>
        <w:rPr>
          <w:highlight w:val="yellow"/>
          <w:lang w:val="en-GB"/>
        </w:rPr>
      </w:pPr>
      <w:bookmarkStart w:id="16" w:name="_v8gcb5q43wb6" w:colFirst="0" w:colLast="0"/>
      <w:bookmarkStart w:id="17" w:name="_Toc223706789"/>
      <w:bookmarkEnd w:id="16"/>
      <w:r w:rsidRPr="008E1890">
        <w:rPr>
          <w:highlight w:val="yellow"/>
          <w:lang w:val="en-GB"/>
        </w:rPr>
        <w:lastRenderedPageBreak/>
        <w:t>2.3 HR Practices for Diversity, Equity and Inclusion (DEI)</w:t>
      </w:r>
      <w:bookmarkEnd w:id="17"/>
    </w:p>
    <w:p w:rsidR="00143B7C" w:rsidRPr="008E1890" w:rsidRDefault="00B028D0" w:rsidP="00143B7C">
      <w:pPr>
        <w:rPr>
          <w:highlight w:val="yellow"/>
          <w:lang w:val="en-GB"/>
        </w:rPr>
      </w:pPr>
      <w:r w:rsidRPr="008E1890">
        <w:rPr>
          <w:highlight w:val="yellow"/>
          <w:lang w:val="en-GB"/>
        </w:rPr>
        <w:t>The HR departments of Guy's and St Thomas' NHS Foundation Trust have strong HR practices that support inclusive recruitment strategies. Healthcare organisations are implementing diversity training programmes to support cultural differences and reduce discrimination in the workplace (Perrigino and Jenkins, 2023).  The Equity Theory prioritises staff well-being policies and reward systems. The theory improves equity and equality in employment opportunities, which enhances the satisfaction and trust of the employees. Guy's and St Thomas' NHS Foundation Trust encourage diversity and tends to gain a good reputation and increased trust among the population, especially in state-owned hospitals.</w:t>
      </w:r>
    </w:p>
    <w:p w:rsidR="00143B7C" w:rsidRPr="008E1890" w:rsidRDefault="00B028D0" w:rsidP="00143B7C">
      <w:pPr>
        <w:rPr>
          <w:highlight w:val="yellow"/>
          <w:lang w:val="en-GB"/>
        </w:rPr>
      </w:pPr>
      <w:r w:rsidRPr="008E1890">
        <w:rPr>
          <w:highlight w:val="yellow"/>
          <w:lang w:val="en-GB"/>
        </w:rPr>
        <w:t>On the other hand,  diversity training programmes do not always work efficiently to change unconscious bias in employees. Cultural resistance to organisational change may also be displayed by some of the staff as well (Islam et al., 2022). In addition, the effective policy of diversity may be complicated and needs firm leadership within large organisations. As an example, Guy's and St Thomas' NHS Foundation Trust introduced the Workforce Race Equality Standard (WRES) so that equality with respect to race can be tracked and thrived in healthcare organisations.</w:t>
      </w:r>
    </w:p>
    <w:p w:rsidR="00143B7C" w:rsidRPr="008E1890" w:rsidRDefault="00B028D0" w:rsidP="00143B7C">
      <w:pPr>
        <w:pStyle w:val="Heading1"/>
        <w:rPr>
          <w:highlight w:val="yellow"/>
          <w:lang w:val="en-GB"/>
        </w:rPr>
      </w:pPr>
      <w:bookmarkStart w:id="18" w:name="_it6ldskogx2l" w:colFirst="0" w:colLast="0"/>
      <w:bookmarkStart w:id="19" w:name="_Toc223706790"/>
      <w:bookmarkEnd w:id="18"/>
      <w:r w:rsidRPr="008E1890">
        <w:rPr>
          <w:highlight w:val="yellow"/>
          <w:lang w:val="en-GB"/>
        </w:rPr>
        <w:t>3. Critical Evaluation of the Role of Departmental Managers</w:t>
      </w:r>
      <w:bookmarkEnd w:id="19"/>
    </w:p>
    <w:p w:rsidR="00143B7C" w:rsidRPr="008E1890" w:rsidRDefault="00B028D0" w:rsidP="00143B7C">
      <w:pPr>
        <w:pStyle w:val="Heading2"/>
        <w:rPr>
          <w:highlight w:val="yellow"/>
          <w:lang w:val="en-GB"/>
        </w:rPr>
      </w:pPr>
      <w:bookmarkStart w:id="20" w:name="_xv1mc13bq7ys" w:colFirst="0" w:colLast="0"/>
      <w:bookmarkStart w:id="21" w:name="_Toc223706791"/>
      <w:bookmarkEnd w:id="20"/>
      <w:r w:rsidRPr="008E1890">
        <w:rPr>
          <w:highlight w:val="yellow"/>
          <w:lang w:val="en-GB"/>
        </w:rPr>
        <w:t>3.1 Leadership and Change Implementation</w:t>
      </w:r>
      <w:bookmarkEnd w:id="21"/>
    </w:p>
    <w:p w:rsidR="00143B7C" w:rsidRPr="008E1890" w:rsidRDefault="00B028D0" w:rsidP="00143B7C">
      <w:pPr>
        <w:rPr>
          <w:highlight w:val="yellow"/>
          <w:lang w:val="en-GB"/>
        </w:rPr>
      </w:pPr>
      <w:r w:rsidRPr="008E1890">
        <w:rPr>
          <w:highlight w:val="yellow"/>
          <w:lang w:val="en-GB"/>
        </w:rPr>
        <w:t xml:space="preserve">Departmental managers are important in facilitating effective HR practises in healthcare organisations like the Guy's and St Thomas NHS Foundation Trust.  According to </w:t>
      </w:r>
      <w:r w:rsidRPr="008E1890">
        <w:rPr>
          <w:b/>
          <w:bCs/>
          <w:highlight w:val="yellow"/>
          <w:lang w:val="en-GB"/>
        </w:rPr>
        <w:t>Transformational Leadership Theory</w:t>
      </w:r>
      <w:r w:rsidRPr="008E1890">
        <w:rPr>
          <w:highlight w:val="yellow"/>
          <w:lang w:val="en-GB"/>
        </w:rPr>
        <w:t xml:space="preserve">, a leader motivates employees through a vivid vision that motivates them to be innovative in their work (Kludacz-Alessandri </w:t>
      </w:r>
      <w:r w:rsidRPr="008E1890">
        <w:rPr>
          <w:i/>
          <w:iCs/>
          <w:highlight w:val="yellow"/>
          <w:lang w:val="en-GB"/>
        </w:rPr>
        <w:t>et al.</w:t>
      </w:r>
      <w:r w:rsidRPr="008E1890">
        <w:rPr>
          <w:highlight w:val="yellow"/>
          <w:lang w:val="en-GB"/>
        </w:rPr>
        <w:t>, 2025).  The mentioned healthcare organisation may follow this theory to implement contemporary practices as a matter of urgency.  On the contrary, Guy's and St Thomas NHS Foundation Trust may follow</w:t>
      </w:r>
      <w:r w:rsidRPr="008E1890">
        <w:rPr>
          <w:b/>
          <w:bCs/>
          <w:highlight w:val="yellow"/>
          <w:lang w:val="en-GB"/>
        </w:rPr>
        <w:t xml:space="preserve"> Kotter's Change Management Model</w:t>
      </w:r>
      <w:r w:rsidRPr="008E1890">
        <w:rPr>
          <w:highlight w:val="yellow"/>
          <w:lang w:val="en-GB"/>
        </w:rPr>
        <w:t xml:space="preserve"> to bring any change in the HR strategy efficiently. This change management model emphasises the relevance of communication, empowerment, and commitment of leaders to the changes in the course of their implementation (Graves </w:t>
      </w:r>
      <w:r w:rsidRPr="008E1890">
        <w:rPr>
          <w:i/>
          <w:iCs/>
          <w:highlight w:val="yellow"/>
          <w:lang w:val="en-GB"/>
        </w:rPr>
        <w:t>et al.</w:t>
      </w:r>
      <w:r w:rsidRPr="008E1890">
        <w:rPr>
          <w:highlight w:val="yellow"/>
          <w:lang w:val="en-GB"/>
        </w:rPr>
        <w:t>, 2023). Hence, managers need to be good change agents who convey their message assertively, offer encouragement and investor confidence to fasten the HR strategies.</w:t>
      </w:r>
    </w:p>
    <w:p w:rsidR="00143B7C" w:rsidRPr="008E1890" w:rsidRDefault="00B028D0" w:rsidP="00143B7C">
      <w:pPr>
        <w:pStyle w:val="Heading2"/>
        <w:rPr>
          <w:highlight w:val="yellow"/>
          <w:lang w:val="en-GB"/>
        </w:rPr>
      </w:pPr>
      <w:bookmarkStart w:id="22" w:name="_g0w1kr3tt99a" w:colFirst="0" w:colLast="0"/>
      <w:bookmarkStart w:id="23" w:name="_Toc223706792"/>
      <w:bookmarkEnd w:id="22"/>
      <w:r w:rsidRPr="008E1890">
        <w:rPr>
          <w:highlight w:val="yellow"/>
          <w:lang w:val="en-GB"/>
        </w:rPr>
        <w:t>3.2 Monitoring and Performance Management</w:t>
      </w:r>
      <w:bookmarkEnd w:id="23"/>
    </w:p>
    <w:p w:rsidR="00143B7C" w:rsidRPr="008E1890" w:rsidRDefault="00B028D0" w:rsidP="00143B7C">
      <w:pPr>
        <w:rPr>
          <w:highlight w:val="yellow"/>
          <w:lang w:val="en-GB"/>
        </w:rPr>
      </w:pPr>
      <w:r w:rsidRPr="008E1890">
        <w:rPr>
          <w:highlight w:val="yellow"/>
          <w:lang w:val="en-GB"/>
        </w:rPr>
        <w:t xml:space="preserve">The departmental managers also have the obligation to observe whether the HR practises are being effectively implemented in their departments or not. Proper performance management systems assist managers in assessing the performance of their employees as well as making </w:t>
      </w:r>
      <w:r w:rsidRPr="008E1890">
        <w:rPr>
          <w:highlight w:val="yellow"/>
          <w:lang w:val="en-GB"/>
        </w:rPr>
        <w:lastRenderedPageBreak/>
        <w:t xml:space="preserve">sure that the organisational objectives are met (Kosklin </w:t>
      </w:r>
      <w:r w:rsidRPr="008E1890">
        <w:rPr>
          <w:i/>
          <w:iCs/>
          <w:highlight w:val="yellow"/>
          <w:lang w:val="en-GB"/>
        </w:rPr>
        <w:t>et al.,</w:t>
      </w:r>
      <w:r w:rsidRPr="008E1890">
        <w:rPr>
          <w:highlight w:val="yellow"/>
          <w:lang w:val="en-GB"/>
        </w:rPr>
        <w:t xml:space="preserve"> 2022). In organisations like Guy's and St Thomas' NHS Foundation Trust, managers operate within a setting in which they monitor the performance and quality of services of the staff members by using</w:t>
      </w:r>
      <w:r w:rsidRPr="008E1890">
        <w:rPr>
          <w:b/>
          <w:bCs/>
          <w:highlight w:val="yellow"/>
          <w:lang w:val="en-GB"/>
        </w:rPr>
        <w:t xml:space="preserve"> Key Performance Indicators (KPIs)</w:t>
      </w:r>
      <w:r w:rsidRPr="008E1890">
        <w:rPr>
          <w:highlight w:val="yellow"/>
          <w:lang w:val="en-GB"/>
        </w:rPr>
        <w:t>, employee feedback exercises and formal performance appraisal exercises.</w:t>
      </w:r>
    </w:p>
    <w:p w:rsidR="00143B7C" w:rsidRPr="008E1890" w:rsidRDefault="00B028D0" w:rsidP="00143B7C">
      <w:pPr>
        <w:rPr>
          <w:highlight w:val="yellow"/>
          <w:lang w:val="en-GB"/>
        </w:rPr>
      </w:pPr>
      <w:r w:rsidRPr="008E1890">
        <w:rPr>
          <w:b/>
          <w:bCs/>
          <w:highlight w:val="yellow"/>
          <w:lang w:val="en-GB"/>
        </w:rPr>
        <w:t xml:space="preserve">The Balanced Scorecard model </w:t>
      </w:r>
      <w:r w:rsidRPr="008E1890">
        <w:rPr>
          <w:highlight w:val="yellow"/>
          <w:lang w:val="en-GB"/>
        </w:rPr>
        <w:t xml:space="preserve">can be followed to measure the performance of an organisation. Through this method, the managers can align the goals of employees with the general organisational strategies (Betto </w:t>
      </w:r>
      <w:r w:rsidRPr="008E1890">
        <w:rPr>
          <w:i/>
          <w:iCs/>
          <w:highlight w:val="yellow"/>
          <w:lang w:val="en-GB"/>
        </w:rPr>
        <w:t>et al.</w:t>
      </w:r>
      <w:r w:rsidRPr="008E1890">
        <w:rPr>
          <w:highlight w:val="yellow"/>
          <w:lang w:val="en-GB"/>
        </w:rPr>
        <w:t>, 2022). Consequently, managers need to make sure that performance evaluation mechanisms are just, transparent and supportive, as well as fostering employee improvement and constant enhancement.</w:t>
      </w:r>
    </w:p>
    <w:p w:rsidR="00143B7C" w:rsidRPr="008E1890" w:rsidRDefault="00B028D0" w:rsidP="00143B7C">
      <w:pPr>
        <w:pStyle w:val="Heading2"/>
        <w:rPr>
          <w:highlight w:val="yellow"/>
          <w:lang w:val="en-GB"/>
        </w:rPr>
      </w:pPr>
      <w:bookmarkStart w:id="24" w:name="_la13pvah22ea" w:colFirst="0" w:colLast="0"/>
      <w:bookmarkStart w:id="25" w:name="_Toc223706793"/>
      <w:bookmarkEnd w:id="24"/>
      <w:r w:rsidRPr="008E1890">
        <w:rPr>
          <w:highlight w:val="yellow"/>
          <w:lang w:val="en-GB"/>
        </w:rPr>
        <w:t>3.3 Creating an Inclusive and Supportive Work Environment</w:t>
      </w:r>
      <w:bookmarkEnd w:id="25"/>
    </w:p>
    <w:p w:rsidR="00143B7C" w:rsidRPr="008E1890" w:rsidRDefault="00B028D0">
      <w:pPr>
        <w:rPr>
          <w:lang w:val="en-GB"/>
        </w:rPr>
      </w:pPr>
      <w:r w:rsidRPr="008E1890">
        <w:rPr>
          <w:highlight w:val="yellow"/>
          <w:lang w:val="en-GB"/>
        </w:rPr>
        <w:t xml:space="preserve">The departmental managers are also essential in providing inclusive and supportive work environments (Linnéusson </w:t>
      </w:r>
      <w:r w:rsidRPr="008E1890">
        <w:rPr>
          <w:i/>
          <w:iCs/>
          <w:highlight w:val="yellow"/>
          <w:lang w:val="en-GB"/>
        </w:rPr>
        <w:t>et al.</w:t>
      </w:r>
      <w:r w:rsidRPr="008E1890">
        <w:rPr>
          <w:highlight w:val="yellow"/>
          <w:lang w:val="en-GB"/>
        </w:rPr>
        <w:t>, 2022). Managers in different organisations, like Guy's and St Thomas' NHS Foundation Trust, should seek to foster equality, respect and cooperation between employees with various cultural and professional diversities.  Flexible management style and accommodating communication are other ways through which they can contribute to the well-being of employees. However, a few managers might not provide adequate training on diversity management, which would restrain the efficacy of the inclusion initiative. In that case, healthcare organisations need to invest in leadership programmes to support DEI.</w:t>
      </w:r>
    </w:p>
    <w:p w:rsidR="00FE24CE" w:rsidRPr="008E1890" w:rsidRDefault="00B028D0">
      <w:pPr>
        <w:pStyle w:val="Heading1"/>
        <w:rPr>
          <w:lang w:val="en-GB"/>
        </w:rPr>
      </w:pPr>
      <w:bookmarkStart w:id="26" w:name="_2aem66or8e5e" w:colFirst="0" w:colLast="0"/>
      <w:bookmarkStart w:id="27" w:name="_1nt9pieavz5o" w:colFirst="0" w:colLast="0"/>
      <w:bookmarkStart w:id="28" w:name="_Toc223706794"/>
      <w:bookmarkEnd w:id="26"/>
      <w:bookmarkEnd w:id="27"/>
      <w:r w:rsidRPr="008E1890">
        <w:rPr>
          <w:lang w:val="en-GB"/>
        </w:rPr>
        <w:t>4. Conclusion and recommendations</w:t>
      </w:r>
      <w:bookmarkEnd w:id="28"/>
    </w:p>
    <w:p w:rsidR="00FE24CE" w:rsidRPr="008E1890" w:rsidRDefault="00B028D0">
      <w:pPr>
        <w:pStyle w:val="Heading2"/>
        <w:rPr>
          <w:lang w:val="en-GB"/>
        </w:rPr>
      </w:pPr>
      <w:bookmarkStart w:id="29" w:name="_a7v4nuqtc763" w:colFirst="0" w:colLast="0"/>
      <w:bookmarkStart w:id="30" w:name="_Toc223706795"/>
      <w:bookmarkEnd w:id="29"/>
      <w:r w:rsidRPr="008E1890">
        <w:rPr>
          <w:lang w:val="en-GB"/>
        </w:rPr>
        <w:t>4.1 Conclusion</w:t>
      </w:r>
      <w:bookmarkEnd w:id="30"/>
    </w:p>
    <w:p w:rsidR="00FE24CE" w:rsidRPr="008E1890" w:rsidRDefault="00B028D0">
      <w:pPr>
        <w:rPr>
          <w:lang w:val="en-GB"/>
        </w:rPr>
      </w:pPr>
      <w:r w:rsidRPr="008E1890">
        <w:rPr>
          <w:lang w:val="en-GB"/>
        </w:rPr>
        <w:t xml:space="preserve">In summary, it can be stated that the key human resource challenges of </w:t>
      </w:r>
      <w:r w:rsidR="00BE7E48" w:rsidRPr="008E1890">
        <w:rPr>
          <w:lang w:val="en-GB"/>
        </w:rPr>
        <w:t xml:space="preserve">Guy's and St Thomas NHS Foundation Trust </w:t>
      </w:r>
      <w:r w:rsidRPr="008E1890">
        <w:rPr>
          <w:lang w:val="en-GB"/>
        </w:rPr>
        <w:t xml:space="preserve">include technological advancement, the acquisition and retention of talent, and diversity, equity and inclusion. </w:t>
      </w:r>
      <w:r w:rsidRPr="008E1890">
        <w:rPr>
          <w:highlight w:val="yellow"/>
          <w:lang w:val="en-GB"/>
        </w:rPr>
        <w:t xml:space="preserve">Although </w:t>
      </w:r>
      <w:r w:rsidR="00BE7E48" w:rsidRPr="008E1890">
        <w:rPr>
          <w:highlight w:val="yellow"/>
          <w:lang w:val="en-GB"/>
        </w:rPr>
        <w:t xml:space="preserve">this organisation </w:t>
      </w:r>
      <w:r w:rsidRPr="008E1890">
        <w:rPr>
          <w:highlight w:val="yellow"/>
          <w:lang w:val="en-GB"/>
        </w:rPr>
        <w:t>has embraced the current, theory-based HR practices</w:t>
      </w:r>
      <w:r w:rsidR="00BE7E48" w:rsidRPr="008E1890">
        <w:rPr>
          <w:highlight w:val="yellow"/>
          <w:lang w:val="en-GB"/>
        </w:rPr>
        <w:t>. This healthcare organisation can follow HR theories for better employee management</w:t>
      </w:r>
      <w:r w:rsidRPr="008E1890">
        <w:rPr>
          <w:highlight w:val="yellow"/>
          <w:lang w:val="en-GB"/>
        </w:rPr>
        <w:t>.</w:t>
      </w:r>
      <w:r w:rsidRPr="008E1890">
        <w:rPr>
          <w:lang w:val="en-GB"/>
        </w:rPr>
        <w:t xml:space="preserve"> The departmental managers come out as the key to translating the HR strategy into practice, especially in the urgency and accountability drivers. Finally, the future work of organisations is based on enhanced managerial leadership, the introduction of accountability systems and the consistency of HR programmes to workforce ability</w:t>
      </w:r>
      <w:r w:rsidR="00BE7E48" w:rsidRPr="008E1890">
        <w:rPr>
          <w:lang w:val="en-GB"/>
        </w:rPr>
        <w:t xml:space="preserve"> and</w:t>
      </w:r>
      <w:r w:rsidRPr="008E1890">
        <w:rPr>
          <w:lang w:val="en-GB"/>
        </w:rPr>
        <w:t xml:space="preserve"> engagement</w:t>
      </w:r>
      <w:r w:rsidR="00BE7E48" w:rsidRPr="008E1890">
        <w:rPr>
          <w:lang w:val="en-GB"/>
        </w:rPr>
        <w:t>.</w:t>
      </w:r>
    </w:p>
    <w:p w:rsidR="00FE24CE" w:rsidRPr="008E1890" w:rsidRDefault="00B028D0">
      <w:pPr>
        <w:pStyle w:val="Heading2"/>
        <w:rPr>
          <w:lang w:val="en-GB"/>
        </w:rPr>
      </w:pPr>
      <w:bookmarkStart w:id="31" w:name="_vmkvnfk4aru5" w:colFirst="0" w:colLast="0"/>
      <w:bookmarkStart w:id="32" w:name="_Toc223706796"/>
      <w:bookmarkEnd w:id="31"/>
      <w:r w:rsidRPr="008E1890">
        <w:rPr>
          <w:lang w:val="en-GB"/>
        </w:rPr>
        <w:t>4.2 Recommendations</w:t>
      </w:r>
      <w:bookmarkEnd w:id="32"/>
    </w:p>
    <w:p w:rsidR="00FE24CE" w:rsidRPr="008E1890" w:rsidRDefault="00B028D0">
      <w:pPr>
        <w:numPr>
          <w:ilvl w:val="0"/>
          <w:numId w:val="1"/>
        </w:numPr>
        <w:rPr>
          <w:lang w:val="en-GB"/>
        </w:rPr>
      </w:pPr>
      <w:r w:rsidRPr="008E1890">
        <w:rPr>
          <w:lang w:val="en-GB"/>
        </w:rPr>
        <w:t>Making KPIs for people management, such as digital training completion, is part of the performance appraisal of departmental managers to ensure accountability.</w:t>
      </w:r>
    </w:p>
    <w:p w:rsidR="00FE24CE" w:rsidRPr="008E1890" w:rsidRDefault="00B028D0">
      <w:pPr>
        <w:numPr>
          <w:ilvl w:val="0"/>
          <w:numId w:val="1"/>
        </w:numPr>
        <w:rPr>
          <w:lang w:val="en-GB"/>
        </w:rPr>
      </w:pPr>
      <w:r w:rsidRPr="008E1890">
        <w:rPr>
          <w:lang w:val="en-GB"/>
        </w:rPr>
        <w:lastRenderedPageBreak/>
        <w:t>Implementing</w:t>
      </w:r>
      <w:r w:rsidR="001A3692" w:rsidRPr="008E1890">
        <w:rPr>
          <w:lang w:val="en-GB"/>
        </w:rPr>
        <w:t xml:space="preserve"> leadership development is necessary at </w:t>
      </w:r>
      <w:r w:rsidR="001A0682" w:rsidRPr="008E1890">
        <w:rPr>
          <w:lang w:val="en-GB"/>
        </w:rPr>
        <w:t>Guy's and St Thomas NHS Foundation Trust</w:t>
      </w:r>
      <w:r w:rsidR="001A3692" w:rsidRPr="008E1890">
        <w:rPr>
          <w:lang w:val="en-GB"/>
        </w:rPr>
        <w:t xml:space="preserve"> to follow transformational leadership and inclusive leadership behaviour to instil uniformity in HR execution.</w:t>
      </w:r>
    </w:p>
    <w:p w:rsidR="00FE24CE" w:rsidRPr="008E1890" w:rsidRDefault="00B028D0">
      <w:pPr>
        <w:numPr>
          <w:ilvl w:val="0"/>
          <w:numId w:val="1"/>
        </w:numPr>
        <w:rPr>
          <w:lang w:val="en-GB"/>
        </w:rPr>
      </w:pPr>
      <w:r w:rsidRPr="008E1890">
        <w:rPr>
          <w:lang w:val="en-GB"/>
        </w:rPr>
        <w:t>Creating some digital and professional training to invest in the capability gaps and minimise technological change opposition among the workforce.</w:t>
      </w:r>
    </w:p>
    <w:p w:rsidR="00FE24CE" w:rsidRPr="008E1890" w:rsidRDefault="00B028D0">
      <w:pPr>
        <w:numPr>
          <w:ilvl w:val="0"/>
          <w:numId w:val="1"/>
        </w:numPr>
        <w:rPr>
          <w:lang w:val="en-GB"/>
        </w:rPr>
      </w:pPr>
      <w:r w:rsidRPr="008E1890">
        <w:rPr>
          <w:lang w:val="en-GB"/>
        </w:rPr>
        <w:t>Increasing the flexibility of working and promotional decisions so that equity is maintained and trust in the psychological contract is not lost.</w:t>
      </w:r>
    </w:p>
    <w:p w:rsidR="00FE24CE" w:rsidRPr="008E1890" w:rsidRDefault="00B028D0">
      <w:pPr>
        <w:numPr>
          <w:ilvl w:val="0"/>
          <w:numId w:val="1"/>
        </w:numPr>
        <w:rPr>
          <w:lang w:val="en-GB"/>
        </w:rPr>
      </w:pPr>
      <w:r w:rsidRPr="008E1890">
        <w:rPr>
          <w:lang w:val="en-GB"/>
        </w:rPr>
        <w:t>Improving the cooperation of HR and line managers via frequent feedback systems to assist in the effective and timely implementation.</w:t>
      </w:r>
    </w:p>
    <w:tbl>
      <w:tblPr>
        <w:tblStyle w:val="TableGrid"/>
        <w:tblW w:w="9863" w:type="dxa"/>
        <w:tblInd w:w="108" w:type="dxa"/>
        <w:tblLook w:val="04A0"/>
      </w:tblPr>
      <w:tblGrid>
        <w:gridCol w:w="3137"/>
        <w:gridCol w:w="3245"/>
        <w:gridCol w:w="3481"/>
      </w:tblGrid>
      <w:tr w:rsidR="00094F6F" w:rsidTr="005F65E2">
        <w:trPr>
          <w:trHeight w:val="676"/>
        </w:trPr>
        <w:tc>
          <w:tcPr>
            <w:tcW w:w="3137" w:type="dxa"/>
          </w:tcPr>
          <w:p w:rsidR="00094F6F" w:rsidRDefault="00094F6F">
            <w:pPr>
              <w:rPr>
                <w:lang w:val="en-GB"/>
              </w:rPr>
            </w:pPr>
            <w:r>
              <w:rPr>
                <w:lang w:val="en-GB"/>
              </w:rPr>
              <w:t>ISSUES INDEN</w:t>
            </w:r>
            <w:r w:rsidR="00016B69">
              <w:rPr>
                <w:lang w:val="en-GB"/>
              </w:rPr>
              <w:t>TIFED</w:t>
            </w:r>
          </w:p>
        </w:tc>
        <w:tc>
          <w:tcPr>
            <w:tcW w:w="3245" w:type="dxa"/>
          </w:tcPr>
          <w:p w:rsidR="00094F6F" w:rsidRDefault="00016B69">
            <w:pPr>
              <w:rPr>
                <w:lang w:val="en-GB"/>
              </w:rPr>
            </w:pPr>
            <w:r>
              <w:rPr>
                <w:lang w:val="en-GB"/>
              </w:rPr>
              <w:t>HR PRACTICES</w:t>
            </w:r>
          </w:p>
        </w:tc>
        <w:tc>
          <w:tcPr>
            <w:tcW w:w="3481" w:type="dxa"/>
          </w:tcPr>
          <w:p w:rsidR="00094F6F" w:rsidRDefault="00016B69">
            <w:pPr>
              <w:rPr>
                <w:lang w:val="en-GB"/>
              </w:rPr>
            </w:pPr>
            <w:r>
              <w:rPr>
                <w:lang w:val="en-GB"/>
              </w:rPr>
              <w:t>IMPLEMENT</w:t>
            </w:r>
          </w:p>
        </w:tc>
      </w:tr>
      <w:tr w:rsidR="00094F6F" w:rsidTr="005F65E2">
        <w:trPr>
          <w:trHeight w:val="790"/>
        </w:trPr>
        <w:tc>
          <w:tcPr>
            <w:tcW w:w="3137" w:type="dxa"/>
          </w:tcPr>
          <w:p w:rsidR="00094F6F" w:rsidRDefault="008F0546">
            <w:pPr>
              <w:rPr>
                <w:lang w:val="en-GB"/>
              </w:rPr>
            </w:pPr>
            <w:r>
              <w:rPr>
                <w:lang w:val="en-GB"/>
              </w:rPr>
              <w:t>Technology, Online issues</w:t>
            </w:r>
          </w:p>
          <w:p w:rsidR="008F0546" w:rsidRDefault="008F0546">
            <w:pPr>
              <w:rPr>
                <w:lang w:val="en-GB"/>
              </w:rPr>
            </w:pPr>
            <w:r>
              <w:rPr>
                <w:lang w:val="en-GB"/>
              </w:rPr>
              <w:t>Outdated software that leads to slow performance and high maintenance costs.</w:t>
            </w:r>
          </w:p>
          <w:p w:rsidR="00BA37EF" w:rsidRDefault="00BA37EF">
            <w:pPr>
              <w:rPr>
                <w:lang w:val="en-GB"/>
              </w:rPr>
            </w:pPr>
            <w:r>
              <w:rPr>
                <w:lang w:val="en-GB"/>
              </w:rPr>
              <w:t>Threats to data and integrity and privacy.</w:t>
            </w:r>
          </w:p>
        </w:tc>
        <w:tc>
          <w:tcPr>
            <w:tcW w:w="3245" w:type="dxa"/>
          </w:tcPr>
          <w:p w:rsidR="00016B69" w:rsidRDefault="00016B69">
            <w:pPr>
              <w:rPr>
                <w:lang w:val="en-GB"/>
              </w:rPr>
            </w:pPr>
            <w:r>
              <w:rPr>
                <w:lang w:val="en-GB"/>
              </w:rPr>
              <w:t>Talent acquisition and Retention</w:t>
            </w:r>
          </w:p>
          <w:p w:rsidR="00016B69" w:rsidRDefault="00016B69">
            <w:pPr>
              <w:rPr>
                <w:lang w:val="en-GB"/>
              </w:rPr>
            </w:pPr>
            <w:r>
              <w:rPr>
                <w:lang w:val="en-GB"/>
              </w:rPr>
              <w:t>Taking decision-response</w:t>
            </w:r>
          </w:p>
          <w:p w:rsidR="00016B69" w:rsidRDefault="00016B69">
            <w:pPr>
              <w:rPr>
                <w:lang w:val="en-GB"/>
              </w:rPr>
            </w:pPr>
            <w:r>
              <w:rPr>
                <w:lang w:val="en-GB"/>
              </w:rPr>
              <w:t>Taking action</w:t>
            </w:r>
          </w:p>
          <w:p w:rsidR="00016B69" w:rsidRDefault="00016B69">
            <w:pPr>
              <w:rPr>
                <w:lang w:val="en-GB"/>
              </w:rPr>
            </w:pPr>
            <w:r>
              <w:rPr>
                <w:lang w:val="en-GB"/>
              </w:rPr>
              <w:t>A strategic and integrated approach to delivering.</w:t>
            </w:r>
          </w:p>
          <w:p w:rsidR="00016B69" w:rsidRDefault="00016B69">
            <w:pPr>
              <w:rPr>
                <w:lang w:val="en-GB"/>
              </w:rPr>
            </w:pPr>
            <w:r>
              <w:rPr>
                <w:lang w:val="en-GB"/>
              </w:rPr>
              <w:t>Goal to align staff activities with the company’s overall business strategy, fostering a productive high-performance culture.</w:t>
            </w:r>
          </w:p>
        </w:tc>
        <w:tc>
          <w:tcPr>
            <w:tcW w:w="3481" w:type="dxa"/>
          </w:tcPr>
          <w:p w:rsidR="00094F6F" w:rsidRDefault="00016B69">
            <w:pPr>
              <w:rPr>
                <w:lang w:val="en-GB"/>
              </w:rPr>
            </w:pPr>
            <w:r>
              <w:rPr>
                <w:lang w:val="en-GB"/>
              </w:rPr>
              <w:t>Communication Training p</w:t>
            </w:r>
            <w:r w:rsidR="00A0691A">
              <w:rPr>
                <w:lang w:val="en-GB"/>
              </w:rPr>
              <w:t>rogram</w:t>
            </w:r>
            <w:r w:rsidR="00E24215">
              <w:rPr>
                <w:lang w:val="en-GB"/>
              </w:rPr>
              <w:t>s</w:t>
            </w:r>
          </w:p>
          <w:p w:rsidR="00A0691A" w:rsidRDefault="00A0691A" w:rsidP="00A0691A">
            <w:pPr>
              <w:rPr>
                <w:lang w:val="en-GB"/>
              </w:rPr>
            </w:pPr>
            <w:r>
              <w:rPr>
                <w:lang w:val="en-GB"/>
              </w:rPr>
              <w:t>Face to face</w:t>
            </w:r>
          </w:p>
          <w:p w:rsidR="00A0691A" w:rsidRDefault="00A0691A" w:rsidP="00A0691A">
            <w:pPr>
              <w:rPr>
                <w:lang w:val="en-GB"/>
              </w:rPr>
            </w:pPr>
            <w:r>
              <w:rPr>
                <w:lang w:val="en-GB"/>
              </w:rPr>
              <w:t>E learning,   Motivation feedback on performance</w:t>
            </w:r>
          </w:p>
          <w:p w:rsidR="00A0691A" w:rsidRDefault="00A0691A" w:rsidP="00A0691A">
            <w:pPr>
              <w:rPr>
                <w:lang w:val="en-GB"/>
              </w:rPr>
            </w:pPr>
            <w:r>
              <w:rPr>
                <w:lang w:val="en-GB"/>
              </w:rPr>
              <w:t>The potential to deepen knowledge and eventually provide technical leadership.</w:t>
            </w:r>
          </w:p>
          <w:p w:rsidR="00A0691A" w:rsidRDefault="00A0691A" w:rsidP="00A0691A">
            <w:pPr>
              <w:rPr>
                <w:lang w:val="en-GB"/>
              </w:rPr>
            </w:pPr>
            <w:r>
              <w:rPr>
                <w:lang w:val="en-GB"/>
              </w:rPr>
              <w:t>The reward system.</w:t>
            </w:r>
          </w:p>
          <w:p w:rsidR="00A0691A" w:rsidRDefault="00A0691A" w:rsidP="00A0691A">
            <w:pPr>
              <w:rPr>
                <w:lang w:val="en-GB"/>
              </w:rPr>
            </w:pPr>
            <w:r>
              <w:rPr>
                <w:lang w:val="en-GB"/>
              </w:rPr>
              <w:t xml:space="preserve">Action, Money and new products. </w:t>
            </w:r>
          </w:p>
        </w:tc>
      </w:tr>
      <w:tr w:rsidR="00094F6F" w:rsidTr="005F65E2">
        <w:trPr>
          <w:trHeight w:val="486"/>
        </w:trPr>
        <w:tc>
          <w:tcPr>
            <w:tcW w:w="3137" w:type="dxa"/>
          </w:tcPr>
          <w:p w:rsidR="00A0691A" w:rsidRDefault="00A0691A">
            <w:pPr>
              <w:rPr>
                <w:lang w:val="en-GB"/>
              </w:rPr>
            </w:pPr>
            <w:r>
              <w:rPr>
                <w:lang w:val="en-GB"/>
              </w:rPr>
              <w:t>TALENT</w:t>
            </w:r>
          </w:p>
          <w:p w:rsidR="00094F6F" w:rsidRPr="00A0691A" w:rsidRDefault="00094F6F" w:rsidP="00A0691A">
            <w:pPr>
              <w:rPr>
                <w:lang w:val="en-GB"/>
              </w:rPr>
            </w:pPr>
          </w:p>
        </w:tc>
        <w:tc>
          <w:tcPr>
            <w:tcW w:w="3245" w:type="dxa"/>
          </w:tcPr>
          <w:p w:rsidR="00E24215" w:rsidRPr="0054774D" w:rsidRDefault="005F65E2">
            <w:pPr>
              <w:rPr>
                <w:lang w:val="en-GB"/>
              </w:rPr>
            </w:pPr>
            <w:r>
              <w:rPr>
                <w:lang w:val="en-GB"/>
              </w:rPr>
              <w:t>DEI</w:t>
            </w:r>
          </w:p>
        </w:tc>
        <w:tc>
          <w:tcPr>
            <w:tcW w:w="3481" w:type="dxa"/>
          </w:tcPr>
          <w:p w:rsidR="00094F6F" w:rsidRDefault="00094F6F">
            <w:pPr>
              <w:rPr>
                <w:lang w:val="en-GB"/>
              </w:rPr>
            </w:pPr>
          </w:p>
        </w:tc>
      </w:tr>
      <w:tr w:rsidR="00094F6F" w:rsidTr="005F65E2">
        <w:trPr>
          <w:trHeight w:val="823"/>
        </w:trPr>
        <w:tc>
          <w:tcPr>
            <w:tcW w:w="3137" w:type="dxa"/>
          </w:tcPr>
          <w:p w:rsidR="00094F6F" w:rsidRDefault="0054774D">
            <w:pPr>
              <w:rPr>
                <w:lang w:val="en-GB"/>
              </w:rPr>
            </w:pPr>
            <w:r>
              <w:rPr>
                <w:lang w:val="en-GB"/>
              </w:rPr>
              <w:t>New skill needed</w:t>
            </w:r>
          </w:p>
          <w:p w:rsidR="0054774D" w:rsidRDefault="0054774D">
            <w:pPr>
              <w:rPr>
                <w:lang w:val="en-GB"/>
              </w:rPr>
            </w:pPr>
            <w:r>
              <w:rPr>
                <w:lang w:val="en-GB"/>
              </w:rPr>
              <w:t>Development of leadership programmes</w:t>
            </w:r>
          </w:p>
        </w:tc>
        <w:tc>
          <w:tcPr>
            <w:tcW w:w="3245" w:type="dxa"/>
          </w:tcPr>
          <w:p w:rsidR="00094F6F" w:rsidRDefault="00B028D0">
            <w:pPr>
              <w:rPr>
                <w:lang w:val="en-GB"/>
              </w:rPr>
            </w:pPr>
            <w:r>
              <w:rPr>
                <w:lang w:val="en-GB"/>
              </w:rPr>
              <w:t>Implementing diversity training programs to support cultural differences to reduce discrimination in the work place</w:t>
            </w:r>
          </w:p>
          <w:p w:rsidR="00B028D0" w:rsidRDefault="00B028D0">
            <w:pPr>
              <w:rPr>
                <w:lang w:val="en-GB"/>
              </w:rPr>
            </w:pPr>
            <w:r>
              <w:rPr>
                <w:lang w:val="en-GB"/>
              </w:rPr>
              <w:t>The theory improves equity and equality in employment opportunities</w:t>
            </w:r>
          </w:p>
        </w:tc>
        <w:tc>
          <w:tcPr>
            <w:tcW w:w="3481" w:type="dxa"/>
          </w:tcPr>
          <w:p w:rsidR="00094F6F" w:rsidRDefault="00094F6F">
            <w:pPr>
              <w:rPr>
                <w:lang w:val="en-GB"/>
              </w:rPr>
            </w:pPr>
          </w:p>
        </w:tc>
      </w:tr>
      <w:tr w:rsidR="00094F6F" w:rsidTr="005F65E2">
        <w:trPr>
          <w:trHeight w:val="790"/>
        </w:trPr>
        <w:tc>
          <w:tcPr>
            <w:tcW w:w="3137" w:type="dxa"/>
          </w:tcPr>
          <w:p w:rsidR="00094F6F" w:rsidRDefault="00094F6F">
            <w:pPr>
              <w:rPr>
                <w:lang w:val="en-GB"/>
              </w:rPr>
            </w:pPr>
          </w:p>
        </w:tc>
        <w:tc>
          <w:tcPr>
            <w:tcW w:w="3245" w:type="dxa"/>
          </w:tcPr>
          <w:p w:rsidR="00094F6F" w:rsidRDefault="00094F6F">
            <w:pPr>
              <w:rPr>
                <w:lang w:val="en-GB"/>
              </w:rPr>
            </w:pPr>
          </w:p>
        </w:tc>
        <w:tc>
          <w:tcPr>
            <w:tcW w:w="3481" w:type="dxa"/>
          </w:tcPr>
          <w:p w:rsidR="00094F6F" w:rsidRDefault="00094F6F">
            <w:pPr>
              <w:rPr>
                <w:lang w:val="en-GB"/>
              </w:rPr>
            </w:pPr>
          </w:p>
        </w:tc>
      </w:tr>
    </w:tbl>
    <w:p w:rsidR="00FE24CE" w:rsidRPr="008E1890" w:rsidRDefault="00B028D0">
      <w:pPr>
        <w:rPr>
          <w:lang w:val="en-GB"/>
        </w:rPr>
      </w:pPr>
      <w:r w:rsidRPr="008E1890">
        <w:rPr>
          <w:lang w:val="en-GB"/>
        </w:rPr>
        <w:br w:type="page"/>
      </w:r>
    </w:p>
    <w:p w:rsidR="00FE24CE" w:rsidRPr="008E1890" w:rsidRDefault="00B028D0">
      <w:pPr>
        <w:pStyle w:val="Heading1"/>
        <w:rPr>
          <w:lang w:val="en-GB"/>
        </w:rPr>
      </w:pPr>
      <w:bookmarkStart w:id="33" w:name="_tskt5vko67rl" w:colFirst="0" w:colLast="0"/>
      <w:bookmarkStart w:id="34" w:name="_Toc223706797"/>
      <w:bookmarkEnd w:id="33"/>
      <w:r w:rsidRPr="008E1890">
        <w:rPr>
          <w:lang w:val="en-GB"/>
        </w:rPr>
        <w:lastRenderedPageBreak/>
        <w:t>Reference list</w:t>
      </w:r>
      <w:bookmarkEnd w:id="34"/>
    </w:p>
    <w:p w:rsidR="00BC127D" w:rsidRPr="008E1890" w:rsidRDefault="00B028D0" w:rsidP="00BC127D">
      <w:pPr>
        <w:spacing w:before="240"/>
        <w:rPr>
          <w:highlight w:val="yellow"/>
          <w:lang w:val="en-GB"/>
        </w:rPr>
      </w:pPr>
      <w:r w:rsidRPr="008E1890">
        <w:rPr>
          <w:highlight w:val="yellow"/>
          <w:lang w:val="en-GB"/>
        </w:rPr>
        <w:t xml:space="preserve">Bamakhrama, A.A.S. and Alqarni, A.M.S. (2024) ‘The Impact of Strategic Human Resource Management on Healthcare Service Delivery Efficiency’, </w:t>
      </w:r>
      <w:r w:rsidRPr="008E1890">
        <w:rPr>
          <w:i/>
          <w:iCs/>
          <w:highlight w:val="yellow"/>
          <w:lang w:val="en-GB"/>
        </w:rPr>
        <w:t>Saudi Journal of Nursing and Health Care</w:t>
      </w:r>
      <w:r w:rsidRPr="008E1890">
        <w:rPr>
          <w:highlight w:val="yellow"/>
          <w:lang w:val="en-GB"/>
        </w:rPr>
        <w:t>, 7(12), pp. 390–394. Available at: https://doi.org/10.36348/sjnhc.2024.v07i12.007.</w:t>
      </w:r>
    </w:p>
    <w:p w:rsidR="00BC127D" w:rsidRPr="008E1890" w:rsidRDefault="00B028D0" w:rsidP="00BC127D">
      <w:pPr>
        <w:spacing w:before="240"/>
        <w:rPr>
          <w:highlight w:val="yellow"/>
          <w:lang w:val="en-GB"/>
        </w:rPr>
      </w:pPr>
      <w:r w:rsidRPr="008E1890">
        <w:rPr>
          <w:highlight w:val="yellow"/>
          <w:lang w:val="en-GB"/>
        </w:rPr>
        <w:t xml:space="preserve">Betto, F., Sardi, A., Garengo, P. and Sorano, E. (2022) ‘The evolution of balanced scorecard in healthcare: a systematic review of its design, implementation, use, and review’, </w:t>
      </w:r>
      <w:r w:rsidRPr="008E1890">
        <w:rPr>
          <w:i/>
          <w:iCs/>
          <w:highlight w:val="yellow"/>
          <w:lang w:val="en-GB"/>
        </w:rPr>
        <w:t>International Journal of Environmental Research and Public Health</w:t>
      </w:r>
      <w:r w:rsidRPr="008E1890">
        <w:rPr>
          <w:highlight w:val="yellow"/>
          <w:lang w:val="en-GB"/>
        </w:rPr>
        <w:t>, 19(16), pp. 102–919. Available at: https://doi.org/10.3390/ijerph191610291.</w:t>
      </w:r>
    </w:p>
    <w:p w:rsidR="00BC127D" w:rsidRPr="008E1890" w:rsidRDefault="00B028D0" w:rsidP="00BC127D">
      <w:pPr>
        <w:spacing w:before="240"/>
        <w:rPr>
          <w:highlight w:val="yellow"/>
          <w:lang w:val="en-GB"/>
        </w:rPr>
      </w:pPr>
      <w:r w:rsidRPr="008E1890">
        <w:rPr>
          <w:highlight w:val="yellow"/>
          <w:lang w:val="en-GB"/>
        </w:rPr>
        <w:t xml:space="preserve">Graves, L., Dalgarno, N., Hoorn, R.V., Truelove, A.H., Mulder, J., Kolomitro, K., Kirby, F. and Wylick, R. van (2023) ‘Creating change: Kotter’s change management model in action’, </w:t>
      </w:r>
      <w:r w:rsidRPr="008E1890">
        <w:rPr>
          <w:i/>
          <w:iCs/>
          <w:highlight w:val="yellow"/>
          <w:lang w:val="en-GB"/>
        </w:rPr>
        <w:t>Canadian Medical Education Journal</w:t>
      </w:r>
      <w:r w:rsidRPr="008E1890">
        <w:rPr>
          <w:highlight w:val="yellow"/>
          <w:lang w:val="en-GB"/>
        </w:rPr>
        <w:t>, 14(3), pp. 34–76. Available at: https://doi.org/10.36834/cmej.76680.</w:t>
      </w:r>
    </w:p>
    <w:p w:rsidR="00BC127D" w:rsidRPr="008E1890" w:rsidRDefault="00B028D0" w:rsidP="00BC127D">
      <w:pPr>
        <w:spacing w:before="240"/>
        <w:rPr>
          <w:highlight w:val="yellow"/>
          <w:lang w:val="en-GB"/>
        </w:rPr>
      </w:pPr>
      <w:r w:rsidRPr="008E1890">
        <w:rPr>
          <w:highlight w:val="yellow"/>
          <w:lang w:val="en-GB"/>
        </w:rPr>
        <w:t xml:space="preserve">Gupta, A.D. (2022) ‘Adoption of Digital Healthcare with the Concept of the Patient as an Organisation’, </w:t>
      </w:r>
      <w:r w:rsidRPr="008E1890">
        <w:rPr>
          <w:i/>
          <w:iCs/>
          <w:highlight w:val="yellow"/>
          <w:lang w:val="en-GB"/>
        </w:rPr>
        <w:t>Research Square (Research Square)</w:t>
      </w:r>
      <w:r w:rsidRPr="008E1890">
        <w:rPr>
          <w:highlight w:val="yellow"/>
          <w:lang w:val="en-GB"/>
        </w:rPr>
        <w:t>, 29(2), pp. 1–15. Available at: https://doi.org/10.21203/rs.3.rs-1712476/v1.</w:t>
      </w:r>
    </w:p>
    <w:p w:rsidR="00BC127D" w:rsidRPr="008E1890" w:rsidRDefault="00B028D0" w:rsidP="00BC127D">
      <w:pPr>
        <w:spacing w:before="240"/>
        <w:rPr>
          <w:highlight w:val="yellow"/>
          <w:lang w:val="en-GB"/>
        </w:rPr>
      </w:pPr>
      <w:r w:rsidRPr="008E1890">
        <w:rPr>
          <w:highlight w:val="yellow"/>
          <w:lang w:val="en-GB"/>
        </w:rPr>
        <w:t xml:space="preserve">Islam, R., French, E. and Ali, M. (2022) 'Evaluating board diversity and its importance in the environmental and social performance of organisations', </w:t>
      </w:r>
      <w:r w:rsidRPr="008E1890">
        <w:rPr>
          <w:i/>
          <w:iCs/>
          <w:highlight w:val="yellow"/>
          <w:lang w:val="en-GB"/>
        </w:rPr>
        <w:t>Corporate Social Responsibility and Environmental Management</w:t>
      </w:r>
      <w:r w:rsidRPr="008E1890">
        <w:rPr>
          <w:highlight w:val="yellow"/>
          <w:lang w:val="en-GB"/>
        </w:rPr>
        <w:t>, 29(5), pp. 1134–1145. Available at: https://doi.org/10.1002/csr.2259.</w:t>
      </w:r>
    </w:p>
    <w:p w:rsidR="00BC127D" w:rsidRPr="008E1890" w:rsidRDefault="00B028D0" w:rsidP="00BC127D">
      <w:pPr>
        <w:spacing w:before="240"/>
        <w:rPr>
          <w:highlight w:val="yellow"/>
          <w:lang w:val="en-GB"/>
        </w:rPr>
      </w:pPr>
      <w:r w:rsidRPr="008E1890">
        <w:rPr>
          <w:highlight w:val="yellow"/>
          <w:lang w:val="en-GB"/>
        </w:rPr>
        <w:t xml:space="preserve">Kludacz-Alessandri, M., Hawrysz, L., Żak, K. and Zhang, W. (2025) ‘The impact of digital transformational leadership on digital intensity among primary healthcare entities: a moderated mediation model’, </w:t>
      </w:r>
      <w:r w:rsidRPr="008E1890">
        <w:rPr>
          <w:i/>
          <w:iCs/>
          <w:highlight w:val="yellow"/>
          <w:lang w:val="en-GB"/>
        </w:rPr>
        <w:t>BMC Health Services Research</w:t>
      </w:r>
      <w:r w:rsidRPr="008E1890">
        <w:rPr>
          <w:highlight w:val="yellow"/>
          <w:lang w:val="en-GB"/>
        </w:rPr>
        <w:t>, 25(1), pp. 117–345. Available at: https://doi.org/10.1186/s12913-025-12283-x.</w:t>
      </w:r>
    </w:p>
    <w:p w:rsidR="00BC127D" w:rsidRPr="008E1890" w:rsidRDefault="00B028D0" w:rsidP="00BC127D">
      <w:pPr>
        <w:spacing w:before="240"/>
        <w:rPr>
          <w:highlight w:val="yellow"/>
          <w:lang w:val="en-GB"/>
        </w:rPr>
      </w:pPr>
      <w:r w:rsidRPr="008E1890">
        <w:rPr>
          <w:highlight w:val="yellow"/>
          <w:lang w:val="en-GB"/>
        </w:rPr>
        <w:t xml:space="preserve">Kosklin, R., Lammintakanen, J. and Kivinen, T. (2022) ‘Knowledge management effects and performance in health care: A systematic literature review’, </w:t>
      </w:r>
      <w:r w:rsidRPr="008E1890">
        <w:rPr>
          <w:i/>
          <w:iCs/>
          <w:highlight w:val="yellow"/>
          <w:lang w:val="en-GB"/>
        </w:rPr>
        <w:t>Knowledge Management Research &amp; Practice</w:t>
      </w:r>
      <w:r w:rsidRPr="008E1890">
        <w:rPr>
          <w:highlight w:val="yellow"/>
          <w:lang w:val="en-GB"/>
        </w:rPr>
        <w:t>, 21(4), pp. 1–11. Available at: https://doi.org/10.1080/14778238.2022.2032434.</w:t>
      </w:r>
    </w:p>
    <w:p w:rsidR="00BC127D" w:rsidRPr="008E1890" w:rsidRDefault="00B028D0" w:rsidP="00BC127D">
      <w:pPr>
        <w:spacing w:before="240"/>
        <w:rPr>
          <w:highlight w:val="yellow"/>
          <w:lang w:val="en-GB"/>
        </w:rPr>
      </w:pPr>
      <w:r w:rsidRPr="008E1890">
        <w:rPr>
          <w:highlight w:val="yellow"/>
          <w:lang w:val="en-GB"/>
        </w:rPr>
        <w:t xml:space="preserve">Kuhlmann, E., Lotta, G., Dussault, G., Falkenbach, M. and Correia, T. (2024) ‘The workforce crisis in healthcare: Moving the debate to bridge evidence and policy’, </w:t>
      </w:r>
      <w:r w:rsidRPr="008E1890">
        <w:rPr>
          <w:i/>
          <w:iCs/>
          <w:highlight w:val="yellow"/>
          <w:lang w:val="en-GB"/>
        </w:rPr>
        <w:t xml:space="preserve">˜The œInternational </w:t>
      </w:r>
      <w:r w:rsidRPr="008E1890">
        <w:rPr>
          <w:i/>
          <w:iCs/>
          <w:highlight w:val="yellow"/>
          <w:lang w:val="en-GB"/>
        </w:rPr>
        <w:lastRenderedPageBreak/>
        <w:t>Journal of Health Planning and Management</w:t>
      </w:r>
      <w:r w:rsidRPr="008E1890">
        <w:rPr>
          <w:highlight w:val="yellow"/>
          <w:lang w:val="en-GB"/>
        </w:rPr>
        <w:t>, 39(3), pp. 428–440. Available at: https://doi.org/10.1002/hpm.3792.</w:t>
      </w:r>
    </w:p>
    <w:p w:rsidR="00BC127D" w:rsidRPr="008E1890" w:rsidRDefault="00B028D0" w:rsidP="00BC127D">
      <w:pPr>
        <w:spacing w:before="240"/>
        <w:rPr>
          <w:highlight w:val="yellow"/>
          <w:lang w:val="en-GB"/>
        </w:rPr>
      </w:pPr>
      <w:r w:rsidRPr="008E1890">
        <w:rPr>
          <w:highlight w:val="yellow"/>
          <w:lang w:val="en-GB"/>
        </w:rPr>
        <w:t xml:space="preserve">Linnéusson, G., Andersson, T., Kjellsdotter, A. and Holmén, M. (2022) ‘Using systems thinking to increase understanding of the innovation system of healthcare organisations’, </w:t>
      </w:r>
      <w:r w:rsidRPr="008E1890">
        <w:rPr>
          <w:i/>
          <w:iCs/>
          <w:highlight w:val="yellow"/>
          <w:lang w:val="en-GB"/>
        </w:rPr>
        <w:t>Journal of Health Organisation and Management</w:t>
      </w:r>
      <w:r w:rsidRPr="008E1890">
        <w:rPr>
          <w:highlight w:val="yellow"/>
          <w:lang w:val="en-GB"/>
        </w:rPr>
        <w:t>, 36(9), pp. 179–195. Available at: https://doi.org/10.1108/jhom-01-2022-0004.</w:t>
      </w:r>
    </w:p>
    <w:p w:rsidR="00BC127D" w:rsidRPr="008E1890" w:rsidRDefault="00B028D0" w:rsidP="00BC127D">
      <w:pPr>
        <w:spacing w:before="240"/>
        <w:rPr>
          <w:highlight w:val="yellow"/>
          <w:lang w:val="en-GB"/>
        </w:rPr>
      </w:pPr>
      <w:r w:rsidRPr="008E1890">
        <w:rPr>
          <w:highlight w:val="yellow"/>
          <w:lang w:val="en-GB"/>
        </w:rPr>
        <w:t xml:space="preserve">Merry, L., Castiglione, S.A., Rouleau, G., Létourneau, D., Larue, C., Deschênes, M.-F., Gonsalves, D.M. and Ahmed, L. (2023) ‘Continuing professional development (CPD) system development, implementation, evaluation and sustainability for healthcare professionals in low- and lower-middle-income countries: a rapid scoping review’, </w:t>
      </w:r>
      <w:r w:rsidRPr="008E1890">
        <w:rPr>
          <w:i/>
          <w:iCs/>
          <w:highlight w:val="yellow"/>
          <w:lang w:val="en-GB"/>
        </w:rPr>
        <w:t>BMC medical education</w:t>
      </w:r>
      <w:r w:rsidRPr="008E1890">
        <w:rPr>
          <w:highlight w:val="yellow"/>
          <w:lang w:val="en-GB"/>
        </w:rPr>
        <w:t>, 23(1), pp. 1–7. Available at: https://doi.org/10.1186/s12909-023-04427-6.</w:t>
      </w:r>
    </w:p>
    <w:p w:rsidR="00BC127D" w:rsidRPr="008E1890" w:rsidRDefault="00B028D0" w:rsidP="00BC127D">
      <w:pPr>
        <w:spacing w:before="240"/>
        <w:rPr>
          <w:highlight w:val="yellow"/>
          <w:lang w:val="en-GB"/>
        </w:rPr>
      </w:pPr>
      <w:r w:rsidRPr="008E1890">
        <w:rPr>
          <w:highlight w:val="yellow"/>
          <w:lang w:val="en-GB"/>
        </w:rPr>
        <w:t xml:space="preserve">NHS (2025) </w:t>
      </w:r>
      <w:r w:rsidRPr="008E1890">
        <w:rPr>
          <w:i/>
          <w:iCs/>
          <w:highlight w:val="yellow"/>
          <w:lang w:val="en-GB"/>
        </w:rPr>
        <w:t>Home</w:t>
      </w:r>
      <w:r w:rsidRPr="008E1890">
        <w:rPr>
          <w:highlight w:val="yellow"/>
          <w:lang w:val="en-GB"/>
        </w:rPr>
        <w:t xml:space="preserve">, </w:t>
      </w:r>
      <w:r w:rsidRPr="008E1890">
        <w:rPr>
          <w:i/>
          <w:iCs/>
          <w:highlight w:val="yellow"/>
          <w:lang w:val="en-GB"/>
        </w:rPr>
        <w:t>Guy’s and St Thomas’ NHS Foundation Trust</w:t>
      </w:r>
      <w:r w:rsidRPr="008E1890">
        <w:rPr>
          <w:highlight w:val="yellow"/>
          <w:lang w:val="en-GB"/>
        </w:rPr>
        <w:t>. Available at: https://www.guysandstthomas.nhs.uk/ (Accessed: 6 March 2026).</w:t>
      </w:r>
    </w:p>
    <w:p w:rsidR="00BC127D" w:rsidRPr="008E1890" w:rsidRDefault="00B028D0" w:rsidP="00BC127D">
      <w:pPr>
        <w:spacing w:before="240"/>
        <w:rPr>
          <w:highlight w:val="yellow"/>
          <w:lang w:val="en-GB"/>
        </w:rPr>
      </w:pPr>
      <w:r w:rsidRPr="008E1890">
        <w:rPr>
          <w:highlight w:val="yellow"/>
          <w:lang w:val="en-GB"/>
        </w:rPr>
        <w:t xml:space="preserve">NHS (2026) </w:t>
      </w:r>
      <w:r w:rsidRPr="008E1890">
        <w:rPr>
          <w:i/>
          <w:iCs/>
          <w:highlight w:val="yellow"/>
          <w:lang w:val="en-GB"/>
        </w:rPr>
        <w:t>NHS Digital workforce statistics – November 2025</w:t>
      </w:r>
      <w:r w:rsidRPr="008E1890">
        <w:rPr>
          <w:highlight w:val="yellow"/>
          <w:lang w:val="en-GB"/>
        </w:rPr>
        <w:t xml:space="preserve">, </w:t>
      </w:r>
      <w:r w:rsidRPr="008E1890">
        <w:rPr>
          <w:i/>
          <w:iCs/>
          <w:highlight w:val="yellow"/>
          <w:lang w:val="en-GB"/>
        </w:rPr>
        <w:t>Nhsproviders.org</w:t>
      </w:r>
      <w:r w:rsidRPr="008E1890">
        <w:rPr>
          <w:highlight w:val="yellow"/>
          <w:lang w:val="en-GB"/>
        </w:rPr>
        <w:t>. Available at: https://nhsproviders.org/resources/nhs-digital-workforce-statistics-november-2025 (Accessed: 6 March 2026).</w:t>
      </w:r>
    </w:p>
    <w:p w:rsidR="00BC127D" w:rsidRPr="008E1890" w:rsidRDefault="00B028D0" w:rsidP="00BC127D">
      <w:pPr>
        <w:spacing w:before="240"/>
        <w:rPr>
          <w:highlight w:val="yellow"/>
          <w:lang w:val="en-GB"/>
        </w:rPr>
      </w:pPr>
      <w:r w:rsidRPr="008E1890">
        <w:rPr>
          <w:highlight w:val="yellow"/>
          <w:lang w:val="en-GB"/>
        </w:rPr>
        <w:t xml:space="preserve">Perrigino, M.B. and Jenkins, M. (2023) ‘Unlocking the benefits of diversity among healthcare workforces: a holistic view’, </w:t>
      </w:r>
      <w:r w:rsidRPr="008E1890">
        <w:rPr>
          <w:i/>
          <w:iCs/>
          <w:highlight w:val="yellow"/>
          <w:lang w:val="en-GB"/>
        </w:rPr>
        <w:t>Journal of Health Organisation and Management</w:t>
      </w:r>
      <w:r w:rsidRPr="008E1890">
        <w:rPr>
          <w:highlight w:val="yellow"/>
          <w:lang w:val="en-GB"/>
        </w:rPr>
        <w:t>, 37(2), pp. 177–193. Available at: https://doi.org/10.1108/jhom-06-2022-0163.</w:t>
      </w:r>
    </w:p>
    <w:p w:rsidR="00BC127D" w:rsidRPr="008E1890" w:rsidRDefault="00B028D0" w:rsidP="00BC127D">
      <w:pPr>
        <w:spacing w:before="240"/>
        <w:rPr>
          <w:highlight w:val="yellow"/>
          <w:lang w:val="en-GB"/>
        </w:rPr>
      </w:pPr>
      <w:r w:rsidRPr="008E1890">
        <w:rPr>
          <w:highlight w:val="yellow"/>
          <w:lang w:val="en-GB"/>
        </w:rPr>
        <w:t xml:space="preserve">Shinde, S. (2025) ‘Motivators and Hygiene Factors in Employee Retention: Insights from Herzberg Theory’, </w:t>
      </w:r>
      <w:r w:rsidRPr="008E1890">
        <w:rPr>
          <w:i/>
          <w:iCs/>
          <w:highlight w:val="yellow"/>
          <w:lang w:val="en-GB"/>
        </w:rPr>
        <w:t>RESEARCH HUB International Multidisciplinary Research Journal</w:t>
      </w:r>
      <w:r w:rsidRPr="008E1890">
        <w:rPr>
          <w:highlight w:val="yellow"/>
          <w:lang w:val="en-GB"/>
        </w:rPr>
        <w:t>, 12(5), pp. 106–114. Available at: https://doi.org/10.53573/rhimrj.2025.v12n5.013.</w:t>
      </w:r>
    </w:p>
    <w:p w:rsidR="00BC127D" w:rsidRPr="008E1890" w:rsidRDefault="00B028D0" w:rsidP="00BC127D">
      <w:pPr>
        <w:spacing w:before="240"/>
        <w:rPr>
          <w:lang w:val="en-GB"/>
        </w:rPr>
      </w:pPr>
      <w:r w:rsidRPr="008E1890">
        <w:rPr>
          <w:highlight w:val="yellow"/>
          <w:lang w:val="en-GB"/>
        </w:rPr>
        <w:t xml:space="preserve">Whinnett, J. (2026) </w:t>
      </w:r>
      <w:r w:rsidRPr="008E1890">
        <w:rPr>
          <w:i/>
          <w:iCs/>
          <w:highlight w:val="yellow"/>
          <w:lang w:val="en-GB"/>
        </w:rPr>
        <w:t>Guy’s and St Thomas’ NHS Foundation Trust</w:t>
      </w:r>
      <w:r w:rsidRPr="008E1890">
        <w:rPr>
          <w:highlight w:val="yellow"/>
          <w:lang w:val="en-GB"/>
        </w:rPr>
        <w:t xml:space="preserve">, </w:t>
      </w:r>
      <w:r w:rsidRPr="008E1890">
        <w:rPr>
          <w:i/>
          <w:iCs/>
          <w:highlight w:val="yellow"/>
          <w:lang w:val="en-GB"/>
        </w:rPr>
        <w:t>Europeanhealthcaredesign.eu</w:t>
      </w:r>
      <w:r w:rsidRPr="008E1890">
        <w:rPr>
          <w:highlight w:val="yellow"/>
          <w:lang w:val="en-GB"/>
        </w:rPr>
        <w:t>. Available at: https://www.europeanhealthcaredesign.eu/organisation/guys-and-st-thomas-nhs-foundation-trust (Accessed: 6 March 2026).</w:t>
      </w:r>
    </w:p>
    <w:p w:rsidR="00FE24CE" w:rsidRPr="008E1890" w:rsidRDefault="00FE24CE">
      <w:pPr>
        <w:rPr>
          <w:lang w:val="en-GB"/>
        </w:rPr>
      </w:pPr>
    </w:p>
    <w:p w:rsidR="005F65E2" w:rsidRPr="008E1890" w:rsidRDefault="005F65E2">
      <w:pPr>
        <w:rPr>
          <w:lang w:val="en-GB"/>
        </w:rPr>
      </w:pPr>
    </w:p>
    <w:sectPr w:rsidR="005F65E2" w:rsidRPr="008E1890" w:rsidSect="00C26314">
      <w:footerReference w:type="default" r:id="rId9"/>
      <w:pgSz w:w="12240" w:h="15840"/>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65BA2" w:rsidRDefault="00665BA2">
      <w:pPr>
        <w:spacing w:line="240" w:lineRule="auto"/>
      </w:pPr>
      <w:r>
        <w:separator/>
      </w:r>
    </w:p>
  </w:endnote>
  <w:endnote w:type="continuationSeparator" w:id="1">
    <w:p w:rsidR="00665BA2" w:rsidRDefault="00665BA2">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4D691BC3-0DFA-45B8-AB0B-D7A30BE5E028}"/>
  </w:font>
  <w:font w:name="Tahoma">
    <w:panose1 w:val="020B0604030504040204"/>
    <w:charset w:val="00"/>
    <w:family w:val="swiss"/>
    <w:pitch w:val="variable"/>
    <w:sig w:usb0="E1002EFF" w:usb1="C000605B" w:usb2="00000029" w:usb3="00000000" w:csb0="000101FF" w:csb1="00000000"/>
    <w:embedRegular r:id="rId2" w:fontKey="{FFABA861-1E5B-43A0-8A44-75A4EE94E9C0}"/>
  </w:font>
  <w:font w:name="Cambria">
    <w:panose1 w:val="02040503050406030204"/>
    <w:charset w:val="00"/>
    <w:family w:val="roman"/>
    <w:pitch w:val="variable"/>
    <w:sig w:usb0="E00006FF" w:usb1="420024FF" w:usb2="02000000" w:usb3="00000000" w:csb0="0000019F" w:csb1="00000000"/>
    <w:embedRegular r:id="rId3" w:fontKey="{09705442-7FDC-477F-A471-185076B50056}"/>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81684288"/>
      <w:docPartObj>
        <w:docPartGallery w:val="Page Numbers (Bottom of Page)"/>
        <w:docPartUnique/>
      </w:docPartObj>
    </w:sdtPr>
    <w:sdtEndPr>
      <w:rPr>
        <w:color w:val="7F7F7F" w:themeColor="background1" w:themeShade="7F"/>
        <w:spacing w:val="60"/>
      </w:rPr>
    </w:sdtEndPr>
    <w:sdtContent>
      <w:p w:rsidR="00B028D0" w:rsidRDefault="00B028D0">
        <w:pPr>
          <w:pStyle w:val="Footer"/>
          <w:pBdr>
            <w:top w:val="single" w:sz="4" w:space="1" w:color="D9D9D9" w:themeColor="background1" w:themeShade="D9"/>
          </w:pBdr>
          <w:jc w:val="right"/>
        </w:pPr>
        <w:fldSimple w:instr=" PAGE   \* MERGEFORMAT ">
          <w:r w:rsidR="005F65E2">
            <w:rPr>
              <w:noProof/>
            </w:rPr>
            <w:t>8</w:t>
          </w:r>
        </w:fldSimple>
        <w:r>
          <w:t xml:space="preserve"> | </w:t>
        </w:r>
        <w:r>
          <w:rPr>
            <w:color w:val="7F7F7F" w:themeColor="background1" w:themeShade="7F"/>
            <w:spacing w:val="60"/>
          </w:rPr>
          <w:t>Page</w:t>
        </w:r>
      </w:p>
    </w:sdtContent>
  </w:sdt>
  <w:p w:rsidR="00B028D0" w:rsidRDefault="00B028D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65BA2" w:rsidRDefault="00665BA2">
      <w:pPr>
        <w:spacing w:line="240" w:lineRule="auto"/>
      </w:pPr>
      <w:r>
        <w:separator/>
      </w:r>
    </w:p>
  </w:footnote>
  <w:footnote w:type="continuationSeparator" w:id="1">
    <w:p w:rsidR="00665BA2" w:rsidRDefault="00665BA2">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908C5A9"/>
    <w:multiLevelType w:val="hybridMultilevel"/>
    <w:tmpl w:val="00000000"/>
    <w:lvl w:ilvl="0" w:tplc="8BD866DC">
      <w:start w:val="1"/>
      <w:numFmt w:val="bullet"/>
      <w:lvlText w:val="●"/>
      <w:lvlJc w:val="left"/>
      <w:pPr>
        <w:ind w:left="720" w:hanging="360"/>
      </w:pPr>
      <w:rPr>
        <w:u w:val="none"/>
      </w:rPr>
    </w:lvl>
    <w:lvl w:ilvl="1" w:tplc="63D2D5D4">
      <w:start w:val="1"/>
      <w:numFmt w:val="bullet"/>
      <w:lvlText w:val="○"/>
      <w:lvlJc w:val="left"/>
      <w:pPr>
        <w:ind w:left="1440" w:hanging="360"/>
      </w:pPr>
      <w:rPr>
        <w:u w:val="none"/>
      </w:rPr>
    </w:lvl>
    <w:lvl w:ilvl="2" w:tplc="DCD8D0D0">
      <w:start w:val="1"/>
      <w:numFmt w:val="bullet"/>
      <w:lvlText w:val="■"/>
      <w:lvlJc w:val="left"/>
      <w:pPr>
        <w:ind w:left="2160" w:hanging="360"/>
      </w:pPr>
      <w:rPr>
        <w:u w:val="none"/>
      </w:rPr>
    </w:lvl>
    <w:lvl w:ilvl="3" w:tplc="74BA83D8">
      <w:start w:val="1"/>
      <w:numFmt w:val="bullet"/>
      <w:lvlText w:val="●"/>
      <w:lvlJc w:val="left"/>
      <w:pPr>
        <w:ind w:left="2880" w:hanging="360"/>
      </w:pPr>
      <w:rPr>
        <w:u w:val="none"/>
      </w:rPr>
    </w:lvl>
    <w:lvl w:ilvl="4" w:tplc="838C20E4">
      <w:start w:val="1"/>
      <w:numFmt w:val="bullet"/>
      <w:lvlText w:val="○"/>
      <w:lvlJc w:val="left"/>
      <w:pPr>
        <w:ind w:left="3600" w:hanging="360"/>
      </w:pPr>
      <w:rPr>
        <w:u w:val="none"/>
      </w:rPr>
    </w:lvl>
    <w:lvl w:ilvl="5" w:tplc="21D8CA8A">
      <w:start w:val="1"/>
      <w:numFmt w:val="bullet"/>
      <w:lvlText w:val="■"/>
      <w:lvlJc w:val="left"/>
      <w:pPr>
        <w:ind w:left="4320" w:hanging="360"/>
      </w:pPr>
      <w:rPr>
        <w:u w:val="none"/>
      </w:rPr>
    </w:lvl>
    <w:lvl w:ilvl="6" w:tplc="C9A4343E">
      <w:start w:val="1"/>
      <w:numFmt w:val="bullet"/>
      <w:lvlText w:val="●"/>
      <w:lvlJc w:val="left"/>
      <w:pPr>
        <w:ind w:left="5040" w:hanging="360"/>
      </w:pPr>
      <w:rPr>
        <w:u w:val="none"/>
      </w:rPr>
    </w:lvl>
    <w:lvl w:ilvl="7" w:tplc="A4D2BD7C">
      <w:start w:val="1"/>
      <w:numFmt w:val="bullet"/>
      <w:lvlText w:val="○"/>
      <w:lvlJc w:val="left"/>
      <w:pPr>
        <w:ind w:left="5760" w:hanging="360"/>
      </w:pPr>
      <w:rPr>
        <w:u w:val="none"/>
      </w:rPr>
    </w:lvl>
    <w:lvl w:ilvl="8" w:tplc="B49A218E">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TrueTypeFonts/>
  <w:defaultTabStop w:val="720"/>
  <w:characterSpacingControl w:val="doNotCompress"/>
  <w:footnotePr>
    <w:footnote w:id="0"/>
    <w:footnote w:id="1"/>
  </w:footnotePr>
  <w:endnotePr>
    <w:endnote w:id="0"/>
    <w:endnote w:id="1"/>
  </w:endnotePr>
  <w:compat/>
  <w:rsids>
    <w:rsidRoot w:val="00FE24CE"/>
    <w:rsid w:val="0000797D"/>
    <w:rsid w:val="00016B69"/>
    <w:rsid w:val="00060118"/>
    <w:rsid w:val="000860B9"/>
    <w:rsid w:val="00094F6F"/>
    <w:rsid w:val="00143B7C"/>
    <w:rsid w:val="00156F6B"/>
    <w:rsid w:val="001A0682"/>
    <w:rsid w:val="001A3692"/>
    <w:rsid w:val="0025130B"/>
    <w:rsid w:val="003B0728"/>
    <w:rsid w:val="00432FCD"/>
    <w:rsid w:val="004870CD"/>
    <w:rsid w:val="00497D63"/>
    <w:rsid w:val="004D150D"/>
    <w:rsid w:val="0054774D"/>
    <w:rsid w:val="0059312E"/>
    <w:rsid w:val="005E4E9C"/>
    <w:rsid w:val="005F65E2"/>
    <w:rsid w:val="00626A93"/>
    <w:rsid w:val="00665BA2"/>
    <w:rsid w:val="006E6F1F"/>
    <w:rsid w:val="00792194"/>
    <w:rsid w:val="008E1890"/>
    <w:rsid w:val="008F0546"/>
    <w:rsid w:val="009A3748"/>
    <w:rsid w:val="009B221C"/>
    <w:rsid w:val="00A0691A"/>
    <w:rsid w:val="00A16D29"/>
    <w:rsid w:val="00A20D1D"/>
    <w:rsid w:val="00A42CD6"/>
    <w:rsid w:val="00A61C4E"/>
    <w:rsid w:val="00A82314"/>
    <w:rsid w:val="00AF146C"/>
    <w:rsid w:val="00B028D0"/>
    <w:rsid w:val="00B30AD2"/>
    <w:rsid w:val="00B5613B"/>
    <w:rsid w:val="00BA37EF"/>
    <w:rsid w:val="00BC127D"/>
    <w:rsid w:val="00BE7E48"/>
    <w:rsid w:val="00C26314"/>
    <w:rsid w:val="00CC3BD2"/>
    <w:rsid w:val="00CE5AFA"/>
    <w:rsid w:val="00D330A7"/>
    <w:rsid w:val="00D571BB"/>
    <w:rsid w:val="00DA7433"/>
    <w:rsid w:val="00E24215"/>
    <w:rsid w:val="00E728BF"/>
    <w:rsid w:val="00E95433"/>
    <w:rsid w:val="00EA31D0"/>
    <w:rsid w:val="00F20BC5"/>
    <w:rsid w:val="00FE24CE"/>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6314"/>
  </w:style>
  <w:style w:type="paragraph" w:styleId="Heading1">
    <w:name w:val="heading 1"/>
    <w:basedOn w:val="Normal"/>
    <w:next w:val="Normal"/>
    <w:qFormat/>
    <w:rsid w:val="00C26314"/>
    <w:pPr>
      <w:keepNext/>
      <w:keepLines/>
      <w:outlineLvl w:val="0"/>
    </w:pPr>
    <w:rPr>
      <w:b/>
      <w:bCs/>
      <w:sz w:val="28"/>
      <w:szCs w:val="28"/>
    </w:rPr>
  </w:style>
  <w:style w:type="paragraph" w:styleId="Heading2">
    <w:name w:val="heading 2"/>
    <w:basedOn w:val="Normal"/>
    <w:next w:val="Normal"/>
    <w:qFormat/>
    <w:rsid w:val="00C26314"/>
    <w:pPr>
      <w:keepNext/>
      <w:keepLines/>
      <w:outlineLvl w:val="1"/>
    </w:pPr>
    <w:rPr>
      <w:b/>
      <w:bCs/>
      <w:sz w:val="24"/>
      <w:szCs w:val="24"/>
    </w:rPr>
  </w:style>
  <w:style w:type="paragraph" w:styleId="Heading3">
    <w:name w:val="heading 3"/>
    <w:basedOn w:val="Normal"/>
    <w:next w:val="Normal"/>
    <w:rsid w:val="00C26314"/>
    <w:pPr>
      <w:keepNext/>
      <w:keepLines/>
      <w:spacing w:before="320" w:after="80"/>
      <w:outlineLvl w:val="2"/>
    </w:pPr>
    <w:rPr>
      <w:color w:val="434343"/>
      <w:sz w:val="28"/>
      <w:szCs w:val="28"/>
    </w:rPr>
  </w:style>
  <w:style w:type="paragraph" w:styleId="Heading4">
    <w:name w:val="heading 4"/>
    <w:basedOn w:val="Normal"/>
    <w:next w:val="Normal"/>
    <w:rsid w:val="00C26314"/>
    <w:pPr>
      <w:keepNext/>
      <w:keepLines/>
      <w:spacing w:before="280" w:after="80"/>
      <w:outlineLvl w:val="3"/>
    </w:pPr>
    <w:rPr>
      <w:color w:val="666666"/>
      <w:sz w:val="24"/>
      <w:szCs w:val="24"/>
    </w:rPr>
  </w:style>
  <w:style w:type="paragraph" w:styleId="Heading5">
    <w:name w:val="heading 5"/>
    <w:basedOn w:val="Normal"/>
    <w:next w:val="Normal"/>
    <w:rsid w:val="00C26314"/>
    <w:pPr>
      <w:keepNext/>
      <w:keepLines/>
      <w:spacing w:before="240" w:after="80"/>
      <w:outlineLvl w:val="4"/>
    </w:pPr>
    <w:rPr>
      <w:color w:val="666666"/>
    </w:rPr>
  </w:style>
  <w:style w:type="paragraph" w:styleId="Heading6">
    <w:name w:val="heading 6"/>
    <w:basedOn w:val="Normal"/>
    <w:next w:val="Normal"/>
    <w:rsid w:val="00C26314"/>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C26314"/>
    <w:tblPr>
      <w:tblCellMar>
        <w:top w:w="100" w:type="dxa"/>
        <w:left w:w="100" w:type="dxa"/>
        <w:bottom w:w="100" w:type="dxa"/>
        <w:right w:w="100" w:type="dxa"/>
      </w:tblCellMar>
    </w:tblPr>
  </w:style>
  <w:style w:type="paragraph" w:styleId="Title">
    <w:name w:val="Title"/>
    <w:basedOn w:val="Normal"/>
    <w:next w:val="Normal"/>
    <w:rsid w:val="00C26314"/>
    <w:pPr>
      <w:keepNext/>
      <w:keepLines/>
      <w:spacing w:after="60"/>
    </w:pPr>
    <w:rPr>
      <w:sz w:val="52"/>
      <w:szCs w:val="52"/>
    </w:rPr>
  </w:style>
  <w:style w:type="paragraph" w:styleId="Subtitle">
    <w:name w:val="Subtitle"/>
    <w:basedOn w:val="Normal"/>
    <w:next w:val="Normal"/>
    <w:rsid w:val="00C26314"/>
    <w:pPr>
      <w:keepNext/>
      <w:keepLines/>
      <w:spacing w:after="320"/>
    </w:pPr>
    <w:rPr>
      <w:color w:val="666666"/>
      <w:sz w:val="30"/>
      <w:szCs w:val="30"/>
    </w:rPr>
  </w:style>
  <w:style w:type="paragraph" w:styleId="TOCHeading">
    <w:name w:val="TOC Heading"/>
    <w:basedOn w:val="Heading1"/>
    <w:next w:val="Normal"/>
    <w:uiPriority w:val="39"/>
    <w:unhideWhenUsed/>
    <w:qFormat/>
    <w:rsid w:val="00B5613B"/>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B5613B"/>
    <w:pPr>
      <w:spacing w:after="100"/>
    </w:pPr>
  </w:style>
  <w:style w:type="paragraph" w:styleId="TOC2">
    <w:name w:val="toc 2"/>
    <w:basedOn w:val="Normal"/>
    <w:next w:val="Normal"/>
    <w:autoRedefine/>
    <w:uiPriority w:val="39"/>
    <w:unhideWhenUsed/>
    <w:rsid w:val="00B5613B"/>
    <w:pPr>
      <w:spacing w:after="100"/>
      <w:ind w:left="220"/>
    </w:pPr>
  </w:style>
  <w:style w:type="character" w:styleId="Hyperlink">
    <w:name w:val="Hyperlink"/>
    <w:basedOn w:val="DefaultParagraphFont"/>
    <w:uiPriority w:val="99"/>
    <w:unhideWhenUsed/>
    <w:rsid w:val="00B5613B"/>
    <w:rPr>
      <w:color w:val="0000FF" w:themeColor="hyperlink"/>
      <w:u w:val="single"/>
    </w:rPr>
  </w:style>
  <w:style w:type="paragraph" w:styleId="Header">
    <w:name w:val="header"/>
    <w:basedOn w:val="Normal"/>
    <w:link w:val="HeaderChar"/>
    <w:uiPriority w:val="99"/>
    <w:unhideWhenUsed/>
    <w:rsid w:val="00B5613B"/>
    <w:pPr>
      <w:tabs>
        <w:tab w:val="center" w:pos="4513"/>
        <w:tab w:val="right" w:pos="9026"/>
      </w:tabs>
      <w:spacing w:line="240" w:lineRule="auto"/>
    </w:pPr>
  </w:style>
  <w:style w:type="character" w:customStyle="1" w:styleId="HeaderChar">
    <w:name w:val="Header Char"/>
    <w:basedOn w:val="DefaultParagraphFont"/>
    <w:link w:val="Header"/>
    <w:uiPriority w:val="99"/>
    <w:rsid w:val="00B5613B"/>
  </w:style>
  <w:style w:type="paragraph" w:styleId="Footer">
    <w:name w:val="footer"/>
    <w:basedOn w:val="Normal"/>
    <w:link w:val="FooterChar"/>
    <w:uiPriority w:val="99"/>
    <w:unhideWhenUsed/>
    <w:rsid w:val="00B5613B"/>
    <w:pPr>
      <w:tabs>
        <w:tab w:val="center" w:pos="4513"/>
        <w:tab w:val="right" w:pos="9026"/>
      </w:tabs>
      <w:spacing w:line="240" w:lineRule="auto"/>
    </w:pPr>
  </w:style>
  <w:style w:type="character" w:customStyle="1" w:styleId="FooterChar">
    <w:name w:val="Footer Char"/>
    <w:basedOn w:val="DefaultParagraphFont"/>
    <w:link w:val="Footer"/>
    <w:uiPriority w:val="99"/>
    <w:rsid w:val="00B5613B"/>
  </w:style>
  <w:style w:type="paragraph" w:styleId="ListParagraph">
    <w:name w:val="List Paragraph"/>
    <w:basedOn w:val="Normal"/>
    <w:uiPriority w:val="34"/>
    <w:qFormat/>
    <w:rsid w:val="003B0728"/>
    <w:pPr>
      <w:ind w:left="720"/>
      <w:contextualSpacing/>
    </w:pPr>
  </w:style>
  <w:style w:type="paragraph" w:styleId="BalloonText">
    <w:name w:val="Balloon Text"/>
    <w:basedOn w:val="Normal"/>
    <w:link w:val="BalloonTextChar"/>
    <w:uiPriority w:val="99"/>
    <w:semiHidden/>
    <w:unhideWhenUsed/>
    <w:rsid w:val="00094F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94F6F"/>
    <w:rPr>
      <w:rFonts w:ascii="Tahoma" w:hAnsi="Tahoma" w:cs="Tahoma"/>
      <w:sz w:val="16"/>
      <w:szCs w:val="16"/>
    </w:rPr>
  </w:style>
  <w:style w:type="table" w:styleId="TableGrid">
    <w:name w:val="Table Grid"/>
    <w:basedOn w:val="TableNormal"/>
    <w:uiPriority w:val="59"/>
    <w:rsid w:val="00094F6F"/>
    <w:pPr>
      <w:spacing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192318D-DFA2-419B-9DC5-89A03FC4C6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312</TotalTime>
  <Pages>10</Pages>
  <Words>3148</Words>
  <Characters>17948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2026-02-04T11:13:00Z</dcterms:created>
  <dcterms:modified xsi:type="dcterms:W3CDTF">2026-03-17T20:38:00Z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5986feba-bb84-42aa-976b-b61cb00a419b</vt:lpwstr>
  </property>
</Properties>
</file>