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60E51" w14:textId="77777777" w:rsidR="009D553F" w:rsidRDefault="00B95F72">
      <w:r>
        <w:t>Provide an indication of contemporary issues affecting Muslim women in the modern world, focusing on the ways in which ‘women’s rights’ have been articulated. Illustrate your essay with examples drawn from your own reading and research.</w:t>
      </w:r>
    </w:p>
    <w:p w14:paraId="74DFB4DC" w14:textId="77777777" w:rsidR="000F72E2" w:rsidRDefault="000F72E2"/>
    <w:p w14:paraId="58C9909E" w14:textId="1A58DCFD" w:rsidR="00741F93" w:rsidRDefault="000F72E2">
      <w:r>
        <w:t>Muslim women have</w:t>
      </w:r>
      <w:r w:rsidR="008B6A72">
        <w:t xml:space="preserve"> </w:t>
      </w:r>
      <w:r>
        <w:t xml:space="preserve">often come into contact with issues in the Muslim world, </w:t>
      </w:r>
      <w:r w:rsidR="00741F93">
        <w:t>being</w:t>
      </w:r>
      <w:r w:rsidR="005763D2">
        <w:t xml:space="preserve"> represented as un</w:t>
      </w:r>
      <w:r w:rsidR="00741F93">
        <w:t>equal to men in the Qur’an</w:t>
      </w:r>
      <w:r w:rsidR="001401C3">
        <w:t xml:space="preserve"> where it is stated </w:t>
      </w:r>
      <w:r w:rsidR="001401C3" w:rsidRPr="001401C3">
        <w:t>“And the men are a degree above them [women].”</w:t>
      </w:r>
      <w:r w:rsidR="00741F93" w:rsidRPr="001401C3">
        <w:t>.</w:t>
      </w:r>
      <w:r w:rsidR="00741F93" w:rsidRPr="001401C3">
        <w:rPr>
          <w:rStyle w:val="FootnoteReference"/>
        </w:rPr>
        <w:footnoteReference w:id="1"/>
      </w:r>
      <w:r w:rsidR="00741F93" w:rsidRPr="001401C3">
        <w:t xml:space="preserve"> </w:t>
      </w:r>
      <w:r w:rsidR="00E152E5">
        <w:t xml:space="preserve">There is no homogenous Muslim woman but </w:t>
      </w:r>
      <w:r w:rsidR="00974508">
        <w:t xml:space="preserve">are </w:t>
      </w:r>
      <w:r w:rsidR="00E152E5">
        <w:t xml:space="preserve">rather a </w:t>
      </w:r>
      <w:r w:rsidR="00EE2183">
        <w:t>diverse group of</w:t>
      </w:r>
      <w:r w:rsidR="00E152E5">
        <w:t xml:space="preserve"> people</w:t>
      </w:r>
      <w:r w:rsidR="00EE2183">
        <w:t xml:space="preserve">. </w:t>
      </w:r>
      <w:r w:rsidR="00974508">
        <w:t xml:space="preserve">Kenney and Moosa note how </w:t>
      </w:r>
      <w:r w:rsidR="00991987">
        <w:t xml:space="preserve">“Women and gender constitute an integral part of the Muslim World’s histories and movements, including modernity, nationalism, </w:t>
      </w:r>
      <w:r w:rsidR="009C61F9">
        <w:t>fundamentalism</w:t>
      </w:r>
      <w:r w:rsidR="00991987">
        <w:t>, legal reforms, and political change.”</w:t>
      </w:r>
      <w:r w:rsidR="00991987">
        <w:rPr>
          <w:rStyle w:val="FootnoteReference"/>
        </w:rPr>
        <w:footnoteReference w:id="2"/>
      </w:r>
      <w:r w:rsidR="009C61F9">
        <w:t xml:space="preserve"> </w:t>
      </w:r>
      <w:r w:rsidR="00741F93">
        <w:t>From the 1980’s however issue</w:t>
      </w:r>
      <w:r w:rsidR="004D24FE">
        <w:t>s</w:t>
      </w:r>
      <w:r w:rsidR="00741F93">
        <w:t xml:space="preserve"> of women and gender has been tied to Islam’s cultural and political reassertion</w:t>
      </w:r>
      <w:r w:rsidR="009C61F9">
        <w:rPr>
          <w:rStyle w:val="FootnoteReference"/>
        </w:rPr>
        <w:footnoteReference w:id="3"/>
      </w:r>
      <w:r w:rsidR="00C1299B">
        <w:t xml:space="preserve"> with them being a representation of the national state and the repositories of religious </w:t>
      </w:r>
      <w:r w:rsidR="00B663F5">
        <w:t xml:space="preserve">culture and </w:t>
      </w:r>
      <w:r w:rsidR="00C1299B">
        <w:t>values</w:t>
      </w:r>
      <w:r w:rsidR="00B663F5">
        <w:t>.</w:t>
      </w:r>
      <w:r w:rsidR="00B663F5">
        <w:rPr>
          <w:rStyle w:val="FootnoteReference"/>
        </w:rPr>
        <w:footnoteReference w:id="4"/>
      </w:r>
    </w:p>
    <w:p w14:paraId="70312D68" w14:textId="152F3C1D" w:rsidR="006E214C" w:rsidRDefault="006E214C">
      <w:r>
        <w:t>An offshoot of</w:t>
      </w:r>
      <w:r w:rsidR="00BA3CB4">
        <w:t xml:space="preserve"> the</w:t>
      </w:r>
      <w:r>
        <w:t xml:space="preserve"> </w:t>
      </w:r>
      <w:r w:rsidR="00BA3CB4">
        <w:t>fundamentalist movement has been the dispute surrounding MFL</w:t>
      </w:r>
      <w:r w:rsidR="00BA3CB4">
        <w:rPr>
          <w:rStyle w:val="FootnoteReference"/>
        </w:rPr>
        <w:footnoteReference w:id="5"/>
      </w:r>
      <w:r w:rsidR="00BA3CB4">
        <w:t xml:space="preserve"> with three main disadvantages. The first being women regarded to be dependent on male relations as </w:t>
      </w:r>
      <w:r w:rsidR="00420964">
        <w:t>a second-class citizen</w:t>
      </w:r>
      <w:r w:rsidR="00BA3CB4">
        <w:t>,</w:t>
      </w:r>
      <w:r w:rsidR="00BA3CB4">
        <w:rPr>
          <w:rStyle w:val="FootnoteReference"/>
        </w:rPr>
        <w:footnoteReference w:id="6"/>
      </w:r>
      <w:r w:rsidR="00BA3CB4">
        <w:t xml:space="preserve"> secondly where women are denied political agency further reducing their involvement within the country’s political progression,</w:t>
      </w:r>
      <w:r w:rsidR="00BA3CB4">
        <w:rPr>
          <w:rStyle w:val="FootnoteReference"/>
        </w:rPr>
        <w:footnoteReference w:id="7"/>
      </w:r>
      <w:r w:rsidR="00BA3CB4">
        <w:t xml:space="preserve"> thirdly </w:t>
      </w:r>
      <w:r w:rsidR="00691A67">
        <w:t xml:space="preserve">with </w:t>
      </w:r>
      <w:r w:rsidR="00BA3CB4">
        <w:t>women being restricted to the patriarchal family unit depriving them from contributing to the economic development of the country.</w:t>
      </w:r>
      <w:r w:rsidR="00BA3CB4">
        <w:rPr>
          <w:rStyle w:val="FootnoteReference"/>
        </w:rPr>
        <w:footnoteReference w:id="8"/>
      </w:r>
      <w:r w:rsidR="00BA3CB4">
        <w:t xml:space="preserve"> These social effects are m</w:t>
      </w:r>
      <w:r w:rsidR="00691A67">
        <w:t xml:space="preserve">ost commonly present within </w:t>
      </w:r>
      <w:r w:rsidR="00BA3CB4">
        <w:t>North Africa and the Middle East context.</w:t>
      </w:r>
    </w:p>
    <w:p w14:paraId="68E174DC" w14:textId="3EBB8D7B" w:rsidR="00974508" w:rsidRDefault="00974508" w:rsidP="00974508">
      <w:r>
        <w:t>Contemporary issues which affect</w:t>
      </w:r>
      <w:r w:rsidR="00E778A7">
        <w:t xml:space="preserve"> Muslim women </w:t>
      </w:r>
      <w:r>
        <w:t>fluctuates</w:t>
      </w:r>
      <w:r w:rsidR="00E778A7">
        <w:t xml:space="preserve"> depending on the loca</w:t>
      </w:r>
      <w:r w:rsidR="001E18BC">
        <w:t>tion,</w:t>
      </w:r>
      <w:r w:rsidR="00E778A7">
        <w:t xml:space="preserve"> in Saudi Arabia a prominent issue is the inability for women to drive a car</w:t>
      </w:r>
      <w:r w:rsidR="009925C3">
        <w:rPr>
          <w:rStyle w:val="FootnoteReference"/>
        </w:rPr>
        <w:footnoteReference w:id="9"/>
      </w:r>
      <w:r w:rsidR="00E778A7">
        <w:t xml:space="preserve"> to </w:t>
      </w:r>
      <w:r w:rsidR="004D24FE">
        <w:t xml:space="preserve">many </w:t>
      </w:r>
      <w:r w:rsidR="009925C3">
        <w:t>children being un</w:t>
      </w:r>
      <w:r w:rsidR="004D24FE">
        <w:t xml:space="preserve">able to attend school </w:t>
      </w:r>
      <w:r w:rsidR="00AB1925">
        <w:t>in Pakistan</w:t>
      </w:r>
      <w:r w:rsidR="009925C3">
        <w:t>.</w:t>
      </w:r>
      <w:r w:rsidR="009925C3">
        <w:rPr>
          <w:rStyle w:val="FootnoteReference"/>
        </w:rPr>
        <w:footnoteReference w:id="10"/>
      </w:r>
      <w:r w:rsidRPr="00974508">
        <w:t xml:space="preserve"> </w:t>
      </w:r>
      <w:r>
        <w:t>Muslim women’s rights have bee</w:t>
      </w:r>
      <w:r w:rsidR="004D24FE">
        <w:t xml:space="preserve">n an issue within Islam for centuries </w:t>
      </w:r>
      <w:r>
        <w:t>howe</w:t>
      </w:r>
      <w:r w:rsidR="004D24FE">
        <w:t xml:space="preserve">ver </w:t>
      </w:r>
      <w:r>
        <w:t xml:space="preserve">many influential Muslim female activist and feminists </w:t>
      </w:r>
      <w:r>
        <w:lastRenderedPageBreak/>
        <w:t>have taken a stand and spoken fo</w:t>
      </w:r>
      <w:r w:rsidR="006144D3">
        <w:t>r women within</w:t>
      </w:r>
      <w:r>
        <w:t xml:space="preserve"> Islam from Amina Wadud,</w:t>
      </w:r>
      <w:r>
        <w:rPr>
          <w:rStyle w:val="FootnoteReference"/>
        </w:rPr>
        <w:footnoteReference w:id="11"/>
      </w:r>
      <w:r>
        <w:t xml:space="preserve"> Fatima Mernissi</w:t>
      </w:r>
      <w:r>
        <w:rPr>
          <w:rStyle w:val="FootnoteReference"/>
        </w:rPr>
        <w:footnoteReference w:id="12"/>
      </w:r>
      <w:r w:rsidR="00F861A5">
        <w:t>,</w:t>
      </w:r>
      <w:r>
        <w:t xml:space="preserve"> Begum Rokeya Sakhawat Hossain</w:t>
      </w:r>
      <w:r>
        <w:rPr>
          <w:rStyle w:val="FootnoteReference"/>
        </w:rPr>
        <w:footnoteReference w:id="13"/>
      </w:r>
      <w:r w:rsidR="003934C2">
        <w:t xml:space="preserve"> and</w:t>
      </w:r>
      <w:r w:rsidR="006144D3">
        <w:t xml:space="preserve"> many others</w:t>
      </w:r>
      <w:r>
        <w:t>.</w:t>
      </w:r>
    </w:p>
    <w:p w14:paraId="452A4831" w14:textId="0A728270" w:rsidR="000F72E2" w:rsidRDefault="00BA42A0">
      <w:r>
        <w:t>Th</w:t>
      </w:r>
      <w:r w:rsidR="00D43AB8">
        <w:t xml:space="preserve">e main focus of this essay is </w:t>
      </w:r>
      <w:r>
        <w:t>to d</w:t>
      </w:r>
      <w:r w:rsidR="00DE3ACD">
        <w:t xml:space="preserve">iscuss the contemporary </w:t>
      </w:r>
      <w:r w:rsidR="008B6A72">
        <w:t xml:space="preserve">issue of </w:t>
      </w:r>
      <w:r w:rsidR="009E65EF">
        <w:t xml:space="preserve">Female Genital Mutilation/Cutting or </w:t>
      </w:r>
      <w:r w:rsidR="008B6A72">
        <w:t>FGM/C in Islam and the role of the Muslim Sisters in the Muslim Brotherhood.</w:t>
      </w:r>
    </w:p>
    <w:p w14:paraId="720C030C" w14:textId="77777777" w:rsidR="008B6A72" w:rsidRDefault="008B6A72"/>
    <w:p w14:paraId="2937E929" w14:textId="4DF4DC6D" w:rsidR="009071CF" w:rsidRPr="00D06D23" w:rsidRDefault="007F3AA6">
      <w:r>
        <w:t>FGM/C is an extremely</w:t>
      </w:r>
      <w:r w:rsidR="005A37E0">
        <w:t xml:space="preserve"> contemporary</w:t>
      </w:r>
      <w:r>
        <w:t xml:space="preserve"> issue which affects Musl</w:t>
      </w:r>
      <w:r w:rsidR="005B6AF0">
        <w:t>im w</w:t>
      </w:r>
      <w:r w:rsidR="00733977">
        <w:t>omen</w:t>
      </w:r>
      <w:r w:rsidR="001E7261">
        <w:t xml:space="preserve">, with an estimated 120-140 million </w:t>
      </w:r>
      <w:r w:rsidR="00C54963">
        <w:t>women and children globally having</w:t>
      </w:r>
      <w:r w:rsidR="001E7261">
        <w:t xml:space="preserve"> endured this traditional practice</w:t>
      </w:r>
      <w:r w:rsidR="005A37E0">
        <w:t>,</w:t>
      </w:r>
      <w:r w:rsidR="001E7261">
        <w:rPr>
          <w:rStyle w:val="FootnoteReference"/>
        </w:rPr>
        <w:footnoteReference w:id="14"/>
      </w:r>
      <w:r w:rsidR="005A37E0">
        <w:t xml:space="preserve"> but mainly taking place in the western and eastern regions of Africa, Asia and the Middle East.</w:t>
      </w:r>
      <w:r w:rsidR="005A37E0">
        <w:rPr>
          <w:rStyle w:val="FootnoteReference"/>
        </w:rPr>
        <w:footnoteReference w:id="15"/>
      </w:r>
      <w:r w:rsidR="00C54963">
        <w:t xml:space="preserve"> </w:t>
      </w:r>
      <w:r w:rsidR="002420AA">
        <w:t>Female gender mutilation is the procedure of the partial or complete removal of female genitalia</w:t>
      </w:r>
      <w:r w:rsidR="001F6D5D">
        <w:t>.</w:t>
      </w:r>
      <w:r w:rsidR="001E7261">
        <w:rPr>
          <w:rStyle w:val="FootnoteReference"/>
        </w:rPr>
        <w:footnoteReference w:id="16"/>
      </w:r>
      <w:r w:rsidR="001F6D5D">
        <w:t xml:space="preserve"> There are four</w:t>
      </w:r>
      <w:r w:rsidR="001E7261">
        <w:t xml:space="preserve"> different </w:t>
      </w:r>
      <w:r w:rsidR="001F6D5D">
        <w:t>FGM/C procedures</w:t>
      </w:r>
      <w:r w:rsidR="00CC6A97">
        <w:rPr>
          <w:rStyle w:val="FootnoteReference"/>
        </w:rPr>
        <w:footnoteReference w:id="17"/>
      </w:r>
      <w:r w:rsidR="00CC6A97">
        <w:t xml:space="preserve"> </w:t>
      </w:r>
      <w:r w:rsidR="00733977">
        <w:t xml:space="preserve">but </w:t>
      </w:r>
      <w:r w:rsidR="001F6D5D">
        <w:t xml:space="preserve">type one </w:t>
      </w:r>
      <w:r w:rsidR="00815DF1">
        <w:t>being the removal of part or whole</w:t>
      </w:r>
      <w:r w:rsidR="001E7261">
        <w:t xml:space="preserve"> clit</w:t>
      </w:r>
      <w:r w:rsidR="00815DF1">
        <w:t>oris which is most commonly accepted</w:t>
      </w:r>
      <w:r w:rsidR="001E7261">
        <w:t xml:space="preserve"> within Islam.</w:t>
      </w:r>
      <w:r w:rsidR="00CC6A97">
        <w:rPr>
          <w:rStyle w:val="FootnoteReference"/>
        </w:rPr>
        <w:footnoteReference w:id="18"/>
      </w:r>
      <w:r w:rsidR="001E7261">
        <w:t xml:space="preserve"> </w:t>
      </w:r>
      <w:r w:rsidR="00C11650">
        <w:t xml:space="preserve">The origins of FGM/C is unknown </w:t>
      </w:r>
      <w:r w:rsidR="00A320BB">
        <w:t>but is com</w:t>
      </w:r>
      <w:r w:rsidR="00EB2F0F">
        <w:t>monly suggested to have started in Egypt with the pharaohs</w:t>
      </w:r>
      <w:r w:rsidR="00815DF1">
        <w:t xml:space="preserve"> in the 5</w:t>
      </w:r>
      <w:r w:rsidR="00815DF1" w:rsidRPr="00815DF1">
        <w:rPr>
          <w:vertAlign w:val="superscript"/>
        </w:rPr>
        <w:t>th</w:t>
      </w:r>
      <w:r w:rsidR="00815DF1">
        <w:t xml:space="preserve"> century BC,</w:t>
      </w:r>
      <w:r w:rsidR="00EB2F0F">
        <w:rPr>
          <w:rStyle w:val="FootnoteReference"/>
        </w:rPr>
        <w:footnoteReference w:id="19"/>
      </w:r>
      <w:r w:rsidR="00815DF1">
        <w:t xml:space="preserve"> although it is understood to be a religious requirement FGM/C predates Christianity and Islam.</w:t>
      </w:r>
      <w:r w:rsidR="00815DF1">
        <w:rPr>
          <w:rStyle w:val="FootnoteReference"/>
        </w:rPr>
        <w:footnoteReference w:id="20"/>
      </w:r>
      <w:r w:rsidR="00815DF1">
        <w:t xml:space="preserve"> </w:t>
      </w:r>
      <w:r w:rsidR="003E6FD9">
        <w:t>Why FGM/C</w:t>
      </w:r>
      <w:r w:rsidR="00D06D23">
        <w:t xml:space="preserve"> became a practice </w:t>
      </w:r>
      <w:r w:rsidR="009071CF">
        <w:t>in Islam is particularly unclea</w:t>
      </w:r>
      <w:r w:rsidR="00D06D23">
        <w:t xml:space="preserve">r as there is no mention </w:t>
      </w:r>
      <w:r w:rsidR="009071CF">
        <w:t xml:space="preserve">in the Qur’an. Some scholars have </w:t>
      </w:r>
      <w:r w:rsidR="003A03DC">
        <w:t>interpreted the verse “…and we revealed to you (Oh Muhammad) to follow the milat (religion) of Ibrahim”</w:t>
      </w:r>
      <w:r w:rsidR="00F22172">
        <w:rPr>
          <w:rStyle w:val="FootnoteReference"/>
        </w:rPr>
        <w:footnoteReference w:id="21"/>
      </w:r>
      <w:r w:rsidR="009071CF">
        <w:t xml:space="preserve"> to be the justification fo</w:t>
      </w:r>
      <w:r w:rsidR="00733977">
        <w:t xml:space="preserve">r FGM/C to be accepted </w:t>
      </w:r>
      <w:r w:rsidR="009071CF">
        <w:t>as Abraham was circumcised at 80 years old</w:t>
      </w:r>
      <w:r w:rsidR="00BC1423">
        <w:t>,</w:t>
      </w:r>
      <w:r w:rsidR="00D1528E">
        <w:t xml:space="preserve"> therefore making it acceptable</w:t>
      </w:r>
      <w:r w:rsidR="00BC1423">
        <w:t xml:space="preserve"> for all Muslims to be circumcised.</w:t>
      </w:r>
      <w:r w:rsidR="00BC1423">
        <w:rPr>
          <w:rStyle w:val="FootnoteReference"/>
        </w:rPr>
        <w:footnoteReference w:id="22"/>
      </w:r>
      <w:r w:rsidR="009071CF">
        <w:t xml:space="preserve"> </w:t>
      </w:r>
      <w:r w:rsidR="008B117C">
        <w:t>However it can be argued due to their bei</w:t>
      </w:r>
      <w:r w:rsidR="005671E6">
        <w:t xml:space="preserve">ng no direct disapproval of FGM/C </w:t>
      </w:r>
      <w:r w:rsidR="008B117C">
        <w:t>by the Prophet the action is mubaah</w:t>
      </w:r>
      <w:r w:rsidR="00EF3B6D">
        <w:t xml:space="preserve">, </w:t>
      </w:r>
      <w:r w:rsidR="00733977">
        <w:t>permitted</w:t>
      </w:r>
      <w:r w:rsidR="008B117C">
        <w:t>.</w:t>
      </w:r>
      <w:r w:rsidR="00634E16">
        <w:t xml:space="preserve"> </w:t>
      </w:r>
      <w:r w:rsidR="003B436D">
        <w:t>Another source whi</w:t>
      </w:r>
      <w:r w:rsidR="00EF3B6D">
        <w:t xml:space="preserve">ch is consulted when looking at FGM/C </w:t>
      </w:r>
      <w:r w:rsidR="004C3F94">
        <w:t xml:space="preserve">is </w:t>
      </w:r>
      <w:r w:rsidR="00161AE8">
        <w:t xml:space="preserve">the Hadith </w:t>
      </w:r>
      <w:r w:rsidR="00161AE8">
        <w:lastRenderedPageBreak/>
        <w:t>of Ais</w:t>
      </w:r>
      <w:r w:rsidR="00D1528E">
        <w:t xml:space="preserve">ha where the Prophet </w:t>
      </w:r>
      <w:r w:rsidR="00161AE8">
        <w:t xml:space="preserve">said “if the two </w:t>
      </w:r>
      <w:r w:rsidR="000246C7">
        <w:t>circumcisions</w:t>
      </w:r>
      <w:r w:rsidR="00161AE8">
        <w:t xml:space="preserve"> (al-khitaanani) meet (il-tiqaa), then it is obligatory to take ghusl (ritual bath).”</w:t>
      </w:r>
      <w:r w:rsidR="00161AE8">
        <w:rPr>
          <w:rStyle w:val="FootnoteReference"/>
        </w:rPr>
        <w:footnoteReference w:id="23"/>
      </w:r>
      <w:r w:rsidR="008E5FD1">
        <w:t xml:space="preserve"> This is suggested to be the strongest </w:t>
      </w:r>
      <w:r w:rsidR="005D2A1C">
        <w:t>j</w:t>
      </w:r>
      <w:r w:rsidR="00EF3B6D">
        <w:t xml:space="preserve">ustifications of FGM/C </w:t>
      </w:r>
      <w:r w:rsidR="005D2A1C">
        <w:t>due to the scholarly consensus of the Hadith being authentic</w:t>
      </w:r>
      <w:r w:rsidR="0024640F">
        <w:t>, although those who are against FGM/C argue the subject of the Hadith is ritual purification or tohara not FGM/C.</w:t>
      </w:r>
      <w:r w:rsidR="00E75215">
        <w:t xml:space="preserve"> </w:t>
      </w:r>
      <w:r w:rsidR="001033CD">
        <w:t>To further support this is through the examination of the Sunnah where the Prophet makes no reference in the authentic traditions to the acceptance of FGM/C, only to the circumcision of Ibnu Abbas, further reflecting his authorisation of male circumcision.</w:t>
      </w:r>
      <w:r w:rsidR="001033CD">
        <w:rPr>
          <w:rStyle w:val="FootnoteReference"/>
        </w:rPr>
        <w:footnoteReference w:id="24"/>
      </w:r>
    </w:p>
    <w:p w14:paraId="69E493B2" w14:textId="77777777" w:rsidR="005671E6" w:rsidRDefault="005671E6"/>
    <w:p w14:paraId="055389F0" w14:textId="03835AA2" w:rsidR="0062446B" w:rsidRDefault="00AF2221">
      <w:r>
        <w:t xml:space="preserve">A reason to why FGM/C is still an issue in many cultures is due to the social pressure in which women and teenage girls are </w:t>
      </w:r>
      <w:r w:rsidR="00733977">
        <w:t>subjected to by</w:t>
      </w:r>
      <w:r w:rsidR="00853407">
        <w:t xml:space="preserve"> their peers</w:t>
      </w:r>
      <w:r>
        <w:t>.</w:t>
      </w:r>
      <w:r>
        <w:rPr>
          <w:rStyle w:val="FootnoteReference"/>
        </w:rPr>
        <w:footnoteReference w:id="25"/>
      </w:r>
      <w:r>
        <w:t xml:space="preserve"> </w:t>
      </w:r>
      <w:r w:rsidR="00BC1423">
        <w:t>It is also suggested that through the removal of the bod</w:t>
      </w:r>
      <w:r w:rsidR="003934C2">
        <w:t>y parts with further enforce</w:t>
      </w:r>
      <w:r w:rsidR="00BC1423">
        <w:t xml:space="preserve"> </w:t>
      </w:r>
      <w:r w:rsidR="00A2062D">
        <w:t>Muslim</w:t>
      </w:r>
      <w:r w:rsidR="00BC1423">
        <w:t xml:space="preserve"> women and girls to con</w:t>
      </w:r>
      <w:r w:rsidR="00C54963">
        <w:t>form to the Islamic teachings of</w:t>
      </w:r>
      <w:r w:rsidR="00BC1423">
        <w:t xml:space="preserve"> chastity</w:t>
      </w:r>
      <w:r w:rsidR="00BC1423">
        <w:rPr>
          <w:rStyle w:val="FootnoteReference"/>
        </w:rPr>
        <w:footnoteReference w:id="26"/>
      </w:r>
      <w:r w:rsidR="00D37A2A">
        <w:t xml:space="preserve"> as women are suggested to be ‘oversexed’ where the procedure reduces their sexual appetite.</w:t>
      </w:r>
      <w:r w:rsidR="00D37A2A">
        <w:rPr>
          <w:rStyle w:val="FootnoteReference"/>
        </w:rPr>
        <w:footnoteReference w:id="27"/>
      </w:r>
    </w:p>
    <w:p w14:paraId="5C6B7FE5" w14:textId="45C3BFB0" w:rsidR="0062446B" w:rsidRDefault="005F2159">
      <w:r>
        <w:t>FMF</w:t>
      </w:r>
      <w:r>
        <w:rPr>
          <w:rStyle w:val="FootnoteReference"/>
        </w:rPr>
        <w:footnoteReference w:id="28"/>
      </w:r>
      <w:r>
        <w:t xml:space="preserve"> suggest those</w:t>
      </w:r>
      <w:r w:rsidR="00AF2221">
        <w:t xml:space="preserve"> </w:t>
      </w:r>
      <w:r w:rsidR="00853407">
        <w:t xml:space="preserve">who reject </w:t>
      </w:r>
      <w:r w:rsidR="0062446B">
        <w:t>FGM/C</w:t>
      </w:r>
      <w:r w:rsidR="002014BB">
        <w:t xml:space="preserve"> on</w:t>
      </w:r>
      <w:r w:rsidR="00853407">
        <w:t xml:space="preserve"> themselves</w:t>
      </w:r>
      <w:r w:rsidR="0062446B">
        <w:t xml:space="preserve"> </w:t>
      </w:r>
      <w:r w:rsidR="00853407">
        <w:t xml:space="preserve">and </w:t>
      </w:r>
      <w:r w:rsidR="002014BB">
        <w:t>daughters will result</w:t>
      </w:r>
      <w:r w:rsidR="004D24FE">
        <w:t xml:space="preserve"> in them </w:t>
      </w:r>
      <w:r w:rsidR="0062446B">
        <w:t>be</w:t>
      </w:r>
      <w:r w:rsidR="004D24FE">
        <w:t>ing</w:t>
      </w:r>
      <w:r w:rsidR="00B65F32">
        <w:t xml:space="preserve"> ostracized where</w:t>
      </w:r>
      <w:r w:rsidR="00853407">
        <w:t xml:space="preserve"> men </w:t>
      </w:r>
      <w:r w:rsidR="0062446B">
        <w:t>believe women who do not have the procedure are unfit to marry</w:t>
      </w:r>
      <w:r w:rsidR="00C54963">
        <w:t xml:space="preserve"> whilst being subjected to social isolation and imposing disgrace on the family</w:t>
      </w:r>
      <w:r w:rsidR="0062446B">
        <w:t>.</w:t>
      </w:r>
      <w:r w:rsidR="0062446B">
        <w:rPr>
          <w:rStyle w:val="FootnoteReference"/>
        </w:rPr>
        <w:footnoteReference w:id="29"/>
      </w:r>
      <w:r w:rsidR="00324F0D" w:rsidRPr="00324F0D">
        <w:t xml:space="preserve"> </w:t>
      </w:r>
      <w:r w:rsidR="00324F0D">
        <w:t>Rymer and Momoh note how girls who experience FGM are likely to have low self-esteem and feel as though they were denied their sexuality and are at a high risk of committing suicide.</w:t>
      </w:r>
      <w:r w:rsidR="00324F0D">
        <w:rPr>
          <w:rStyle w:val="FootnoteReference"/>
        </w:rPr>
        <w:footnoteReference w:id="30"/>
      </w:r>
      <w:r w:rsidR="00AF2221">
        <w:t xml:space="preserve"> Although </w:t>
      </w:r>
      <w:r w:rsidR="001033CD">
        <w:t xml:space="preserve">FGM/C could cause </w:t>
      </w:r>
      <w:r w:rsidR="00AF2221">
        <w:t>physiological effect</w:t>
      </w:r>
      <w:r w:rsidR="005E2AC2">
        <w:t>s</w:t>
      </w:r>
      <w:r w:rsidR="001033CD">
        <w:t xml:space="preserve"> on Muslim women and girls</w:t>
      </w:r>
      <w:r w:rsidR="005E2AC2">
        <w:t>, t</w:t>
      </w:r>
      <w:r w:rsidR="00B355FA">
        <w:t>here is enough scientific proof available today to prove FGM/C to be a harmful practice.</w:t>
      </w:r>
      <w:r w:rsidR="00B355FA">
        <w:rPr>
          <w:rStyle w:val="FootnoteReference"/>
        </w:rPr>
        <w:footnoteReference w:id="31"/>
      </w:r>
      <w:r w:rsidR="00B355FA">
        <w:t xml:space="preserve">  With 25% of women having long lasting complications whilst in some circumstances FGM/C can be performed in such a way that could make the sexual organs unable to function correctly</w:t>
      </w:r>
      <w:r w:rsidR="00876A2F">
        <w:t>,</w:t>
      </w:r>
      <w:r w:rsidR="00B355FA">
        <w:rPr>
          <w:rStyle w:val="FootnoteReference"/>
        </w:rPr>
        <w:footnoteReference w:id="32"/>
      </w:r>
      <w:r w:rsidR="00D222D5">
        <w:t xml:space="preserve"> a further risk being the spreading of sexually transmitted infections including HIV from the continual use of dirty medical instruments.</w:t>
      </w:r>
      <w:r w:rsidR="00D222D5" w:rsidRPr="00D222D5">
        <w:rPr>
          <w:rStyle w:val="FootnoteReference"/>
        </w:rPr>
        <w:t xml:space="preserve"> </w:t>
      </w:r>
      <w:r w:rsidR="00D222D5">
        <w:rPr>
          <w:rStyle w:val="FootnoteReference"/>
        </w:rPr>
        <w:footnoteReference w:id="33"/>
      </w:r>
      <w:r w:rsidR="00D222D5">
        <w:t xml:space="preserve"> </w:t>
      </w:r>
      <w:r w:rsidR="006A0AE6">
        <w:t xml:space="preserve">Islam as a religion </w:t>
      </w:r>
      <w:r w:rsidR="0022516B">
        <w:t>defends</w:t>
      </w:r>
      <w:r w:rsidR="006A0AE6">
        <w:t xml:space="preserve"> </w:t>
      </w:r>
      <w:r w:rsidR="0022516B">
        <w:t>the dignity, rights and wellbeing of each individual where FGM/C violates these rights which the religion supposedly supports.</w:t>
      </w:r>
      <w:r w:rsidR="0022516B">
        <w:rPr>
          <w:rStyle w:val="FootnoteReference"/>
        </w:rPr>
        <w:footnoteReference w:id="34"/>
      </w:r>
      <w:r w:rsidR="00911A34">
        <w:t xml:space="preserve"> </w:t>
      </w:r>
    </w:p>
    <w:p w14:paraId="271F6445" w14:textId="32DEDBFF" w:rsidR="00230484" w:rsidRDefault="00DF0024" w:rsidP="00230484">
      <w:r>
        <w:t>Women who practice FGM/C have very few career aspirations</w:t>
      </w:r>
      <w:r w:rsidR="00733977">
        <w:t>,</w:t>
      </w:r>
      <w:r>
        <w:rPr>
          <w:rStyle w:val="FootnoteReference"/>
        </w:rPr>
        <w:footnoteReference w:id="35"/>
      </w:r>
      <w:r w:rsidR="00733977">
        <w:t xml:space="preserve"> i</w:t>
      </w:r>
      <w:r w:rsidR="00EE49C3">
        <w:t>n East Africa “women have no power or influence; they have little access to education and are totally dominated by men.”</w:t>
      </w:r>
      <w:r w:rsidR="00EE49C3">
        <w:rPr>
          <w:rStyle w:val="FootnoteReference"/>
        </w:rPr>
        <w:footnoteReference w:id="36"/>
      </w:r>
      <w:r w:rsidR="00C761AC">
        <w:t xml:space="preserve"> </w:t>
      </w:r>
      <w:r w:rsidR="00230484">
        <w:t>This can further be supported as 27.9% of men want FGM/C to be stop</w:t>
      </w:r>
      <w:r w:rsidR="00733977">
        <w:t>ped compared to 37.5% of wo</w:t>
      </w:r>
      <w:r w:rsidR="000D7185">
        <w:t>men which could suggest how men</w:t>
      </w:r>
      <w:r w:rsidR="00733977">
        <w:t xml:space="preserve"> do not consider FGM/C </w:t>
      </w:r>
      <w:r w:rsidR="00230484">
        <w:t>as a problem</w:t>
      </w:r>
      <w:r w:rsidR="00340577">
        <w:t xml:space="preserve"> or to go against the human rights of women</w:t>
      </w:r>
      <w:r w:rsidR="00230484">
        <w:t xml:space="preserve"> but more of a </w:t>
      </w:r>
      <w:r w:rsidR="00340577">
        <w:t>G</w:t>
      </w:r>
      <w:r w:rsidR="000D7185">
        <w:t xml:space="preserve">od given </w:t>
      </w:r>
      <w:r w:rsidR="00230484">
        <w:t>rite</w:t>
      </w:r>
      <w:r w:rsidR="000D7185">
        <w:t xml:space="preserve"> in Islam</w:t>
      </w:r>
      <w:r w:rsidR="00230484">
        <w:t>.</w:t>
      </w:r>
      <w:r w:rsidR="00230484">
        <w:rPr>
          <w:rStyle w:val="FootnoteReference"/>
        </w:rPr>
        <w:footnoteReference w:id="37"/>
      </w:r>
    </w:p>
    <w:p w14:paraId="6FC39F3A" w14:textId="77777777" w:rsidR="00230484" w:rsidRDefault="00230484" w:rsidP="00230484"/>
    <w:p w14:paraId="0A368403" w14:textId="77777777" w:rsidR="004F1C47" w:rsidRPr="000D7185" w:rsidRDefault="00DE31FD" w:rsidP="004F1C47">
      <w:pPr>
        <w:rPr>
          <w:color w:val="FF0000"/>
        </w:rPr>
      </w:pPr>
      <w:r>
        <w:lastRenderedPageBreak/>
        <w:t>The</w:t>
      </w:r>
      <w:r w:rsidR="00F326F2">
        <w:t xml:space="preserve"> AAWORD</w:t>
      </w:r>
      <w:r>
        <w:rPr>
          <w:rStyle w:val="FootnoteReference"/>
        </w:rPr>
        <w:footnoteReference w:id="38"/>
      </w:r>
      <w:r w:rsidR="00F326F2">
        <w:t xml:space="preserve"> argues the need for further condemnation of FGM/C, “To be effective, westerners should attempt to fight against FGM by placing it in the context of ignorance and poverty and by questioning the structures and social relations that perpetuate the situation.”</w:t>
      </w:r>
      <w:r w:rsidR="00F326F2">
        <w:rPr>
          <w:rStyle w:val="FootnoteReference"/>
        </w:rPr>
        <w:footnoteReference w:id="39"/>
      </w:r>
      <w:r w:rsidR="004F1C47">
        <w:t xml:space="preserve"> </w:t>
      </w:r>
      <w:r w:rsidR="004F1C47" w:rsidRPr="004F1C47">
        <w:rPr>
          <w:color w:val="000000" w:themeColor="text1"/>
        </w:rPr>
        <w:t>Western activist who are approaching African and Middle Eastern countries in order to help eradicate FGM/C are often viewed with caution as they are suggested of imposing their western values on the community,</w:t>
      </w:r>
      <w:r w:rsidR="004F1C47" w:rsidRPr="004F1C47">
        <w:rPr>
          <w:rStyle w:val="FootnoteReference"/>
          <w:color w:val="000000" w:themeColor="text1"/>
        </w:rPr>
        <w:footnoteReference w:id="40"/>
      </w:r>
      <w:r w:rsidR="004F1C47" w:rsidRPr="004F1C47">
        <w:rPr>
          <w:color w:val="000000" w:themeColor="text1"/>
        </w:rPr>
        <w:t xml:space="preserve"> when actually their aim is to spread awareness of the issue and further support and empower women to break away from the norm of society.</w:t>
      </w:r>
    </w:p>
    <w:p w14:paraId="538F9A61" w14:textId="09AB4303" w:rsidR="004F1C47" w:rsidRDefault="004F1C47" w:rsidP="00EE2183"/>
    <w:p w14:paraId="2A218218" w14:textId="2C00423F" w:rsidR="00EE2183" w:rsidRDefault="000E5C71" w:rsidP="00EE2183">
      <w:r>
        <w:t>Ther</w:t>
      </w:r>
      <w:r w:rsidR="00CA207A">
        <w:t>e</w:t>
      </w:r>
      <w:r>
        <w:t xml:space="preserve"> are numerous organisations being set up </w:t>
      </w:r>
      <w:r w:rsidR="00886FC7">
        <w:t>globally in order to help women</w:t>
      </w:r>
      <w:r>
        <w:t xml:space="preserve"> to regain their rights in what they can do with their own body</w:t>
      </w:r>
      <w:r w:rsidR="00CA207A">
        <w:t xml:space="preserve"> with FGM/C being the manifestation of gender inequality. </w:t>
      </w:r>
      <w:r w:rsidR="000D0E7F">
        <w:t>UNFPA</w:t>
      </w:r>
      <w:r w:rsidR="00230484">
        <w:rPr>
          <w:rStyle w:val="FootnoteReference"/>
        </w:rPr>
        <w:footnoteReference w:id="41"/>
      </w:r>
      <w:r w:rsidR="000D0E7F">
        <w:t xml:space="preserve"> </w:t>
      </w:r>
      <w:r>
        <w:t>are working</w:t>
      </w:r>
      <w:r w:rsidR="000D0E7F">
        <w:t xml:space="preserve"> </w:t>
      </w:r>
      <w:r w:rsidR="00886FC7">
        <w:t xml:space="preserve">with the Kamala campaign in </w:t>
      </w:r>
      <w:r w:rsidR="000D0E7F">
        <w:t>Egypt working against FGM/C</w:t>
      </w:r>
      <w:r>
        <w:t xml:space="preserve"> </w:t>
      </w:r>
      <w:r w:rsidR="00D53559">
        <w:t>with GAMCOTRAP</w:t>
      </w:r>
      <w:r w:rsidR="00230484">
        <w:rPr>
          <w:rStyle w:val="FootnoteReference"/>
        </w:rPr>
        <w:footnoteReference w:id="42"/>
      </w:r>
      <w:r w:rsidR="00D53559">
        <w:t xml:space="preserve"> hosting the </w:t>
      </w:r>
      <w:r w:rsidR="00EE2183">
        <w:t xml:space="preserve">Dropping </w:t>
      </w:r>
      <w:r w:rsidR="00D53559">
        <w:t xml:space="preserve">of </w:t>
      </w:r>
      <w:r w:rsidR="00EE2183">
        <w:t>the knife ceremony</w:t>
      </w:r>
      <w:r w:rsidR="00D53559">
        <w:t xml:space="preserve"> in Gambia. </w:t>
      </w:r>
      <w:r w:rsidR="00C426EF">
        <w:t>In 2010 WHO</w:t>
      </w:r>
      <w:r w:rsidR="00C426EF">
        <w:rPr>
          <w:rStyle w:val="FootnoteReference"/>
        </w:rPr>
        <w:footnoteReference w:id="43"/>
      </w:r>
      <w:r w:rsidR="0057179B">
        <w:t xml:space="preserve"> released the “Global strategy to stop health care providers from preforming female genital mutilation”.</w:t>
      </w:r>
      <w:r w:rsidR="0057179B">
        <w:rPr>
          <w:rStyle w:val="FootnoteReference"/>
        </w:rPr>
        <w:footnoteReference w:id="44"/>
      </w:r>
      <w:r w:rsidR="000C09D8">
        <w:t>The IICPSR</w:t>
      </w:r>
      <w:r w:rsidR="000C09D8">
        <w:rPr>
          <w:rStyle w:val="FootnoteReference"/>
        </w:rPr>
        <w:footnoteReference w:id="45"/>
      </w:r>
      <w:r w:rsidR="000C09D8">
        <w:t>set up training programmes for Muslim religious leaders in Egypt to educate them on the issue of FGM/C.</w:t>
      </w:r>
      <w:r w:rsidR="000C09D8">
        <w:rPr>
          <w:rStyle w:val="FootnoteReference"/>
        </w:rPr>
        <w:footnoteReference w:id="46"/>
      </w:r>
      <w:r w:rsidR="000C09D8">
        <w:t xml:space="preserve"> </w:t>
      </w:r>
      <w:r w:rsidR="00340577">
        <w:t>It is clear from th</w:t>
      </w:r>
      <w:r w:rsidR="00D53559">
        <w:t xml:space="preserve">e work which is being done </w:t>
      </w:r>
      <w:r w:rsidR="00340577">
        <w:t xml:space="preserve">by these organisations alongside the work </w:t>
      </w:r>
      <w:r w:rsidR="00D53559">
        <w:t>within education and the media an e</w:t>
      </w:r>
      <w:r w:rsidR="00230484">
        <w:t>ffort is being made in order to help Muslim women to overcome this contemporary issue</w:t>
      </w:r>
      <w:r w:rsidR="00A10537">
        <w:t>.</w:t>
      </w:r>
    </w:p>
    <w:p w14:paraId="21556A36" w14:textId="77777777" w:rsidR="00BD6C5E" w:rsidRDefault="00BD6C5E"/>
    <w:p w14:paraId="759199DB" w14:textId="6454919A" w:rsidR="009621FD" w:rsidRDefault="009621FD">
      <w:r>
        <w:t>The role of</w:t>
      </w:r>
      <w:r w:rsidR="004C179C">
        <w:t xml:space="preserve"> women in the M</w:t>
      </w:r>
      <w:r w:rsidR="009E65EF">
        <w:t>uslim Brotherhood otherwise known as the MB</w:t>
      </w:r>
      <w:r>
        <w:t xml:space="preserve"> is an extremely </w:t>
      </w:r>
      <w:r w:rsidR="00D1528E">
        <w:t>current</w:t>
      </w:r>
      <w:r>
        <w:t xml:space="preserve"> issue as the Muslim sisters, being the</w:t>
      </w:r>
      <w:r w:rsidR="00825F30">
        <w:t xml:space="preserve"> largest resistance group in Egypt</w:t>
      </w:r>
      <w:r w:rsidR="00B66CB0">
        <w:rPr>
          <w:rStyle w:val="FootnoteReference"/>
        </w:rPr>
        <w:footnoteReference w:id="47"/>
      </w:r>
      <w:r w:rsidR="00825F30">
        <w:t xml:space="preserve"> </w:t>
      </w:r>
      <w:r>
        <w:t xml:space="preserve">share the same political stance in which is being put forward by the current </w:t>
      </w:r>
      <w:r w:rsidR="00393D8F">
        <w:t>government</w:t>
      </w:r>
      <w:r>
        <w:t>.</w:t>
      </w:r>
      <w:r w:rsidR="00393D8F">
        <w:rPr>
          <w:rStyle w:val="FootnoteReference"/>
        </w:rPr>
        <w:footnoteReference w:id="48"/>
      </w:r>
      <w:r w:rsidR="00D1528E">
        <w:t xml:space="preserve"> </w:t>
      </w:r>
      <w:r w:rsidR="00B22F4F">
        <w:t>The MB</w:t>
      </w:r>
      <w:r w:rsidR="00E83F90">
        <w:t xml:space="preserve">, the largest Islamic </w:t>
      </w:r>
      <w:r w:rsidR="00886FC7">
        <w:t>organisation</w:t>
      </w:r>
      <w:r w:rsidR="00B22F4F">
        <w:t xml:space="preserve"> </w:t>
      </w:r>
      <w:r w:rsidR="008B1236">
        <w:t>established by Hasan al-Banna who understood the t</w:t>
      </w:r>
      <w:r w:rsidR="00886FC7">
        <w:t xml:space="preserve">rue </w:t>
      </w:r>
      <w:r w:rsidR="008B1236">
        <w:t xml:space="preserve">principles of Islam </w:t>
      </w:r>
      <w:r w:rsidR="00BD6C5E">
        <w:t xml:space="preserve">which </w:t>
      </w:r>
      <w:r w:rsidR="008B1236">
        <w:t>would help Egypt survive against British rule</w:t>
      </w:r>
      <w:r w:rsidR="008B1236">
        <w:rPr>
          <w:rStyle w:val="FootnoteReference"/>
        </w:rPr>
        <w:footnoteReference w:id="49"/>
      </w:r>
      <w:r w:rsidR="00206403">
        <w:t>, but</w:t>
      </w:r>
      <w:r w:rsidR="006C1859">
        <w:t xml:space="preserve"> al-Banna</w:t>
      </w:r>
      <w:r w:rsidR="00206403">
        <w:t xml:space="preserve"> also realised the support in which women could offer the group.</w:t>
      </w:r>
      <w:r w:rsidR="00206403">
        <w:rPr>
          <w:rStyle w:val="FootnoteReference"/>
        </w:rPr>
        <w:footnoteReference w:id="50"/>
      </w:r>
      <w:r w:rsidR="008B1236">
        <w:t xml:space="preserve"> </w:t>
      </w:r>
      <w:r w:rsidR="00831D35">
        <w:t xml:space="preserve">With the Muslim Sisters </w:t>
      </w:r>
      <w:r w:rsidR="00B66CB0">
        <w:t xml:space="preserve">being established </w:t>
      </w:r>
      <w:r w:rsidR="00B66CB0" w:rsidRPr="000D58CD">
        <w:t>in 1932</w:t>
      </w:r>
      <w:r w:rsidR="00460546">
        <w:t xml:space="preserve"> but previously being known as ferqat al-akhawaat al-muslimaat, the Muslim Sisters Group</w:t>
      </w:r>
      <w:r w:rsidR="002D6D0D">
        <w:t xml:space="preserve"> which aimed to uphold the Islamic ethos through women</w:t>
      </w:r>
      <w:r w:rsidR="00802850">
        <w:t>’</w:t>
      </w:r>
      <w:r w:rsidR="002D6D0D">
        <w:t>s-only meetings.</w:t>
      </w:r>
      <w:r w:rsidR="002D6D0D">
        <w:rPr>
          <w:rStyle w:val="FootnoteReference"/>
        </w:rPr>
        <w:footnoteReference w:id="51"/>
      </w:r>
      <w:r w:rsidR="00460546">
        <w:t xml:space="preserve"> </w:t>
      </w:r>
      <w:r w:rsidR="002D6D0D">
        <w:t xml:space="preserve">Al-Banna approached </w:t>
      </w:r>
      <w:r w:rsidR="00BB0C66">
        <w:t>the most influential figure to the group</w:t>
      </w:r>
      <w:r w:rsidR="00623C48">
        <w:t xml:space="preserve"> also being known to many as an icon</w:t>
      </w:r>
      <w:r w:rsidR="00BB0C66">
        <w:t xml:space="preserve"> being </w:t>
      </w:r>
      <w:r w:rsidR="002F40C3">
        <w:t>Zeinab a</w:t>
      </w:r>
      <w:r w:rsidR="008B1236">
        <w:t>l-</w:t>
      </w:r>
      <w:r w:rsidR="00BB0C66">
        <w:t>Ghazali.</w:t>
      </w:r>
      <w:r w:rsidR="00000B18">
        <w:rPr>
          <w:rStyle w:val="FootnoteReference"/>
        </w:rPr>
        <w:footnoteReference w:id="52"/>
      </w:r>
      <w:r w:rsidR="00000B18">
        <w:t xml:space="preserve"> </w:t>
      </w:r>
      <w:r w:rsidR="00BB0C66">
        <w:t xml:space="preserve"> </w:t>
      </w:r>
      <w:r w:rsidR="005B57B3">
        <w:t>Al</w:t>
      </w:r>
      <w:r w:rsidR="008B1236">
        <w:t>-</w:t>
      </w:r>
      <w:r w:rsidR="005B57B3">
        <w:t>Ghazali was a former member of the EFU</w:t>
      </w:r>
      <w:r w:rsidR="005B57B3">
        <w:rPr>
          <w:rStyle w:val="FootnoteReference"/>
        </w:rPr>
        <w:footnoteReference w:id="53"/>
      </w:r>
      <w:r w:rsidR="005B57B3">
        <w:t xml:space="preserve"> </w:t>
      </w:r>
      <w:r w:rsidR="005B57B3">
        <w:lastRenderedPageBreak/>
        <w:t>but eventually left to establish the MLA</w:t>
      </w:r>
      <w:r w:rsidR="005B57B3">
        <w:rPr>
          <w:rStyle w:val="FootnoteReference"/>
        </w:rPr>
        <w:footnoteReference w:id="54"/>
      </w:r>
      <w:r w:rsidR="005B57B3">
        <w:t xml:space="preserve">. She gained a lot of recognition due to leaving a secular feminist organisation to establishing an Islam centred </w:t>
      </w:r>
      <w:r w:rsidR="00EE5592">
        <w:t>women’s</w:t>
      </w:r>
      <w:r w:rsidR="005B57B3">
        <w:t xml:space="preserve"> movement.</w:t>
      </w:r>
      <w:r w:rsidR="005B57B3">
        <w:rPr>
          <w:rStyle w:val="FootnoteReference"/>
        </w:rPr>
        <w:footnoteReference w:id="55"/>
      </w:r>
      <w:r w:rsidR="006C1EAF">
        <w:t xml:space="preserve"> When al-Banna first approached </w:t>
      </w:r>
      <w:r w:rsidR="008B1236">
        <w:t>al-</w:t>
      </w:r>
      <w:r w:rsidR="00EC1EB3">
        <w:t>Ghazali</w:t>
      </w:r>
      <w:r w:rsidR="006C1EAF">
        <w:t xml:space="preserve"> to beco</w:t>
      </w:r>
      <w:r w:rsidR="00EE5592">
        <w:t>me a part of the MB</w:t>
      </w:r>
      <w:r w:rsidR="006C1EAF">
        <w:t xml:space="preserve"> she declined where she instead wanted to focus on her own work</w:t>
      </w:r>
      <w:r w:rsidR="00EA09A6">
        <w:rPr>
          <w:rStyle w:val="FootnoteReference"/>
        </w:rPr>
        <w:footnoteReference w:id="56"/>
      </w:r>
      <w:r w:rsidR="00EA09A6">
        <w:t xml:space="preserve"> but finally accepted al-Banna’s invitation</w:t>
      </w:r>
      <w:r w:rsidR="00EE5592">
        <w:t xml:space="preserve"> where she continued her work as a </w:t>
      </w:r>
      <w:r w:rsidR="00EC1EB3">
        <w:t xml:space="preserve">political activist </w:t>
      </w:r>
      <w:r w:rsidR="00EE5592">
        <w:t xml:space="preserve">but was </w:t>
      </w:r>
      <w:r w:rsidR="00EA09A6">
        <w:t>eventually</w:t>
      </w:r>
      <w:r w:rsidR="00EE5592">
        <w:t xml:space="preserve"> imprisoned and tortured.</w:t>
      </w:r>
      <w:r w:rsidR="00EE5592">
        <w:rPr>
          <w:rStyle w:val="FootnoteReference"/>
        </w:rPr>
        <w:footnoteReference w:id="57"/>
      </w:r>
      <w:r w:rsidR="00EE5592">
        <w:t xml:space="preserve"> </w:t>
      </w:r>
      <w:r w:rsidR="00220735">
        <w:t xml:space="preserve">When </w:t>
      </w:r>
      <w:r w:rsidR="00DE3749">
        <w:t>released from prison in 1971 al-</w:t>
      </w:r>
      <w:r w:rsidR="00220735">
        <w:t>Ghazali continued to reject the Western concepts of careers and job equality within the Muslim Sisters but the promotion of a strong Islamic society.</w:t>
      </w:r>
      <w:r w:rsidR="00220735">
        <w:rPr>
          <w:rStyle w:val="FootnoteReference"/>
        </w:rPr>
        <w:footnoteReference w:id="58"/>
      </w:r>
    </w:p>
    <w:p w14:paraId="6BFFE3EA" w14:textId="283CE51B" w:rsidR="00BD6C5E" w:rsidRDefault="009A41AD">
      <w:r>
        <w:t>A</w:t>
      </w:r>
      <w:r w:rsidR="00DE3749">
        <w:t>l-Ghazali</w:t>
      </w:r>
      <w:r>
        <w:t xml:space="preserve"> believed in gender roles and that leadership roles are explicitly mad</w:t>
      </w:r>
      <w:r w:rsidR="00445FC6">
        <w:t>e for where the woman represent</w:t>
      </w:r>
      <w:r>
        <w:t xml:space="preserve"> the home being the primary care giver</w:t>
      </w:r>
      <w:r w:rsidR="000C614E">
        <w:t xml:space="preserve"> and educate the future mujhadeen</w:t>
      </w:r>
      <w:r w:rsidR="00DB560E">
        <w:t>.</w:t>
      </w:r>
      <w:r w:rsidR="000C614E">
        <w:rPr>
          <w:rStyle w:val="FootnoteReference"/>
        </w:rPr>
        <w:footnoteReference w:id="59"/>
      </w:r>
      <w:r w:rsidR="00DB560E">
        <w:t xml:space="preserve"> I</w:t>
      </w:r>
      <w:r w:rsidR="00451549">
        <w:t>n Islam</w:t>
      </w:r>
      <w:r>
        <w:t xml:space="preserve"> both sexes are regarded as equal</w:t>
      </w:r>
      <w:r>
        <w:rPr>
          <w:rStyle w:val="FootnoteReference"/>
        </w:rPr>
        <w:footnoteReference w:id="60"/>
      </w:r>
      <w:r w:rsidR="00463F54">
        <w:t xml:space="preserve"> where women had sufficient </w:t>
      </w:r>
      <w:r w:rsidR="00B23161">
        <w:t>responsibilities</w:t>
      </w:r>
      <w:r w:rsidR="00463F54">
        <w:t xml:space="preserve"> for them not to strive for equal political representation.</w:t>
      </w:r>
      <w:r w:rsidR="00463F54">
        <w:rPr>
          <w:rStyle w:val="FootnoteReference"/>
        </w:rPr>
        <w:footnoteReference w:id="61"/>
      </w:r>
      <w:r w:rsidR="00445FC6">
        <w:t xml:space="preserve"> </w:t>
      </w:r>
      <w:r w:rsidR="000D7185">
        <w:t>The S</w:t>
      </w:r>
      <w:r w:rsidR="004E157A">
        <w:t>isters</w:t>
      </w:r>
      <w:r w:rsidR="000D7185">
        <w:t xml:space="preserve"> were not encouraged</w:t>
      </w:r>
      <w:r w:rsidR="004E157A">
        <w:t xml:space="preserve"> to run for governmental positions, only to have an active rol</w:t>
      </w:r>
      <w:r w:rsidR="00445FC6">
        <w:t xml:space="preserve">e as voters and campaigners </w:t>
      </w:r>
      <w:r w:rsidR="004E157A">
        <w:t>to inspire women outside of the sphere to interact with the political world.</w:t>
      </w:r>
      <w:r w:rsidR="004E157A">
        <w:rPr>
          <w:rStyle w:val="FootnoteReference"/>
        </w:rPr>
        <w:footnoteReference w:id="62"/>
      </w:r>
      <w:r w:rsidR="001E72FD">
        <w:t xml:space="preserve"> </w:t>
      </w:r>
    </w:p>
    <w:p w14:paraId="181A22D6" w14:textId="77777777" w:rsidR="00877BA3" w:rsidRDefault="00877BA3">
      <w:pPr>
        <w:rPr>
          <w:color w:val="FF0000"/>
        </w:rPr>
      </w:pPr>
    </w:p>
    <w:p w14:paraId="7534C309" w14:textId="432DF5FB" w:rsidR="00D222D5" w:rsidRDefault="00D222D5" w:rsidP="000D7185">
      <w:pPr>
        <w:rPr>
          <w:color w:val="000000" w:themeColor="text1"/>
        </w:rPr>
      </w:pPr>
      <w:r w:rsidRPr="00D222D5">
        <w:rPr>
          <w:color w:val="000000" w:themeColor="text1"/>
        </w:rPr>
        <w:t>During the 1970’s and 1980’s the reimplementation of the veil in Egypt signified the continual popularity of the MB</w:t>
      </w:r>
      <w:r w:rsidRPr="00D222D5">
        <w:rPr>
          <w:rStyle w:val="FootnoteReference"/>
          <w:color w:val="000000" w:themeColor="text1"/>
        </w:rPr>
        <w:footnoteReference w:id="63"/>
      </w:r>
      <w:r w:rsidRPr="00D222D5">
        <w:rPr>
          <w:color w:val="000000" w:themeColor="text1"/>
        </w:rPr>
        <w:t xml:space="preserve"> as the Muslim Sisters were often veiled in a plain headscarf and loose clothing, however religious dress was not prescribed to the brotherhood, El-Banna stated ‘If she felt safe from causing sedition, then is permissible for her and if not, then it is religiously prohibited (haram).”</w:t>
      </w:r>
      <w:r w:rsidRPr="00D222D5">
        <w:rPr>
          <w:rStyle w:val="FootnoteReference"/>
          <w:color w:val="000000" w:themeColor="text1"/>
        </w:rPr>
        <w:footnoteReference w:id="64"/>
      </w:r>
      <w:r w:rsidR="00DB560E">
        <w:rPr>
          <w:color w:val="000000" w:themeColor="text1"/>
        </w:rPr>
        <w:t xml:space="preserve"> </w:t>
      </w:r>
      <w:r w:rsidR="008C647B" w:rsidRPr="00DB560E">
        <w:rPr>
          <w:color w:val="000000" w:themeColor="text1"/>
        </w:rPr>
        <w:t>The issue of Islamic dress is a prevalent matter for Muslim women in the 21</w:t>
      </w:r>
      <w:r w:rsidR="008C647B" w:rsidRPr="00DB560E">
        <w:rPr>
          <w:color w:val="000000" w:themeColor="text1"/>
          <w:vertAlign w:val="superscript"/>
        </w:rPr>
        <w:t>st</w:t>
      </w:r>
      <w:r w:rsidR="008C647B" w:rsidRPr="00DB560E">
        <w:rPr>
          <w:color w:val="000000" w:themeColor="text1"/>
        </w:rPr>
        <w:t xml:space="preserve"> century,</w:t>
      </w:r>
      <w:r w:rsidR="008C647B" w:rsidRPr="00DB560E">
        <w:rPr>
          <w:rStyle w:val="FootnoteReference"/>
          <w:color w:val="000000" w:themeColor="text1"/>
        </w:rPr>
        <w:footnoteReference w:id="65"/>
      </w:r>
      <w:r w:rsidRPr="00DB560E">
        <w:rPr>
          <w:color w:val="000000" w:themeColor="text1"/>
        </w:rPr>
        <w:t xml:space="preserve"> </w:t>
      </w:r>
      <w:r w:rsidR="008C647B" w:rsidRPr="00DB560E">
        <w:rPr>
          <w:color w:val="000000" w:themeColor="text1"/>
        </w:rPr>
        <w:t>a</w:t>
      </w:r>
      <w:r w:rsidR="00E218D5" w:rsidRPr="00DB560E">
        <w:rPr>
          <w:color w:val="000000" w:themeColor="text1"/>
        </w:rPr>
        <w:t>lthough the S</w:t>
      </w:r>
      <w:r w:rsidR="008C647B" w:rsidRPr="00DB560E">
        <w:rPr>
          <w:color w:val="000000" w:themeColor="text1"/>
        </w:rPr>
        <w:t>isters here were</w:t>
      </w:r>
      <w:r w:rsidRPr="00DB560E">
        <w:rPr>
          <w:color w:val="000000" w:themeColor="text1"/>
        </w:rPr>
        <w:t xml:space="preserve"> pr</w:t>
      </w:r>
      <w:r w:rsidR="00E218D5" w:rsidRPr="00DB560E">
        <w:rPr>
          <w:color w:val="000000" w:themeColor="text1"/>
        </w:rPr>
        <w:t>ovided the option whether to wear Islamic dress</w:t>
      </w:r>
      <w:r w:rsidRPr="00DB560E">
        <w:rPr>
          <w:color w:val="000000" w:themeColor="text1"/>
        </w:rPr>
        <w:t xml:space="preserve"> or not </w:t>
      </w:r>
      <w:r w:rsidR="008C647B" w:rsidRPr="00DB560E">
        <w:rPr>
          <w:color w:val="000000" w:themeColor="text1"/>
        </w:rPr>
        <w:t xml:space="preserve">signifies the rights to which these </w:t>
      </w:r>
      <w:r w:rsidRPr="00DB560E">
        <w:rPr>
          <w:color w:val="000000" w:themeColor="text1"/>
        </w:rPr>
        <w:t>women</w:t>
      </w:r>
      <w:r w:rsidR="006346AF" w:rsidRPr="00DB560E">
        <w:rPr>
          <w:color w:val="000000" w:themeColor="text1"/>
        </w:rPr>
        <w:t xml:space="preserve"> had </w:t>
      </w:r>
      <w:r w:rsidRPr="00DB560E">
        <w:rPr>
          <w:color w:val="000000" w:themeColor="text1"/>
        </w:rPr>
        <w:t xml:space="preserve">however </w:t>
      </w:r>
      <w:r w:rsidR="00E218D5" w:rsidRPr="00DB560E">
        <w:rPr>
          <w:color w:val="000000" w:themeColor="text1"/>
        </w:rPr>
        <w:t>are instructed to</w:t>
      </w:r>
      <w:r w:rsidR="006346AF" w:rsidRPr="00DB560E">
        <w:rPr>
          <w:color w:val="000000" w:themeColor="text1"/>
        </w:rPr>
        <w:t xml:space="preserve"> veil if they cannot avoid seducing</w:t>
      </w:r>
      <w:r w:rsidR="00E218D5" w:rsidRPr="00DB560E">
        <w:rPr>
          <w:color w:val="000000" w:themeColor="text1"/>
        </w:rPr>
        <w:t xml:space="preserve"> men</w:t>
      </w:r>
      <w:r w:rsidR="006346AF" w:rsidRPr="00DB560E">
        <w:rPr>
          <w:color w:val="000000" w:themeColor="text1"/>
        </w:rPr>
        <w:t xml:space="preserve"> unveiled</w:t>
      </w:r>
      <w:r w:rsidR="00E218D5" w:rsidRPr="00DB560E">
        <w:rPr>
          <w:color w:val="000000" w:themeColor="text1"/>
        </w:rPr>
        <w:t xml:space="preserve">. </w:t>
      </w:r>
      <w:r w:rsidR="0091736F" w:rsidRPr="00DB560E">
        <w:rPr>
          <w:color w:val="000000" w:themeColor="text1"/>
        </w:rPr>
        <w:t>Therefore,</w:t>
      </w:r>
      <w:r w:rsidR="00E218D5" w:rsidRPr="00DB560E">
        <w:rPr>
          <w:color w:val="000000" w:themeColor="text1"/>
        </w:rPr>
        <w:t xml:space="preserve"> the Sisters who unde</w:t>
      </w:r>
      <w:r w:rsidR="006346AF" w:rsidRPr="00DB560E">
        <w:rPr>
          <w:color w:val="000000" w:themeColor="text1"/>
        </w:rPr>
        <w:t>rtook Islamic dress in order not to be a distraction to men</w:t>
      </w:r>
      <w:r w:rsidR="00E218D5" w:rsidRPr="00DB560E">
        <w:rPr>
          <w:color w:val="000000" w:themeColor="text1"/>
        </w:rPr>
        <w:t xml:space="preserve">, not </w:t>
      </w:r>
      <w:r w:rsidR="00AD4AEB" w:rsidRPr="00DB560E">
        <w:rPr>
          <w:color w:val="000000" w:themeColor="text1"/>
        </w:rPr>
        <w:t>to express their Muslim identity</w:t>
      </w:r>
      <w:r w:rsidR="006346AF" w:rsidRPr="00DB560E">
        <w:rPr>
          <w:color w:val="000000" w:themeColor="text1"/>
        </w:rPr>
        <w:t xml:space="preserve"> and modesty</w:t>
      </w:r>
      <w:r w:rsidR="00AD4AEB" w:rsidRPr="00DB560E">
        <w:rPr>
          <w:color w:val="000000" w:themeColor="text1"/>
        </w:rPr>
        <w:t xml:space="preserve"> where Muslim women hope to display their political and social affiliation with their country of bi</w:t>
      </w:r>
      <w:r w:rsidR="008C647B" w:rsidRPr="00DB560E">
        <w:rPr>
          <w:color w:val="000000" w:themeColor="text1"/>
        </w:rPr>
        <w:t>rth</w:t>
      </w:r>
      <w:r w:rsidR="006346AF" w:rsidRPr="00DB560E">
        <w:rPr>
          <w:color w:val="000000" w:themeColor="text1"/>
        </w:rPr>
        <w:t>.</w:t>
      </w:r>
      <w:r w:rsidR="008C647B" w:rsidRPr="00DB560E">
        <w:rPr>
          <w:rStyle w:val="FootnoteReference"/>
          <w:color w:val="000000" w:themeColor="text1"/>
        </w:rPr>
        <w:footnoteReference w:id="66"/>
      </w:r>
    </w:p>
    <w:p w14:paraId="4110F1AF" w14:textId="5542685D" w:rsidR="000D7185" w:rsidRDefault="00271A79" w:rsidP="000D7185">
      <w:r>
        <w:t>The MB argue how a woman is unable to undertake a</w:t>
      </w:r>
      <w:r w:rsidR="00BD6C5E">
        <w:t xml:space="preserve"> position of power and </w:t>
      </w:r>
      <w:r>
        <w:t>need</w:t>
      </w:r>
      <w:r w:rsidR="00DB560E">
        <w:t>s</w:t>
      </w:r>
      <w:r>
        <w:t xml:space="preserve"> protection.</w:t>
      </w:r>
      <w:r>
        <w:rPr>
          <w:rStyle w:val="FootnoteReference"/>
        </w:rPr>
        <w:footnoteReference w:id="67"/>
      </w:r>
      <w:r w:rsidR="00463F54">
        <w:t>In the</w:t>
      </w:r>
      <w:r w:rsidR="000D7185">
        <w:t xml:space="preserve"> present day the focus for the S</w:t>
      </w:r>
      <w:r w:rsidR="00463F54">
        <w:t xml:space="preserve">isters is to implement the Islamic </w:t>
      </w:r>
      <w:r w:rsidR="00463F54">
        <w:lastRenderedPageBreak/>
        <w:t>curriculum into the homes of the MB</w:t>
      </w:r>
      <w:r w:rsidR="00BD6C5E">
        <w:t xml:space="preserve"> whilst promoting the political party</w:t>
      </w:r>
      <w:r w:rsidR="00463F54">
        <w:t>.</w:t>
      </w:r>
      <w:r w:rsidR="00463F54">
        <w:rPr>
          <w:rStyle w:val="FootnoteReference"/>
        </w:rPr>
        <w:footnoteReference w:id="68"/>
      </w:r>
      <w:r w:rsidR="00463F54">
        <w:t xml:space="preserve"> </w:t>
      </w:r>
      <w:r w:rsidR="000D7185">
        <w:t>Farag notes “The role of the Muslim Sisters has been significant in regards to preserving and enhancing the religious element in Egypt’s everyday life, where sharia is only concerned with protecting the family nucleus from foreign laws and intervention for the betterment of the Islamic society.”</w:t>
      </w:r>
      <w:r w:rsidR="000D7185">
        <w:rPr>
          <w:rStyle w:val="FootnoteReference"/>
        </w:rPr>
        <w:footnoteReference w:id="69"/>
      </w:r>
    </w:p>
    <w:p w14:paraId="6DC86BB4" w14:textId="1303E18F" w:rsidR="009621FD" w:rsidRDefault="00C478F9">
      <w:r>
        <w:t xml:space="preserve">The </w:t>
      </w:r>
      <w:r w:rsidR="00886FC7">
        <w:t xml:space="preserve">Muslim Sisters do not </w:t>
      </w:r>
      <w:r w:rsidR="00B317CF">
        <w:t>support the idea of feminism as it embodies western concepts</w:t>
      </w:r>
      <w:r w:rsidR="00B317CF">
        <w:rPr>
          <w:rStyle w:val="FootnoteReference"/>
        </w:rPr>
        <w:footnoteReference w:id="70"/>
      </w:r>
      <w:r w:rsidR="002A19E2">
        <w:t xml:space="preserve"> which essentially destroys the family unit.</w:t>
      </w:r>
      <w:r w:rsidR="002A19E2">
        <w:rPr>
          <w:rStyle w:val="FootnoteReference"/>
        </w:rPr>
        <w:footnoteReference w:id="71"/>
      </w:r>
      <w:r w:rsidR="00CB3AFF">
        <w:t xml:space="preserve"> It is suggested the Muslim Sisters have achieved the desires of Egyptian women through achieving female involvement within parliament. With this being a step in the right direction of empowe</w:t>
      </w:r>
      <w:r w:rsidR="008F770D">
        <w:t>ring Muslim women in Egypt the S</w:t>
      </w:r>
      <w:r w:rsidR="00CB3AFF">
        <w:t xml:space="preserve">isters are only viewed to be symbolic representation </w:t>
      </w:r>
      <w:r w:rsidR="00D84F98">
        <w:t xml:space="preserve">of the government involving the minority community. </w:t>
      </w:r>
    </w:p>
    <w:p w14:paraId="7EBB4B6A" w14:textId="41A804FA" w:rsidR="00295DB4" w:rsidRDefault="001401C3">
      <w:r>
        <w:t xml:space="preserve">The </w:t>
      </w:r>
      <w:r w:rsidR="00DC3333">
        <w:t>Muslim Sisters aim to gain representation in Egypt’s government</w:t>
      </w:r>
      <w:r w:rsidR="002D62BA">
        <w:t xml:space="preserve"> however disvalue the right of a Muslim women t</w:t>
      </w:r>
      <w:r w:rsidR="00DB560E">
        <w:t>o fulfil lifelong aspirations of</w:t>
      </w:r>
      <w:r w:rsidR="002D62BA">
        <w:t xml:space="preserve"> a career</w:t>
      </w:r>
      <w:r w:rsidR="00DC3333">
        <w:t>.</w:t>
      </w:r>
      <w:r w:rsidR="00DC3333">
        <w:rPr>
          <w:rStyle w:val="FootnoteReference"/>
        </w:rPr>
        <w:footnoteReference w:id="72"/>
      </w:r>
      <w:r w:rsidR="009D553F">
        <w:t xml:space="preserve"> </w:t>
      </w:r>
      <w:r w:rsidR="00CC11DF">
        <w:t>The AAW</w:t>
      </w:r>
      <w:r w:rsidR="00CC11DF">
        <w:rPr>
          <w:rStyle w:val="FootnoteReference"/>
        </w:rPr>
        <w:footnoteReference w:id="73"/>
      </w:r>
      <w:r w:rsidR="00CC11DF">
        <w:t xml:space="preserve"> note a </w:t>
      </w:r>
      <w:r w:rsidR="00886FC7">
        <w:t>women’s</w:t>
      </w:r>
      <w:r w:rsidR="00CC11DF">
        <w:t xml:space="preserve"> involvement in </w:t>
      </w:r>
      <w:r w:rsidR="007077C1">
        <w:t>parliamentary</w:t>
      </w:r>
      <w:r w:rsidR="00CC11DF">
        <w:t xml:space="preserve"> elections could risk her reputation and social standing in a male domi</w:t>
      </w:r>
      <w:r w:rsidR="007077C1">
        <w:t xml:space="preserve">nated </w:t>
      </w:r>
      <w:r w:rsidR="00886FC7">
        <w:t>environment</w:t>
      </w:r>
      <w:r w:rsidR="00CC11DF">
        <w:t>.</w:t>
      </w:r>
      <w:r w:rsidR="00CC11DF">
        <w:rPr>
          <w:rStyle w:val="FootnoteReference"/>
        </w:rPr>
        <w:footnoteReference w:id="74"/>
      </w:r>
      <w:r w:rsidR="000D7185">
        <w:t xml:space="preserve"> </w:t>
      </w:r>
      <w:r>
        <w:t>The Muslim S</w:t>
      </w:r>
      <w:r w:rsidR="00295DB4">
        <w:t>isters were included into the MB 2000 election manifesto</w:t>
      </w:r>
      <w:r w:rsidR="00A26075">
        <w:t xml:space="preserve"> with the first female candidate</w:t>
      </w:r>
      <w:r w:rsidR="00DB560E">
        <w:t xml:space="preserve"> running in the election</w:t>
      </w:r>
      <w:r w:rsidR="00A26075">
        <w:rPr>
          <w:rStyle w:val="FootnoteReference"/>
        </w:rPr>
        <w:footnoteReference w:id="75"/>
      </w:r>
      <w:r w:rsidR="00A26075">
        <w:t xml:space="preserve"> </w:t>
      </w:r>
      <w:r w:rsidR="000D7185">
        <w:t>in order to ensure the B</w:t>
      </w:r>
      <w:r w:rsidR="00295DB4">
        <w:t>rotherhood would not face the security restrictions faced previously</w:t>
      </w:r>
      <w:r w:rsidR="00886FC7">
        <w:t>,</w:t>
      </w:r>
      <w:r w:rsidR="00295DB4">
        <w:rPr>
          <w:rStyle w:val="FootnoteReference"/>
        </w:rPr>
        <w:footnoteReference w:id="76"/>
      </w:r>
      <w:r w:rsidR="00886FC7">
        <w:t xml:space="preserve"> which could suggest that they were not included by the MB as </w:t>
      </w:r>
      <w:r w:rsidR="000D7185">
        <w:t xml:space="preserve">women deserved the right to </w:t>
      </w:r>
      <w:r w:rsidR="008F770D">
        <w:t xml:space="preserve">run </w:t>
      </w:r>
      <w:r w:rsidR="000D7185">
        <w:t xml:space="preserve">in the election </w:t>
      </w:r>
      <w:r w:rsidR="00886FC7">
        <w:t>but as a strategy to ensure violence wouldn’t o</w:t>
      </w:r>
      <w:r>
        <w:t xml:space="preserve">ccur during the campaign </w:t>
      </w:r>
      <w:r w:rsidR="00886FC7">
        <w:t xml:space="preserve">ensuring bad press </w:t>
      </w:r>
      <w:r w:rsidR="000D7185">
        <w:t xml:space="preserve">would not be put </w:t>
      </w:r>
      <w:r w:rsidR="00886FC7">
        <w:t>on the party.</w:t>
      </w:r>
      <w:r w:rsidR="00DB560E">
        <w:rPr>
          <w:rStyle w:val="FootnoteReference"/>
        </w:rPr>
        <w:footnoteReference w:id="77"/>
      </w:r>
    </w:p>
    <w:p w14:paraId="3BD82A18" w14:textId="77777777" w:rsidR="00F97D69" w:rsidRDefault="00F97D69"/>
    <w:p w14:paraId="37B0D7D4" w14:textId="78CC10C3" w:rsidR="006617D8" w:rsidRDefault="00E83F90" w:rsidP="00E83F90">
      <w:r>
        <w:t>Although the MB has progressively included the Sisters into the movement on a more publicised level, their actual influence and work is very unclear as</w:t>
      </w:r>
      <w:r w:rsidR="00886FC7">
        <w:t xml:space="preserve"> the likelihood of a woman gaining power is extremely low</w:t>
      </w:r>
      <w:r>
        <w:t>.</w:t>
      </w:r>
      <w:r w:rsidR="00A260C4">
        <w:t xml:space="preserve"> </w:t>
      </w:r>
      <w:r w:rsidR="00A260C4" w:rsidRPr="00A260C4">
        <w:t>Abdel-Latif</w:t>
      </w:r>
      <w:r w:rsidR="00A260C4">
        <w:t xml:space="preserve"> suggests that</w:t>
      </w:r>
      <w:r w:rsidR="006617D8">
        <w:t xml:space="preserve"> at</w:t>
      </w:r>
      <w:r w:rsidR="00A260C4">
        <w:t xml:space="preserve"> “the beginning </w:t>
      </w:r>
      <w:r w:rsidR="006617D8">
        <w:t>of the women’s activism in the Muslim Brotherhood promised the birth of a strong women’s movement.”</w:t>
      </w:r>
      <w:r w:rsidR="006617D8">
        <w:rPr>
          <w:rStyle w:val="FootnoteReference"/>
        </w:rPr>
        <w:footnoteReference w:id="78"/>
      </w:r>
      <w:r w:rsidR="006617D8">
        <w:t xml:space="preserve"> If the Muslim Sisters were a strong women’s movement in present day their role and rights with the parliamentary elections would be significantly greater with less importance being placed on their</w:t>
      </w:r>
      <w:r w:rsidR="00E43B7E">
        <w:t xml:space="preserve"> role as a mother and caregivers</w:t>
      </w:r>
      <w:r w:rsidR="006617D8">
        <w:t xml:space="preserve"> with a more de</w:t>
      </w:r>
      <w:r w:rsidR="00E43B7E">
        <w:t xml:space="preserve">fined focus on gaining representation </w:t>
      </w:r>
      <w:r w:rsidR="006617D8">
        <w:t>within the political sphere.</w:t>
      </w:r>
    </w:p>
    <w:p w14:paraId="6E7447A7" w14:textId="2BA7B668" w:rsidR="00E83F90" w:rsidRDefault="008C647B" w:rsidP="00E83F90">
      <w:r>
        <w:t>Farag argues the Sisters achieved equal status to men on a national political level however this is still not signified within the MB as they are not represented in the higher tiers of the party.</w:t>
      </w:r>
      <w:r>
        <w:rPr>
          <w:rStyle w:val="FootnoteReference"/>
        </w:rPr>
        <w:footnoteReference w:id="79"/>
      </w:r>
      <w:r w:rsidR="00E83F90">
        <w:t>With the lack</w:t>
      </w:r>
      <w:r w:rsidR="00886FC7">
        <w:t xml:space="preserve"> of importance placed upon </w:t>
      </w:r>
      <w:r w:rsidR="00E83F90">
        <w:t>career aspirations of a Muslim women within the society is not a sign of progression</w:t>
      </w:r>
      <w:r w:rsidR="00357788">
        <w:t xml:space="preserve"> or </w:t>
      </w:r>
      <w:r w:rsidR="00886FC7">
        <w:t>equality of the sexes</w:t>
      </w:r>
      <w:r w:rsidR="00E83F90">
        <w:t xml:space="preserve">. It also has to be noted the contradictions in which al-Ghazali made against herself which is pointed out by Gunther, “The fact that Zaynab al-Ghazali’s own life as a religious activist appears to contradict </w:t>
      </w:r>
      <w:r w:rsidR="00E83F90">
        <w:lastRenderedPageBreak/>
        <w:t>women’s primary duties (as mothers and spouses) should in no way diminish her significance.”</w:t>
      </w:r>
      <w:r w:rsidR="00E83F90">
        <w:rPr>
          <w:rStyle w:val="FootnoteReference"/>
        </w:rPr>
        <w:footnoteReference w:id="80"/>
      </w:r>
      <w:r w:rsidR="0020327D">
        <w:t xml:space="preserve"> In the same way as FGM/C the unimportance placed upon women </w:t>
      </w:r>
      <w:r w:rsidR="004D24FE">
        <w:t>achieving</w:t>
      </w:r>
      <w:r w:rsidR="0020327D">
        <w:t xml:space="preserve"> a career or a goal in life could reflect the ultimate oppression in which they face by the society and essentiall</w:t>
      </w:r>
      <w:r w:rsidR="00E43B7E">
        <w:t>y the religion</w:t>
      </w:r>
      <w:r w:rsidR="0020327D">
        <w:t xml:space="preserve"> of Islam. </w:t>
      </w:r>
    </w:p>
    <w:p w14:paraId="6BEFAAB3" w14:textId="7717FDE6" w:rsidR="00E83F90" w:rsidRDefault="00E83F90"/>
    <w:p w14:paraId="5528C479" w14:textId="77777777" w:rsidR="001A6D07" w:rsidRDefault="001A6D07"/>
    <w:p w14:paraId="51349AE2" w14:textId="3C8E7B95" w:rsidR="003366B0" w:rsidRDefault="00BD6C5E" w:rsidP="003366B0">
      <w:r>
        <w:t>It is clear from the inform</w:t>
      </w:r>
      <w:r w:rsidR="0050315C">
        <w:t xml:space="preserve">ation presented </w:t>
      </w:r>
      <w:r w:rsidR="000F391F">
        <w:t xml:space="preserve">how women in relation to the issues discussed have limited rights </w:t>
      </w:r>
      <w:r w:rsidR="009F2294">
        <w:t xml:space="preserve">where women are ultimately controlled by men with </w:t>
      </w:r>
      <w:r w:rsidR="003366B0">
        <w:t>the</w:t>
      </w:r>
      <w:r>
        <w:t xml:space="preserve"> role of the Muslim Sisters and the practice of FGM/C</w:t>
      </w:r>
      <w:r w:rsidR="009F2294">
        <w:t xml:space="preserve"> being</w:t>
      </w:r>
      <w:r w:rsidR="0040092B">
        <w:t xml:space="preserve"> to </w:t>
      </w:r>
      <w:r>
        <w:t xml:space="preserve">benefit </w:t>
      </w:r>
      <w:r w:rsidR="00757B50">
        <w:t>others</w:t>
      </w:r>
      <w:r>
        <w:t xml:space="preserve"> </w:t>
      </w:r>
      <w:r w:rsidR="0040092B">
        <w:t xml:space="preserve">rather than </w:t>
      </w:r>
      <w:r>
        <w:t>the women themselves.</w:t>
      </w:r>
      <w:r w:rsidR="00D1528E">
        <w:t xml:space="preserve"> </w:t>
      </w:r>
      <w:r w:rsidR="00EC2CC2">
        <w:t>W</w:t>
      </w:r>
      <w:r w:rsidR="009F2294">
        <w:t>ith there being</w:t>
      </w:r>
      <w:r w:rsidR="008167DF">
        <w:t xml:space="preserve"> </w:t>
      </w:r>
      <w:r w:rsidR="00D06D23">
        <w:t>no direct reference to FGM/C being accepted in any Islamic source therefore does not overly explain why the custom is undertaken within the religion</w:t>
      </w:r>
      <w:r w:rsidR="00E43B7E">
        <w:t xml:space="preserve">, with </w:t>
      </w:r>
      <w:r w:rsidR="00EC2CC2">
        <w:t>wom</w:t>
      </w:r>
      <w:r w:rsidR="001037FC">
        <w:t>en who go against</w:t>
      </w:r>
      <w:r w:rsidR="00EC2CC2">
        <w:t xml:space="preserve"> FGM/C</w:t>
      </w:r>
      <w:r w:rsidR="001037FC">
        <w:t xml:space="preserve"> in order to gain more rights for themselves and other women</w:t>
      </w:r>
      <w:r w:rsidR="00EC2CC2">
        <w:t xml:space="preserve"> often face confrontation from the men within s</w:t>
      </w:r>
      <w:r w:rsidR="00301594">
        <w:t>ociety who accept the practice. The World Health Organisation suggests FGM/C “reflects deep-rooted inequality between the sexes, and constitutes an extreme form of discrimination against women”.</w:t>
      </w:r>
      <w:r w:rsidR="00301594">
        <w:rPr>
          <w:rStyle w:val="FootnoteReference"/>
        </w:rPr>
        <w:footnoteReference w:id="81"/>
      </w:r>
      <w:r w:rsidR="00301594">
        <w:t xml:space="preserve"> </w:t>
      </w:r>
      <w:r w:rsidR="00EC2CC2">
        <w:t>W</w:t>
      </w:r>
      <w:r w:rsidR="0007582A">
        <w:t xml:space="preserve">omen </w:t>
      </w:r>
      <w:r w:rsidR="00EC2CC2">
        <w:t xml:space="preserve">are often involved </w:t>
      </w:r>
      <w:r w:rsidR="0007582A">
        <w:t>in the MB often in order to avoid confrontation during the campaigning</w:t>
      </w:r>
      <w:r w:rsidR="009F2294">
        <w:t xml:space="preserve"> period of the election process, </w:t>
      </w:r>
      <w:r w:rsidR="00EC2CC2">
        <w:t xml:space="preserve">with women being regarded as the equal to men but are discouraged to run for political leadership clearly contradicts this notion as being equal should allow them the equivalent opportunities as men in their society. </w:t>
      </w:r>
      <w:r w:rsidR="00A260C4" w:rsidRPr="00A260C4">
        <w:t>Abdel-Latif</w:t>
      </w:r>
      <w:r w:rsidR="00A260C4">
        <w:t xml:space="preserve"> n</w:t>
      </w:r>
      <w:r w:rsidR="00150105">
        <w:t xml:space="preserve">otes how “Women activists have been at the forefront of the Brotherhood’s political struggle and have become highly </w:t>
      </w:r>
      <w:r w:rsidR="00B80E55">
        <w:t>visible</w:t>
      </w:r>
      <w:r w:rsidR="00150105">
        <w:t xml:space="preserve"> in</w:t>
      </w:r>
      <w:r w:rsidR="002E4A35">
        <w:t xml:space="preserve"> key political events, but their roles still go unrecognised”.</w:t>
      </w:r>
      <w:r w:rsidR="002E4A35">
        <w:rPr>
          <w:rStyle w:val="FootnoteReference"/>
        </w:rPr>
        <w:footnoteReference w:id="82"/>
      </w:r>
      <w:r w:rsidR="00150105">
        <w:t xml:space="preserve"> </w:t>
      </w:r>
      <w:r w:rsidR="0022647A">
        <w:t>Therefore reinforcing how</w:t>
      </w:r>
      <w:r w:rsidR="009F2294">
        <w:t xml:space="preserve"> women not only as individuals but as members of the community are </w:t>
      </w:r>
      <w:r w:rsidR="008167DF">
        <w:t>not given the same rights as the men in which they live amongst.</w:t>
      </w:r>
    </w:p>
    <w:p w14:paraId="09D6AD63" w14:textId="77777777" w:rsidR="00E53B3E" w:rsidRDefault="00E53B3E" w:rsidP="003366B0"/>
    <w:p w14:paraId="7C592892" w14:textId="4511A6B1" w:rsidR="001A6D07" w:rsidRDefault="001A6D07"/>
    <w:p w14:paraId="037674B6" w14:textId="219B8E74" w:rsidR="001A6D07" w:rsidRDefault="001401C3">
      <w:r>
        <w:t xml:space="preserve">Word Count: </w:t>
      </w:r>
      <w:r w:rsidR="007E7AAD">
        <w:t>2557.</w:t>
      </w:r>
      <w:bookmarkStart w:id="0" w:name="_GoBack"/>
      <w:bookmarkEnd w:id="0"/>
    </w:p>
    <w:p w14:paraId="65D3BDB0" w14:textId="77777777" w:rsidR="001401C3" w:rsidRDefault="001401C3"/>
    <w:p w14:paraId="72680D68" w14:textId="4F75F57B" w:rsidR="001A6D07" w:rsidRDefault="00F97D69" w:rsidP="00F97D69">
      <w:pPr>
        <w:tabs>
          <w:tab w:val="left" w:pos="8041"/>
        </w:tabs>
      </w:pPr>
      <w:r>
        <w:tab/>
      </w:r>
    </w:p>
    <w:p w14:paraId="253EA384" w14:textId="77777777" w:rsidR="001A6D07" w:rsidRDefault="001A6D07"/>
    <w:p w14:paraId="6F13BBDE" w14:textId="77777777" w:rsidR="001A6D07" w:rsidRDefault="001A6D07"/>
    <w:p w14:paraId="631B2756" w14:textId="5BB80008" w:rsidR="001A6D07" w:rsidRDefault="000A10D7">
      <w:r>
        <w:t xml:space="preserve"> </w:t>
      </w:r>
    </w:p>
    <w:p w14:paraId="23C0F977" w14:textId="77777777" w:rsidR="001A6D07" w:rsidRDefault="001A6D07"/>
    <w:p w14:paraId="3D2F214C" w14:textId="77777777" w:rsidR="001A6D07" w:rsidRDefault="001A6D07"/>
    <w:p w14:paraId="541D3CFF" w14:textId="77777777" w:rsidR="001A6D07" w:rsidRDefault="001A6D07"/>
    <w:p w14:paraId="2A390425" w14:textId="77777777" w:rsidR="00910632" w:rsidRDefault="00910632"/>
    <w:p w14:paraId="6860C100" w14:textId="77777777" w:rsidR="00910632" w:rsidRDefault="00910632"/>
    <w:p w14:paraId="29318FB9" w14:textId="77777777" w:rsidR="00B66CB0" w:rsidRDefault="00B66CB0"/>
    <w:p w14:paraId="6D637389" w14:textId="77777777" w:rsidR="00B66CB0" w:rsidRDefault="00B66CB0"/>
    <w:p w14:paraId="1B544BFA" w14:textId="77777777" w:rsidR="00B66CB0" w:rsidRDefault="00B66CB0"/>
    <w:p w14:paraId="18CD42BC" w14:textId="77777777" w:rsidR="001401C3" w:rsidRDefault="001401C3" w:rsidP="005248CB">
      <w:pPr>
        <w:outlineLvl w:val="0"/>
      </w:pPr>
    </w:p>
    <w:p w14:paraId="3373036E" w14:textId="5704D389" w:rsidR="001A6D07" w:rsidRDefault="001A6D07" w:rsidP="005248CB">
      <w:pPr>
        <w:outlineLvl w:val="0"/>
      </w:pPr>
      <w:r>
        <w:lastRenderedPageBreak/>
        <w:t xml:space="preserve">Bibliography </w:t>
      </w:r>
    </w:p>
    <w:p w14:paraId="4B8268B1" w14:textId="77777777" w:rsidR="00395D3C" w:rsidRDefault="00395D3C"/>
    <w:p w14:paraId="64F73BC5" w14:textId="0C233982" w:rsidR="00395D3C" w:rsidRPr="00395D3C" w:rsidRDefault="00395D3C">
      <w:r w:rsidRPr="00395D3C">
        <w:t>Abdel-Latif</w:t>
      </w:r>
      <w:r>
        <w:t>, O.</w:t>
      </w:r>
      <w:r w:rsidRPr="00395D3C">
        <w:t xml:space="preserve"> (2008), ‘In the Shadow of the Brothers: The Women of the Muslim Brotherhood’ in </w:t>
      </w:r>
      <w:r w:rsidRPr="00395D3C">
        <w:rPr>
          <w:i/>
        </w:rPr>
        <w:t xml:space="preserve">Carnegie Papers, </w:t>
      </w:r>
      <w:r w:rsidRPr="00395D3C">
        <w:t>13, pp.1-22.</w:t>
      </w:r>
    </w:p>
    <w:p w14:paraId="705284D2" w14:textId="77777777" w:rsidR="00564930" w:rsidRDefault="00564930"/>
    <w:p w14:paraId="28BE5FE8" w14:textId="7EB391E2" w:rsidR="00564930" w:rsidRPr="00564930" w:rsidRDefault="00564930">
      <w:r w:rsidRPr="00564930">
        <w:t>Abdel-Raheem</w:t>
      </w:r>
      <w:r>
        <w:t>, D.</w:t>
      </w:r>
      <w:r w:rsidRPr="00564930">
        <w:t xml:space="preserve"> (2008), ‘Ta’heel al-Zahrat Litarweej afkar al-Tantheem’ in </w:t>
      </w:r>
      <w:r w:rsidRPr="00564930">
        <w:rPr>
          <w:i/>
        </w:rPr>
        <w:t>Schooling Girls to Promote Ideas of the Organisation</w:t>
      </w:r>
      <w:r w:rsidRPr="00564930">
        <w:t>, pp.28-29.</w:t>
      </w:r>
    </w:p>
    <w:p w14:paraId="55BDE67D" w14:textId="77777777" w:rsidR="00C97D4B" w:rsidRDefault="00C97D4B"/>
    <w:p w14:paraId="7140336E" w14:textId="7E215763" w:rsidR="00C97D4B" w:rsidRDefault="00C97D4B">
      <w:r>
        <w:t xml:space="preserve">Abugideiri, H. (Unknown Date), ‘Amina Wadud’ in </w:t>
      </w:r>
      <w:r>
        <w:rPr>
          <w:i/>
        </w:rPr>
        <w:t>The Oxford Encyclopaedia of the Islamic World</w:t>
      </w:r>
      <w:r>
        <w:t xml:space="preserve">, </w:t>
      </w:r>
      <w:r w:rsidRPr="00BC5668">
        <w:t>http://www.oxfordislamicstudies.com/article/opr/t236/e0921?_hi=2&amp;_pos=1</w:t>
      </w:r>
      <w:r>
        <w:t xml:space="preserve"> (Date Accessed: 20</w:t>
      </w:r>
      <w:r w:rsidRPr="00C062E7">
        <w:rPr>
          <w:vertAlign w:val="superscript"/>
        </w:rPr>
        <w:t>th</w:t>
      </w:r>
      <w:r>
        <w:t xml:space="preserve"> March 2018)</w:t>
      </w:r>
    </w:p>
    <w:p w14:paraId="44F122AF" w14:textId="77777777" w:rsidR="00BE081C" w:rsidRDefault="00BE081C"/>
    <w:p w14:paraId="71CC7953" w14:textId="2BF865F7" w:rsidR="00BE081C" w:rsidRDefault="00BE081C">
      <w:r>
        <w:t xml:space="preserve">Anwar, E. (2004), ‘Public Roles of Women’ </w:t>
      </w:r>
      <w:r>
        <w:rPr>
          <w:i/>
        </w:rPr>
        <w:t>Encyclopaedia of Islam and the Muslim World</w:t>
      </w:r>
      <w:r>
        <w:t xml:space="preserve">, Vol. 2, pp.734-735, Available at: Gale Virtual Reference Library, </w:t>
      </w:r>
      <w:r w:rsidRPr="00BE081C">
        <w:t>http://go.galegroup.com/ps/retrieve.do?tabID=T003&amp;resultListType=RESULT_LIST&amp;searchResultsType=SingleTab&amp;searchType=BasicSearchForm&amp;currentPosition=3&amp;docId=GALE%7CCX3403500522&amp;docType=Topic+overview&amp;sort=RELEVANCE&amp;contentSegment=&amp;prodId=GVRL&amp;contentSet=GALE%7CCX3403500522&amp;searchId=R2&amp;userGroupName=walamp&amp;inPS=true&amp;authCount=1&amp;u=walamp</w:t>
      </w:r>
      <w:r>
        <w:t xml:space="preserve"> (Date Accessed: 7</w:t>
      </w:r>
      <w:r w:rsidRPr="00002875">
        <w:rPr>
          <w:vertAlign w:val="superscript"/>
        </w:rPr>
        <w:t>th</w:t>
      </w:r>
      <w:r>
        <w:t xml:space="preserve"> March 2018).</w:t>
      </w:r>
    </w:p>
    <w:p w14:paraId="169924B4" w14:textId="77777777" w:rsidR="003F2034" w:rsidRDefault="003F2034"/>
    <w:p w14:paraId="0C21D8B2" w14:textId="4512481F" w:rsidR="003F2034" w:rsidRPr="003F2034" w:rsidRDefault="003F2034">
      <w:pPr>
        <w:rPr>
          <w:i/>
        </w:rPr>
      </w:pPr>
      <w:r>
        <w:t xml:space="preserve">Anwar, E. (Unknown Date), ‘Female Genital Cutting’ in </w:t>
      </w:r>
      <w:r>
        <w:rPr>
          <w:i/>
        </w:rPr>
        <w:t>The Oxford Encyclopaedia of the Islamic World</w:t>
      </w:r>
      <w:r>
        <w:t xml:space="preserve">, </w:t>
      </w:r>
      <w:r w:rsidRPr="003F2034">
        <w:t>http://www.oxfordislamicstudies.com/article/opr/t236/e1146?_hi=0&amp;_pos=2</w:t>
      </w:r>
      <w:r>
        <w:t xml:space="preserve"> (Date Accessed: 13</w:t>
      </w:r>
      <w:r w:rsidRPr="003F2034">
        <w:rPr>
          <w:vertAlign w:val="superscript"/>
        </w:rPr>
        <w:t>th</w:t>
      </w:r>
      <w:r>
        <w:t xml:space="preserve"> March 2018).</w:t>
      </w:r>
      <w:r>
        <w:rPr>
          <w:i/>
        </w:rPr>
        <w:t xml:space="preserve"> </w:t>
      </w:r>
    </w:p>
    <w:p w14:paraId="5E575280" w14:textId="77777777" w:rsidR="001A6D07" w:rsidRDefault="001A6D07"/>
    <w:p w14:paraId="6F342335" w14:textId="245BE318" w:rsidR="001A6D07" w:rsidRDefault="001A6D07">
      <w:r>
        <w:t>Anwar, G. (2004), ‘Feminism’</w:t>
      </w:r>
      <w:r w:rsidR="00DF61AA">
        <w:t xml:space="preserve"> in </w:t>
      </w:r>
      <w:r w:rsidR="00DF61AA">
        <w:rPr>
          <w:i/>
        </w:rPr>
        <w:t>Encyclopaedia of Islam and the Muslim World</w:t>
      </w:r>
      <w:r w:rsidR="00DF61AA">
        <w:t xml:space="preserve">, Vol. 1, </w:t>
      </w:r>
      <w:r w:rsidR="008D0B40">
        <w:t>pp.256-258</w:t>
      </w:r>
      <w:r w:rsidR="00002875">
        <w:t xml:space="preserve">, Available at: Gale Virtual Reference Library, </w:t>
      </w:r>
      <w:r w:rsidR="00002875" w:rsidRPr="00BE081C">
        <w:t>http://go.galegroup.com/ps/retrieve.do?tabID=T003&amp;resultListType=RESULT_LIST&amp;searchResultsType=SingleTab&amp;searchType=BasicSearchForm&amp;currentPosition=3&amp;docId=GALE%7CCX3403500158&amp;docType=Topic+overview&amp;sort=RELEVANCE&amp;contentSegment=&amp;prodId=GVRL&amp;contentSet=GALE%7CCX3403500158&amp;searchId=R1&amp;userGroupName=walamp&amp;inPS=true#</w:t>
      </w:r>
      <w:r w:rsidR="00002875">
        <w:t xml:space="preserve"> (Date Accessed: 7</w:t>
      </w:r>
      <w:r w:rsidR="00002875" w:rsidRPr="00002875">
        <w:rPr>
          <w:vertAlign w:val="superscript"/>
        </w:rPr>
        <w:t>th</w:t>
      </w:r>
      <w:r w:rsidR="00002875">
        <w:t xml:space="preserve"> March 2018).</w:t>
      </w:r>
    </w:p>
    <w:p w14:paraId="4E11D520" w14:textId="77777777" w:rsidR="008C647B" w:rsidRDefault="008C647B"/>
    <w:p w14:paraId="1D2A0604" w14:textId="703595AD" w:rsidR="008C647B" w:rsidRDefault="008C647B">
      <w:r>
        <w:t xml:space="preserve">Arabs in America (Unknown Date), </w:t>
      </w:r>
      <w:r>
        <w:rPr>
          <w:i/>
        </w:rPr>
        <w:t>What is the Hijab and Why do Women Wear it?</w:t>
      </w:r>
      <w:r>
        <w:t xml:space="preserve">, </w:t>
      </w:r>
      <w:r w:rsidRPr="008C647B">
        <w:t>http://arabsinamerica.unc.edu/identity/veiling/hijab/</w:t>
      </w:r>
      <w:r>
        <w:t xml:space="preserve"> (Date Accessed: 27</w:t>
      </w:r>
      <w:r w:rsidRPr="008C647B">
        <w:rPr>
          <w:vertAlign w:val="superscript"/>
        </w:rPr>
        <w:t>th</w:t>
      </w:r>
      <w:r>
        <w:t xml:space="preserve"> March 2018).</w:t>
      </w:r>
    </w:p>
    <w:p w14:paraId="1637EB12" w14:textId="77777777" w:rsidR="00161AE8" w:rsidRDefault="00161AE8"/>
    <w:p w14:paraId="7A41C277" w14:textId="2FA60C25" w:rsidR="00161AE8" w:rsidRDefault="00161AE8">
      <w:r>
        <w:t xml:space="preserve">Asmani, I. L. and Abdi, M. S. (2008), </w:t>
      </w:r>
      <w:r>
        <w:rPr>
          <w:i/>
        </w:rPr>
        <w:t>De-linking Female Genital Mutilation/Cutting from Islam</w:t>
      </w:r>
      <w:r>
        <w:t xml:space="preserve">, </w:t>
      </w:r>
      <w:r w:rsidRPr="00161AE8">
        <w:t>https://www.28toomany.org/static/media/uploads/Thematic%20Research%20and%20Resources/Religion/de-linking_fgm_from_islam_final_report.pdf</w:t>
      </w:r>
      <w:r>
        <w:t xml:space="preserve"> (Date Accessed: 11th March 2018).</w:t>
      </w:r>
    </w:p>
    <w:p w14:paraId="6832134E" w14:textId="77777777" w:rsidR="00CF1D07" w:rsidRDefault="00CF1D07"/>
    <w:p w14:paraId="641B83E8" w14:textId="57BEEC2B" w:rsidR="00CF1D07" w:rsidRDefault="00CF1D07">
      <w:r>
        <w:t xml:space="preserve">Bayat, A. (2007), </w:t>
      </w:r>
      <w:r w:rsidRPr="00CF1D07">
        <w:rPr>
          <w:i/>
        </w:rPr>
        <w:t>Making Islam Democratic: Social Movements and the Post-Islamist Turn</w:t>
      </w:r>
      <w:r>
        <w:rPr>
          <w:i/>
        </w:rPr>
        <w:t xml:space="preserve">, </w:t>
      </w:r>
      <w:r>
        <w:t>(Standord: Stanford University Press), p.138.</w:t>
      </w:r>
    </w:p>
    <w:p w14:paraId="135FCD86" w14:textId="77777777" w:rsidR="00AA0529" w:rsidRDefault="00AA0529"/>
    <w:p w14:paraId="5D5C425A" w14:textId="70A9CF9E" w:rsidR="00AA0529" w:rsidRDefault="00AA0529">
      <w:r>
        <w:lastRenderedPageBreak/>
        <w:t xml:space="preserve">Beugnies, P. (Unknown Date), </w:t>
      </w:r>
      <w:r>
        <w:rPr>
          <w:i/>
        </w:rPr>
        <w:t>Muslim Sisters of Egypt</w:t>
      </w:r>
      <w:r>
        <w:t xml:space="preserve">, </w:t>
      </w:r>
      <w:r w:rsidRPr="00AA0529">
        <w:t>http://www.paulinebeugnies.com/portfolio/stories/muslim-sisters-of-egypt/</w:t>
      </w:r>
      <w:r>
        <w:t xml:space="preserve"> (Date Accessed: 19</w:t>
      </w:r>
      <w:r w:rsidRPr="00AA0529">
        <w:rPr>
          <w:vertAlign w:val="superscript"/>
        </w:rPr>
        <w:t>th</w:t>
      </w:r>
      <w:r>
        <w:t xml:space="preserve"> March 2018).</w:t>
      </w:r>
    </w:p>
    <w:p w14:paraId="67B9D527" w14:textId="77777777" w:rsidR="00E94719" w:rsidRDefault="00E94719"/>
    <w:p w14:paraId="4D75EBDD" w14:textId="647C21B6" w:rsidR="00465DEC" w:rsidRPr="00465DEC" w:rsidRDefault="00465DEC">
      <w:r w:rsidRPr="00465DEC">
        <w:t>Bullock</w:t>
      </w:r>
      <w:r w:rsidRPr="00465DEC">
        <w:t>, K.</w:t>
      </w:r>
      <w:r w:rsidRPr="00465DEC">
        <w:t xml:space="preserve"> (2010), </w:t>
      </w:r>
      <w:r w:rsidRPr="00465DEC">
        <w:rPr>
          <w:i/>
        </w:rPr>
        <w:t>Book-In-Brief: Rethinking Muslim Women and the Veil: Challenging Historical and Modern Stereotypes</w:t>
      </w:r>
      <w:r w:rsidRPr="00465DEC">
        <w:t>, (Herndon: The International Institute of Islamic Thought)</w:t>
      </w:r>
      <w:r w:rsidRPr="00465DEC">
        <w:t>.</w:t>
      </w:r>
    </w:p>
    <w:p w14:paraId="2B935022" w14:textId="77777777" w:rsidR="00465DEC" w:rsidRDefault="00465DEC"/>
    <w:p w14:paraId="5F33237D" w14:textId="2ECDA46C" w:rsidR="00E94719" w:rsidRDefault="00E94719">
      <w:r>
        <w:t xml:space="preserve">Cooke, M. (2015), ‘Fatima Mernissi 1940-2015’ in </w:t>
      </w:r>
      <w:r>
        <w:rPr>
          <w:i/>
        </w:rPr>
        <w:t>Review of Middle East</w:t>
      </w:r>
      <w:r>
        <w:t xml:space="preserve">, Vol. 49, 2, pp.217-219, </w:t>
      </w:r>
      <w:r w:rsidR="001401C3">
        <w:t>Available</w:t>
      </w:r>
      <w:r>
        <w:t xml:space="preserve"> from EBSCOhost: </w:t>
      </w:r>
      <w:r w:rsidRPr="00E94719">
        <w:t>http://web.a.ebscohost.com.ezproxy.uwtsd.ac.uk/ehost/pdfviewer/pdfviewer?vid=1&amp;sid=f773262c-9c86-44bb-a9bf-021aef2f38fe%40sessionmgr4008</w:t>
      </w:r>
      <w:r>
        <w:t xml:space="preserve"> (Date Accessed:21</w:t>
      </w:r>
      <w:r w:rsidRPr="00E94719">
        <w:rPr>
          <w:vertAlign w:val="superscript"/>
        </w:rPr>
        <w:t>st</w:t>
      </w:r>
      <w:r>
        <w:t xml:space="preserve"> March 2018).</w:t>
      </w:r>
    </w:p>
    <w:p w14:paraId="2BCC2F22" w14:textId="77777777" w:rsidR="00A22537" w:rsidRDefault="00A22537"/>
    <w:p w14:paraId="53390377" w14:textId="794F3031" w:rsidR="00A22537" w:rsidRPr="00AA0529" w:rsidRDefault="00A22537">
      <w:r>
        <w:t xml:space="preserve">Duval, S. (1998), ‘New Veils and New Voices: Islamist Women’s Groups in Egypt’ in </w:t>
      </w:r>
      <w:r w:rsidRPr="00A22537">
        <w:rPr>
          <w:i/>
        </w:rPr>
        <w:t>Women and Islamization: Contemporary Dimensions of Discourses on Gender Relations</w:t>
      </w:r>
      <w:r>
        <w:t>, (Oxford: Oxford International Publishers), pp.45-72.</w:t>
      </w:r>
    </w:p>
    <w:p w14:paraId="0D336D40" w14:textId="77777777" w:rsidR="00910632" w:rsidRDefault="00910632"/>
    <w:p w14:paraId="67A458EC" w14:textId="77777777" w:rsidR="00910632" w:rsidRDefault="00910632" w:rsidP="00910632">
      <w:r w:rsidRPr="00910632">
        <w:t>Eltahawy</w:t>
      </w:r>
      <w:r>
        <w:t xml:space="preserve">, M. (2017), </w:t>
      </w:r>
      <w:r>
        <w:rPr>
          <w:i/>
        </w:rPr>
        <w:t>Country Profile: FGM in Egypt</w:t>
      </w:r>
      <w:r>
        <w:t xml:space="preserve">, </w:t>
      </w:r>
      <w:r w:rsidRPr="002A7C2E">
        <w:t>https://www.28toomany.org/static/media/uploads/Country%20Research%20and%20Resources/Egypt/egypt_country_profile_v2_(november_2017)_(1).pdf</w:t>
      </w:r>
      <w:r>
        <w:t>, p.10,(Date Accessed: 13</w:t>
      </w:r>
      <w:r w:rsidRPr="002A7C2E">
        <w:rPr>
          <w:vertAlign w:val="superscript"/>
        </w:rPr>
        <w:t>th</w:t>
      </w:r>
      <w:r>
        <w:t xml:space="preserve"> March 2018).</w:t>
      </w:r>
    </w:p>
    <w:p w14:paraId="4C10D21C" w14:textId="77777777" w:rsidR="00465DEC" w:rsidRDefault="00465DEC" w:rsidP="00910632"/>
    <w:p w14:paraId="3C595556" w14:textId="04AC6FA1" w:rsidR="00465DEC" w:rsidRPr="00465DEC" w:rsidRDefault="00465DEC" w:rsidP="00910632">
      <w:r w:rsidRPr="00465DEC">
        <w:t>English</w:t>
      </w:r>
      <w:r w:rsidRPr="00465DEC">
        <w:t>, M.</w:t>
      </w:r>
      <w:r w:rsidRPr="00465DEC">
        <w:t xml:space="preserve"> (2011), </w:t>
      </w:r>
      <w:r w:rsidRPr="00465DEC">
        <w:rPr>
          <w:i/>
        </w:rPr>
        <w:t>Infidel Behind the Paradoxical Veil: A Western Woman’s Experience in Saudi Arabia</w:t>
      </w:r>
      <w:r w:rsidRPr="00465DEC">
        <w:t>, (Bloomington: AuthorHouse)</w:t>
      </w:r>
      <w:r w:rsidRPr="00465DEC">
        <w:t>.</w:t>
      </w:r>
    </w:p>
    <w:p w14:paraId="6AFF91C5" w14:textId="77777777" w:rsidR="001B2781" w:rsidRDefault="001B2781" w:rsidP="00910632"/>
    <w:p w14:paraId="69880FB3" w14:textId="48A2EC72" w:rsidR="001B2781" w:rsidRPr="00DF61AA" w:rsidRDefault="001B2781" w:rsidP="00910632">
      <w:r>
        <w:t xml:space="preserve">Farag, M. K. (2013), </w:t>
      </w:r>
      <w:r>
        <w:rPr>
          <w:i/>
        </w:rPr>
        <w:t>Evolving Female Participation in Egypt’s Muslim Brotherhood</w:t>
      </w:r>
      <w:r>
        <w:t xml:space="preserve">, </w:t>
      </w:r>
      <w:r w:rsidRPr="001B2781">
        <w:t>https://ore.exeter.ac.uk/repository/bitstream/handle/10871/14681/FaragM.pdf;sequence=1</w:t>
      </w:r>
      <w:r>
        <w:t xml:space="preserve"> (Date Accessed:15</w:t>
      </w:r>
      <w:r w:rsidRPr="001B2781">
        <w:rPr>
          <w:vertAlign w:val="superscript"/>
        </w:rPr>
        <w:t>th</w:t>
      </w:r>
      <w:r>
        <w:t xml:space="preserve"> March 2018).</w:t>
      </w:r>
    </w:p>
    <w:p w14:paraId="6CC99FF7" w14:textId="77777777" w:rsidR="00685E2D" w:rsidRDefault="00685E2D"/>
    <w:p w14:paraId="0E0AB674" w14:textId="4C062D06" w:rsidR="00685E2D" w:rsidRDefault="00685E2D">
      <w:r>
        <w:t xml:space="preserve">Feminist Majority Foundation (Unknown Date), </w:t>
      </w:r>
      <w:r>
        <w:rPr>
          <w:i/>
        </w:rPr>
        <w:t>Violence Against Women: Female Genital Mutilation</w:t>
      </w:r>
      <w:r>
        <w:t xml:space="preserve">, </w:t>
      </w:r>
      <w:r w:rsidRPr="00ED6EB8">
        <w:t>http://www.feminist.org/global/fgm.html</w:t>
      </w:r>
      <w:r>
        <w:t xml:space="preserve"> (Date Accessed: 13th March 2018).</w:t>
      </w:r>
    </w:p>
    <w:p w14:paraId="059CEC84" w14:textId="77777777" w:rsidR="00465DEC" w:rsidRDefault="00465DEC"/>
    <w:p w14:paraId="702A3062" w14:textId="59C02CA8" w:rsidR="00465DEC" w:rsidRPr="00465DEC" w:rsidRDefault="00465DEC">
      <w:r w:rsidRPr="00465DEC">
        <w:t>Gabriel</w:t>
      </w:r>
      <w:r>
        <w:t xml:space="preserve">, T. and </w:t>
      </w:r>
      <w:r w:rsidRPr="00465DEC">
        <w:t>Hannan</w:t>
      </w:r>
      <w:r>
        <w:t>, R.</w:t>
      </w:r>
      <w:r w:rsidRPr="00465DEC">
        <w:t xml:space="preserve"> (2011), </w:t>
      </w:r>
      <w:r w:rsidRPr="00465DEC">
        <w:rPr>
          <w:i/>
        </w:rPr>
        <w:t>Islam and the Veil: Theoretical and Regional Contexts</w:t>
      </w:r>
      <w:r w:rsidRPr="00465DEC">
        <w:t>, (London: Continuum International Publishing Group).</w:t>
      </w:r>
    </w:p>
    <w:p w14:paraId="48EF6623" w14:textId="77777777" w:rsidR="00C05082" w:rsidRDefault="00C05082"/>
    <w:p w14:paraId="232E2848" w14:textId="1706C261" w:rsidR="00C05082" w:rsidRDefault="00C05082">
      <w:r>
        <w:t xml:space="preserve">Gunther, U. (2004), ‘Ghazali, Zaynab Al- (1917-)’ in </w:t>
      </w:r>
      <w:r w:rsidRPr="00AD66A5">
        <w:rPr>
          <w:i/>
        </w:rPr>
        <w:t>En</w:t>
      </w:r>
      <w:r w:rsidR="00465DEC">
        <w:rPr>
          <w:i/>
        </w:rPr>
        <w:t>cyclopaedia of Islam and the Mu</w:t>
      </w:r>
      <w:r w:rsidRPr="00AD66A5">
        <w:rPr>
          <w:i/>
        </w:rPr>
        <w:t>s</w:t>
      </w:r>
      <w:r w:rsidR="00465DEC">
        <w:rPr>
          <w:i/>
        </w:rPr>
        <w:t>l</w:t>
      </w:r>
      <w:r w:rsidRPr="00AD66A5">
        <w:rPr>
          <w:i/>
        </w:rPr>
        <w:t>im World</w:t>
      </w:r>
      <w:r w:rsidR="00AD66A5">
        <w:t xml:space="preserve">, Vol. 1, p.276, Available at: Gale Virtual Reference Library, </w:t>
      </w:r>
      <w:r w:rsidR="00AD66A5" w:rsidRPr="00AD66A5">
        <w:t>http://go.galegroup.com/ps/retrieve.do?tabID=T003&amp;resultListType=RESULT_LIST&amp;searchResultsType=SingleTab&amp;searchType=BasicSearchForm&amp;currentPosition=5&amp;docId=GALE%7CCX3403500170&amp;docType=Biography&amp;sort=RELEVANCE&amp;contentSegment=&amp;prodId=GVRL&amp;contentSet=GALE%7CCX3403500170&amp;searchId=R1&amp;userGroupName=walamp&amp;inPS=true</w:t>
      </w:r>
      <w:r w:rsidR="00AD66A5">
        <w:t xml:space="preserve"> (Date Accessed:20</w:t>
      </w:r>
      <w:r w:rsidR="00AD66A5" w:rsidRPr="00AD66A5">
        <w:rPr>
          <w:vertAlign w:val="superscript"/>
        </w:rPr>
        <w:t>th</w:t>
      </w:r>
      <w:r w:rsidR="00AD66A5">
        <w:t xml:space="preserve"> March 2018). </w:t>
      </w:r>
    </w:p>
    <w:p w14:paraId="46573D19" w14:textId="77777777" w:rsidR="002D03D2" w:rsidRDefault="002D03D2"/>
    <w:p w14:paraId="1BCFC43F" w14:textId="2B5454B4" w:rsidR="002D03D2" w:rsidRDefault="002D03D2">
      <w:r>
        <w:t>Hoffman, V. J. (</w:t>
      </w:r>
      <w:r w:rsidR="00451549">
        <w:t>Unknown Date</w:t>
      </w:r>
      <w:r>
        <w:t xml:space="preserve">), ‘Ghazali, Zaynab al’ in </w:t>
      </w:r>
      <w:r>
        <w:rPr>
          <w:i/>
        </w:rPr>
        <w:t>The Oxford Encyclopaedia of the Islamic World</w:t>
      </w:r>
      <w:r>
        <w:t xml:space="preserve">, </w:t>
      </w:r>
      <w:r w:rsidRPr="00451549">
        <w:lastRenderedPageBreak/>
        <w:t>http://www.oxfordislamicstudies.com/article/opr/t236/e0273?_hi=0&amp;_pos=5#match</w:t>
      </w:r>
      <w:r>
        <w:t xml:space="preserve"> (Date Accessed:</w:t>
      </w:r>
      <w:r w:rsidR="00451549">
        <w:t>20</w:t>
      </w:r>
      <w:r w:rsidR="00451549" w:rsidRPr="00451549">
        <w:rPr>
          <w:vertAlign w:val="superscript"/>
        </w:rPr>
        <w:t>th</w:t>
      </w:r>
      <w:r w:rsidR="00451549">
        <w:t xml:space="preserve"> March 2018).</w:t>
      </w:r>
    </w:p>
    <w:p w14:paraId="466BCDF9" w14:textId="77777777" w:rsidR="00714FDC" w:rsidRDefault="00714FDC"/>
    <w:p w14:paraId="30C99DFA" w14:textId="41BE5577" w:rsidR="00714FDC" w:rsidRPr="00714FDC" w:rsidRDefault="00714FDC">
      <w:r w:rsidRPr="00714FDC">
        <w:t>Ikhwanweb (2012</w:t>
      </w:r>
      <w:r w:rsidRPr="00714FDC">
        <w:rPr>
          <w:i/>
        </w:rPr>
        <w:t>), EGYPT: Women Breaking Culture Barriers in Upcoming Parliamentary Elections</w:t>
      </w:r>
      <w:r w:rsidRPr="00714FDC">
        <w:t>, http://ikhwanweb.com/article.php?id=27133 (Date Accessed: 26</w:t>
      </w:r>
      <w:r w:rsidRPr="00714FDC">
        <w:rPr>
          <w:vertAlign w:val="superscript"/>
        </w:rPr>
        <w:t>th</w:t>
      </w:r>
      <w:r w:rsidRPr="00714FDC">
        <w:t xml:space="preserve"> March 2018).</w:t>
      </w:r>
    </w:p>
    <w:p w14:paraId="138E3AC3" w14:textId="77777777" w:rsidR="00717BDA" w:rsidRDefault="00717BDA"/>
    <w:p w14:paraId="52711624" w14:textId="06494B66" w:rsidR="00717BDA" w:rsidRDefault="00717BDA">
      <w:r>
        <w:t xml:space="preserve">International Institute for Democracy and Electoral Assistance (2014), </w:t>
      </w:r>
      <w:r>
        <w:rPr>
          <w:i/>
        </w:rPr>
        <w:t xml:space="preserve">Making Waves: Expressions of Gender Equality in the Islamic Tradition (Video), </w:t>
      </w:r>
      <w:r w:rsidRPr="0021053C">
        <w:rPr>
          <w:i/>
        </w:rPr>
        <w:t>https://www.idea.int/news-media/media/making-waves-expressions-gender-equality-sacred-texts-and-islamic-tradition-english</w:t>
      </w:r>
      <w:r>
        <w:rPr>
          <w:i/>
        </w:rPr>
        <w:t xml:space="preserve"> (Date Accessed: 17</w:t>
      </w:r>
      <w:r w:rsidRPr="0021053C">
        <w:rPr>
          <w:i/>
          <w:sz w:val="22"/>
          <w:vertAlign w:val="superscript"/>
        </w:rPr>
        <w:t>th</w:t>
      </w:r>
      <w:r>
        <w:rPr>
          <w:i/>
        </w:rPr>
        <w:t xml:space="preserve"> March 2018).</w:t>
      </w:r>
    </w:p>
    <w:p w14:paraId="1F8C7FE2" w14:textId="77777777" w:rsidR="00484EEA" w:rsidRDefault="00484EEA"/>
    <w:p w14:paraId="6C12B64C" w14:textId="2039EAD5" w:rsidR="00484EEA" w:rsidRDefault="00484EEA">
      <w:r>
        <w:t xml:space="preserve">Kassam, Z. R. (2004), ‘Gender’ in </w:t>
      </w:r>
      <w:r>
        <w:rPr>
          <w:i/>
        </w:rPr>
        <w:t>Encyclopaedia of Islam and the Muslim World</w:t>
      </w:r>
      <w:r>
        <w:t>, Vol. 1,</w:t>
      </w:r>
      <w:r w:rsidR="005D35CB">
        <w:t xml:space="preserve"> pp.265-272</w:t>
      </w:r>
      <w:r w:rsidR="0092749D">
        <w:t xml:space="preserve">, Available at: Gale Virtual Reference Library, </w:t>
      </w:r>
      <w:r w:rsidR="0092749D" w:rsidRPr="00BE081C">
        <w:t>http://go.galegroup.com/ps/retrieve.do?tabID=T003&amp;resultListType=RESULT_LIST&amp;searchResultsType=SingleTab&amp;searchType=BasicSearchForm&amp;currentPosition=1&amp;docId=GALE%7CCX3403500164&amp;docType=Topic+overview&amp;sort=RELEVANCE&amp;contentSegment=&amp;prodId=GVRL&amp;contentSet=GALE%7CCX3403500164&amp;searchId=R1&amp;userGroupName=walamp&amp;inPS=true</w:t>
      </w:r>
      <w:r w:rsidR="0092749D">
        <w:t xml:space="preserve"> (Date Accessed: 7</w:t>
      </w:r>
      <w:r w:rsidR="0092749D" w:rsidRPr="00002875">
        <w:rPr>
          <w:vertAlign w:val="superscript"/>
        </w:rPr>
        <w:t>th</w:t>
      </w:r>
      <w:r w:rsidR="0092749D">
        <w:t xml:space="preserve"> March 2018).</w:t>
      </w:r>
    </w:p>
    <w:p w14:paraId="07227E42" w14:textId="77777777" w:rsidR="00535B17" w:rsidRDefault="00535B17"/>
    <w:p w14:paraId="51525822" w14:textId="5941AEBB" w:rsidR="00535B17" w:rsidRDefault="00535B17" w:rsidP="005248CB">
      <w:pPr>
        <w:outlineLvl w:val="0"/>
      </w:pPr>
      <w:r>
        <w:t xml:space="preserve">Kenney, J. T. and Moosa, E. (2013), </w:t>
      </w:r>
      <w:r>
        <w:rPr>
          <w:i/>
        </w:rPr>
        <w:t>Islam in the Modern World</w:t>
      </w:r>
      <w:r>
        <w:t>, (Oxon: Routledge).</w:t>
      </w:r>
    </w:p>
    <w:p w14:paraId="23A4AF0B" w14:textId="77777777" w:rsidR="00B66CB0" w:rsidRDefault="00B66CB0"/>
    <w:p w14:paraId="7FDBEE31" w14:textId="05D07680" w:rsidR="00B66CB0" w:rsidRDefault="00B66CB0">
      <w:r>
        <w:t xml:space="preserve">Krahe, D. (2011), </w:t>
      </w:r>
      <w:r>
        <w:rPr>
          <w:i/>
        </w:rPr>
        <w:t>The Muslim Sisterhood: Visions of Female Identity in the New Egypt</w:t>
      </w:r>
      <w:r>
        <w:t xml:space="preserve">, </w:t>
      </w:r>
      <w:r w:rsidRPr="00B66CB0">
        <w:t>http://www.spiegel.de/international/world/the-muslim-sisterhood-visions-of-female-identity-in-the-new-egypt-a-754250.html</w:t>
      </w:r>
      <w:r>
        <w:t xml:space="preserve"> (Date Accessed: 19th March 2018).</w:t>
      </w:r>
    </w:p>
    <w:p w14:paraId="50DD4601" w14:textId="77777777" w:rsidR="006939F3" w:rsidRDefault="006939F3"/>
    <w:p w14:paraId="53D37FBC" w14:textId="25FA8DFD" w:rsidR="006939F3" w:rsidRDefault="006939F3">
      <w:r>
        <w:t xml:space="preserve">Lillevik, R (2012), </w:t>
      </w:r>
      <w:r>
        <w:rPr>
          <w:i/>
        </w:rPr>
        <w:t xml:space="preserve">Islamist Women and Political Rights: </w:t>
      </w:r>
      <w:r w:rsidR="0089359D">
        <w:rPr>
          <w:i/>
        </w:rPr>
        <w:t>A Case Study of Islamist Women’s Increasing Political Participation in Egypt’s Muslim Brotherhood</w:t>
      </w:r>
      <w:r w:rsidR="0089359D">
        <w:t xml:space="preserve">, </w:t>
      </w:r>
      <w:r w:rsidR="0089359D" w:rsidRPr="0089359D">
        <w:t>https://www.duo.uio.no/bitstream/handle/10852/13457/IslamistxWomenxandxPoliticalxRights.pdf?sequence=1&amp;isAllowed=y</w:t>
      </w:r>
      <w:r w:rsidR="0089359D">
        <w:t xml:space="preserve"> (Date Accessed:15</w:t>
      </w:r>
      <w:r w:rsidR="0089359D" w:rsidRPr="0089359D">
        <w:rPr>
          <w:vertAlign w:val="superscript"/>
        </w:rPr>
        <w:t>th</w:t>
      </w:r>
      <w:r w:rsidR="0089359D">
        <w:t xml:space="preserve"> March 2018).</w:t>
      </w:r>
    </w:p>
    <w:p w14:paraId="294F96CA" w14:textId="77777777" w:rsidR="00C97D4B" w:rsidRDefault="00C97D4B"/>
    <w:p w14:paraId="6D58925B" w14:textId="79F39821" w:rsidR="00C97D4B" w:rsidRDefault="00C97D4B">
      <w:r>
        <w:t xml:space="preserve">Maslaha (Unknown Date), </w:t>
      </w:r>
      <w:r>
        <w:rPr>
          <w:i/>
        </w:rPr>
        <w:t>Amina Wadud</w:t>
      </w:r>
      <w:r>
        <w:t xml:space="preserve">, </w:t>
      </w:r>
      <w:r w:rsidRPr="00C97D4B">
        <w:t>http://www.islamandfeminism.org/amina-wadud.html</w:t>
      </w:r>
      <w:r>
        <w:t xml:space="preserve"> (Date Accessed:21st March 2018).</w:t>
      </w:r>
    </w:p>
    <w:p w14:paraId="39CC7ACD" w14:textId="77777777" w:rsidR="00B54CC1" w:rsidRDefault="00B54CC1"/>
    <w:p w14:paraId="748FDE9D" w14:textId="41267025" w:rsidR="00B54CC1" w:rsidRPr="0089359D" w:rsidRDefault="00B54CC1">
      <w:r>
        <w:t xml:space="preserve">Middle East Policy Council (Unknown Date), </w:t>
      </w:r>
      <w:r>
        <w:rPr>
          <w:i/>
        </w:rPr>
        <w:t>Saudi Arabia Debates Right of Women to Drive</w:t>
      </w:r>
      <w:r>
        <w:t xml:space="preserve">, </w:t>
      </w:r>
      <w:r w:rsidRPr="00B54CC1">
        <w:t>http://www.mepc.org/commentary/saudi-arabia-debates-right-women-drive</w:t>
      </w:r>
      <w:r>
        <w:t xml:space="preserve"> (Date Accessed: 19</w:t>
      </w:r>
      <w:r w:rsidRPr="00B54CC1">
        <w:rPr>
          <w:vertAlign w:val="superscript"/>
        </w:rPr>
        <w:t>th</w:t>
      </w:r>
      <w:r>
        <w:t xml:space="preserve"> March 2018).</w:t>
      </w:r>
    </w:p>
    <w:p w14:paraId="0ADB6502" w14:textId="77777777" w:rsidR="00050508" w:rsidRDefault="00050508"/>
    <w:p w14:paraId="1DBEC074" w14:textId="1C157DDC" w:rsidR="00050508" w:rsidRDefault="00050508" w:rsidP="005248CB">
      <w:pPr>
        <w:outlineLvl w:val="0"/>
      </w:pPr>
      <w:r>
        <w:t xml:space="preserve">Momoh, C. (2005), </w:t>
      </w:r>
      <w:r>
        <w:rPr>
          <w:i/>
        </w:rPr>
        <w:t>Female Gender Mutilation</w:t>
      </w:r>
      <w:r>
        <w:t>, (Oxford: Radcliffe Publishing).</w:t>
      </w:r>
    </w:p>
    <w:p w14:paraId="6418153A" w14:textId="77777777" w:rsidR="004A0A9D" w:rsidRDefault="004A0A9D"/>
    <w:p w14:paraId="0AF33C3F" w14:textId="06F4CA75" w:rsidR="004A0A9D" w:rsidRDefault="004A0A9D">
      <w:r>
        <w:t>National Woman’s Party (Unknown Date),</w:t>
      </w:r>
      <w:r w:rsidRPr="00296113">
        <w:t xml:space="preserve"> </w:t>
      </w:r>
      <w:r w:rsidRPr="00296113">
        <w:rPr>
          <w:i/>
        </w:rPr>
        <w:t>Begum Rokeya Sakhawat Hossain,</w:t>
      </w:r>
      <w:r>
        <w:t xml:space="preserve"> </w:t>
      </w:r>
      <w:r w:rsidRPr="00296113">
        <w:t>http://nationalwomansparty.org/womenwecelebrate/begum-rokeya-sakhawat-hossain/</w:t>
      </w:r>
      <w:r>
        <w:t xml:space="preserve"> (Date Accessed: 21</w:t>
      </w:r>
      <w:r w:rsidRPr="00296113">
        <w:rPr>
          <w:vertAlign w:val="superscript"/>
        </w:rPr>
        <w:t>st</w:t>
      </w:r>
      <w:r>
        <w:t xml:space="preserve"> March 2018)</w:t>
      </w:r>
      <w:r w:rsidR="00E94719">
        <w:t>.</w:t>
      </w:r>
    </w:p>
    <w:p w14:paraId="287B49C8" w14:textId="77777777" w:rsidR="004A0A9D" w:rsidRDefault="004A0A9D"/>
    <w:p w14:paraId="1CCA4285" w14:textId="132AD340" w:rsidR="004A0A9D" w:rsidRDefault="004A0A9D">
      <w:r>
        <w:t xml:space="preserve">Quayum, M. A. and Hasan, M. (2016), </w:t>
      </w:r>
      <w:r>
        <w:rPr>
          <w:i/>
        </w:rPr>
        <w:t>The Feminist Foremother: Critical Essays on Rokeya Sakhawat Hossain</w:t>
      </w:r>
      <w:r>
        <w:t>, (Telangana: Orient Longman).</w:t>
      </w:r>
    </w:p>
    <w:p w14:paraId="3520A56C" w14:textId="77777777" w:rsidR="00E94719" w:rsidRDefault="00E94719"/>
    <w:p w14:paraId="4076F5A7" w14:textId="41C39340" w:rsidR="00E94719" w:rsidRDefault="00E94719">
      <w:r>
        <w:lastRenderedPageBreak/>
        <w:t>Rassam, A. and Worthington, L. (Unknown Date), ‘</w:t>
      </w:r>
      <w:r w:rsidRPr="004B625A">
        <w:t>Fatima Mernissi</w:t>
      </w:r>
      <w:r>
        <w:t xml:space="preserve">’ in </w:t>
      </w:r>
      <w:r>
        <w:rPr>
          <w:i/>
        </w:rPr>
        <w:t>The Oxford Encyclopaedia of the Islamic World</w:t>
      </w:r>
      <w:r>
        <w:t xml:space="preserve">, </w:t>
      </w:r>
      <w:r w:rsidRPr="004B625A">
        <w:t>http://www.oxfordislamicstudies.com/print/opr/t236/e0527</w:t>
      </w:r>
      <w:r>
        <w:t xml:space="preserve"> (Date Accessed: 20</w:t>
      </w:r>
      <w:r w:rsidRPr="004B625A">
        <w:rPr>
          <w:vertAlign w:val="superscript"/>
        </w:rPr>
        <w:t>th</w:t>
      </w:r>
      <w:r>
        <w:t xml:space="preserve"> March 2018).</w:t>
      </w:r>
    </w:p>
    <w:p w14:paraId="59B9E541" w14:textId="77777777" w:rsidR="006B2EA7" w:rsidRDefault="006B2EA7"/>
    <w:p w14:paraId="5C749143" w14:textId="3186D894" w:rsidR="006B2EA7" w:rsidRPr="00EB2EB2" w:rsidRDefault="006B2EA7" w:rsidP="006B2EA7">
      <w:pPr>
        <w:pStyle w:val="FootnoteText"/>
      </w:pPr>
      <w:r>
        <w:t xml:space="preserve">Raza, M. (2013), ‘Women’s Education in Pakistan: Engendered Legacy’ in </w:t>
      </w:r>
      <w:r>
        <w:rPr>
          <w:i/>
        </w:rPr>
        <w:t>Journal of Humanities and Social Sciences (Pakistan)</w:t>
      </w:r>
      <w:r>
        <w:t xml:space="preserve">, Vol. 21,2, pp.109-128, Available from: EBSCOhost: </w:t>
      </w:r>
      <w:r w:rsidRPr="00EB2EB2">
        <w:t>http://web.b.ebscohost.com.ezproxy.uwtsd.ac.uk/ehost/pdfviewer/pdfviewer?vid=1&amp;sid=4376351e-6498-4108-9fe8-6dfce6823ff2%40sessionmgr102</w:t>
      </w:r>
      <w:r>
        <w:t xml:space="preserve"> (Date Accessed: 19</w:t>
      </w:r>
      <w:r w:rsidRPr="00EB2EB2">
        <w:rPr>
          <w:vertAlign w:val="superscript"/>
        </w:rPr>
        <w:t>th</w:t>
      </w:r>
      <w:r>
        <w:t xml:space="preserve"> March 2018).</w:t>
      </w:r>
    </w:p>
    <w:p w14:paraId="29B5E277" w14:textId="77777777" w:rsidR="002B4D79" w:rsidRDefault="002B4D79"/>
    <w:p w14:paraId="41BDC074" w14:textId="7A8631A1" w:rsidR="002B4D79" w:rsidRDefault="002B4D79">
      <w:r>
        <w:t xml:space="preserve">Raymond, S. (2016), ‘Female genital mutilation: Managing the complications, your safeguarding duties and the law’ in </w:t>
      </w:r>
      <w:r>
        <w:rPr>
          <w:i/>
        </w:rPr>
        <w:t>Practicing Nurse</w:t>
      </w:r>
      <w:r>
        <w:t xml:space="preserve">, Vol. 46, 3, pp. 26-30, Available at: ESSCOhost, </w:t>
      </w:r>
      <w:r w:rsidRPr="002B4D79">
        <w:t>http://web.b.ebscohost.com.ezproxy.uwtsd.ac.uk/ehost/detail/detail?vid=0&amp;sid=d9c3a963-43ee-4d40-9ae5-8db837aeca2d%40sessionmgr102&amp;bdata=JnNpdGU9ZWhvc3QtbGl2ZQ%3d%3d#AN=113742760&amp;db=bth</w:t>
      </w:r>
      <w:r>
        <w:t xml:space="preserve"> (Date Accessed:12</w:t>
      </w:r>
      <w:r w:rsidRPr="002B4D79">
        <w:rPr>
          <w:vertAlign w:val="superscript"/>
        </w:rPr>
        <w:t>th</w:t>
      </w:r>
      <w:r>
        <w:t xml:space="preserve"> March 2018).</w:t>
      </w:r>
    </w:p>
    <w:p w14:paraId="22298F83" w14:textId="77777777" w:rsidR="001401C3" w:rsidRDefault="001401C3"/>
    <w:p w14:paraId="6F555FCC" w14:textId="11AEA9F3" w:rsidR="009253CF" w:rsidRDefault="008463DA">
      <w:r>
        <w:t xml:space="preserve">Sanders, P. (Unknown Date), ‘Clitoridectomy’ in </w:t>
      </w:r>
      <w:r>
        <w:rPr>
          <w:i/>
        </w:rPr>
        <w:t>The Oxford Encyclopaedia of the Islamic World</w:t>
      </w:r>
      <w:r>
        <w:t xml:space="preserve">, </w:t>
      </w:r>
      <w:r w:rsidRPr="008463DA">
        <w:t>http://www.oxfordislamicstudies.com/article/opr/t236/e0154</w:t>
      </w:r>
      <w:r>
        <w:t xml:space="preserve"> (Date Accessed: 15th March 2018).</w:t>
      </w:r>
    </w:p>
    <w:p w14:paraId="3D8EDE48" w14:textId="77777777" w:rsidR="00AA0529" w:rsidRDefault="00AA0529"/>
    <w:p w14:paraId="2CF240B5" w14:textId="750BBB03" w:rsidR="00AA0529" w:rsidRDefault="00AA0529">
      <w:r>
        <w:t xml:space="preserve">Sawah, W. (2017), </w:t>
      </w:r>
      <w:r>
        <w:rPr>
          <w:i/>
        </w:rPr>
        <w:t>The Muslim Brotherhoods Take on Women’s Rights: Reading between the lines</w:t>
      </w:r>
      <w:r>
        <w:t xml:space="preserve">, </w:t>
      </w:r>
      <w:r w:rsidRPr="00AA0529">
        <w:t>https://lb.boell.org/en/2017/02/27/muslim-brotherhoods-take-womens-rights-reading-between-lines</w:t>
      </w:r>
      <w:r>
        <w:t xml:space="preserve"> (Date Accessed: 19</w:t>
      </w:r>
      <w:r w:rsidRPr="00AA0529">
        <w:rPr>
          <w:vertAlign w:val="superscript"/>
        </w:rPr>
        <w:t>th</w:t>
      </w:r>
      <w:r>
        <w:t xml:space="preserve"> March 2018).</w:t>
      </w:r>
    </w:p>
    <w:p w14:paraId="32D46320" w14:textId="77777777" w:rsidR="00E01279" w:rsidRDefault="00E01279"/>
    <w:p w14:paraId="18EB9CD8" w14:textId="6E45B072" w:rsidR="00E01279" w:rsidRPr="00AA0529" w:rsidRDefault="00E01279">
      <w:r>
        <w:t xml:space="preserve">Shaheed, F. and Mumtaz, K. (1995), ‘Women’s Education in Pakistan’ in </w:t>
      </w:r>
      <w:r>
        <w:rPr>
          <w:i/>
        </w:rPr>
        <w:t>The Politics of Women’s Education: Perspectives from Asia, Africa and Latin America</w:t>
      </w:r>
      <w:r>
        <w:t>, (Michigan: University of Michigan Press)</w:t>
      </w:r>
      <w:r w:rsidR="006B2EA7">
        <w:t>.</w:t>
      </w:r>
    </w:p>
    <w:p w14:paraId="39490773" w14:textId="134D07DD" w:rsidR="009253CF" w:rsidRDefault="009253CF"/>
    <w:p w14:paraId="425BDD7D" w14:textId="79F42527" w:rsidR="00A87E8D" w:rsidRDefault="00A87E8D">
      <w:r>
        <w:t>Tadros, M. (</w:t>
      </w:r>
      <w:r w:rsidR="003004B3">
        <w:t>2012</w:t>
      </w:r>
      <w:r>
        <w:t xml:space="preserve">), </w:t>
      </w:r>
      <w:r>
        <w:rPr>
          <w:i/>
        </w:rPr>
        <w:t>The Muslim Brotherhood in Contemporary Egy</w:t>
      </w:r>
      <w:r w:rsidR="003004B3">
        <w:rPr>
          <w:i/>
        </w:rPr>
        <w:t>pt: Democracy Defined or Confin</w:t>
      </w:r>
      <w:r>
        <w:rPr>
          <w:i/>
        </w:rPr>
        <w:t>ed</w:t>
      </w:r>
      <w:r w:rsidR="003004B3">
        <w:t>, (Oxon: Routledge).</w:t>
      </w:r>
    </w:p>
    <w:p w14:paraId="3D4E5056" w14:textId="77777777" w:rsidR="00E01279" w:rsidRDefault="00E01279"/>
    <w:p w14:paraId="006CD986" w14:textId="6AE19AD5" w:rsidR="00E01279" w:rsidRDefault="00E01279">
      <w:r>
        <w:t xml:space="preserve">The Economist (2013), </w:t>
      </w:r>
      <w:r>
        <w:rPr>
          <w:i/>
        </w:rPr>
        <w:t>Ovarian Issue; Saudi Arabia’s women drivers</w:t>
      </w:r>
      <w:r>
        <w:t xml:space="preserve">, Vol. 409, 8859, Available from: ProQuest, </w:t>
      </w:r>
      <w:r w:rsidRPr="00B54CC1">
        <w:t>https://search-proquest-com.ezproxy.uwtsd.ac.uk/docview/1445879223?accountid=130472&amp;rfr_id=info%3Axri%2Fsid%3Aprimo</w:t>
      </w:r>
      <w:r>
        <w:t xml:space="preserve"> (Date Accessed: 19</w:t>
      </w:r>
      <w:r w:rsidRPr="00B54CC1">
        <w:rPr>
          <w:vertAlign w:val="superscript"/>
        </w:rPr>
        <w:t>th</w:t>
      </w:r>
      <w:r>
        <w:t xml:space="preserve"> March 2018).</w:t>
      </w:r>
    </w:p>
    <w:p w14:paraId="021BCFBC" w14:textId="77777777" w:rsidR="00465DEC" w:rsidRDefault="00465DEC"/>
    <w:p w14:paraId="7FFD1936" w14:textId="22FE0C68" w:rsidR="00465DEC" w:rsidRPr="00465DEC" w:rsidRDefault="00465DEC">
      <w:r w:rsidRPr="00465DEC">
        <w:t>Wadud</w:t>
      </w:r>
      <w:r w:rsidRPr="00465DEC">
        <w:t xml:space="preserve">, A. </w:t>
      </w:r>
      <w:r w:rsidRPr="00465DEC">
        <w:t xml:space="preserve">(2006), </w:t>
      </w:r>
      <w:r w:rsidRPr="00465DEC">
        <w:rPr>
          <w:i/>
        </w:rPr>
        <w:t>Inside the Gender Jihad: Women’s Reform in Islam</w:t>
      </w:r>
      <w:r w:rsidRPr="00465DEC">
        <w:t>, (Oxford: Oneworld Publications)</w:t>
      </w:r>
      <w:r w:rsidRPr="00465DEC">
        <w:t>.</w:t>
      </w:r>
    </w:p>
    <w:p w14:paraId="5A459CC0" w14:textId="77777777" w:rsidR="00E658D3" w:rsidRDefault="00E658D3"/>
    <w:p w14:paraId="3B9B5914" w14:textId="0661120D" w:rsidR="00E658D3" w:rsidRPr="00E658D3" w:rsidRDefault="00E658D3">
      <w:r w:rsidRPr="00E658D3">
        <w:t xml:space="preserve">World Health Organisation (2018), </w:t>
      </w:r>
      <w:r w:rsidRPr="00E658D3">
        <w:rPr>
          <w:i/>
        </w:rPr>
        <w:t>Female Genital Mutilation</w:t>
      </w:r>
      <w:r w:rsidRPr="00E658D3">
        <w:t xml:space="preserve"> http://www.who.int/mediacentre/factsheets/fs241/en/ (Date Accessed: 27</w:t>
      </w:r>
      <w:r w:rsidRPr="00E658D3">
        <w:rPr>
          <w:vertAlign w:val="superscript"/>
        </w:rPr>
        <w:t>th</w:t>
      </w:r>
      <w:r w:rsidRPr="00E658D3">
        <w:t xml:space="preserve"> March 2018).</w:t>
      </w:r>
    </w:p>
    <w:sectPr w:rsidR="00E658D3" w:rsidRPr="00E658D3" w:rsidSect="00E35356">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988D93" w14:textId="77777777" w:rsidR="00C22105" w:rsidRDefault="00C22105" w:rsidP="00050508">
      <w:r>
        <w:separator/>
      </w:r>
    </w:p>
  </w:endnote>
  <w:endnote w:type="continuationSeparator" w:id="0">
    <w:p w14:paraId="553EAE44" w14:textId="77777777" w:rsidR="00C22105" w:rsidRDefault="00C22105" w:rsidP="0005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6F4AD" w14:textId="77777777" w:rsidR="009D553F" w:rsidRDefault="009D553F" w:rsidP="009D553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54BB02" w14:textId="77777777" w:rsidR="009D553F" w:rsidRDefault="009D553F" w:rsidP="009B081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182B3" w14:textId="77777777" w:rsidR="009D553F" w:rsidRDefault="009D553F" w:rsidP="009D553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E7AAD">
      <w:rPr>
        <w:rStyle w:val="PageNumber"/>
        <w:noProof/>
      </w:rPr>
      <w:t>7</w:t>
    </w:r>
    <w:r>
      <w:rPr>
        <w:rStyle w:val="PageNumber"/>
      </w:rPr>
      <w:fldChar w:fldCharType="end"/>
    </w:r>
  </w:p>
  <w:p w14:paraId="27D009B7" w14:textId="121BD685" w:rsidR="009D553F" w:rsidRDefault="00252F75" w:rsidP="009B0813">
    <w:pPr>
      <w:pStyle w:val="Footer"/>
      <w:ind w:right="360"/>
    </w:pPr>
    <w:r>
      <w:t>1500651- Daisy Wakefield</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3FD11" w14:textId="77777777" w:rsidR="00C22105" w:rsidRDefault="00C22105" w:rsidP="00050508">
      <w:r>
        <w:separator/>
      </w:r>
    </w:p>
  </w:footnote>
  <w:footnote w:type="continuationSeparator" w:id="0">
    <w:p w14:paraId="2A85D9BB" w14:textId="77777777" w:rsidR="00C22105" w:rsidRDefault="00C22105" w:rsidP="00050508">
      <w:r>
        <w:continuationSeparator/>
      </w:r>
    </w:p>
  </w:footnote>
  <w:footnote w:id="1">
    <w:p w14:paraId="727FFBA6" w14:textId="69BC2642" w:rsidR="009D553F" w:rsidRDefault="009D553F">
      <w:pPr>
        <w:pStyle w:val="FootnoteText"/>
      </w:pPr>
      <w:r w:rsidRPr="006A1B20">
        <w:rPr>
          <w:rStyle w:val="FootnoteReference"/>
          <w:sz w:val="18"/>
          <w:szCs w:val="18"/>
        </w:rPr>
        <w:footnoteRef/>
      </w:r>
      <w:r w:rsidRPr="006A1B20">
        <w:rPr>
          <w:sz w:val="18"/>
          <w:szCs w:val="18"/>
        </w:rPr>
        <w:t xml:space="preserve"> </w:t>
      </w:r>
      <w:r>
        <w:rPr>
          <w:sz w:val="18"/>
          <w:szCs w:val="18"/>
        </w:rPr>
        <w:t>(Quran 2:228</w:t>
      </w:r>
      <w:r w:rsidRPr="00E152E5">
        <w:rPr>
          <w:sz w:val="18"/>
          <w:szCs w:val="18"/>
        </w:rPr>
        <w:t>).</w:t>
      </w:r>
    </w:p>
  </w:footnote>
  <w:footnote w:id="2">
    <w:p w14:paraId="05D70CA4" w14:textId="70B6FCB5" w:rsidR="00991987" w:rsidRPr="00A94C7C" w:rsidRDefault="00991987">
      <w:pPr>
        <w:pStyle w:val="FootnoteText"/>
      </w:pPr>
      <w:r w:rsidRPr="00535B17">
        <w:rPr>
          <w:rStyle w:val="FootnoteReference"/>
          <w:sz w:val="18"/>
          <w:szCs w:val="18"/>
        </w:rPr>
        <w:footnoteRef/>
      </w:r>
      <w:r>
        <w:t xml:space="preserve"> </w:t>
      </w:r>
      <w:r w:rsidR="00A94C7C" w:rsidRPr="00535B17">
        <w:rPr>
          <w:sz w:val="18"/>
          <w:szCs w:val="18"/>
        </w:rPr>
        <w:t xml:space="preserve">J. T. Kenney and E. Moosa (2013), </w:t>
      </w:r>
      <w:r w:rsidR="00A94C7C" w:rsidRPr="00535B17">
        <w:rPr>
          <w:i/>
          <w:sz w:val="18"/>
          <w:szCs w:val="18"/>
        </w:rPr>
        <w:t>Islam in the Modern World</w:t>
      </w:r>
      <w:r w:rsidR="00A94C7C" w:rsidRPr="00535B17">
        <w:rPr>
          <w:sz w:val="18"/>
          <w:szCs w:val="18"/>
        </w:rPr>
        <w:t xml:space="preserve">, </w:t>
      </w:r>
      <w:r w:rsidR="00535B17" w:rsidRPr="00535B17">
        <w:rPr>
          <w:sz w:val="18"/>
          <w:szCs w:val="18"/>
        </w:rPr>
        <w:t>(Oxon: Routledge), p.152.</w:t>
      </w:r>
    </w:p>
  </w:footnote>
  <w:footnote w:id="3">
    <w:p w14:paraId="16A9C332" w14:textId="0EDDD000" w:rsidR="009C61F9" w:rsidRPr="009C61F9" w:rsidRDefault="009C61F9">
      <w:pPr>
        <w:pStyle w:val="FootnoteText"/>
      </w:pPr>
      <w:r>
        <w:rPr>
          <w:rStyle w:val="FootnoteReference"/>
        </w:rPr>
        <w:footnoteRef/>
      </w:r>
      <w:r>
        <w:t xml:space="preserve"> </w:t>
      </w:r>
      <w:r w:rsidRPr="00535B17">
        <w:rPr>
          <w:sz w:val="18"/>
          <w:szCs w:val="18"/>
        </w:rPr>
        <w:t xml:space="preserve">J. T. Kenney and E. Moosa (2013), </w:t>
      </w:r>
      <w:r w:rsidRPr="00535B17">
        <w:rPr>
          <w:i/>
          <w:sz w:val="18"/>
          <w:szCs w:val="18"/>
        </w:rPr>
        <w:t>Islam</w:t>
      </w:r>
      <w:r>
        <w:rPr>
          <w:sz w:val="18"/>
          <w:szCs w:val="18"/>
        </w:rPr>
        <w:t>, p.152.</w:t>
      </w:r>
    </w:p>
  </w:footnote>
  <w:footnote w:id="4">
    <w:p w14:paraId="38CF9206" w14:textId="2C2334C5" w:rsidR="00B663F5" w:rsidRDefault="00B663F5">
      <w:pPr>
        <w:pStyle w:val="FootnoteText"/>
      </w:pPr>
      <w:r w:rsidRPr="00B663F5">
        <w:rPr>
          <w:rStyle w:val="FootnoteReference"/>
          <w:sz w:val="18"/>
          <w:szCs w:val="18"/>
        </w:rPr>
        <w:footnoteRef/>
      </w:r>
      <w:r w:rsidRPr="00B663F5">
        <w:rPr>
          <w:sz w:val="18"/>
          <w:szCs w:val="18"/>
        </w:rPr>
        <w:t xml:space="preserve"> </w:t>
      </w:r>
      <w:r w:rsidRPr="00535B17">
        <w:rPr>
          <w:sz w:val="18"/>
          <w:szCs w:val="18"/>
        </w:rPr>
        <w:t xml:space="preserve">J. T. Kenney and E. Moosa (2013), </w:t>
      </w:r>
      <w:r w:rsidRPr="00535B17">
        <w:rPr>
          <w:i/>
          <w:sz w:val="18"/>
          <w:szCs w:val="18"/>
        </w:rPr>
        <w:t>Islam</w:t>
      </w:r>
      <w:r>
        <w:rPr>
          <w:sz w:val="18"/>
          <w:szCs w:val="18"/>
        </w:rPr>
        <w:t>, p.154.</w:t>
      </w:r>
    </w:p>
  </w:footnote>
  <w:footnote w:id="5">
    <w:p w14:paraId="231BD7A3" w14:textId="1D8FE236" w:rsidR="00BA3CB4" w:rsidRPr="00BA3CB4" w:rsidRDefault="00BA3CB4">
      <w:pPr>
        <w:pStyle w:val="FootnoteText"/>
        <w:rPr>
          <w:sz w:val="18"/>
          <w:szCs w:val="18"/>
        </w:rPr>
      </w:pPr>
      <w:r w:rsidRPr="00BA3CB4">
        <w:rPr>
          <w:rStyle w:val="FootnoteReference"/>
          <w:sz w:val="18"/>
          <w:szCs w:val="18"/>
        </w:rPr>
        <w:footnoteRef/>
      </w:r>
      <w:r w:rsidRPr="00BA3CB4">
        <w:rPr>
          <w:sz w:val="18"/>
          <w:szCs w:val="18"/>
        </w:rPr>
        <w:t xml:space="preserve"> Muslim Family Law.</w:t>
      </w:r>
    </w:p>
  </w:footnote>
  <w:footnote w:id="6">
    <w:p w14:paraId="20F64FDE" w14:textId="577F0F92" w:rsidR="00BA3CB4" w:rsidRPr="00BA3CB4" w:rsidRDefault="00BA3CB4">
      <w:pPr>
        <w:pStyle w:val="FootnoteText"/>
        <w:rPr>
          <w:sz w:val="18"/>
          <w:szCs w:val="18"/>
        </w:rPr>
      </w:pPr>
      <w:r w:rsidRPr="00BA3CB4">
        <w:rPr>
          <w:rStyle w:val="FootnoteReference"/>
          <w:sz w:val="18"/>
          <w:szCs w:val="18"/>
        </w:rPr>
        <w:footnoteRef/>
      </w:r>
      <w:r w:rsidRPr="00BA3CB4">
        <w:rPr>
          <w:sz w:val="18"/>
          <w:szCs w:val="18"/>
        </w:rPr>
        <w:t xml:space="preserve"> J. T. Kenney and E. Moosa (2013), </w:t>
      </w:r>
      <w:r w:rsidRPr="00BA3CB4">
        <w:rPr>
          <w:i/>
          <w:sz w:val="18"/>
          <w:szCs w:val="18"/>
        </w:rPr>
        <w:t>Islam</w:t>
      </w:r>
      <w:r w:rsidRPr="00BA3CB4">
        <w:rPr>
          <w:sz w:val="18"/>
          <w:szCs w:val="18"/>
        </w:rPr>
        <w:t>, p.160</w:t>
      </w:r>
    </w:p>
  </w:footnote>
  <w:footnote w:id="7">
    <w:p w14:paraId="4EF42D62" w14:textId="5B9E0241" w:rsidR="00BA3CB4" w:rsidRPr="00BA3CB4" w:rsidRDefault="00BA3CB4">
      <w:pPr>
        <w:pStyle w:val="FootnoteText"/>
        <w:rPr>
          <w:sz w:val="18"/>
          <w:szCs w:val="18"/>
        </w:rPr>
      </w:pPr>
      <w:r w:rsidRPr="00BA3CB4">
        <w:rPr>
          <w:rStyle w:val="FootnoteReference"/>
          <w:sz w:val="18"/>
          <w:szCs w:val="18"/>
        </w:rPr>
        <w:footnoteRef/>
      </w:r>
      <w:r w:rsidRPr="00BA3CB4">
        <w:rPr>
          <w:sz w:val="18"/>
          <w:szCs w:val="18"/>
        </w:rPr>
        <w:t xml:space="preserve"> J. T. Kenney and E. Moosa (2013), </w:t>
      </w:r>
      <w:r w:rsidRPr="00BA3CB4">
        <w:rPr>
          <w:i/>
          <w:sz w:val="18"/>
          <w:szCs w:val="18"/>
        </w:rPr>
        <w:t>Islam</w:t>
      </w:r>
      <w:r w:rsidRPr="00BA3CB4">
        <w:rPr>
          <w:sz w:val="18"/>
          <w:szCs w:val="18"/>
        </w:rPr>
        <w:t>, p.160.</w:t>
      </w:r>
    </w:p>
  </w:footnote>
  <w:footnote w:id="8">
    <w:p w14:paraId="36A4B0E9" w14:textId="45950BE1" w:rsidR="00BA3CB4" w:rsidRDefault="00BA3CB4">
      <w:pPr>
        <w:pStyle w:val="FootnoteText"/>
      </w:pPr>
      <w:r w:rsidRPr="00BA3CB4">
        <w:rPr>
          <w:rStyle w:val="FootnoteReference"/>
          <w:sz w:val="18"/>
          <w:szCs w:val="18"/>
        </w:rPr>
        <w:footnoteRef/>
      </w:r>
      <w:r w:rsidRPr="00BA3CB4">
        <w:rPr>
          <w:sz w:val="18"/>
          <w:szCs w:val="18"/>
        </w:rPr>
        <w:t xml:space="preserve"> J. T. Kenney and E. Moosa (2013), </w:t>
      </w:r>
      <w:r w:rsidRPr="00BA3CB4">
        <w:rPr>
          <w:i/>
          <w:sz w:val="18"/>
          <w:szCs w:val="18"/>
        </w:rPr>
        <w:t>Islam</w:t>
      </w:r>
      <w:r w:rsidRPr="00BA3CB4">
        <w:rPr>
          <w:sz w:val="18"/>
          <w:szCs w:val="18"/>
        </w:rPr>
        <w:t>, p.160.</w:t>
      </w:r>
    </w:p>
  </w:footnote>
  <w:footnote w:id="9">
    <w:p w14:paraId="4FF8854B" w14:textId="14B85C8C" w:rsidR="009D553F" w:rsidRPr="009B0813" w:rsidRDefault="009D553F">
      <w:pPr>
        <w:pStyle w:val="FootnoteText"/>
        <w:rPr>
          <w:sz w:val="18"/>
          <w:szCs w:val="18"/>
        </w:rPr>
      </w:pPr>
      <w:r w:rsidRPr="009B0813">
        <w:rPr>
          <w:rStyle w:val="FootnoteReference"/>
          <w:sz w:val="18"/>
          <w:szCs w:val="18"/>
        </w:rPr>
        <w:footnoteRef/>
      </w:r>
      <w:r w:rsidRPr="009B0813">
        <w:rPr>
          <w:sz w:val="18"/>
          <w:szCs w:val="18"/>
        </w:rPr>
        <w:t xml:space="preserve"> More information on the issue of women driving can be found in the Middle East Policy Council (Unknown Date), </w:t>
      </w:r>
      <w:r w:rsidRPr="009B0813">
        <w:rPr>
          <w:i/>
          <w:sz w:val="18"/>
          <w:szCs w:val="18"/>
        </w:rPr>
        <w:t>Saudi Arabia Debates Right of Women to Drive</w:t>
      </w:r>
      <w:r w:rsidRPr="009B0813">
        <w:rPr>
          <w:sz w:val="18"/>
          <w:szCs w:val="18"/>
        </w:rPr>
        <w:t>, http://www.mepc.org/commentary/saudi-arabia-debates-right-women-drive (Date Accessed: 19</w:t>
      </w:r>
      <w:r w:rsidRPr="009B0813">
        <w:rPr>
          <w:sz w:val="18"/>
          <w:szCs w:val="18"/>
          <w:vertAlign w:val="superscript"/>
        </w:rPr>
        <w:t>th</w:t>
      </w:r>
      <w:r w:rsidRPr="009B0813">
        <w:rPr>
          <w:sz w:val="18"/>
          <w:szCs w:val="18"/>
        </w:rPr>
        <w:t xml:space="preserve"> March 2018) and The Economist (2013), </w:t>
      </w:r>
      <w:r w:rsidRPr="009B0813">
        <w:rPr>
          <w:i/>
          <w:sz w:val="18"/>
          <w:szCs w:val="18"/>
        </w:rPr>
        <w:t>Ovarian Issue; Saudi Arabia’s women drivers</w:t>
      </w:r>
      <w:r w:rsidRPr="009B0813">
        <w:rPr>
          <w:sz w:val="18"/>
          <w:szCs w:val="18"/>
        </w:rPr>
        <w:t>, Vol. 409, 8859, Available from: ProQuest, https://search-proquest-com.ezproxy.uwtsd.ac.uk/docview/1445879223?accountid=130472&amp;rfr_id=info%3Axri%2Fsid%3Aprimo (Date Accessed: 19</w:t>
      </w:r>
      <w:r w:rsidRPr="009B0813">
        <w:rPr>
          <w:sz w:val="18"/>
          <w:szCs w:val="18"/>
          <w:vertAlign w:val="superscript"/>
        </w:rPr>
        <w:t>th</w:t>
      </w:r>
      <w:r w:rsidRPr="009B0813">
        <w:rPr>
          <w:sz w:val="18"/>
          <w:szCs w:val="18"/>
        </w:rPr>
        <w:t xml:space="preserve"> March 2018).</w:t>
      </w:r>
    </w:p>
  </w:footnote>
  <w:footnote w:id="10">
    <w:p w14:paraId="11CE5AE9" w14:textId="15C71C25" w:rsidR="009D553F" w:rsidRPr="009B0813" w:rsidRDefault="009D553F">
      <w:pPr>
        <w:pStyle w:val="FootnoteText"/>
        <w:rPr>
          <w:sz w:val="18"/>
          <w:szCs w:val="18"/>
        </w:rPr>
      </w:pPr>
      <w:r w:rsidRPr="009B0813">
        <w:rPr>
          <w:rStyle w:val="FootnoteReference"/>
          <w:sz w:val="18"/>
          <w:szCs w:val="18"/>
        </w:rPr>
        <w:footnoteRef/>
      </w:r>
      <w:r w:rsidRPr="009B0813">
        <w:rPr>
          <w:sz w:val="18"/>
          <w:szCs w:val="18"/>
        </w:rPr>
        <w:t xml:space="preserve"> More information on the inability for women and children to attend school</w:t>
      </w:r>
      <w:r w:rsidR="001E5A15">
        <w:rPr>
          <w:sz w:val="18"/>
          <w:szCs w:val="18"/>
        </w:rPr>
        <w:t xml:space="preserve"> in Pakistan</w:t>
      </w:r>
      <w:r w:rsidRPr="009B0813">
        <w:rPr>
          <w:sz w:val="18"/>
          <w:szCs w:val="18"/>
        </w:rPr>
        <w:t xml:space="preserve"> can be found in F. Shaheed and K. Mumtaz (1995), ‘Women’s Education in Pakistan’ in </w:t>
      </w:r>
      <w:r w:rsidRPr="009B0813">
        <w:rPr>
          <w:i/>
          <w:sz w:val="18"/>
          <w:szCs w:val="18"/>
        </w:rPr>
        <w:t>The Politics of Women’s Education: Perspectives from Asia, Africa and Latin America</w:t>
      </w:r>
      <w:r w:rsidRPr="009B0813">
        <w:rPr>
          <w:sz w:val="18"/>
          <w:szCs w:val="18"/>
        </w:rPr>
        <w:t xml:space="preserve">, (Michigan: University of Michigan Press), pp.59-66 and M. Raza (2013), ‘Women’s Education in Pakistan: Engendered Legacy’ in </w:t>
      </w:r>
      <w:r w:rsidRPr="009B0813">
        <w:rPr>
          <w:i/>
          <w:sz w:val="18"/>
          <w:szCs w:val="18"/>
        </w:rPr>
        <w:t>Journal of Humanities and Social Sciences (Pakistan)</w:t>
      </w:r>
      <w:r w:rsidRPr="009B0813">
        <w:rPr>
          <w:sz w:val="18"/>
          <w:szCs w:val="18"/>
        </w:rPr>
        <w:t>, Vol. 21,2, pp.109-128, Available from: EBSCOhost: http://web.b.ebscohost.com.ezproxy.uwtsd.ac.uk/ehost/pdfviewer/pdfviewer?vid=1&amp;sid=4376351e-6498-4108-9fe8-6dfce6823ff2%40sessionmgr102 (Date Accessed: 19</w:t>
      </w:r>
      <w:r w:rsidRPr="009B0813">
        <w:rPr>
          <w:sz w:val="18"/>
          <w:szCs w:val="18"/>
          <w:vertAlign w:val="superscript"/>
        </w:rPr>
        <w:t>th</w:t>
      </w:r>
      <w:r w:rsidRPr="009B0813">
        <w:rPr>
          <w:sz w:val="18"/>
          <w:szCs w:val="18"/>
        </w:rPr>
        <w:t xml:space="preserve"> March 2018).</w:t>
      </w:r>
    </w:p>
  </w:footnote>
  <w:footnote w:id="11">
    <w:p w14:paraId="2C4D1BD3" w14:textId="1849A2B6" w:rsidR="00974508" w:rsidRPr="00C97D4B" w:rsidRDefault="00974508" w:rsidP="00974508">
      <w:pPr>
        <w:pStyle w:val="FootnoteText"/>
        <w:rPr>
          <w:sz w:val="18"/>
          <w:szCs w:val="18"/>
        </w:rPr>
      </w:pPr>
      <w:r w:rsidRPr="00C97D4B">
        <w:rPr>
          <w:rStyle w:val="FootnoteReference"/>
          <w:sz w:val="18"/>
          <w:szCs w:val="18"/>
        </w:rPr>
        <w:footnoteRef/>
      </w:r>
      <w:r w:rsidRPr="00C97D4B">
        <w:rPr>
          <w:sz w:val="18"/>
          <w:szCs w:val="18"/>
        </w:rPr>
        <w:t xml:space="preserve"> Information on Amina Wadud and her work can be found in H. Abugideiri (Unknown Date), ‘Amina Wadud’ in </w:t>
      </w:r>
      <w:r w:rsidRPr="00C97D4B">
        <w:rPr>
          <w:i/>
          <w:sz w:val="18"/>
          <w:szCs w:val="18"/>
        </w:rPr>
        <w:t>The Oxford Encyclopaedia of the Islamic World</w:t>
      </w:r>
      <w:r w:rsidRPr="00C97D4B">
        <w:rPr>
          <w:sz w:val="18"/>
          <w:szCs w:val="18"/>
        </w:rPr>
        <w:t>, http://www.oxfordislamicstudies.com/article/opr/t236/e0921?_hi=2&amp;_pos=1 (Date Accessed: 20</w:t>
      </w:r>
      <w:r w:rsidRPr="00C97D4B">
        <w:rPr>
          <w:sz w:val="18"/>
          <w:szCs w:val="18"/>
          <w:vertAlign w:val="superscript"/>
        </w:rPr>
        <w:t>th</w:t>
      </w:r>
      <w:r w:rsidR="009E65EF">
        <w:rPr>
          <w:sz w:val="18"/>
          <w:szCs w:val="18"/>
        </w:rPr>
        <w:t xml:space="preserve"> March 2018),</w:t>
      </w:r>
      <w:r w:rsidRPr="00C97D4B">
        <w:rPr>
          <w:sz w:val="18"/>
          <w:szCs w:val="18"/>
        </w:rPr>
        <w:t xml:space="preserve"> Maslaha (Unknown Date), </w:t>
      </w:r>
      <w:r w:rsidRPr="00C97D4B">
        <w:rPr>
          <w:i/>
          <w:sz w:val="18"/>
          <w:szCs w:val="18"/>
        </w:rPr>
        <w:t>Amina Wadud</w:t>
      </w:r>
      <w:r w:rsidRPr="00C97D4B">
        <w:rPr>
          <w:sz w:val="18"/>
          <w:szCs w:val="18"/>
        </w:rPr>
        <w:t>, http://www.islamandfeminism.org/amina-wadud.html (Date Accessed:21</w:t>
      </w:r>
      <w:r w:rsidRPr="00C34CAA">
        <w:rPr>
          <w:sz w:val="18"/>
          <w:szCs w:val="18"/>
          <w:vertAlign w:val="superscript"/>
        </w:rPr>
        <w:t>st</w:t>
      </w:r>
      <w:r w:rsidR="009E65EF">
        <w:rPr>
          <w:sz w:val="18"/>
          <w:szCs w:val="18"/>
        </w:rPr>
        <w:t xml:space="preserve"> March 2018) and A. </w:t>
      </w:r>
      <w:r w:rsidR="009E65EF" w:rsidRPr="009E65EF">
        <w:rPr>
          <w:sz w:val="18"/>
          <w:szCs w:val="18"/>
        </w:rPr>
        <w:t xml:space="preserve">Wadud (2006), </w:t>
      </w:r>
      <w:r w:rsidR="009E65EF" w:rsidRPr="009E65EF">
        <w:rPr>
          <w:i/>
          <w:sz w:val="18"/>
          <w:szCs w:val="18"/>
        </w:rPr>
        <w:t>Inside the Gender Jihad: Women’s Reform in Islam</w:t>
      </w:r>
      <w:r w:rsidR="009E65EF" w:rsidRPr="009E65EF">
        <w:rPr>
          <w:sz w:val="18"/>
          <w:szCs w:val="18"/>
        </w:rPr>
        <w:t>, (Oxford: Oneworld Publications)</w:t>
      </w:r>
      <w:r w:rsidR="009E65EF">
        <w:rPr>
          <w:sz w:val="18"/>
          <w:szCs w:val="18"/>
        </w:rPr>
        <w:t>.</w:t>
      </w:r>
    </w:p>
  </w:footnote>
  <w:footnote w:id="12">
    <w:p w14:paraId="253149D1" w14:textId="7BF435DB" w:rsidR="00974508" w:rsidRPr="00E94719" w:rsidRDefault="00974508" w:rsidP="00974508">
      <w:pPr>
        <w:pStyle w:val="FootnoteText"/>
      </w:pPr>
      <w:r w:rsidRPr="00E94719">
        <w:rPr>
          <w:rStyle w:val="FootnoteReference"/>
          <w:sz w:val="18"/>
          <w:szCs w:val="18"/>
        </w:rPr>
        <w:footnoteRef/>
      </w:r>
      <w:r w:rsidRPr="00E94719">
        <w:rPr>
          <w:sz w:val="18"/>
          <w:szCs w:val="18"/>
        </w:rPr>
        <w:t xml:space="preserve"> Information on Fatima Mernissi and her work can be found in A. Rassam and L. Worthington (Unknown Date), ‘Fatima Mernissi’ in </w:t>
      </w:r>
      <w:r w:rsidRPr="00E94719">
        <w:rPr>
          <w:i/>
          <w:sz w:val="18"/>
          <w:szCs w:val="18"/>
        </w:rPr>
        <w:t>The Oxford Encyclopaedia of the Islamic World</w:t>
      </w:r>
      <w:r w:rsidRPr="00E94719">
        <w:rPr>
          <w:sz w:val="18"/>
          <w:szCs w:val="18"/>
        </w:rPr>
        <w:t>, http://www.oxfordislamicstudies.com/print/opr/t236/e0527 (Date Accessed: 20</w:t>
      </w:r>
      <w:r w:rsidRPr="00E94719">
        <w:rPr>
          <w:sz w:val="18"/>
          <w:szCs w:val="18"/>
          <w:vertAlign w:val="superscript"/>
        </w:rPr>
        <w:t>th</w:t>
      </w:r>
      <w:r w:rsidRPr="00E94719">
        <w:rPr>
          <w:sz w:val="18"/>
          <w:szCs w:val="18"/>
        </w:rPr>
        <w:t xml:space="preserve"> March 2018) and M. Cooke (2015), ‘Fatima Mernissi 1940-2015’ in </w:t>
      </w:r>
      <w:r w:rsidRPr="00E94719">
        <w:rPr>
          <w:i/>
          <w:sz w:val="18"/>
          <w:szCs w:val="18"/>
        </w:rPr>
        <w:t>Review of Middle East</w:t>
      </w:r>
      <w:r w:rsidRPr="00E94719">
        <w:rPr>
          <w:sz w:val="18"/>
          <w:szCs w:val="18"/>
        </w:rPr>
        <w:t xml:space="preserve">, Vol. 49, 2, pp.217-219, </w:t>
      </w:r>
      <w:r w:rsidR="003D5452" w:rsidRPr="00E94719">
        <w:rPr>
          <w:sz w:val="18"/>
          <w:szCs w:val="18"/>
        </w:rPr>
        <w:t>Avai</w:t>
      </w:r>
      <w:r w:rsidR="003D5452">
        <w:rPr>
          <w:sz w:val="18"/>
          <w:szCs w:val="18"/>
        </w:rPr>
        <w:t>l</w:t>
      </w:r>
      <w:r w:rsidR="003D5452" w:rsidRPr="00E94719">
        <w:rPr>
          <w:sz w:val="18"/>
          <w:szCs w:val="18"/>
        </w:rPr>
        <w:t>able</w:t>
      </w:r>
      <w:r w:rsidRPr="00E94719">
        <w:rPr>
          <w:sz w:val="18"/>
          <w:szCs w:val="18"/>
        </w:rPr>
        <w:t xml:space="preserve"> from EBSCOhost: http://web.a.ebscohost.com.ezproxy.uwtsd.ac.uk/ehost/pdfviewer/pdfviewer?vid=1&amp;sid=f773262c-9c86-44bb-a9bf-021aef2f38fe%40sessionmgr4008 (Date Accessed:21</w:t>
      </w:r>
      <w:r w:rsidRPr="00E94719">
        <w:rPr>
          <w:sz w:val="18"/>
          <w:szCs w:val="18"/>
          <w:vertAlign w:val="superscript"/>
        </w:rPr>
        <w:t>st</w:t>
      </w:r>
      <w:r w:rsidRPr="00E94719">
        <w:rPr>
          <w:sz w:val="18"/>
          <w:szCs w:val="18"/>
        </w:rPr>
        <w:t xml:space="preserve"> March 2018).</w:t>
      </w:r>
    </w:p>
  </w:footnote>
  <w:footnote w:id="13">
    <w:p w14:paraId="6EE99A6F" w14:textId="5F7B0BE4" w:rsidR="00974508" w:rsidRPr="00F96B71" w:rsidRDefault="00974508" w:rsidP="00974508">
      <w:pPr>
        <w:pStyle w:val="FootnoteText"/>
        <w:rPr>
          <w:i/>
        </w:rPr>
      </w:pPr>
      <w:r w:rsidRPr="00E94719">
        <w:rPr>
          <w:rStyle w:val="FootnoteReference"/>
          <w:sz w:val="18"/>
          <w:szCs w:val="18"/>
        </w:rPr>
        <w:footnoteRef/>
      </w:r>
      <w:r w:rsidRPr="00E94719">
        <w:rPr>
          <w:sz w:val="18"/>
          <w:szCs w:val="18"/>
        </w:rPr>
        <w:t xml:space="preserve"> </w:t>
      </w:r>
      <w:r w:rsidRPr="004A0A9D">
        <w:rPr>
          <w:sz w:val="18"/>
          <w:szCs w:val="18"/>
        </w:rPr>
        <w:t>Information on Begum Rokeya Sakhawat Hos</w:t>
      </w:r>
      <w:r w:rsidR="00CF5E74">
        <w:rPr>
          <w:sz w:val="18"/>
          <w:szCs w:val="18"/>
        </w:rPr>
        <w:t>sain and her work can be found i</w:t>
      </w:r>
      <w:r w:rsidRPr="004A0A9D">
        <w:rPr>
          <w:sz w:val="18"/>
          <w:szCs w:val="18"/>
        </w:rPr>
        <w:t xml:space="preserve">n National Woman’s Party (Unknown Date), </w:t>
      </w:r>
      <w:r w:rsidRPr="004A0A9D">
        <w:rPr>
          <w:i/>
          <w:sz w:val="18"/>
          <w:szCs w:val="18"/>
        </w:rPr>
        <w:t>Begum Rokeya Sakhawat Hossain,</w:t>
      </w:r>
      <w:r>
        <w:t xml:space="preserve"> </w:t>
      </w:r>
      <w:r w:rsidRPr="004A0A9D">
        <w:rPr>
          <w:sz w:val="18"/>
          <w:szCs w:val="18"/>
        </w:rPr>
        <w:t>http://nationalwomansparty.org/womenwecelebrate/begum-rokeya-sakhawat-hossain/ (Date Accessed: 21</w:t>
      </w:r>
      <w:r w:rsidRPr="004A0A9D">
        <w:rPr>
          <w:sz w:val="18"/>
          <w:szCs w:val="18"/>
          <w:vertAlign w:val="superscript"/>
        </w:rPr>
        <w:t>st</w:t>
      </w:r>
      <w:r w:rsidRPr="004A0A9D">
        <w:rPr>
          <w:sz w:val="18"/>
          <w:szCs w:val="18"/>
        </w:rPr>
        <w:t xml:space="preserve"> March 2018)</w:t>
      </w:r>
      <w:r>
        <w:t xml:space="preserve"> </w:t>
      </w:r>
      <w:r w:rsidRPr="004A0A9D">
        <w:rPr>
          <w:sz w:val="18"/>
          <w:szCs w:val="18"/>
        </w:rPr>
        <w:t xml:space="preserve">and M. A. Quayum and M. Hasan (2016), </w:t>
      </w:r>
      <w:r w:rsidRPr="004A0A9D">
        <w:rPr>
          <w:i/>
          <w:sz w:val="18"/>
          <w:szCs w:val="18"/>
        </w:rPr>
        <w:t>The Feminist Foremother: Critical Essays on Rokeya Sakhawat Hossain</w:t>
      </w:r>
      <w:r w:rsidRPr="004A0A9D">
        <w:rPr>
          <w:sz w:val="18"/>
          <w:szCs w:val="18"/>
        </w:rPr>
        <w:t>, (Telangana: Orient Longman).</w:t>
      </w:r>
      <w:r w:rsidRPr="004A0A9D">
        <w:rPr>
          <w:i/>
          <w:sz w:val="18"/>
          <w:szCs w:val="18"/>
        </w:rPr>
        <w:t xml:space="preserve"> </w:t>
      </w:r>
    </w:p>
  </w:footnote>
  <w:footnote w:id="14">
    <w:p w14:paraId="137E4283" w14:textId="77777777" w:rsidR="009D553F" w:rsidRPr="009B0813" w:rsidRDefault="009D553F" w:rsidP="001E7261">
      <w:pPr>
        <w:pStyle w:val="FootnoteText"/>
        <w:rPr>
          <w:sz w:val="18"/>
          <w:szCs w:val="18"/>
        </w:rPr>
      </w:pPr>
      <w:r w:rsidRPr="009B0813">
        <w:rPr>
          <w:rStyle w:val="FootnoteReference"/>
          <w:sz w:val="18"/>
          <w:szCs w:val="18"/>
        </w:rPr>
        <w:footnoteRef/>
      </w:r>
      <w:r w:rsidRPr="009B0813">
        <w:rPr>
          <w:sz w:val="18"/>
          <w:szCs w:val="18"/>
        </w:rPr>
        <w:t xml:space="preserve"> C. Momoh (2005), </w:t>
      </w:r>
      <w:r w:rsidRPr="009B0813">
        <w:rPr>
          <w:i/>
          <w:sz w:val="18"/>
          <w:szCs w:val="18"/>
        </w:rPr>
        <w:t>Female Gender Mutilation</w:t>
      </w:r>
      <w:r w:rsidRPr="009B0813">
        <w:rPr>
          <w:sz w:val="18"/>
          <w:szCs w:val="18"/>
        </w:rPr>
        <w:t>, (Oxford: Radcliffe Publishing), p.5.</w:t>
      </w:r>
    </w:p>
  </w:footnote>
  <w:footnote w:id="15">
    <w:p w14:paraId="45B92A6C" w14:textId="618B1013" w:rsidR="005A37E0" w:rsidRDefault="005A37E0">
      <w:pPr>
        <w:pStyle w:val="FootnoteText"/>
      </w:pPr>
      <w:r w:rsidRPr="005A37E0">
        <w:rPr>
          <w:rStyle w:val="FootnoteReference"/>
          <w:sz w:val="18"/>
          <w:szCs w:val="18"/>
        </w:rPr>
        <w:footnoteRef/>
      </w:r>
      <w:r w:rsidRPr="005A37E0">
        <w:rPr>
          <w:sz w:val="18"/>
          <w:szCs w:val="18"/>
        </w:rPr>
        <w:t xml:space="preserve"> </w:t>
      </w:r>
      <w:r w:rsidRPr="00E658D3">
        <w:rPr>
          <w:sz w:val="18"/>
          <w:szCs w:val="18"/>
        </w:rPr>
        <w:t xml:space="preserve">World Health Organisation (2018), </w:t>
      </w:r>
      <w:r w:rsidRPr="00E658D3">
        <w:rPr>
          <w:i/>
          <w:sz w:val="18"/>
          <w:szCs w:val="18"/>
        </w:rPr>
        <w:t>Female Genital Mutilation</w:t>
      </w:r>
      <w:r w:rsidRPr="00E658D3">
        <w:rPr>
          <w:sz w:val="18"/>
          <w:szCs w:val="18"/>
        </w:rPr>
        <w:t xml:space="preserve"> http://www.who.int/mediacentre/factsheets/fs241/en/ (Date Accessed: 27</w:t>
      </w:r>
      <w:r w:rsidRPr="00E658D3">
        <w:rPr>
          <w:sz w:val="18"/>
          <w:szCs w:val="18"/>
          <w:vertAlign w:val="superscript"/>
        </w:rPr>
        <w:t>th</w:t>
      </w:r>
      <w:r w:rsidRPr="00E658D3">
        <w:rPr>
          <w:sz w:val="18"/>
          <w:szCs w:val="18"/>
        </w:rPr>
        <w:t xml:space="preserve"> March 2018).</w:t>
      </w:r>
    </w:p>
  </w:footnote>
  <w:footnote w:id="16">
    <w:p w14:paraId="7118F765" w14:textId="18E6FCFB" w:rsidR="009D553F" w:rsidRPr="009B0813" w:rsidRDefault="009D553F">
      <w:pPr>
        <w:pStyle w:val="FootnoteText"/>
        <w:rPr>
          <w:sz w:val="18"/>
          <w:szCs w:val="18"/>
        </w:rPr>
      </w:pPr>
      <w:r w:rsidRPr="009B0813">
        <w:rPr>
          <w:rStyle w:val="FootnoteReference"/>
          <w:sz w:val="18"/>
          <w:szCs w:val="18"/>
        </w:rPr>
        <w:footnoteRef/>
      </w:r>
      <w:r w:rsidRPr="009B0813">
        <w:rPr>
          <w:sz w:val="18"/>
          <w:szCs w:val="18"/>
        </w:rPr>
        <w:t xml:space="preserve"> C. Momoh (2005), </w:t>
      </w:r>
      <w:r w:rsidRPr="009B0813">
        <w:rPr>
          <w:i/>
          <w:sz w:val="18"/>
          <w:szCs w:val="18"/>
        </w:rPr>
        <w:t>Female Gender Mutilation</w:t>
      </w:r>
      <w:r w:rsidRPr="009B0813">
        <w:rPr>
          <w:sz w:val="18"/>
          <w:szCs w:val="18"/>
        </w:rPr>
        <w:t>, p.6.</w:t>
      </w:r>
    </w:p>
  </w:footnote>
  <w:footnote w:id="17">
    <w:p w14:paraId="0F5D7DC9" w14:textId="77777777" w:rsidR="009D553F" w:rsidRPr="009B0813" w:rsidRDefault="009D553F" w:rsidP="00CC6A97">
      <w:pPr>
        <w:pStyle w:val="FootnoteText"/>
        <w:rPr>
          <w:sz w:val="18"/>
          <w:szCs w:val="18"/>
        </w:rPr>
      </w:pPr>
      <w:r w:rsidRPr="009B0813">
        <w:rPr>
          <w:rStyle w:val="FootnoteReference"/>
          <w:sz w:val="18"/>
          <w:szCs w:val="18"/>
        </w:rPr>
        <w:footnoteRef/>
      </w:r>
      <w:r w:rsidRPr="009B0813">
        <w:rPr>
          <w:sz w:val="18"/>
          <w:szCs w:val="18"/>
        </w:rPr>
        <w:t xml:space="preserve"> S. Raymond (2016), ‘Female genital mutilation: Managing the complications, your safeguarding duties and the law’ in </w:t>
      </w:r>
      <w:r w:rsidRPr="009B0813">
        <w:rPr>
          <w:i/>
          <w:sz w:val="18"/>
          <w:szCs w:val="18"/>
        </w:rPr>
        <w:t>Practicing Nurse</w:t>
      </w:r>
      <w:r w:rsidRPr="009B0813">
        <w:rPr>
          <w:sz w:val="18"/>
          <w:szCs w:val="18"/>
        </w:rPr>
        <w:t>, Vol. 46, 3, pp. 26-30, Available at: ESSCOhost, http://web.b.ebscohost.com.ezproxy.uwtsd.ac.uk/ehost/detail/detail?vid=0&amp;sid=d9c3a963-43ee-4d40-9ae5 (Date Accessed:12</w:t>
      </w:r>
      <w:r w:rsidRPr="009B0813">
        <w:rPr>
          <w:sz w:val="18"/>
          <w:szCs w:val="18"/>
          <w:vertAlign w:val="superscript"/>
        </w:rPr>
        <w:t>th</w:t>
      </w:r>
      <w:r w:rsidRPr="009B0813">
        <w:rPr>
          <w:sz w:val="18"/>
          <w:szCs w:val="18"/>
        </w:rPr>
        <w:t xml:space="preserve"> March 2018).</w:t>
      </w:r>
    </w:p>
  </w:footnote>
  <w:footnote w:id="18">
    <w:p w14:paraId="29644065" w14:textId="3B2C6628" w:rsidR="009D553F" w:rsidRPr="00CC6A97" w:rsidRDefault="009D553F">
      <w:pPr>
        <w:pStyle w:val="FootnoteText"/>
      </w:pPr>
      <w:r w:rsidRPr="009B0813">
        <w:rPr>
          <w:rStyle w:val="FootnoteReference"/>
          <w:sz w:val="18"/>
          <w:szCs w:val="18"/>
        </w:rPr>
        <w:footnoteRef/>
      </w:r>
      <w:r w:rsidRPr="009B0813">
        <w:rPr>
          <w:sz w:val="18"/>
          <w:szCs w:val="18"/>
        </w:rPr>
        <w:t xml:space="preserve"> P. Sanders (Unknown Date), ‘Clitoridectomy’ in </w:t>
      </w:r>
      <w:r w:rsidRPr="009B0813">
        <w:rPr>
          <w:i/>
          <w:sz w:val="18"/>
          <w:szCs w:val="18"/>
        </w:rPr>
        <w:t>The Oxford Encyclopaedia of the Islamic World</w:t>
      </w:r>
      <w:r w:rsidRPr="009B0813">
        <w:rPr>
          <w:sz w:val="18"/>
          <w:szCs w:val="18"/>
        </w:rPr>
        <w:t>, http://www.oxfordislamicstudies.com/article/opr/t236/e0154 (Date Accessed: 15th March 2018).</w:t>
      </w:r>
    </w:p>
  </w:footnote>
  <w:footnote w:id="19">
    <w:p w14:paraId="2F6DF3B7" w14:textId="4A4BFEA1" w:rsidR="009D553F" w:rsidRPr="00D143C4" w:rsidRDefault="009D553F">
      <w:pPr>
        <w:pStyle w:val="FootnoteText"/>
        <w:rPr>
          <w:sz w:val="18"/>
          <w:szCs w:val="18"/>
        </w:rPr>
      </w:pPr>
      <w:r w:rsidRPr="00D143C4">
        <w:rPr>
          <w:rStyle w:val="FootnoteReference"/>
          <w:sz w:val="18"/>
          <w:szCs w:val="18"/>
        </w:rPr>
        <w:footnoteRef/>
      </w:r>
      <w:r w:rsidRPr="00D143C4">
        <w:rPr>
          <w:sz w:val="18"/>
          <w:szCs w:val="18"/>
        </w:rPr>
        <w:t xml:space="preserve"> I. L. Asmani and M. S. Abdi (2008), </w:t>
      </w:r>
      <w:r w:rsidRPr="00D143C4">
        <w:rPr>
          <w:i/>
          <w:sz w:val="18"/>
          <w:szCs w:val="18"/>
        </w:rPr>
        <w:t>De-linking Female Genital Mutilation/Cutting from Islam</w:t>
      </w:r>
      <w:r w:rsidRPr="00D143C4">
        <w:rPr>
          <w:sz w:val="18"/>
          <w:szCs w:val="18"/>
        </w:rPr>
        <w:t>, https://www.28toomany.org/static/media/uploads/Thematic%20Research%20and%20Resources/Religion/de-linking_fgm_from_islam_final_report.pdf (Da</w:t>
      </w:r>
      <w:r w:rsidR="00D143C4" w:rsidRPr="00D143C4">
        <w:rPr>
          <w:sz w:val="18"/>
          <w:szCs w:val="18"/>
        </w:rPr>
        <w:t>te Accessed: 11th March 2018), p</w:t>
      </w:r>
      <w:r w:rsidRPr="00D143C4">
        <w:rPr>
          <w:sz w:val="18"/>
          <w:szCs w:val="18"/>
        </w:rPr>
        <w:t>.</w:t>
      </w:r>
      <w:r w:rsidR="00D143C4" w:rsidRPr="00D143C4">
        <w:rPr>
          <w:sz w:val="18"/>
          <w:szCs w:val="18"/>
        </w:rPr>
        <w:t>16</w:t>
      </w:r>
      <w:r w:rsidRPr="00D143C4">
        <w:rPr>
          <w:sz w:val="18"/>
          <w:szCs w:val="18"/>
        </w:rPr>
        <w:t>.</w:t>
      </w:r>
    </w:p>
  </w:footnote>
  <w:footnote w:id="20">
    <w:p w14:paraId="4B3DB9D7" w14:textId="62C2FB02" w:rsidR="009D553F" w:rsidRDefault="009D553F">
      <w:pPr>
        <w:pStyle w:val="FootnoteText"/>
      </w:pPr>
      <w:r w:rsidRPr="003C4ACD">
        <w:rPr>
          <w:rStyle w:val="FootnoteReference"/>
          <w:sz w:val="18"/>
          <w:szCs w:val="18"/>
        </w:rPr>
        <w:footnoteRef/>
      </w:r>
      <w:r w:rsidRPr="003C4ACD">
        <w:rPr>
          <w:sz w:val="18"/>
          <w:szCs w:val="18"/>
        </w:rPr>
        <w:t xml:space="preserve"> </w:t>
      </w:r>
      <w:r>
        <w:rPr>
          <w:sz w:val="18"/>
          <w:szCs w:val="18"/>
        </w:rPr>
        <w:t xml:space="preserve">M. Eltahawy </w:t>
      </w:r>
      <w:r w:rsidRPr="009253CF">
        <w:rPr>
          <w:sz w:val="18"/>
          <w:szCs w:val="18"/>
        </w:rPr>
        <w:t xml:space="preserve">(2017), </w:t>
      </w:r>
      <w:r w:rsidRPr="009253CF">
        <w:rPr>
          <w:i/>
          <w:sz w:val="18"/>
          <w:szCs w:val="18"/>
        </w:rPr>
        <w:t>Country Profile: FGM in Egypt</w:t>
      </w:r>
      <w:r w:rsidRPr="009253CF">
        <w:rPr>
          <w:sz w:val="18"/>
          <w:szCs w:val="18"/>
        </w:rPr>
        <w:t>, https://www.28toomany.org/static/media/uploads/Country%20Research%20and%20Resources/Egypt/egypt_country_profile_v2_(november_2017)_(1).pdf</w:t>
      </w:r>
      <w:r>
        <w:rPr>
          <w:sz w:val="18"/>
          <w:szCs w:val="18"/>
        </w:rPr>
        <w:t>,</w:t>
      </w:r>
      <w:r w:rsidRPr="009253CF">
        <w:rPr>
          <w:sz w:val="18"/>
          <w:szCs w:val="18"/>
        </w:rPr>
        <w:t>(Date Accessed: 13</w:t>
      </w:r>
      <w:r w:rsidRPr="009253CF">
        <w:rPr>
          <w:sz w:val="18"/>
          <w:szCs w:val="18"/>
          <w:vertAlign w:val="superscript"/>
        </w:rPr>
        <w:t>th</w:t>
      </w:r>
      <w:r w:rsidRPr="009253CF">
        <w:rPr>
          <w:sz w:val="18"/>
          <w:szCs w:val="18"/>
        </w:rPr>
        <w:t xml:space="preserve"> March 2018)</w:t>
      </w:r>
      <w:r w:rsidR="00FA7E44">
        <w:rPr>
          <w:sz w:val="18"/>
          <w:szCs w:val="18"/>
        </w:rPr>
        <w:t>, p.16</w:t>
      </w:r>
      <w:r w:rsidRPr="009253CF">
        <w:rPr>
          <w:sz w:val="18"/>
          <w:szCs w:val="18"/>
        </w:rPr>
        <w:t>.</w:t>
      </w:r>
    </w:p>
  </w:footnote>
  <w:footnote w:id="21">
    <w:p w14:paraId="697C4FAB" w14:textId="58C52743" w:rsidR="009D553F" w:rsidRPr="009B0813" w:rsidRDefault="009D553F">
      <w:pPr>
        <w:pStyle w:val="FootnoteText"/>
        <w:rPr>
          <w:sz w:val="18"/>
          <w:szCs w:val="18"/>
        </w:rPr>
      </w:pPr>
      <w:r w:rsidRPr="003D5452">
        <w:rPr>
          <w:rStyle w:val="FootnoteReference"/>
          <w:sz w:val="18"/>
          <w:szCs w:val="18"/>
        </w:rPr>
        <w:footnoteRef/>
      </w:r>
      <w:r w:rsidRPr="003D5452">
        <w:rPr>
          <w:sz w:val="18"/>
          <w:szCs w:val="18"/>
        </w:rPr>
        <w:t xml:space="preserve"> (Quran</w:t>
      </w:r>
      <w:r w:rsidRPr="009B0813">
        <w:rPr>
          <w:sz w:val="18"/>
          <w:szCs w:val="18"/>
        </w:rPr>
        <w:t xml:space="preserve"> 6:123)</w:t>
      </w:r>
    </w:p>
  </w:footnote>
  <w:footnote w:id="22">
    <w:p w14:paraId="5AA628AA" w14:textId="0C103767" w:rsidR="009D553F" w:rsidRDefault="009D553F">
      <w:pPr>
        <w:pStyle w:val="FootnoteText"/>
      </w:pPr>
      <w:r w:rsidRPr="009B0813">
        <w:rPr>
          <w:rStyle w:val="FootnoteReference"/>
          <w:sz w:val="18"/>
          <w:szCs w:val="18"/>
        </w:rPr>
        <w:footnoteRef/>
      </w:r>
      <w:r w:rsidRPr="009B0813">
        <w:rPr>
          <w:sz w:val="18"/>
          <w:szCs w:val="18"/>
        </w:rPr>
        <w:t xml:space="preserve"> I. L. Asmani and M. S. Abdi (2008), </w:t>
      </w:r>
      <w:r w:rsidRPr="009B0813">
        <w:rPr>
          <w:i/>
          <w:sz w:val="18"/>
          <w:szCs w:val="18"/>
        </w:rPr>
        <w:t>De-linking Female, p.3.</w:t>
      </w:r>
    </w:p>
  </w:footnote>
  <w:footnote w:id="23">
    <w:p w14:paraId="67D6BD8F" w14:textId="19C0DFC4" w:rsidR="009D553F" w:rsidRPr="009253CF" w:rsidRDefault="009D553F">
      <w:pPr>
        <w:pStyle w:val="FootnoteText"/>
        <w:rPr>
          <w:sz w:val="18"/>
          <w:szCs w:val="18"/>
        </w:rPr>
      </w:pPr>
      <w:r w:rsidRPr="009253CF">
        <w:rPr>
          <w:rStyle w:val="FootnoteReference"/>
          <w:sz w:val="18"/>
          <w:szCs w:val="18"/>
        </w:rPr>
        <w:footnoteRef/>
      </w:r>
      <w:r w:rsidRPr="009253CF">
        <w:rPr>
          <w:sz w:val="18"/>
          <w:szCs w:val="18"/>
        </w:rPr>
        <w:t xml:space="preserve"> </w:t>
      </w:r>
      <w:r w:rsidR="008B3DCA" w:rsidRPr="009B0813">
        <w:rPr>
          <w:sz w:val="18"/>
          <w:szCs w:val="18"/>
        </w:rPr>
        <w:t xml:space="preserve">I. L. Asmani and M. S. Abdi (2008), </w:t>
      </w:r>
      <w:r w:rsidR="008B3DCA" w:rsidRPr="009B0813">
        <w:rPr>
          <w:i/>
          <w:sz w:val="18"/>
          <w:szCs w:val="18"/>
        </w:rPr>
        <w:t>De-linking Female, p</w:t>
      </w:r>
      <w:r w:rsidR="008B3DCA">
        <w:rPr>
          <w:i/>
          <w:sz w:val="18"/>
          <w:szCs w:val="18"/>
        </w:rPr>
        <w:t xml:space="preserve">14 as the original source </w:t>
      </w:r>
      <w:r w:rsidR="00A96C0A">
        <w:rPr>
          <w:i/>
          <w:sz w:val="18"/>
          <w:szCs w:val="18"/>
        </w:rPr>
        <w:t xml:space="preserve">is not provided in the document. </w:t>
      </w:r>
    </w:p>
  </w:footnote>
  <w:footnote w:id="24">
    <w:p w14:paraId="0F512AEF" w14:textId="77777777" w:rsidR="001033CD" w:rsidRDefault="001033CD" w:rsidP="001033CD">
      <w:pPr>
        <w:pStyle w:val="FootnoteText"/>
      </w:pPr>
      <w:r w:rsidRPr="003C4ACD">
        <w:rPr>
          <w:rStyle w:val="FootnoteReference"/>
          <w:sz w:val="18"/>
          <w:szCs w:val="18"/>
        </w:rPr>
        <w:footnoteRef/>
      </w:r>
      <w:r>
        <w:t xml:space="preserve"> </w:t>
      </w:r>
      <w:r w:rsidRPr="009B0813">
        <w:rPr>
          <w:sz w:val="18"/>
          <w:szCs w:val="18"/>
        </w:rPr>
        <w:t xml:space="preserve">I. L. Asmani and M. S. Abdi (2008), </w:t>
      </w:r>
      <w:r w:rsidRPr="009B0813">
        <w:rPr>
          <w:i/>
          <w:sz w:val="18"/>
          <w:szCs w:val="18"/>
        </w:rPr>
        <w:t>De-linking Female, p.</w:t>
      </w:r>
      <w:r>
        <w:rPr>
          <w:i/>
          <w:sz w:val="18"/>
          <w:szCs w:val="18"/>
        </w:rPr>
        <w:t>7.</w:t>
      </w:r>
    </w:p>
  </w:footnote>
  <w:footnote w:id="25">
    <w:p w14:paraId="19417F7C" w14:textId="39FAA382" w:rsidR="009D553F" w:rsidRPr="003D5452" w:rsidRDefault="009D553F">
      <w:pPr>
        <w:pStyle w:val="FootnoteText"/>
        <w:rPr>
          <w:sz w:val="18"/>
          <w:szCs w:val="18"/>
        </w:rPr>
      </w:pPr>
      <w:r w:rsidRPr="003D5452">
        <w:rPr>
          <w:rStyle w:val="FootnoteReference"/>
          <w:sz w:val="18"/>
          <w:szCs w:val="18"/>
        </w:rPr>
        <w:footnoteRef/>
      </w:r>
      <w:r w:rsidRPr="003D5452">
        <w:rPr>
          <w:sz w:val="18"/>
          <w:szCs w:val="18"/>
        </w:rPr>
        <w:t xml:space="preserve"> M. Eltahawy (2017), </w:t>
      </w:r>
      <w:r w:rsidRPr="003D5452">
        <w:rPr>
          <w:i/>
          <w:sz w:val="18"/>
          <w:szCs w:val="18"/>
        </w:rPr>
        <w:t>Country Profile</w:t>
      </w:r>
      <w:r w:rsidRPr="003D5452">
        <w:rPr>
          <w:sz w:val="18"/>
          <w:szCs w:val="18"/>
        </w:rPr>
        <w:t>, p.17.</w:t>
      </w:r>
    </w:p>
  </w:footnote>
  <w:footnote w:id="26">
    <w:p w14:paraId="14E748B2" w14:textId="621DCEE2" w:rsidR="009D553F" w:rsidRDefault="009D553F">
      <w:pPr>
        <w:pStyle w:val="FootnoteText"/>
      </w:pPr>
      <w:r w:rsidRPr="003D5452">
        <w:rPr>
          <w:rStyle w:val="FootnoteReference"/>
          <w:sz w:val="18"/>
          <w:szCs w:val="18"/>
        </w:rPr>
        <w:footnoteRef/>
      </w:r>
      <w:r>
        <w:t xml:space="preserve"> </w:t>
      </w:r>
      <w:r w:rsidRPr="009B0813">
        <w:rPr>
          <w:sz w:val="18"/>
          <w:szCs w:val="18"/>
        </w:rPr>
        <w:t xml:space="preserve">I. L. Asmani and M. S. Abdi (2008), </w:t>
      </w:r>
      <w:r w:rsidRPr="009B0813">
        <w:rPr>
          <w:i/>
          <w:sz w:val="18"/>
          <w:szCs w:val="18"/>
        </w:rPr>
        <w:t>De-linking Female, p.4.</w:t>
      </w:r>
    </w:p>
  </w:footnote>
  <w:footnote w:id="27">
    <w:p w14:paraId="7E676BF8" w14:textId="77777777" w:rsidR="00D37A2A" w:rsidRPr="007331A8" w:rsidRDefault="00D37A2A" w:rsidP="00D37A2A">
      <w:pPr>
        <w:pStyle w:val="FootnoteText"/>
      </w:pPr>
      <w:r w:rsidRPr="009253CF">
        <w:rPr>
          <w:rStyle w:val="FootnoteReference"/>
          <w:sz w:val="18"/>
          <w:szCs w:val="18"/>
        </w:rPr>
        <w:footnoteRef/>
      </w:r>
      <w:r w:rsidRPr="009253CF">
        <w:rPr>
          <w:sz w:val="18"/>
          <w:szCs w:val="18"/>
        </w:rPr>
        <w:t xml:space="preserve"> </w:t>
      </w:r>
      <w:r>
        <w:rPr>
          <w:sz w:val="18"/>
          <w:szCs w:val="18"/>
        </w:rPr>
        <w:t xml:space="preserve">M. Eltahawy </w:t>
      </w:r>
      <w:r w:rsidRPr="009253CF">
        <w:rPr>
          <w:sz w:val="18"/>
          <w:szCs w:val="18"/>
        </w:rPr>
        <w:t xml:space="preserve">(2017), </w:t>
      </w:r>
      <w:r w:rsidRPr="009253CF">
        <w:rPr>
          <w:i/>
          <w:sz w:val="18"/>
          <w:szCs w:val="18"/>
        </w:rPr>
        <w:t>Country Profile</w:t>
      </w:r>
      <w:r>
        <w:rPr>
          <w:sz w:val="18"/>
          <w:szCs w:val="18"/>
        </w:rPr>
        <w:t>, p.10.</w:t>
      </w:r>
    </w:p>
  </w:footnote>
  <w:footnote w:id="28">
    <w:p w14:paraId="0E0CE77C" w14:textId="39E6F971" w:rsidR="005F2159" w:rsidRDefault="005F2159">
      <w:pPr>
        <w:pStyle w:val="FootnoteText"/>
      </w:pPr>
      <w:r w:rsidRPr="00230484">
        <w:rPr>
          <w:rStyle w:val="FootnoteReference"/>
          <w:sz w:val="18"/>
          <w:szCs w:val="18"/>
        </w:rPr>
        <w:footnoteRef/>
      </w:r>
      <w:r w:rsidRPr="00230484">
        <w:rPr>
          <w:sz w:val="18"/>
          <w:szCs w:val="18"/>
        </w:rPr>
        <w:t xml:space="preserve"> </w:t>
      </w:r>
      <w:r w:rsidRPr="005F2159">
        <w:rPr>
          <w:sz w:val="18"/>
          <w:szCs w:val="18"/>
        </w:rPr>
        <w:t>Feminist Majority Foundation.</w:t>
      </w:r>
    </w:p>
  </w:footnote>
  <w:footnote w:id="29">
    <w:p w14:paraId="6F7EF438" w14:textId="099C4EA7" w:rsidR="009D553F" w:rsidRPr="009253CF" w:rsidRDefault="009D553F">
      <w:pPr>
        <w:pStyle w:val="FootnoteText"/>
        <w:rPr>
          <w:sz w:val="18"/>
          <w:szCs w:val="18"/>
        </w:rPr>
      </w:pPr>
      <w:r w:rsidRPr="009253CF">
        <w:rPr>
          <w:rStyle w:val="FootnoteReference"/>
          <w:sz w:val="18"/>
          <w:szCs w:val="18"/>
        </w:rPr>
        <w:footnoteRef/>
      </w:r>
      <w:r w:rsidRPr="009253CF">
        <w:rPr>
          <w:sz w:val="18"/>
          <w:szCs w:val="18"/>
        </w:rPr>
        <w:t xml:space="preserve"> Feminist Majority Foundation (Unknown Date), </w:t>
      </w:r>
      <w:r w:rsidRPr="009253CF">
        <w:rPr>
          <w:i/>
          <w:sz w:val="18"/>
          <w:szCs w:val="18"/>
        </w:rPr>
        <w:t>Violence Against Women: Female Genital Mutilation</w:t>
      </w:r>
      <w:r w:rsidRPr="009253CF">
        <w:rPr>
          <w:sz w:val="18"/>
          <w:szCs w:val="18"/>
        </w:rPr>
        <w:t>, http://www.feminist.org/global/fgm.html (Date Accessed: 13</w:t>
      </w:r>
      <w:r w:rsidRPr="00FA7E44">
        <w:rPr>
          <w:sz w:val="18"/>
          <w:szCs w:val="18"/>
          <w:vertAlign w:val="superscript"/>
        </w:rPr>
        <w:t>th</w:t>
      </w:r>
      <w:r w:rsidRPr="009253CF">
        <w:rPr>
          <w:sz w:val="18"/>
          <w:szCs w:val="18"/>
        </w:rPr>
        <w:t xml:space="preserve"> March 2018).</w:t>
      </w:r>
    </w:p>
  </w:footnote>
  <w:footnote w:id="30">
    <w:p w14:paraId="635A74E1" w14:textId="77777777" w:rsidR="00324F0D" w:rsidRPr="003D5452" w:rsidRDefault="00324F0D" w:rsidP="00324F0D">
      <w:pPr>
        <w:pStyle w:val="FootnoteText"/>
        <w:rPr>
          <w:sz w:val="18"/>
          <w:szCs w:val="18"/>
        </w:rPr>
      </w:pPr>
      <w:r w:rsidRPr="003D5452">
        <w:rPr>
          <w:rStyle w:val="FootnoteReference"/>
          <w:sz w:val="18"/>
          <w:szCs w:val="18"/>
        </w:rPr>
        <w:footnoteRef/>
      </w:r>
      <w:r w:rsidRPr="003D5452">
        <w:rPr>
          <w:sz w:val="18"/>
          <w:szCs w:val="18"/>
        </w:rPr>
        <w:t xml:space="preserve"> J. Rymer and C. Momoh (2005), ‘Managing the reality of FGM in the UK’ in </w:t>
      </w:r>
      <w:r w:rsidRPr="003D5452">
        <w:rPr>
          <w:i/>
          <w:sz w:val="18"/>
          <w:szCs w:val="18"/>
        </w:rPr>
        <w:t>Female Gender Mutilation</w:t>
      </w:r>
      <w:r w:rsidRPr="003D5452">
        <w:rPr>
          <w:sz w:val="18"/>
          <w:szCs w:val="18"/>
        </w:rPr>
        <w:t>, (Oxford: Radcliffe Publishing), p.25.</w:t>
      </w:r>
    </w:p>
  </w:footnote>
  <w:footnote w:id="31">
    <w:p w14:paraId="210E9FA3" w14:textId="77777777" w:rsidR="00B355FA" w:rsidRPr="003D5452" w:rsidRDefault="00B355FA" w:rsidP="00B355FA">
      <w:pPr>
        <w:pStyle w:val="FootnoteText"/>
        <w:rPr>
          <w:sz w:val="18"/>
          <w:szCs w:val="18"/>
        </w:rPr>
      </w:pPr>
      <w:r w:rsidRPr="003D5452">
        <w:rPr>
          <w:rStyle w:val="FootnoteReference"/>
          <w:sz w:val="18"/>
          <w:szCs w:val="18"/>
        </w:rPr>
        <w:footnoteRef/>
      </w:r>
      <w:r w:rsidRPr="003D5452">
        <w:rPr>
          <w:sz w:val="18"/>
          <w:szCs w:val="18"/>
        </w:rPr>
        <w:t xml:space="preserve"> I. L. Asmani and M. S. Abdi (2008), </w:t>
      </w:r>
      <w:r w:rsidRPr="003D5452">
        <w:rPr>
          <w:i/>
          <w:sz w:val="18"/>
          <w:szCs w:val="18"/>
        </w:rPr>
        <w:t>De-linking Female, p.15</w:t>
      </w:r>
    </w:p>
  </w:footnote>
  <w:footnote w:id="32">
    <w:p w14:paraId="490EED35" w14:textId="77777777" w:rsidR="00B355FA" w:rsidRPr="00075E0A" w:rsidRDefault="00B355FA" w:rsidP="00B355FA">
      <w:pPr>
        <w:rPr>
          <w:i/>
        </w:rPr>
      </w:pPr>
      <w:r w:rsidRPr="003D5452">
        <w:rPr>
          <w:rStyle w:val="FootnoteReference"/>
          <w:sz w:val="18"/>
          <w:szCs w:val="18"/>
        </w:rPr>
        <w:footnoteRef/>
      </w:r>
      <w:r w:rsidRPr="003D5452">
        <w:rPr>
          <w:sz w:val="18"/>
          <w:szCs w:val="18"/>
        </w:rPr>
        <w:t xml:space="preserve"> Anwar, E. (Unknown Date), ‘Female Genital Cutting’ in </w:t>
      </w:r>
      <w:r w:rsidRPr="003D5452">
        <w:rPr>
          <w:i/>
          <w:sz w:val="18"/>
          <w:szCs w:val="18"/>
        </w:rPr>
        <w:t>The Oxford Encyclopaedia of the Islamic World</w:t>
      </w:r>
      <w:r w:rsidRPr="003D5452">
        <w:rPr>
          <w:sz w:val="18"/>
          <w:szCs w:val="18"/>
        </w:rPr>
        <w:t>, http</w:t>
      </w:r>
      <w:r w:rsidRPr="00075E0A">
        <w:rPr>
          <w:sz w:val="18"/>
          <w:szCs w:val="18"/>
        </w:rPr>
        <w:t>://www.oxfordislamicstudies.com/article/opr/t236/e1146?_hi=0&amp;_pos=2 (Date Accessed: 13</w:t>
      </w:r>
      <w:r w:rsidRPr="00075E0A">
        <w:rPr>
          <w:sz w:val="18"/>
          <w:szCs w:val="18"/>
          <w:vertAlign w:val="superscript"/>
        </w:rPr>
        <w:t>th</w:t>
      </w:r>
      <w:r w:rsidRPr="00075E0A">
        <w:rPr>
          <w:sz w:val="18"/>
          <w:szCs w:val="18"/>
        </w:rPr>
        <w:t xml:space="preserve"> March 2018).</w:t>
      </w:r>
      <w:r w:rsidRPr="00075E0A">
        <w:rPr>
          <w:i/>
          <w:sz w:val="18"/>
          <w:szCs w:val="18"/>
        </w:rPr>
        <w:t xml:space="preserve"> </w:t>
      </w:r>
    </w:p>
  </w:footnote>
  <w:footnote w:id="33">
    <w:p w14:paraId="1CCD8CC6" w14:textId="77777777" w:rsidR="00D222D5" w:rsidRPr="00D222D5" w:rsidRDefault="00D222D5" w:rsidP="00D222D5">
      <w:pPr>
        <w:pStyle w:val="FootnoteText"/>
        <w:rPr>
          <w:sz w:val="18"/>
          <w:szCs w:val="18"/>
        </w:rPr>
      </w:pPr>
      <w:r w:rsidRPr="00D222D5">
        <w:rPr>
          <w:rStyle w:val="FootnoteReference"/>
          <w:sz w:val="18"/>
          <w:szCs w:val="18"/>
        </w:rPr>
        <w:footnoteRef/>
      </w:r>
      <w:r w:rsidRPr="00D222D5">
        <w:rPr>
          <w:sz w:val="18"/>
          <w:szCs w:val="18"/>
        </w:rPr>
        <w:t xml:space="preserve"> P. Sanders (Unknown Date), ‘Clitoridectomy’</w:t>
      </w:r>
    </w:p>
  </w:footnote>
  <w:footnote w:id="34">
    <w:p w14:paraId="7F60117A" w14:textId="4E519AE4" w:rsidR="009D553F" w:rsidRPr="00C04B9E" w:rsidRDefault="009D553F">
      <w:pPr>
        <w:pStyle w:val="FootnoteText"/>
        <w:rPr>
          <w:sz w:val="18"/>
          <w:szCs w:val="18"/>
        </w:rPr>
      </w:pPr>
      <w:r w:rsidRPr="00C04B9E">
        <w:rPr>
          <w:rStyle w:val="FootnoteReference"/>
          <w:sz w:val="18"/>
          <w:szCs w:val="18"/>
        </w:rPr>
        <w:footnoteRef/>
      </w:r>
      <w:r w:rsidRPr="00C04B9E">
        <w:rPr>
          <w:sz w:val="18"/>
          <w:szCs w:val="18"/>
        </w:rPr>
        <w:t xml:space="preserve"> I. L. Asmani and M. S. Abdi (2008), </w:t>
      </w:r>
      <w:r w:rsidRPr="00C04B9E">
        <w:rPr>
          <w:i/>
          <w:sz w:val="18"/>
          <w:szCs w:val="18"/>
        </w:rPr>
        <w:t>De-linking Female, p.23</w:t>
      </w:r>
    </w:p>
  </w:footnote>
  <w:footnote w:id="35">
    <w:p w14:paraId="7254B940" w14:textId="261E3A07" w:rsidR="009D553F" w:rsidRPr="00EE49C3" w:rsidRDefault="009D553F">
      <w:pPr>
        <w:pStyle w:val="FootnoteText"/>
        <w:rPr>
          <w:sz w:val="18"/>
          <w:szCs w:val="18"/>
        </w:rPr>
      </w:pPr>
      <w:r w:rsidRPr="00EE49C3">
        <w:rPr>
          <w:rStyle w:val="FootnoteReference"/>
          <w:sz w:val="18"/>
          <w:szCs w:val="18"/>
        </w:rPr>
        <w:footnoteRef/>
      </w:r>
      <w:r w:rsidRPr="00EE49C3">
        <w:rPr>
          <w:sz w:val="18"/>
          <w:szCs w:val="18"/>
        </w:rPr>
        <w:t xml:space="preserve"> C. Momoh (2005), </w:t>
      </w:r>
      <w:r w:rsidRPr="00EE49C3">
        <w:rPr>
          <w:i/>
          <w:sz w:val="18"/>
          <w:szCs w:val="18"/>
        </w:rPr>
        <w:t>Female Gender Mutilation</w:t>
      </w:r>
      <w:r w:rsidRPr="00EE49C3">
        <w:rPr>
          <w:sz w:val="18"/>
          <w:szCs w:val="18"/>
        </w:rPr>
        <w:t>, p.13.</w:t>
      </w:r>
    </w:p>
  </w:footnote>
  <w:footnote w:id="36">
    <w:p w14:paraId="70CFD42B" w14:textId="11396CEC" w:rsidR="009D553F" w:rsidRDefault="009D553F">
      <w:pPr>
        <w:pStyle w:val="FootnoteText"/>
      </w:pPr>
      <w:r w:rsidRPr="00EE49C3">
        <w:rPr>
          <w:rStyle w:val="FootnoteReference"/>
          <w:sz w:val="18"/>
          <w:szCs w:val="18"/>
        </w:rPr>
        <w:footnoteRef/>
      </w:r>
      <w:r w:rsidRPr="00EE49C3">
        <w:rPr>
          <w:sz w:val="18"/>
          <w:szCs w:val="18"/>
        </w:rPr>
        <w:t xml:space="preserve"> C. Momoh (2005), </w:t>
      </w:r>
      <w:r w:rsidRPr="00EE49C3">
        <w:rPr>
          <w:i/>
          <w:sz w:val="18"/>
          <w:szCs w:val="18"/>
        </w:rPr>
        <w:t>Female Gender Mutilation</w:t>
      </w:r>
      <w:r w:rsidRPr="00EE49C3">
        <w:rPr>
          <w:sz w:val="18"/>
          <w:szCs w:val="18"/>
        </w:rPr>
        <w:t>, p.14</w:t>
      </w:r>
    </w:p>
  </w:footnote>
  <w:footnote w:id="37">
    <w:p w14:paraId="606FB568" w14:textId="77777777" w:rsidR="00230484" w:rsidRPr="007F4CFA" w:rsidRDefault="00230484" w:rsidP="00230484">
      <w:pPr>
        <w:pStyle w:val="FootnoteText"/>
        <w:rPr>
          <w:sz w:val="18"/>
          <w:szCs w:val="18"/>
        </w:rPr>
      </w:pPr>
      <w:r w:rsidRPr="007F4CFA">
        <w:rPr>
          <w:rStyle w:val="FootnoteReference"/>
          <w:sz w:val="18"/>
          <w:szCs w:val="18"/>
        </w:rPr>
        <w:footnoteRef/>
      </w:r>
      <w:r w:rsidRPr="007F4CFA">
        <w:rPr>
          <w:sz w:val="18"/>
          <w:szCs w:val="18"/>
        </w:rPr>
        <w:t xml:space="preserve"> M. Eltahawy (2017), </w:t>
      </w:r>
      <w:r w:rsidRPr="007F4CFA">
        <w:rPr>
          <w:i/>
          <w:sz w:val="18"/>
          <w:szCs w:val="18"/>
        </w:rPr>
        <w:t>Country Profile</w:t>
      </w:r>
      <w:r w:rsidRPr="007F4CFA">
        <w:rPr>
          <w:sz w:val="18"/>
          <w:szCs w:val="18"/>
        </w:rPr>
        <w:t>, p.58.</w:t>
      </w:r>
    </w:p>
  </w:footnote>
  <w:footnote w:id="38">
    <w:p w14:paraId="608D01B2" w14:textId="343FD140" w:rsidR="009D553F" w:rsidRPr="009B0813" w:rsidRDefault="009D553F">
      <w:pPr>
        <w:pStyle w:val="FootnoteText"/>
        <w:rPr>
          <w:sz w:val="18"/>
          <w:szCs w:val="18"/>
        </w:rPr>
      </w:pPr>
      <w:r w:rsidRPr="009B0813">
        <w:rPr>
          <w:rStyle w:val="FootnoteReference"/>
          <w:sz w:val="18"/>
          <w:szCs w:val="18"/>
        </w:rPr>
        <w:footnoteRef/>
      </w:r>
      <w:r w:rsidRPr="009B0813">
        <w:rPr>
          <w:sz w:val="18"/>
          <w:szCs w:val="18"/>
        </w:rPr>
        <w:t xml:space="preserve"> The Association of African Women for Research and Development. </w:t>
      </w:r>
    </w:p>
  </w:footnote>
  <w:footnote w:id="39">
    <w:p w14:paraId="4CDA21B3" w14:textId="64C61C4C" w:rsidR="009D553F" w:rsidRPr="009B0813" w:rsidRDefault="009D553F">
      <w:pPr>
        <w:pStyle w:val="FootnoteText"/>
        <w:rPr>
          <w:sz w:val="18"/>
          <w:szCs w:val="18"/>
        </w:rPr>
      </w:pPr>
      <w:r w:rsidRPr="009B0813">
        <w:rPr>
          <w:rStyle w:val="FootnoteReference"/>
          <w:sz w:val="18"/>
          <w:szCs w:val="18"/>
        </w:rPr>
        <w:footnoteRef/>
      </w:r>
      <w:r w:rsidRPr="009B0813">
        <w:rPr>
          <w:sz w:val="18"/>
          <w:szCs w:val="18"/>
        </w:rPr>
        <w:t xml:space="preserve"> H. Hermon-Kiernan, (2003), </w:t>
      </w:r>
      <w:r w:rsidRPr="009B0813">
        <w:rPr>
          <w:i/>
          <w:sz w:val="18"/>
          <w:szCs w:val="18"/>
        </w:rPr>
        <w:t>FGM: Ethical Matters</w:t>
      </w:r>
      <w:r w:rsidRPr="009B0813">
        <w:rPr>
          <w:sz w:val="18"/>
          <w:szCs w:val="18"/>
        </w:rPr>
        <w:t>. Get Ethical, (London: Womankind</w:t>
      </w:r>
    </w:p>
  </w:footnote>
  <w:footnote w:id="40">
    <w:p w14:paraId="68732A39" w14:textId="77777777" w:rsidR="004F1C47" w:rsidRPr="007F4CFA" w:rsidRDefault="004F1C47" w:rsidP="004F1C47">
      <w:pPr>
        <w:pStyle w:val="FootnoteText"/>
        <w:rPr>
          <w:sz w:val="18"/>
          <w:szCs w:val="18"/>
        </w:rPr>
      </w:pPr>
      <w:r w:rsidRPr="007F4CFA">
        <w:rPr>
          <w:rStyle w:val="FootnoteReference"/>
          <w:sz w:val="18"/>
          <w:szCs w:val="18"/>
        </w:rPr>
        <w:footnoteRef/>
      </w:r>
      <w:r w:rsidRPr="007F4CFA">
        <w:rPr>
          <w:sz w:val="18"/>
          <w:szCs w:val="18"/>
        </w:rPr>
        <w:t xml:space="preserve"> C. Momoh (2005), </w:t>
      </w:r>
      <w:r w:rsidRPr="007F4CFA">
        <w:rPr>
          <w:i/>
          <w:sz w:val="18"/>
          <w:szCs w:val="18"/>
        </w:rPr>
        <w:t>Female Gender Mutilation</w:t>
      </w:r>
      <w:r w:rsidRPr="007F4CFA">
        <w:rPr>
          <w:sz w:val="18"/>
          <w:szCs w:val="18"/>
        </w:rPr>
        <w:t>, p.11.</w:t>
      </w:r>
    </w:p>
  </w:footnote>
  <w:footnote w:id="41">
    <w:p w14:paraId="224A6192" w14:textId="018A41D6" w:rsidR="00230484" w:rsidRPr="00230484" w:rsidRDefault="00230484">
      <w:pPr>
        <w:pStyle w:val="FootnoteText"/>
        <w:rPr>
          <w:sz w:val="18"/>
          <w:szCs w:val="18"/>
        </w:rPr>
      </w:pPr>
      <w:r w:rsidRPr="00230484">
        <w:rPr>
          <w:rStyle w:val="FootnoteReference"/>
          <w:sz w:val="18"/>
          <w:szCs w:val="18"/>
        </w:rPr>
        <w:footnoteRef/>
      </w:r>
      <w:r w:rsidRPr="00230484">
        <w:rPr>
          <w:sz w:val="18"/>
          <w:szCs w:val="18"/>
        </w:rPr>
        <w:t xml:space="preserve"> United Nations Population Fund. </w:t>
      </w:r>
    </w:p>
  </w:footnote>
  <w:footnote w:id="42">
    <w:p w14:paraId="40A4D233" w14:textId="7470308F" w:rsidR="00230484" w:rsidRDefault="00230484">
      <w:pPr>
        <w:pStyle w:val="FootnoteText"/>
      </w:pPr>
      <w:r w:rsidRPr="00230484">
        <w:rPr>
          <w:rStyle w:val="FootnoteReference"/>
          <w:sz w:val="18"/>
          <w:szCs w:val="18"/>
        </w:rPr>
        <w:footnoteRef/>
      </w:r>
      <w:r w:rsidRPr="00230484">
        <w:rPr>
          <w:sz w:val="18"/>
          <w:szCs w:val="18"/>
        </w:rPr>
        <w:t xml:space="preserve"> Gambia Committee on Traditional Practices.</w:t>
      </w:r>
    </w:p>
  </w:footnote>
  <w:footnote w:id="43">
    <w:p w14:paraId="0E02FE60" w14:textId="213ACF1D" w:rsidR="00C426EF" w:rsidRPr="0057179B" w:rsidRDefault="00C426EF">
      <w:pPr>
        <w:pStyle w:val="FootnoteText"/>
        <w:rPr>
          <w:sz w:val="18"/>
          <w:szCs w:val="18"/>
        </w:rPr>
      </w:pPr>
      <w:r w:rsidRPr="0057179B">
        <w:rPr>
          <w:rStyle w:val="FootnoteReference"/>
          <w:sz w:val="18"/>
          <w:szCs w:val="18"/>
        </w:rPr>
        <w:footnoteRef/>
      </w:r>
      <w:r w:rsidRPr="0057179B">
        <w:rPr>
          <w:sz w:val="18"/>
          <w:szCs w:val="18"/>
        </w:rPr>
        <w:t xml:space="preserve"> </w:t>
      </w:r>
      <w:r w:rsidR="0057179B" w:rsidRPr="0057179B">
        <w:rPr>
          <w:sz w:val="18"/>
          <w:szCs w:val="18"/>
        </w:rPr>
        <w:t>World Health Organisation.</w:t>
      </w:r>
    </w:p>
  </w:footnote>
  <w:footnote w:id="44">
    <w:p w14:paraId="1BC0AB30" w14:textId="04587A74" w:rsidR="0057179B" w:rsidRDefault="0057179B">
      <w:pPr>
        <w:pStyle w:val="FootnoteText"/>
      </w:pPr>
      <w:r w:rsidRPr="0057179B">
        <w:rPr>
          <w:rStyle w:val="FootnoteReference"/>
          <w:sz w:val="18"/>
          <w:szCs w:val="18"/>
        </w:rPr>
        <w:footnoteRef/>
      </w:r>
      <w:r>
        <w:t xml:space="preserve"> </w:t>
      </w:r>
      <w:r w:rsidRPr="00E658D3">
        <w:rPr>
          <w:sz w:val="18"/>
          <w:szCs w:val="18"/>
        </w:rPr>
        <w:t xml:space="preserve">World Health Organisation (2018), </w:t>
      </w:r>
      <w:r w:rsidRPr="00E658D3">
        <w:rPr>
          <w:i/>
          <w:sz w:val="18"/>
          <w:szCs w:val="18"/>
        </w:rPr>
        <w:t>Female Genital Mutilation</w:t>
      </w:r>
      <w:r>
        <w:rPr>
          <w:sz w:val="18"/>
          <w:szCs w:val="18"/>
        </w:rPr>
        <w:t>.</w:t>
      </w:r>
    </w:p>
  </w:footnote>
  <w:footnote w:id="45">
    <w:p w14:paraId="773CF4D8" w14:textId="77777777" w:rsidR="000C09D8" w:rsidRPr="007F4CFA" w:rsidRDefault="000C09D8" w:rsidP="000C09D8">
      <w:pPr>
        <w:pStyle w:val="FootnoteText"/>
        <w:rPr>
          <w:sz w:val="18"/>
          <w:szCs w:val="18"/>
        </w:rPr>
      </w:pPr>
      <w:r w:rsidRPr="007F4CFA">
        <w:rPr>
          <w:rStyle w:val="FootnoteReference"/>
          <w:sz w:val="18"/>
          <w:szCs w:val="18"/>
        </w:rPr>
        <w:footnoteRef/>
      </w:r>
      <w:r w:rsidRPr="007F4CFA">
        <w:rPr>
          <w:sz w:val="18"/>
          <w:szCs w:val="18"/>
        </w:rPr>
        <w:t xml:space="preserve"> The International Islamic Centre for Population Studies and Research.</w:t>
      </w:r>
    </w:p>
  </w:footnote>
  <w:footnote w:id="46">
    <w:p w14:paraId="788A0C7C" w14:textId="77777777" w:rsidR="000C09D8" w:rsidRPr="007F4CFA" w:rsidRDefault="000C09D8" w:rsidP="000C09D8">
      <w:pPr>
        <w:pStyle w:val="FootnoteText"/>
        <w:rPr>
          <w:sz w:val="18"/>
          <w:szCs w:val="18"/>
        </w:rPr>
      </w:pPr>
      <w:r w:rsidRPr="007F4CFA">
        <w:rPr>
          <w:rStyle w:val="FootnoteReference"/>
          <w:sz w:val="18"/>
          <w:szCs w:val="18"/>
        </w:rPr>
        <w:footnoteRef/>
      </w:r>
      <w:r w:rsidRPr="007F4CFA">
        <w:rPr>
          <w:sz w:val="18"/>
          <w:szCs w:val="18"/>
        </w:rPr>
        <w:t xml:space="preserve"> M. Eltahawy (2017), </w:t>
      </w:r>
      <w:r w:rsidRPr="007F4CFA">
        <w:rPr>
          <w:i/>
          <w:sz w:val="18"/>
          <w:szCs w:val="18"/>
        </w:rPr>
        <w:t>Country Profile</w:t>
      </w:r>
      <w:r w:rsidRPr="007F4CFA">
        <w:rPr>
          <w:sz w:val="18"/>
          <w:szCs w:val="18"/>
        </w:rPr>
        <w:t>, p.67.</w:t>
      </w:r>
    </w:p>
  </w:footnote>
  <w:footnote w:id="47">
    <w:p w14:paraId="040FB4A1" w14:textId="672C4A76" w:rsidR="009D553F" w:rsidRPr="000D7185" w:rsidRDefault="009D553F">
      <w:pPr>
        <w:pStyle w:val="FootnoteText"/>
        <w:rPr>
          <w:sz w:val="18"/>
          <w:szCs w:val="18"/>
        </w:rPr>
      </w:pPr>
      <w:r w:rsidRPr="000D7185">
        <w:rPr>
          <w:rStyle w:val="FootnoteReference"/>
          <w:sz w:val="18"/>
          <w:szCs w:val="18"/>
        </w:rPr>
        <w:footnoteRef/>
      </w:r>
      <w:r w:rsidRPr="000D7185">
        <w:rPr>
          <w:sz w:val="18"/>
          <w:szCs w:val="18"/>
        </w:rPr>
        <w:t xml:space="preserve"> D. Krahe (2011), </w:t>
      </w:r>
      <w:r w:rsidRPr="000D7185">
        <w:rPr>
          <w:i/>
          <w:sz w:val="18"/>
          <w:szCs w:val="18"/>
        </w:rPr>
        <w:t>The Muslim Sisterhood: Visions of Female Identity in the New Egypt</w:t>
      </w:r>
      <w:r w:rsidRPr="000D7185">
        <w:rPr>
          <w:sz w:val="18"/>
          <w:szCs w:val="18"/>
        </w:rPr>
        <w:t>, http://www.spiegel.de/international/world/the-muslim-sisterhood-visions-of-female-identity-in-the-new-egypt-a-754250.html (Date Accessed: 19</w:t>
      </w:r>
      <w:r w:rsidRPr="00FA7E44">
        <w:rPr>
          <w:sz w:val="18"/>
          <w:szCs w:val="18"/>
          <w:vertAlign w:val="superscript"/>
        </w:rPr>
        <w:t>th</w:t>
      </w:r>
      <w:r w:rsidRPr="000D7185">
        <w:rPr>
          <w:sz w:val="18"/>
          <w:szCs w:val="18"/>
        </w:rPr>
        <w:t xml:space="preserve"> March 2018).</w:t>
      </w:r>
    </w:p>
  </w:footnote>
  <w:footnote w:id="48">
    <w:p w14:paraId="3DC2AC5B" w14:textId="7B95B34A" w:rsidR="009D553F" w:rsidRPr="000D7185" w:rsidRDefault="009D553F" w:rsidP="005567EC">
      <w:pPr>
        <w:rPr>
          <w:sz w:val="18"/>
          <w:szCs w:val="18"/>
        </w:rPr>
      </w:pPr>
      <w:r w:rsidRPr="000D7185">
        <w:rPr>
          <w:rStyle w:val="FootnoteReference"/>
          <w:sz w:val="18"/>
          <w:szCs w:val="18"/>
        </w:rPr>
        <w:footnoteRef/>
      </w:r>
      <w:r w:rsidRPr="000D7185">
        <w:rPr>
          <w:sz w:val="18"/>
          <w:szCs w:val="18"/>
        </w:rPr>
        <w:t xml:space="preserve"> M. K. Farag (2013), </w:t>
      </w:r>
      <w:r w:rsidRPr="000D7185">
        <w:rPr>
          <w:i/>
          <w:sz w:val="18"/>
          <w:szCs w:val="18"/>
        </w:rPr>
        <w:t>Evolving Female Participation in Egypt’s Muslim Brotherhood</w:t>
      </w:r>
      <w:r w:rsidRPr="000D7185">
        <w:rPr>
          <w:sz w:val="18"/>
          <w:szCs w:val="18"/>
        </w:rPr>
        <w:t>, https://ore.exeter.ac.uk/repository/bitstream/handle/10871/14681/FaragM.pdf;sequence=1 (Date Accessed:15</w:t>
      </w:r>
      <w:r w:rsidRPr="000D7185">
        <w:rPr>
          <w:sz w:val="18"/>
          <w:szCs w:val="18"/>
          <w:vertAlign w:val="superscript"/>
        </w:rPr>
        <w:t>th</w:t>
      </w:r>
      <w:r w:rsidRPr="000D7185">
        <w:rPr>
          <w:sz w:val="18"/>
          <w:szCs w:val="18"/>
        </w:rPr>
        <w:t xml:space="preserve"> March 2018), p.19.</w:t>
      </w:r>
    </w:p>
  </w:footnote>
  <w:footnote w:id="49">
    <w:p w14:paraId="4122EE47" w14:textId="5DFD63B4" w:rsidR="008B1236" w:rsidRPr="000D7185" w:rsidRDefault="008B1236">
      <w:pPr>
        <w:pStyle w:val="FootnoteText"/>
        <w:rPr>
          <w:sz w:val="18"/>
          <w:szCs w:val="18"/>
        </w:rPr>
      </w:pPr>
      <w:r w:rsidRPr="000D7185">
        <w:rPr>
          <w:rStyle w:val="FootnoteReference"/>
          <w:sz w:val="18"/>
          <w:szCs w:val="18"/>
        </w:rPr>
        <w:footnoteRef/>
      </w:r>
      <w:r w:rsidRPr="000D7185">
        <w:rPr>
          <w:sz w:val="18"/>
          <w:szCs w:val="18"/>
        </w:rPr>
        <w:t xml:space="preserve"> M. K. Farag (2013), </w:t>
      </w:r>
      <w:r w:rsidRPr="000D7185">
        <w:rPr>
          <w:i/>
          <w:sz w:val="18"/>
          <w:szCs w:val="18"/>
        </w:rPr>
        <w:t>Evolving Female Participation, p.89.</w:t>
      </w:r>
    </w:p>
  </w:footnote>
  <w:footnote w:id="50">
    <w:p w14:paraId="2939B601" w14:textId="423E6FA8" w:rsidR="00206403" w:rsidRDefault="00206403">
      <w:pPr>
        <w:pStyle w:val="FootnoteText"/>
      </w:pPr>
      <w:r>
        <w:rPr>
          <w:rStyle w:val="FootnoteReference"/>
        </w:rPr>
        <w:footnoteRef/>
      </w:r>
      <w:r>
        <w:t xml:space="preserve"> </w:t>
      </w:r>
      <w:r w:rsidR="00841A3A">
        <w:rPr>
          <w:sz w:val="18"/>
          <w:szCs w:val="18"/>
        </w:rPr>
        <w:t xml:space="preserve">O. Abdel-Latif (2008), ‘In the Shadow of the Brothers: The Women of the Muslim Brotherhood’ in </w:t>
      </w:r>
      <w:r w:rsidR="00841A3A">
        <w:rPr>
          <w:i/>
          <w:sz w:val="18"/>
          <w:szCs w:val="18"/>
        </w:rPr>
        <w:t xml:space="preserve">Carnegie Papers, </w:t>
      </w:r>
      <w:r w:rsidR="00841A3A" w:rsidRPr="00395D3C">
        <w:rPr>
          <w:sz w:val="18"/>
          <w:szCs w:val="18"/>
        </w:rPr>
        <w:t xml:space="preserve">13, </w:t>
      </w:r>
      <w:r w:rsidR="00841A3A">
        <w:rPr>
          <w:sz w:val="18"/>
          <w:szCs w:val="18"/>
        </w:rPr>
        <w:t>p.2.</w:t>
      </w:r>
    </w:p>
  </w:footnote>
  <w:footnote w:id="51">
    <w:p w14:paraId="0C02340F" w14:textId="63F0437C" w:rsidR="002D6D0D" w:rsidRDefault="002D6D0D">
      <w:pPr>
        <w:pStyle w:val="FootnoteText"/>
      </w:pPr>
      <w:r>
        <w:rPr>
          <w:rStyle w:val="FootnoteReference"/>
        </w:rPr>
        <w:footnoteRef/>
      </w:r>
      <w:r>
        <w:t xml:space="preserve"> </w:t>
      </w:r>
      <w:r>
        <w:rPr>
          <w:sz w:val="18"/>
          <w:szCs w:val="18"/>
        </w:rPr>
        <w:t>O. Abdel-Latif (2008), ‘In the Shadow of the Brothers’, p.2.</w:t>
      </w:r>
    </w:p>
  </w:footnote>
  <w:footnote w:id="52">
    <w:p w14:paraId="6784697B" w14:textId="77777777" w:rsidR="00000B18" w:rsidRPr="000D7185" w:rsidRDefault="00000B18" w:rsidP="00000B18">
      <w:pPr>
        <w:rPr>
          <w:sz w:val="18"/>
          <w:szCs w:val="18"/>
        </w:rPr>
      </w:pPr>
      <w:r w:rsidRPr="000D7185">
        <w:rPr>
          <w:rStyle w:val="FootnoteReference"/>
          <w:sz w:val="18"/>
          <w:szCs w:val="18"/>
        </w:rPr>
        <w:footnoteRef/>
      </w:r>
      <w:r w:rsidRPr="000D7185">
        <w:rPr>
          <w:sz w:val="18"/>
          <w:szCs w:val="18"/>
        </w:rPr>
        <w:t xml:space="preserve"> M. Tadros (2012), </w:t>
      </w:r>
      <w:r w:rsidRPr="000D7185">
        <w:rPr>
          <w:i/>
          <w:sz w:val="18"/>
          <w:szCs w:val="18"/>
        </w:rPr>
        <w:t>The Muslim Brotherhood in Contemporary Egypt: Democracy Defined or Confined</w:t>
      </w:r>
      <w:r w:rsidRPr="000D7185">
        <w:rPr>
          <w:sz w:val="18"/>
          <w:szCs w:val="18"/>
        </w:rPr>
        <w:t>, (Oxon: Routledge), p.115.</w:t>
      </w:r>
    </w:p>
  </w:footnote>
  <w:footnote w:id="53">
    <w:p w14:paraId="204B7D68" w14:textId="63A3CE10" w:rsidR="009D553F" w:rsidRPr="000D7185" w:rsidRDefault="009D553F">
      <w:pPr>
        <w:pStyle w:val="FootnoteText"/>
        <w:rPr>
          <w:sz w:val="18"/>
          <w:szCs w:val="18"/>
        </w:rPr>
      </w:pPr>
      <w:r w:rsidRPr="000D7185">
        <w:rPr>
          <w:rStyle w:val="FootnoteReference"/>
          <w:sz w:val="18"/>
          <w:szCs w:val="18"/>
        </w:rPr>
        <w:footnoteRef/>
      </w:r>
      <w:r w:rsidRPr="000D7185">
        <w:rPr>
          <w:sz w:val="18"/>
          <w:szCs w:val="18"/>
        </w:rPr>
        <w:t xml:space="preserve"> Egyptian Feminist Movement.</w:t>
      </w:r>
    </w:p>
  </w:footnote>
  <w:footnote w:id="54">
    <w:p w14:paraId="33CEF0DB" w14:textId="654877B3" w:rsidR="009D553F" w:rsidRPr="000D7185" w:rsidRDefault="009D553F">
      <w:pPr>
        <w:pStyle w:val="FootnoteText"/>
        <w:rPr>
          <w:sz w:val="18"/>
          <w:szCs w:val="18"/>
        </w:rPr>
      </w:pPr>
      <w:r w:rsidRPr="000D7185">
        <w:rPr>
          <w:rStyle w:val="FootnoteReference"/>
          <w:sz w:val="18"/>
          <w:szCs w:val="18"/>
        </w:rPr>
        <w:footnoteRef/>
      </w:r>
      <w:r w:rsidRPr="000D7185">
        <w:rPr>
          <w:sz w:val="18"/>
          <w:szCs w:val="18"/>
        </w:rPr>
        <w:t xml:space="preserve"> Muslim Ladies Association.</w:t>
      </w:r>
    </w:p>
  </w:footnote>
  <w:footnote w:id="55">
    <w:p w14:paraId="4E3DF03F" w14:textId="47537C9D" w:rsidR="009D553F" w:rsidRPr="000D7185" w:rsidRDefault="009D553F">
      <w:pPr>
        <w:pStyle w:val="FootnoteText"/>
        <w:rPr>
          <w:sz w:val="18"/>
          <w:szCs w:val="18"/>
        </w:rPr>
      </w:pPr>
      <w:r w:rsidRPr="000D7185">
        <w:rPr>
          <w:rStyle w:val="FootnoteReference"/>
          <w:sz w:val="18"/>
          <w:szCs w:val="18"/>
        </w:rPr>
        <w:footnoteRef/>
      </w:r>
      <w:r w:rsidRPr="000D7185">
        <w:rPr>
          <w:sz w:val="18"/>
          <w:szCs w:val="18"/>
        </w:rPr>
        <w:t xml:space="preserve"> M. K. Farag (2013), </w:t>
      </w:r>
      <w:r w:rsidRPr="000D7185">
        <w:rPr>
          <w:i/>
          <w:sz w:val="18"/>
          <w:szCs w:val="18"/>
        </w:rPr>
        <w:t>Evolving Female Participation, p.65.</w:t>
      </w:r>
    </w:p>
  </w:footnote>
  <w:footnote w:id="56">
    <w:p w14:paraId="77C99176" w14:textId="5CE388AB" w:rsidR="00EA09A6" w:rsidRDefault="00EA09A6">
      <w:pPr>
        <w:pStyle w:val="FootnoteText"/>
      </w:pPr>
      <w:r>
        <w:rPr>
          <w:rStyle w:val="FootnoteReference"/>
        </w:rPr>
        <w:footnoteRef/>
      </w:r>
      <w:r>
        <w:t xml:space="preserve"> </w:t>
      </w:r>
      <w:r>
        <w:rPr>
          <w:sz w:val="18"/>
          <w:szCs w:val="18"/>
        </w:rPr>
        <w:t>O. Abdel-Latif (2008), ‘In the Shadow of the Brothers’, p.3.</w:t>
      </w:r>
    </w:p>
  </w:footnote>
  <w:footnote w:id="57">
    <w:p w14:paraId="3C872EDF" w14:textId="1BB45247" w:rsidR="009D553F" w:rsidRPr="000D7185" w:rsidRDefault="009D553F">
      <w:pPr>
        <w:pStyle w:val="FootnoteText"/>
        <w:rPr>
          <w:sz w:val="18"/>
          <w:szCs w:val="18"/>
        </w:rPr>
      </w:pPr>
      <w:r w:rsidRPr="000D7185">
        <w:rPr>
          <w:rStyle w:val="FootnoteReference"/>
          <w:sz w:val="18"/>
          <w:szCs w:val="18"/>
        </w:rPr>
        <w:footnoteRef/>
      </w:r>
      <w:r w:rsidRPr="000D7185">
        <w:rPr>
          <w:sz w:val="18"/>
          <w:szCs w:val="18"/>
        </w:rPr>
        <w:t xml:space="preserve"> </w:t>
      </w:r>
      <w:r w:rsidR="009972BE" w:rsidRPr="000D7185">
        <w:rPr>
          <w:sz w:val="18"/>
          <w:szCs w:val="18"/>
        </w:rPr>
        <w:t xml:space="preserve">M. Tadros (2012), </w:t>
      </w:r>
      <w:r w:rsidR="009972BE" w:rsidRPr="000D7185">
        <w:rPr>
          <w:i/>
          <w:sz w:val="18"/>
          <w:szCs w:val="18"/>
        </w:rPr>
        <w:t>The Muslim Brotherhood, p.115.</w:t>
      </w:r>
    </w:p>
  </w:footnote>
  <w:footnote w:id="58">
    <w:p w14:paraId="2DC751A1" w14:textId="22C055D4" w:rsidR="00220735" w:rsidRPr="000D7185" w:rsidRDefault="00220735">
      <w:pPr>
        <w:pStyle w:val="FootnoteText"/>
        <w:rPr>
          <w:sz w:val="18"/>
          <w:szCs w:val="18"/>
        </w:rPr>
      </w:pPr>
      <w:r w:rsidRPr="000D7185">
        <w:rPr>
          <w:rStyle w:val="FootnoteReference"/>
          <w:sz w:val="18"/>
          <w:szCs w:val="18"/>
        </w:rPr>
        <w:footnoteRef/>
      </w:r>
      <w:r w:rsidRPr="000D7185">
        <w:rPr>
          <w:sz w:val="18"/>
          <w:szCs w:val="18"/>
        </w:rPr>
        <w:t xml:space="preserve"> S. Duval (1998), ‘New Veils and New Voices:</w:t>
      </w:r>
      <w:r w:rsidR="00A22537" w:rsidRPr="000D7185">
        <w:rPr>
          <w:sz w:val="18"/>
          <w:szCs w:val="18"/>
        </w:rPr>
        <w:t xml:space="preserve"> Islamist Women’s Groups in Egypt’ in </w:t>
      </w:r>
      <w:r w:rsidR="00A22537" w:rsidRPr="000D7185">
        <w:rPr>
          <w:i/>
          <w:sz w:val="18"/>
          <w:szCs w:val="18"/>
        </w:rPr>
        <w:t>Women and Islamization: Contemporary Dimensions of Discourses on Gender Relations</w:t>
      </w:r>
      <w:r w:rsidR="00A22537" w:rsidRPr="000D7185">
        <w:rPr>
          <w:sz w:val="18"/>
          <w:szCs w:val="18"/>
        </w:rPr>
        <w:t>, (Oxford: Oxford International Publishers), p.54.</w:t>
      </w:r>
    </w:p>
  </w:footnote>
  <w:footnote w:id="59">
    <w:p w14:paraId="24D328EB" w14:textId="33FCE4E8" w:rsidR="000C614E" w:rsidRPr="000D7185" w:rsidRDefault="000C614E">
      <w:pPr>
        <w:pStyle w:val="FootnoteText"/>
        <w:rPr>
          <w:sz w:val="18"/>
          <w:szCs w:val="18"/>
        </w:rPr>
      </w:pPr>
      <w:r w:rsidRPr="000D7185">
        <w:rPr>
          <w:rStyle w:val="FootnoteReference"/>
          <w:sz w:val="18"/>
          <w:szCs w:val="18"/>
        </w:rPr>
        <w:footnoteRef/>
      </w:r>
      <w:r w:rsidRPr="000D7185">
        <w:rPr>
          <w:sz w:val="18"/>
          <w:szCs w:val="18"/>
        </w:rPr>
        <w:t xml:space="preserve"> Those who struggle or strive through Jihad.</w:t>
      </w:r>
    </w:p>
  </w:footnote>
  <w:footnote w:id="60">
    <w:p w14:paraId="6C392F08" w14:textId="345FFA5F" w:rsidR="009A41AD" w:rsidRPr="000D7185" w:rsidRDefault="009A41AD" w:rsidP="00451549">
      <w:pPr>
        <w:rPr>
          <w:sz w:val="18"/>
          <w:szCs w:val="18"/>
        </w:rPr>
      </w:pPr>
      <w:r w:rsidRPr="000D7185">
        <w:rPr>
          <w:rStyle w:val="FootnoteReference"/>
          <w:sz w:val="18"/>
          <w:szCs w:val="18"/>
        </w:rPr>
        <w:footnoteRef/>
      </w:r>
      <w:r w:rsidRPr="000D7185">
        <w:rPr>
          <w:sz w:val="18"/>
          <w:szCs w:val="18"/>
        </w:rPr>
        <w:t xml:space="preserve"> </w:t>
      </w:r>
      <w:r w:rsidR="00451549" w:rsidRPr="000D7185">
        <w:rPr>
          <w:sz w:val="18"/>
          <w:szCs w:val="18"/>
        </w:rPr>
        <w:t xml:space="preserve">Hoffman, V. J. (Unknown Date), ‘Ghazali, Zaynab al’ in </w:t>
      </w:r>
      <w:r w:rsidR="00451549" w:rsidRPr="000D7185">
        <w:rPr>
          <w:i/>
          <w:sz w:val="18"/>
          <w:szCs w:val="18"/>
        </w:rPr>
        <w:t>The Oxford Encyclopaedia of the Islamic World</w:t>
      </w:r>
      <w:r w:rsidR="00451549" w:rsidRPr="000D7185">
        <w:rPr>
          <w:sz w:val="18"/>
          <w:szCs w:val="18"/>
        </w:rPr>
        <w:t>, http://www.oxfordislamicstudies.com/article/opr/t236/e0273?_hi=0&amp;_pos=5#match (Date Accessed:20</w:t>
      </w:r>
      <w:r w:rsidR="00451549" w:rsidRPr="000D7185">
        <w:rPr>
          <w:sz w:val="18"/>
          <w:szCs w:val="18"/>
          <w:vertAlign w:val="superscript"/>
        </w:rPr>
        <w:t>th</w:t>
      </w:r>
      <w:r w:rsidR="00451549" w:rsidRPr="000D7185">
        <w:rPr>
          <w:sz w:val="18"/>
          <w:szCs w:val="18"/>
        </w:rPr>
        <w:t xml:space="preserve"> March 2018).</w:t>
      </w:r>
    </w:p>
  </w:footnote>
  <w:footnote w:id="61">
    <w:p w14:paraId="2FEE52D8" w14:textId="24468EE3" w:rsidR="00463F54" w:rsidRPr="000D7185" w:rsidRDefault="00463F54">
      <w:pPr>
        <w:pStyle w:val="FootnoteText"/>
        <w:rPr>
          <w:sz w:val="18"/>
          <w:szCs w:val="18"/>
        </w:rPr>
      </w:pPr>
      <w:r w:rsidRPr="000D7185">
        <w:rPr>
          <w:rStyle w:val="FootnoteReference"/>
          <w:sz w:val="18"/>
          <w:szCs w:val="18"/>
        </w:rPr>
        <w:footnoteRef/>
      </w:r>
      <w:r w:rsidRPr="000D7185">
        <w:rPr>
          <w:sz w:val="18"/>
          <w:szCs w:val="18"/>
        </w:rPr>
        <w:t xml:space="preserve"> M. K. Farag (2013), </w:t>
      </w:r>
      <w:r w:rsidRPr="000D7185">
        <w:rPr>
          <w:i/>
          <w:sz w:val="18"/>
          <w:szCs w:val="18"/>
        </w:rPr>
        <w:t>Evolving Female Participation, p.128.</w:t>
      </w:r>
    </w:p>
  </w:footnote>
  <w:footnote w:id="62">
    <w:p w14:paraId="4A3AACA2" w14:textId="3455A983" w:rsidR="004E157A" w:rsidRPr="000D7185" w:rsidRDefault="004E157A">
      <w:pPr>
        <w:pStyle w:val="FootnoteText"/>
        <w:rPr>
          <w:sz w:val="18"/>
          <w:szCs w:val="18"/>
        </w:rPr>
      </w:pPr>
      <w:r w:rsidRPr="000D7185">
        <w:rPr>
          <w:rStyle w:val="FootnoteReference"/>
          <w:sz w:val="18"/>
          <w:szCs w:val="18"/>
        </w:rPr>
        <w:footnoteRef/>
      </w:r>
      <w:r w:rsidRPr="000D7185">
        <w:rPr>
          <w:sz w:val="18"/>
          <w:szCs w:val="18"/>
        </w:rPr>
        <w:t xml:space="preserve"> </w:t>
      </w:r>
      <w:r w:rsidR="00B06615">
        <w:rPr>
          <w:sz w:val="18"/>
          <w:szCs w:val="18"/>
        </w:rPr>
        <w:t>O. Abdel-Latif (2008), ‘In the Shadow of the Brothers’, p.6.</w:t>
      </w:r>
    </w:p>
  </w:footnote>
  <w:footnote w:id="63">
    <w:p w14:paraId="6B740B2A" w14:textId="77777777" w:rsidR="00D222D5" w:rsidRPr="00CF1D07" w:rsidRDefault="00D222D5" w:rsidP="00D222D5">
      <w:pPr>
        <w:pStyle w:val="FootnoteText"/>
      </w:pPr>
      <w:r>
        <w:rPr>
          <w:rStyle w:val="FootnoteReference"/>
        </w:rPr>
        <w:footnoteRef/>
      </w:r>
      <w:r>
        <w:t xml:space="preserve"> </w:t>
      </w:r>
      <w:r w:rsidRPr="00CF1D07">
        <w:rPr>
          <w:sz w:val="18"/>
          <w:szCs w:val="18"/>
        </w:rPr>
        <w:t xml:space="preserve">A. Bayat (2007), </w:t>
      </w:r>
      <w:r w:rsidRPr="00CF1D07">
        <w:rPr>
          <w:i/>
          <w:sz w:val="18"/>
          <w:szCs w:val="18"/>
        </w:rPr>
        <w:t xml:space="preserve">Making Islam Democratic: Social Movements and the Post-Islamist Turn, </w:t>
      </w:r>
      <w:r>
        <w:rPr>
          <w:sz w:val="18"/>
          <w:szCs w:val="18"/>
        </w:rPr>
        <w:t>(Stanf</w:t>
      </w:r>
      <w:r w:rsidRPr="00CF1D07">
        <w:rPr>
          <w:sz w:val="18"/>
          <w:szCs w:val="18"/>
        </w:rPr>
        <w:t>ord: Stanford University Press), p.138.</w:t>
      </w:r>
    </w:p>
  </w:footnote>
  <w:footnote w:id="64">
    <w:p w14:paraId="5DDD4032" w14:textId="77777777" w:rsidR="00D222D5" w:rsidRPr="005A37E0" w:rsidRDefault="00D222D5" w:rsidP="00D222D5">
      <w:pPr>
        <w:pStyle w:val="FootnoteText"/>
        <w:rPr>
          <w:sz w:val="18"/>
          <w:szCs w:val="18"/>
        </w:rPr>
      </w:pPr>
      <w:r w:rsidRPr="005A37E0">
        <w:rPr>
          <w:rStyle w:val="FootnoteReference"/>
          <w:sz w:val="18"/>
          <w:szCs w:val="18"/>
        </w:rPr>
        <w:footnoteRef/>
      </w:r>
      <w:r w:rsidRPr="005A37E0">
        <w:rPr>
          <w:sz w:val="18"/>
          <w:szCs w:val="18"/>
        </w:rPr>
        <w:t xml:space="preserve"> M. Tadros (2012), </w:t>
      </w:r>
      <w:r w:rsidRPr="005A37E0">
        <w:rPr>
          <w:i/>
          <w:sz w:val="18"/>
          <w:szCs w:val="18"/>
        </w:rPr>
        <w:t>The Muslim Brotherhood, p.121.</w:t>
      </w:r>
    </w:p>
  </w:footnote>
  <w:footnote w:id="65">
    <w:p w14:paraId="087266EC" w14:textId="63581D9B" w:rsidR="008C647B" w:rsidRPr="005528BF" w:rsidRDefault="008C647B" w:rsidP="009E65EF">
      <w:r w:rsidRPr="005A37E0">
        <w:rPr>
          <w:rStyle w:val="FootnoteReference"/>
          <w:sz w:val="18"/>
          <w:szCs w:val="18"/>
        </w:rPr>
        <w:footnoteRef/>
      </w:r>
      <w:r w:rsidRPr="005A37E0">
        <w:rPr>
          <w:sz w:val="18"/>
          <w:szCs w:val="18"/>
        </w:rPr>
        <w:t xml:space="preserve"> Discussion on the issue of Islamic dress fo</w:t>
      </w:r>
      <w:r w:rsidR="005248CB">
        <w:rPr>
          <w:sz w:val="18"/>
          <w:szCs w:val="18"/>
        </w:rPr>
        <w:t xml:space="preserve">r Muslim women can be found in </w:t>
      </w:r>
      <w:r w:rsidR="0077423B">
        <w:rPr>
          <w:sz w:val="18"/>
          <w:szCs w:val="18"/>
        </w:rPr>
        <w:t xml:space="preserve">J. M. English (2011), </w:t>
      </w:r>
      <w:r w:rsidR="0077423B">
        <w:rPr>
          <w:i/>
          <w:sz w:val="18"/>
          <w:szCs w:val="18"/>
        </w:rPr>
        <w:t>Infidel Behind the Paradoxical Veil: A Western Woman’s Experience in Saudi Arabia</w:t>
      </w:r>
      <w:r w:rsidR="0077423B">
        <w:rPr>
          <w:sz w:val="18"/>
          <w:szCs w:val="18"/>
        </w:rPr>
        <w:t xml:space="preserve">, (Bloomington: AuthorHouse), K. Bullock (2010), </w:t>
      </w:r>
      <w:r w:rsidR="0077423B">
        <w:rPr>
          <w:i/>
          <w:sz w:val="18"/>
          <w:szCs w:val="18"/>
        </w:rPr>
        <w:t>Book-In-Brief: Rethinking Muslim Women and the Veil: Challenging Historical and Modern Stereotypes</w:t>
      </w:r>
      <w:r w:rsidR="0077423B">
        <w:rPr>
          <w:sz w:val="18"/>
          <w:szCs w:val="18"/>
        </w:rPr>
        <w:t xml:space="preserve">, (Herndon: The International Institute of </w:t>
      </w:r>
      <w:r w:rsidR="009E65EF">
        <w:rPr>
          <w:sz w:val="18"/>
          <w:szCs w:val="18"/>
        </w:rPr>
        <w:t xml:space="preserve">Islamic Thought), A. </w:t>
      </w:r>
      <w:r w:rsidR="009E65EF" w:rsidRPr="009E65EF">
        <w:rPr>
          <w:sz w:val="18"/>
          <w:szCs w:val="18"/>
        </w:rPr>
        <w:t>Wadud</w:t>
      </w:r>
      <w:r w:rsidR="009E65EF" w:rsidRPr="009E65EF">
        <w:rPr>
          <w:sz w:val="18"/>
          <w:szCs w:val="18"/>
        </w:rPr>
        <w:t xml:space="preserve"> (2006), </w:t>
      </w:r>
      <w:r w:rsidR="009E65EF" w:rsidRPr="009E65EF">
        <w:rPr>
          <w:i/>
          <w:sz w:val="18"/>
          <w:szCs w:val="18"/>
        </w:rPr>
        <w:t>Inside the Gender Jihad: Women’s Reform in Islam</w:t>
      </w:r>
      <w:r w:rsidR="009E65EF" w:rsidRPr="009E65EF">
        <w:rPr>
          <w:sz w:val="18"/>
          <w:szCs w:val="18"/>
        </w:rPr>
        <w:t xml:space="preserve">, </w:t>
      </w:r>
      <w:r w:rsidR="009E65EF" w:rsidRPr="009E65EF">
        <w:rPr>
          <w:sz w:val="18"/>
          <w:szCs w:val="18"/>
        </w:rPr>
        <w:t>(Oxford: Oneworld Publications)</w:t>
      </w:r>
      <w:r w:rsidR="009E65EF">
        <w:rPr>
          <w:sz w:val="18"/>
          <w:szCs w:val="18"/>
        </w:rPr>
        <w:t xml:space="preserve"> and </w:t>
      </w:r>
      <w:r w:rsidR="005528BF">
        <w:rPr>
          <w:sz w:val="18"/>
          <w:szCs w:val="18"/>
        </w:rPr>
        <w:t xml:space="preserve">T. Gabriel and R. Hannan (2011), </w:t>
      </w:r>
      <w:r w:rsidR="005528BF">
        <w:rPr>
          <w:i/>
          <w:sz w:val="18"/>
          <w:szCs w:val="18"/>
        </w:rPr>
        <w:t>Islam and the Veil: Theoretical and Regional Contexts</w:t>
      </w:r>
      <w:r w:rsidR="005528BF">
        <w:rPr>
          <w:sz w:val="18"/>
          <w:szCs w:val="18"/>
        </w:rPr>
        <w:t>, (London: Continuum International Publishing Group).</w:t>
      </w:r>
    </w:p>
  </w:footnote>
  <w:footnote w:id="66">
    <w:p w14:paraId="39DD99C6" w14:textId="5B6F74E6" w:rsidR="008C647B" w:rsidRPr="008C647B" w:rsidRDefault="008C647B">
      <w:pPr>
        <w:pStyle w:val="FootnoteText"/>
      </w:pPr>
      <w:r w:rsidRPr="005A37E0">
        <w:rPr>
          <w:rStyle w:val="FootnoteReference"/>
          <w:sz w:val="18"/>
          <w:szCs w:val="18"/>
        </w:rPr>
        <w:footnoteRef/>
      </w:r>
      <w:r w:rsidRPr="005A37E0">
        <w:rPr>
          <w:sz w:val="18"/>
          <w:szCs w:val="18"/>
        </w:rPr>
        <w:t xml:space="preserve"> Arabs in America (Unknown Date), </w:t>
      </w:r>
      <w:r w:rsidRPr="005A37E0">
        <w:rPr>
          <w:i/>
          <w:sz w:val="18"/>
          <w:szCs w:val="18"/>
        </w:rPr>
        <w:t>What is the Hijab and Why do Women Wear it?</w:t>
      </w:r>
      <w:r w:rsidRPr="005A37E0">
        <w:rPr>
          <w:sz w:val="18"/>
          <w:szCs w:val="18"/>
        </w:rPr>
        <w:t>, http://arabsinamerica.unc.edu/identity/veiling/hijab/ (Date Accessed: 27</w:t>
      </w:r>
      <w:r w:rsidRPr="005A37E0">
        <w:rPr>
          <w:sz w:val="18"/>
          <w:szCs w:val="18"/>
          <w:vertAlign w:val="superscript"/>
        </w:rPr>
        <w:t>th</w:t>
      </w:r>
      <w:r w:rsidRPr="005A37E0">
        <w:rPr>
          <w:sz w:val="18"/>
          <w:szCs w:val="18"/>
        </w:rPr>
        <w:t xml:space="preserve"> March 2018).</w:t>
      </w:r>
    </w:p>
  </w:footnote>
  <w:footnote w:id="67">
    <w:p w14:paraId="5C0D4A51" w14:textId="3B70CF79" w:rsidR="00271A79" w:rsidRPr="000D7185" w:rsidRDefault="00271A79">
      <w:pPr>
        <w:pStyle w:val="FootnoteText"/>
        <w:rPr>
          <w:sz w:val="18"/>
          <w:szCs w:val="18"/>
        </w:rPr>
      </w:pPr>
      <w:r w:rsidRPr="000D7185">
        <w:rPr>
          <w:rStyle w:val="FootnoteReference"/>
          <w:sz w:val="18"/>
          <w:szCs w:val="18"/>
        </w:rPr>
        <w:footnoteRef/>
      </w:r>
      <w:r w:rsidRPr="000D7185">
        <w:rPr>
          <w:sz w:val="18"/>
          <w:szCs w:val="18"/>
        </w:rPr>
        <w:t xml:space="preserve"> M. K. Farag (2013), </w:t>
      </w:r>
      <w:r w:rsidRPr="000D7185">
        <w:rPr>
          <w:i/>
          <w:sz w:val="18"/>
          <w:szCs w:val="18"/>
        </w:rPr>
        <w:t xml:space="preserve">Evolving Female Participation, </w:t>
      </w:r>
      <w:r w:rsidRPr="000D7185">
        <w:rPr>
          <w:sz w:val="18"/>
          <w:szCs w:val="18"/>
        </w:rPr>
        <w:t>p.245.</w:t>
      </w:r>
    </w:p>
  </w:footnote>
  <w:footnote w:id="68">
    <w:p w14:paraId="05BD23D4" w14:textId="7D0CD597" w:rsidR="00463F54" w:rsidRPr="0017667D" w:rsidRDefault="00463F54">
      <w:pPr>
        <w:pStyle w:val="FootnoteText"/>
      </w:pPr>
      <w:r w:rsidRPr="000D7185">
        <w:rPr>
          <w:rStyle w:val="FootnoteReference"/>
          <w:sz w:val="18"/>
          <w:szCs w:val="18"/>
        </w:rPr>
        <w:footnoteRef/>
      </w:r>
      <w:r w:rsidR="0017667D">
        <w:rPr>
          <w:sz w:val="18"/>
          <w:szCs w:val="18"/>
        </w:rPr>
        <w:t xml:space="preserve"> D. Abdel-Raheem (2008), ‘Ta’heel al-Zahrat Litarweej afkar al-Tantheem’ in </w:t>
      </w:r>
      <w:r w:rsidR="0017667D">
        <w:rPr>
          <w:i/>
          <w:sz w:val="18"/>
          <w:szCs w:val="18"/>
        </w:rPr>
        <w:t>Schooling Girls to Promote Ideas of the Organisation</w:t>
      </w:r>
      <w:r w:rsidR="0017667D">
        <w:rPr>
          <w:sz w:val="18"/>
          <w:szCs w:val="18"/>
        </w:rPr>
        <w:t>, pp.28-29.</w:t>
      </w:r>
    </w:p>
  </w:footnote>
  <w:footnote w:id="69">
    <w:p w14:paraId="4214AE0D" w14:textId="77777777" w:rsidR="000D7185" w:rsidRPr="000D7185" w:rsidRDefault="000D7185" w:rsidP="000D7185">
      <w:pPr>
        <w:pStyle w:val="FootnoteText"/>
        <w:rPr>
          <w:sz w:val="18"/>
          <w:szCs w:val="18"/>
        </w:rPr>
      </w:pPr>
      <w:r w:rsidRPr="000D7185">
        <w:rPr>
          <w:rStyle w:val="FootnoteReference"/>
          <w:sz w:val="18"/>
          <w:szCs w:val="18"/>
        </w:rPr>
        <w:footnoteRef/>
      </w:r>
      <w:r w:rsidRPr="000D7185">
        <w:rPr>
          <w:sz w:val="18"/>
          <w:szCs w:val="18"/>
        </w:rPr>
        <w:t xml:space="preserve"> M. K. Farag (2013), </w:t>
      </w:r>
      <w:r w:rsidRPr="000D7185">
        <w:rPr>
          <w:i/>
          <w:sz w:val="18"/>
          <w:szCs w:val="18"/>
        </w:rPr>
        <w:t xml:space="preserve">Evolving Female Participation, </w:t>
      </w:r>
      <w:r w:rsidRPr="000D7185">
        <w:rPr>
          <w:sz w:val="18"/>
          <w:szCs w:val="18"/>
        </w:rPr>
        <w:t>p.308.</w:t>
      </w:r>
    </w:p>
  </w:footnote>
  <w:footnote w:id="70">
    <w:p w14:paraId="3FCADA96" w14:textId="7DE3F76E" w:rsidR="009D553F" w:rsidRPr="00714FDC" w:rsidRDefault="009D553F">
      <w:pPr>
        <w:pStyle w:val="FootnoteText"/>
        <w:rPr>
          <w:sz w:val="18"/>
          <w:szCs w:val="18"/>
        </w:rPr>
      </w:pPr>
      <w:r w:rsidRPr="00714FDC">
        <w:rPr>
          <w:rStyle w:val="FootnoteReference"/>
          <w:sz w:val="18"/>
          <w:szCs w:val="18"/>
        </w:rPr>
        <w:footnoteRef/>
      </w:r>
      <w:r w:rsidRPr="00714FDC">
        <w:rPr>
          <w:sz w:val="18"/>
          <w:szCs w:val="18"/>
        </w:rPr>
        <w:t xml:space="preserve"> M. K. Farag (2013), </w:t>
      </w:r>
      <w:r w:rsidRPr="00714FDC">
        <w:rPr>
          <w:i/>
          <w:sz w:val="18"/>
          <w:szCs w:val="18"/>
        </w:rPr>
        <w:t>Evolving Female Participation, p.29.</w:t>
      </w:r>
    </w:p>
  </w:footnote>
  <w:footnote w:id="71">
    <w:p w14:paraId="1D15DBF3" w14:textId="36AA8244" w:rsidR="002A19E2" w:rsidRPr="00714FDC" w:rsidRDefault="002A19E2">
      <w:pPr>
        <w:pStyle w:val="FootnoteText"/>
        <w:rPr>
          <w:sz w:val="18"/>
          <w:szCs w:val="18"/>
        </w:rPr>
      </w:pPr>
      <w:r w:rsidRPr="00714FDC">
        <w:rPr>
          <w:rStyle w:val="FootnoteReference"/>
          <w:sz w:val="18"/>
          <w:szCs w:val="18"/>
        </w:rPr>
        <w:footnoteRef/>
      </w:r>
      <w:r w:rsidRPr="00714FDC">
        <w:rPr>
          <w:sz w:val="18"/>
          <w:szCs w:val="18"/>
        </w:rPr>
        <w:t xml:space="preserve"> M. K. Farag (2013), </w:t>
      </w:r>
      <w:r w:rsidRPr="00714FDC">
        <w:rPr>
          <w:i/>
          <w:sz w:val="18"/>
          <w:szCs w:val="18"/>
        </w:rPr>
        <w:t xml:space="preserve">Evolving Female Participation, </w:t>
      </w:r>
      <w:r w:rsidRPr="00714FDC">
        <w:rPr>
          <w:sz w:val="18"/>
          <w:szCs w:val="18"/>
        </w:rPr>
        <w:t>p.292.</w:t>
      </w:r>
    </w:p>
  </w:footnote>
  <w:footnote w:id="72">
    <w:p w14:paraId="0AD7E7F9" w14:textId="40942D94" w:rsidR="009D553F" w:rsidRPr="00714FDC" w:rsidRDefault="009D553F">
      <w:pPr>
        <w:pStyle w:val="FootnoteText"/>
        <w:rPr>
          <w:sz w:val="18"/>
          <w:szCs w:val="18"/>
        </w:rPr>
      </w:pPr>
      <w:r w:rsidRPr="00714FDC">
        <w:rPr>
          <w:rStyle w:val="FootnoteReference"/>
          <w:sz w:val="18"/>
          <w:szCs w:val="18"/>
        </w:rPr>
        <w:footnoteRef/>
      </w:r>
      <w:r w:rsidRPr="00714FDC">
        <w:rPr>
          <w:sz w:val="18"/>
          <w:szCs w:val="18"/>
        </w:rPr>
        <w:t xml:space="preserve"> M. K. Farag (2013), </w:t>
      </w:r>
      <w:r w:rsidRPr="00714FDC">
        <w:rPr>
          <w:i/>
          <w:sz w:val="18"/>
          <w:szCs w:val="18"/>
        </w:rPr>
        <w:t xml:space="preserve">Evolving Female Participation, </w:t>
      </w:r>
      <w:r w:rsidRPr="00714FDC">
        <w:rPr>
          <w:sz w:val="18"/>
          <w:szCs w:val="18"/>
        </w:rPr>
        <w:t>p.8.</w:t>
      </w:r>
    </w:p>
  </w:footnote>
  <w:footnote w:id="73">
    <w:p w14:paraId="7767F0CE" w14:textId="36FF42D1" w:rsidR="00CC11DF" w:rsidRPr="00714FDC" w:rsidRDefault="00CC11DF">
      <w:pPr>
        <w:pStyle w:val="FootnoteText"/>
        <w:rPr>
          <w:sz w:val="18"/>
          <w:szCs w:val="18"/>
        </w:rPr>
      </w:pPr>
      <w:r w:rsidRPr="00714FDC">
        <w:rPr>
          <w:rStyle w:val="FootnoteReference"/>
          <w:sz w:val="18"/>
          <w:szCs w:val="18"/>
        </w:rPr>
        <w:footnoteRef/>
      </w:r>
      <w:r w:rsidRPr="00714FDC">
        <w:rPr>
          <w:sz w:val="18"/>
          <w:szCs w:val="18"/>
        </w:rPr>
        <w:t xml:space="preserve"> Alliance for Arab Women.</w:t>
      </w:r>
    </w:p>
  </w:footnote>
  <w:footnote w:id="74">
    <w:p w14:paraId="4735D49B" w14:textId="4413D36E" w:rsidR="00CC11DF" w:rsidRPr="00714FDC" w:rsidRDefault="00CC11DF">
      <w:pPr>
        <w:pStyle w:val="FootnoteText"/>
      </w:pPr>
      <w:r w:rsidRPr="00714FDC">
        <w:rPr>
          <w:rStyle w:val="FootnoteReference"/>
          <w:sz w:val="18"/>
          <w:szCs w:val="18"/>
        </w:rPr>
        <w:footnoteRef/>
      </w:r>
      <w:r w:rsidRPr="00714FDC">
        <w:rPr>
          <w:sz w:val="18"/>
          <w:szCs w:val="18"/>
        </w:rPr>
        <w:t xml:space="preserve"> </w:t>
      </w:r>
      <w:r w:rsidR="00714FDC" w:rsidRPr="00714FDC">
        <w:rPr>
          <w:sz w:val="18"/>
          <w:szCs w:val="18"/>
        </w:rPr>
        <w:t>Ikhwanweb (2012</w:t>
      </w:r>
      <w:r w:rsidR="00714FDC" w:rsidRPr="00714FDC">
        <w:rPr>
          <w:i/>
          <w:sz w:val="18"/>
          <w:szCs w:val="18"/>
        </w:rPr>
        <w:t xml:space="preserve">), </w:t>
      </w:r>
      <w:r w:rsidR="00164AFA" w:rsidRPr="00714FDC">
        <w:rPr>
          <w:i/>
          <w:sz w:val="18"/>
          <w:szCs w:val="18"/>
        </w:rPr>
        <w:t>EGYPT: Women Breaking Culture Barriers in Upcoming Parliamentary Elections</w:t>
      </w:r>
      <w:r w:rsidR="00714FDC" w:rsidRPr="00714FDC">
        <w:rPr>
          <w:sz w:val="18"/>
          <w:szCs w:val="18"/>
        </w:rPr>
        <w:t>, http://ikhwanweb.com/article.php?id=27133 (Date Accessed: 26</w:t>
      </w:r>
      <w:r w:rsidR="00714FDC" w:rsidRPr="00714FDC">
        <w:rPr>
          <w:sz w:val="18"/>
          <w:szCs w:val="18"/>
          <w:vertAlign w:val="superscript"/>
        </w:rPr>
        <w:t>th</w:t>
      </w:r>
      <w:r w:rsidR="00714FDC" w:rsidRPr="00714FDC">
        <w:rPr>
          <w:sz w:val="18"/>
          <w:szCs w:val="18"/>
        </w:rPr>
        <w:t xml:space="preserve"> March 2018).</w:t>
      </w:r>
    </w:p>
  </w:footnote>
  <w:footnote w:id="75">
    <w:p w14:paraId="2448B9CD" w14:textId="54CDDB9B" w:rsidR="00A26075" w:rsidRPr="00A26075" w:rsidRDefault="00A26075">
      <w:pPr>
        <w:pStyle w:val="FootnoteText"/>
        <w:rPr>
          <w:sz w:val="18"/>
          <w:szCs w:val="18"/>
        </w:rPr>
      </w:pPr>
      <w:r w:rsidRPr="00A26075">
        <w:rPr>
          <w:rStyle w:val="FootnoteReference"/>
          <w:sz w:val="18"/>
          <w:szCs w:val="18"/>
        </w:rPr>
        <w:footnoteRef/>
      </w:r>
      <w:r w:rsidRPr="00A26075">
        <w:rPr>
          <w:sz w:val="18"/>
          <w:szCs w:val="18"/>
        </w:rPr>
        <w:t xml:space="preserve"> Jihan el-Halafawy</w:t>
      </w:r>
      <w:r>
        <w:rPr>
          <w:sz w:val="18"/>
          <w:szCs w:val="18"/>
        </w:rPr>
        <w:t>.</w:t>
      </w:r>
    </w:p>
  </w:footnote>
  <w:footnote w:id="76">
    <w:p w14:paraId="5F00BC62" w14:textId="35B8EDC3" w:rsidR="00295DB4" w:rsidRPr="00395D3C" w:rsidRDefault="00295DB4">
      <w:pPr>
        <w:pStyle w:val="FootnoteText"/>
        <w:rPr>
          <w:i/>
        </w:rPr>
      </w:pPr>
      <w:r w:rsidRPr="00295DB4">
        <w:rPr>
          <w:rStyle w:val="FootnoteReference"/>
          <w:sz w:val="18"/>
          <w:szCs w:val="18"/>
        </w:rPr>
        <w:footnoteRef/>
      </w:r>
      <w:r w:rsidRPr="00295DB4">
        <w:rPr>
          <w:sz w:val="18"/>
          <w:szCs w:val="18"/>
        </w:rPr>
        <w:t xml:space="preserve"> </w:t>
      </w:r>
      <w:r w:rsidR="00395D3C">
        <w:rPr>
          <w:sz w:val="18"/>
          <w:szCs w:val="18"/>
        </w:rPr>
        <w:t>O. Abdel-Latif (2008), ‘In the Shadow of the Brother</w:t>
      </w:r>
      <w:r w:rsidR="00841A3A">
        <w:rPr>
          <w:sz w:val="18"/>
          <w:szCs w:val="18"/>
        </w:rPr>
        <w:t>s</w:t>
      </w:r>
      <w:r w:rsidR="00395D3C">
        <w:rPr>
          <w:sz w:val="18"/>
          <w:szCs w:val="18"/>
        </w:rPr>
        <w:t>’</w:t>
      </w:r>
      <w:r w:rsidR="00395D3C" w:rsidRPr="00395D3C">
        <w:rPr>
          <w:sz w:val="18"/>
          <w:szCs w:val="18"/>
        </w:rPr>
        <w:t>, p.16.</w:t>
      </w:r>
    </w:p>
  </w:footnote>
  <w:footnote w:id="77">
    <w:p w14:paraId="1AA3BB10" w14:textId="0B06E1A6" w:rsidR="00DB560E" w:rsidRPr="00DB560E" w:rsidRDefault="00DB560E">
      <w:pPr>
        <w:pStyle w:val="FootnoteText"/>
        <w:rPr>
          <w:i/>
        </w:rPr>
      </w:pPr>
      <w:r>
        <w:rPr>
          <w:rStyle w:val="FootnoteReference"/>
        </w:rPr>
        <w:footnoteRef/>
      </w:r>
      <w:r>
        <w:t xml:space="preserve"> </w:t>
      </w:r>
      <w:r>
        <w:rPr>
          <w:sz w:val="18"/>
          <w:szCs w:val="18"/>
        </w:rPr>
        <w:t>O. Abdel-Latif (2008), ‘In the Shadow of the Brothers’</w:t>
      </w:r>
      <w:r>
        <w:rPr>
          <w:sz w:val="18"/>
          <w:szCs w:val="18"/>
        </w:rPr>
        <w:t>, p.7.</w:t>
      </w:r>
    </w:p>
  </w:footnote>
  <w:footnote w:id="78">
    <w:p w14:paraId="4E833296" w14:textId="08C6AAF5" w:rsidR="006617D8" w:rsidRDefault="006617D8">
      <w:pPr>
        <w:pStyle w:val="FootnoteText"/>
      </w:pPr>
      <w:r w:rsidRPr="006617D8">
        <w:rPr>
          <w:rStyle w:val="FootnoteReference"/>
          <w:sz w:val="18"/>
          <w:szCs w:val="18"/>
        </w:rPr>
        <w:footnoteRef/>
      </w:r>
      <w:r>
        <w:t xml:space="preserve"> </w:t>
      </w:r>
      <w:r>
        <w:rPr>
          <w:sz w:val="18"/>
          <w:szCs w:val="18"/>
        </w:rPr>
        <w:t>O. Abdel-Latif (2008), ‘In the Shadow of the Brothers’</w:t>
      </w:r>
      <w:r w:rsidRPr="00395D3C">
        <w:rPr>
          <w:sz w:val="18"/>
          <w:szCs w:val="18"/>
        </w:rPr>
        <w:t xml:space="preserve">, </w:t>
      </w:r>
      <w:r>
        <w:rPr>
          <w:sz w:val="18"/>
          <w:szCs w:val="18"/>
        </w:rPr>
        <w:t>p.7</w:t>
      </w:r>
      <w:r w:rsidRPr="00395D3C">
        <w:rPr>
          <w:sz w:val="18"/>
          <w:szCs w:val="18"/>
        </w:rPr>
        <w:t>.</w:t>
      </w:r>
    </w:p>
  </w:footnote>
  <w:footnote w:id="79">
    <w:p w14:paraId="31EAE943" w14:textId="77777777" w:rsidR="008C647B" w:rsidRPr="00295DB4" w:rsidRDefault="008C647B" w:rsidP="008C647B">
      <w:pPr>
        <w:pStyle w:val="FootnoteText"/>
        <w:rPr>
          <w:sz w:val="18"/>
          <w:szCs w:val="18"/>
        </w:rPr>
      </w:pPr>
      <w:r w:rsidRPr="00295DB4">
        <w:rPr>
          <w:rStyle w:val="FootnoteReference"/>
          <w:sz w:val="18"/>
          <w:szCs w:val="18"/>
        </w:rPr>
        <w:footnoteRef/>
      </w:r>
      <w:r w:rsidRPr="00295DB4">
        <w:rPr>
          <w:sz w:val="18"/>
          <w:szCs w:val="18"/>
        </w:rPr>
        <w:t xml:space="preserve"> M. K. Farag (2013), </w:t>
      </w:r>
      <w:r w:rsidRPr="00295DB4">
        <w:rPr>
          <w:i/>
          <w:sz w:val="18"/>
          <w:szCs w:val="18"/>
        </w:rPr>
        <w:t>Evolving Female Participation, P.63.</w:t>
      </w:r>
    </w:p>
  </w:footnote>
  <w:footnote w:id="80">
    <w:p w14:paraId="273D2DE6" w14:textId="622A4C56" w:rsidR="00E83F90" w:rsidRPr="00E658D3" w:rsidRDefault="00E83F90" w:rsidP="00E658D3">
      <w:pPr>
        <w:rPr>
          <w:sz w:val="18"/>
          <w:szCs w:val="18"/>
        </w:rPr>
      </w:pPr>
      <w:r w:rsidRPr="00714FDC">
        <w:rPr>
          <w:rStyle w:val="FootnoteReference"/>
          <w:sz w:val="18"/>
          <w:szCs w:val="18"/>
        </w:rPr>
        <w:footnoteRef/>
      </w:r>
      <w:r w:rsidRPr="00714FDC">
        <w:rPr>
          <w:sz w:val="18"/>
          <w:szCs w:val="18"/>
        </w:rPr>
        <w:t xml:space="preserve"> Gunther, U. (2004), ‘Ghazali, Zaynab Al- (1917-)’ in </w:t>
      </w:r>
      <w:r w:rsidRPr="00714FDC">
        <w:rPr>
          <w:i/>
          <w:sz w:val="18"/>
          <w:szCs w:val="18"/>
        </w:rPr>
        <w:t xml:space="preserve">Encyclopaedia of Islam and the </w:t>
      </w:r>
      <w:r w:rsidR="00714FDC" w:rsidRPr="00714FDC">
        <w:rPr>
          <w:i/>
          <w:sz w:val="18"/>
          <w:szCs w:val="18"/>
        </w:rPr>
        <w:t>Muslim</w:t>
      </w:r>
      <w:r w:rsidRPr="00714FDC">
        <w:rPr>
          <w:i/>
          <w:sz w:val="18"/>
          <w:szCs w:val="18"/>
        </w:rPr>
        <w:t xml:space="preserve"> World</w:t>
      </w:r>
      <w:r w:rsidRPr="00714FDC">
        <w:rPr>
          <w:sz w:val="18"/>
          <w:szCs w:val="18"/>
        </w:rPr>
        <w:t>, Vol. 1, p.276, Available at: Gale Virtual Reference Library, http://go.galegroup.com/ps/retrieve.do?tabID=T003&amp;resultListType=RESULT_LIST&amp;searchResultsType=SingleTab&amp;searchType=BasicSearchForm&amp;currentPosition=5&amp;docId=GALE%7CCX3403500170&amp;docType=Biography&amp;sort=RELEVANCE&amp;contentSegment=&amp;prodId=GVRL&amp;contentSet=GALE%7CCX3403500170&amp;searchId=R1&amp;userGroupName=walamp&amp;inPS=true (Date Accessed:20</w:t>
      </w:r>
      <w:r w:rsidRPr="00714FDC">
        <w:rPr>
          <w:sz w:val="18"/>
          <w:szCs w:val="18"/>
          <w:vertAlign w:val="superscript"/>
        </w:rPr>
        <w:t>th</w:t>
      </w:r>
      <w:r w:rsidRPr="00714FDC">
        <w:rPr>
          <w:sz w:val="18"/>
          <w:szCs w:val="18"/>
        </w:rPr>
        <w:t xml:space="preserve"> March 2018). </w:t>
      </w:r>
    </w:p>
  </w:footnote>
  <w:footnote w:id="81">
    <w:p w14:paraId="41A7B88F" w14:textId="0476EDBD" w:rsidR="00301594" w:rsidRPr="00E658D3" w:rsidRDefault="00301594">
      <w:pPr>
        <w:pStyle w:val="FootnoteText"/>
        <w:rPr>
          <w:sz w:val="18"/>
          <w:szCs w:val="18"/>
        </w:rPr>
      </w:pPr>
      <w:r w:rsidRPr="00E658D3">
        <w:rPr>
          <w:rStyle w:val="FootnoteReference"/>
          <w:sz w:val="18"/>
          <w:szCs w:val="18"/>
        </w:rPr>
        <w:footnoteRef/>
      </w:r>
      <w:r w:rsidRPr="00E658D3">
        <w:rPr>
          <w:sz w:val="18"/>
          <w:szCs w:val="18"/>
        </w:rPr>
        <w:t xml:space="preserve"> </w:t>
      </w:r>
      <w:r w:rsidR="00E658D3" w:rsidRPr="00E658D3">
        <w:rPr>
          <w:sz w:val="18"/>
          <w:szCs w:val="18"/>
        </w:rPr>
        <w:t xml:space="preserve">World Health Organisation (2018), </w:t>
      </w:r>
      <w:r w:rsidR="00E658D3" w:rsidRPr="00E658D3">
        <w:rPr>
          <w:i/>
          <w:sz w:val="18"/>
          <w:szCs w:val="18"/>
        </w:rPr>
        <w:t>Female Genital Mutilation</w:t>
      </w:r>
      <w:r w:rsidR="005A37E0">
        <w:rPr>
          <w:sz w:val="18"/>
          <w:szCs w:val="18"/>
        </w:rPr>
        <w:t>.</w:t>
      </w:r>
    </w:p>
  </w:footnote>
  <w:footnote w:id="82">
    <w:p w14:paraId="1841619C" w14:textId="39754ABE" w:rsidR="002E4A35" w:rsidRPr="002E4A35" w:rsidRDefault="002E4A35">
      <w:pPr>
        <w:pStyle w:val="FootnoteText"/>
        <w:rPr>
          <w:sz w:val="18"/>
          <w:szCs w:val="18"/>
        </w:rPr>
      </w:pPr>
      <w:r w:rsidRPr="002E4A35">
        <w:rPr>
          <w:rStyle w:val="FootnoteReference"/>
          <w:sz w:val="18"/>
          <w:szCs w:val="18"/>
        </w:rPr>
        <w:footnoteRef/>
      </w:r>
      <w:r w:rsidRPr="002E4A35">
        <w:rPr>
          <w:sz w:val="18"/>
          <w:szCs w:val="18"/>
        </w:rPr>
        <w:t xml:space="preserve"> </w:t>
      </w:r>
      <w:r w:rsidR="008074DE" w:rsidRPr="008074DE">
        <w:rPr>
          <w:sz w:val="18"/>
          <w:szCs w:val="18"/>
        </w:rPr>
        <w:t>Abdel-Latif, O. (2008), ‘In the Shadow of the Brothers’, p.1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F72"/>
    <w:rsid w:val="00000B18"/>
    <w:rsid w:val="00002875"/>
    <w:rsid w:val="0001527C"/>
    <w:rsid w:val="000165EA"/>
    <w:rsid w:val="000224CF"/>
    <w:rsid w:val="00023F4B"/>
    <w:rsid w:val="000246C7"/>
    <w:rsid w:val="00050508"/>
    <w:rsid w:val="00051269"/>
    <w:rsid w:val="00052CA8"/>
    <w:rsid w:val="0007582A"/>
    <w:rsid w:val="00075E0A"/>
    <w:rsid w:val="00092047"/>
    <w:rsid w:val="000A10D7"/>
    <w:rsid w:val="000B5AF6"/>
    <w:rsid w:val="000C09D8"/>
    <w:rsid w:val="000C614E"/>
    <w:rsid w:val="000D0E7F"/>
    <w:rsid w:val="000D58CD"/>
    <w:rsid w:val="000D7185"/>
    <w:rsid w:val="000D7586"/>
    <w:rsid w:val="000E5C71"/>
    <w:rsid w:val="000F391F"/>
    <w:rsid w:val="000F72E2"/>
    <w:rsid w:val="001033CD"/>
    <w:rsid w:val="001037FC"/>
    <w:rsid w:val="00107AA8"/>
    <w:rsid w:val="00111842"/>
    <w:rsid w:val="0012129D"/>
    <w:rsid w:val="001271DA"/>
    <w:rsid w:val="00133118"/>
    <w:rsid w:val="001401C3"/>
    <w:rsid w:val="00141D14"/>
    <w:rsid w:val="00150105"/>
    <w:rsid w:val="00161AE8"/>
    <w:rsid w:val="00164AFA"/>
    <w:rsid w:val="0017667D"/>
    <w:rsid w:val="00192E87"/>
    <w:rsid w:val="001975A8"/>
    <w:rsid w:val="001A3CFD"/>
    <w:rsid w:val="001A6D07"/>
    <w:rsid w:val="001B2781"/>
    <w:rsid w:val="001C23C0"/>
    <w:rsid w:val="001D052D"/>
    <w:rsid w:val="001E18BC"/>
    <w:rsid w:val="001E401C"/>
    <w:rsid w:val="001E5858"/>
    <w:rsid w:val="001E5A15"/>
    <w:rsid w:val="001E7261"/>
    <w:rsid w:val="001E72FD"/>
    <w:rsid w:val="001F36AF"/>
    <w:rsid w:val="001F6D5D"/>
    <w:rsid w:val="002014BB"/>
    <w:rsid w:val="0020327D"/>
    <w:rsid w:val="00206403"/>
    <w:rsid w:val="0021053C"/>
    <w:rsid w:val="0021564F"/>
    <w:rsid w:val="00220735"/>
    <w:rsid w:val="0022516B"/>
    <w:rsid w:val="0022647A"/>
    <w:rsid w:val="00230484"/>
    <w:rsid w:val="002351EB"/>
    <w:rsid w:val="0024086A"/>
    <w:rsid w:val="002420AA"/>
    <w:rsid w:val="0024405D"/>
    <w:rsid w:val="0024640F"/>
    <w:rsid w:val="002477F2"/>
    <w:rsid w:val="002502BB"/>
    <w:rsid w:val="00252F75"/>
    <w:rsid w:val="00265CD5"/>
    <w:rsid w:val="00270830"/>
    <w:rsid w:val="00271A79"/>
    <w:rsid w:val="00272658"/>
    <w:rsid w:val="0027535A"/>
    <w:rsid w:val="00282D48"/>
    <w:rsid w:val="00295DB4"/>
    <w:rsid w:val="00296113"/>
    <w:rsid w:val="002A19E2"/>
    <w:rsid w:val="002A7107"/>
    <w:rsid w:val="002A7C2E"/>
    <w:rsid w:val="002B4D79"/>
    <w:rsid w:val="002C19FD"/>
    <w:rsid w:val="002D03D2"/>
    <w:rsid w:val="002D62BA"/>
    <w:rsid w:val="002D6D0D"/>
    <w:rsid w:val="002E1761"/>
    <w:rsid w:val="002E496F"/>
    <w:rsid w:val="002E4A35"/>
    <w:rsid w:val="002F037C"/>
    <w:rsid w:val="002F40C3"/>
    <w:rsid w:val="003004B3"/>
    <w:rsid w:val="00301594"/>
    <w:rsid w:val="00301C37"/>
    <w:rsid w:val="0031067C"/>
    <w:rsid w:val="00317D75"/>
    <w:rsid w:val="00324F0D"/>
    <w:rsid w:val="00333CAB"/>
    <w:rsid w:val="003366B0"/>
    <w:rsid w:val="00340577"/>
    <w:rsid w:val="003432D9"/>
    <w:rsid w:val="00345939"/>
    <w:rsid w:val="00357788"/>
    <w:rsid w:val="003634A3"/>
    <w:rsid w:val="00364396"/>
    <w:rsid w:val="003754DE"/>
    <w:rsid w:val="00375B52"/>
    <w:rsid w:val="003934C2"/>
    <w:rsid w:val="00393D8F"/>
    <w:rsid w:val="00395D3C"/>
    <w:rsid w:val="003A03DC"/>
    <w:rsid w:val="003B1F66"/>
    <w:rsid w:val="003B436D"/>
    <w:rsid w:val="003C30BD"/>
    <w:rsid w:val="003C457D"/>
    <w:rsid w:val="003C4ACD"/>
    <w:rsid w:val="003D501B"/>
    <w:rsid w:val="003D5452"/>
    <w:rsid w:val="003E3382"/>
    <w:rsid w:val="003E6FD9"/>
    <w:rsid w:val="003F2034"/>
    <w:rsid w:val="003F29BD"/>
    <w:rsid w:val="0040092B"/>
    <w:rsid w:val="0040557B"/>
    <w:rsid w:val="00420964"/>
    <w:rsid w:val="004226C0"/>
    <w:rsid w:val="004403D8"/>
    <w:rsid w:val="00442D10"/>
    <w:rsid w:val="00445FC6"/>
    <w:rsid w:val="004504A9"/>
    <w:rsid w:val="00451549"/>
    <w:rsid w:val="00453817"/>
    <w:rsid w:val="004600B7"/>
    <w:rsid w:val="00460546"/>
    <w:rsid w:val="00463F54"/>
    <w:rsid w:val="00465DEC"/>
    <w:rsid w:val="00476995"/>
    <w:rsid w:val="00484EEA"/>
    <w:rsid w:val="00493E6C"/>
    <w:rsid w:val="004A0A9D"/>
    <w:rsid w:val="004A212E"/>
    <w:rsid w:val="004B0C3C"/>
    <w:rsid w:val="004B625A"/>
    <w:rsid w:val="004C179C"/>
    <w:rsid w:val="004C3F94"/>
    <w:rsid w:val="004D24FE"/>
    <w:rsid w:val="004D7183"/>
    <w:rsid w:val="004E157A"/>
    <w:rsid w:val="004F1C47"/>
    <w:rsid w:val="0050315C"/>
    <w:rsid w:val="005248CB"/>
    <w:rsid w:val="00527514"/>
    <w:rsid w:val="00533C94"/>
    <w:rsid w:val="00535B17"/>
    <w:rsid w:val="00547C94"/>
    <w:rsid w:val="005528BF"/>
    <w:rsid w:val="005567EC"/>
    <w:rsid w:val="00564930"/>
    <w:rsid w:val="005671E6"/>
    <w:rsid w:val="0057179B"/>
    <w:rsid w:val="005763D2"/>
    <w:rsid w:val="00582B38"/>
    <w:rsid w:val="00582DA3"/>
    <w:rsid w:val="00584ED1"/>
    <w:rsid w:val="005A37E0"/>
    <w:rsid w:val="005B57B3"/>
    <w:rsid w:val="005B6AF0"/>
    <w:rsid w:val="005B7DFB"/>
    <w:rsid w:val="005C217B"/>
    <w:rsid w:val="005C26C6"/>
    <w:rsid w:val="005C7B79"/>
    <w:rsid w:val="005D2A1C"/>
    <w:rsid w:val="005D35CB"/>
    <w:rsid w:val="005D6780"/>
    <w:rsid w:val="005E2AC2"/>
    <w:rsid w:val="005E7A3E"/>
    <w:rsid w:val="005F2159"/>
    <w:rsid w:val="00610E2A"/>
    <w:rsid w:val="006144D3"/>
    <w:rsid w:val="00623C48"/>
    <w:rsid w:val="0062446B"/>
    <w:rsid w:val="0062669B"/>
    <w:rsid w:val="006346AF"/>
    <w:rsid w:val="00634E16"/>
    <w:rsid w:val="00636923"/>
    <w:rsid w:val="0064566E"/>
    <w:rsid w:val="00661018"/>
    <w:rsid w:val="006617D8"/>
    <w:rsid w:val="006656AB"/>
    <w:rsid w:val="00682B80"/>
    <w:rsid w:val="00685E2D"/>
    <w:rsid w:val="00691A67"/>
    <w:rsid w:val="006939F3"/>
    <w:rsid w:val="006A0442"/>
    <w:rsid w:val="006A0AE6"/>
    <w:rsid w:val="006A1B20"/>
    <w:rsid w:val="006B1C14"/>
    <w:rsid w:val="006B2EA7"/>
    <w:rsid w:val="006C1859"/>
    <w:rsid w:val="006C1EAF"/>
    <w:rsid w:val="006C5589"/>
    <w:rsid w:val="006D3BA8"/>
    <w:rsid w:val="006E214C"/>
    <w:rsid w:val="007077C1"/>
    <w:rsid w:val="00714FDC"/>
    <w:rsid w:val="00717BDA"/>
    <w:rsid w:val="00726FF4"/>
    <w:rsid w:val="007331A8"/>
    <w:rsid w:val="00733977"/>
    <w:rsid w:val="00741F93"/>
    <w:rsid w:val="00742A39"/>
    <w:rsid w:val="0074432C"/>
    <w:rsid w:val="00757B50"/>
    <w:rsid w:val="007669B2"/>
    <w:rsid w:val="0077423B"/>
    <w:rsid w:val="0077473B"/>
    <w:rsid w:val="00784F48"/>
    <w:rsid w:val="00791619"/>
    <w:rsid w:val="007D5C86"/>
    <w:rsid w:val="007E15F6"/>
    <w:rsid w:val="007E7AAD"/>
    <w:rsid w:val="007F3AA6"/>
    <w:rsid w:val="007F4CFA"/>
    <w:rsid w:val="00802850"/>
    <w:rsid w:val="008074DE"/>
    <w:rsid w:val="00815DF1"/>
    <w:rsid w:val="008167DF"/>
    <w:rsid w:val="00825F30"/>
    <w:rsid w:val="008304E2"/>
    <w:rsid w:val="00831D35"/>
    <w:rsid w:val="0084170D"/>
    <w:rsid w:val="00841A3A"/>
    <w:rsid w:val="008463DA"/>
    <w:rsid w:val="00853407"/>
    <w:rsid w:val="00876A2F"/>
    <w:rsid w:val="00877BA3"/>
    <w:rsid w:val="00880743"/>
    <w:rsid w:val="00886FC7"/>
    <w:rsid w:val="00890EF8"/>
    <w:rsid w:val="0089359D"/>
    <w:rsid w:val="008B117C"/>
    <w:rsid w:val="008B1236"/>
    <w:rsid w:val="008B2DE3"/>
    <w:rsid w:val="008B35E9"/>
    <w:rsid w:val="008B3DCA"/>
    <w:rsid w:val="008B6A72"/>
    <w:rsid w:val="008C40E7"/>
    <w:rsid w:val="008C647B"/>
    <w:rsid w:val="008D0B40"/>
    <w:rsid w:val="008D4149"/>
    <w:rsid w:val="008E5FD1"/>
    <w:rsid w:val="008F485E"/>
    <w:rsid w:val="008F770D"/>
    <w:rsid w:val="00903422"/>
    <w:rsid w:val="009071CF"/>
    <w:rsid w:val="00910632"/>
    <w:rsid w:val="00911A34"/>
    <w:rsid w:val="00915339"/>
    <w:rsid w:val="0091736F"/>
    <w:rsid w:val="009253CF"/>
    <w:rsid w:val="00926E46"/>
    <w:rsid w:val="0092749D"/>
    <w:rsid w:val="00927FBA"/>
    <w:rsid w:val="009310A2"/>
    <w:rsid w:val="00947B02"/>
    <w:rsid w:val="009621FD"/>
    <w:rsid w:val="00974508"/>
    <w:rsid w:val="009769E8"/>
    <w:rsid w:val="00980062"/>
    <w:rsid w:val="00984497"/>
    <w:rsid w:val="00991987"/>
    <w:rsid w:val="009925C3"/>
    <w:rsid w:val="009972BE"/>
    <w:rsid w:val="009A41AD"/>
    <w:rsid w:val="009A4284"/>
    <w:rsid w:val="009A7D7C"/>
    <w:rsid w:val="009B0813"/>
    <w:rsid w:val="009C130F"/>
    <w:rsid w:val="009C14B6"/>
    <w:rsid w:val="009C61F9"/>
    <w:rsid w:val="009D553F"/>
    <w:rsid w:val="009D68DB"/>
    <w:rsid w:val="009E65EF"/>
    <w:rsid w:val="009F2294"/>
    <w:rsid w:val="009F461F"/>
    <w:rsid w:val="00A04A2C"/>
    <w:rsid w:val="00A10537"/>
    <w:rsid w:val="00A16991"/>
    <w:rsid w:val="00A205C3"/>
    <w:rsid w:val="00A2062D"/>
    <w:rsid w:val="00A22537"/>
    <w:rsid w:val="00A26075"/>
    <w:rsid w:val="00A260C4"/>
    <w:rsid w:val="00A26B77"/>
    <w:rsid w:val="00A3184B"/>
    <w:rsid w:val="00A320BB"/>
    <w:rsid w:val="00A32966"/>
    <w:rsid w:val="00A353CA"/>
    <w:rsid w:val="00A61A61"/>
    <w:rsid w:val="00A71645"/>
    <w:rsid w:val="00A841C0"/>
    <w:rsid w:val="00A87E8D"/>
    <w:rsid w:val="00A94C7C"/>
    <w:rsid w:val="00A96C0A"/>
    <w:rsid w:val="00AA0529"/>
    <w:rsid w:val="00AA35E7"/>
    <w:rsid w:val="00AA7FFB"/>
    <w:rsid w:val="00AB1925"/>
    <w:rsid w:val="00AB5130"/>
    <w:rsid w:val="00AB5385"/>
    <w:rsid w:val="00AD13F6"/>
    <w:rsid w:val="00AD4AEB"/>
    <w:rsid w:val="00AD553D"/>
    <w:rsid w:val="00AD66A5"/>
    <w:rsid w:val="00AE49B7"/>
    <w:rsid w:val="00AF2221"/>
    <w:rsid w:val="00AF525D"/>
    <w:rsid w:val="00B02C66"/>
    <w:rsid w:val="00B044A6"/>
    <w:rsid w:val="00B06615"/>
    <w:rsid w:val="00B22F4F"/>
    <w:rsid w:val="00B23161"/>
    <w:rsid w:val="00B317CF"/>
    <w:rsid w:val="00B355FA"/>
    <w:rsid w:val="00B529AC"/>
    <w:rsid w:val="00B54CC1"/>
    <w:rsid w:val="00B57375"/>
    <w:rsid w:val="00B65F32"/>
    <w:rsid w:val="00B663F5"/>
    <w:rsid w:val="00B66CB0"/>
    <w:rsid w:val="00B72CB6"/>
    <w:rsid w:val="00B75D41"/>
    <w:rsid w:val="00B80B90"/>
    <w:rsid w:val="00B80E55"/>
    <w:rsid w:val="00B85EF6"/>
    <w:rsid w:val="00B95F72"/>
    <w:rsid w:val="00B96F12"/>
    <w:rsid w:val="00BA3CB4"/>
    <w:rsid w:val="00BA42A0"/>
    <w:rsid w:val="00BA6304"/>
    <w:rsid w:val="00BB00C6"/>
    <w:rsid w:val="00BB0C66"/>
    <w:rsid w:val="00BC1423"/>
    <w:rsid w:val="00BC457B"/>
    <w:rsid w:val="00BC5668"/>
    <w:rsid w:val="00BD6C5E"/>
    <w:rsid w:val="00BE081C"/>
    <w:rsid w:val="00BE3E64"/>
    <w:rsid w:val="00BF3814"/>
    <w:rsid w:val="00BF53A7"/>
    <w:rsid w:val="00C00DC2"/>
    <w:rsid w:val="00C04B9E"/>
    <w:rsid w:val="00C04EA5"/>
    <w:rsid w:val="00C05082"/>
    <w:rsid w:val="00C062E7"/>
    <w:rsid w:val="00C11650"/>
    <w:rsid w:val="00C1299B"/>
    <w:rsid w:val="00C22105"/>
    <w:rsid w:val="00C34CAA"/>
    <w:rsid w:val="00C35EAF"/>
    <w:rsid w:val="00C426EF"/>
    <w:rsid w:val="00C43E79"/>
    <w:rsid w:val="00C478F9"/>
    <w:rsid w:val="00C54963"/>
    <w:rsid w:val="00C65DCF"/>
    <w:rsid w:val="00C761AC"/>
    <w:rsid w:val="00C97D4B"/>
    <w:rsid w:val="00CA207A"/>
    <w:rsid w:val="00CB1A27"/>
    <w:rsid w:val="00CB3AFF"/>
    <w:rsid w:val="00CB7A6A"/>
    <w:rsid w:val="00CC11DF"/>
    <w:rsid w:val="00CC14C7"/>
    <w:rsid w:val="00CC6A97"/>
    <w:rsid w:val="00CF1D07"/>
    <w:rsid w:val="00CF575E"/>
    <w:rsid w:val="00CF5E74"/>
    <w:rsid w:val="00D03CFA"/>
    <w:rsid w:val="00D06D23"/>
    <w:rsid w:val="00D07DDB"/>
    <w:rsid w:val="00D143C4"/>
    <w:rsid w:val="00D1528E"/>
    <w:rsid w:val="00D222D5"/>
    <w:rsid w:val="00D37A2A"/>
    <w:rsid w:val="00D43AB8"/>
    <w:rsid w:val="00D53559"/>
    <w:rsid w:val="00D63D6A"/>
    <w:rsid w:val="00D65EEB"/>
    <w:rsid w:val="00D75D7B"/>
    <w:rsid w:val="00D778C6"/>
    <w:rsid w:val="00D84F98"/>
    <w:rsid w:val="00D85410"/>
    <w:rsid w:val="00D90F11"/>
    <w:rsid w:val="00DB560E"/>
    <w:rsid w:val="00DC0776"/>
    <w:rsid w:val="00DC1687"/>
    <w:rsid w:val="00DC2E79"/>
    <w:rsid w:val="00DC3333"/>
    <w:rsid w:val="00DC3857"/>
    <w:rsid w:val="00DD062D"/>
    <w:rsid w:val="00DE31FD"/>
    <w:rsid w:val="00DE3749"/>
    <w:rsid w:val="00DE3ACD"/>
    <w:rsid w:val="00DE69EB"/>
    <w:rsid w:val="00DF0024"/>
    <w:rsid w:val="00DF01C8"/>
    <w:rsid w:val="00DF3E56"/>
    <w:rsid w:val="00DF61AA"/>
    <w:rsid w:val="00DF6593"/>
    <w:rsid w:val="00E01279"/>
    <w:rsid w:val="00E152E5"/>
    <w:rsid w:val="00E218D5"/>
    <w:rsid w:val="00E35356"/>
    <w:rsid w:val="00E43B7E"/>
    <w:rsid w:val="00E53B3E"/>
    <w:rsid w:val="00E56779"/>
    <w:rsid w:val="00E5722A"/>
    <w:rsid w:val="00E658D3"/>
    <w:rsid w:val="00E75215"/>
    <w:rsid w:val="00E778A7"/>
    <w:rsid w:val="00E80E7C"/>
    <w:rsid w:val="00E82F66"/>
    <w:rsid w:val="00E83F90"/>
    <w:rsid w:val="00E92667"/>
    <w:rsid w:val="00E94719"/>
    <w:rsid w:val="00EA09A6"/>
    <w:rsid w:val="00EB0CE0"/>
    <w:rsid w:val="00EB28DC"/>
    <w:rsid w:val="00EB2EB2"/>
    <w:rsid w:val="00EB2F0F"/>
    <w:rsid w:val="00EC1EB3"/>
    <w:rsid w:val="00EC2CC2"/>
    <w:rsid w:val="00EC48BB"/>
    <w:rsid w:val="00EC7E88"/>
    <w:rsid w:val="00ED63CC"/>
    <w:rsid w:val="00ED6CAC"/>
    <w:rsid w:val="00ED6EB8"/>
    <w:rsid w:val="00EE2183"/>
    <w:rsid w:val="00EE49C3"/>
    <w:rsid w:val="00EE5592"/>
    <w:rsid w:val="00EF3B6D"/>
    <w:rsid w:val="00F14F0E"/>
    <w:rsid w:val="00F202EB"/>
    <w:rsid w:val="00F22172"/>
    <w:rsid w:val="00F27FEA"/>
    <w:rsid w:val="00F30A32"/>
    <w:rsid w:val="00F326F2"/>
    <w:rsid w:val="00F40D0B"/>
    <w:rsid w:val="00F45662"/>
    <w:rsid w:val="00F861A5"/>
    <w:rsid w:val="00F96B71"/>
    <w:rsid w:val="00F97D69"/>
    <w:rsid w:val="00FA7E44"/>
    <w:rsid w:val="00FD1ECD"/>
    <w:rsid w:val="00FE6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2B5DA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2875"/>
    <w:rPr>
      <w:color w:val="0563C1" w:themeColor="hyperlink"/>
      <w:u w:val="single"/>
    </w:rPr>
  </w:style>
  <w:style w:type="paragraph" w:styleId="FootnoteText">
    <w:name w:val="footnote text"/>
    <w:basedOn w:val="Normal"/>
    <w:link w:val="FootnoteTextChar"/>
    <w:uiPriority w:val="99"/>
    <w:unhideWhenUsed/>
    <w:rsid w:val="00050508"/>
  </w:style>
  <w:style w:type="character" w:customStyle="1" w:styleId="FootnoteTextChar">
    <w:name w:val="Footnote Text Char"/>
    <w:basedOn w:val="DefaultParagraphFont"/>
    <w:link w:val="FootnoteText"/>
    <w:uiPriority w:val="99"/>
    <w:rsid w:val="00050508"/>
    <w:rPr>
      <w:lang w:val="en-GB"/>
    </w:rPr>
  </w:style>
  <w:style w:type="character" w:styleId="FootnoteReference">
    <w:name w:val="footnote reference"/>
    <w:basedOn w:val="DefaultParagraphFont"/>
    <w:uiPriority w:val="99"/>
    <w:unhideWhenUsed/>
    <w:rsid w:val="00050508"/>
    <w:rPr>
      <w:vertAlign w:val="superscript"/>
    </w:rPr>
  </w:style>
  <w:style w:type="paragraph" w:styleId="EndnoteText">
    <w:name w:val="endnote text"/>
    <w:basedOn w:val="Normal"/>
    <w:link w:val="EndnoteTextChar"/>
    <w:uiPriority w:val="99"/>
    <w:unhideWhenUsed/>
    <w:rsid w:val="00301C37"/>
  </w:style>
  <w:style w:type="character" w:customStyle="1" w:styleId="EndnoteTextChar">
    <w:name w:val="Endnote Text Char"/>
    <w:basedOn w:val="DefaultParagraphFont"/>
    <w:link w:val="EndnoteText"/>
    <w:uiPriority w:val="99"/>
    <w:rsid w:val="00301C37"/>
    <w:rPr>
      <w:lang w:val="en-GB"/>
    </w:rPr>
  </w:style>
  <w:style w:type="character" w:styleId="EndnoteReference">
    <w:name w:val="endnote reference"/>
    <w:basedOn w:val="DefaultParagraphFont"/>
    <w:uiPriority w:val="99"/>
    <w:unhideWhenUsed/>
    <w:rsid w:val="00301C37"/>
    <w:rPr>
      <w:vertAlign w:val="superscript"/>
    </w:rPr>
  </w:style>
  <w:style w:type="character" w:styleId="FollowedHyperlink">
    <w:name w:val="FollowedHyperlink"/>
    <w:basedOn w:val="DefaultParagraphFont"/>
    <w:uiPriority w:val="99"/>
    <w:semiHidden/>
    <w:unhideWhenUsed/>
    <w:rsid w:val="00B54CC1"/>
    <w:rPr>
      <w:color w:val="954F72" w:themeColor="followedHyperlink"/>
      <w:u w:val="single"/>
    </w:rPr>
  </w:style>
  <w:style w:type="paragraph" w:styleId="Footer">
    <w:name w:val="footer"/>
    <w:basedOn w:val="Normal"/>
    <w:link w:val="FooterChar"/>
    <w:uiPriority w:val="99"/>
    <w:unhideWhenUsed/>
    <w:rsid w:val="009B0813"/>
    <w:pPr>
      <w:tabs>
        <w:tab w:val="center" w:pos="4513"/>
        <w:tab w:val="right" w:pos="9026"/>
      </w:tabs>
    </w:pPr>
  </w:style>
  <w:style w:type="character" w:customStyle="1" w:styleId="FooterChar">
    <w:name w:val="Footer Char"/>
    <w:basedOn w:val="DefaultParagraphFont"/>
    <w:link w:val="Footer"/>
    <w:uiPriority w:val="99"/>
    <w:rsid w:val="009B0813"/>
    <w:rPr>
      <w:lang w:val="en-GB"/>
    </w:rPr>
  </w:style>
  <w:style w:type="character" w:styleId="PageNumber">
    <w:name w:val="page number"/>
    <w:basedOn w:val="DefaultParagraphFont"/>
    <w:uiPriority w:val="99"/>
    <w:semiHidden/>
    <w:unhideWhenUsed/>
    <w:rsid w:val="009B0813"/>
  </w:style>
  <w:style w:type="paragraph" w:styleId="Header">
    <w:name w:val="header"/>
    <w:basedOn w:val="Normal"/>
    <w:link w:val="HeaderChar"/>
    <w:uiPriority w:val="99"/>
    <w:unhideWhenUsed/>
    <w:rsid w:val="00252F75"/>
    <w:pPr>
      <w:tabs>
        <w:tab w:val="center" w:pos="4513"/>
        <w:tab w:val="right" w:pos="9026"/>
      </w:tabs>
    </w:pPr>
  </w:style>
  <w:style w:type="character" w:customStyle="1" w:styleId="HeaderChar">
    <w:name w:val="Header Char"/>
    <w:basedOn w:val="DefaultParagraphFont"/>
    <w:link w:val="Header"/>
    <w:uiPriority w:val="99"/>
    <w:rsid w:val="00252F75"/>
    <w:rPr>
      <w:lang w:val="en-GB"/>
    </w:rPr>
  </w:style>
  <w:style w:type="paragraph" w:styleId="DocumentMap">
    <w:name w:val="Document Map"/>
    <w:basedOn w:val="Normal"/>
    <w:link w:val="DocumentMapChar"/>
    <w:uiPriority w:val="99"/>
    <w:semiHidden/>
    <w:unhideWhenUsed/>
    <w:rsid w:val="005248CB"/>
    <w:rPr>
      <w:rFonts w:ascii="Times New Roman" w:hAnsi="Times New Roman" w:cs="Times New Roman"/>
    </w:rPr>
  </w:style>
  <w:style w:type="character" w:customStyle="1" w:styleId="DocumentMapChar">
    <w:name w:val="Document Map Char"/>
    <w:basedOn w:val="DefaultParagraphFont"/>
    <w:link w:val="DocumentMap"/>
    <w:uiPriority w:val="99"/>
    <w:semiHidden/>
    <w:rsid w:val="005248CB"/>
    <w:rPr>
      <w:rFonts w:ascii="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27CCC8F-3BEE-0940-8547-C6C8A071C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11</Pages>
  <Words>4062</Words>
  <Characters>20432</Characters>
  <Application>Microsoft Macintosh Word</Application>
  <DocSecurity>0</DocSecurity>
  <Lines>324</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Wakefield (1500651)</dc:creator>
  <cp:keywords/>
  <dc:description/>
  <cp:lastModifiedBy>Daisy Wakefield (1500651)</cp:lastModifiedBy>
  <cp:revision>38</cp:revision>
  <dcterms:created xsi:type="dcterms:W3CDTF">2018-03-25T20:14:00Z</dcterms:created>
  <dcterms:modified xsi:type="dcterms:W3CDTF">2018-03-27T21:07:00Z</dcterms:modified>
</cp:coreProperties>
</file>