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9528" w14:textId="5205C6FF" w:rsidR="00967AB2" w:rsidRDefault="00A96F27" w:rsidP="008D26B1">
      <w:pPr>
        <w:rPr>
          <w:rFonts w:ascii="Arial" w:hAnsi="Arial" w:cs="Arial"/>
        </w:rPr>
      </w:pPr>
      <w:r>
        <w:rPr>
          <w:rFonts w:ascii="Arial" w:hAnsi="Arial" w:cs="Arial"/>
          <w:noProof/>
        </w:rPr>
        <w:drawing>
          <wp:anchor distT="0" distB="0" distL="114300" distR="114300" simplePos="0" relativeHeight="251658240" behindDoc="1" locked="0" layoutInCell="1" allowOverlap="1" wp14:anchorId="5227930F" wp14:editId="4B926B7D">
            <wp:simplePos x="0" y="0"/>
            <wp:positionH relativeFrom="margin">
              <wp:align>center</wp:align>
            </wp:positionH>
            <wp:positionV relativeFrom="paragraph">
              <wp:posOffset>0</wp:posOffset>
            </wp:positionV>
            <wp:extent cx="2859405" cy="2859405"/>
            <wp:effectExtent l="0" t="0" r="0" b="0"/>
            <wp:wrapTight wrapText="bothSides">
              <wp:wrapPolygon edited="0">
                <wp:start x="0" y="0"/>
                <wp:lineTo x="0" y="21442"/>
                <wp:lineTo x="21442" y="21442"/>
                <wp:lineTo x="21442" y="0"/>
                <wp:lineTo x="0" y="0"/>
              </wp:wrapPolygon>
            </wp:wrapTight>
            <wp:docPr id="20110891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2859405"/>
                    </a:xfrm>
                    <a:prstGeom prst="rect">
                      <a:avLst/>
                    </a:prstGeom>
                    <a:noFill/>
                  </pic:spPr>
                </pic:pic>
              </a:graphicData>
            </a:graphic>
          </wp:anchor>
        </w:drawing>
      </w:r>
    </w:p>
    <w:p w14:paraId="347793E8" w14:textId="32B44A96" w:rsidR="00967AB2" w:rsidRDefault="00967AB2" w:rsidP="008D26B1">
      <w:pPr>
        <w:rPr>
          <w:rFonts w:ascii="Arial" w:hAnsi="Arial" w:cs="Arial"/>
        </w:rPr>
      </w:pPr>
    </w:p>
    <w:p w14:paraId="76AB0A01" w14:textId="77777777" w:rsidR="00A96F27" w:rsidRDefault="00A96F27" w:rsidP="00A96F27">
      <w:pPr>
        <w:rPr>
          <w:rFonts w:ascii="Arial" w:hAnsi="Arial" w:cs="Arial"/>
        </w:rPr>
      </w:pPr>
      <w:r w:rsidRPr="00A96F27">
        <w:rPr>
          <w:rFonts w:ascii="Arial" w:hAnsi="Arial" w:cs="Arial"/>
        </w:rPr>
        <w:t xml:space="preserve"> </w:t>
      </w:r>
    </w:p>
    <w:p w14:paraId="49A7C687" w14:textId="77777777" w:rsidR="00A96F27" w:rsidRDefault="00A96F27" w:rsidP="00A96F27">
      <w:pPr>
        <w:rPr>
          <w:rFonts w:ascii="Arial" w:hAnsi="Arial" w:cs="Arial"/>
        </w:rPr>
      </w:pPr>
    </w:p>
    <w:p w14:paraId="4C46FBEF" w14:textId="77777777" w:rsidR="00A96F27" w:rsidRDefault="00A96F27" w:rsidP="00A96F27">
      <w:pPr>
        <w:rPr>
          <w:rFonts w:ascii="Arial" w:hAnsi="Arial" w:cs="Arial"/>
        </w:rPr>
      </w:pPr>
    </w:p>
    <w:p w14:paraId="47F15FB6" w14:textId="77777777" w:rsidR="00A96F27" w:rsidRDefault="00A96F27" w:rsidP="00A96F27">
      <w:pPr>
        <w:rPr>
          <w:rFonts w:ascii="Arial" w:hAnsi="Arial" w:cs="Arial"/>
        </w:rPr>
      </w:pPr>
    </w:p>
    <w:p w14:paraId="7CEE8F38" w14:textId="77777777" w:rsidR="00A96F27" w:rsidRDefault="00A96F27" w:rsidP="00A96F27">
      <w:pPr>
        <w:rPr>
          <w:rFonts w:ascii="Arial" w:hAnsi="Arial" w:cs="Arial"/>
        </w:rPr>
      </w:pPr>
    </w:p>
    <w:p w14:paraId="03396EB9" w14:textId="77777777" w:rsidR="00A96F27" w:rsidRDefault="00A96F27" w:rsidP="00A96F27">
      <w:pPr>
        <w:rPr>
          <w:rFonts w:ascii="Arial" w:hAnsi="Arial" w:cs="Arial"/>
        </w:rPr>
      </w:pPr>
    </w:p>
    <w:p w14:paraId="768263E5" w14:textId="77777777" w:rsidR="00A96F27" w:rsidRDefault="00A96F27" w:rsidP="00A96F27">
      <w:pPr>
        <w:rPr>
          <w:rFonts w:ascii="Arial" w:hAnsi="Arial" w:cs="Arial"/>
        </w:rPr>
      </w:pPr>
    </w:p>
    <w:p w14:paraId="2E0E1956" w14:textId="77777777" w:rsidR="00A96F27" w:rsidRDefault="00A96F27" w:rsidP="00A96F27">
      <w:pPr>
        <w:rPr>
          <w:rFonts w:ascii="Arial" w:hAnsi="Arial" w:cs="Arial"/>
        </w:rPr>
      </w:pPr>
    </w:p>
    <w:p w14:paraId="1155A5C7" w14:textId="0EFDC305" w:rsidR="00A96F27" w:rsidRPr="00A96F27" w:rsidRDefault="00A96F27" w:rsidP="00A96F27">
      <w:pPr>
        <w:pStyle w:val="ListParagraph"/>
        <w:numPr>
          <w:ilvl w:val="0"/>
          <w:numId w:val="1"/>
        </w:numPr>
        <w:rPr>
          <w:rFonts w:ascii="Arial" w:hAnsi="Arial" w:cs="Arial"/>
          <w:b/>
          <w:bCs/>
          <w:u w:val="single"/>
        </w:rPr>
      </w:pPr>
      <w:r w:rsidRPr="00A96F27">
        <w:rPr>
          <w:rFonts w:ascii="Arial" w:hAnsi="Arial" w:cs="Arial"/>
        </w:rPr>
        <w:t xml:space="preserve">Student name: Amina </w:t>
      </w:r>
      <w:r w:rsidR="00976019">
        <w:rPr>
          <w:rFonts w:ascii="Arial" w:hAnsi="Arial" w:cs="Arial"/>
        </w:rPr>
        <w:t>Noor</w:t>
      </w:r>
    </w:p>
    <w:p w14:paraId="1DC56D08" w14:textId="797B3A0E" w:rsidR="00A96F27" w:rsidRPr="00A96F27" w:rsidRDefault="00976019" w:rsidP="00A96F27">
      <w:pPr>
        <w:numPr>
          <w:ilvl w:val="0"/>
          <w:numId w:val="1"/>
        </w:numPr>
        <w:rPr>
          <w:rFonts w:ascii="Arial" w:hAnsi="Arial" w:cs="Arial"/>
        </w:rPr>
      </w:pPr>
      <w:r>
        <w:rPr>
          <w:rFonts w:ascii="Arial" w:hAnsi="Arial" w:cs="Arial"/>
        </w:rPr>
        <w:t>Student ID:</w:t>
      </w:r>
      <w:r w:rsidR="00A96F27" w:rsidRPr="00A96F27">
        <w:rPr>
          <w:rFonts w:ascii="Arial" w:hAnsi="Arial" w:cs="Arial"/>
        </w:rPr>
        <w:t xml:space="preserve"> </w:t>
      </w:r>
      <w:r w:rsidR="0024210A">
        <w:rPr>
          <w:rFonts w:ascii="Arial" w:hAnsi="Arial" w:cs="Arial"/>
        </w:rPr>
        <w:t>2421445</w:t>
      </w:r>
    </w:p>
    <w:p w14:paraId="39F4860D" w14:textId="10F291ED" w:rsidR="00A96F27" w:rsidRPr="00A96F27" w:rsidRDefault="00A96F27" w:rsidP="00A96F27">
      <w:pPr>
        <w:numPr>
          <w:ilvl w:val="0"/>
          <w:numId w:val="1"/>
        </w:numPr>
        <w:rPr>
          <w:rFonts w:ascii="Arial" w:hAnsi="Arial" w:cs="Arial"/>
        </w:rPr>
      </w:pPr>
      <w:r w:rsidRPr="00A96F27">
        <w:rPr>
          <w:rFonts w:ascii="Arial" w:hAnsi="Arial" w:cs="Arial"/>
        </w:rPr>
        <w:t>Module title</w:t>
      </w:r>
      <w:r w:rsidR="00474E81">
        <w:rPr>
          <w:rFonts w:ascii="Arial" w:hAnsi="Arial" w:cs="Arial"/>
        </w:rPr>
        <w:t>:</w:t>
      </w:r>
      <w:r w:rsidR="009C0463" w:rsidRPr="009C0463">
        <w:t xml:space="preserve"> </w:t>
      </w:r>
      <w:r w:rsidR="009C0463" w:rsidRPr="009C0463">
        <w:rPr>
          <w:rFonts w:ascii="Arial" w:hAnsi="Arial" w:cs="Arial"/>
        </w:rPr>
        <w:t>Introduction to Physiology</w:t>
      </w:r>
    </w:p>
    <w:p w14:paraId="0DF1D12E" w14:textId="77777777" w:rsidR="00474E81" w:rsidRDefault="00A96F27" w:rsidP="00A96F27">
      <w:pPr>
        <w:numPr>
          <w:ilvl w:val="0"/>
          <w:numId w:val="1"/>
        </w:numPr>
        <w:rPr>
          <w:rFonts w:ascii="Arial" w:hAnsi="Arial" w:cs="Arial"/>
        </w:rPr>
      </w:pPr>
      <w:r w:rsidRPr="00474E81">
        <w:rPr>
          <w:rFonts w:ascii="Arial" w:hAnsi="Arial" w:cs="Arial"/>
        </w:rPr>
        <w:t xml:space="preserve">Module code: </w:t>
      </w:r>
      <w:r w:rsidR="00474E81" w:rsidRPr="00474E81">
        <w:rPr>
          <w:rFonts w:ascii="Arial" w:hAnsi="Arial" w:cs="Arial"/>
        </w:rPr>
        <w:t>BMHP5023</w:t>
      </w:r>
    </w:p>
    <w:p w14:paraId="2370BB17" w14:textId="42F68E0A" w:rsidR="00A96F27" w:rsidRPr="00474E81" w:rsidRDefault="00A96F27" w:rsidP="00A96F27">
      <w:pPr>
        <w:numPr>
          <w:ilvl w:val="0"/>
          <w:numId w:val="1"/>
        </w:numPr>
        <w:rPr>
          <w:rFonts w:ascii="Arial" w:hAnsi="Arial" w:cs="Arial"/>
        </w:rPr>
      </w:pPr>
      <w:r w:rsidRPr="00474E81">
        <w:rPr>
          <w:rFonts w:ascii="Arial" w:hAnsi="Arial" w:cs="Arial"/>
        </w:rPr>
        <w:t>Assignment title</w:t>
      </w:r>
      <w:r w:rsidR="00EB3734">
        <w:rPr>
          <w:rFonts w:ascii="Arial" w:hAnsi="Arial" w:cs="Arial"/>
        </w:rPr>
        <w:t>:</w:t>
      </w:r>
      <w:r w:rsidRPr="00474E81">
        <w:rPr>
          <w:rFonts w:ascii="Arial" w:hAnsi="Arial" w:cs="Arial"/>
        </w:rPr>
        <w:t xml:space="preserve"> </w:t>
      </w:r>
      <w:r w:rsidR="00EB3734" w:rsidRPr="00EB3734">
        <w:rPr>
          <w:rFonts w:ascii="Arial" w:hAnsi="Arial" w:cs="Arial"/>
        </w:rPr>
        <w:t>Component 1: Written Assignment (Case Study Report)</w:t>
      </w:r>
    </w:p>
    <w:p w14:paraId="36C62AB6" w14:textId="2FE44010" w:rsidR="00A96F27" w:rsidRPr="00A96F27" w:rsidRDefault="00A96F27" w:rsidP="00A96F27">
      <w:pPr>
        <w:numPr>
          <w:ilvl w:val="0"/>
          <w:numId w:val="1"/>
        </w:numPr>
        <w:rPr>
          <w:rFonts w:ascii="Arial" w:hAnsi="Arial" w:cs="Arial"/>
        </w:rPr>
      </w:pPr>
      <w:r w:rsidRPr="00A96F27">
        <w:rPr>
          <w:rFonts w:ascii="Arial" w:hAnsi="Arial" w:cs="Arial"/>
        </w:rPr>
        <w:t xml:space="preserve">Word </w:t>
      </w:r>
      <w:r w:rsidR="00976019">
        <w:rPr>
          <w:rFonts w:ascii="Arial" w:hAnsi="Arial" w:cs="Arial"/>
        </w:rPr>
        <w:t>count: 2</w:t>
      </w:r>
      <w:r w:rsidR="00216057">
        <w:rPr>
          <w:rFonts w:ascii="Arial" w:hAnsi="Arial" w:cs="Arial"/>
        </w:rPr>
        <w:t>557</w:t>
      </w:r>
    </w:p>
    <w:p w14:paraId="34075EC1" w14:textId="6B615B49" w:rsidR="00967AB2" w:rsidRPr="00A96F27" w:rsidRDefault="00967AB2" w:rsidP="008D26B1">
      <w:pPr>
        <w:rPr>
          <w:rFonts w:ascii="Arial" w:hAnsi="Arial" w:cs="Arial"/>
        </w:rPr>
      </w:pPr>
    </w:p>
    <w:p w14:paraId="151ECB9B" w14:textId="77777777" w:rsidR="00967AB2" w:rsidRDefault="00967AB2" w:rsidP="008D26B1">
      <w:pPr>
        <w:rPr>
          <w:rFonts w:ascii="Arial" w:hAnsi="Arial" w:cs="Arial"/>
        </w:rPr>
      </w:pPr>
    </w:p>
    <w:p w14:paraId="131C0510" w14:textId="77777777" w:rsidR="00967AB2" w:rsidRDefault="00967AB2" w:rsidP="008D26B1">
      <w:pPr>
        <w:rPr>
          <w:rFonts w:ascii="Arial" w:hAnsi="Arial" w:cs="Arial"/>
        </w:rPr>
      </w:pPr>
    </w:p>
    <w:p w14:paraId="1CB81F7E" w14:textId="77777777" w:rsidR="00967AB2" w:rsidRDefault="00967AB2" w:rsidP="008D26B1">
      <w:pPr>
        <w:rPr>
          <w:rFonts w:ascii="Arial" w:hAnsi="Arial" w:cs="Arial"/>
        </w:rPr>
      </w:pPr>
    </w:p>
    <w:p w14:paraId="435FF291" w14:textId="77777777" w:rsidR="00967AB2" w:rsidRDefault="00967AB2" w:rsidP="008D26B1">
      <w:pPr>
        <w:rPr>
          <w:rFonts w:ascii="Arial" w:hAnsi="Arial" w:cs="Arial"/>
        </w:rPr>
      </w:pPr>
    </w:p>
    <w:p w14:paraId="63063B5B" w14:textId="77777777" w:rsidR="00967AB2" w:rsidRDefault="00967AB2" w:rsidP="008D26B1">
      <w:pPr>
        <w:rPr>
          <w:rFonts w:ascii="Arial" w:hAnsi="Arial" w:cs="Arial"/>
        </w:rPr>
      </w:pPr>
    </w:p>
    <w:p w14:paraId="43362ADF" w14:textId="77777777" w:rsidR="00967AB2" w:rsidRDefault="00967AB2" w:rsidP="008D26B1">
      <w:pPr>
        <w:rPr>
          <w:rFonts w:ascii="Arial" w:hAnsi="Arial" w:cs="Arial"/>
        </w:rPr>
      </w:pPr>
    </w:p>
    <w:p w14:paraId="54B63BAA" w14:textId="2D5B6E58" w:rsidR="00967AB2" w:rsidRPr="00967AB2" w:rsidRDefault="00A96F27" w:rsidP="00A96F27">
      <w:pPr>
        <w:rPr>
          <w:rFonts w:ascii="Arial" w:hAnsi="Arial" w:cs="Arial"/>
        </w:rPr>
      </w:pPr>
      <w:r>
        <w:rPr>
          <w:rFonts w:ascii="Arial" w:hAnsi="Arial" w:cs="Arial"/>
        </w:rPr>
        <w:t xml:space="preserve">      </w:t>
      </w:r>
    </w:p>
    <w:p w14:paraId="20376D8F" w14:textId="77777777" w:rsidR="00967AB2" w:rsidRDefault="00967AB2">
      <w:pPr>
        <w:rPr>
          <w:rFonts w:ascii="Arial" w:hAnsi="Arial" w:cs="Arial"/>
          <w:sz w:val="32"/>
          <w:szCs w:val="32"/>
        </w:rPr>
      </w:pPr>
      <w:r>
        <w:rPr>
          <w:rFonts w:ascii="Arial" w:hAnsi="Arial" w:cs="Arial"/>
          <w:sz w:val="32"/>
          <w:szCs w:val="32"/>
        </w:rPr>
        <w:br w:type="page"/>
      </w:r>
    </w:p>
    <w:p w14:paraId="486AE612" w14:textId="77777777" w:rsidR="008D26B1" w:rsidRPr="000A3874" w:rsidRDefault="008D26B1" w:rsidP="00967AB2">
      <w:pPr>
        <w:pStyle w:val="ListParagraph"/>
        <w:jc w:val="both"/>
        <w:rPr>
          <w:rFonts w:ascii="Arial" w:hAnsi="Arial" w:cs="Arial"/>
          <w:sz w:val="32"/>
          <w:szCs w:val="32"/>
        </w:rPr>
      </w:pPr>
    </w:p>
    <w:p w14:paraId="2FE40562" w14:textId="7BDAE70B" w:rsidR="00783A3B" w:rsidRDefault="00783A3B">
      <w:pPr>
        <w:rPr>
          <w:rFonts w:ascii="Arial" w:hAnsi="Arial" w:cs="Arial"/>
          <w:b/>
          <w:bCs/>
          <w:color w:val="156082" w:themeColor="accent1"/>
          <w:u w:val="single"/>
        </w:rPr>
      </w:pPr>
    </w:p>
    <w:sdt>
      <w:sdtPr>
        <w:rPr>
          <w:rFonts w:asciiTheme="minorHAnsi" w:eastAsiaTheme="minorHAnsi" w:hAnsiTheme="minorHAnsi" w:cstheme="minorBidi"/>
          <w:color w:val="auto"/>
          <w:kern w:val="2"/>
          <w:sz w:val="24"/>
          <w:szCs w:val="24"/>
          <w:lang w:eastAsia="en-US"/>
          <w14:ligatures w14:val="standardContextual"/>
        </w:rPr>
        <w:id w:val="1771973470"/>
        <w:docPartObj>
          <w:docPartGallery w:val="Table of Contents"/>
          <w:docPartUnique/>
        </w:docPartObj>
      </w:sdtPr>
      <w:sdtEndPr>
        <w:rPr>
          <w:b/>
          <w:bCs/>
        </w:rPr>
      </w:sdtEndPr>
      <w:sdtContent>
        <w:p w14:paraId="6347F30A" w14:textId="43D09ACD" w:rsidR="00513157" w:rsidRDefault="00513157">
          <w:pPr>
            <w:pStyle w:val="TOCHeading"/>
          </w:pPr>
          <w:r>
            <w:t>Table of Contents</w:t>
          </w:r>
        </w:p>
        <w:p w14:paraId="7BEB7D48" w14:textId="18955AF1" w:rsidR="00AD6C7C" w:rsidRDefault="005131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037688" w:history="1">
            <w:r w:rsidR="00AD6C7C" w:rsidRPr="00A23D58">
              <w:rPr>
                <w:rStyle w:val="Hyperlink"/>
                <w:noProof/>
              </w:rPr>
              <w:t>Introduction</w:t>
            </w:r>
            <w:r w:rsidR="00AD6C7C">
              <w:rPr>
                <w:noProof/>
                <w:webHidden/>
              </w:rPr>
              <w:tab/>
            </w:r>
            <w:r w:rsidR="00AD6C7C">
              <w:rPr>
                <w:noProof/>
                <w:webHidden/>
              </w:rPr>
              <w:fldChar w:fldCharType="begin"/>
            </w:r>
            <w:r w:rsidR="00AD6C7C">
              <w:rPr>
                <w:noProof/>
                <w:webHidden/>
              </w:rPr>
              <w:instrText xml:space="preserve"> PAGEREF _Toc242037688 \h </w:instrText>
            </w:r>
            <w:r w:rsidR="00AD6C7C">
              <w:rPr>
                <w:noProof/>
                <w:webHidden/>
              </w:rPr>
            </w:r>
            <w:r w:rsidR="00AD6C7C">
              <w:rPr>
                <w:noProof/>
                <w:webHidden/>
              </w:rPr>
              <w:fldChar w:fldCharType="separate"/>
            </w:r>
            <w:r w:rsidR="00AD6C7C">
              <w:rPr>
                <w:noProof/>
                <w:webHidden/>
              </w:rPr>
              <w:t>3</w:t>
            </w:r>
            <w:r w:rsidR="00AD6C7C">
              <w:rPr>
                <w:noProof/>
                <w:webHidden/>
              </w:rPr>
              <w:fldChar w:fldCharType="end"/>
            </w:r>
          </w:hyperlink>
        </w:p>
        <w:p w14:paraId="14323AEE" w14:textId="74233714" w:rsidR="00AD6C7C" w:rsidRDefault="00AD6C7C">
          <w:pPr>
            <w:pStyle w:val="TOC1"/>
            <w:tabs>
              <w:tab w:val="right" w:leader="dot" w:pos="9016"/>
            </w:tabs>
            <w:rPr>
              <w:rFonts w:eastAsiaTheme="minorEastAsia"/>
              <w:noProof/>
              <w:lang w:eastAsia="en-GB"/>
            </w:rPr>
          </w:pPr>
          <w:hyperlink w:anchor="_Toc242037689" w:history="1">
            <w:r w:rsidRPr="00A23D58">
              <w:rPr>
                <w:rStyle w:val="Hyperlink"/>
                <w:noProof/>
              </w:rPr>
              <w:t>SECTION 1: Anatomy &amp; Physiology</w:t>
            </w:r>
            <w:r>
              <w:rPr>
                <w:noProof/>
                <w:webHidden/>
              </w:rPr>
              <w:tab/>
            </w:r>
            <w:r>
              <w:rPr>
                <w:noProof/>
                <w:webHidden/>
              </w:rPr>
              <w:fldChar w:fldCharType="begin"/>
            </w:r>
            <w:r>
              <w:rPr>
                <w:noProof/>
                <w:webHidden/>
              </w:rPr>
              <w:instrText xml:space="preserve"> PAGEREF _Toc242037689 \h </w:instrText>
            </w:r>
            <w:r>
              <w:rPr>
                <w:noProof/>
                <w:webHidden/>
              </w:rPr>
            </w:r>
            <w:r>
              <w:rPr>
                <w:noProof/>
                <w:webHidden/>
              </w:rPr>
              <w:fldChar w:fldCharType="separate"/>
            </w:r>
            <w:r>
              <w:rPr>
                <w:noProof/>
                <w:webHidden/>
              </w:rPr>
              <w:t>3</w:t>
            </w:r>
            <w:r>
              <w:rPr>
                <w:noProof/>
                <w:webHidden/>
              </w:rPr>
              <w:fldChar w:fldCharType="end"/>
            </w:r>
          </w:hyperlink>
        </w:p>
        <w:p w14:paraId="660B7508" w14:textId="07CD4223" w:rsidR="00AD6C7C" w:rsidRDefault="00AD6C7C">
          <w:pPr>
            <w:pStyle w:val="TOC1"/>
            <w:tabs>
              <w:tab w:val="right" w:leader="dot" w:pos="9016"/>
            </w:tabs>
            <w:rPr>
              <w:rFonts w:eastAsiaTheme="minorEastAsia"/>
              <w:noProof/>
              <w:lang w:eastAsia="en-GB"/>
            </w:rPr>
          </w:pPr>
          <w:hyperlink w:anchor="_Toc242037690" w:history="1">
            <w:r w:rsidRPr="00A23D58">
              <w:rPr>
                <w:rStyle w:val="Hyperlink"/>
                <w:noProof/>
              </w:rPr>
              <w:t>Section 2: Pathophysiology and Impact</w:t>
            </w:r>
            <w:r>
              <w:rPr>
                <w:noProof/>
                <w:webHidden/>
              </w:rPr>
              <w:tab/>
            </w:r>
            <w:r>
              <w:rPr>
                <w:noProof/>
                <w:webHidden/>
              </w:rPr>
              <w:fldChar w:fldCharType="begin"/>
            </w:r>
            <w:r>
              <w:rPr>
                <w:noProof/>
                <w:webHidden/>
              </w:rPr>
              <w:instrText xml:space="preserve"> PAGEREF _Toc242037690 \h </w:instrText>
            </w:r>
            <w:r>
              <w:rPr>
                <w:noProof/>
                <w:webHidden/>
              </w:rPr>
            </w:r>
            <w:r>
              <w:rPr>
                <w:noProof/>
                <w:webHidden/>
              </w:rPr>
              <w:fldChar w:fldCharType="separate"/>
            </w:r>
            <w:r>
              <w:rPr>
                <w:noProof/>
                <w:webHidden/>
              </w:rPr>
              <w:t>5</w:t>
            </w:r>
            <w:r>
              <w:rPr>
                <w:noProof/>
                <w:webHidden/>
              </w:rPr>
              <w:fldChar w:fldCharType="end"/>
            </w:r>
          </w:hyperlink>
        </w:p>
        <w:p w14:paraId="60959310" w14:textId="00261F79" w:rsidR="00AD6C7C" w:rsidRDefault="00AD6C7C">
          <w:pPr>
            <w:pStyle w:val="TOC1"/>
            <w:tabs>
              <w:tab w:val="right" w:leader="dot" w:pos="9016"/>
            </w:tabs>
            <w:rPr>
              <w:rFonts w:eastAsiaTheme="minorEastAsia"/>
              <w:noProof/>
              <w:lang w:eastAsia="en-GB"/>
            </w:rPr>
          </w:pPr>
          <w:hyperlink w:anchor="_Toc242037691" w:history="1">
            <w:r w:rsidRPr="00A23D58">
              <w:rPr>
                <w:rStyle w:val="Hyperlink"/>
                <w:noProof/>
              </w:rPr>
              <w:t>Section 3: Monitoring and Data Use</w:t>
            </w:r>
            <w:r>
              <w:rPr>
                <w:noProof/>
                <w:webHidden/>
              </w:rPr>
              <w:tab/>
            </w:r>
            <w:r>
              <w:rPr>
                <w:noProof/>
                <w:webHidden/>
              </w:rPr>
              <w:fldChar w:fldCharType="begin"/>
            </w:r>
            <w:r>
              <w:rPr>
                <w:noProof/>
                <w:webHidden/>
              </w:rPr>
              <w:instrText xml:space="preserve"> PAGEREF _Toc242037691 \h </w:instrText>
            </w:r>
            <w:r>
              <w:rPr>
                <w:noProof/>
                <w:webHidden/>
              </w:rPr>
            </w:r>
            <w:r>
              <w:rPr>
                <w:noProof/>
                <w:webHidden/>
              </w:rPr>
              <w:fldChar w:fldCharType="separate"/>
            </w:r>
            <w:r>
              <w:rPr>
                <w:noProof/>
                <w:webHidden/>
              </w:rPr>
              <w:t>6</w:t>
            </w:r>
            <w:r>
              <w:rPr>
                <w:noProof/>
                <w:webHidden/>
              </w:rPr>
              <w:fldChar w:fldCharType="end"/>
            </w:r>
          </w:hyperlink>
        </w:p>
        <w:p w14:paraId="6537C0E0" w14:textId="6A5627CD" w:rsidR="00AD6C7C" w:rsidRDefault="00AD6C7C">
          <w:pPr>
            <w:pStyle w:val="TOC1"/>
            <w:tabs>
              <w:tab w:val="right" w:leader="dot" w:pos="9016"/>
            </w:tabs>
            <w:rPr>
              <w:rFonts w:eastAsiaTheme="minorEastAsia"/>
              <w:noProof/>
              <w:lang w:eastAsia="en-GB"/>
            </w:rPr>
          </w:pPr>
          <w:hyperlink w:anchor="_Toc242037692" w:history="1">
            <w:r w:rsidRPr="00A23D58">
              <w:rPr>
                <w:rStyle w:val="Hyperlink"/>
                <w:noProof/>
              </w:rPr>
              <w:t>Section 4: Evidence-Based Lifestyle Recommendations</w:t>
            </w:r>
            <w:r>
              <w:rPr>
                <w:noProof/>
                <w:webHidden/>
              </w:rPr>
              <w:tab/>
            </w:r>
            <w:r>
              <w:rPr>
                <w:noProof/>
                <w:webHidden/>
              </w:rPr>
              <w:fldChar w:fldCharType="begin"/>
            </w:r>
            <w:r>
              <w:rPr>
                <w:noProof/>
                <w:webHidden/>
              </w:rPr>
              <w:instrText xml:space="preserve"> PAGEREF _Toc242037692 \h </w:instrText>
            </w:r>
            <w:r>
              <w:rPr>
                <w:noProof/>
                <w:webHidden/>
              </w:rPr>
            </w:r>
            <w:r>
              <w:rPr>
                <w:noProof/>
                <w:webHidden/>
              </w:rPr>
              <w:fldChar w:fldCharType="separate"/>
            </w:r>
            <w:r>
              <w:rPr>
                <w:noProof/>
                <w:webHidden/>
              </w:rPr>
              <w:t>7</w:t>
            </w:r>
            <w:r>
              <w:rPr>
                <w:noProof/>
                <w:webHidden/>
              </w:rPr>
              <w:fldChar w:fldCharType="end"/>
            </w:r>
          </w:hyperlink>
        </w:p>
        <w:p w14:paraId="26EF3914" w14:textId="25ABF958" w:rsidR="00AD6C7C" w:rsidRDefault="00AD6C7C">
          <w:pPr>
            <w:pStyle w:val="TOC1"/>
            <w:tabs>
              <w:tab w:val="right" w:leader="dot" w:pos="9016"/>
            </w:tabs>
            <w:rPr>
              <w:rFonts w:eastAsiaTheme="minorEastAsia"/>
              <w:noProof/>
              <w:lang w:eastAsia="en-GB"/>
            </w:rPr>
          </w:pPr>
          <w:hyperlink w:anchor="_Toc242037693" w:history="1">
            <w:r w:rsidRPr="00A23D58">
              <w:rPr>
                <w:rStyle w:val="Hyperlink"/>
                <w:noProof/>
              </w:rPr>
              <w:t>Conclusion</w:t>
            </w:r>
            <w:r>
              <w:rPr>
                <w:noProof/>
                <w:webHidden/>
              </w:rPr>
              <w:tab/>
            </w:r>
            <w:r>
              <w:rPr>
                <w:noProof/>
                <w:webHidden/>
              </w:rPr>
              <w:fldChar w:fldCharType="begin"/>
            </w:r>
            <w:r>
              <w:rPr>
                <w:noProof/>
                <w:webHidden/>
              </w:rPr>
              <w:instrText xml:space="preserve"> PAGEREF _Toc242037693 \h </w:instrText>
            </w:r>
            <w:r>
              <w:rPr>
                <w:noProof/>
                <w:webHidden/>
              </w:rPr>
            </w:r>
            <w:r>
              <w:rPr>
                <w:noProof/>
                <w:webHidden/>
              </w:rPr>
              <w:fldChar w:fldCharType="separate"/>
            </w:r>
            <w:r>
              <w:rPr>
                <w:noProof/>
                <w:webHidden/>
              </w:rPr>
              <w:t>9</w:t>
            </w:r>
            <w:r>
              <w:rPr>
                <w:noProof/>
                <w:webHidden/>
              </w:rPr>
              <w:fldChar w:fldCharType="end"/>
            </w:r>
          </w:hyperlink>
        </w:p>
        <w:p w14:paraId="426D76BA" w14:textId="215A0DD1" w:rsidR="00AD6C7C" w:rsidRDefault="00AD6C7C">
          <w:pPr>
            <w:pStyle w:val="TOC1"/>
            <w:tabs>
              <w:tab w:val="right" w:leader="dot" w:pos="9016"/>
            </w:tabs>
            <w:rPr>
              <w:rFonts w:eastAsiaTheme="minorEastAsia"/>
              <w:noProof/>
              <w:lang w:eastAsia="en-GB"/>
            </w:rPr>
          </w:pPr>
          <w:hyperlink w:anchor="_Toc242037694" w:history="1">
            <w:r w:rsidRPr="00A23D58">
              <w:rPr>
                <w:rStyle w:val="Hyperlink"/>
                <w:noProof/>
              </w:rPr>
              <w:t>References</w:t>
            </w:r>
            <w:r>
              <w:rPr>
                <w:noProof/>
                <w:webHidden/>
              </w:rPr>
              <w:tab/>
            </w:r>
            <w:r>
              <w:rPr>
                <w:noProof/>
                <w:webHidden/>
              </w:rPr>
              <w:fldChar w:fldCharType="begin"/>
            </w:r>
            <w:r>
              <w:rPr>
                <w:noProof/>
                <w:webHidden/>
              </w:rPr>
              <w:instrText xml:space="preserve"> PAGEREF _Toc242037694 \h </w:instrText>
            </w:r>
            <w:r>
              <w:rPr>
                <w:noProof/>
                <w:webHidden/>
              </w:rPr>
            </w:r>
            <w:r>
              <w:rPr>
                <w:noProof/>
                <w:webHidden/>
              </w:rPr>
              <w:fldChar w:fldCharType="separate"/>
            </w:r>
            <w:r>
              <w:rPr>
                <w:noProof/>
                <w:webHidden/>
              </w:rPr>
              <w:t>10</w:t>
            </w:r>
            <w:r>
              <w:rPr>
                <w:noProof/>
                <w:webHidden/>
              </w:rPr>
              <w:fldChar w:fldCharType="end"/>
            </w:r>
          </w:hyperlink>
        </w:p>
        <w:p w14:paraId="5A43B467" w14:textId="7C709BD4" w:rsidR="00513157" w:rsidRDefault="00513157">
          <w:r>
            <w:rPr>
              <w:b/>
              <w:bCs/>
            </w:rPr>
            <w:fldChar w:fldCharType="end"/>
          </w:r>
        </w:p>
      </w:sdtContent>
    </w:sdt>
    <w:p w14:paraId="5300A2DA" w14:textId="77777777" w:rsidR="00783A3B" w:rsidRDefault="00783A3B">
      <w:pPr>
        <w:rPr>
          <w:rFonts w:ascii="Arial" w:hAnsi="Arial" w:cs="Arial"/>
          <w:b/>
          <w:bCs/>
          <w:color w:val="156082" w:themeColor="accent1"/>
          <w:u w:val="single"/>
        </w:rPr>
      </w:pPr>
    </w:p>
    <w:p w14:paraId="3CDEF468" w14:textId="77777777" w:rsidR="00783A3B" w:rsidRDefault="00783A3B">
      <w:pPr>
        <w:rPr>
          <w:rFonts w:ascii="Arial" w:hAnsi="Arial" w:cs="Arial"/>
          <w:b/>
          <w:bCs/>
          <w:color w:val="156082" w:themeColor="accent1"/>
          <w:u w:val="single"/>
        </w:rPr>
      </w:pPr>
    </w:p>
    <w:p w14:paraId="203574A4" w14:textId="77777777" w:rsidR="00783A3B" w:rsidRDefault="00783A3B">
      <w:pPr>
        <w:rPr>
          <w:rFonts w:ascii="Arial" w:hAnsi="Arial" w:cs="Arial"/>
          <w:b/>
          <w:bCs/>
          <w:color w:val="156082" w:themeColor="accent1"/>
          <w:u w:val="single"/>
        </w:rPr>
      </w:pPr>
    </w:p>
    <w:p w14:paraId="4E077B04" w14:textId="77777777" w:rsidR="00783A3B" w:rsidRDefault="00783A3B">
      <w:pPr>
        <w:rPr>
          <w:rFonts w:ascii="Arial" w:hAnsi="Arial" w:cs="Arial"/>
          <w:b/>
          <w:bCs/>
          <w:color w:val="156082" w:themeColor="accent1"/>
          <w:u w:val="single"/>
        </w:rPr>
      </w:pPr>
    </w:p>
    <w:p w14:paraId="7B3FF9FC" w14:textId="77777777" w:rsidR="00783A3B" w:rsidRDefault="00783A3B">
      <w:pPr>
        <w:rPr>
          <w:rFonts w:ascii="Arial" w:hAnsi="Arial" w:cs="Arial"/>
          <w:b/>
          <w:bCs/>
          <w:color w:val="156082" w:themeColor="accent1"/>
          <w:u w:val="single"/>
        </w:rPr>
      </w:pPr>
    </w:p>
    <w:p w14:paraId="4D932460" w14:textId="77777777" w:rsidR="00783A3B" w:rsidRDefault="00783A3B">
      <w:pPr>
        <w:rPr>
          <w:rFonts w:ascii="Arial" w:hAnsi="Arial" w:cs="Arial"/>
          <w:b/>
          <w:bCs/>
          <w:color w:val="156082" w:themeColor="accent1"/>
          <w:u w:val="single"/>
        </w:rPr>
      </w:pPr>
    </w:p>
    <w:p w14:paraId="64ABB2AD" w14:textId="77777777" w:rsidR="00783A3B" w:rsidRDefault="00783A3B">
      <w:pPr>
        <w:rPr>
          <w:rFonts w:ascii="Arial" w:hAnsi="Arial" w:cs="Arial"/>
          <w:b/>
          <w:bCs/>
          <w:color w:val="156082" w:themeColor="accent1"/>
          <w:u w:val="single"/>
        </w:rPr>
      </w:pPr>
    </w:p>
    <w:p w14:paraId="5926D014" w14:textId="77777777" w:rsidR="00783A3B" w:rsidRDefault="00783A3B">
      <w:pPr>
        <w:rPr>
          <w:rFonts w:ascii="Arial" w:hAnsi="Arial" w:cs="Arial"/>
          <w:b/>
          <w:bCs/>
          <w:color w:val="156082" w:themeColor="accent1"/>
          <w:u w:val="single"/>
        </w:rPr>
      </w:pPr>
    </w:p>
    <w:p w14:paraId="202EECB3" w14:textId="77777777" w:rsidR="00783A3B" w:rsidRDefault="00783A3B">
      <w:pPr>
        <w:rPr>
          <w:rFonts w:ascii="Arial" w:hAnsi="Arial" w:cs="Arial"/>
          <w:b/>
          <w:bCs/>
          <w:color w:val="156082" w:themeColor="accent1"/>
          <w:u w:val="single"/>
        </w:rPr>
      </w:pPr>
    </w:p>
    <w:p w14:paraId="562DA11C" w14:textId="77777777" w:rsidR="00783A3B" w:rsidRDefault="00783A3B">
      <w:pPr>
        <w:rPr>
          <w:rFonts w:ascii="Arial" w:hAnsi="Arial" w:cs="Arial"/>
          <w:b/>
          <w:bCs/>
          <w:color w:val="156082" w:themeColor="accent1"/>
          <w:u w:val="single"/>
        </w:rPr>
      </w:pPr>
    </w:p>
    <w:p w14:paraId="700D7164" w14:textId="77777777" w:rsidR="00783A3B" w:rsidRDefault="00783A3B">
      <w:pPr>
        <w:rPr>
          <w:rFonts w:ascii="Arial" w:hAnsi="Arial" w:cs="Arial"/>
          <w:b/>
          <w:bCs/>
          <w:color w:val="156082" w:themeColor="accent1"/>
          <w:u w:val="single"/>
        </w:rPr>
      </w:pPr>
    </w:p>
    <w:p w14:paraId="4DCEC4D8" w14:textId="77777777" w:rsidR="00783A3B" w:rsidRDefault="00783A3B">
      <w:pPr>
        <w:rPr>
          <w:rFonts w:ascii="Arial" w:hAnsi="Arial" w:cs="Arial"/>
          <w:b/>
          <w:bCs/>
          <w:color w:val="156082" w:themeColor="accent1"/>
          <w:u w:val="single"/>
        </w:rPr>
      </w:pPr>
    </w:p>
    <w:p w14:paraId="2D406916" w14:textId="77777777" w:rsidR="00783A3B" w:rsidRDefault="00783A3B">
      <w:pPr>
        <w:rPr>
          <w:rFonts w:ascii="Arial" w:hAnsi="Arial" w:cs="Arial"/>
          <w:b/>
          <w:bCs/>
          <w:color w:val="156082" w:themeColor="accent1"/>
          <w:u w:val="single"/>
        </w:rPr>
      </w:pPr>
    </w:p>
    <w:p w14:paraId="3DBA2BED" w14:textId="77777777" w:rsidR="00783A3B" w:rsidRDefault="00783A3B">
      <w:pPr>
        <w:rPr>
          <w:rFonts w:ascii="Arial" w:hAnsi="Arial" w:cs="Arial"/>
          <w:b/>
          <w:bCs/>
          <w:color w:val="156082" w:themeColor="accent1"/>
          <w:u w:val="single"/>
        </w:rPr>
      </w:pPr>
    </w:p>
    <w:p w14:paraId="28FF6367" w14:textId="77777777" w:rsidR="00783A3B" w:rsidRDefault="00783A3B">
      <w:pPr>
        <w:rPr>
          <w:rFonts w:ascii="Arial" w:hAnsi="Arial" w:cs="Arial"/>
          <w:b/>
          <w:bCs/>
          <w:color w:val="156082" w:themeColor="accent1"/>
          <w:u w:val="single"/>
        </w:rPr>
      </w:pPr>
    </w:p>
    <w:p w14:paraId="3DDAF7A9" w14:textId="77777777" w:rsidR="00783A3B" w:rsidRDefault="00783A3B">
      <w:pPr>
        <w:rPr>
          <w:rFonts w:ascii="Arial" w:hAnsi="Arial" w:cs="Arial"/>
          <w:b/>
          <w:bCs/>
          <w:color w:val="156082" w:themeColor="accent1"/>
          <w:u w:val="single"/>
        </w:rPr>
      </w:pPr>
    </w:p>
    <w:p w14:paraId="264AA790" w14:textId="77777777" w:rsidR="00783A3B" w:rsidRDefault="00783A3B">
      <w:pPr>
        <w:rPr>
          <w:rFonts w:ascii="Arial" w:hAnsi="Arial" w:cs="Arial"/>
          <w:b/>
          <w:bCs/>
          <w:color w:val="156082" w:themeColor="accent1"/>
          <w:u w:val="single"/>
        </w:rPr>
      </w:pPr>
    </w:p>
    <w:p w14:paraId="58862DB6" w14:textId="77777777" w:rsidR="00783A3B" w:rsidRDefault="00783A3B">
      <w:pPr>
        <w:rPr>
          <w:rFonts w:ascii="Arial" w:hAnsi="Arial" w:cs="Arial"/>
          <w:b/>
          <w:bCs/>
          <w:color w:val="156082" w:themeColor="accent1"/>
          <w:u w:val="single"/>
        </w:rPr>
      </w:pPr>
    </w:p>
    <w:p w14:paraId="12E82A0C" w14:textId="3C884EBB" w:rsidR="00783A3B" w:rsidRPr="00216057" w:rsidRDefault="00216057">
      <w:pPr>
        <w:rPr>
          <w:rFonts w:ascii="Arial" w:hAnsi="Arial" w:cs="Arial"/>
          <w:b/>
          <w:bCs/>
          <w:color w:val="EE0000"/>
          <w:u w:val="single"/>
        </w:rPr>
      </w:pPr>
      <w:r w:rsidRPr="00216057">
        <w:rPr>
          <w:rFonts w:ascii="Arial" w:hAnsi="Arial" w:cs="Arial"/>
          <w:b/>
          <w:bCs/>
          <w:color w:val="EE0000"/>
          <w:u w:val="single"/>
        </w:rPr>
        <w:lastRenderedPageBreak/>
        <w:t>Case Study: Type 2 Diabetes</w:t>
      </w:r>
    </w:p>
    <w:p w14:paraId="2D323442" w14:textId="685A918A" w:rsidR="00DB637E" w:rsidRDefault="00E05A4E" w:rsidP="00513157">
      <w:pPr>
        <w:pStyle w:val="Heading1"/>
      </w:pPr>
      <w:bookmarkStart w:id="0" w:name="_Toc242037688"/>
      <w:r w:rsidRPr="00E05A4E">
        <w:t>Introduction</w:t>
      </w:r>
      <w:bookmarkEnd w:id="0"/>
    </w:p>
    <w:p w14:paraId="04F1F2AC" w14:textId="3E368462" w:rsidR="00300CC4" w:rsidRDefault="00401DC3" w:rsidP="00783A3B">
      <w:pPr>
        <w:spacing w:line="360" w:lineRule="auto"/>
        <w:jc w:val="both"/>
        <w:rPr>
          <w:rFonts w:ascii="Arial" w:hAnsi="Arial" w:cs="Arial"/>
        </w:rPr>
      </w:pPr>
      <w:r>
        <w:rPr>
          <w:rFonts w:ascii="Arial" w:hAnsi="Arial" w:cs="Arial"/>
        </w:rPr>
        <w:t>Type 2 diabetes</w:t>
      </w:r>
      <w:r w:rsidR="00AD0B49" w:rsidRPr="00AD0B49">
        <w:rPr>
          <w:rFonts w:ascii="Arial" w:hAnsi="Arial" w:cs="Arial"/>
        </w:rPr>
        <w:t xml:space="preserve"> is a chronic</w:t>
      </w:r>
      <w:r w:rsidR="00AD0B49">
        <w:rPr>
          <w:rFonts w:ascii="Arial" w:hAnsi="Arial" w:cs="Arial"/>
        </w:rPr>
        <w:t xml:space="preserve"> </w:t>
      </w:r>
      <w:r w:rsidR="00300CC4" w:rsidRPr="00300CC4">
        <w:rPr>
          <w:rFonts w:ascii="Arial" w:hAnsi="Arial" w:cs="Arial"/>
        </w:rPr>
        <w:t xml:space="preserve">condition </w:t>
      </w:r>
      <w:r w:rsidR="00A62301">
        <w:rPr>
          <w:rFonts w:ascii="Arial" w:hAnsi="Arial" w:cs="Arial"/>
        </w:rPr>
        <w:t>in which the body usually produces</w:t>
      </w:r>
      <w:r w:rsidR="00300CC4" w:rsidRPr="00300CC4">
        <w:rPr>
          <w:rFonts w:ascii="Arial" w:hAnsi="Arial" w:cs="Arial"/>
        </w:rPr>
        <w:t xml:space="preserve"> insufficient </w:t>
      </w:r>
      <w:r w:rsidR="00383EE0">
        <w:rPr>
          <w:rFonts w:ascii="Arial" w:hAnsi="Arial" w:cs="Arial"/>
        </w:rPr>
        <w:t>or ineffective</w:t>
      </w:r>
      <w:r w:rsidR="00300CC4" w:rsidRPr="00300CC4">
        <w:rPr>
          <w:rFonts w:ascii="Arial" w:hAnsi="Arial" w:cs="Arial"/>
        </w:rPr>
        <w:t xml:space="preserve"> insulin, resulting in high blood glucose levels (NHS, 2023). </w:t>
      </w:r>
      <w:r w:rsidR="000E28ED">
        <w:rPr>
          <w:rFonts w:ascii="Arial" w:hAnsi="Arial" w:cs="Arial"/>
        </w:rPr>
        <w:t>Insulin is a hormone that helps move glucose from the bloodstream into the body's cells, where it is used for energy.</w:t>
      </w:r>
      <w:r w:rsidR="00300CC4" w:rsidRPr="00300CC4">
        <w:rPr>
          <w:rFonts w:ascii="Arial" w:hAnsi="Arial" w:cs="Arial"/>
        </w:rPr>
        <w:t xml:space="preserve"> </w:t>
      </w:r>
      <w:r w:rsidR="00C344D2">
        <w:rPr>
          <w:rFonts w:ascii="Arial" w:hAnsi="Arial" w:cs="Arial"/>
        </w:rPr>
        <w:t xml:space="preserve">When this system fails, glucose remains in the bloodstream, causing chronically high </w:t>
      </w:r>
      <w:r w:rsidR="000E28ED">
        <w:rPr>
          <w:rFonts w:ascii="Arial" w:hAnsi="Arial" w:cs="Arial"/>
        </w:rPr>
        <w:t>increasing blood sugar and the risk of complications such as heart disease, kidney dysfunction, neurological problems, and stroke</w:t>
      </w:r>
      <w:r w:rsidR="00C344D2">
        <w:rPr>
          <w:rFonts w:ascii="Arial" w:hAnsi="Arial" w:cs="Arial"/>
        </w:rPr>
        <w:t>.</w:t>
      </w:r>
      <w:r w:rsidR="00300CC4" w:rsidRPr="00300CC4">
        <w:rPr>
          <w:rFonts w:ascii="Arial" w:hAnsi="Arial" w:cs="Arial"/>
        </w:rPr>
        <w:t xml:space="preserve"> (NHS, 2025a).</w:t>
      </w:r>
    </w:p>
    <w:p w14:paraId="51124285" w14:textId="0720B176" w:rsidR="00842F52" w:rsidRPr="00783A3B" w:rsidRDefault="005F526D" w:rsidP="00783A3B">
      <w:pPr>
        <w:spacing w:line="360" w:lineRule="auto"/>
        <w:jc w:val="both"/>
        <w:rPr>
          <w:rFonts w:ascii="Arial" w:hAnsi="Arial" w:cs="Arial"/>
        </w:rPr>
      </w:pPr>
      <w:r w:rsidRPr="005F526D">
        <w:rPr>
          <w:rFonts w:ascii="Arial" w:hAnsi="Arial" w:cs="Arial"/>
        </w:rPr>
        <w:t>Several factors increase the probability of getting type 2 diabetes, including obesity, especially when the additional weight is retained around the belly, and a lack of physical activity</w:t>
      </w:r>
      <w:r w:rsidR="00A62301">
        <w:rPr>
          <w:rFonts w:ascii="Arial" w:hAnsi="Arial" w:cs="Arial"/>
        </w:rPr>
        <w:t xml:space="preserve">. Diets high in sugar, processed foods, and saturated fats also raise the risk. Some risk factors cannot be changed, such as age, having a close relative with diabetes, and belonging to certain ethnic groups, for example, South </w:t>
      </w:r>
      <w:r w:rsidR="004916E1">
        <w:rPr>
          <w:rFonts w:ascii="Arial" w:hAnsi="Arial" w:cs="Arial"/>
        </w:rPr>
        <w:t xml:space="preserve">Asian, African-Caribbean, or Black African communities, </w:t>
      </w:r>
      <w:r w:rsidR="00A62301">
        <w:rPr>
          <w:rFonts w:ascii="Arial" w:hAnsi="Arial" w:cs="Arial"/>
        </w:rPr>
        <w:t xml:space="preserve">since people from these </w:t>
      </w:r>
      <w:r w:rsidR="0051744B">
        <w:rPr>
          <w:rFonts w:ascii="Arial" w:hAnsi="Arial" w:cs="Arial"/>
        </w:rPr>
        <w:t>groups are more prone to develop</w:t>
      </w:r>
      <w:r w:rsidR="00A62301">
        <w:rPr>
          <w:rFonts w:ascii="Arial" w:hAnsi="Arial" w:cs="Arial"/>
        </w:rPr>
        <w:t xml:space="preserve"> the condition at a younger age (NHS Inform, 2023). Smoking is also a major risk factor; </w:t>
      </w:r>
      <w:r w:rsidR="00976019">
        <w:rPr>
          <w:rFonts w:ascii="Arial" w:hAnsi="Arial" w:cs="Arial"/>
        </w:rPr>
        <w:t>people</w:t>
      </w:r>
      <w:r w:rsidR="00710099">
        <w:rPr>
          <w:rFonts w:ascii="Arial" w:hAnsi="Arial" w:cs="Arial"/>
        </w:rPr>
        <w:t xml:space="preserve"> who smoke </w:t>
      </w:r>
      <w:r w:rsidR="009747E1">
        <w:rPr>
          <w:rFonts w:ascii="Arial" w:hAnsi="Arial" w:cs="Arial"/>
        </w:rPr>
        <w:t>have a higher likelihood of developing type 2 diabetes than those who do not</w:t>
      </w:r>
      <w:r w:rsidR="00710099">
        <w:rPr>
          <w:rFonts w:ascii="Arial" w:hAnsi="Arial" w:cs="Arial"/>
        </w:rPr>
        <w:t xml:space="preserve">. </w:t>
      </w:r>
      <w:r w:rsidR="00A62301">
        <w:rPr>
          <w:rFonts w:ascii="Arial" w:hAnsi="Arial" w:cs="Arial"/>
        </w:rPr>
        <w:t>(Willi et al., 2007).</w:t>
      </w:r>
    </w:p>
    <w:p w14:paraId="020BEBBC" w14:textId="2B1F7ECC" w:rsidR="00CE2A2A" w:rsidRPr="00783A3B" w:rsidRDefault="0079333F" w:rsidP="00783A3B">
      <w:pPr>
        <w:spacing w:line="360" w:lineRule="auto"/>
        <w:jc w:val="both"/>
        <w:rPr>
          <w:rFonts w:ascii="Arial" w:hAnsi="Arial" w:cs="Arial"/>
        </w:rPr>
      </w:pPr>
      <w:r w:rsidRPr="00783A3B">
        <w:rPr>
          <w:rFonts w:ascii="Arial" w:hAnsi="Arial" w:cs="Arial"/>
        </w:rPr>
        <w:t xml:space="preserve">As a practice nurse in a general practice surgery, this report aims to </w:t>
      </w:r>
      <w:r w:rsidR="00383EE0">
        <w:rPr>
          <w:rFonts w:ascii="Arial" w:hAnsi="Arial" w:cs="Arial"/>
        </w:rPr>
        <w:t xml:space="preserve">provide clear, evidence-based insights to help patients understand </w:t>
      </w:r>
      <w:r w:rsidR="00976019">
        <w:rPr>
          <w:rFonts w:ascii="Arial" w:hAnsi="Arial" w:cs="Arial"/>
        </w:rPr>
        <w:t>type</w:t>
      </w:r>
      <w:r w:rsidR="00383EE0">
        <w:rPr>
          <w:rFonts w:ascii="Arial" w:hAnsi="Arial" w:cs="Arial"/>
        </w:rPr>
        <w:t xml:space="preserve"> 2 diabetes, how blood sugar is regulated, and why monitoring blood glucose levels over time matters</w:t>
      </w:r>
      <w:r w:rsidRPr="00783A3B">
        <w:rPr>
          <w:rFonts w:ascii="Arial" w:hAnsi="Arial" w:cs="Arial"/>
        </w:rPr>
        <w:t xml:space="preserve">. </w:t>
      </w:r>
      <w:r w:rsidR="00C26A9D">
        <w:rPr>
          <w:rFonts w:ascii="Arial" w:hAnsi="Arial" w:cs="Arial"/>
        </w:rPr>
        <w:t xml:space="preserve">The report also discusses how lifestyle modifications, including </w:t>
      </w:r>
      <w:r w:rsidR="003B5E29">
        <w:rPr>
          <w:rFonts w:ascii="Arial" w:hAnsi="Arial" w:cs="Arial"/>
        </w:rPr>
        <w:t>improving your diet, increasing physical activity, and quitting smoking,</w:t>
      </w:r>
      <w:r w:rsidR="007048AB">
        <w:rPr>
          <w:rFonts w:ascii="Arial" w:hAnsi="Arial" w:cs="Arial"/>
        </w:rPr>
        <w:t xml:space="preserve"> can help you manage diabetes more safely and effectively.</w:t>
      </w:r>
    </w:p>
    <w:p w14:paraId="69BF5B85" w14:textId="1291C522" w:rsidR="004957FD" w:rsidRPr="00783A3B" w:rsidRDefault="004957FD" w:rsidP="00AD6C7C">
      <w:pPr>
        <w:pStyle w:val="Heading1"/>
      </w:pPr>
      <w:bookmarkStart w:id="1" w:name="_Toc242037689"/>
      <w:r w:rsidRPr="00783A3B">
        <w:t>SECTION 1: Anatomy &amp; Physiology</w:t>
      </w:r>
      <w:bookmarkEnd w:id="1"/>
    </w:p>
    <w:p w14:paraId="0B4BAF76" w14:textId="5F7B6A71" w:rsidR="007833EE" w:rsidRPr="00783A3B" w:rsidRDefault="007833EE" w:rsidP="00783A3B">
      <w:pPr>
        <w:spacing w:line="360" w:lineRule="auto"/>
        <w:jc w:val="both"/>
        <w:rPr>
          <w:rFonts w:ascii="Arial" w:hAnsi="Arial" w:cs="Arial"/>
          <w:color w:val="0E2841" w:themeColor="text2"/>
        </w:rPr>
      </w:pPr>
      <w:r w:rsidRPr="00783A3B">
        <w:rPr>
          <w:rFonts w:ascii="Arial" w:hAnsi="Arial" w:cs="Arial"/>
          <w:color w:val="0E2841" w:themeColor="text2"/>
        </w:rPr>
        <w:t>How blood sugar is regulated</w:t>
      </w:r>
    </w:p>
    <w:p w14:paraId="0F6AF561" w14:textId="636FCCBB" w:rsidR="007833EE" w:rsidRPr="00783A3B" w:rsidRDefault="002B73DC" w:rsidP="00783A3B">
      <w:pPr>
        <w:spacing w:line="360" w:lineRule="auto"/>
        <w:jc w:val="both"/>
        <w:rPr>
          <w:rFonts w:ascii="Arial" w:hAnsi="Arial" w:cs="Arial"/>
        </w:rPr>
      </w:pPr>
      <w:r>
        <w:rPr>
          <w:rFonts w:ascii="Arial" w:hAnsi="Arial" w:cs="Arial"/>
        </w:rPr>
        <w:t>Blood sugar regulation primarily occurs in the pancreas, which contains specialised endocrine cells called</w:t>
      </w:r>
      <w:r w:rsidR="00F05BC0" w:rsidRPr="00783A3B">
        <w:rPr>
          <w:rFonts w:ascii="Arial" w:hAnsi="Arial" w:cs="Arial"/>
        </w:rPr>
        <w:t xml:space="preserve"> the islets of Langerhans. These include beta cells, which produce insulin, and alpha cells, which generate glucagon. Insulin </w:t>
      </w:r>
      <w:r>
        <w:rPr>
          <w:rFonts w:ascii="Arial" w:hAnsi="Arial" w:cs="Arial"/>
        </w:rPr>
        <w:t>lowers blood glucose by facilitating its uptake into muscle, fat, and liver cells, whereas glucagon raises blood glucose by signalling</w:t>
      </w:r>
      <w:r w:rsidR="00F05BC0" w:rsidRPr="00783A3B">
        <w:rPr>
          <w:rFonts w:ascii="Arial" w:hAnsi="Arial" w:cs="Arial"/>
        </w:rPr>
        <w:t xml:space="preserve"> the liver to release stored glucose. Collectively, </w:t>
      </w:r>
      <w:r w:rsidR="00F05BC0" w:rsidRPr="00783A3B">
        <w:rPr>
          <w:rFonts w:ascii="Arial" w:hAnsi="Arial" w:cs="Arial"/>
        </w:rPr>
        <w:lastRenderedPageBreak/>
        <w:t>these hormones help keep blood glucose levels within a healthy range throughout the day (</w:t>
      </w:r>
      <w:r w:rsidR="00772175" w:rsidRPr="00783A3B">
        <w:rPr>
          <w:rFonts w:ascii="Arial" w:hAnsi="Arial" w:cs="Arial"/>
        </w:rPr>
        <w:t>Diabetes Centre at UCSF, 2026)</w:t>
      </w:r>
      <w:r w:rsidR="00F05BC0" w:rsidRPr="00783A3B">
        <w:rPr>
          <w:rFonts w:ascii="Arial" w:hAnsi="Arial" w:cs="Arial"/>
        </w:rPr>
        <w:t>.</w:t>
      </w:r>
    </w:p>
    <w:p w14:paraId="3B13FB32" w14:textId="1D79D871" w:rsidR="003005BA" w:rsidRPr="00783A3B" w:rsidRDefault="002B73DC" w:rsidP="00783A3B">
      <w:pPr>
        <w:spacing w:line="360" w:lineRule="auto"/>
        <w:jc w:val="both"/>
        <w:rPr>
          <w:rFonts w:ascii="Arial" w:hAnsi="Arial" w:cs="Arial"/>
        </w:rPr>
      </w:pPr>
      <w:r>
        <w:rPr>
          <w:rFonts w:ascii="Arial" w:hAnsi="Arial" w:cs="Arial"/>
        </w:rPr>
        <w:t>After we eat, carbohydrates are converted into glucose, increasing</w:t>
      </w:r>
      <w:r w:rsidR="003005BA" w:rsidRPr="00783A3B">
        <w:rPr>
          <w:rFonts w:ascii="Arial" w:hAnsi="Arial" w:cs="Arial"/>
        </w:rPr>
        <w:t xml:space="preserve"> blood sugar levels. In reaction to this, the pancreas produces insulin. Insulin functions as a “key” that opens glucose channels on the surfaces of muscle and fat cells, enabling glucose to enter those cells. This mechanism prevents </w:t>
      </w:r>
      <w:r w:rsidR="003B5E29">
        <w:rPr>
          <w:rFonts w:ascii="Arial" w:hAnsi="Arial" w:cs="Arial"/>
        </w:rPr>
        <w:t xml:space="preserve">blood sugar from rising </w:t>
      </w:r>
      <w:r>
        <w:rPr>
          <w:rFonts w:ascii="Arial" w:hAnsi="Arial" w:cs="Arial"/>
        </w:rPr>
        <w:t>after eating and helps maintain</w:t>
      </w:r>
      <w:r w:rsidR="003005BA" w:rsidRPr="00783A3B">
        <w:rPr>
          <w:rFonts w:ascii="Arial" w:hAnsi="Arial" w:cs="Arial"/>
        </w:rPr>
        <w:t xml:space="preserve"> normal energy levels. Additionally, insulin prompts the liver to convert surplus glucose into glycogen, which </w:t>
      </w:r>
      <w:r>
        <w:rPr>
          <w:rFonts w:ascii="Arial" w:hAnsi="Arial" w:cs="Arial"/>
        </w:rPr>
        <w:t>helps stabilise</w:t>
      </w:r>
      <w:r w:rsidR="003005BA" w:rsidRPr="00783A3B">
        <w:rPr>
          <w:rFonts w:ascii="Arial" w:hAnsi="Arial" w:cs="Arial"/>
        </w:rPr>
        <w:t xml:space="preserve"> blood sugar levels between meals </w:t>
      </w:r>
      <w:r w:rsidR="00334013" w:rsidRPr="00783A3B">
        <w:rPr>
          <w:rFonts w:ascii="Arial" w:hAnsi="Arial" w:cs="Arial"/>
        </w:rPr>
        <w:t>(Guelph, n.d.)</w:t>
      </w:r>
      <w:r w:rsidR="0044377F" w:rsidRPr="00783A3B">
        <w:rPr>
          <w:rFonts w:ascii="Arial" w:hAnsi="Arial" w:cs="Arial"/>
        </w:rPr>
        <w:t>.</w:t>
      </w:r>
    </w:p>
    <w:p w14:paraId="672BC868" w14:textId="21C01D88" w:rsidR="00CA4E06" w:rsidRPr="00783A3B" w:rsidRDefault="009E60F3" w:rsidP="00783A3B">
      <w:pPr>
        <w:spacing w:line="360" w:lineRule="auto"/>
        <w:jc w:val="both"/>
        <w:rPr>
          <w:rFonts w:ascii="Arial" w:hAnsi="Arial" w:cs="Arial"/>
        </w:rPr>
      </w:pPr>
      <w:r w:rsidRPr="00783A3B">
        <w:rPr>
          <w:rFonts w:ascii="Arial" w:hAnsi="Arial" w:cs="Arial"/>
        </w:rPr>
        <w:t>When blood glucose levels start to drop</w:t>
      </w:r>
      <w:r w:rsidR="007262C3" w:rsidRPr="00783A3B">
        <w:rPr>
          <w:rFonts w:ascii="Arial" w:hAnsi="Arial" w:cs="Arial"/>
        </w:rPr>
        <w:t>, for example, overnight or while fasting,</w:t>
      </w:r>
      <w:r w:rsidRPr="00783A3B">
        <w:rPr>
          <w:rFonts w:ascii="Arial" w:hAnsi="Arial" w:cs="Arial"/>
        </w:rPr>
        <w:t xml:space="preserve"> insulin production decreases, and the hormone glucagon is released instead. </w:t>
      </w:r>
      <w:r w:rsidR="001B2DA6">
        <w:rPr>
          <w:rFonts w:ascii="Arial" w:hAnsi="Arial" w:cs="Arial"/>
        </w:rPr>
        <w:t xml:space="preserve">Glucagon prompts </w:t>
      </w:r>
      <w:r w:rsidR="000E28ED">
        <w:rPr>
          <w:rFonts w:ascii="Arial" w:hAnsi="Arial" w:cs="Arial"/>
        </w:rPr>
        <w:t>the liver to break down stored glycogen into glucose and release it into the bloodstream.</w:t>
      </w:r>
      <w:r w:rsidRPr="00783A3B">
        <w:rPr>
          <w:rFonts w:ascii="Arial" w:hAnsi="Arial" w:cs="Arial"/>
        </w:rPr>
        <w:t xml:space="preserve"> </w:t>
      </w:r>
      <w:r w:rsidR="000E28ED">
        <w:rPr>
          <w:rFonts w:ascii="Arial" w:hAnsi="Arial" w:cs="Arial"/>
        </w:rPr>
        <w:t xml:space="preserve">This process prevents blood sugar from dropping dangerously low and keeps the body’s energy supply steady. </w:t>
      </w:r>
      <w:r w:rsidRPr="00783A3B">
        <w:rPr>
          <w:rFonts w:ascii="Arial" w:hAnsi="Arial" w:cs="Arial"/>
        </w:rPr>
        <w:t xml:space="preserve">Blood sugar levels become unstable if insulin </w:t>
      </w:r>
      <w:r w:rsidR="002B73DC">
        <w:rPr>
          <w:rFonts w:ascii="Arial" w:hAnsi="Arial" w:cs="Arial"/>
        </w:rPr>
        <w:t>does not function properly</w:t>
      </w:r>
      <w:r w:rsidRPr="00783A3B">
        <w:rPr>
          <w:rFonts w:ascii="Arial" w:hAnsi="Arial" w:cs="Arial"/>
        </w:rPr>
        <w:t xml:space="preserve"> or if glucagon is overproduced; this is a primary characteristic of diabetes (Diabetes Centre at UCSF, 2026).</w:t>
      </w:r>
      <w:r w:rsidR="00CA4E06" w:rsidRPr="00783A3B">
        <w:rPr>
          <w:rFonts w:ascii="Arial" w:hAnsi="Arial" w:cs="Arial"/>
        </w:rPr>
        <w:t xml:space="preserve"> </w:t>
      </w:r>
    </w:p>
    <w:p w14:paraId="0EDEC0D1" w14:textId="5F7002E4" w:rsidR="00E05A4E" w:rsidRPr="00783A3B" w:rsidRDefault="00CA4E06" w:rsidP="00783A3B">
      <w:pPr>
        <w:spacing w:line="360" w:lineRule="auto"/>
        <w:jc w:val="both"/>
        <w:rPr>
          <w:rFonts w:ascii="Arial" w:hAnsi="Arial" w:cs="Arial"/>
          <w:b/>
          <w:bCs/>
        </w:rPr>
      </w:pPr>
      <w:r w:rsidRPr="00783A3B">
        <w:rPr>
          <w:rFonts w:ascii="Arial" w:hAnsi="Arial" w:cs="Arial"/>
          <w:b/>
          <w:bCs/>
        </w:rPr>
        <w:t>Cell metabolism: how oxygen and glucose produce energy (ATP)</w:t>
      </w:r>
    </w:p>
    <w:p w14:paraId="589A5FA3" w14:textId="5BCE8F8E" w:rsidR="007262C3" w:rsidRPr="00783A3B" w:rsidRDefault="007262C3" w:rsidP="00783A3B">
      <w:pPr>
        <w:spacing w:line="360" w:lineRule="auto"/>
        <w:jc w:val="both"/>
        <w:rPr>
          <w:rFonts w:ascii="Arial" w:hAnsi="Arial" w:cs="Arial"/>
        </w:rPr>
      </w:pPr>
      <w:r w:rsidRPr="00783A3B">
        <w:rPr>
          <w:rFonts w:ascii="Arial" w:hAnsi="Arial" w:cs="Arial"/>
        </w:rPr>
        <w:t xml:space="preserve">When cells take up glucose, they use it to generate energy through cellular metabolism. The main </w:t>
      </w:r>
      <w:r w:rsidR="002B73DC">
        <w:rPr>
          <w:rFonts w:ascii="Arial" w:hAnsi="Arial" w:cs="Arial"/>
        </w:rPr>
        <w:t>energy-producing process</w:t>
      </w:r>
      <w:r w:rsidRPr="00783A3B">
        <w:rPr>
          <w:rFonts w:ascii="Arial" w:hAnsi="Arial" w:cs="Arial"/>
        </w:rPr>
        <w:t xml:space="preserve"> is aerobic respiration, which requires oxygen. During aerobic respiration, glucose combines with oxygen to generate ATP (adenosine triphosphate), the molecule that fuels crucial bodily functions including movement, nerve transmission, and cellular repair (</w:t>
      </w:r>
      <w:r w:rsidR="00BA2205" w:rsidRPr="00783A3B">
        <w:rPr>
          <w:rFonts w:ascii="Arial" w:hAnsi="Arial" w:cs="Arial"/>
        </w:rPr>
        <w:t>Clark, Douglas and Choi, 2018).</w:t>
      </w:r>
    </w:p>
    <w:p w14:paraId="457BF13F" w14:textId="0E75DC11" w:rsidR="006D2275" w:rsidRPr="00783A3B" w:rsidRDefault="006D2275" w:rsidP="00783A3B">
      <w:pPr>
        <w:spacing w:line="360" w:lineRule="auto"/>
        <w:jc w:val="both"/>
        <w:rPr>
          <w:rFonts w:ascii="Arial" w:hAnsi="Arial" w:cs="Arial"/>
          <w:color w:val="0E2841" w:themeColor="text2"/>
        </w:rPr>
      </w:pPr>
      <w:r w:rsidRPr="00783A3B">
        <w:rPr>
          <w:rFonts w:ascii="Arial" w:hAnsi="Arial" w:cs="Arial"/>
          <w:color w:val="0E2841" w:themeColor="text2"/>
        </w:rPr>
        <w:t>The simplified equation of ae</w:t>
      </w:r>
      <w:r w:rsidR="00917050" w:rsidRPr="00783A3B">
        <w:rPr>
          <w:rFonts w:ascii="Arial" w:hAnsi="Arial" w:cs="Arial"/>
          <w:color w:val="0E2841" w:themeColor="text2"/>
        </w:rPr>
        <w:t>robic respiration is:</w:t>
      </w:r>
    </w:p>
    <w:p w14:paraId="3EE2C4DD" w14:textId="53B14A93" w:rsidR="00B312E8" w:rsidRPr="00783A3B" w:rsidRDefault="00B64597" w:rsidP="00783A3B">
      <w:pPr>
        <w:spacing w:line="360" w:lineRule="auto"/>
        <w:jc w:val="both"/>
        <w:rPr>
          <w:rFonts w:ascii="Arial" w:hAnsi="Arial" w:cs="Arial"/>
        </w:rPr>
      </w:pPr>
      <w:r w:rsidRPr="00783A3B">
        <w:rPr>
          <w:rFonts w:ascii="Arial" w:hAnsi="Arial" w:cs="Arial"/>
        </w:rPr>
        <w:t xml:space="preserve">Glucose + Oxygen → Carbon dioxide + Water + Energy </w:t>
      </w:r>
      <w:r w:rsidR="003965CA">
        <w:rPr>
          <w:rFonts w:ascii="Arial" w:hAnsi="Arial" w:cs="Arial"/>
        </w:rPr>
        <w:t>(ATP)</w:t>
      </w:r>
    </w:p>
    <w:p w14:paraId="6645AC9A" w14:textId="4020A18F" w:rsidR="00B312E8" w:rsidRPr="00783A3B" w:rsidRDefault="00B312E8" w:rsidP="00783A3B">
      <w:pPr>
        <w:spacing w:line="360" w:lineRule="auto"/>
        <w:jc w:val="both"/>
        <w:rPr>
          <w:rFonts w:ascii="Arial" w:hAnsi="Arial" w:cs="Arial"/>
        </w:rPr>
      </w:pPr>
      <w:r w:rsidRPr="00783A3B">
        <w:rPr>
          <w:rFonts w:ascii="Arial" w:hAnsi="Arial" w:cs="Arial"/>
        </w:rPr>
        <w:t>(Clark, Douglas and Choi, 2018)</w:t>
      </w:r>
    </w:p>
    <w:p w14:paraId="4A456E8D" w14:textId="09174EB4" w:rsidR="00224B72" w:rsidRPr="00783A3B" w:rsidRDefault="00531C69" w:rsidP="00783A3B">
      <w:pPr>
        <w:spacing w:line="360" w:lineRule="auto"/>
        <w:jc w:val="both"/>
        <w:rPr>
          <w:rFonts w:ascii="Arial" w:hAnsi="Arial" w:cs="Arial"/>
        </w:rPr>
      </w:pPr>
      <w:r w:rsidRPr="00783A3B">
        <w:rPr>
          <w:rFonts w:ascii="Arial" w:hAnsi="Arial" w:cs="Arial"/>
        </w:rPr>
        <w:t xml:space="preserve">When oxygen levels drop, the body generates significantly less ATP, resulting in fatigue and diminished cellular function. In </w:t>
      </w:r>
      <w:r w:rsidR="00C26A9D">
        <w:rPr>
          <w:rFonts w:ascii="Arial" w:hAnsi="Arial" w:cs="Arial"/>
        </w:rPr>
        <w:t>diabetes, insulin may not function properly</w:t>
      </w:r>
      <w:r w:rsidRPr="00783A3B">
        <w:rPr>
          <w:rFonts w:ascii="Arial" w:hAnsi="Arial" w:cs="Arial"/>
        </w:rPr>
        <w:t xml:space="preserve">, preventing glucose from entering cells efficiently. As a result, </w:t>
      </w:r>
      <w:r w:rsidR="002B73DC">
        <w:rPr>
          <w:rFonts w:ascii="Arial" w:hAnsi="Arial" w:cs="Arial"/>
        </w:rPr>
        <w:t xml:space="preserve">glucose is less available for ATP synthesis, leading to </w:t>
      </w:r>
      <w:r w:rsidRPr="00783A3B">
        <w:rPr>
          <w:rFonts w:ascii="Arial" w:hAnsi="Arial" w:cs="Arial"/>
        </w:rPr>
        <w:t>tiredness and low energy (Guelph, n.d.).</w:t>
      </w:r>
    </w:p>
    <w:p w14:paraId="3C8BD8EA" w14:textId="3ACC78F8" w:rsidR="00214A5B" w:rsidRPr="00783A3B" w:rsidRDefault="00214A5B" w:rsidP="00513157">
      <w:pPr>
        <w:pStyle w:val="Heading1"/>
      </w:pPr>
      <w:bookmarkStart w:id="2" w:name="_Toc242037690"/>
      <w:r w:rsidRPr="00783A3B">
        <w:lastRenderedPageBreak/>
        <w:t>Section 2: Pathophysiology and Impact</w:t>
      </w:r>
      <w:bookmarkEnd w:id="2"/>
    </w:p>
    <w:p w14:paraId="0DED68A6" w14:textId="0C2BC750" w:rsidR="00214A5B" w:rsidRPr="00783A3B" w:rsidRDefault="000E28ED" w:rsidP="00783A3B">
      <w:pPr>
        <w:spacing w:line="360" w:lineRule="auto"/>
        <w:jc w:val="both"/>
        <w:rPr>
          <w:rFonts w:ascii="Arial" w:hAnsi="Arial" w:cs="Arial"/>
        </w:rPr>
      </w:pPr>
      <w:r>
        <w:rPr>
          <w:rFonts w:ascii="Arial" w:hAnsi="Arial" w:cs="Arial"/>
        </w:rPr>
        <w:t>Type 2 diabetes develops when the pancreas does not produce enough insulin or when the body does not use insulin effectively (insulin resistance). In insulin resistance, the body's cells do not respond properly to insulin, reducing the amount of glucose they take up from the blood</w:t>
      </w:r>
      <w:r w:rsidR="00D413C2" w:rsidRPr="00D413C2">
        <w:rPr>
          <w:rFonts w:ascii="Arial" w:hAnsi="Arial" w:cs="Arial"/>
        </w:rPr>
        <w:t xml:space="preserve">. High blood glucose levels </w:t>
      </w:r>
      <w:r w:rsidR="00DD2710">
        <w:rPr>
          <w:rFonts w:ascii="Arial" w:hAnsi="Arial" w:cs="Arial"/>
        </w:rPr>
        <w:t>result from</w:t>
      </w:r>
      <w:r w:rsidR="00D413C2" w:rsidRPr="00D413C2">
        <w:rPr>
          <w:rFonts w:ascii="Arial" w:hAnsi="Arial" w:cs="Arial"/>
        </w:rPr>
        <w:t xml:space="preserve"> </w:t>
      </w:r>
      <w:r w:rsidR="00DD2710">
        <w:rPr>
          <w:rFonts w:ascii="Arial" w:hAnsi="Arial" w:cs="Arial"/>
        </w:rPr>
        <w:t xml:space="preserve">glucose remaining </w:t>
      </w:r>
      <w:r w:rsidR="00D413C2" w:rsidRPr="00D413C2">
        <w:rPr>
          <w:rFonts w:ascii="Arial" w:hAnsi="Arial" w:cs="Arial"/>
        </w:rPr>
        <w:t xml:space="preserve">in the blood. Type 2 diabetes may develop and worsen if insulin resistance continues because the pancreas may not be able to generate enough insulin to </w:t>
      </w:r>
      <w:r w:rsidR="00DD2710" w:rsidRPr="00D413C2">
        <w:rPr>
          <w:rFonts w:ascii="Arial" w:hAnsi="Arial" w:cs="Arial"/>
        </w:rPr>
        <w:t>compensate.</w:t>
      </w:r>
      <w:r w:rsidR="007B13F6">
        <w:rPr>
          <w:rFonts w:ascii="Arial" w:hAnsi="Arial" w:cs="Arial"/>
        </w:rPr>
        <w:t xml:space="preserve"> </w:t>
      </w:r>
      <w:r w:rsidR="00371F6D" w:rsidRPr="00783A3B">
        <w:rPr>
          <w:rFonts w:ascii="Arial" w:hAnsi="Arial" w:cs="Arial"/>
        </w:rPr>
        <w:t>(Diabetes UK, 202</w:t>
      </w:r>
      <w:r w:rsidR="00D66EB8" w:rsidRPr="00783A3B">
        <w:rPr>
          <w:rFonts w:ascii="Arial" w:hAnsi="Arial" w:cs="Arial"/>
        </w:rPr>
        <w:t>2</w:t>
      </w:r>
      <w:r w:rsidR="00371F6D" w:rsidRPr="00783A3B">
        <w:rPr>
          <w:rFonts w:ascii="Arial" w:hAnsi="Arial" w:cs="Arial"/>
        </w:rPr>
        <w:t>; NHS, 2025</w:t>
      </w:r>
      <w:r w:rsidR="00C366B8" w:rsidRPr="00783A3B">
        <w:rPr>
          <w:rFonts w:ascii="Arial" w:hAnsi="Arial" w:cs="Arial"/>
        </w:rPr>
        <w:t>b</w:t>
      </w:r>
      <w:r w:rsidR="00371F6D" w:rsidRPr="00783A3B">
        <w:rPr>
          <w:rFonts w:ascii="Arial" w:hAnsi="Arial" w:cs="Arial"/>
        </w:rPr>
        <w:t>).</w:t>
      </w:r>
    </w:p>
    <w:p w14:paraId="5A5736CC" w14:textId="1BB2757A" w:rsidR="0095137A" w:rsidRPr="00783A3B" w:rsidRDefault="0095575A" w:rsidP="00783A3B">
      <w:pPr>
        <w:spacing w:line="360" w:lineRule="auto"/>
        <w:jc w:val="both"/>
        <w:rPr>
          <w:rFonts w:ascii="Arial" w:hAnsi="Arial" w:cs="Arial"/>
        </w:rPr>
      </w:pPr>
      <w:r>
        <w:rPr>
          <w:rFonts w:ascii="Arial" w:hAnsi="Arial" w:cs="Arial"/>
        </w:rPr>
        <w:t xml:space="preserve">Consistently elevated blood sugar levels can gradually damage blood vessels and nerves, increasing the risk of complications over time. These complications can include cardiovascular issues, such as coronary heart disease and stroke, alongside kidney problems, nerve damage, foot ulcers and infections, and diabetic retinopathy, which may affect vision. Consequently, keeping blood glucose levels within a </w:t>
      </w:r>
      <w:r w:rsidR="007B13F6">
        <w:rPr>
          <w:rFonts w:ascii="Arial" w:hAnsi="Arial" w:cs="Arial"/>
        </w:rPr>
        <w:t xml:space="preserve">target range is crucial to minimise </w:t>
      </w:r>
      <w:r w:rsidR="00DD2710">
        <w:rPr>
          <w:rFonts w:ascii="Arial" w:hAnsi="Arial" w:cs="Arial"/>
        </w:rPr>
        <w:t xml:space="preserve">complication risk </w:t>
      </w:r>
      <w:r w:rsidR="007B13F6">
        <w:rPr>
          <w:rFonts w:ascii="Arial" w:hAnsi="Arial" w:cs="Arial"/>
        </w:rPr>
        <w:t>and support</w:t>
      </w:r>
      <w:r>
        <w:rPr>
          <w:rFonts w:ascii="Arial" w:hAnsi="Arial" w:cs="Arial"/>
        </w:rPr>
        <w:t xml:space="preserve"> long-term health (NHS, 2017).</w:t>
      </w:r>
    </w:p>
    <w:p w14:paraId="0B34C0F2" w14:textId="440FB5ED" w:rsidR="001E7314" w:rsidRPr="00783A3B" w:rsidRDefault="001E7314" w:rsidP="00783A3B">
      <w:pPr>
        <w:spacing w:line="360" w:lineRule="auto"/>
        <w:jc w:val="both"/>
        <w:rPr>
          <w:rFonts w:ascii="Arial" w:hAnsi="Arial" w:cs="Arial"/>
        </w:rPr>
      </w:pPr>
      <w:r w:rsidRPr="00783A3B">
        <w:rPr>
          <w:rFonts w:ascii="Arial" w:hAnsi="Arial" w:cs="Arial"/>
        </w:rPr>
        <w:t xml:space="preserve">Lifestyle factors </w:t>
      </w:r>
      <w:r w:rsidR="00195ECE">
        <w:rPr>
          <w:rFonts w:ascii="Arial" w:hAnsi="Arial" w:cs="Arial"/>
        </w:rPr>
        <w:t>affect insulin resistance and blood glucose control</w:t>
      </w:r>
      <w:r w:rsidRPr="00783A3B">
        <w:rPr>
          <w:rFonts w:ascii="Arial" w:hAnsi="Arial" w:cs="Arial"/>
        </w:rPr>
        <w:t xml:space="preserve">. Being overweight can </w:t>
      </w:r>
      <w:r w:rsidR="00195ECE">
        <w:rPr>
          <w:rFonts w:ascii="Arial" w:hAnsi="Arial" w:cs="Arial"/>
        </w:rPr>
        <w:t>increase the risk of developing insulin resistance, whereas regular physical exercise can help the body use glucose more effectively</w:t>
      </w:r>
      <w:r w:rsidRPr="00783A3B">
        <w:rPr>
          <w:rFonts w:ascii="Arial" w:hAnsi="Arial" w:cs="Arial"/>
        </w:rPr>
        <w:t xml:space="preserve">. When a person exercises, their muscles use glucose </w:t>
      </w:r>
      <w:r w:rsidR="00195ECE">
        <w:rPr>
          <w:rFonts w:ascii="Arial" w:hAnsi="Arial" w:cs="Arial"/>
        </w:rPr>
        <w:t>for energy, which can improve blood glucose control</w:t>
      </w:r>
      <w:r w:rsidRPr="00783A3B">
        <w:rPr>
          <w:rFonts w:ascii="Arial" w:hAnsi="Arial" w:cs="Arial"/>
        </w:rPr>
        <w:t>. In the case of overweight individuals, slow and gradual weight loss can also contribute to improved blood glucose control and may cause remission from type 2 diabetes in some people (NHS, 2025</w:t>
      </w:r>
      <w:r w:rsidR="003F16F1" w:rsidRPr="00783A3B">
        <w:rPr>
          <w:rFonts w:ascii="Arial" w:hAnsi="Arial" w:cs="Arial"/>
        </w:rPr>
        <w:t>b</w:t>
      </w:r>
      <w:r w:rsidRPr="00783A3B">
        <w:rPr>
          <w:rFonts w:ascii="Arial" w:hAnsi="Arial" w:cs="Arial"/>
        </w:rPr>
        <w:t>; NICE, 2026).</w:t>
      </w:r>
    </w:p>
    <w:p w14:paraId="0E5FDA95" w14:textId="71A68802" w:rsidR="005302DD" w:rsidRPr="00783A3B" w:rsidRDefault="005302DD" w:rsidP="00783A3B">
      <w:pPr>
        <w:spacing w:line="360" w:lineRule="auto"/>
        <w:jc w:val="both"/>
        <w:rPr>
          <w:rFonts w:ascii="Arial" w:hAnsi="Arial" w:cs="Arial"/>
        </w:rPr>
      </w:pPr>
      <w:r w:rsidRPr="00783A3B">
        <w:rPr>
          <w:rFonts w:ascii="Arial" w:hAnsi="Arial" w:cs="Arial"/>
        </w:rPr>
        <w:t>Diet matters because the types and amounts of food you eat can affect blood glucose and overall cardiovascular health. A healthy diet that includes vegetables, fruit, wholegrain foods and pulses can help manage diabetes. Cutting down on highly processed foods, which are high in sugar and saturated fat, can also improve blood glucose control. NICE advises tailoring dietary guidance to each person and considering it alongside physical activity and weight management, while taking their preferences and circumstances into account (NICE, 2026).</w:t>
      </w:r>
    </w:p>
    <w:p w14:paraId="2C2A6802" w14:textId="308CA256" w:rsidR="00DC60C4" w:rsidRPr="00783A3B" w:rsidRDefault="00FB37EC" w:rsidP="00783A3B">
      <w:pPr>
        <w:spacing w:line="360" w:lineRule="auto"/>
        <w:jc w:val="both"/>
        <w:rPr>
          <w:rFonts w:ascii="Arial" w:hAnsi="Arial" w:cs="Arial"/>
        </w:rPr>
      </w:pPr>
      <w:r w:rsidRPr="00783A3B">
        <w:rPr>
          <w:rFonts w:ascii="Arial" w:hAnsi="Arial" w:cs="Arial"/>
        </w:rPr>
        <w:t xml:space="preserve">Smoking is another important lifestyle factor because people with diabetes already have an increased risk of cardiovascular disease. Continuing to smoke can worsen </w:t>
      </w:r>
      <w:r w:rsidRPr="00783A3B">
        <w:rPr>
          <w:rFonts w:ascii="Arial" w:hAnsi="Arial" w:cs="Arial"/>
        </w:rPr>
        <w:lastRenderedPageBreak/>
        <w:t>the harmful effects on cardiovascular health. Therefore, stopping smoking is an important part of reducing the overall health risks associated with Type 2 diabetes (NHS, 20</w:t>
      </w:r>
      <w:r w:rsidR="008550D2" w:rsidRPr="00783A3B">
        <w:rPr>
          <w:rFonts w:ascii="Arial" w:hAnsi="Arial" w:cs="Arial"/>
        </w:rPr>
        <w:t>17</w:t>
      </w:r>
      <w:r w:rsidRPr="00783A3B">
        <w:rPr>
          <w:rFonts w:ascii="Arial" w:hAnsi="Arial" w:cs="Arial"/>
        </w:rPr>
        <w:t>). For patients attending a GP surgery, understanding how these factors affect the body can help them make informed lifestyle choices. The practice nurse can provide education and support so that patients can make realistic changes to their diet, physical activity and smoking behaviour as part of their individual diabetes care plan.</w:t>
      </w:r>
    </w:p>
    <w:p w14:paraId="57240454" w14:textId="6CE3F83F" w:rsidR="003A6266" w:rsidRPr="00783A3B" w:rsidRDefault="003A6266" w:rsidP="00513157">
      <w:pPr>
        <w:pStyle w:val="Heading1"/>
      </w:pPr>
      <w:bookmarkStart w:id="3" w:name="_Toc242037691"/>
      <w:r w:rsidRPr="00783A3B">
        <w:t>Section 3: Monitoring and Data Use</w:t>
      </w:r>
      <w:bookmarkEnd w:id="3"/>
    </w:p>
    <w:p w14:paraId="52E2A777" w14:textId="3AC94E6A" w:rsidR="00854358" w:rsidRPr="00783A3B" w:rsidRDefault="00854358" w:rsidP="00783A3B">
      <w:pPr>
        <w:spacing w:line="360" w:lineRule="auto"/>
        <w:jc w:val="both"/>
        <w:rPr>
          <w:rFonts w:ascii="Arial" w:hAnsi="Arial" w:cs="Arial"/>
        </w:rPr>
      </w:pPr>
      <w:r w:rsidRPr="00783A3B">
        <w:rPr>
          <w:rFonts w:ascii="Arial" w:hAnsi="Arial" w:cs="Arial"/>
        </w:rPr>
        <w:t xml:space="preserve">Monitoring and logging blood glucose levels can </w:t>
      </w:r>
      <w:r w:rsidR="00195ECE">
        <w:rPr>
          <w:rFonts w:ascii="Arial" w:hAnsi="Arial" w:cs="Arial"/>
        </w:rPr>
        <w:t xml:space="preserve">help individuals with Type 2 diabetes understand how their condition responds to </w:t>
      </w:r>
      <w:r w:rsidRPr="00783A3B">
        <w:rPr>
          <w:rFonts w:ascii="Arial" w:hAnsi="Arial" w:cs="Arial"/>
        </w:rPr>
        <w:t>diet, exercise, and medication. A blood glucose measurement reveals an individual’s glucose level at a specific moment and can help pinpoint trends of elevated or decreased blood glucose. When self-monitoring is suitable, documenting these readings can offer valuable insights for conversations between the patient and healthcare provider regarding diabetes management (NHS, 2025c).</w:t>
      </w:r>
    </w:p>
    <w:p w14:paraId="12A864EF" w14:textId="77777777" w:rsidR="00BE0075" w:rsidRPr="00783A3B" w:rsidRDefault="002A1179" w:rsidP="00783A3B">
      <w:pPr>
        <w:spacing w:line="360" w:lineRule="auto"/>
        <w:jc w:val="both"/>
        <w:rPr>
          <w:rFonts w:ascii="Arial" w:hAnsi="Arial" w:cs="Arial"/>
        </w:rPr>
      </w:pPr>
      <w:r w:rsidRPr="00783A3B">
        <w:rPr>
          <w:rFonts w:ascii="Arial" w:hAnsi="Arial" w:cs="Arial"/>
        </w:rPr>
        <w:t>However</w:t>
      </w:r>
      <w:r w:rsidR="00815955" w:rsidRPr="00783A3B">
        <w:rPr>
          <w:rFonts w:ascii="Arial" w:hAnsi="Arial" w:cs="Arial"/>
        </w:rPr>
        <w:t xml:space="preserve">, regular blood glucose monitoring through finger pricks is not essential for all individuals with Type 2 diabetes. NICE suggests that self-monitoring should be considered for those using insulin, experiencing low blood sugar episodes, or taking medications that could elevate the risk of hypoglycaemia. It may also be relevant in specific circumstances, such as when an individual needs to track their glucose levels for safety reasons while driving. Consequently, the decision to monitor blood glucose should be tailored to each patient’s treatment and clinical circumstances rather than </w:t>
      </w:r>
      <w:r w:rsidR="00FA7F8D" w:rsidRPr="00783A3B">
        <w:rPr>
          <w:rFonts w:ascii="Arial" w:hAnsi="Arial" w:cs="Arial"/>
        </w:rPr>
        <w:t xml:space="preserve">universally recommended </w:t>
      </w:r>
      <w:r w:rsidR="005218D3" w:rsidRPr="00783A3B">
        <w:rPr>
          <w:rFonts w:ascii="Arial" w:hAnsi="Arial" w:cs="Arial"/>
        </w:rPr>
        <w:t>(NICE, 2026)</w:t>
      </w:r>
      <w:r w:rsidR="00815955" w:rsidRPr="00783A3B">
        <w:rPr>
          <w:rFonts w:ascii="Arial" w:hAnsi="Arial" w:cs="Arial"/>
        </w:rPr>
        <w:t>.</w:t>
      </w:r>
    </w:p>
    <w:p w14:paraId="2BB7DB6F" w14:textId="63B9A028" w:rsidR="00FD584E" w:rsidRPr="00783A3B" w:rsidRDefault="00834A1A" w:rsidP="00783A3B">
      <w:pPr>
        <w:spacing w:line="360" w:lineRule="auto"/>
        <w:jc w:val="both"/>
        <w:rPr>
          <w:rFonts w:ascii="Arial" w:hAnsi="Arial" w:cs="Arial"/>
        </w:rPr>
      </w:pPr>
      <w:r w:rsidRPr="00783A3B">
        <w:rPr>
          <w:rFonts w:ascii="Arial" w:hAnsi="Arial" w:cs="Arial"/>
        </w:rPr>
        <w:t xml:space="preserve">HbA1c testing serves as a crucial method for monitoring diabetes. </w:t>
      </w:r>
      <w:r w:rsidR="0084562E" w:rsidRPr="00783A3B">
        <w:rPr>
          <w:rFonts w:ascii="Arial" w:hAnsi="Arial" w:cs="Arial"/>
        </w:rPr>
        <w:t xml:space="preserve">Unlike a finger-prick test, which reflects blood glucose levels at a specific moment, HbA1c measures average blood glucose over approximately the previous two to three months. </w:t>
      </w:r>
      <w:r w:rsidR="007A39F2">
        <w:rPr>
          <w:rFonts w:ascii="Arial" w:hAnsi="Arial" w:cs="Arial"/>
        </w:rPr>
        <w:t>Regular HbA1c testing enables healthcare providers to assess long-term blood glucose control and determine how effective an individual's diabetes management is</w:t>
      </w:r>
      <w:r w:rsidRPr="00783A3B">
        <w:rPr>
          <w:rFonts w:ascii="Arial" w:hAnsi="Arial" w:cs="Arial"/>
        </w:rPr>
        <w:t xml:space="preserve">. </w:t>
      </w:r>
      <w:r w:rsidR="006D55B6" w:rsidRPr="00783A3B">
        <w:rPr>
          <w:rFonts w:ascii="Arial" w:hAnsi="Arial" w:cs="Arial"/>
        </w:rPr>
        <w:t xml:space="preserve">According to the NHS, individuals with Type 2 diabetes generally have their HbA1c checked every 3 to 6 months as part of their diabetes care (NHS, 2025c). </w:t>
      </w:r>
      <w:r w:rsidR="00FD584E" w:rsidRPr="00783A3B">
        <w:rPr>
          <w:rFonts w:ascii="Arial" w:hAnsi="Arial" w:cs="Arial"/>
        </w:rPr>
        <w:t xml:space="preserve">For individuals visiting a GP practice, tracking results over time can </w:t>
      </w:r>
      <w:r w:rsidR="007A39F2">
        <w:rPr>
          <w:rFonts w:ascii="Arial" w:hAnsi="Arial" w:cs="Arial"/>
        </w:rPr>
        <w:t>help the practice nurse determine</w:t>
      </w:r>
      <w:r w:rsidR="00FD584E" w:rsidRPr="00783A3B">
        <w:rPr>
          <w:rFonts w:ascii="Arial" w:hAnsi="Arial" w:cs="Arial"/>
        </w:rPr>
        <w:t xml:space="preserve"> whether blood glucose control is improving, remaining steady, or deteriorating. It can also </w:t>
      </w:r>
      <w:r w:rsidR="007A39F2">
        <w:rPr>
          <w:rFonts w:ascii="Arial" w:hAnsi="Arial" w:cs="Arial"/>
        </w:rPr>
        <w:t xml:space="preserve">help </w:t>
      </w:r>
      <w:r w:rsidR="007A39F2">
        <w:rPr>
          <w:rFonts w:ascii="Arial" w:hAnsi="Arial" w:cs="Arial"/>
        </w:rPr>
        <w:lastRenderedPageBreak/>
        <w:t>patients understand how their lifestyle choices affect</w:t>
      </w:r>
      <w:r w:rsidR="00FD584E" w:rsidRPr="00783A3B">
        <w:rPr>
          <w:rFonts w:ascii="Arial" w:hAnsi="Arial" w:cs="Arial"/>
        </w:rPr>
        <w:t xml:space="preserve"> their diabetes management. For instance, a patient might notice variations in glucose levels after increasing their physical activity or altering their diet. However, patients should </w:t>
      </w:r>
      <w:r w:rsidR="007A39F2">
        <w:rPr>
          <w:rFonts w:ascii="Arial" w:hAnsi="Arial" w:cs="Arial"/>
        </w:rPr>
        <w:t>not make significant medication changes based on a single reading and should discuss</w:t>
      </w:r>
      <w:r w:rsidR="00FD584E" w:rsidRPr="00783A3B">
        <w:rPr>
          <w:rFonts w:ascii="Arial" w:hAnsi="Arial" w:cs="Arial"/>
        </w:rPr>
        <w:t xml:space="preserve"> any concerns or persistent abnormal results with their healthcare provider (NHS, 2025c).</w:t>
      </w:r>
    </w:p>
    <w:p w14:paraId="435D91CA" w14:textId="06334D70" w:rsidR="00487072" w:rsidRPr="00783A3B" w:rsidRDefault="00487072" w:rsidP="00783A3B">
      <w:pPr>
        <w:spacing w:line="360" w:lineRule="auto"/>
        <w:jc w:val="both"/>
        <w:rPr>
          <w:rFonts w:ascii="Arial" w:hAnsi="Arial" w:cs="Arial"/>
        </w:rPr>
      </w:pPr>
      <w:r w:rsidRPr="00783A3B">
        <w:rPr>
          <w:rFonts w:ascii="Arial" w:hAnsi="Arial" w:cs="Arial"/>
        </w:rPr>
        <w:t xml:space="preserve">Consequently, documenting and evaluating pertinent diabetes information </w:t>
      </w:r>
      <w:r w:rsidR="007A39F2">
        <w:rPr>
          <w:rFonts w:ascii="Arial" w:hAnsi="Arial" w:cs="Arial"/>
        </w:rPr>
        <w:t>supports safer,</w:t>
      </w:r>
      <w:r w:rsidRPr="00783A3B">
        <w:rPr>
          <w:rFonts w:ascii="Arial" w:hAnsi="Arial" w:cs="Arial"/>
        </w:rPr>
        <w:t xml:space="preserve"> more tailored care. Integrating </w:t>
      </w:r>
      <w:r w:rsidR="007A39F2">
        <w:rPr>
          <w:rFonts w:ascii="Arial" w:hAnsi="Arial" w:cs="Arial"/>
        </w:rPr>
        <w:t>appropriate self-monitoring with routine HbA1c assessments and clinical evaluations enables both patients and healthcare providers to make informed choices about ongoing</w:t>
      </w:r>
      <w:r w:rsidRPr="00783A3B">
        <w:rPr>
          <w:rFonts w:ascii="Arial" w:hAnsi="Arial" w:cs="Arial"/>
        </w:rPr>
        <w:t xml:space="preserve"> management. This approach can </w:t>
      </w:r>
      <w:r w:rsidR="007A39F2">
        <w:rPr>
          <w:rFonts w:ascii="Arial" w:hAnsi="Arial" w:cs="Arial"/>
        </w:rPr>
        <w:t>improve blood glucose regulation and help minimise the likelihood of diabetes-related complications</w:t>
      </w:r>
      <w:r w:rsidRPr="00783A3B">
        <w:rPr>
          <w:rFonts w:ascii="Arial" w:hAnsi="Arial" w:cs="Arial"/>
        </w:rPr>
        <w:t xml:space="preserve"> over time (NICE, 2026).</w:t>
      </w:r>
    </w:p>
    <w:p w14:paraId="7FF87776" w14:textId="04AB3174" w:rsidR="00A61FCA" w:rsidRPr="00783A3B" w:rsidRDefault="00A61FCA" w:rsidP="00513157">
      <w:pPr>
        <w:pStyle w:val="Heading1"/>
      </w:pPr>
      <w:bookmarkStart w:id="4" w:name="_Toc242037692"/>
      <w:r w:rsidRPr="00783A3B">
        <w:t>Section 4: Evidence-Based Lifestyle Recommendations</w:t>
      </w:r>
      <w:bookmarkEnd w:id="4"/>
    </w:p>
    <w:p w14:paraId="064EC2F7" w14:textId="4D7637CC" w:rsidR="006D593D" w:rsidRPr="00783A3B" w:rsidRDefault="007E0783" w:rsidP="00783A3B">
      <w:pPr>
        <w:spacing w:line="360" w:lineRule="auto"/>
        <w:jc w:val="both"/>
        <w:rPr>
          <w:rFonts w:ascii="Arial" w:hAnsi="Arial" w:cs="Arial"/>
        </w:rPr>
      </w:pPr>
      <w:r w:rsidRPr="00783A3B">
        <w:rPr>
          <w:rFonts w:ascii="Arial" w:hAnsi="Arial" w:cs="Arial"/>
        </w:rPr>
        <w:t xml:space="preserve">Making lifestyle </w:t>
      </w:r>
      <w:r w:rsidR="002134B7" w:rsidRPr="00783A3B">
        <w:rPr>
          <w:rFonts w:ascii="Arial" w:hAnsi="Arial" w:cs="Arial"/>
        </w:rPr>
        <w:t>changes</w:t>
      </w:r>
      <w:r w:rsidRPr="00783A3B">
        <w:rPr>
          <w:rFonts w:ascii="Arial" w:hAnsi="Arial" w:cs="Arial"/>
        </w:rPr>
        <w:t xml:space="preserve"> is crucial for managing Type 2 diabetes, as they can enhance blood sugar regulation and lower the chances of complications. The World Health </w:t>
      </w:r>
      <w:r w:rsidR="002134B7" w:rsidRPr="00783A3B">
        <w:rPr>
          <w:rFonts w:ascii="Arial" w:hAnsi="Arial" w:cs="Arial"/>
        </w:rPr>
        <w:t>Organisation</w:t>
      </w:r>
      <w:r w:rsidRPr="00783A3B">
        <w:rPr>
          <w:rFonts w:ascii="Arial" w:hAnsi="Arial" w:cs="Arial"/>
        </w:rPr>
        <w:t xml:space="preserve"> (WHO) suggests that a nutritious diet, </w:t>
      </w:r>
      <w:r w:rsidR="00A84652">
        <w:rPr>
          <w:rFonts w:ascii="Arial" w:hAnsi="Arial" w:cs="Arial"/>
        </w:rPr>
        <w:t xml:space="preserve">regular physical activity, maintaining a healthy weight, and avoiding tobacco are key strategies </w:t>
      </w:r>
      <w:r w:rsidR="007A39F2">
        <w:rPr>
          <w:rFonts w:ascii="Arial" w:hAnsi="Arial" w:cs="Arial"/>
        </w:rPr>
        <w:t>to prevent or delay</w:t>
      </w:r>
      <w:r w:rsidRPr="00783A3B">
        <w:rPr>
          <w:rFonts w:ascii="Arial" w:hAnsi="Arial" w:cs="Arial"/>
        </w:rPr>
        <w:t xml:space="preserve"> Type 2 diabetes and its associated complications (WHO, 2024). </w:t>
      </w:r>
      <w:r w:rsidR="003B5E29">
        <w:rPr>
          <w:rFonts w:ascii="Arial" w:hAnsi="Arial" w:cs="Arial"/>
        </w:rPr>
        <w:t>Tailor lifestyle recommendations</w:t>
      </w:r>
      <w:r w:rsidR="00A84652">
        <w:rPr>
          <w:rFonts w:ascii="Arial" w:hAnsi="Arial" w:cs="Arial"/>
        </w:rPr>
        <w:t xml:space="preserve"> to the individual, considering their health needs, preferences,</w:t>
      </w:r>
      <w:r w:rsidR="009310C2" w:rsidRPr="00783A3B">
        <w:rPr>
          <w:rFonts w:ascii="Arial" w:hAnsi="Arial" w:cs="Arial"/>
        </w:rPr>
        <w:t xml:space="preserve"> and personal circumstances. A</w:t>
      </w:r>
      <w:r w:rsidR="006D593D" w:rsidRPr="00783A3B">
        <w:rPr>
          <w:rFonts w:ascii="Arial" w:hAnsi="Arial" w:cs="Arial"/>
        </w:rPr>
        <w:t xml:space="preserve"> well-balanced</w:t>
      </w:r>
      <w:r w:rsidR="007A39F2">
        <w:rPr>
          <w:rFonts w:ascii="Arial" w:hAnsi="Arial" w:cs="Arial"/>
        </w:rPr>
        <w:t xml:space="preserve">, healthy diet can help individuals with Type 2 diabetes control both blood glucose levels and </w:t>
      </w:r>
      <w:r w:rsidR="006D593D" w:rsidRPr="00783A3B">
        <w:rPr>
          <w:rFonts w:ascii="Arial" w:hAnsi="Arial" w:cs="Arial"/>
        </w:rPr>
        <w:t xml:space="preserve">body weight. </w:t>
      </w:r>
      <w:r w:rsidR="00C26A9D">
        <w:rPr>
          <w:rFonts w:ascii="Arial" w:hAnsi="Arial" w:cs="Arial"/>
        </w:rPr>
        <w:t>Encourage patients</w:t>
      </w:r>
      <w:r w:rsidR="007A39F2">
        <w:rPr>
          <w:rFonts w:ascii="Arial" w:hAnsi="Arial" w:cs="Arial"/>
        </w:rPr>
        <w:t xml:space="preserve"> to eat a wide range of nutritious foods while cutting down on foods</w:t>
      </w:r>
      <w:r w:rsidR="006D593D" w:rsidRPr="00783A3B">
        <w:rPr>
          <w:rFonts w:ascii="Arial" w:hAnsi="Arial" w:cs="Arial"/>
        </w:rPr>
        <w:t xml:space="preserve"> high in added sugar and saturated fat. When giving dietary advice</w:t>
      </w:r>
      <w:r w:rsidR="00533406" w:rsidRPr="00783A3B">
        <w:rPr>
          <w:rFonts w:ascii="Arial" w:hAnsi="Arial" w:cs="Arial"/>
        </w:rPr>
        <w:t>,</w:t>
      </w:r>
      <w:r w:rsidR="006D593D" w:rsidRPr="00783A3B">
        <w:rPr>
          <w:rFonts w:ascii="Arial" w:hAnsi="Arial" w:cs="Arial"/>
        </w:rPr>
        <w:t xml:space="preserve"> </w:t>
      </w:r>
      <w:r w:rsidR="007A39F2">
        <w:rPr>
          <w:rFonts w:ascii="Arial" w:hAnsi="Arial" w:cs="Arial"/>
        </w:rPr>
        <w:t>consider the person's normal eating habits and cultural preferences so the recommended changes are realistic and maintainable</w:t>
      </w:r>
      <w:r w:rsidR="006D593D" w:rsidRPr="00783A3B">
        <w:rPr>
          <w:rFonts w:ascii="Arial" w:hAnsi="Arial" w:cs="Arial"/>
        </w:rPr>
        <w:t xml:space="preserve"> over time. The World Health </w:t>
      </w:r>
      <w:r w:rsidR="00533406" w:rsidRPr="00783A3B">
        <w:rPr>
          <w:rFonts w:ascii="Arial" w:hAnsi="Arial" w:cs="Arial"/>
        </w:rPr>
        <w:t>Organisation</w:t>
      </w:r>
      <w:r w:rsidR="006D593D" w:rsidRPr="00783A3B">
        <w:rPr>
          <w:rFonts w:ascii="Arial" w:hAnsi="Arial" w:cs="Arial"/>
        </w:rPr>
        <w:t xml:space="preserve"> (2024) states that healthy eating is an important </w:t>
      </w:r>
      <w:r w:rsidR="00C26A9D">
        <w:rPr>
          <w:rFonts w:ascii="Arial" w:hAnsi="Arial" w:cs="Arial"/>
        </w:rPr>
        <w:t>part of</w:t>
      </w:r>
      <w:r w:rsidR="006D593D" w:rsidRPr="00783A3B">
        <w:rPr>
          <w:rFonts w:ascii="Arial" w:hAnsi="Arial" w:cs="Arial"/>
        </w:rPr>
        <w:t xml:space="preserve"> </w:t>
      </w:r>
      <w:r w:rsidR="007A39F2">
        <w:rPr>
          <w:rFonts w:ascii="Arial" w:hAnsi="Arial" w:cs="Arial"/>
        </w:rPr>
        <w:t>preventing and managing</w:t>
      </w:r>
      <w:r w:rsidR="006D593D" w:rsidRPr="00783A3B">
        <w:rPr>
          <w:rFonts w:ascii="Arial" w:hAnsi="Arial" w:cs="Arial"/>
        </w:rPr>
        <w:t xml:space="preserve"> diabetes. In community and primary care settings, the practice nurse can help patients </w:t>
      </w:r>
      <w:r w:rsidR="007A39F2">
        <w:rPr>
          <w:rFonts w:ascii="Arial" w:hAnsi="Arial" w:cs="Arial"/>
        </w:rPr>
        <w:t xml:space="preserve">find achievable dietary changes </w:t>
      </w:r>
      <w:r w:rsidR="006D593D" w:rsidRPr="00783A3B">
        <w:rPr>
          <w:rFonts w:ascii="Arial" w:hAnsi="Arial" w:cs="Arial"/>
        </w:rPr>
        <w:t>rather than asking them to make large changes right away.</w:t>
      </w:r>
    </w:p>
    <w:p w14:paraId="0049C808" w14:textId="731285E0" w:rsidR="002948CA" w:rsidRPr="00783A3B" w:rsidRDefault="007A39F2" w:rsidP="00783A3B">
      <w:pPr>
        <w:spacing w:line="360" w:lineRule="auto"/>
        <w:jc w:val="both"/>
        <w:rPr>
          <w:rFonts w:ascii="Arial" w:hAnsi="Arial" w:cs="Arial"/>
        </w:rPr>
      </w:pPr>
      <w:r>
        <w:rPr>
          <w:rFonts w:ascii="Arial" w:hAnsi="Arial" w:cs="Arial"/>
        </w:rPr>
        <w:t>Physical</w:t>
      </w:r>
      <w:r w:rsidR="002948CA" w:rsidRPr="00783A3B">
        <w:rPr>
          <w:rFonts w:ascii="Arial" w:hAnsi="Arial" w:cs="Arial"/>
        </w:rPr>
        <w:t xml:space="preserve"> activity is a crucial lifestyle recommendation. Exercise enables muscles to </w:t>
      </w:r>
      <w:r>
        <w:rPr>
          <w:rFonts w:ascii="Arial" w:hAnsi="Arial" w:cs="Arial"/>
        </w:rPr>
        <w:t>utilise</w:t>
      </w:r>
      <w:r w:rsidR="002948CA" w:rsidRPr="00783A3B">
        <w:rPr>
          <w:rFonts w:ascii="Arial" w:hAnsi="Arial" w:cs="Arial"/>
        </w:rPr>
        <w:t xml:space="preserve"> glucose for energy and enhances the body’s insulin sensitivity. </w:t>
      </w:r>
      <w:r>
        <w:rPr>
          <w:rFonts w:ascii="Arial" w:hAnsi="Arial" w:cs="Arial"/>
        </w:rPr>
        <w:t>A systematic review and meta-analysis found that resistance training can improve</w:t>
      </w:r>
      <w:r w:rsidR="002948CA" w:rsidRPr="00783A3B">
        <w:rPr>
          <w:rFonts w:ascii="Arial" w:hAnsi="Arial" w:cs="Arial"/>
        </w:rPr>
        <w:t xml:space="preserve"> glycaemic control in adults with Type 2 diabetes (Wan </w:t>
      </w:r>
      <w:r>
        <w:rPr>
          <w:rFonts w:ascii="Arial" w:hAnsi="Arial" w:cs="Arial"/>
        </w:rPr>
        <w:t>&amp;</w:t>
      </w:r>
      <w:r w:rsidR="002948CA" w:rsidRPr="00783A3B">
        <w:rPr>
          <w:rFonts w:ascii="Arial" w:hAnsi="Arial" w:cs="Arial"/>
        </w:rPr>
        <w:t xml:space="preserve"> Su, 2024). As a result, patients should be </w:t>
      </w:r>
      <w:r w:rsidR="002948CA" w:rsidRPr="00783A3B">
        <w:rPr>
          <w:rFonts w:ascii="Arial" w:hAnsi="Arial" w:cs="Arial"/>
        </w:rPr>
        <w:lastRenderedPageBreak/>
        <w:t xml:space="preserve">encouraged to incorporate appropriate physical activities into their daily lives, such as walking, cycling, or strength training, based on their physical capabilities and health requirements. Gradually increasing activity levels may also </w:t>
      </w:r>
      <w:r>
        <w:rPr>
          <w:rFonts w:ascii="Arial" w:hAnsi="Arial" w:cs="Arial"/>
        </w:rPr>
        <w:t>help maintain</w:t>
      </w:r>
      <w:r w:rsidR="002948CA" w:rsidRPr="00783A3B">
        <w:rPr>
          <w:rFonts w:ascii="Arial" w:hAnsi="Arial" w:cs="Arial"/>
        </w:rPr>
        <w:t xml:space="preserve"> these lifestyle changes over the long term.</w:t>
      </w:r>
    </w:p>
    <w:p w14:paraId="02D5F2D3" w14:textId="596910EA" w:rsidR="003D7200" w:rsidRPr="00783A3B" w:rsidRDefault="003D7200" w:rsidP="00783A3B">
      <w:pPr>
        <w:spacing w:line="360" w:lineRule="auto"/>
        <w:jc w:val="both"/>
        <w:rPr>
          <w:rFonts w:ascii="Arial" w:hAnsi="Arial" w:cs="Arial"/>
        </w:rPr>
      </w:pPr>
      <w:r w:rsidRPr="00783A3B">
        <w:rPr>
          <w:rFonts w:ascii="Arial" w:hAnsi="Arial" w:cs="Arial"/>
        </w:rPr>
        <w:t xml:space="preserve">Weight management is an important consideration, especially for individuals who are overweight or have obesity. Integrating dietary modifications with consistent physical activity can yield additional benefits for those with Type 2 diabetes. A systematic review by </w:t>
      </w:r>
      <w:proofErr w:type="spellStart"/>
      <w:r w:rsidR="00C26A9D">
        <w:rPr>
          <w:rFonts w:ascii="Arial" w:hAnsi="Arial" w:cs="Arial"/>
        </w:rPr>
        <w:t>Amerkamp</w:t>
      </w:r>
      <w:proofErr w:type="spellEnd"/>
      <w:r w:rsidR="00C26A9D">
        <w:rPr>
          <w:rFonts w:ascii="Arial" w:hAnsi="Arial" w:cs="Arial"/>
        </w:rPr>
        <w:t xml:space="preserve"> et al. (2025) indicated that combining diet and exercise can improve</w:t>
      </w:r>
      <w:r w:rsidRPr="00783A3B">
        <w:rPr>
          <w:rFonts w:ascii="Arial" w:hAnsi="Arial" w:cs="Arial"/>
        </w:rPr>
        <w:t xml:space="preserve"> physical fitness and may also offer additional benefits in areas such as glycaemic control, body weight, and medication use for some individuals. Consequently, </w:t>
      </w:r>
      <w:r w:rsidR="00C26A9D">
        <w:rPr>
          <w:rFonts w:ascii="Arial" w:hAnsi="Arial" w:cs="Arial"/>
        </w:rPr>
        <w:t>encourage patients to set realistic weight-management goals rather than pushing them to follow</w:t>
      </w:r>
      <w:r w:rsidRPr="00783A3B">
        <w:rPr>
          <w:rFonts w:ascii="Arial" w:hAnsi="Arial" w:cs="Arial"/>
        </w:rPr>
        <w:t xml:space="preserve"> impractical or restrictive diets.</w:t>
      </w:r>
    </w:p>
    <w:p w14:paraId="21FC448B" w14:textId="7D170C7A" w:rsidR="003D7200" w:rsidRPr="00783A3B" w:rsidRDefault="003D7200" w:rsidP="00783A3B">
      <w:pPr>
        <w:spacing w:line="360" w:lineRule="auto"/>
        <w:jc w:val="both"/>
        <w:rPr>
          <w:rFonts w:ascii="Arial" w:hAnsi="Arial" w:cs="Arial"/>
        </w:rPr>
      </w:pPr>
      <w:r w:rsidRPr="00783A3B">
        <w:rPr>
          <w:rFonts w:ascii="Arial" w:hAnsi="Arial" w:cs="Arial"/>
        </w:rPr>
        <w:t xml:space="preserve">It is also important to promote smoking cessation, as smoking increases cardiovascular risk in individuals with type 2 diabetes. </w:t>
      </w:r>
      <w:r w:rsidR="007A39F2">
        <w:rPr>
          <w:rFonts w:ascii="Arial" w:hAnsi="Arial" w:cs="Arial"/>
        </w:rPr>
        <w:t>Encourage smokers to quit and provide</w:t>
      </w:r>
      <w:r w:rsidR="00627622" w:rsidRPr="00783A3B">
        <w:rPr>
          <w:rFonts w:ascii="Arial" w:hAnsi="Arial" w:cs="Arial"/>
        </w:rPr>
        <w:t xml:space="preserve"> appropriate support.</w:t>
      </w:r>
      <w:r w:rsidRPr="00783A3B">
        <w:rPr>
          <w:rFonts w:ascii="Arial" w:hAnsi="Arial" w:cs="Arial"/>
        </w:rPr>
        <w:t xml:space="preserve"> A large study of people with type 2 diabetes found that quitting smoking was associated with a lower risk of cardiovascular disease and death than continuing to smoke (</w:t>
      </w:r>
      <w:r w:rsidR="00AA15C5" w:rsidRPr="00783A3B">
        <w:rPr>
          <w:rFonts w:ascii="Arial" w:hAnsi="Arial" w:cs="Arial"/>
        </w:rPr>
        <w:t xml:space="preserve">Jeong et al., 2023). </w:t>
      </w:r>
      <w:r w:rsidRPr="00783A3B">
        <w:rPr>
          <w:rFonts w:ascii="Arial" w:hAnsi="Arial" w:cs="Arial"/>
        </w:rPr>
        <w:t>This is why smoking cessation should be part of the lifestyle advice healthcare professionals give.</w:t>
      </w:r>
    </w:p>
    <w:p w14:paraId="01EAD351" w14:textId="7A1CA639" w:rsidR="00AD15D6" w:rsidRPr="00783A3B" w:rsidRDefault="00AD15D6" w:rsidP="00783A3B">
      <w:pPr>
        <w:spacing w:line="360" w:lineRule="auto"/>
        <w:jc w:val="both"/>
        <w:rPr>
          <w:rFonts w:ascii="Arial" w:hAnsi="Arial" w:cs="Arial"/>
        </w:rPr>
      </w:pPr>
      <w:r w:rsidRPr="00783A3B">
        <w:rPr>
          <w:rFonts w:ascii="Arial" w:hAnsi="Arial" w:cs="Arial"/>
        </w:rPr>
        <w:t xml:space="preserve">In general, lifestyle suggestions should be </w:t>
      </w:r>
      <w:r w:rsidR="007A39F2">
        <w:rPr>
          <w:rFonts w:ascii="Arial" w:hAnsi="Arial" w:cs="Arial"/>
        </w:rPr>
        <w:t>evidence-based</w:t>
      </w:r>
      <w:r w:rsidRPr="00783A3B">
        <w:rPr>
          <w:rFonts w:ascii="Arial" w:hAnsi="Arial" w:cs="Arial"/>
        </w:rPr>
        <w:t xml:space="preserve"> and tailored to </w:t>
      </w:r>
      <w:proofErr w:type="gramStart"/>
      <w:r w:rsidRPr="00783A3B">
        <w:rPr>
          <w:rFonts w:ascii="Arial" w:hAnsi="Arial" w:cs="Arial"/>
        </w:rPr>
        <w:t>each individual</w:t>
      </w:r>
      <w:proofErr w:type="gramEnd"/>
      <w:r w:rsidRPr="00783A3B">
        <w:rPr>
          <w:rFonts w:ascii="Arial" w:hAnsi="Arial" w:cs="Arial"/>
        </w:rPr>
        <w:t xml:space="preserve">. A practice nurse can </w:t>
      </w:r>
      <w:r w:rsidR="007A39F2">
        <w:rPr>
          <w:rFonts w:ascii="Arial" w:hAnsi="Arial" w:cs="Arial"/>
        </w:rPr>
        <w:t>work with patients to set achievable goals for nutrition, exercise, weight control, and smoking cessation</w:t>
      </w:r>
      <w:r w:rsidRPr="00783A3B">
        <w:rPr>
          <w:rFonts w:ascii="Arial" w:hAnsi="Arial" w:cs="Arial"/>
        </w:rPr>
        <w:t xml:space="preserve">. Consistent follow-up can </w:t>
      </w:r>
      <w:r w:rsidR="007A39F2">
        <w:rPr>
          <w:rFonts w:ascii="Arial" w:hAnsi="Arial" w:cs="Arial"/>
        </w:rPr>
        <w:t>help evaluate progress and provide</w:t>
      </w:r>
      <w:r w:rsidRPr="00783A3B">
        <w:rPr>
          <w:rFonts w:ascii="Arial" w:hAnsi="Arial" w:cs="Arial"/>
        </w:rPr>
        <w:t xml:space="preserve"> additional support when needed. This approach can motivate patients to </w:t>
      </w:r>
      <w:r w:rsidR="007A39F2">
        <w:rPr>
          <w:rFonts w:ascii="Arial" w:hAnsi="Arial" w:cs="Arial"/>
        </w:rPr>
        <w:t>participate actively in managing their Type 2 diabetes and improve long-term health outcomes</w:t>
      </w:r>
      <w:r w:rsidRPr="00783A3B">
        <w:rPr>
          <w:rFonts w:ascii="Arial" w:hAnsi="Arial" w:cs="Arial"/>
        </w:rPr>
        <w:t>.</w:t>
      </w:r>
    </w:p>
    <w:p w14:paraId="3C91B2DF" w14:textId="6960EDCE" w:rsidR="002755B6" w:rsidRPr="00783A3B" w:rsidRDefault="002755B6" w:rsidP="00513157">
      <w:pPr>
        <w:pStyle w:val="Heading1"/>
      </w:pPr>
      <w:bookmarkStart w:id="5" w:name="_Toc242037693"/>
      <w:r w:rsidRPr="00783A3B">
        <w:t>Conclusion</w:t>
      </w:r>
      <w:bookmarkEnd w:id="5"/>
    </w:p>
    <w:p w14:paraId="41437D7A" w14:textId="244DCED7" w:rsidR="002755B6" w:rsidRPr="00783A3B" w:rsidRDefault="007A39F2" w:rsidP="00783A3B">
      <w:pPr>
        <w:spacing w:line="360" w:lineRule="auto"/>
        <w:jc w:val="both"/>
        <w:rPr>
          <w:rFonts w:ascii="Arial" w:hAnsi="Arial" w:cs="Arial"/>
        </w:rPr>
      </w:pPr>
      <w:r>
        <w:rPr>
          <w:rFonts w:ascii="Arial" w:hAnsi="Arial" w:cs="Arial"/>
        </w:rPr>
        <w:t>In summary, Type 2 diabetes is a chronic condition that affects the body's ability to regulate blood sugar. Understanding the roles of insulin, glucagon, and glucose metabolism helps explain why blood sugar can rise in people with Type 2 diabetes. Persistently high blood glucose can increase the risk of serious complications, including cardiovascular problems, kidney damage, nerve injury, and vision problems.</w:t>
      </w:r>
    </w:p>
    <w:p w14:paraId="2C93F9D0" w14:textId="3D42138C" w:rsidR="00AB23B9" w:rsidRPr="00783A3B" w:rsidRDefault="003E50E5" w:rsidP="00783A3B">
      <w:pPr>
        <w:spacing w:line="360" w:lineRule="auto"/>
        <w:jc w:val="both"/>
        <w:rPr>
          <w:rFonts w:ascii="Arial" w:hAnsi="Arial" w:cs="Arial"/>
        </w:rPr>
      </w:pPr>
      <w:r>
        <w:rPr>
          <w:rFonts w:ascii="Arial" w:hAnsi="Arial" w:cs="Arial"/>
        </w:rPr>
        <w:lastRenderedPageBreak/>
        <w:t>Monitoring blood glucose and HbA1c levels helps both patients and healthcare professionals assess how well diabetes is controlled and when extra support may be needed</w:t>
      </w:r>
      <w:r w:rsidR="00AB23B9" w:rsidRPr="00783A3B">
        <w:rPr>
          <w:rFonts w:ascii="Arial" w:hAnsi="Arial" w:cs="Arial"/>
        </w:rPr>
        <w:t xml:space="preserve">. Nevertheless, </w:t>
      </w:r>
      <w:r>
        <w:rPr>
          <w:rFonts w:ascii="Arial" w:hAnsi="Arial" w:cs="Arial"/>
        </w:rPr>
        <w:t>monitoring should suit</w:t>
      </w:r>
      <w:r w:rsidR="00AB23B9" w:rsidRPr="00783A3B">
        <w:rPr>
          <w:rFonts w:ascii="Arial" w:hAnsi="Arial" w:cs="Arial"/>
        </w:rPr>
        <w:t xml:space="preserve"> the individual's treatment and healthcare needs. Lifestyle changes are also a key component of diabetes management; adopting a healthier diet, </w:t>
      </w:r>
      <w:r>
        <w:rPr>
          <w:rFonts w:ascii="Arial" w:hAnsi="Arial" w:cs="Arial"/>
        </w:rPr>
        <w:t xml:space="preserve">regular physical activity, appropriate weight control, and quitting smoking can all help </w:t>
      </w:r>
      <w:r w:rsidR="00AB23B9" w:rsidRPr="00783A3B">
        <w:rPr>
          <w:rFonts w:ascii="Arial" w:hAnsi="Arial" w:cs="Arial"/>
        </w:rPr>
        <w:t>improve blood glucose control and lower health risks.</w:t>
      </w:r>
    </w:p>
    <w:p w14:paraId="10DBA12C" w14:textId="12610F26" w:rsidR="009931C7" w:rsidRPr="00783A3B" w:rsidRDefault="009931C7" w:rsidP="00783A3B">
      <w:pPr>
        <w:spacing w:line="360" w:lineRule="auto"/>
        <w:jc w:val="both"/>
        <w:rPr>
          <w:rFonts w:ascii="Arial" w:hAnsi="Arial" w:cs="Arial"/>
        </w:rPr>
      </w:pPr>
      <w:r w:rsidRPr="00783A3B">
        <w:rPr>
          <w:rFonts w:ascii="Arial" w:hAnsi="Arial" w:cs="Arial"/>
        </w:rPr>
        <w:t xml:space="preserve">Overall, practice nurses play an important </w:t>
      </w:r>
      <w:r w:rsidR="003E50E5">
        <w:rPr>
          <w:rFonts w:ascii="Arial" w:hAnsi="Arial" w:cs="Arial"/>
        </w:rPr>
        <w:t>role in educating and supporting individuals with type 2 diabetes; they can help patients make realistic lifestyle changes and manage their condition more safely and effectively by providing</w:t>
      </w:r>
      <w:r w:rsidRPr="00783A3B">
        <w:rPr>
          <w:rFonts w:ascii="Arial" w:hAnsi="Arial" w:cs="Arial"/>
        </w:rPr>
        <w:t xml:space="preserve"> personalised advice and encouraging them to take an active role in their own care.</w:t>
      </w:r>
    </w:p>
    <w:p w14:paraId="6D7E87A9" w14:textId="77777777" w:rsidR="002755B6" w:rsidRPr="00783A3B" w:rsidRDefault="002755B6" w:rsidP="00783A3B">
      <w:pPr>
        <w:spacing w:line="360" w:lineRule="auto"/>
        <w:jc w:val="both"/>
        <w:rPr>
          <w:rFonts w:ascii="Arial" w:hAnsi="Arial" w:cs="Arial"/>
        </w:rPr>
      </w:pPr>
    </w:p>
    <w:p w14:paraId="0961D217" w14:textId="77777777" w:rsidR="00A61FCA" w:rsidRPr="00783A3B" w:rsidRDefault="00A61FCA" w:rsidP="00783A3B">
      <w:pPr>
        <w:spacing w:line="360" w:lineRule="auto"/>
        <w:jc w:val="both"/>
        <w:rPr>
          <w:rFonts w:ascii="Arial" w:hAnsi="Arial" w:cs="Arial"/>
          <w:b/>
          <w:bCs/>
        </w:rPr>
      </w:pPr>
    </w:p>
    <w:p w14:paraId="63192058" w14:textId="77777777" w:rsidR="00854358" w:rsidRPr="00783A3B" w:rsidRDefault="00854358" w:rsidP="00783A3B">
      <w:pPr>
        <w:spacing w:line="360" w:lineRule="auto"/>
        <w:jc w:val="both"/>
        <w:rPr>
          <w:rFonts w:ascii="Arial" w:hAnsi="Arial" w:cs="Arial"/>
        </w:rPr>
      </w:pPr>
    </w:p>
    <w:p w14:paraId="137746BE" w14:textId="77777777" w:rsidR="00917050" w:rsidRPr="00783A3B" w:rsidRDefault="00917050" w:rsidP="00783A3B">
      <w:pPr>
        <w:spacing w:line="360" w:lineRule="auto"/>
        <w:jc w:val="both"/>
        <w:rPr>
          <w:rFonts w:ascii="Arial" w:hAnsi="Arial" w:cs="Arial"/>
        </w:rPr>
      </w:pPr>
    </w:p>
    <w:p w14:paraId="2CEB718D" w14:textId="77777777" w:rsidR="00CA4E06" w:rsidRPr="00783A3B" w:rsidRDefault="00CA4E06" w:rsidP="00783A3B">
      <w:pPr>
        <w:spacing w:line="360" w:lineRule="auto"/>
        <w:jc w:val="both"/>
        <w:rPr>
          <w:rFonts w:ascii="Arial" w:hAnsi="Arial" w:cs="Arial"/>
        </w:rPr>
      </w:pPr>
    </w:p>
    <w:p w14:paraId="4BE0E7C8" w14:textId="77777777" w:rsidR="00E0404F" w:rsidRPr="00783A3B" w:rsidRDefault="00E0404F" w:rsidP="00783A3B">
      <w:pPr>
        <w:spacing w:line="360" w:lineRule="auto"/>
        <w:rPr>
          <w:rFonts w:ascii="Arial" w:hAnsi="Arial" w:cs="Arial"/>
        </w:rPr>
      </w:pPr>
    </w:p>
    <w:p w14:paraId="4EC6429B" w14:textId="77777777" w:rsidR="00E0404F" w:rsidRPr="00783A3B" w:rsidRDefault="00E0404F" w:rsidP="00783A3B">
      <w:pPr>
        <w:spacing w:line="360" w:lineRule="auto"/>
        <w:rPr>
          <w:rFonts w:ascii="Arial" w:hAnsi="Arial" w:cs="Arial"/>
        </w:rPr>
      </w:pPr>
    </w:p>
    <w:p w14:paraId="5176A57E" w14:textId="77777777" w:rsidR="00080E84" w:rsidRDefault="00080E84" w:rsidP="00513157">
      <w:pPr>
        <w:pStyle w:val="Heading1"/>
      </w:pPr>
      <w:bookmarkStart w:id="6" w:name="_Toc242037694"/>
    </w:p>
    <w:p w14:paraId="5687FC22" w14:textId="77777777" w:rsidR="00080E84" w:rsidRDefault="00080E84" w:rsidP="00513157">
      <w:pPr>
        <w:pStyle w:val="Heading1"/>
      </w:pPr>
    </w:p>
    <w:p w14:paraId="77A8C930" w14:textId="77777777" w:rsidR="00080E84" w:rsidRDefault="00080E84" w:rsidP="00513157">
      <w:pPr>
        <w:pStyle w:val="Heading1"/>
      </w:pPr>
    </w:p>
    <w:p w14:paraId="73345092" w14:textId="77777777" w:rsidR="00080E84" w:rsidRDefault="00080E84">
      <w:pPr>
        <w:rPr>
          <w:rFonts w:asciiTheme="majorHAnsi" w:eastAsiaTheme="majorEastAsia" w:hAnsiTheme="majorHAnsi" w:cstheme="majorBidi"/>
          <w:color w:val="0F4761" w:themeColor="accent1" w:themeShade="BF"/>
          <w:sz w:val="40"/>
          <w:szCs w:val="40"/>
        </w:rPr>
      </w:pPr>
      <w:r>
        <w:br w:type="page"/>
      </w:r>
    </w:p>
    <w:p w14:paraId="26D095B7" w14:textId="1E245742" w:rsidR="00E0404F" w:rsidRPr="006B5DDE" w:rsidRDefault="006B5DDE" w:rsidP="00513157">
      <w:pPr>
        <w:pStyle w:val="Heading1"/>
      </w:pPr>
      <w:r w:rsidRPr="006B5DDE">
        <w:lastRenderedPageBreak/>
        <w:t>References</w:t>
      </w:r>
      <w:bookmarkEnd w:id="6"/>
    </w:p>
    <w:p w14:paraId="6622DAF8" w14:textId="56EE5685" w:rsidR="00645B09" w:rsidRDefault="00AA15C5" w:rsidP="00AA15C5">
      <w:proofErr w:type="spellStart"/>
      <w:r w:rsidRPr="00AA15C5">
        <w:t>Amerkamp</w:t>
      </w:r>
      <w:proofErr w:type="spellEnd"/>
      <w:r w:rsidRPr="00AA15C5">
        <w:t xml:space="preserve">, J., Süleyman Benli, </w:t>
      </w:r>
      <w:r w:rsidR="0031017C">
        <w:t>E.</w:t>
      </w:r>
      <w:r w:rsidRPr="00AA15C5">
        <w:t xml:space="preserve"> </w:t>
      </w:r>
      <w:r w:rsidR="0031017C">
        <w:t>I.</w:t>
      </w:r>
      <w:r w:rsidRPr="00AA15C5">
        <w:t xml:space="preserve"> </w:t>
      </w:r>
      <w:r w:rsidR="0031017C">
        <w:t>&amp;</w:t>
      </w:r>
      <w:r w:rsidRPr="00AA15C5">
        <w:t xml:space="preserve"> Brinkmann, C. (202</w:t>
      </w:r>
      <w:r w:rsidR="0031017C">
        <w:t>5</w:t>
      </w:r>
      <w:r w:rsidRPr="00AA15C5">
        <w:t xml:space="preserve">). </w:t>
      </w:r>
      <w:r>
        <w:t>Optimising</w:t>
      </w:r>
      <w:r w:rsidRPr="00AA15C5">
        <w:t xml:space="preserve"> the lifestyle of patients with type 2 diabetes mellitus - Systematic review on the effects of combined diet-and-exercise interventions. </w:t>
      </w:r>
      <w:r w:rsidRPr="00AA15C5">
        <w:rPr>
          <w:i/>
          <w:iCs/>
        </w:rPr>
        <w:t>Nutrition</w:t>
      </w:r>
      <w:r w:rsidR="003B5E29">
        <w:rPr>
          <w:i/>
          <w:iCs/>
        </w:rPr>
        <w:t>,</w:t>
      </w:r>
      <w:r w:rsidRPr="00AA15C5">
        <w:rPr>
          <w:i/>
          <w:iCs/>
        </w:rPr>
        <w:t xml:space="preserve"> Metabolism and Cardiovascular Diseases</w:t>
      </w:r>
      <w:r w:rsidRPr="00AA15C5">
        <w:t xml:space="preserve">. </w:t>
      </w:r>
      <w:proofErr w:type="spellStart"/>
      <w:r w:rsidRPr="00AA15C5">
        <w:t>doi</w:t>
      </w:r>
      <w:proofErr w:type="spellEnd"/>
      <w:r w:rsidRPr="00AA15C5">
        <w:t>: 10.1016/j.numecd.2024.09.016.</w:t>
      </w:r>
    </w:p>
    <w:p w14:paraId="7E140696" w14:textId="7337074D" w:rsidR="00AA15C5" w:rsidRDefault="00AA15C5" w:rsidP="004F4251">
      <w:r w:rsidRPr="004F4251">
        <w:t xml:space="preserve">Clark, M.A., Douglas, M. </w:t>
      </w:r>
      <w:r w:rsidR="0031017C">
        <w:t>&amp;</w:t>
      </w:r>
      <w:r w:rsidRPr="004F4251">
        <w:t xml:space="preserve"> Choi, J. (2018). </w:t>
      </w:r>
      <w:r w:rsidRPr="004F4251">
        <w:rPr>
          <w:i/>
          <w:iCs/>
        </w:rPr>
        <w:t>Ch. 7 Introduction - Biology 2e | OpenStax</w:t>
      </w:r>
      <w:r w:rsidRPr="004F4251">
        <w:t xml:space="preserve">. [online] </w:t>
      </w:r>
      <w:r>
        <w:t>OpenStax.org</w:t>
      </w:r>
      <w:r w:rsidRPr="004F4251">
        <w:t xml:space="preserve">. Available at: </w:t>
      </w:r>
      <w:hyperlink r:id="rId9" w:history="1">
        <w:r w:rsidRPr="001916B0">
          <w:rPr>
            <w:rStyle w:val="Hyperlink"/>
          </w:rPr>
          <w:t>https://openstax.org/books/biology-2e/pages/7-introduction</w:t>
        </w:r>
      </w:hyperlink>
      <w:r>
        <w:t xml:space="preserve"> </w:t>
      </w:r>
      <w:r w:rsidRPr="004F4251">
        <w:t>[Accessed 4 Oct. 2026].</w:t>
      </w:r>
    </w:p>
    <w:p w14:paraId="614DB6A1" w14:textId="77777777" w:rsidR="00AA15C5" w:rsidRDefault="00AA15C5" w:rsidP="00772175">
      <w:r w:rsidRPr="00772175">
        <w:t xml:space="preserve">Diabetes </w:t>
      </w:r>
      <w:proofErr w:type="spellStart"/>
      <w:r>
        <w:t>Center</w:t>
      </w:r>
      <w:proofErr w:type="spellEnd"/>
      <w:r w:rsidRPr="00772175">
        <w:t xml:space="preserve"> at UCSF. (2026). </w:t>
      </w:r>
      <w:r w:rsidRPr="00772175">
        <w:rPr>
          <w:i/>
          <w:iCs/>
        </w:rPr>
        <w:t xml:space="preserve">Diabetes Teaching </w:t>
      </w:r>
      <w:proofErr w:type="spellStart"/>
      <w:r w:rsidRPr="00772175">
        <w:rPr>
          <w:i/>
          <w:iCs/>
        </w:rPr>
        <w:t>Center</w:t>
      </w:r>
      <w:proofErr w:type="spellEnd"/>
      <w:r w:rsidRPr="00772175">
        <w:rPr>
          <w:i/>
          <w:iCs/>
        </w:rPr>
        <w:t xml:space="preserve"> | Diabetes </w:t>
      </w:r>
      <w:proofErr w:type="spellStart"/>
      <w:r w:rsidRPr="00772175">
        <w:rPr>
          <w:i/>
          <w:iCs/>
        </w:rPr>
        <w:t>Center</w:t>
      </w:r>
      <w:proofErr w:type="spellEnd"/>
      <w:r w:rsidRPr="00772175">
        <w:rPr>
          <w:i/>
          <w:iCs/>
        </w:rPr>
        <w:t xml:space="preserve"> at UCSF</w:t>
      </w:r>
      <w:r w:rsidRPr="00772175">
        <w:t xml:space="preserve">. [online] Available at: </w:t>
      </w:r>
      <w:hyperlink r:id="rId10" w:history="1">
        <w:r w:rsidRPr="00243D76">
          <w:rPr>
            <w:rStyle w:val="Hyperlink"/>
          </w:rPr>
          <w:t>https://diabetes.ucsf.edu/diabetes-teaching-centre</w:t>
        </w:r>
      </w:hyperlink>
      <w:r>
        <w:t xml:space="preserve"> </w:t>
      </w:r>
      <w:r w:rsidRPr="00772175">
        <w:t>[Accessed 4 Oct. 2026].</w:t>
      </w:r>
    </w:p>
    <w:p w14:paraId="7D642E5A" w14:textId="77777777" w:rsidR="00AA15C5" w:rsidRDefault="00AA15C5" w:rsidP="00547112">
      <w:r w:rsidRPr="00547112">
        <w:t xml:space="preserve">Diabetes UK (2022). </w:t>
      </w:r>
      <w:r w:rsidRPr="00547112">
        <w:rPr>
          <w:i/>
          <w:iCs/>
        </w:rPr>
        <w:t>Insulin resistance</w:t>
      </w:r>
      <w:r w:rsidRPr="00547112">
        <w:t xml:space="preserve">. Diabetes UK. Available at: </w:t>
      </w:r>
      <w:hyperlink r:id="rId11" w:history="1">
        <w:r w:rsidRPr="001916B0">
          <w:rPr>
            <w:rStyle w:val="Hyperlink"/>
          </w:rPr>
          <w:t>https://www.diabetes.org.uk/about-diabetes/looking-after-diabetes/treatments/insulin/resistance</w:t>
        </w:r>
      </w:hyperlink>
      <w:r>
        <w:t xml:space="preserve"> </w:t>
      </w:r>
      <w:r w:rsidRPr="00547112">
        <w:t>[Accessed 4 Oct. 2026].</w:t>
      </w:r>
    </w:p>
    <w:p w14:paraId="07533A2B" w14:textId="41BD60A4" w:rsidR="00AA15C5" w:rsidRDefault="00AA15C5" w:rsidP="00B16A6C">
      <w:r w:rsidRPr="00B16A6C">
        <w:t xml:space="preserve">Guelph, </w:t>
      </w:r>
      <w:r w:rsidR="00C26A9D">
        <w:t>H</w:t>
      </w:r>
      <w:r w:rsidRPr="00B16A6C">
        <w:t xml:space="preserve">. (n.d.). Glucose Regulation. </w:t>
      </w:r>
      <w:r w:rsidRPr="00B16A6C">
        <w:rPr>
          <w:i/>
          <w:iCs/>
        </w:rPr>
        <w:t>books.lib.uoguelph.ca</w:t>
      </w:r>
      <w:r w:rsidRPr="00B16A6C">
        <w:t xml:space="preserve">. [online] Available at: </w:t>
      </w:r>
      <w:hyperlink r:id="rId12" w:history="1">
        <w:r w:rsidRPr="00243D76">
          <w:rPr>
            <w:rStyle w:val="Hyperlink"/>
          </w:rPr>
          <w:t>https://books.lib.uoguelph.ca/human-physiology/chapter/glucose-regulation-3/</w:t>
        </w:r>
      </w:hyperlink>
      <w:r>
        <w:t xml:space="preserve"> </w:t>
      </w:r>
      <w:r w:rsidRPr="00B16A6C">
        <w:t>[Accessed 4 Oct. 2026].</w:t>
      </w:r>
    </w:p>
    <w:p w14:paraId="1EEB46AF" w14:textId="01A3DF0F" w:rsidR="00AA15C5" w:rsidRDefault="00AA15C5" w:rsidP="00AA15C5">
      <w:r w:rsidRPr="00AA15C5">
        <w:t xml:space="preserve">Jeong, </w:t>
      </w:r>
      <w:r w:rsidR="003B5E29">
        <w:t>S.-M.</w:t>
      </w:r>
      <w:r w:rsidRPr="00AA15C5">
        <w:t xml:space="preserve">, Yoo, J.E., Park, J., Jung, W., Lee, K.N., Han, K., Lee, C.M., Nam, </w:t>
      </w:r>
      <w:r w:rsidR="003B5E29">
        <w:t>K.-W.</w:t>
      </w:r>
      <w:r w:rsidRPr="00AA15C5">
        <w:t xml:space="preserve">, Lee, </w:t>
      </w:r>
      <w:r w:rsidR="003B5E29">
        <w:t>S.-P</w:t>
      </w:r>
      <w:r w:rsidRPr="00AA15C5">
        <w:t xml:space="preserve">. </w:t>
      </w:r>
      <w:r w:rsidR="00BA264F">
        <w:t>&amp;</w:t>
      </w:r>
      <w:r w:rsidRPr="00AA15C5">
        <w:t xml:space="preserve"> Shin, D.W. (2023). Smoking </w:t>
      </w:r>
      <w:r>
        <w:t>behaviour</w:t>
      </w:r>
      <w:r w:rsidRPr="00AA15C5">
        <w:t xml:space="preserve"> changes and risk of cardiovascular disease incidence and mortality in patients with type 2 diabetes mellitus. </w:t>
      </w:r>
      <w:r w:rsidRPr="00AA15C5">
        <w:rPr>
          <w:i/>
          <w:iCs/>
        </w:rPr>
        <w:t xml:space="preserve">Cardiovascular </w:t>
      </w:r>
      <w:r w:rsidR="00BA264F" w:rsidRPr="00AA15C5">
        <w:rPr>
          <w:i/>
          <w:iCs/>
        </w:rPr>
        <w:t>Diabetology</w:t>
      </w:r>
      <w:r w:rsidR="00BA264F" w:rsidRPr="00AA15C5">
        <w:t>, 22</w:t>
      </w:r>
      <w:r w:rsidRPr="00AA15C5">
        <w:t>(1), p.193. doi:10.1186/s12933-023-01930-4.</w:t>
      </w:r>
    </w:p>
    <w:p w14:paraId="430370DB" w14:textId="1354996F" w:rsidR="00AA15C5" w:rsidRDefault="00AA15C5" w:rsidP="00553891">
      <w:r w:rsidRPr="00553891">
        <w:t>National Health Service (2025</w:t>
      </w:r>
      <w:r>
        <w:t>a</w:t>
      </w:r>
      <w:r w:rsidRPr="00553891">
        <w:t xml:space="preserve">). </w:t>
      </w:r>
      <w:r w:rsidRPr="00553891">
        <w:rPr>
          <w:i/>
          <w:iCs/>
        </w:rPr>
        <w:t>Symptoms - type 2 diabetes</w:t>
      </w:r>
      <w:r w:rsidRPr="00553891">
        <w:t xml:space="preserve">.  NHS. Available at: </w:t>
      </w:r>
      <w:hyperlink r:id="rId13" w:history="1">
        <w:r w:rsidRPr="00243D76">
          <w:rPr>
            <w:rStyle w:val="Hyperlink"/>
          </w:rPr>
          <w:t>https://www.nhs.uk/conditions/type-2-diabetes/symptoms/</w:t>
        </w:r>
      </w:hyperlink>
      <w:r>
        <w:t xml:space="preserve"> </w:t>
      </w:r>
      <w:r w:rsidR="009F43F3">
        <w:t>(</w:t>
      </w:r>
      <w:r w:rsidRPr="00553891">
        <w:t>Accessed 3 Oct. 2026</w:t>
      </w:r>
      <w:r w:rsidR="009F43F3">
        <w:t>)</w:t>
      </w:r>
      <w:r w:rsidRPr="00553891">
        <w:t>.</w:t>
      </w:r>
    </w:p>
    <w:p w14:paraId="760D4DC2" w14:textId="32C35291" w:rsidR="00AA15C5" w:rsidRDefault="00AA15C5" w:rsidP="00543B03">
      <w:r w:rsidRPr="00543B03">
        <w:t xml:space="preserve">National Health Service Inform (2023). </w:t>
      </w:r>
      <w:r w:rsidRPr="00543B03">
        <w:rPr>
          <w:i/>
          <w:iCs/>
        </w:rPr>
        <w:t>Type 2 Diabetes Symptoms and Treatments</w:t>
      </w:r>
      <w:r w:rsidRPr="00543B03">
        <w:t xml:space="preserve">. www.nhsinform.scot. Available at: </w:t>
      </w:r>
      <w:hyperlink r:id="rId14" w:history="1">
        <w:r w:rsidRPr="00243D76">
          <w:rPr>
            <w:rStyle w:val="Hyperlink"/>
          </w:rPr>
          <w:t>https://www.nhsinform.scot/illnesses-and-conditions/diabetes/type-2-diabetes/</w:t>
        </w:r>
      </w:hyperlink>
      <w:r>
        <w:t xml:space="preserve"> </w:t>
      </w:r>
      <w:r w:rsidR="009F43F3">
        <w:t>(</w:t>
      </w:r>
      <w:r w:rsidRPr="00543B03">
        <w:t>Accessed 3 Oct. 2026</w:t>
      </w:r>
      <w:r w:rsidR="009F43F3">
        <w:t>)</w:t>
      </w:r>
      <w:r w:rsidRPr="00543B03">
        <w:t>.</w:t>
      </w:r>
    </w:p>
    <w:p w14:paraId="776D0143" w14:textId="77777777" w:rsidR="00AA15C5" w:rsidRDefault="00AA15C5" w:rsidP="00713CE5">
      <w:r w:rsidRPr="00713CE5">
        <w:t xml:space="preserve">National Institute for Health and Care Excellence (NICE) (2026) </w:t>
      </w:r>
      <w:r w:rsidRPr="00713CE5">
        <w:rPr>
          <w:i/>
          <w:iCs/>
        </w:rPr>
        <w:t>Type 2 diabetes in adults: management (NG28)</w:t>
      </w:r>
      <w:r w:rsidRPr="00713CE5">
        <w:t xml:space="preserve">. Available at: </w:t>
      </w:r>
      <w:hyperlink r:id="rId15" w:history="1">
        <w:r w:rsidRPr="001916B0">
          <w:rPr>
            <w:rStyle w:val="Hyperlink"/>
          </w:rPr>
          <w:t>https://www.nice.org.uk/guidance/ng28</w:t>
        </w:r>
      </w:hyperlink>
      <w:r>
        <w:t xml:space="preserve"> </w:t>
      </w:r>
      <w:r w:rsidRPr="00713CE5">
        <w:t xml:space="preserve">(Accessed: 4 October 2026). </w:t>
      </w:r>
    </w:p>
    <w:p w14:paraId="2BD655DC" w14:textId="0355D66D" w:rsidR="00AA15C5" w:rsidRDefault="00AA15C5" w:rsidP="008550D2">
      <w:r w:rsidRPr="008550D2">
        <w:t xml:space="preserve">NHS (2017). </w:t>
      </w:r>
      <w:r w:rsidRPr="008550D2">
        <w:rPr>
          <w:i/>
          <w:iCs/>
        </w:rPr>
        <w:t>Complications of type 2 diabetes</w:t>
      </w:r>
      <w:r w:rsidRPr="008550D2">
        <w:t xml:space="preserve">. [online] nhs.uk. Available at: </w:t>
      </w:r>
      <w:hyperlink r:id="rId16" w:history="1">
        <w:r w:rsidRPr="001916B0">
          <w:rPr>
            <w:rStyle w:val="Hyperlink"/>
          </w:rPr>
          <w:t>https://www.nhs.uk/conditions/type-2-diabetes/complications/</w:t>
        </w:r>
      </w:hyperlink>
      <w:r>
        <w:t xml:space="preserve"> </w:t>
      </w:r>
      <w:r w:rsidR="009F43F3">
        <w:t>(</w:t>
      </w:r>
      <w:r w:rsidRPr="008550D2">
        <w:t>Accessed 4 Oct. 2026</w:t>
      </w:r>
      <w:r w:rsidR="009F43F3">
        <w:t>)</w:t>
      </w:r>
      <w:r w:rsidRPr="008550D2">
        <w:t>.</w:t>
      </w:r>
    </w:p>
    <w:p w14:paraId="58A8AFC3" w14:textId="48321AD7" w:rsidR="00AA15C5" w:rsidRDefault="00AA15C5" w:rsidP="006B5DDE">
      <w:r w:rsidRPr="006B5DDE">
        <w:t xml:space="preserve">NHS (2023). </w:t>
      </w:r>
      <w:r w:rsidRPr="006B5DDE">
        <w:rPr>
          <w:i/>
          <w:iCs/>
        </w:rPr>
        <w:t>What is type 2 diabetes?</w:t>
      </w:r>
      <w:r w:rsidRPr="006B5DDE">
        <w:t xml:space="preserve">  NHS. Available at: </w:t>
      </w:r>
      <w:hyperlink r:id="rId17" w:history="1">
        <w:r w:rsidRPr="00243D76">
          <w:rPr>
            <w:rStyle w:val="Hyperlink"/>
          </w:rPr>
          <w:t>https://www.nhs.uk/conditions/type-2-diabetes/</w:t>
        </w:r>
      </w:hyperlink>
      <w:r>
        <w:t xml:space="preserve"> </w:t>
      </w:r>
      <w:r w:rsidR="009F43F3">
        <w:t>(</w:t>
      </w:r>
      <w:r w:rsidRPr="006B5DDE">
        <w:t>Accessed 3 Oct. 2026</w:t>
      </w:r>
      <w:r w:rsidR="009F43F3">
        <w:t>)</w:t>
      </w:r>
      <w:r w:rsidRPr="006B5DDE">
        <w:t>.</w:t>
      </w:r>
    </w:p>
    <w:p w14:paraId="5A6BB9AF" w14:textId="72BCF2D7" w:rsidR="00AA15C5" w:rsidRDefault="00AA15C5" w:rsidP="002E7CF0">
      <w:r w:rsidRPr="002E7CF0">
        <w:lastRenderedPageBreak/>
        <w:t>NHS (2025</w:t>
      </w:r>
      <w:r>
        <w:t>b</w:t>
      </w:r>
      <w:r w:rsidRPr="002E7CF0">
        <w:t xml:space="preserve">). </w:t>
      </w:r>
      <w:r w:rsidRPr="002E7CF0">
        <w:rPr>
          <w:i/>
          <w:iCs/>
        </w:rPr>
        <w:t>What is type 2 diabetes?</w:t>
      </w:r>
      <w:r w:rsidRPr="002E7CF0">
        <w:t xml:space="preserve">  NHS. Available at: </w:t>
      </w:r>
      <w:hyperlink r:id="rId18" w:history="1">
        <w:r w:rsidRPr="001916B0">
          <w:rPr>
            <w:rStyle w:val="Hyperlink"/>
          </w:rPr>
          <w:t>https://www.nhs.uk/conditions/type-2-diabetes/what-is-type-2-diabetes/</w:t>
        </w:r>
      </w:hyperlink>
      <w:r>
        <w:t xml:space="preserve"> </w:t>
      </w:r>
      <w:r w:rsidR="009F43F3">
        <w:t>(</w:t>
      </w:r>
      <w:r w:rsidRPr="002E7CF0">
        <w:t>Accessed 4 Oct. 2026</w:t>
      </w:r>
      <w:r w:rsidR="009F43F3">
        <w:t>)</w:t>
      </w:r>
      <w:r w:rsidRPr="002E7CF0">
        <w:t>.</w:t>
      </w:r>
    </w:p>
    <w:p w14:paraId="71BF535A" w14:textId="05A33345" w:rsidR="00AA15C5" w:rsidRDefault="00AA15C5" w:rsidP="007025C9">
      <w:r w:rsidRPr="007025C9">
        <w:t>NHS (2025</w:t>
      </w:r>
      <w:r>
        <w:t>c</w:t>
      </w:r>
      <w:r w:rsidRPr="007025C9">
        <w:t xml:space="preserve">). </w:t>
      </w:r>
      <w:r w:rsidRPr="007025C9">
        <w:rPr>
          <w:i/>
          <w:iCs/>
        </w:rPr>
        <w:t>Treatment for Type 2 diabetes</w:t>
      </w:r>
      <w:r w:rsidRPr="007025C9">
        <w:t xml:space="preserve">. NHS. Available at: </w:t>
      </w:r>
      <w:hyperlink r:id="rId19" w:history="1">
        <w:r w:rsidRPr="00BA5968">
          <w:rPr>
            <w:rStyle w:val="Hyperlink"/>
          </w:rPr>
          <w:t>https://www.nhs.uk/conditions/type-2-diabetes/treatment/</w:t>
        </w:r>
      </w:hyperlink>
      <w:r>
        <w:t xml:space="preserve"> </w:t>
      </w:r>
      <w:r w:rsidR="00E1554A">
        <w:t>(</w:t>
      </w:r>
      <w:r w:rsidRPr="007025C9">
        <w:t>Accessed 4 Oct. 2026</w:t>
      </w:r>
      <w:r w:rsidR="00E1554A">
        <w:t>)</w:t>
      </w:r>
      <w:r w:rsidRPr="007025C9">
        <w:t>.</w:t>
      </w:r>
    </w:p>
    <w:p w14:paraId="53ED894C" w14:textId="0640191C" w:rsidR="00AA15C5" w:rsidRDefault="00AA15C5" w:rsidP="00AD15D6">
      <w:r w:rsidRPr="00AD15D6">
        <w:t xml:space="preserve">Wan, Y. </w:t>
      </w:r>
      <w:r w:rsidR="00C26A9D">
        <w:t>&amp;</w:t>
      </w:r>
      <w:r w:rsidRPr="00AD15D6">
        <w:t xml:space="preserve"> Su, Z. (2024). The Impact of Resistance Exercise Training on Glycaemic Control Among Adults with Type 2 Diabetes: A Systematic Review and Meta-Analysis of Randomized Controlled Trials. </w:t>
      </w:r>
      <w:r w:rsidRPr="00AD15D6">
        <w:rPr>
          <w:i/>
          <w:iCs/>
        </w:rPr>
        <w:t>Biological research for nursing</w:t>
      </w:r>
      <w:r w:rsidRPr="00AD15D6">
        <w:t>, 26(4). doi:10.1177/10998004241246272.</w:t>
      </w:r>
    </w:p>
    <w:p w14:paraId="5AB90E23" w14:textId="7388930B" w:rsidR="00AA15C5" w:rsidRDefault="00AA15C5" w:rsidP="0024375E">
      <w:r w:rsidRPr="0024375E">
        <w:t>Willi, C., Bodenmann, P., Ghali, W.A., Faris, P.D.</w:t>
      </w:r>
      <w:r w:rsidR="003B5E29">
        <w:t>,</w:t>
      </w:r>
      <w:r w:rsidRPr="0024375E">
        <w:t xml:space="preserve"> </w:t>
      </w:r>
      <w:r w:rsidR="00E1554A">
        <w:t>&amp;</w:t>
      </w:r>
      <w:r w:rsidRPr="0024375E">
        <w:t xml:space="preserve"> </w:t>
      </w:r>
      <w:proofErr w:type="spellStart"/>
      <w:r w:rsidRPr="0024375E">
        <w:t>Cornuz</w:t>
      </w:r>
      <w:proofErr w:type="spellEnd"/>
      <w:r w:rsidRPr="0024375E">
        <w:t xml:space="preserve">, J. (2007). Active Smoking and the Risk of Type 2 Diabetes. </w:t>
      </w:r>
      <w:r w:rsidRPr="0024375E">
        <w:rPr>
          <w:i/>
          <w:iCs/>
        </w:rPr>
        <w:t>JAMA</w:t>
      </w:r>
      <w:r w:rsidRPr="0024375E">
        <w:t>, 298(22), p.2654. doi:10.1001/jama.298.22.2654.</w:t>
      </w:r>
    </w:p>
    <w:p w14:paraId="08603347" w14:textId="328FDAC3" w:rsidR="00AA15C5" w:rsidRPr="00AD15D6" w:rsidRDefault="00AA15C5" w:rsidP="00AD15D6">
      <w:r w:rsidRPr="00AD15D6">
        <w:t xml:space="preserve">World Health </w:t>
      </w:r>
      <w:r>
        <w:t>Organisation</w:t>
      </w:r>
      <w:r w:rsidRPr="00AD15D6">
        <w:t xml:space="preserve"> (2024). </w:t>
      </w:r>
      <w:r w:rsidRPr="00AD15D6">
        <w:rPr>
          <w:i/>
          <w:iCs/>
        </w:rPr>
        <w:t>Diabetes</w:t>
      </w:r>
      <w:r w:rsidRPr="00AD15D6">
        <w:t xml:space="preserve">. World Health </w:t>
      </w:r>
      <w:r>
        <w:t>Organisation</w:t>
      </w:r>
      <w:r w:rsidRPr="00AD15D6">
        <w:t xml:space="preserve">. Available at: </w:t>
      </w:r>
      <w:hyperlink r:id="rId20" w:history="1">
        <w:r w:rsidRPr="000A3830">
          <w:rPr>
            <w:rStyle w:val="Hyperlink"/>
          </w:rPr>
          <w:t>https://www.who.int/news-room/fact-sheets/detail/diabetes</w:t>
        </w:r>
      </w:hyperlink>
      <w:r w:rsidRPr="00AD15D6">
        <w:t xml:space="preserve"> </w:t>
      </w:r>
      <w:r>
        <w:t xml:space="preserve"> </w:t>
      </w:r>
      <w:r w:rsidR="001A526B">
        <w:t>(</w:t>
      </w:r>
      <w:r w:rsidRPr="00AD15D6">
        <w:t>Accessed 4 Oct. 2026</w:t>
      </w:r>
      <w:r w:rsidR="001A526B">
        <w:t>)</w:t>
      </w:r>
      <w:r w:rsidRPr="00AD15D6">
        <w:t>.</w:t>
      </w:r>
    </w:p>
    <w:p w14:paraId="1F7A767C" w14:textId="77777777" w:rsidR="00AA15C5" w:rsidRPr="00AA15C5" w:rsidRDefault="00AA15C5" w:rsidP="00AA15C5"/>
    <w:p w14:paraId="0708C252" w14:textId="77777777" w:rsidR="00AA15C5" w:rsidRPr="00AA15C5" w:rsidRDefault="00AA15C5" w:rsidP="00AA15C5"/>
    <w:p w14:paraId="001E5A9B" w14:textId="77777777" w:rsidR="00AD15D6" w:rsidRPr="00AD15D6" w:rsidRDefault="00AD15D6" w:rsidP="00AD15D6"/>
    <w:p w14:paraId="58767319" w14:textId="77777777" w:rsidR="00AD15D6" w:rsidRPr="007025C9" w:rsidRDefault="00AD15D6" w:rsidP="007025C9"/>
    <w:p w14:paraId="1A5FBB19" w14:textId="77777777" w:rsidR="007025C9" w:rsidRPr="00713CE5" w:rsidRDefault="007025C9" w:rsidP="00713CE5"/>
    <w:p w14:paraId="621E2496" w14:textId="77777777" w:rsidR="00713CE5" w:rsidRPr="008550D2" w:rsidRDefault="00713CE5" w:rsidP="008550D2"/>
    <w:p w14:paraId="3A0531C3" w14:textId="77777777" w:rsidR="008550D2" w:rsidRPr="002E7CF0" w:rsidRDefault="008550D2" w:rsidP="002E7CF0"/>
    <w:p w14:paraId="6B327D73" w14:textId="77777777" w:rsidR="002E7CF0" w:rsidRPr="00547112" w:rsidRDefault="002E7CF0" w:rsidP="00547112"/>
    <w:p w14:paraId="4E42F342" w14:textId="77777777" w:rsidR="00547112" w:rsidRPr="004F4251" w:rsidRDefault="00547112" w:rsidP="004F4251"/>
    <w:p w14:paraId="4E7E2C3B" w14:textId="77777777" w:rsidR="004F4251" w:rsidRPr="00B16A6C" w:rsidRDefault="004F4251" w:rsidP="00B16A6C"/>
    <w:p w14:paraId="2859DF54" w14:textId="77777777" w:rsidR="00B16A6C" w:rsidRPr="00772175" w:rsidRDefault="00B16A6C" w:rsidP="00772175"/>
    <w:p w14:paraId="47C02D38" w14:textId="77777777" w:rsidR="00772175" w:rsidRPr="0024375E" w:rsidRDefault="00772175" w:rsidP="0024375E"/>
    <w:p w14:paraId="61BCC510" w14:textId="77777777" w:rsidR="0024375E" w:rsidRPr="00543B03" w:rsidRDefault="0024375E" w:rsidP="00543B03"/>
    <w:p w14:paraId="143F2F42" w14:textId="77777777" w:rsidR="00543B03" w:rsidRPr="00553891" w:rsidRDefault="00543B03" w:rsidP="00553891"/>
    <w:p w14:paraId="5FA49C60" w14:textId="77777777" w:rsidR="00553891" w:rsidRPr="006B5DDE" w:rsidRDefault="00553891" w:rsidP="006B5DDE"/>
    <w:p w14:paraId="3C3E522C" w14:textId="77777777" w:rsidR="006B5DDE" w:rsidRPr="00A9258D" w:rsidRDefault="006B5DDE"/>
    <w:sectPr w:rsidR="006B5DDE" w:rsidRPr="00A9258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EE7C8" w14:textId="77777777" w:rsidR="00732881" w:rsidRDefault="00732881" w:rsidP="00783A3B">
      <w:pPr>
        <w:spacing w:after="0" w:line="240" w:lineRule="auto"/>
      </w:pPr>
      <w:r>
        <w:separator/>
      </w:r>
    </w:p>
  </w:endnote>
  <w:endnote w:type="continuationSeparator" w:id="0">
    <w:p w14:paraId="4B60C540" w14:textId="77777777" w:rsidR="00732881" w:rsidRDefault="00732881" w:rsidP="00783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930823"/>
      <w:docPartObj>
        <w:docPartGallery w:val="Page Numbers (Bottom of Page)"/>
        <w:docPartUnique/>
      </w:docPartObj>
    </w:sdtPr>
    <w:sdtContent>
      <w:p w14:paraId="6704C071" w14:textId="07088F09" w:rsidR="00783A3B" w:rsidRDefault="00783A3B">
        <w:pPr>
          <w:pStyle w:val="Footer"/>
        </w:pPr>
        <w:r>
          <w:fldChar w:fldCharType="begin"/>
        </w:r>
        <w:r>
          <w:instrText>PAGE   \* MERGEFORMAT</w:instrText>
        </w:r>
        <w:r>
          <w:fldChar w:fldCharType="separate"/>
        </w:r>
        <w:r>
          <w:t>2</w:t>
        </w:r>
        <w:r>
          <w:fldChar w:fldCharType="end"/>
        </w:r>
      </w:p>
    </w:sdtContent>
  </w:sdt>
  <w:p w14:paraId="5709EF50" w14:textId="77777777" w:rsidR="00783A3B" w:rsidRDefault="00783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4BA57" w14:textId="77777777" w:rsidR="00732881" w:rsidRDefault="00732881" w:rsidP="00783A3B">
      <w:pPr>
        <w:spacing w:after="0" w:line="240" w:lineRule="auto"/>
      </w:pPr>
      <w:r>
        <w:separator/>
      </w:r>
    </w:p>
  </w:footnote>
  <w:footnote w:type="continuationSeparator" w:id="0">
    <w:p w14:paraId="2B448617" w14:textId="77777777" w:rsidR="00732881" w:rsidRDefault="00732881" w:rsidP="00783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1C32"/>
    <w:multiLevelType w:val="hybridMultilevel"/>
    <w:tmpl w:val="6602B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894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37E"/>
    <w:rsid w:val="00076838"/>
    <w:rsid w:val="00080E84"/>
    <w:rsid w:val="00091CA2"/>
    <w:rsid w:val="000E28ED"/>
    <w:rsid w:val="000E3BA9"/>
    <w:rsid w:val="00106875"/>
    <w:rsid w:val="0013204C"/>
    <w:rsid w:val="00175C3B"/>
    <w:rsid w:val="00195ECE"/>
    <w:rsid w:val="001A526B"/>
    <w:rsid w:val="001B2DA6"/>
    <w:rsid w:val="001C05C5"/>
    <w:rsid w:val="001E2249"/>
    <w:rsid w:val="001E7314"/>
    <w:rsid w:val="002134B7"/>
    <w:rsid w:val="002139B1"/>
    <w:rsid w:val="00214A5B"/>
    <w:rsid w:val="00216057"/>
    <w:rsid w:val="00224B72"/>
    <w:rsid w:val="002272FC"/>
    <w:rsid w:val="0024210A"/>
    <w:rsid w:val="0024375E"/>
    <w:rsid w:val="002755B6"/>
    <w:rsid w:val="002948CA"/>
    <w:rsid w:val="002A1179"/>
    <w:rsid w:val="002B73DC"/>
    <w:rsid w:val="002E7CF0"/>
    <w:rsid w:val="003005BA"/>
    <w:rsid w:val="00300CC4"/>
    <w:rsid w:val="0031017C"/>
    <w:rsid w:val="0032504C"/>
    <w:rsid w:val="00326F5D"/>
    <w:rsid w:val="00334013"/>
    <w:rsid w:val="00343775"/>
    <w:rsid w:val="00357335"/>
    <w:rsid w:val="00371F6D"/>
    <w:rsid w:val="00383EE0"/>
    <w:rsid w:val="003965CA"/>
    <w:rsid w:val="003A6266"/>
    <w:rsid w:val="003B5E29"/>
    <w:rsid w:val="003D7200"/>
    <w:rsid w:val="003E50E5"/>
    <w:rsid w:val="003F16F1"/>
    <w:rsid w:val="00401DC3"/>
    <w:rsid w:val="004076C2"/>
    <w:rsid w:val="0044377F"/>
    <w:rsid w:val="00470675"/>
    <w:rsid w:val="00474E81"/>
    <w:rsid w:val="00487072"/>
    <w:rsid w:val="004916E1"/>
    <w:rsid w:val="004957FD"/>
    <w:rsid w:val="004F4251"/>
    <w:rsid w:val="00513157"/>
    <w:rsid w:val="0051744B"/>
    <w:rsid w:val="005218D3"/>
    <w:rsid w:val="005302DD"/>
    <w:rsid w:val="00531C69"/>
    <w:rsid w:val="00533406"/>
    <w:rsid w:val="00543B03"/>
    <w:rsid w:val="00547112"/>
    <w:rsid w:val="00553891"/>
    <w:rsid w:val="00581BFD"/>
    <w:rsid w:val="005918D6"/>
    <w:rsid w:val="005B423C"/>
    <w:rsid w:val="005F526D"/>
    <w:rsid w:val="00627622"/>
    <w:rsid w:val="00645B09"/>
    <w:rsid w:val="00691856"/>
    <w:rsid w:val="006B5DDE"/>
    <w:rsid w:val="006D2275"/>
    <w:rsid w:val="006D55B6"/>
    <w:rsid w:val="006D593D"/>
    <w:rsid w:val="006F2219"/>
    <w:rsid w:val="007025C9"/>
    <w:rsid w:val="00703EF8"/>
    <w:rsid w:val="007048AB"/>
    <w:rsid w:val="00710099"/>
    <w:rsid w:val="00713CE5"/>
    <w:rsid w:val="007262C3"/>
    <w:rsid w:val="00732881"/>
    <w:rsid w:val="00750902"/>
    <w:rsid w:val="00755E23"/>
    <w:rsid w:val="00772175"/>
    <w:rsid w:val="007833EE"/>
    <w:rsid w:val="00783A3B"/>
    <w:rsid w:val="00783EAF"/>
    <w:rsid w:val="0079333F"/>
    <w:rsid w:val="007A39F2"/>
    <w:rsid w:val="007B13F6"/>
    <w:rsid w:val="007E0783"/>
    <w:rsid w:val="007F7208"/>
    <w:rsid w:val="00815955"/>
    <w:rsid w:val="00834A1A"/>
    <w:rsid w:val="00835B03"/>
    <w:rsid w:val="00842F52"/>
    <w:rsid w:val="0084562E"/>
    <w:rsid w:val="008459C5"/>
    <w:rsid w:val="00846877"/>
    <w:rsid w:val="00854358"/>
    <w:rsid w:val="008550D2"/>
    <w:rsid w:val="008A36D0"/>
    <w:rsid w:val="008C1EA8"/>
    <w:rsid w:val="008D26B1"/>
    <w:rsid w:val="008D397E"/>
    <w:rsid w:val="00917050"/>
    <w:rsid w:val="009310C2"/>
    <w:rsid w:val="00947D39"/>
    <w:rsid w:val="00950F1D"/>
    <w:rsid w:val="0095137A"/>
    <w:rsid w:val="0095575A"/>
    <w:rsid w:val="00967AB2"/>
    <w:rsid w:val="009747E1"/>
    <w:rsid w:val="00976019"/>
    <w:rsid w:val="009931C7"/>
    <w:rsid w:val="009C0463"/>
    <w:rsid w:val="009C2A46"/>
    <w:rsid w:val="009E60F3"/>
    <w:rsid w:val="009F43F3"/>
    <w:rsid w:val="00A300E5"/>
    <w:rsid w:val="00A61FCA"/>
    <w:rsid w:val="00A62301"/>
    <w:rsid w:val="00A77982"/>
    <w:rsid w:val="00A84652"/>
    <w:rsid w:val="00A9258D"/>
    <w:rsid w:val="00A96F27"/>
    <w:rsid w:val="00AA15C5"/>
    <w:rsid w:val="00AB23B9"/>
    <w:rsid w:val="00AD0B49"/>
    <w:rsid w:val="00AD15D6"/>
    <w:rsid w:val="00AD6C7C"/>
    <w:rsid w:val="00B16A6C"/>
    <w:rsid w:val="00B30E35"/>
    <w:rsid w:val="00B312E8"/>
    <w:rsid w:val="00B4199C"/>
    <w:rsid w:val="00B64597"/>
    <w:rsid w:val="00B76D75"/>
    <w:rsid w:val="00BA2205"/>
    <w:rsid w:val="00BA264F"/>
    <w:rsid w:val="00BB3123"/>
    <w:rsid w:val="00BD4824"/>
    <w:rsid w:val="00BE0075"/>
    <w:rsid w:val="00C26A9D"/>
    <w:rsid w:val="00C308A5"/>
    <w:rsid w:val="00C344D2"/>
    <w:rsid w:val="00C366B8"/>
    <w:rsid w:val="00C400B5"/>
    <w:rsid w:val="00CA4E06"/>
    <w:rsid w:val="00CE2A2A"/>
    <w:rsid w:val="00D107A3"/>
    <w:rsid w:val="00D35F50"/>
    <w:rsid w:val="00D413C2"/>
    <w:rsid w:val="00D52658"/>
    <w:rsid w:val="00D66EB8"/>
    <w:rsid w:val="00D81839"/>
    <w:rsid w:val="00D927AC"/>
    <w:rsid w:val="00DB637E"/>
    <w:rsid w:val="00DC60C4"/>
    <w:rsid w:val="00DD2710"/>
    <w:rsid w:val="00DE4360"/>
    <w:rsid w:val="00E0404F"/>
    <w:rsid w:val="00E05A4E"/>
    <w:rsid w:val="00E1554A"/>
    <w:rsid w:val="00E6036F"/>
    <w:rsid w:val="00E66016"/>
    <w:rsid w:val="00EB3734"/>
    <w:rsid w:val="00EF3D33"/>
    <w:rsid w:val="00F05BC0"/>
    <w:rsid w:val="00F46D24"/>
    <w:rsid w:val="00FA7F8D"/>
    <w:rsid w:val="00FB37EC"/>
    <w:rsid w:val="00FC06DF"/>
    <w:rsid w:val="00FD5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CD5F"/>
  <w15:chartTrackingRefBased/>
  <w15:docId w15:val="{05C84E61-D46D-41EA-9F68-EC811F53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3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3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3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3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3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3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3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3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3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3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3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3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3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3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3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37E"/>
    <w:rPr>
      <w:rFonts w:eastAsiaTheme="majorEastAsia" w:cstheme="majorBidi"/>
      <w:color w:val="272727" w:themeColor="text1" w:themeTint="D8"/>
    </w:rPr>
  </w:style>
  <w:style w:type="paragraph" w:styleId="Title">
    <w:name w:val="Title"/>
    <w:basedOn w:val="Normal"/>
    <w:next w:val="Normal"/>
    <w:link w:val="TitleChar"/>
    <w:uiPriority w:val="10"/>
    <w:qFormat/>
    <w:rsid w:val="00DB6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3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3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3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37E"/>
    <w:pPr>
      <w:spacing w:before="160"/>
      <w:jc w:val="center"/>
    </w:pPr>
    <w:rPr>
      <w:i/>
      <w:iCs/>
      <w:color w:val="404040" w:themeColor="text1" w:themeTint="BF"/>
    </w:rPr>
  </w:style>
  <w:style w:type="character" w:customStyle="1" w:styleId="QuoteChar">
    <w:name w:val="Quote Char"/>
    <w:basedOn w:val="DefaultParagraphFont"/>
    <w:link w:val="Quote"/>
    <w:uiPriority w:val="29"/>
    <w:rsid w:val="00DB637E"/>
    <w:rPr>
      <w:i/>
      <w:iCs/>
      <w:color w:val="404040" w:themeColor="text1" w:themeTint="BF"/>
    </w:rPr>
  </w:style>
  <w:style w:type="paragraph" w:styleId="ListParagraph">
    <w:name w:val="List Paragraph"/>
    <w:basedOn w:val="Normal"/>
    <w:uiPriority w:val="34"/>
    <w:qFormat/>
    <w:rsid w:val="00DB637E"/>
    <w:pPr>
      <w:ind w:left="720"/>
      <w:contextualSpacing/>
    </w:pPr>
  </w:style>
  <w:style w:type="character" w:styleId="IntenseEmphasis">
    <w:name w:val="Intense Emphasis"/>
    <w:basedOn w:val="DefaultParagraphFont"/>
    <w:uiPriority w:val="21"/>
    <w:qFormat/>
    <w:rsid w:val="00DB637E"/>
    <w:rPr>
      <w:i/>
      <w:iCs/>
      <w:color w:val="0F4761" w:themeColor="accent1" w:themeShade="BF"/>
    </w:rPr>
  </w:style>
  <w:style w:type="paragraph" w:styleId="IntenseQuote">
    <w:name w:val="Intense Quote"/>
    <w:basedOn w:val="Normal"/>
    <w:next w:val="Normal"/>
    <w:link w:val="IntenseQuoteChar"/>
    <w:uiPriority w:val="30"/>
    <w:qFormat/>
    <w:rsid w:val="00DB6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37E"/>
    <w:rPr>
      <w:i/>
      <w:iCs/>
      <w:color w:val="0F4761" w:themeColor="accent1" w:themeShade="BF"/>
    </w:rPr>
  </w:style>
  <w:style w:type="character" w:styleId="IntenseReference">
    <w:name w:val="Intense Reference"/>
    <w:basedOn w:val="DefaultParagraphFont"/>
    <w:uiPriority w:val="32"/>
    <w:qFormat/>
    <w:rsid w:val="00DB637E"/>
    <w:rPr>
      <w:b/>
      <w:bCs/>
      <w:smallCaps/>
      <w:color w:val="0F4761" w:themeColor="accent1" w:themeShade="BF"/>
      <w:spacing w:val="5"/>
    </w:rPr>
  </w:style>
  <w:style w:type="character" w:styleId="Hyperlink">
    <w:name w:val="Hyperlink"/>
    <w:basedOn w:val="DefaultParagraphFont"/>
    <w:uiPriority w:val="99"/>
    <w:unhideWhenUsed/>
    <w:rsid w:val="006B5DDE"/>
    <w:rPr>
      <w:color w:val="467886" w:themeColor="hyperlink"/>
      <w:u w:val="single"/>
    </w:rPr>
  </w:style>
  <w:style w:type="character" w:styleId="UnresolvedMention">
    <w:name w:val="Unresolved Mention"/>
    <w:basedOn w:val="DefaultParagraphFont"/>
    <w:uiPriority w:val="99"/>
    <w:semiHidden/>
    <w:unhideWhenUsed/>
    <w:rsid w:val="006B5DDE"/>
    <w:rPr>
      <w:color w:val="605E5C"/>
      <w:shd w:val="clear" w:color="auto" w:fill="E1DFDD"/>
    </w:rPr>
  </w:style>
  <w:style w:type="paragraph" w:styleId="Header">
    <w:name w:val="header"/>
    <w:basedOn w:val="Normal"/>
    <w:link w:val="HeaderChar"/>
    <w:uiPriority w:val="99"/>
    <w:unhideWhenUsed/>
    <w:rsid w:val="00783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A3B"/>
  </w:style>
  <w:style w:type="paragraph" w:styleId="Footer">
    <w:name w:val="footer"/>
    <w:basedOn w:val="Normal"/>
    <w:link w:val="FooterChar"/>
    <w:uiPriority w:val="99"/>
    <w:unhideWhenUsed/>
    <w:rsid w:val="00783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A3B"/>
  </w:style>
  <w:style w:type="paragraph" w:styleId="TOCHeading">
    <w:name w:val="TOC Heading"/>
    <w:basedOn w:val="Heading1"/>
    <w:next w:val="Normal"/>
    <w:uiPriority w:val="39"/>
    <w:unhideWhenUsed/>
    <w:qFormat/>
    <w:rsid w:val="0051315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13157"/>
    <w:pPr>
      <w:spacing w:after="100"/>
    </w:pPr>
  </w:style>
  <w:style w:type="character" w:styleId="FollowedHyperlink">
    <w:name w:val="FollowedHyperlink"/>
    <w:basedOn w:val="DefaultParagraphFont"/>
    <w:uiPriority w:val="99"/>
    <w:semiHidden/>
    <w:unhideWhenUsed/>
    <w:rsid w:val="00300C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type-2-diabetes/symptoms/" TargetMode="External"/><Relationship Id="rId18" Type="http://schemas.openxmlformats.org/officeDocument/2006/relationships/hyperlink" Target="https://www.nhs.uk/conditions/type-2-diabetes/what-is-type-2-diabet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ooks.lib.uoguelph.ca/human-physiology/chapter/glucose-regulation-3/" TargetMode="External"/><Relationship Id="rId17" Type="http://schemas.openxmlformats.org/officeDocument/2006/relationships/hyperlink" Target="https://www.nhs.uk/conditions/type-2-diabetes/" TargetMode="External"/><Relationship Id="rId2" Type="http://schemas.openxmlformats.org/officeDocument/2006/relationships/numbering" Target="numbering.xml"/><Relationship Id="rId16" Type="http://schemas.openxmlformats.org/officeDocument/2006/relationships/hyperlink" Target="https://www.nhs.uk/conditions/type-2-diabetes/complications/" TargetMode="External"/><Relationship Id="rId20"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betes.org.uk/about-diabetes/looking-after-diabetes/treatments/insulin/resistance" TargetMode="External"/><Relationship Id="rId5" Type="http://schemas.openxmlformats.org/officeDocument/2006/relationships/webSettings" Target="webSettings.xml"/><Relationship Id="rId15" Type="http://schemas.openxmlformats.org/officeDocument/2006/relationships/hyperlink" Target="https://www.nice.org.uk/guidance/ng28" TargetMode="External"/><Relationship Id="rId23" Type="http://schemas.openxmlformats.org/officeDocument/2006/relationships/theme" Target="theme/theme1.xml"/><Relationship Id="rId10" Type="http://schemas.openxmlformats.org/officeDocument/2006/relationships/hyperlink" Target="https://diabetes.ucsf.edu/diabetes-teaching-centre" TargetMode="External"/><Relationship Id="rId19" Type="http://schemas.openxmlformats.org/officeDocument/2006/relationships/hyperlink" Target="https://www.nhs.uk/conditions/type-2-diabetes/treatment/" TargetMode="External"/><Relationship Id="rId4" Type="http://schemas.openxmlformats.org/officeDocument/2006/relationships/settings" Target="settings.xml"/><Relationship Id="rId9" Type="http://schemas.openxmlformats.org/officeDocument/2006/relationships/hyperlink" Target="https://openstax.org/books/biology-2e/pages/7-introduction" TargetMode="External"/><Relationship Id="rId14" Type="http://schemas.openxmlformats.org/officeDocument/2006/relationships/hyperlink" Target="https://www.nhsinform.scot/illnesses-and-conditions/diabetes/type-2-diabet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C7EA5-FB83-418A-A4D2-0E8F02A6FB2D}">
  <we:reference id="wa200000368" version="1.0.0.0" store="en-US" storeType="OMEX"/>
  <we:alternateReferences>
    <we:reference id="WA200000368" version="1.0.0.0" store="" storeType="OMEX"/>
  </we:alternateReferences>
  <we:properties>
    <we:property name="documentId" value="&quot;567e5c38849950b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E0FB-0FE3-4E84-8F03-DC19454F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11</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cp:keywords/>
  <dc:description/>
  <cp:lastModifiedBy>amina noor</cp:lastModifiedBy>
  <cp:revision>149</cp:revision>
  <dcterms:created xsi:type="dcterms:W3CDTF">2026-10-01T16:07:00Z</dcterms:created>
  <dcterms:modified xsi:type="dcterms:W3CDTF">2026-10-07T09:02:00Z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6f31de28-b8da-4277-9cee-584e479afadd</vt:lpwstr>
  </property>
</Properties>
</file>