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A83DA" w14:textId="77777777" w:rsidR="009A21EE" w:rsidRPr="009A21EE" w:rsidRDefault="009A21EE" w:rsidP="009A21EE">
      <w:pPr>
        <w:spacing w:line="360" w:lineRule="auto"/>
        <w:jc w:val="both"/>
        <w:rPr>
          <w:rFonts w:ascii="Arial" w:hAnsi="Arial" w:cs="Arial"/>
          <w:b/>
          <w:bCs/>
        </w:rPr>
      </w:pPr>
      <w:r w:rsidRPr="009A21EE">
        <w:rPr>
          <w:rFonts w:ascii="Arial" w:hAnsi="Arial" w:cs="Arial"/>
          <w:b/>
          <w:bCs/>
        </w:rPr>
        <w:t>Certificate of Higher Education Skills for the Workplace (Health &amp; Social Care)</w:t>
      </w:r>
    </w:p>
    <w:p w14:paraId="7BC0FEBC" w14:textId="77777777" w:rsidR="009A21EE" w:rsidRPr="009A21EE" w:rsidRDefault="009A21EE" w:rsidP="009A21EE">
      <w:pPr>
        <w:spacing w:line="360" w:lineRule="auto"/>
        <w:jc w:val="both"/>
        <w:rPr>
          <w:rFonts w:ascii="Arial" w:hAnsi="Arial" w:cs="Arial"/>
          <w:b/>
          <w:bCs/>
        </w:rPr>
      </w:pPr>
    </w:p>
    <w:p w14:paraId="35F96982" w14:textId="77777777" w:rsidR="009A21EE" w:rsidRPr="009A21EE" w:rsidRDefault="009A21EE" w:rsidP="009A21EE">
      <w:pPr>
        <w:spacing w:line="360" w:lineRule="auto"/>
        <w:jc w:val="both"/>
        <w:rPr>
          <w:rFonts w:ascii="Arial" w:hAnsi="Arial" w:cs="Arial"/>
        </w:rPr>
      </w:pPr>
      <w:r w:rsidRPr="00E179E7">
        <w:rPr>
          <w:rFonts w:ascii="Arial" w:hAnsi="Arial" w:cs="Arial"/>
          <w:b/>
          <w:bCs/>
        </w:rPr>
        <w:t>Module</w:t>
      </w:r>
      <w:r w:rsidRPr="009A21EE">
        <w:rPr>
          <w:rFonts w:ascii="Arial" w:hAnsi="Arial" w:cs="Arial"/>
        </w:rPr>
        <w:t>: Psychology in Health and Social Care</w:t>
      </w:r>
    </w:p>
    <w:p w14:paraId="3C5179C4" w14:textId="77777777" w:rsidR="009A21EE" w:rsidRPr="009A21EE" w:rsidRDefault="009A21EE" w:rsidP="009A21EE">
      <w:pPr>
        <w:spacing w:line="360" w:lineRule="auto"/>
        <w:jc w:val="both"/>
        <w:rPr>
          <w:rFonts w:ascii="Arial" w:hAnsi="Arial" w:cs="Arial"/>
        </w:rPr>
      </w:pPr>
      <w:r w:rsidRPr="00E179E7">
        <w:rPr>
          <w:rFonts w:ascii="Arial" w:hAnsi="Arial" w:cs="Arial"/>
          <w:b/>
          <w:bCs/>
        </w:rPr>
        <w:t>Module Code</w:t>
      </w:r>
      <w:r w:rsidRPr="009A21EE">
        <w:rPr>
          <w:rFonts w:ascii="Arial" w:hAnsi="Arial" w:cs="Arial"/>
        </w:rPr>
        <w:t>: LCHS4010</w:t>
      </w:r>
    </w:p>
    <w:p w14:paraId="078149AA" w14:textId="1F4B5D07" w:rsidR="009A21EE" w:rsidRPr="009A21EE" w:rsidRDefault="009A21EE" w:rsidP="009A21EE">
      <w:pPr>
        <w:spacing w:line="360" w:lineRule="auto"/>
        <w:jc w:val="both"/>
        <w:rPr>
          <w:rFonts w:ascii="Arial" w:hAnsi="Arial" w:cs="Arial"/>
        </w:rPr>
      </w:pPr>
      <w:r w:rsidRPr="00E179E7">
        <w:rPr>
          <w:rFonts w:ascii="Arial" w:hAnsi="Arial" w:cs="Arial"/>
          <w:b/>
          <w:bCs/>
        </w:rPr>
        <w:t>Assessment</w:t>
      </w:r>
      <w:r w:rsidRPr="009A21EE">
        <w:rPr>
          <w:rFonts w:ascii="Arial" w:hAnsi="Arial" w:cs="Arial"/>
        </w:rPr>
        <w:t>: Component 2 – Essay</w:t>
      </w:r>
    </w:p>
    <w:p w14:paraId="3163671E" w14:textId="43CBE987" w:rsidR="009A21EE" w:rsidRPr="009A21EE" w:rsidRDefault="009A21EE" w:rsidP="009A21EE">
      <w:pPr>
        <w:spacing w:line="360" w:lineRule="auto"/>
        <w:jc w:val="both"/>
        <w:rPr>
          <w:rFonts w:ascii="Arial" w:hAnsi="Arial" w:cs="Arial"/>
        </w:rPr>
      </w:pPr>
      <w:r w:rsidRPr="004E65C6">
        <w:rPr>
          <w:rFonts w:ascii="Arial" w:hAnsi="Arial" w:cs="Arial"/>
          <w:b/>
          <w:bCs/>
        </w:rPr>
        <w:t>Student Name:</w:t>
      </w:r>
      <w:r w:rsidRPr="009A21EE">
        <w:rPr>
          <w:rFonts w:ascii="Arial" w:hAnsi="Arial" w:cs="Arial"/>
        </w:rPr>
        <w:t xml:space="preserve"> </w:t>
      </w:r>
      <w:r w:rsidR="00016407">
        <w:rPr>
          <w:rFonts w:ascii="Arial" w:hAnsi="Arial" w:cs="Arial"/>
        </w:rPr>
        <w:t>Hulematou Juwara Sillah</w:t>
      </w:r>
    </w:p>
    <w:p w14:paraId="068BBC1D" w14:textId="714D07B4" w:rsidR="009A21EE" w:rsidRPr="009A21EE" w:rsidRDefault="009A21EE" w:rsidP="009A21EE">
      <w:pPr>
        <w:spacing w:line="360" w:lineRule="auto"/>
        <w:jc w:val="both"/>
        <w:rPr>
          <w:rFonts w:ascii="Arial" w:hAnsi="Arial" w:cs="Arial"/>
        </w:rPr>
      </w:pPr>
      <w:r w:rsidRPr="004E65C6">
        <w:rPr>
          <w:rFonts w:ascii="Arial" w:hAnsi="Arial" w:cs="Arial"/>
          <w:b/>
          <w:bCs/>
        </w:rPr>
        <w:t>Student ID Number</w:t>
      </w:r>
      <w:r w:rsidRPr="009A21EE">
        <w:rPr>
          <w:rFonts w:ascii="Arial" w:hAnsi="Arial" w:cs="Arial"/>
        </w:rPr>
        <w:t xml:space="preserve">: </w:t>
      </w:r>
      <w:r w:rsidR="00016407">
        <w:rPr>
          <w:rFonts w:ascii="Arial" w:hAnsi="Arial" w:cs="Arial"/>
        </w:rPr>
        <w:t>2509135</w:t>
      </w:r>
    </w:p>
    <w:p w14:paraId="5E0B658A" w14:textId="2D4C71E2" w:rsidR="009A21EE" w:rsidRDefault="009A21EE" w:rsidP="009A21EE">
      <w:pPr>
        <w:spacing w:line="360" w:lineRule="auto"/>
        <w:jc w:val="both"/>
        <w:rPr>
          <w:rFonts w:ascii="Arial" w:hAnsi="Arial" w:cs="Arial"/>
        </w:rPr>
      </w:pPr>
      <w:r w:rsidRPr="004E65C6">
        <w:rPr>
          <w:rFonts w:ascii="Arial" w:hAnsi="Arial" w:cs="Arial"/>
          <w:b/>
          <w:bCs/>
        </w:rPr>
        <w:t>Lecturer</w:t>
      </w:r>
      <w:r w:rsidRPr="009A21EE">
        <w:rPr>
          <w:rFonts w:ascii="Arial" w:hAnsi="Arial" w:cs="Arial"/>
        </w:rPr>
        <w:t xml:space="preserve">: Shepherd </w:t>
      </w:r>
      <w:proofErr w:type="spellStart"/>
      <w:r w:rsidRPr="009A21EE">
        <w:rPr>
          <w:rFonts w:ascii="Arial" w:hAnsi="Arial" w:cs="Arial"/>
        </w:rPr>
        <w:t>Ziko</w:t>
      </w:r>
      <w:proofErr w:type="spellEnd"/>
      <w:r w:rsidRPr="009A21EE">
        <w:rPr>
          <w:rFonts w:ascii="Arial" w:hAnsi="Arial" w:cs="Arial"/>
        </w:rPr>
        <w:t xml:space="preserve"> </w:t>
      </w:r>
    </w:p>
    <w:p w14:paraId="12A37384" w14:textId="77777777" w:rsidR="00016407" w:rsidRPr="009A21EE" w:rsidRDefault="00016407" w:rsidP="009A21EE">
      <w:pPr>
        <w:spacing w:line="360" w:lineRule="auto"/>
        <w:jc w:val="both"/>
        <w:rPr>
          <w:rFonts w:ascii="Arial" w:hAnsi="Arial" w:cs="Arial"/>
        </w:rPr>
      </w:pPr>
    </w:p>
    <w:p w14:paraId="764334C6" w14:textId="23935649" w:rsidR="009A21EE" w:rsidRPr="00016407" w:rsidRDefault="00016407" w:rsidP="009A21EE">
      <w:pPr>
        <w:spacing w:line="360" w:lineRule="auto"/>
        <w:jc w:val="both"/>
        <w:rPr>
          <w:rFonts w:ascii="Arial" w:hAnsi="Arial" w:cs="Arial"/>
          <w:b/>
          <w:bCs/>
        </w:rPr>
      </w:pPr>
      <w:r w:rsidRPr="00E179E7">
        <w:rPr>
          <w:rFonts w:ascii="Arial" w:hAnsi="Arial" w:cs="Arial"/>
          <w:b/>
          <w:bCs/>
        </w:rPr>
        <w:t>Discuss the impact of social media on mental health in adolescence</w:t>
      </w:r>
    </w:p>
    <w:p w14:paraId="644CA5D0" w14:textId="4BEF481D" w:rsidR="004A1804" w:rsidRPr="004A1804" w:rsidRDefault="004A1804" w:rsidP="004A1804">
      <w:pPr>
        <w:spacing w:line="360" w:lineRule="auto"/>
        <w:jc w:val="both"/>
        <w:rPr>
          <w:rFonts w:ascii="Arial" w:hAnsi="Arial" w:cs="Arial"/>
        </w:rPr>
      </w:pPr>
      <w:r w:rsidRPr="004A1804">
        <w:rPr>
          <w:rFonts w:ascii="Arial" w:hAnsi="Arial" w:cs="Arial"/>
        </w:rPr>
        <w:t>Social media has become an important part of everyday life for many adolescents. Platforms such as Instagram, TikTok, Snapchat and other social networking sites allow young people to communicate with friends, express themselves, develop relationships and receive information. However, adolescence is also an important period of psychological development, during which individuals develop their identity, self-esteem and relationships outside the family. As a result, experiences on social media may influence adolescent mental health in both positive and negative ways. Research has identified associations between social media use and internalising symptoms such as anxiety and depression, although these relationships are complex and do not demonstrate that social media alone causes poor mental health (</w:t>
      </w:r>
      <w:proofErr w:type="spellStart"/>
      <w:r w:rsidRPr="004A1804">
        <w:rPr>
          <w:rFonts w:ascii="Arial" w:hAnsi="Arial" w:cs="Arial"/>
        </w:rPr>
        <w:t>Fassi</w:t>
      </w:r>
      <w:proofErr w:type="spellEnd"/>
      <w:r w:rsidRPr="004A1804">
        <w:rPr>
          <w:rFonts w:ascii="Arial" w:hAnsi="Arial" w:cs="Arial"/>
        </w:rPr>
        <w:t xml:space="preserve"> et al., 2024). This essay discusses the impact of social media on adolescent mental health using </w:t>
      </w:r>
      <w:proofErr w:type="spellStart"/>
      <w:r w:rsidRPr="004A1804">
        <w:rPr>
          <w:rFonts w:ascii="Arial" w:hAnsi="Arial" w:cs="Arial"/>
        </w:rPr>
        <w:t>Erikson’s</w:t>
      </w:r>
      <w:proofErr w:type="spellEnd"/>
      <w:r w:rsidRPr="004A1804">
        <w:rPr>
          <w:rFonts w:ascii="Arial" w:hAnsi="Arial" w:cs="Arial"/>
        </w:rPr>
        <w:t xml:space="preserve"> theory of psychosocial development and </w:t>
      </w:r>
      <w:proofErr w:type="spellStart"/>
      <w:r w:rsidRPr="004A1804">
        <w:rPr>
          <w:rFonts w:ascii="Arial" w:hAnsi="Arial" w:cs="Arial"/>
        </w:rPr>
        <w:t>Bowlby’s</w:t>
      </w:r>
      <w:proofErr w:type="spellEnd"/>
      <w:r w:rsidRPr="004A1804">
        <w:rPr>
          <w:rFonts w:ascii="Arial" w:hAnsi="Arial" w:cs="Arial"/>
        </w:rPr>
        <w:t xml:space="preserve"> attachment theory. It argues that social media can influence mental health through identity development, social feedback, belonging and attachment needs, but that outcomes depend on the individual and the type and quality of social media use.</w:t>
      </w:r>
    </w:p>
    <w:p w14:paraId="7820ADAF" w14:textId="5B0FA81D" w:rsidR="004A1804" w:rsidRPr="004A1804" w:rsidRDefault="004A1804" w:rsidP="004A1804">
      <w:pPr>
        <w:spacing w:line="360" w:lineRule="auto"/>
        <w:jc w:val="both"/>
        <w:rPr>
          <w:rFonts w:ascii="Arial" w:hAnsi="Arial" w:cs="Arial"/>
        </w:rPr>
      </w:pPr>
      <w:proofErr w:type="spellStart"/>
      <w:r w:rsidRPr="004A1804">
        <w:rPr>
          <w:rFonts w:ascii="Arial" w:hAnsi="Arial" w:cs="Arial"/>
        </w:rPr>
        <w:t>Erikson’s</w:t>
      </w:r>
      <w:proofErr w:type="spellEnd"/>
      <w:r w:rsidRPr="004A1804">
        <w:rPr>
          <w:rFonts w:ascii="Arial" w:hAnsi="Arial" w:cs="Arial"/>
        </w:rPr>
        <w:t xml:space="preserve"> theory of psychosocial development is particularly relevant to adolescence because </w:t>
      </w:r>
      <w:proofErr w:type="spellStart"/>
      <w:r w:rsidRPr="004A1804">
        <w:rPr>
          <w:rFonts w:ascii="Arial" w:hAnsi="Arial" w:cs="Arial"/>
        </w:rPr>
        <w:t>Erikson</w:t>
      </w:r>
      <w:proofErr w:type="spellEnd"/>
      <w:r w:rsidRPr="004A1804">
        <w:rPr>
          <w:rFonts w:ascii="Arial" w:hAnsi="Arial" w:cs="Arial"/>
        </w:rPr>
        <w:t xml:space="preserve"> (1968) identified identity versus role confusion as the central psychosocial conflict during this stage of life. Adolescents begin to ask questions about who they are, what they believe and how they fit into society. They may experiment</w:t>
      </w:r>
      <w:r>
        <w:rPr>
          <w:rFonts w:ascii="Arial" w:hAnsi="Arial" w:cs="Arial"/>
        </w:rPr>
        <w:t xml:space="preserve"> </w:t>
      </w:r>
      <w:r w:rsidRPr="004A1804">
        <w:rPr>
          <w:rFonts w:ascii="Arial" w:hAnsi="Arial" w:cs="Arial"/>
        </w:rPr>
        <w:lastRenderedPageBreak/>
        <w:t>with different identities, behaviours and relationships before developing a stronger sense of self. Social media provides an environment in which this identity development can take place. Adolescents can select photographs, share opinions and interact with different social groups. The responses they receive may influence how they evaluate themselves. Positive feedback can strengthen social confidence, while negative feedback may contribute to insecurity and uncertainty about identity.</w:t>
      </w:r>
    </w:p>
    <w:p w14:paraId="4EFC3125" w14:textId="02B15700" w:rsidR="004A1804" w:rsidRPr="004A1804" w:rsidRDefault="004A1804" w:rsidP="004A1804">
      <w:pPr>
        <w:spacing w:line="360" w:lineRule="auto"/>
        <w:jc w:val="both"/>
        <w:rPr>
          <w:rFonts w:ascii="Arial" w:hAnsi="Arial" w:cs="Arial"/>
        </w:rPr>
      </w:pPr>
      <w:r w:rsidRPr="004A1804">
        <w:rPr>
          <w:rFonts w:ascii="Arial" w:hAnsi="Arial" w:cs="Arial"/>
        </w:rPr>
        <w:t xml:space="preserve">Research supports the importance of feedback in online environments. Valkenburg, Peter and </w:t>
      </w:r>
      <w:proofErr w:type="spellStart"/>
      <w:r w:rsidRPr="004A1804">
        <w:rPr>
          <w:rFonts w:ascii="Arial" w:hAnsi="Arial" w:cs="Arial"/>
        </w:rPr>
        <w:t>Schouten</w:t>
      </w:r>
      <w:proofErr w:type="spellEnd"/>
      <w:r w:rsidRPr="004A1804">
        <w:rPr>
          <w:rFonts w:ascii="Arial" w:hAnsi="Arial" w:cs="Arial"/>
        </w:rPr>
        <w:t xml:space="preserve"> (2006) studied 881 adolescents and found that positive feedback on social networking profiles was associated with improvements in social self-esteem and well-being, whereas negative feedback was associated with decreases in self-esteem and well-being. From an </w:t>
      </w:r>
      <w:proofErr w:type="spellStart"/>
      <w:r w:rsidRPr="004A1804">
        <w:rPr>
          <w:rFonts w:ascii="Arial" w:hAnsi="Arial" w:cs="Arial"/>
        </w:rPr>
        <w:t>Eriksonian</w:t>
      </w:r>
      <w:proofErr w:type="spellEnd"/>
      <w:r w:rsidRPr="004A1804">
        <w:rPr>
          <w:rFonts w:ascii="Arial" w:hAnsi="Arial" w:cs="Arial"/>
        </w:rPr>
        <w:t xml:space="preserve"> perspective, these findings are significant because adolescents are still developing their identity. If young people repeatedly receive positive responses from peers, social media may provide reassurance that they are accepted by others. However, if they experience criticism, rejection or exclusion, they may begin to question their social value. This could contribute to low self-esteem, anxiety or role confusion.</w:t>
      </w:r>
    </w:p>
    <w:p w14:paraId="6D80F682" w14:textId="68635524" w:rsidR="004A1804" w:rsidRPr="004A1804" w:rsidRDefault="004A1804" w:rsidP="004A1804">
      <w:pPr>
        <w:spacing w:line="360" w:lineRule="auto"/>
        <w:jc w:val="both"/>
        <w:rPr>
          <w:rFonts w:ascii="Arial" w:hAnsi="Arial" w:cs="Arial"/>
        </w:rPr>
      </w:pPr>
      <w:r w:rsidRPr="004A1804">
        <w:rPr>
          <w:rFonts w:ascii="Arial" w:hAnsi="Arial" w:cs="Arial"/>
        </w:rPr>
        <w:t xml:space="preserve">Social comparison is another important issue. Social media often allows adolescents to see carefully selected representations of other people’s appearance, achievements, friendships and lifestyles. Comparing their own lives with these idealised representations may result in feelings of inadequacy. This may be particularly significant during adolescence because identity and self-esteem are still developing. An adolescent who believes that other people are more attractive, popular or successful may interpret social media content as evidence that they do not fit social expectations. In this way, social media may contribute to negative self-evaluation. However, </w:t>
      </w:r>
      <w:proofErr w:type="spellStart"/>
      <w:r w:rsidRPr="004A1804">
        <w:rPr>
          <w:rFonts w:ascii="Arial" w:hAnsi="Arial" w:cs="Arial"/>
        </w:rPr>
        <w:t>Erikson’s</w:t>
      </w:r>
      <w:proofErr w:type="spellEnd"/>
      <w:r w:rsidRPr="004A1804">
        <w:rPr>
          <w:rFonts w:ascii="Arial" w:hAnsi="Arial" w:cs="Arial"/>
        </w:rPr>
        <w:t xml:space="preserve"> theory also shows why social media can have positive effects. Online communities can allow adolescents to meet people with similar interests and experiences, which may support belonging and provide opportunities to explore aspects of identity that are not easily expressed in their immediate environment.</w:t>
      </w:r>
    </w:p>
    <w:p w14:paraId="01280CDB" w14:textId="45C6447C" w:rsidR="004A1804" w:rsidRPr="004A1804" w:rsidRDefault="004A1804" w:rsidP="004A1804">
      <w:pPr>
        <w:spacing w:line="360" w:lineRule="auto"/>
        <w:jc w:val="both"/>
        <w:rPr>
          <w:rFonts w:ascii="Arial" w:hAnsi="Arial" w:cs="Arial"/>
        </w:rPr>
      </w:pPr>
      <w:r w:rsidRPr="004A1804">
        <w:rPr>
          <w:rFonts w:ascii="Arial" w:hAnsi="Arial" w:cs="Arial"/>
        </w:rPr>
        <w:t xml:space="preserve">The evidence therefore suggests that the relationship between digital technology and mental health should not be presented as entirely negative. </w:t>
      </w:r>
      <w:proofErr w:type="spellStart"/>
      <w:r w:rsidRPr="004A1804">
        <w:rPr>
          <w:rFonts w:ascii="Arial" w:hAnsi="Arial" w:cs="Arial"/>
        </w:rPr>
        <w:t>Orben</w:t>
      </w:r>
      <w:proofErr w:type="spellEnd"/>
      <w:r w:rsidRPr="004A1804">
        <w:rPr>
          <w:rFonts w:ascii="Arial" w:hAnsi="Arial" w:cs="Arial"/>
        </w:rPr>
        <w:t xml:space="preserve"> and </w:t>
      </w:r>
      <w:proofErr w:type="spellStart"/>
      <w:r w:rsidRPr="004A1804">
        <w:rPr>
          <w:rFonts w:ascii="Arial" w:hAnsi="Arial" w:cs="Arial"/>
        </w:rPr>
        <w:t>Przybylski</w:t>
      </w:r>
      <w:proofErr w:type="spellEnd"/>
      <w:r w:rsidRPr="004A1804">
        <w:rPr>
          <w:rFonts w:ascii="Arial" w:hAnsi="Arial" w:cs="Arial"/>
        </w:rPr>
        <w:t xml:space="preserve"> (2019) examined data from more than 350,000 adolescents and found that digital technology use was negatively associated with well-being, but the association was </w:t>
      </w:r>
      <w:r w:rsidRPr="004A1804">
        <w:rPr>
          <w:rFonts w:ascii="Arial" w:hAnsi="Arial" w:cs="Arial"/>
        </w:rPr>
        <w:lastRenderedPageBreak/>
        <w:t xml:space="preserve">very small and explained at most 0.4% of the variation in well-being. This challenges the assumption that simply spending more time online inevitably causes significant mental health problems. The type of online experience may be more important than time alone. For example, supportive communication with friends may have a different effect from cyberbullying, social comparison or compulsive checking of notifications. Consequently, </w:t>
      </w:r>
      <w:proofErr w:type="spellStart"/>
      <w:r w:rsidRPr="004A1804">
        <w:rPr>
          <w:rFonts w:ascii="Arial" w:hAnsi="Arial" w:cs="Arial"/>
        </w:rPr>
        <w:t>Erikson’s</w:t>
      </w:r>
      <w:proofErr w:type="spellEnd"/>
      <w:r w:rsidRPr="004A1804">
        <w:rPr>
          <w:rFonts w:ascii="Arial" w:hAnsi="Arial" w:cs="Arial"/>
        </w:rPr>
        <w:t xml:space="preserve"> theory is useful for explaining why online feedback may affect identity, but it cannot by itself explain all differences between adolescents.</w:t>
      </w:r>
    </w:p>
    <w:p w14:paraId="269DAABC" w14:textId="623E23EF" w:rsidR="004A1804" w:rsidRPr="004A1804" w:rsidRDefault="004A1804" w:rsidP="004A1804">
      <w:pPr>
        <w:spacing w:line="360" w:lineRule="auto"/>
        <w:jc w:val="both"/>
        <w:rPr>
          <w:rFonts w:ascii="Arial" w:hAnsi="Arial" w:cs="Arial"/>
        </w:rPr>
      </w:pPr>
      <w:proofErr w:type="spellStart"/>
      <w:r w:rsidRPr="004A1804">
        <w:rPr>
          <w:rFonts w:ascii="Arial" w:hAnsi="Arial" w:cs="Arial"/>
        </w:rPr>
        <w:t>Bowlby’s</w:t>
      </w:r>
      <w:proofErr w:type="spellEnd"/>
      <w:r w:rsidRPr="004A1804">
        <w:rPr>
          <w:rFonts w:ascii="Arial" w:hAnsi="Arial" w:cs="Arial"/>
        </w:rPr>
        <w:t xml:space="preserve"> attachment theory provides a second explanation for the relationship between social media and adolescent mental health. </w:t>
      </w:r>
      <w:proofErr w:type="spellStart"/>
      <w:r w:rsidRPr="004A1804">
        <w:rPr>
          <w:rFonts w:ascii="Arial" w:hAnsi="Arial" w:cs="Arial"/>
        </w:rPr>
        <w:t>Bowlby</w:t>
      </w:r>
      <w:proofErr w:type="spellEnd"/>
      <w:r w:rsidRPr="004A1804">
        <w:rPr>
          <w:rFonts w:ascii="Arial" w:hAnsi="Arial" w:cs="Arial"/>
        </w:rPr>
        <w:t xml:space="preserve"> (1982) proposed that early relationships with caregivers contribute to internal working models concerning the self and other people. These models influence expectations about whether others are trustworthy, available and supportive. Although </w:t>
      </w:r>
      <w:proofErr w:type="spellStart"/>
      <w:r w:rsidRPr="004A1804">
        <w:rPr>
          <w:rFonts w:ascii="Arial" w:hAnsi="Arial" w:cs="Arial"/>
        </w:rPr>
        <w:t>Bowlby’s</w:t>
      </w:r>
      <w:proofErr w:type="spellEnd"/>
      <w:r w:rsidRPr="004A1804">
        <w:rPr>
          <w:rFonts w:ascii="Arial" w:hAnsi="Arial" w:cs="Arial"/>
        </w:rPr>
        <w:t xml:space="preserve"> original theory focused strongly on early relationships, attachment remains relevant as young people develop increasingly important relationships with peers. Social media can therefore become another environment in which adolescents seek connection, acceptance and reassurance.</w:t>
      </w:r>
    </w:p>
    <w:p w14:paraId="19782E73" w14:textId="04F56E54" w:rsidR="004A1804" w:rsidRPr="004A1804" w:rsidRDefault="004A1804" w:rsidP="004A1804">
      <w:pPr>
        <w:spacing w:line="360" w:lineRule="auto"/>
        <w:jc w:val="both"/>
        <w:rPr>
          <w:rFonts w:ascii="Arial" w:hAnsi="Arial" w:cs="Arial"/>
        </w:rPr>
      </w:pPr>
      <w:r w:rsidRPr="004A1804">
        <w:rPr>
          <w:rFonts w:ascii="Arial" w:hAnsi="Arial" w:cs="Arial"/>
        </w:rPr>
        <w:t>Adolescents with relatively secure attachment may be more able to use social media to maintain friendships without becoming excessively dependent on online approval. In contrast, adolescents experiencing attachment anxiety may be particularly sensitive to rejection or uncertainty in relationships. For example, an adolescent may repeatedly check whether a friend has replied to a message, become concerned when a message is left unanswered or interpret a lack of likes as rejection. These behaviours could increase anxiety and encourage problematic social media use. Social media may therefore provide temporary reassurance while also creating further opportunities for uncertainty.</w:t>
      </w:r>
    </w:p>
    <w:p w14:paraId="71218786" w14:textId="56965293" w:rsidR="004A1804" w:rsidRPr="004A1804" w:rsidRDefault="004A1804" w:rsidP="004A1804">
      <w:pPr>
        <w:spacing w:line="360" w:lineRule="auto"/>
        <w:jc w:val="both"/>
        <w:rPr>
          <w:rFonts w:ascii="Arial" w:hAnsi="Arial" w:cs="Arial"/>
        </w:rPr>
      </w:pPr>
      <w:r w:rsidRPr="004A1804">
        <w:rPr>
          <w:rFonts w:ascii="Arial" w:hAnsi="Arial" w:cs="Arial"/>
        </w:rPr>
        <w:t xml:space="preserve">Research provides support for this explanation. </w:t>
      </w:r>
      <w:proofErr w:type="spellStart"/>
      <w:r w:rsidRPr="004A1804">
        <w:rPr>
          <w:rFonts w:ascii="Arial" w:hAnsi="Arial" w:cs="Arial"/>
        </w:rPr>
        <w:t>Musetti</w:t>
      </w:r>
      <w:proofErr w:type="spellEnd"/>
      <w:r w:rsidRPr="004A1804">
        <w:rPr>
          <w:rFonts w:ascii="Arial" w:hAnsi="Arial" w:cs="Arial"/>
        </w:rPr>
        <w:t xml:space="preserve"> et al. (2022) conducted a systematic review of 32 studies involving 16,938 participants and found that problematic social networking site use was negatively associated with secure attachment and positively associated with attachment anxiety. The authors also found that individual, interpersonal and social-networking factors could influence these relationships. This is relevant to adolescent mental health because it suggests that problematic social media use cannot be understood simply by measuring the amount </w:t>
      </w:r>
      <w:r w:rsidRPr="004A1804">
        <w:rPr>
          <w:rFonts w:ascii="Arial" w:hAnsi="Arial" w:cs="Arial"/>
        </w:rPr>
        <w:lastRenderedPageBreak/>
        <w:t>of time spent online. Instead, the emotional reasons for using social media and the quality of relationships surrounding the individual should also be considered.</w:t>
      </w:r>
    </w:p>
    <w:p w14:paraId="2C2EB297" w14:textId="5FEAA4DF" w:rsidR="004A1804" w:rsidRPr="004A1804" w:rsidRDefault="004A1804" w:rsidP="004A1804">
      <w:pPr>
        <w:spacing w:line="360" w:lineRule="auto"/>
        <w:jc w:val="both"/>
        <w:rPr>
          <w:rFonts w:ascii="Arial" w:hAnsi="Arial" w:cs="Arial"/>
        </w:rPr>
      </w:pPr>
      <w:r w:rsidRPr="004A1804">
        <w:rPr>
          <w:rFonts w:ascii="Arial" w:hAnsi="Arial" w:cs="Arial"/>
        </w:rPr>
        <w:t xml:space="preserve">Attachment theory can also explain some positive effects of social media. Online communication can help adolescents maintain relationships and receive social support. This may be particularly useful when young people experience loneliness or have difficulty communicating face-to-face. Social media can therefore help meet the need for connection rather than necessarily damaging relationships. The important issue is whether online relationships provide genuine support or become a replacement for healthy relationships and emotional coping. </w:t>
      </w:r>
      <w:proofErr w:type="spellStart"/>
      <w:r w:rsidRPr="004A1804">
        <w:rPr>
          <w:rFonts w:ascii="Arial" w:hAnsi="Arial" w:cs="Arial"/>
        </w:rPr>
        <w:t>Bowlby’s</w:t>
      </w:r>
      <w:proofErr w:type="spellEnd"/>
      <w:r w:rsidRPr="004A1804">
        <w:rPr>
          <w:rFonts w:ascii="Arial" w:hAnsi="Arial" w:cs="Arial"/>
        </w:rPr>
        <w:t xml:space="preserve"> theory suggests that young people who already feel insecure may be more vulnerable to using social media to manage relationship anxiety.</w:t>
      </w:r>
    </w:p>
    <w:p w14:paraId="32F87550" w14:textId="47C3E630" w:rsidR="004A1804" w:rsidRPr="004A1804" w:rsidRDefault="004A1804" w:rsidP="004A1804">
      <w:pPr>
        <w:spacing w:line="360" w:lineRule="auto"/>
        <w:jc w:val="both"/>
        <w:rPr>
          <w:rFonts w:ascii="Arial" w:hAnsi="Arial" w:cs="Arial"/>
        </w:rPr>
      </w:pPr>
      <w:r w:rsidRPr="004A1804">
        <w:rPr>
          <w:rFonts w:ascii="Arial" w:hAnsi="Arial" w:cs="Arial"/>
        </w:rPr>
        <w:t xml:space="preserve">Contemporary evidence also demonstrates the complexity of these relationships. </w:t>
      </w:r>
      <w:proofErr w:type="spellStart"/>
      <w:r w:rsidRPr="004A1804">
        <w:rPr>
          <w:rFonts w:ascii="Arial" w:hAnsi="Arial" w:cs="Arial"/>
        </w:rPr>
        <w:t>Fassi</w:t>
      </w:r>
      <w:proofErr w:type="spellEnd"/>
      <w:r w:rsidRPr="004A1804">
        <w:rPr>
          <w:rFonts w:ascii="Arial" w:hAnsi="Arial" w:cs="Arial"/>
        </w:rPr>
        <w:t xml:space="preserve"> et al. (2024) conducted a systematic review and meta-analysis of 143 studies involving 1,094,890 adolescents. The researchers found positive associations between social media use and internalising symptoms in both clinical and community samples. However, relatively few of the studies involved clinical populations, which limits how confidently the findings can be generalised to adolescents receiving mental health services. Therefore, the research demonstrates an association rather than proving that social media directly causes anxiety or depression. It is possible that poor mental health can also influence social media behaviour. For example, an adolescent experiencing loneliness or depression may use social media more frequently because they are seeking social contact.</w:t>
      </w:r>
    </w:p>
    <w:p w14:paraId="00B94327" w14:textId="77777777" w:rsidR="004A1804" w:rsidRPr="004A1804" w:rsidRDefault="004A1804" w:rsidP="004A1804">
      <w:pPr>
        <w:spacing w:line="360" w:lineRule="auto"/>
        <w:jc w:val="both"/>
        <w:rPr>
          <w:rFonts w:ascii="Arial" w:hAnsi="Arial" w:cs="Arial"/>
        </w:rPr>
      </w:pPr>
      <w:r w:rsidRPr="004A1804">
        <w:rPr>
          <w:rFonts w:ascii="Arial" w:hAnsi="Arial" w:cs="Arial"/>
        </w:rPr>
        <w:t xml:space="preserve">The two theories therefore complement each other when explaining the impact of social media. </w:t>
      </w:r>
      <w:proofErr w:type="spellStart"/>
      <w:r w:rsidRPr="004A1804">
        <w:rPr>
          <w:rFonts w:ascii="Arial" w:hAnsi="Arial" w:cs="Arial"/>
        </w:rPr>
        <w:t>Erikson</w:t>
      </w:r>
      <w:proofErr w:type="spellEnd"/>
      <w:r w:rsidRPr="004A1804">
        <w:rPr>
          <w:rFonts w:ascii="Arial" w:hAnsi="Arial" w:cs="Arial"/>
        </w:rPr>
        <w:t xml:space="preserve"> focuses on the development of identity and explains why feedback, comparison and social acceptance may have particular importance during adolescence. </w:t>
      </w:r>
      <w:proofErr w:type="spellStart"/>
      <w:r w:rsidRPr="004A1804">
        <w:rPr>
          <w:rFonts w:ascii="Arial" w:hAnsi="Arial" w:cs="Arial"/>
        </w:rPr>
        <w:t>Bowlby</w:t>
      </w:r>
      <w:proofErr w:type="spellEnd"/>
      <w:r w:rsidRPr="004A1804">
        <w:rPr>
          <w:rFonts w:ascii="Arial" w:hAnsi="Arial" w:cs="Arial"/>
        </w:rPr>
        <w:t xml:space="preserve"> focuses on relationships and emotional security and helps explain why some adolescents may become more dependent on online reassurance than others. These processes can overlap. For example, an adolescent who receives negative comments about their appearance may experience reduced self-esteem and increased uncertainty about identity, while an adolescent with attachment anxiety may also interpret the negative interaction as evidence that they are not accepted by others. Together, these processes could contribute to anxiety, loneliness or low mood.</w:t>
      </w:r>
    </w:p>
    <w:p w14:paraId="5E51CE69" w14:textId="77777777" w:rsidR="004A1804" w:rsidRPr="004A1804" w:rsidRDefault="004A1804" w:rsidP="004A1804">
      <w:pPr>
        <w:spacing w:line="360" w:lineRule="auto"/>
        <w:jc w:val="both"/>
        <w:rPr>
          <w:rFonts w:ascii="Arial" w:hAnsi="Arial" w:cs="Arial"/>
        </w:rPr>
      </w:pPr>
    </w:p>
    <w:p w14:paraId="5C4AAE68" w14:textId="41629DD9" w:rsidR="004A1804" w:rsidRPr="004A1804" w:rsidRDefault="004A1804" w:rsidP="004A1804">
      <w:pPr>
        <w:spacing w:line="360" w:lineRule="auto"/>
        <w:jc w:val="both"/>
        <w:rPr>
          <w:rFonts w:ascii="Arial" w:hAnsi="Arial" w:cs="Arial"/>
        </w:rPr>
      </w:pPr>
      <w:r w:rsidRPr="004A1804">
        <w:rPr>
          <w:rFonts w:ascii="Arial" w:hAnsi="Arial" w:cs="Arial"/>
        </w:rPr>
        <w:t xml:space="preserve">However, both theories have limitations. </w:t>
      </w:r>
      <w:proofErr w:type="spellStart"/>
      <w:r w:rsidRPr="004A1804">
        <w:rPr>
          <w:rFonts w:ascii="Arial" w:hAnsi="Arial" w:cs="Arial"/>
        </w:rPr>
        <w:t>Erikson’s</w:t>
      </w:r>
      <w:proofErr w:type="spellEnd"/>
      <w:r w:rsidRPr="004A1804">
        <w:rPr>
          <w:rFonts w:ascii="Arial" w:hAnsi="Arial" w:cs="Arial"/>
        </w:rPr>
        <w:t xml:space="preserve"> theory was developed before social media existed and therefore cannot directly explain modern features such as algorithms, public follower counts, likes and constant online availability. Similarly, </w:t>
      </w:r>
      <w:proofErr w:type="spellStart"/>
      <w:r w:rsidRPr="004A1804">
        <w:rPr>
          <w:rFonts w:ascii="Arial" w:hAnsi="Arial" w:cs="Arial"/>
        </w:rPr>
        <w:t>Bowlby’s</w:t>
      </w:r>
      <w:proofErr w:type="spellEnd"/>
      <w:r w:rsidRPr="004A1804">
        <w:rPr>
          <w:rFonts w:ascii="Arial" w:hAnsi="Arial" w:cs="Arial"/>
        </w:rPr>
        <w:t xml:space="preserve"> attachment theory was not developed specifically to explain digital relationships. Applying these theories to social media therefore requires interpretation. Nevertheless, both remain useful because they provide psychological explanations for why adolescents may respond differently to similar online experiences. Contemporary research should be used alongside the theories to avoid assuming that all adolescents experience social media in the same way.</w:t>
      </w:r>
    </w:p>
    <w:p w14:paraId="1CF0DE0D" w14:textId="7F4E6293" w:rsidR="004A1804" w:rsidRPr="004A1804" w:rsidRDefault="004A1804" w:rsidP="004A1804">
      <w:pPr>
        <w:spacing w:line="360" w:lineRule="auto"/>
        <w:jc w:val="both"/>
        <w:rPr>
          <w:rFonts w:ascii="Arial" w:hAnsi="Arial" w:cs="Arial"/>
        </w:rPr>
      </w:pPr>
      <w:r w:rsidRPr="004A1804">
        <w:rPr>
          <w:rFonts w:ascii="Arial" w:hAnsi="Arial" w:cs="Arial"/>
        </w:rPr>
        <w:t xml:space="preserve">These findings have important implications for health and social care practice. Professionals working with adolescents should avoid automatically assuming that frequent social media use indicates poor mental health. Instead, they should consider what the young person is doing online, why they are using social media, whether they experience cyberbullying or exclusion, how online interactions affect their mood and self-esteem, and whether social media is interfering with sleep, education or face-to-face relationships. </w:t>
      </w:r>
      <w:proofErr w:type="spellStart"/>
      <w:r w:rsidRPr="004A1804">
        <w:rPr>
          <w:rFonts w:ascii="Arial" w:hAnsi="Arial" w:cs="Arial"/>
        </w:rPr>
        <w:t>Erikson’s</w:t>
      </w:r>
      <w:proofErr w:type="spellEnd"/>
      <w:r w:rsidRPr="004A1804">
        <w:rPr>
          <w:rFonts w:ascii="Arial" w:hAnsi="Arial" w:cs="Arial"/>
        </w:rPr>
        <w:t xml:space="preserve"> theory encourages professionals to consider identity, self-esteem and the adolescent’s need for acceptance, while </w:t>
      </w:r>
      <w:proofErr w:type="spellStart"/>
      <w:r w:rsidRPr="004A1804">
        <w:rPr>
          <w:rFonts w:ascii="Arial" w:hAnsi="Arial" w:cs="Arial"/>
        </w:rPr>
        <w:t>Bowlby’s</w:t>
      </w:r>
      <w:proofErr w:type="spellEnd"/>
      <w:r w:rsidRPr="004A1804">
        <w:rPr>
          <w:rFonts w:ascii="Arial" w:hAnsi="Arial" w:cs="Arial"/>
        </w:rPr>
        <w:t xml:space="preserve"> theory highlights the importance of secure relationships and emotional support. Interventions could therefore include digital literacy, support with cyberbullying, encouragement of healthy offline relationships and strategies for managing dependence on online approval. This approach is preferable to simply telling adolescents to stop using social media because research suggests that the effects are heterogeneous and generally cannot be explained by screen time alone (</w:t>
      </w:r>
      <w:proofErr w:type="spellStart"/>
      <w:r w:rsidRPr="004A1804">
        <w:rPr>
          <w:rFonts w:ascii="Arial" w:hAnsi="Arial" w:cs="Arial"/>
        </w:rPr>
        <w:t>Orben</w:t>
      </w:r>
      <w:proofErr w:type="spellEnd"/>
      <w:r w:rsidRPr="004A1804">
        <w:rPr>
          <w:rFonts w:ascii="Arial" w:hAnsi="Arial" w:cs="Arial"/>
        </w:rPr>
        <w:t xml:space="preserve"> and </w:t>
      </w:r>
      <w:proofErr w:type="spellStart"/>
      <w:r w:rsidRPr="004A1804">
        <w:rPr>
          <w:rFonts w:ascii="Arial" w:hAnsi="Arial" w:cs="Arial"/>
        </w:rPr>
        <w:t>Przybylski</w:t>
      </w:r>
      <w:proofErr w:type="spellEnd"/>
      <w:r w:rsidRPr="004A1804">
        <w:rPr>
          <w:rFonts w:ascii="Arial" w:hAnsi="Arial" w:cs="Arial"/>
        </w:rPr>
        <w:t xml:space="preserve">, 2019; </w:t>
      </w:r>
      <w:proofErr w:type="spellStart"/>
      <w:r w:rsidRPr="004A1804">
        <w:rPr>
          <w:rFonts w:ascii="Arial" w:hAnsi="Arial" w:cs="Arial"/>
        </w:rPr>
        <w:t>Fassi</w:t>
      </w:r>
      <w:proofErr w:type="spellEnd"/>
      <w:r w:rsidRPr="004A1804">
        <w:rPr>
          <w:rFonts w:ascii="Arial" w:hAnsi="Arial" w:cs="Arial"/>
        </w:rPr>
        <w:t xml:space="preserve"> et al., 2024).</w:t>
      </w:r>
    </w:p>
    <w:p w14:paraId="0A780D57" w14:textId="06D2957D" w:rsidR="00041149" w:rsidRDefault="004A1804" w:rsidP="009A21EE">
      <w:pPr>
        <w:spacing w:line="360" w:lineRule="auto"/>
        <w:jc w:val="both"/>
        <w:rPr>
          <w:rFonts w:ascii="Arial" w:hAnsi="Arial" w:cs="Arial"/>
        </w:rPr>
      </w:pPr>
      <w:r w:rsidRPr="004A1804">
        <w:rPr>
          <w:rFonts w:ascii="Arial" w:hAnsi="Arial" w:cs="Arial"/>
        </w:rPr>
        <w:t xml:space="preserve">In conclusion, social media can have both positive and negative effects on adolescent mental health. </w:t>
      </w:r>
      <w:proofErr w:type="spellStart"/>
      <w:r w:rsidRPr="004A1804">
        <w:rPr>
          <w:rFonts w:ascii="Arial" w:hAnsi="Arial" w:cs="Arial"/>
        </w:rPr>
        <w:t>Erikson’s</w:t>
      </w:r>
      <w:proofErr w:type="spellEnd"/>
      <w:r w:rsidRPr="004A1804">
        <w:rPr>
          <w:rFonts w:ascii="Arial" w:hAnsi="Arial" w:cs="Arial"/>
        </w:rPr>
        <w:t xml:space="preserve"> theory of psychosocial development explains how online feedback, social comparison and self-presentation may influence identity and self-esteem during the important developmental stage of identity versus role confusion. </w:t>
      </w:r>
      <w:proofErr w:type="spellStart"/>
      <w:r w:rsidRPr="004A1804">
        <w:rPr>
          <w:rFonts w:ascii="Arial" w:hAnsi="Arial" w:cs="Arial"/>
        </w:rPr>
        <w:t>Bowlby’s</w:t>
      </w:r>
      <w:proofErr w:type="spellEnd"/>
      <w:r w:rsidRPr="004A1804">
        <w:rPr>
          <w:rFonts w:ascii="Arial" w:hAnsi="Arial" w:cs="Arial"/>
        </w:rPr>
        <w:t xml:space="preserve"> attachment theory explains why adolescents may use social media to seek connection, reassurance and acceptance and why attachment insecurity may increase vulnerability to problematic use. Research demonstrates associations between social media use and mental health difficulties, but the evidence does not support the </w:t>
      </w:r>
      <w:r w:rsidRPr="004A1804">
        <w:rPr>
          <w:rFonts w:ascii="Arial" w:hAnsi="Arial" w:cs="Arial"/>
        </w:rPr>
        <w:lastRenderedPageBreak/>
        <w:t>conclusion that social media alone causes poor mental health. The effects depend on the individual adolescent, their relationships, the type of content they encounter and how they engage with social media. For health and social care professionals, a balanced and person-centred approach is therefore required, recognising both the potential risks and the benefits of online social connection.</w:t>
      </w:r>
    </w:p>
    <w:p w14:paraId="1BDEA4D1" w14:textId="77777777" w:rsidR="001A75B8" w:rsidRPr="009A21EE" w:rsidRDefault="001A75B8" w:rsidP="009A21EE">
      <w:pPr>
        <w:spacing w:line="360" w:lineRule="auto"/>
        <w:jc w:val="both"/>
        <w:rPr>
          <w:rFonts w:ascii="Arial" w:hAnsi="Arial" w:cs="Arial"/>
        </w:rPr>
      </w:pPr>
    </w:p>
    <w:p w14:paraId="112FFF9B" w14:textId="24DB8AFA" w:rsidR="009A21EE" w:rsidRPr="00041149" w:rsidRDefault="009A21EE" w:rsidP="00041149">
      <w:pPr>
        <w:spacing w:line="360" w:lineRule="auto"/>
        <w:jc w:val="both"/>
        <w:rPr>
          <w:rFonts w:ascii="Arial" w:hAnsi="Arial" w:cs="Arial"/>
          <w:b/>
          <w:bCs/>
        </w:rPr>
      </w:pPr>
      <w:r w:rsidRPr="00041149">
        <w:rPr>
          <w:rFonts w:ascii="Arial" w:hAnsi="Arial" w:cs="Arial"/>
          <w:b/>
          <w:bCs/>
        </w:rPr>
        <w:t>Reference</w:t>
      </w:r>
      <w:r w:rsidR="00141959" w:rsidRPr="00041149">
        <w:rPr>
          <w:rFonts w:ascii="Arial" w:hAnsi="Arial" w:cs="Arial"/>
          <w:b/>
          <w:bCs/>
        </w:rPr>
        <w:t>s</w:t>
      </w:r>
    </w:p>
    <w:p w14:paraId="14CB976D" w14:textId="75755920" w:rsidR="00BE575F" w:rsidRDefault="00BE575F" w:rsidP="00BE575F">
      <w:pPr>
        <w:pStyle w:val="ListParagraph"/>
        <w:numPr>
          <w:ilvl w:val="0"/>
          <w:numId w:val="1"/>
        </w:numPr>
        <w:spacing w:line="360" w:lineRule="auto"/>
        <w:jc w:val="both"/>
        <w:rPr>
          <w:rFonts w:ascii="Arial" w:hAnsi="Arial" w:cs="Arial"/>
        </w:rPr>
      </w:pPr>
      <w:proofErr w:type="spellStart"/>
      <w:r w:rsidRPr="00BE575F">
        <w:rPr>
          <w:rFonts w:ascii="Arial" w:hAnsi="Arial" w:cs="Arial"/>
        </w:rPr>
        <w:t>Bowlby</w:t>
      </w:r>
      <w:proofErr w:type="spellEnd"/>
      <w:r w:rsidRPr="00BE575F">
        <w:rPr>
          <w:rFonts w:ascii="Arial" w:hAnsi="Arial" w:cs="Arial"/>
        </w:rPr>
        <w:t xml:space="preserve">, J. (1982) Attachment and Loss: Volume 1. Attachment. 2nd </w:t>
      </w:r>
      <w:proofErr w:type="spellStart"/>
      <w:r w:rsidRPr="00BE575F">
        <w:rPr>
          <w:rFonts w:ascii="Arial" w:hAnsi="Arial" w:cs="Arial"/>
        </w:rPr>
        <w:t>edn</w:t>
      </w:r>
      <w:proofErr w:type="spellEnd"/>
      <w:r w:rsidRPr="00BE575F">
        <w:rPr>
          <w:rFonts w:ascii="Arial" w:hAnsi="Arial" w:cs="Arial"/>
        </w:rPr>
        <w:t>. New York: Basic Books</w:t>
      </w:r>
      <w:r w:rsidR="00B6138B">
        <w:rPr>
          <w:rFonts w:ascii="Arial" w:hAnsi="Arial" w:cs="Arial"/>
        </w:rPr>
        <w:t>.</w:t>
      </w:r>
    </w:p>
    <w:p w14:paraId="54643BCE" w14:textId="77777777" w:rsidR="00B6138B" w:rsidRPr="00BE575F" w:rsidRDefault="00B6138B" w:rsidP="00B6138B">
      <w:pPr>
        <w:pStyle w:val="ListParagraph"/>
        <w:spacing w:line="360" w:lineRule="auto"/>
        <w:jc w:val="both"/>
        <w:rPr>
          <w:rFonts w:ascii="Arial" w:hAnsi="Arial" w:cs="Arial"/>
        </w:rPr>
      </w:pPr>
    </w:p>
    <w:p w14:paraId="0F467E94" w14:textId="3F6DE6D7" w:rsidR="00BE575F" w:rsidRDefault="00BE575F" w:rsidP="00BE575F">
      <w:pPr>
        <w:pStyle w:val="ListParagraph"/>
        <w:numPr>
          <w:ilvl w:val="0"/>
          <w:numId w:val="1"/>
        </w:numPr>
        <w:spacing w:line="360" w:lineRule="auto"/>
        <w:jc w:val="both"/>
        <w:rPr>
          <w:rFonts w:ascii="Arial" w:hAnsi="Arial" w:cs="Arial"/>
        </w:rPr>
      </w:pPr>
      <w:proofErr w:type="spellStart"/>
      <w:r w:rsidRPr="00BE575F">
        <w:rPr>
          <w:rFonts w:ascii="Arial" w:hAnsi="Arial" w:cs="Arial"/>
        </w:rPr>
        <w:t>Erikson</w:t>
      </w:r>
      <w:proofErr w:type="spellEnd"/>
      <w:r w:rsidRPr="00BE575F">
        <w:rPr>
          <w:rFonts w:ascii="Arial" w:hAnsi="Arial" w:cs="Arial"/>
        </w:rPr>
        <w:t>, E.H. (1968) Identity: Youth and Crisis. New York: W.W. Norton.</w:t>
      </w:r>
    </w:p>
    <w:p w14:paraId="26C52DA8" w14:textId="77777777" w:rsidR="00B6138B" w:rsidRPr="00BE575F" w:rsidRDefault="00B6138B" w:rsidP="00B6138B">
      <w:pPr>
        <w:pStyle w:val="ListParagraph"/>
        <w:spacing w:line="360" w:lineRule="auto"/>
        <w:jc w:val="both"/>
        <w:rPr>
          <w:rFonts w:ascii="Arial" w:hAnsi="Arial" w:cs="Arial"/>
        </w:rPr>
      </w:pPr>
    </w:p>
    <w:p w14:paraId="2F7587F9" w14:textId="29C4E7C2" w:rsidR="00BE575F" w:rsidRDefault="00BE575F" w:rsidP="00BE575F">
      <w:pPr>
        <w:pStyle w:val="ListParagraph"/>
        <w:numPr>
          <w:ilvl w:val="0"/>
          <w:numId w:val="1"/>
        </w:numPr>
        <w:spacing w:line="360" w:lineRule="auto"/>
        <w:jc w:val="both"/>
        <w:rPr>
          <w:rFonts w:ascii="Arial" w:hAnsi="Arial" w:cs="Arial"/>
        </w:rPr>
      </w:pPr>
      <w:proofErr w:type="spellStart"/>
      <w:r w:rsidRPr="00BE575F">
        <w:rPr>
          <w:rFonts w:ascii="Arial" w:hAnsi="Arial" w:cs="Arial"/>
        </w:rPr>
        <w:t>Fassi</w:t>
      </w:r>
      <w:proofErr w:type="spellEnd"/>
      <w:r w:rsidRPr="00BE575F">
        <w:rPr>
          <w:rFonts w:ascii="Arial" w:hAnsi="Arial" w:cs="Arial"/>
        </w:rPr>
        <w:t xml:space="preserve">, L., Thomas, K., Parry, D.A., </w:t>
      </w:r>
      <w:proofErr w:type="spellStart"/>
      <w:r w:rsidRPr="00BE575F">
        <w:rPr>
          <w:rFonts w:ascii="Arial" w:hAnsi="Arial" w:cs="Arial"/>
        </w:rPr>
        <w:t>Leyland-Craggs</w:t>
      </w:r>
      <w:proofErr w:type="spellEnd"/>
      <w:r w:rsidRPr="00BE575F">
        <w:rPr>
          <w:rFonts w:ascii="Arial" w:hAnsi="Arial" w:cs="Arial"/>
        </w:rPr>
        <w:t xml:space="preserve">, A., Ford, T.J. and </w:t>
      </w:r>
      <w:proofErr w:type="spellStart"/>
      <w:r w:rsidRPr="00BE575F">
        <w:rPr>
          <w:rFonts w:ascii="Arial" w:hAnsi="Arial" w:cs="Arial"/>
        </w:rPr>
        <w:t>Orben</w:t>
      </w:r>
      <w:proofErr w:type="spellEnd"/>
      <w:r w:rsidRPr="00BE575F">
        <w:rPr>
          <w:rFonts w:ascii="Arial" w:hAnsi="Arial" w:cs="Arial"/>
        </w:rPr>
        <w:t xml:space="preserve">, A. (2024) ‘Social media use and </w:t>
      </w:r>
      <w:proofErr w:type="spellStart"/>
      <w:r w:rsidRPr="00BE575F">
        <w:rPr>
          <w:rFonts w:ascii="Arial" w:hAnsi="Arial" w:cs="Arial"/>
        </w:rPr>
        <w:t>internalizing</w:t>
      </w:r>
      <w:proofErr w:type="spellEnd"/>
      <w:r w:rsidRPr="00BE575F">
        <w:rPr>
          <w:rFonts w:ascii="Arial" w:hAnsi="Arial" w:cs="Arial"/>
        </w:rPr>
        <w:t xml:space="preserve"> symptoms in clinical and community adolescent samples: a systematic review and meta-analysis’, JAMA </w:t>
      </w:r>
      <w:proofErr w:type="spellStart"/>
      <w:r w:rsidRPr="00BE575F">
        <w:rPr>
          <w:rFonts w:ascii="Arial" w:hAnsi="Arial" w:cs="Arial"/>
        </w:rPr>
        <w:t>Pediatrics</w:t>
      </w:r>
      <w:proofErr w:type="spellEnd"/>
      <w:r w:rsidRPr="00BE575F">
        <w:rPr>
          <w:rFonts w:ascii="Arial" w:hAnsi="Arial" w:cs="Arial"/>
        </w:rPr>
        <w:t xml:space="preserve">, 178(8), pp. 814–822. </w:t>
      </w:r>
      <w:proofErr w:type="spellStart"/>
      <w:r w:rsidRPr="00BE575F">
        <w:rPr>
          <w:rFonts w:ascii="Arial" w:hAnsi="Arial" w:cs="Arial"/>
        </w:rPr>
        <w:t>doi</w:t>
      </w:r>
      <w:proofErr w:type="spellEnd"/>
      <w:r w:rsidRPr="00BE575F">
        <w:rPr>
          <w:rFonts w:ascii="Arial" w:hAnsi="Arial" w:cs="Arial"/>
        </w:rPr>
        <w:t>: 10.1001/jamapediatrics.2024.2078.</w:t>
      </w:r>
    </w:p>
    <w:p w14:paraId="220BF4E0" w14:textId="77777777" w:rsidR="00B6138B" w:rsidRPr="00B6138B" w:rsidRDefault="00B6138B" w:rsidP="00B6138B">
      <w:pPr>
        <w:pStyle w:val="ListParagraph"/>
        <w:rPr>
          <w:rFonts w:ascii="Arial" w:hAnsi="Arial" w:cs="Arial"/>
        </w:rPr>
      </w:pPr>
    </w:p>
    <w:p w14:paraId="3D8E958C" w14:textId="77777777" w:rsidR="00B6138B" w:rsidRPr="00BE575F" w:rsidRDefault="00B6138B" w:rsidP="00B6138B">
      <w:pPr>
        <w:pStyle w:val="ListParagraph"/>
        <w:spacing w:line="360" w:lineRule="auto"/>
        <w:jc w:val="both"/>
        <w:rPr>
          <w:rFonts w:ascii="Arial" w:hAnsi="Arial" w:cs="Arial"/>
        </w:rPr>
      </w:pPr>
    </w:p>
    <w:p w14:paraId="2D630E99" w14:textId="1E752CC5" w:rsidR="00BE575F" w:rsidRDefault="00BE575F" w:rsidP="00BE575F">
      <w:pPr>
        <w:pStyle w:val="ListParagraph"/>
        <w:numPr>
          <w:ilvl w:val="0"/>
          <w:numId w:val="1"/>
        </w:numPr>
        <w:spacing w:line="360" w:lineRule="auto"/>
        <w:jc w:val="both"/>
        <w:rPr>
          <w:rFonts w:ascii="Arial" w:hAnsi="Arial" w:cs="Arial"/>
        </w:rPr>
      </w:pPr>
      <w:proofErr w:type="spellStart"/>
      <w:r w:rsidRPr="00BE575F">
        <w:rPr>
          <w:rFonts w:ascii="Arial" w:hAnsi="Arial" w:cs="Arial"/>
        </w:rPr>
        <w:t>Musetti</w:t>
      </w:r>
      <w:proofErr w:type="spellEnd"/>
      <w:r w:rsidRPr="00BE575F">
        <w:rPr>
          <w:rFonts w:ascii="Arial" w:hAnsi="Arial" w:cs="Arial"/>
        </w:rPr>
        <w:t xml:space="preserve">, A., </w:t>
      </w:r>
      <w:proofErr w:type="spellStart"/>
      <w:r w:rsidRPr="00BE575F">
        <w:rPr>
          <w:rFonts w:ascii="Arial" w:hAnsi="Arial" w:cs="Arial"/>
        </w:rPr>
        <w:t>Manari</w:t>
      </w:r>
      <w:proofErr w:type="spellEnd"/>
      <w:r w:rsidRPr="00BE575F">
        <w:rPr>
          <w:rFonts w:ascii="Arial" w:hAnsi="Arial" w:cs="Arial"/>
        </w:rPr>
        <w:t xml:space="preserve">, T., </w:t>
      </w:r>
      <w:proofErr w:type="spellStart"/>
      <w:r w:rsidRPr="00BE575F">
        <w:rPr>
          <w:rFonts w:ascii="Arial" w:hAnsi="Arial" w:cs="Arial"/>
        </w:rPr>
        <w:t>Billieux</w:t>
      </w:r>
      <w:proofErr w:type="spellEnd"/>
      <w:r w:rsidRPr="00BE575F">
        <w:rPr>
          <w:rFonts w:ascii="Arial" w:hAnsi="Arial" w:cs="Arial"/>
        </w:rPr>
        <w:t xml:space="preserve">, J., </w:t>
      </w:r>
      <w:proofErr w:type="spellStart"/>
      <w:r w:rsidRPr="00BE575F">
        <w:rPr>
          <w:rFonts w:ascii="Arial" w:hAnsi="Arial" w:cs="Arial"/>
        </w:rPr>
        <w:t>Starcevic</w:t>
      </w:r>
      <w:proofErr w:type="spellEnd"/>
      <w:r w:rsidRPr="00BE575F">
        <w:rPr>
          <w:rFonts w:ascii="Arial" w:hAnsi="Arial" w:cs="Arial"/>
        </w:rPr>
        <w:t xml:space="preserve">, V. and </w:t>
      </w:r>
      <w:proofErr w:type="spellStart"/>
      <w:r w:rsidRPr="00BE575F">
        <w:rPr>
          <w:rFonts w:ascii="Arial" w:hAnsi="Arial" w:cs="Arial"/>
        </w:rPr>
        <w:t>Schimmenti</w:t>
      </w:r>
      <w:proofErr w:type="spellEnd"/>
      <w:r w:rsidRPr="00BE575F">
        <w:rPr>
          <w:rFonts w:ascii="Arial" w:hAnsi="Arial" w:cs="Arial"/>
        </w:rPr>
        <w:t xml:space="preserve">, A. (2022) ‘Problematic social networking sites use and attachment: a systematic review’, Computers in Human </w:t>
      </w:r>
      <w:proofErr w:type="spellStart"/>
      <w:r w:rsidRPr="00BE575F">
        <w:rPr>
          <w:rFonts w:ascii="Arial" w:hAnsi="Arial" w:cs="Arial"/>
        </w:rPr>
        <w:t>Behavior</w:t>
      </w:r>
      <w:proofErr w:type="spellEnd"/>
      <w:r w:rsidRPr="00BE575F">
        <w:rPr>
          <w:rFonts w:ascii="Arial" w:hAnsi="Arial" w:cs="Arial"/>
        </w:rPr>
        <w:t xml:space="preserve">, 131, 107199. </w:t>
      </w:r>
      <w:proofErr w:type="spellStart"/>
      <w:r w:rsidRPr="00BE575F">
        <w:rPr>
          <w:rFonts w:ascii="Arial" w:hAnsi="Arial" w:cs="Arial"/>
        </w:rPr>
        <w:t>doi</w:t>
      </w:r>
      <w:proofErr w:type="spellEnd"/>
      <w:r w:rsidRPr="00BE575F">
        <w:rPr>
          <w:rFonts w:ascii="Arial" w:hAnsi="Arial" w:cs="Arial"/>
        </w:rPr>
        <w:t>: 10.1016/</w:t>
      </w:r>
      <w:proofErr w:type="spellStart"/>
      <w:r w:rsidRPr="00BE575F">
        <w:rPr>
          <w:rFonts w:ascii="Arial" w:hAnsi="Arial" w:cs="Arial"/>
        </w:rPr>
        <w:t>j.chb.2022.107199</w:t>
      </w:r>
      <w:proofErr w:type="spellEnd"/>
      <w:r>
        <w:rPr>
          <w:rFonts w:ascii="Arial" w:hAnsi="Arial" w:cs="Arial"/>
        </w:rPr>
        <w:t>.</w:t>
      </w:r>
    </w:p>
    <w:p w14:paraId="7F002586" w14:textId="77777777" w:rsidR="00BE575F" w:rsidRPr="00BE575F" w:rsidRDefault="00BE575F" w:rsidP="00BE575F">
      <w:pPr>
        <w:pStyle w:val="ListParagraph"/>
        <w:spacing w:line="360" w:lineRule="auto"/>
        <w:jc w:val="both"/>
        <w:rPr>
          <w:rFonts w:ascii="Arial" w:hAnsi="Arial" w:cs="Arial"/>
        </w:rPr>
      </w:pPr>
    </w:p>
    <w:p w14:paraId="4C33BE1A" w14:textId="77777777" w:rsidR="00BE575F" w:rsidRPr="00BE575F" w:rsidRDefault="00BE575F" w:rsidP="00BE575F">
      <w:pPr>
        <w:pStyle w:val="ListParagraph"/>
        <w:numPr>
          <w:ilvl w:val="0"/>
          <w:numId w:val="1"/>
        </w:numPr>
        <w:spacing w:line="360" w:lineRule="auto"/>
        <w:jc w:val="both"/>
        <w:rPr>
          <w:rFonts w:ascii="Arial" w:hAnsi="Arial" w:cs="Arial"/>
        </w:rPr>
      </w:pPr>
      <w:proofErr w:type="spellStart"/>
      <w:r w:rsidRPr="00BE575F">
        <w:rPr>
          <w:rFonts w:ascii="Arial" w:hAnsi="Arial" w:cs="Arial"/>
        </w:rPr>
        <w:t>Orben</w:t>
      </w:r>
      <w:proofErr w:type="spellEnd"/>
      <w:r w:rsidRPr="00BE575F">
        <w:rPr>
          <w:rFonts w:ascii="Arial" w:hAnsi="Arial" w:cs="Arial"/>
        </w:rPr>
        <w:t xml:space="preserve">, A. and </w:t>
      </w:r>
      <w:proofErr w:type="spellStart"/>
      <w:r w:rsidRPr="00BE575F">
        <w:rPr>
          <w:rFonts w:ascii="Arial" w:hAnsi="Arial" w:cs="Arial"/>
        </w:rPr>
        <w:t>Przybylski</w:t>
      </w:r>
      <w:proofErr w:type="spellEnd"/>
      <w:r w:rsidRPr="00BE575F">
        <w:rPr>
          <w:rFonts w:ascii="Arial" w:hAnsi="Arial" w:cs="Arial"/>
        </w:rPr>
        <w:t xml:space="preserve">, A.K. (2019) ‘The association between adolescent well-being and digital technology use’, Nature Human Behaviour, 3, pp. 173–182. </w:t>
      </w:r>
      <w:proofErr w:type="spellStart"/>
      <w:r w:rsidRPr="00BE575F">
        <w:rPr>
          <w:rFonts w:ascii="Arial" w:hAnsi="Arial" w:cs="Arial"/>
        </w:rPr>
        <w:t>doi</w:t>
      </w:r>
      <w:proofErr w:type="spellEnd"/>
      <w:r w:rsidRPr="00BE575F">
        <w:rPr>
          <w:rFonts w:ascii="Arial" w:hAnsi="Arial" w:cs="Arial"/>
        </w:rPr>
        <w:t>: 10.1038/s41562-018-0506-1.</w:t>
      </w:r>
    </w:p>
    <w:p w14:paraId="7810BFF6" w14:textId="77777777" w:rsidR="00BE575F" w:rsidRPr="00BE575F" w:rsidRDefault="00BE575F" w:rsidP="00BE575F">
      <w:pPr>
        <w:pStyle w:val="ListParagraph"/>
        <w:spacing w:line="360" w:lineRule="auto"/>
        <w:jc w:val="both"/>
        <w:rPr>
          <w:rFonts w:ascii="Arial" w:hAnsi="Arial" w:cs="Arial"/>
        </w:rPr>
      </w:pPr>
    </w:p>
    <w:p w14:paraId="6FDF9FEE" w14:textId="35A13C60" w:rsidR="009A21EE" w:rsidRPr="00041149" w:rsidRDefault="00BE575F" w:rsidP="00BE575F">
      <w:pPr>
        <w:pStyle w:val="ListParagraph"/>
        <w:numPr>
          <w:ilvl w:val="0"/>
          <w:numId w:val="1"/>
        </w:numPr>
        <w:spacing w:line="360" w:lineRule="auto"/>
        <w:jc w:val="both"/>
        <w:rPr>
          <w:rFonts w:ascii="Arial" w:hAnsi="Arial" w:cs="Arial"/>
        </w:rPr>
      </w:pPr>
      <w:r w:rsidRPr="00BE575F">
        <w:rPr>
          <w:rFonts w:ascii="Arial" w:hAnsi="Arial" w:cs="Arial"/>
        </w:rPr>
        <w:t xml:space="preserve">Valkenburg, P.M., Peter, J. and </w:t>
      </w:r>
      <w:proofErr w:type="spellStart"/>
      <w:r w:rsidRPr="00BE575F">
        <w:rPr>
          <w:rFonts w:ascii="Arial" w:hAnsi="Arial" w:cs="Arial"/>
        </w:rPr>
        <w:t>Schouten</w:t>
      </w:r>
      <w:proofErr w:type="spellEnd"/>
      <w:r w:rsidRPr="00BE575F">
        <w:rPr>
          <w:rFonts w:ascii="Arial" w:hAnsi="Arial" w:cs="Arial"/>
        </w:rPr>
        <w:t xml:space="preserve">, A.P. (2006) ‘Friend networking sites and their relationship to adolescents’ well-being and social self-esteem’, CyberPsychology &amp; </w:t>
      </w:r>
      <w:proofErr w:type="spellStart"/>
      <w:r w:rsidRPr="00BE575F">
        <w:rPr>
          <w:rFonts w:ascii="Arial" w:hAnsi="Arial" w:cs="Arial"/>
        </w:rPr>
        <w:t>Behavior</w:t>
      </w:r>
      <w:proofErr w:type="spellEnd"/>
      <w:r w:rsidRPr="00BE575F">
        <w:rPr>
          <w:rFonts w:ascii="Arial" w:hAnsi="Arial" w:cs="Arial"/>
        </w:rPr>
        <w:t xml:space="preserve">, 9(5), pp. 584–590. </w:t>
      </w:r>
      <w:proofErr w:type="spellStart"/>
      <w:r w:rsidRPr="00BE575F">
        <w:rPr>
          <w:rFonts w:ascii="Arial" w:hAnsi="Arial" w:cs="Arial"/>
        </w:rPr>
        <w:t>doi</w:t>
      </w:r>
      <w:proofErr w:type="spellEnd"/>
      <w:r w:rsidRPr="00BE575F">
        <w:rPr>
          <w:rFonts w:ascii="Arial" w:hAnsi="Arial" w:cs="Arial"/>
        </w:rPr>
        <w:t>: 10.1089/</w:t>
      </w:r>
      <w:proofErr w:type="spellStart"/>
      <w:r w:rsidRPr="00BE575F">
        <w:rPr>
          <w:rFonts w:ascii="Arial" w:hAnsi="Arial" w:cs="Arial"/>
        </w:rPr>
        <w:t>cpb.2006.9.584</w:t>
      </w:r>
      <w:proofErr w:type="spellEnd"/>
      <w:r w:rsidRPr="00BE575F">
        <w:rPr>
          <w:rFonts w:ascii="Arial" w:hAnsi="Arial" w:cs="Arial"/>
        </w:rPr>
        <w:t>.</w:t>
      </w:r>
    </w:p>
    <w:sectPr w:rsidR="009A21EE" w:rsidRPr="000411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7EFB8" w14:textId="77777777" w:rsidR="009A21EE" w:rsidRDefault="009A21EE" w:rsidP="009A21EE">
      <w:pPr>
        <w:spacing w:after="0" w:line="240" w:lineRule="auto"/>
      </w:pPr>
      <w:r>
        <w:separator/>
      </w:r>
    </w:p>
  </w:endnote>
  <w:endnote w:type="continuationSeparator" w:id="0">
    <w:p w14:paraId="7C80054F" w14:textId="77777777" w:rsidR="009A21EE" w:rsidRDefault="009A21EE" w:rsidP="009A2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63E2E" w14:textId="77777777" w:rsidR="009A21EE" w:rsidRDefault="009A21EE" w:rsidP="009A21EE">
      <w:pPr>
        <w:spacing w:after="0" w:line="240" w:lineRule="auto"/>
      </w:pPr>
      <w:r>
        <w:separator/>
      </w:r>
    </w:p>
  </w:footnote>
  <w:footnote w:type="continuationSeparator" w:id="0">
    <w:p w14:paraId="3D887233" w14:textId="77777777" w:rsidR="009A21EE" w:rsidRDefault="009A21EE" w:rsidP="009A21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446524"/>
    <w:multiLevelType w:val="hybridMultilevel"/>
    <w:tmpl w:val="B164E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7319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1EE"/>
    <w:rsid w:val="0001464A"/>
    <w:rsid w:val="00016407"/>
    <w:rsid w:val="00041149"/>
    <w:rsid w:val="00096A6F"/>
    <w:rsid w:val="00141959"/>
    <w:rsid w:val="001A75B8"/>
    <w:rsid w:val="004A1804"/>
    <w:rsid w:val="004E65C6"/>
    <w:rsid w:val="00633297"/>
    <w:rsid w:val="009A21EE"/>
    <w:rsid w:val="00B6138B"/>
    <w:rsid w:val="00BE575F"/>
    <w:rsid w:val="00D4411F"/>
    <w:rsid w:val="00E17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92476E"/>
  <w15:chartTrackingRefBased/>
  <w15:docId w15:val="{8D56C3C8-2A6C-B045-A74A-30BF41C59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1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21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21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21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21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21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21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21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21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1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21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21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21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21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21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21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21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21EE"/>
    <w:rPr>
      <w:rFonts w:eastAsiaTheme="majorEastAsia" w:cstheme="majorBidi"/>
      <w:color w:val="272727" w:themeColor="text1" w:themeTint="D8"/>
    </w:rPr>
  </w:style>
  <w:style w:type="paragraph" w:styleId="Title">
    <w:name w:val="Title"/>
    <w:basedOn w:val="Normal"/>
    <w:next w:val="Normal"/>
    <w:link w:val="TitleChar"/>
    <w:uiPriority w:val="10"/>
    <w:qFormat/>
    <w:rsid w:val="009A21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21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21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21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21EE"/>
    <w:pPr>
      <w:spacing w:before="160"/>
      <w:jc w:val="center"/>
    </w:pPr>
    <w:rPr>
      <w:i/>
      <w:iCs/>
      <w:color w:val="404040" w:themeColor="text1" w:themeTint="BF"/>
    </w:rPr>
  </w:style>
  <w:style w:type="character" w:customStyle="1" w:styleId="QuoteChar">
    <w:name w:val="Quote Char"/>
    <w:basedOn w:val="DefaultParagraphFont"/>
    <w:link w:val="Quote"/>
    <w:uiPriority w:val="29"/>
    <w:rsid w:val="009A21EE"/>
    <w:rPr>
      <w:i/>
      <w:iCs/>
      <w:color w:val="404040" w:themeColor="text1" w:themeTint="BF"/>
    </w:rPr>
  </w:style>
  <w:style w:type="paragraph" w:styleId="ListParagraph">
    <w:name w:val="List Paragraph"/>
    <w:basedOn w:val="Normal"/>
    <w:uiPriority w:val="34"/>
    <w:qFormat/>
    <w:rsid w:val="009A21EE"/>
    <w:pPr>
      <w:ind w:left="720"/>
      <w:contextualSpacing/>
    </w:pPr>
  </w:style>
  <w:style w:type="character" w:styleId="IntenseEmphasis">
    <w:name w:val="Intense Emphasis"/>
    <w:basedOn w:val="DefaultParagraphFont"/>
    <w:uiPriority w:val="21"/>
    <w:qFormat/>
    <w:rsid w:val="009A21EE"/>
    <w:rPr>
      <w:i/>
      <w:iCs/>
      <w:color w:val="0F4761" w:themeColor="accent1" w:themeShade="BF"/>
    </w:rPr>
  </w:style>
  <w:style w:type="paragraph" w:styleId="IntenseQuote">
    <w:name w:val="Intense Quote"/>
    <w:basedOn w:val="Normal"/>
    <w:next w:val="Normal"/>
    <w:link w:val="IntenseQuoteChar"/>
    <w:uiPriority w:val="30"/>
    <w:qFormat/>
    <w:rsid w:val="009A21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21EE"/>
    <w:rPr>
      <w:i/>
      <w:iCs/>
      <w:color w:val="0F4761" w:themeColor="accent1" w:themeShade="BF"/>
    </w:rPr>
  </w:style>
  <w:style w:type="character" w:styleId="IntenseReference">
    <w:name w:val="Intense Reference"/>
    <w:basedOn w:val="DefaultParagraphFont"/>
    <w:uiPriority w:val="32"/>
    <w:qFormat/>
    <w:rsid w:val="009A21EE"/>
    <w:rPr>
      <w:b/>
      <w:bCs/>
      <w:smallCaps/>
      <w:color w:val="0F4761" w:themeColor="accent1" w:themeShade="BF"/>
      <w:spacing w:val="5"/>
    </w:rPr>
  </w:style>
  <w:style w:type="paragraph" w:styleId="Header">
    <w:name w:val="header"/>
    <w:basedOn w:val="Normal"/>
    <w:link w:val="HeaderChar"/>
    <w:uiPriority w:val="99"/>
    <w:unhideWhenUsed/>
    <w:rsid w:val="009A21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1EE"/>
  </w:style>
  <w:style w:type="paragraph" w:styleId="Footer">
    <w:name w:val="footer"/>
    <w:basedOn w:val="Normal"/>
    <w:link w:val="FooterChar"/>
    <w:uiPriority w:val="99"/>
    <w:unhideWhenUsed/>
    <w:rsid w:val="009A21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1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1851</Words>
  <Characters>11720</Characters>
  <Application>Microsoft Office Word</Application>
  <DocSecurity>0</DocSecurity>
  <Lines>205</Lines>
  <Paragraphs>33</Paragraphs>
  <ScaleCrop>false</ScaleCrop>
  <Company/>
  <LinksUpToDate>false</LinksUpToDate>
  <CharactersWithSpaces>13538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Hulematou Juwara Sillah (2509135)</dc:creator>
  <cp:keywords/>
  <dc:description/>
  <cp:lastModifiedBy>Hulematou Juwara Sillah (2509135)</cp:lastModifiedBy>
  <cp:revision>2</cp:revision>
  <dcterms:created xsi:type="dcterms:W3CDTF">2026-08-17T10:25:00Z</dcterms:created>
  <dcterms:modified xsi:type="dcterms:W3CDTF">2026-08-17T10:25:00Z</dcterms:modified>
</cp:coreProperties>
</file>