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8ECDA" w14:textId="1E9310FC" w:rsidR="00C05105" w:rsidRDefault="00C05105" w:rsidP="00C05105">
      <w:pPr>
        <w:pStyle w:val="Title"/>
        <w:jc w:val="center"/>
      </w:pPr>
    </w:p>
    <w:p w14:paraId="12A4E74B" w14:textId="37FC765B" w:rsidR="00C05105" w:rsidRDefault="00243901" w:rsidP="00C05105">
      <w:pPr>
        <w:pStyle w:val="Title"/>
      </w:pPr>
      <w:r>
        <w:rPr>
          <w:noProof/>
        </w:rPr>
        <w:drawing>
          <wp:inline distT="0" distB="0" distL="0" distR="0" wp14:anchorId="6B55561A" wp14:editId="3077E825">
            <wp:extent cx="5730875" cy="3213100"/>
            <wp:effectExtent l="0" t="0" r="3175" b="6350"/>
            <wp:docPr id="1253051141" name="Picture 1" descr="Electrocardi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051141" name="Picture 1253051141" descr="Electrocardiogram"/>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203" cy="3213284"/>
                    </a:xfrm>
                    <a:prstGeom prst="rect">
                      <a:avLst/>
                    </a:prstGeom>
                  </pic:spPr>
                </pic:pic>
              </a:graphicData>
            </a:graphic>
          </wp:inline>
        </w:drawing>
      </w:r>
    </w:p>
    <w:p w14:paraId="014E35F0" w14:textId="77777777" w:rsidR="00C05105" w:rsidRDefault="00C05105" w:rsidP="00C05105">
      <w:pPr>
        <w:pStyle w:val="Title"/>
        <w:jc w:val="center"/>
      </w:pPr>
    </w:p>
    <w:p w14:paraId="3740E268" w14:textId="77777777" w:rsidR="00C05105" w:rsidRDefault="00C05105" w:rsidP="00C05105">
      <w:pPr>
        <w:pStyle w:val="Title"/>
        <w:jc w:val="center"/>
      </w:pPr>
      <w:r>
        <w:t>Programme:</w:t>
      </w:r>
      <w:r>
        <w:tab/>
        <w:t>Certificate of Higher Education Skills for the Workplace (Health &amp; Social Care)</w:t>
      </w:r>
    </w:p>
    <w:p w14:paraId="4F3A72D7" w14:textId="736E89C4" w:rsidR="00C05105" w:rsidRDefault="00C05105" w:rsidP="00C05105">
      <w:pPr>
        <w:pStyle w:val="Title"/>
        <w:jc w:val="center"/>
      </w:pPr>
      <w:r>
        <w:t>Module:</w:t>
      </w:r>
      <w:r w:rsidR="00243901">
        <w:t xml:space="preserve"> </w:t>
      </w:r>
      <w:r>
        <w:t>Digital Skills and Research Methods</w:t>
      </w:r>
    </w:p>
    <w:p w14:paraId="290FB50D" w14:textId="1543E611" w:rsidR="00C05105" w:rsidRDefault="00C05105" w:rsidP="00C05105">
      <w:pPr>
        <w:pStyle w:val="Title"/>
        <w:jc w:val="center"/>
      </w:pPr>
      <w:r>
        <w:t>Module code: LCHS4007</w:t>
      </w:r>
    </w:p>
    <w:p w14:paraId="4E91C6E5" w14:textId="77777777" w:rsidR="00C05105" w:rsidRDefault="00C05105" w:rsidP="00C05105">
      <w:pPr>
        <w:pStyle w:val="Title"/>
        <w:jc w:val="center"/>
      </w:pPr>
    </w:p>
    <w:p w14:paraId="49882EC2" w14:textId="77777777" w:rsidR="00C05105" w:rsidRDefault="00C05105" w:rsidP="00C05105">
      <w:pPr>
        <w:pStyle w:val="Title"/>
        <w:jc w:val="center"/>
      </w:pPr>
      <w:r>
        <w:t>Student name: Andreea Mirea</w:t>
      </w:r>
    </w:p>
    <w:p w14:paraId="0876B414" w14:textId="77777777" w:rsidR="00C05105" w:rsidRPr="00C05105" w:rsidRDefault="00C05105" w:rsidP="00C05105"/>
    <w:p w14:paraId="4CE71072" w14:textId="2B64A1B8" w:rsidR="00C05105" w:rsidRDefault="00C05105" w:rsidP="00C05105">
      <w:pPr>
        <w:pStyle w:val="Title"/>
        <w:jc w:val="center"/>
      </w:pPr>
      <w:r>
        <w:t xml:space="preserve">Student ID:  </w:t>
      </w:r>
      <w:r w:rsidR="00BD1778">
        <w:t>2523016</w:t>
      </w:r>
    </w:p>
    <w:p w14:paraId="00DDB4B7" w14:textId="77777777" w:rsidR="00C05105" w:rsidRDefault="00C05105" w:rsidP="00C05105">
      <w:pPr>
        <w:pStyle w:val="Title"/>
        <w:jc w:val="center"/>
      </w:pPr>
    </w:p>
    <w:p w14:paraId="1588DD5A" w14:textId="77777777" w:rsidR="00C05105" w:rsidRDefault="00C05105" w:rsidP="00C05105">
      <w:pPr>
        <w:pStyle w:val="Title"/>
        <w:jc w:val="center"/>
      </w:pPr>
    </w:p>
    <w:p w14:paraId="2F5DA740" w14:textId="77777777" w:rsidR="00C05105" w:rsidRDefault="00C05105" w:rsidP="00C05105">
      <w:pPr>
        <w:pStyle w:val="Title"/>
        <w:jc w:val="center"/>
      </w:pPr>
    </w:p>
    <w:p w14:paraId="3232AE29" w14:textId="77777777" w:rsidR="00C05105" w:rsidRDefault="00C05105" w:rsidP="00C05105">
      <w:pPr>
        <w:pStyle w:val="Title"/>
        <w:jc w:val="center"/>
      </w:pPr>
    </w:p>
    <w:p w14:paraId="691DC0CD" w14:textId="77777777" w:rsidR="00C05105" w:rsidRDefault="00C05105" w:rsidP="00C05105">
      <w:pPr>
        <w:pStyle w:val="Title"/>
        <w:jc w:val="center"/>
      </w:pPr>
    </w:p>
    <w:p w14:paraId="3693F519" w14:textId="77777777" w:rsidR="00C05105" w:rsidRDefault="00C05105" w:rsidP="00C05105">
      <w:pPr>
        <w:pStyle w:val="Title"/>
        <w:jc w:val="center"/>
      </w:pPr>
    </w:p>
    <w:sdt>
      <w:sdtPr>
        <w:rPr>
          <w:rFonts w:asciiTheme="minorHAnsi" w:eastAsiaTheme="minorHAnsi" w:hAnsiTheme="minorHAnsi" w:cstheme="minorBidi"/>
          <w:color w:val="auto"/>
          <w:kern w:val="2"/>
          <w:sz w:val="24"/>
          <w:szCs w:val="24"/>
          <w:lang w:val="en-GB"/>
          <w14:ligatures w14:val="standardContextual"/>
        </w:rPr>
        <w:id w:val="-716038105"/>
        <w:docPartObj>
          <w:docPartGallery w:val="Table of Contents"/>
          <w:docPartUnique/>
        </w:docPartObj>
      </w:sdtPr>
      <w:sdtEndPr>
        <w:rPr>
          <w:b/>
          <w:bCs/>
          <w:noProof/>
        </w:rPr>
      </w:sdtEndPr>
      <w:sdtContent>
        <w:p w14:paraId="2101FDE8" w14:textId="7631AC3F" w:rsidR="00243901" w:rsidRDefault="00243901">
          <w:pPr>
            <w:pStyle w:val="TOCHeading"/>
          </w:pPr>
          <w:r>
            <w:t>Contents</w:t>
          </w:r>
        </w:p>
        <w:p w14:paraId="390BCAE2" w14:textId="4A89103B" w:rsidR="00243901" w:rsidRDefault="00243901">
          <w:pPr>
            <w:pStyle w:val="TOC1"/>
            <w:tabs>
              <w:tab w:val="right" w:leader="dot" w:pos="9016"/>
            </w:tabs>
            <w:rPr>
              <w:noProof/>
            </w:rPr>
          </w:pPr>
          <w:r>
            <w:fldChar w:fldCharType="begin"/>
          </w:r>
          <w:r>
            <w:instrText xml:space="preserve"> TOC \o "1-3" \h \z \u </w:instrText>
          </w:r>
          <w:r>
            <w:fldChar w:fldCharType="separate"/>
          </w:r>
          <w:hyperlink w:anchor="_Toc224638520" w:history="1">
            <w:r w:rsidRPr="004166D2">
              <w:rPr>
                <w:rStyle w:val="Hyperlink"/>
                <w:noProof/>
              </w:rPr>
              <w:t>Introduction</w:t>
            </w:r>
            <w:r>
              <w:rPr>
                <w:noProof/>
                <w:webHidden/>
              </w:rPr>
              <w:tab/>
            </w:r>
            <w:r>
              <w:rPr>
                <w:noProof/>
                <w:webHidden/>
              </w:rPr>
              <w:fldChar w:fldCharType="begin"/>
            </w:r>
            <w:r>
              <w:rPr>
                <w:noProof/>
                <w:webHidden/>
              </w:rPr>
              <w:instrText xml:space="preserve"> PAGEREF _Toc224638520 \h </w:instrText>
            </w:r>
            <w:r>
              <w:rPr>
                <w:noProof/>
                <w:webHidden/>
              </w:rPr>
            </w:r>
            <w:r>
              <w:rPr>
                <w:noProof/>
                <w:webHidden/>
              </w:rPr>
              <w:fldChar w:fldCharType="separate"/>
            </w:r>
            <w:r>
              <w:rPr>
                <w:noProof/>
                <w:webHidden/>
              </w:rPr>
              <w:t>3</w:t>
            </w:r>
            <w:r>
              <w:rPr>
                <w:noProof/>
                <w:webHidden/>
              </w:rPr>
              <w:fldChar w:fldCharType="end"/>
            </w:r>
          </w:hyperlink>
        </w:p>
        <w:p w14:paraId="14731AFE" w14:textId="4E6A6618" w:rsidR="00243901" w:rsidRDefault="00243901">
          <w:pPr>
            <w:pStyle w:val="TOC1"/>
            <w:tabs>
              <w:tab w:val="right" w:leader="dot" w:pos="9016"/>
            </w:tabs>
            <w:rPr>
              <w:noProof/>
            </w:rPr>
          </w:pPr>
          <w:hyperlink w:anchor="_Toc224638521" w:history="1">
            <w:r w:rsidRPr="004166D2">
              <w:rPr>
                <w:rStyle w:val="Hyperlink"/>
                <w:b/>
                <w:bCs/>
                <w:noProof/>
              </w:rPr>
              <w:t>Task 1: Selection of a Research Topic</w:t>
            </w:r>
            <w:r>
              <w:rPr>
                <w:noProof/>
                <w:webHidden/>
              </w:rPr>
              <w:tab/>
            </w:r>
            <w:r>
              <w:rPr>
                <w:noProof/>
                <w:webHidden/>
              </w:rPr>
              <w:fldChar w:fldCharType="begin"/>
            </w:r>
            <w:r>
              <w:rPr>
                <w:noProof/>
                <w:webHidden/>
              </w:rPr>
              <w:instrText xml:space="preserve"> PAGEREF _Toc224638521 \h </w:instrText>
            </w:r>
            <w:r>
              <w:rPr>
                <w:noProof/>
                <w:webHidden/>
              </w:rPr>
            </w:r>
            <w:r>
              <w:rPr>
                <w:noProof/>
                <w:webHidden/>
              </w:rPr>
              <w:fldChar w:fldCharType="separate"/>
            </w:r>
            <w:r>
              <w:rPr>
                <w:noProof/>
                <w:webHidden/>
              </w:rPr>
              <w:t>4</w:t>
            </w:r>
            <w:r>
              <w:rPr>
                <w:noProof/>
                <w:webHidden/>
              </w:rPr>
              <w:fldChar w:fldCharType="end"/>
            </w:r>
          </w:hyperlink>
        </w:p>
        <w:p w14:paraId="1EDF426A" w14:textId="1D357937" w:rsidR="00243901" w:rsidRDefault="00243901">
          <w:pPr>
            <w:pStyle w:val="TOC1"/>
            <w:tabs>
              <w:tab w:val="right" w:leader="dot" w:pos="9016"/>
            </w:tabs>
            <w:rPr>
              <w:noProof/>
            </w:rPr>
          </w:pPr>
          <w:hyperlink w:anchor="_Toc224638522" w:history="1">
            <w:r w:rsidRPr="004166D2">
              <w:rPr>
                <w:rStyle w:val="Hyperlink"/>
                <w:b/>
                <w:bCs/>
                <w:noProof/>
              </w:rPr>
              <w:t>Task 2: Evaluating Information Sources</w:t>
            </w:r>
            <w:r>
              <w:rPr>
                <w:noProof/>
                <w:webHidden/>
              </w:rPr>
              <w:tab/>
            </w:r>
            <w:r>
              <w:rPr>
                <w:noProof/>
                <w:webHidden/>
              </w:rPr>
              <w:fldChar w:fldCharType="begin"/>
            </w:r>
            <w:r>
              <w:rPr>
                <w:noProof/>
                <w:webHidden/>
              </w:rPr>
              <w:instrText xml:space="preserve"> PAGEREF _Toc224638522 \h </w:instrText>
            </w:r>
            <w:r>
              <w:rPr>
                <w:noProof/>
                <w:webHidden/>
              </w:rPr>
            </w:r>
            <w:r>
              <w:rPr>
                <w:noProof/>
                <w:webHidden/>
              </w:rPr>
              <w:fldChar w:fldCharType="separate"/>
            </w:r>
            <w:r>
              <w:rPr>
                <w:noProof/>
                <w:webHidden/>
              </w:rPr>
              <w:t>5</w:t>
            </w:r>
            <w:r>
              <w:rPr>
                <w:noProof/>
                <w:webHidden/>
              </w:rPr>
              <w:fldChar w:fldCharType="end"/>
            </w:r>
          </w:hyperlink>
        </w:p>
        <w:p w14:paraId="7603A290" w14:textId="3E4C829D" w:rsidR="00243901" w:rsidRDefault="00243901">
          <w:pPr>
            <w:pStyle w:val="TOC1"/>
            <w:tabs>
              <w:tab w:val="right" w:leader="dot" w:pos="9016"/>
            </w:tabs>
            <w:rPr>
              <w:noProof/>
            </w:rPr>
          </w:pPr>
          <w:hyperlink w:anchor="_Toc224638523" w:history="1">
            <w:r w:rsidRPr="004166D2">
              <w:rPr>
                <w:rStyle w:val="Hyperlink"/>
                <w:noProof/>
              </w:rPr>
              <w:t>Task 3: Research Methodologies</w:t>
            </w:r>
            <w:r>
              <w:rPr>
                <w:noProof/>
                <w:webHidden/>
              </w:rPr>
              <w:tab/>
            </w:r>
            <w:r>
              <w:rPr>
                <w:noProof/>
                <w:webHidden/>
              </w:rPr>
              <w:fldChar w:fldCharType="begin"/>
            </w:r>
            <w:r>
              <w:rPr>
                <w:noProof/>
                <w:webHidden/>
              </w:rPr>
              <w:instrText xml:space="preserve"> PAGEREF _Toc224638523 \h </w:instrText>
            </w:r>
            <w:r>
              <w:rPr>
                <w:noProof/>
                <w:webHidden/>
              </w:rPr>
            </w:r>
            <w:r>
              <w:rPr>
                <w:noProof/>
                <w:webHidden/>
              </w:rPr>
              <w:fldChar w:fldCharType="separate"/>
            </w:r>
            <w:r>
              <w:rPr>
                <w:noProof/>
                <w:webHidden/>
              </w:rPr>
              <w:t>7</w:t>
            </w:r>
            <w:r>
              <w:rPr>
                <w:noProof/>
                <w:webHidden/>
              </w:rPr>
              <w:fldChar w:fldCharType="end"/>
            </w:r>
          </w:hyperlink>
        </w:p>
        <w:p w14:paraId="04806826" w14:textId="43D09C9B" w:rsidR="00243901" w:rsidRDefault="00243901">
          <w:pPr>
            <w:pStyle w:val="TOC1"/>
            <w:tabs>
              <w:tab w:val="right" w:leader="dot" w:pos="9016"/>
            </w:tabs>
            <w:rPr>
              <w:noProof/>
            </w:rPr>
          </w:pPr>
          <w:hyperlink w:anchor="_Toc224638524" w:history="1">
            <w:r w:rsidRPr="004166D2">
              <w:rPr>
                <w:rStyle w:val="Hyperlink"/>
                <w:noProof/>
              </w:rPr>
              <w:t>Task 4: Data Collection</w:t>
            </w:r>
            <w:r>
              <w:rPr>
                <w:noProof/>
                <w:webHidden/>
              </w:rPr>
              <w:tab/>
            </w:r>
            <w:r>
              <w:rPr>
                <w:noProof/>
                <w:webHidden/>
              </w:rPr>
              <w:fldChar w:fldCharType="begin"/>
            </w:r>
            <w:r>
              <w:rPr>
                <w:noProof/>
                <w:webHidden/>
              </w:rPr>
              <w:instrText xml:space="preserve"> PAGEREF _Toc224638524 \h </w:instrText>
            </w:r>
            <w:r>
              <w:rPr>
                <w:noProof/>
                <w:webHidden/>
              </w:rPr>
            </w:r>
            <w:r>
              <w:rPr>
                <w:noProof/>
                <w:webHidden/>
              </w:rPr>
              <w:fldChar w:fldCharType="separate"/>
            </w:r>
            <w:r>
              <w:rPr>
                <w:noProof/>
                <w:webHidden/>
              </w:rPr>
              <w:t>8</w:t>
            </w:r>
            <w:r>
              <w:rPr>
                <w:noProof/>
                <w:webHidden/>
              </w:rPr>
              <w:fldChar w:fldCharType="end"/>
            </w:r>
          </w:hyperlink>
        </w:p>
        <w:p w14:paraId="4D283AC4" w14:textId="764D784C" w:rsidR="00243901" w:rsidRDefault="00243901">
          <w:pPr>
            <w:pStyle w:val="TOC1"/>
            <w:tabs>
              <w:tab w:val="right" w:leader="dot" w:pos="9016"/>
            </w:tabs>
            <w:rPr>
              <w:noProof/>
            </w:rPr>
          </w:pPr>
          <w:hyperlink w:anchor="_Toc224638525" w:history="1">
            <w:r w:rsidRPr="004166D2">
              <w:rPr>
                <w:rStyle w:val="Hyperlink"/>
                <w:noProof/>
              </w:rPr>
              <w:t>Conclusion</w:t>
            </w:r>
            <w:r>
              <w:rPr>
                <w:noProof/>
                <w:webHidden/>
              </w:rPr>
              <w:tab/>
            </w:r>
            <w:r>
              <w:rPr>
                <w:noProof/>
                <w:webHidden/>
              </w:rPr>
              <w:fldChar w:fldCharType="begin"/>
            </w:r>
            <w:r>
              <w:rPr>
                <w:noProof/>
                <w:webHidden/>
              </w:rPr>
              <w:instrText xml:space="preserve"> PAGEREF _Toc224638525 \h </w:instrText>
            </w:r>
            <w:r>
              <w:rPr>
                <w:noProof/>
                <w:webHidden/>
              </w:rPr>
            </w:r>
            <w:r>
              <w:rPr>
                <w:noProof/>
                <w:webHidden/>
              </w:rPr>
              <w:fldChar w:fldCharType="separate"/>
            </w:r>
            <w:r>
              <w:rPr>
                <w:noProof/>
                <w:webHidden/>
              </w:rPr>
              <w:t>9</w:t>
            </w:r>
            <w:r>
              <w:rPr>
                <w:noProof/>
                <w:webHidden/>
              </w:rPr>
              <w:fldChar w:fldCharType="end"/>
            </w:r>
          </w:hyperlink>
        </w:p>
        <w:p w14:paraId="1B635D8D" w14:textId="2A063BB3" w:rsidR="00243901" w:rsidRDefault="00243901">
          <w:pPr>
            <w:pStyle w:val="TOC1"/>
            <w:tabs>
              <w:tab w:val="right" w:leader="dot" w:pos="9016"/>
            </w:tabs>
            <w:rPr>
              <w:noProof/>
            </w:rPr>
          </w:pPr>
          <w:hyperlink w:anchor="_Toc224638526" w:history="1">
            <w:r w:rsidRPr="004166D2">
              <w:rPr>
                <w:rStyle w:val="Hyperlink"/>
                <w:noProof/>
              </w:rPr>
              <w:t>Reference List</w:t>
            </w:r>
            <w:r>
              <w:rPr>
                <w:noProof/>
                <w:webHidden/>
              </w:rPr>
              <w:tab/>
            </w:r>
            <w:r>
              <w:rPr>
                <w:noProof/>
                <w:webHidden/>
              </w:rPr>
              <w:fldChar w:fldCharType="begin"/>
            </w:r>
            <w:r>
              <w:rPr>
                <w:noProof/>
                <w:webHidden/>
              </w:rPr>
              <w:instrText xml:space="preserve"> PAGEREF _Toc224638526 \h </w:instrText>
            </w:r>
            <w:r>
              <w:rPr>
                <w:noProof/>
                <w:webHidden/>
              </w:rPr>
            </w:r>
            <w:r>
              <w:rPr>
                <w:noProof/>
                <w:webHidden/>
              </w:rPr>
              <w:fldChar w:fldCharType="separate"/>
            </w:r>
            <w:r>
              <w:rPr>
                <w:noProof/>
                <w:webHidden/>
              </w:rPr>
              <w:t>10</w:t>
            </w:r>
            <w:r>
              <w:rPr>
                <w:noProof/>
                <w:webHidden/>
              </w:rPr>
              <w:fldChar w:fldCharType="end"/>
            </w:r>
          </w:hyperlink>
        </w:p>
        <w:p w14:paraId="647679A2" w14:textId="4C2D0550" w:rsidR="00243901" w:rsidRDefault="00243901">
          <w:r>
            <w:rPr>
              <w:b/>
              <w:bCs/>
              <w:noProof/>
            </w:rPr>
            <w:fldChar w:fldCharType="end"/>
          </w:r>
        </w:p>
      </w:sdtContent>
    </w:sdt>
    <w:p w14:paraId="46B73136" w14:textId="77777777" w:rsidR="00C05105" w:rsidRDefault="00C05105" w:rsidP="00C05105">
      <w:pPr>
        <w:pStyle w:val="Title"/>
        <w:jc w:val="center"/>
      </w:pPr>
    </w:p>
    <w:p w14:paraId="5F579922" w14:textId="77777777" w:rsidR="00C05105" w:rsidRDefault="00C05105" w:rsidP="00C05105">
      <w:pPr>
        <w:pStyle w:val="Title"/>
        <w:jc w:val="center"/>
      </w:pPr>
    </w:p>
    <w:p w14:paraId="4D68C49F" w14:textId="77777777" w:rsidR="00C05105" w:rsidRDefault="00C05105" w:rsidP="00C05105">
      <w:pPr>
        <w:pStyle w:val="Title"/>
        <w:jc w:val="center"/>
      </w:pPr>
    </w:p>
    <w:p w14:paraId="467F1295" w14:textId="77777777" w:rsidR="00C05105" w:rsidRDefault="00C05105" w:rsidP="00C05105">
      <w:pPr>
        <w:pStyle w:val="Title"/>
        <w:jc w:val="center"/>
      </w:pPr>
    </w:p>
    <w:p w14:paraId="45CDCCC0" w14:textId="77777777" w:rsidR="00C05105" w:rsidRDefault="00C05105" w:rsidP="00C05105">
      <w:pPr>
        <w:pStyle w:val="Title"/>
        <w:jc w:val="center"/>
      </w:pPr>
    </w:p>
    <w:p w14:paraId="1A7D50FA" w14:textId="77777777" w:rsidR="00C05105" w:rsidRDefault="00C05105" w:rsidP="00C05105">
      <w:pPr>
        <w:pStyle w:val="Title"/>
        <w:jc w:val="center"/>
      </w:pPr>
    </w:p>
    <w:p w14:paraId="70600E81" w14:textId="77777777" w:rsidR="00C05105" w:rsidRDefault="00C05105" w:rsidP="00C05105">
      <w:pPr>
        <w:pStyle w:val="Title"/>
        <w:jc w:val="center"/>
      </w:pPr>
    </w:p>
    <w:p w14:paraId="5824F468" w14:textId="77777777" w:rsidR="00C05105" w:rsidRDefault="00C05105" w:rsidP="00C05105">
      <w:pPr>
        <w:pStyle w:val="Title"/>
        <w:jc w:val="center"/>
      </w:pPr>
    </w:p>
    <w:p w14:paraId="34ECBA04" w14:textId="77777777" w:rsidR="00C05105" w:rsidRDefault="00C05105" w:rsidP="00C05105">
      <w:pPr>
        <w:pStyle w:val="Title"/>
        <w:jc w:val="center"/>
      </w:pPr>
    </w:p>
    <w:p w14:paraId="0306F06B" w14:textId="77777777" w:rsidR="00C05105" w:rsidRDefault="00C05105" w:rsidP="00C05105">
      <w:pPr>
        <w:pStyle w:val="Title"/>
        <w:jc w:val="center"/>
      </w:pPr>
    </w:p>
    <w:p w14:paraId="3D1DA6D2" w14:textId="77777777" w:rsidR="00C05105" w:rsidRPr="00C05105" w:rsidRDefault="00C05105" w:rsidP="00C05105"/>
    <w:p w14:paraId="46382A7B" w14:textId="1E1321D6" w:rsidR="00C05105" w:rsidRPr="00C05105" w:rsidRDefault="00C05105" w:rsidP="00C05105">
      <w:pPr>
        <w:pStyle w:val="Title"/>
        <w:jc w:val="center"/>
      </w:pPr>
      <w:r w:rsidRPr="00C05105">
        <w:t>Staff Burnout in the NHS: A Research Proposal on Workforce Wellbeing in UK Healthcare</w:t>
      </w:r>
    </w:p>
    <w:p w14:paraId="73C295FC" w14:textId="0164055A" w:rsidR="00C05105" w:rsidRPr="00C05105" w:rsidRDefault="00C05105" w:rsidP="00C05105">
      <w:pPr>
        <w:spacing w:line="360" w:lineRule="auto"/>
        <w:jc w:val="both"/>
        <w:rPr>
          <w:rFonts w:ascii="Arial" w:hAnsi="Arial" w:cs="Arial"/>
          <w:sz w:val="22"/>
          <w:szCs w:val="22"/>
        </w:rPr>
      </w:pPr>
    </w:p>
    <w:p w14:paraId="0B00D491" w14:textId="5E532DD6" w:rsidR="00C05105" w:rsidRPr="00C05105" w:rsidRDefault="00C05105" w:rsidP="00C05105">
      <w:pPr>
        <w:pStyle w:val="Heading1"/>
      </w:pPr>
      <w:bookmarkStart w:id="0" w:name="_Toc224638520"/>
      <w:r w:rsidRPr="00C05105">
        <w:t>Introduction</w:t>
      </w:r>
      <w:bookmarkEnd w:id="0"/>
    </w:p>
    <w:p w14:paraId="1163BBC2"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Staff burnout has become a critical and increasingly visible issue within the UK healthcare system, particularly in the National Health Service (NHS), where rising patient demand, workforce shortages, and ongoing resource constraints place sustained pressure on healthcare professionals. These pressures have intensified in recent years, especially following the COVID-19 pandemic, further exposing vulnerabilities within the healthcare workforce and highlighting the importance of staff wellbeing for service sustainability. Burnout is defined as a syndrome resulting from chronic workplace stress that has not been successfully managed and is classified as an occupational phenomenon rather than a medical condition (World Health Organization, 2019; Maslach and Leiter, 2016). It is typically characterised by emotional exhaustion, depersonalisation, and reduced professional effectiveness, all of which can negatively impact both staff performance and patient outcomes.</w:t>
      </w:r>
    </w:p>
    <w:p w14:paraId="3A26ACC9"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This report examines staff burnout in the NHS as a current and significant health and social care issue. It explores the scale and impact of burnout, evaluates key academic and policy sources, and outlines a proposed research approach, including appropriate methodologies and data collection strategies, to better understand and address workforce wellbeing within healthcare settings</w:t>
      </w:r>
    </w:p>
    <w:p w14:paraId="02436F1E" w14:textId="3812525E" w:rsidR="00C05105" w:rsidRDefault="00C05105" w:rsidP="00C05105">
      <w:pPr>
        <w:spacing w:line="360" w:lineRule="auto"/>
        <w:jc w:val="both"/>
        <w:rPr>
          <w:rFonts w:ascii="Arial" w:hAnsi="Arial" w:cs="Arial"/>
          <w:sz w:val="22"/>
          <w:szCs w:val="22"/>
        </w:rPr>
      </w:pPr>
    </w:p>
    <w:p w14:paraId="578F233D" w14:textId="77777777" w:rsidR="00C05105" w:rsidRDefault="00C05105" w:rsidP="00C05105">
      <w:pPr>
        <w:spacing w:line="360" w:lineRule="auto"/>
        <w:jc w:val="both"/>
        <w:rPr>
          <w:rFonts w:ascii="Arial" w:hAnsi="Arial" w:cs="Arial"/>
          <w:sz w:val="22"/>
          <w:szCs w:val="22"/>
        </w:rPr>
      </w:pPr>
    </w:p>
    <w:p w14:paraId="3E5699EA" w14:textId="77777777" w:rsidR="00C05105" w:rsidRDefault="00C05105" w:rsidP="00C05105">
      <w:pPr>
        <w:spacing w:line="360" w:lineRule="auto"/>
        <w:jc w:val="both"/>
        <w:rPr>
          <w:rFonts w:ascii="Arial" w:hAnsi="Arial" w:cs="Arial"/>
          <w:sz w:val="22"/>
          <w:szCs w:val="22"/>
        </w:rPr>
      </w:pPr>
    </w:p>
    <w:p w14:paraId="4C711491" w14:textId="77777777" w:rsidR="00C05105" w:rsidRDefault="00C05105" w:rsidP="00C05105">
      <w:pPr>
        <w:pStyle w:val="Heading1"/>
      </w:pPr>
    </w:p>
    <w:p w14:paraId="323D1EB1" w14:textId="77777777" w:rsidR="00243901" w:rsidRPr="00243901" w:rsidRDefault="00243901" w:rsidP="00243901"/>
    <w:p w14:paraId="40CEA6C3" w14:textId="77777777" w:rsidR="00243901" w:rsidRDefault="00243901" w:rsidP="00C05105">
      <w:pPr>
        <w:pStyle w:val="Heading1"/>
        <w:rPr>
          <w:b/>
          <w:bCs/>
        </w:rPr>
      </w:pPr>
      <w:bookmarkStart w:id="1" w:name="_Toc224638521"/>
    </w:p>
    <w:p w14:paraId="064E34DA" w14:textId="77777777" w:rsidR="00243901" w:rsidRDefault="00243901" w:rsidP="00C05105">
      <w:pPr>
        <w:pStyle w:val="Heading1"/>
        <w:rPr>
          <w:b/>
          <w:bCs/>
        </w:rPr>
      </w:pPr>
    </w:p>
    <w:p w14:paraId="700A7171" w14:textId="52E069F8" w:rsidR="00C05105" w:rsidRPr="00C05105" w:rsidRDefault="00C05105" w:rsidP="00C05105">
      <w:pPr>
        <w:pStyle w:val="Heading1"/>
        <w:rPr>
          <w:b/>
          <w:bCs/>
        </w:rPr>
      </w:pPr>
      <w:r w:rsidRPr="00C05105">
        <w:rPr>
          <w:b/>
          <w:bCs/>
        </w:rPr>
        <w:t>Task 1: Selection of a Research Topic</w:t>
      </w:r>
      <w:bookmarkEnd w:id="1"/>
      <w:r w:rsidRPr="00C05105">
        <w:rPr>
          <w:b/>
          <w:bCs/>
        </w:rPr>
        <w:t xml:space="preserve"> </w:t>
      </w:r>
    </w:p>
    <w:p w14:paraId="5BAEE7F3"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Staff burnout in the NHS represents a significant and ongoing challenge within the UK health and social care sector. Burnout occurs when healthcare professionals are exposed to prolonged stress caused by factors such as high workloads, emotional demands, and insufficient organisational support. Evidence suggests that staffing shortages and increasing patient demand have intensified pressure on NHS staff, contributing to rising levels of stress and fatigue (NHS England, 2023; Nuffield Trust, 2023).</w:t>
      </w:r>
    </w:p>
    <w:p w14:paraId="60053569"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The issue affects multiple stakeholders. Healthcare professionals are directly impacted through reduced mental wellbeing, increased risk of anxiety and depression, and lower job satisfaction. From an organisational perspective, burnout leads to increased absenteeism, staff turnover, and reduced efficiency, placing additional strain on healthcare services (The Health Foundation, 2022). Furthermore, burnout has implications for patient safety, as it is associated with higher rates of medical errors and reduced quality of care (West, Dyrbye and Shanafelt, 2018).</w:t>
      </w:r>
    </w:p>
    <w:p w14:paraId="42DED8B5"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This issue is particularly important because it affects the sustainability of the NHS. Workforce pressures have been identified as one of the most significant challenges facing the healthcare system, requiring both organisational and policy-level interventions (The King’s Fund, 2022). Addressing burnout is therefore essential for maintaining service quality and ensuring long-term workforce resilience.</w:t>
      </w:r>
    </w:p>
    <w:p w14:paraId="7A2C703E" w14:textId="77777777" w:rsidR="00C05105" w:rsidRDefault="00C05105" w:rsidP="00C05105">
      <w:pPr>
        <w:spacing w:line="360" w:lineRule="auto"/>
        <w:jc w:val="both"/>
        <w:rPr>
          <w:rFonts w:ascii="Arial" w:hAnsi="Arial" w:cs="Arial"/>
          <w:sz w:val="22"/>
          <w:szCs w:val="22"/>
        </w:rPr>
      </w:pPr>
      <w:r w:rsidRPr="00C05105">
        <w:rPr>
          <w:rFonts w:ascii="Arial" w:hAnsi="Arial" w:cs="Arial"/>
          <w:sz w:val="22"/>
          <w:szCs w:val="22"/>
        </w:rPr>
        <w:t>I chose this topic because it is closely aligned with my studies in health and social care and my interest in improving organisational performance and employee wellbeing. Understanding burnout is important for my future career, as I aim to work in environments that prioritise staff wellbeing alongside patient care. This topic also provides an opportunity to explore real-world challenges within the NHS and develop relevant research skills.</w:t>
      </w:r>
    </w:p>
    <w:p w14:paraId="4E3DF3B1" w14:textId="77777777" w:rsidR="00C05105" w:rsidRDefault="00C05105" w:rsidP="00C05105">
      <w:pPr>
        <w:spacing w:line="360" w:lineRule="auto"/>
        <w:jc w:val="both"/>
        <w:rPr>
          <w:rFonts w:ascii="Arial" w:hAnsi="Arial" w:cs="Arial"/>
          <w:sz w:val="22"/>
          <w:szCs w:val="22"/>
        </w:rPr>
      </w:pPr>
    </w:p>
    <w:p w14:paraId="4B17C5D1" w14:textId="77777777" w:rsidR="00C05105" w:rsidRDefault="00C05105" w:rsidP="00C05105">
      <w:pPr>
        <w:spacing w:line="360" w:lineRule="auto"/>
        <w:jc w:val="both"/>
        <w:rPr>
          <w:rFonts w:ascii="Arial" w:hAnsi="Arial" w:cs="Arial"/>
          <w:sz w:val="22"/>
          <w:szCs w:val="22"/>
        </w:rPr>
      </w:pPr>
    </w:p>
    <w:p w14:paraId="04764B1B" w14:textId="77777777" w:rsidR="00C05105" w:rsidRDefault="00C05105" w:rsidP="00C05105">
      <w:pPr>
        <w:spacing w:line="360" w:lineRule="auto"/>
        <w:jc w:val="both"/>
        <w:rPr>
          <w:rFonts w:ascii="Arial" w:hAnsi="Arial" w:cs="Arial"/>
          <w:sz w:val="22"/>
          <w:szCs w:val="22"/>
        </w:rPr>
      </w:pPr>
    </w:p>
    <w:p w14:paraId="36A79520" w14:textId="77777777" w:rsidR="00C05105" w:rsidRDefault="00C05105" w:rsidP="00C05105">
      <w:pPr>
        <w:spacing w:line="360" w:lineRule="auto"/>
        <w:jc w:val="both"/>
        <w:rPr>
          <w:rFonts w:ascii="Arial" w:hAnsi="Arial" w:cs="Arial"/>
          <w:sz w:val="22"/>
          <w:szCs w:val="22"/>
        </w:rPr>
      </w:pPr>
    </w:p>
    <w:p w14:paraId="5B0DE6BF" w14:textId="77777777" w:rsidR="00C05105" w:rsidRDefault="00C05105" w:rsidP="00C05105">
      <w:pPr>
        <w:spacing w:line="360" w:lineRule="auto"/>
        <w:jc w:val="both"/>
        <w:rPr>
          <w:rFonts w:ascii="Arial" w:hAnsi="Arial" w:cs="Arial"/>
          <w:sz w:val="22"/>
          <w:szCs w:val="22"/>
        </w:rPr>
      </w:pPr>
    </w:p>
    <w:p w14:paraId="15DAE839" w14:textId="2F9582BF" w:rsidR="00C05105" w:rsidRPr="00C05105" w:rsidRDefault="00C05105" w:rsidP="00C05105">
      <w:pPr>
        <w:pStyle w:val="Heading1"/>
      </w:pPr>
    </w:p>
    <w:p w14:paraId="0A0B8330" w14:textId="0F88ED92" w:rsidR="00C05105" w:rsidRPr="00C05105" w:rsidRDefault="00C05105" w:rsidP="00C05105">
      <w:pPr>
        <w:pStyle w:val="Heading1"/>
        <w:rPr>
          <w:b/>
          <w:bCs/>
        </w:rPr>
      </w:pPr>
      <w:bookmarkStart w:id="2" w:name="_Toc224638522"/>
      <w:r w:rsidRPr="00C05105">
        <w:rPr>
          <w:b/>
          <w:bCs/>
        </w:rPr>
        <w:t>Task 2: Evaluating Information Sources</w:t>
      </w:r>
      <w:bookmarkEnd w:id="2"/>
    </w:p>
    <w:p w14:paraId="76B48FEB"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To explore staff burnout in the NHS, three key sources were selected for detailed evaluation: NHS England (2023), The King’s Fund (2022), and West, Dyrbye and Shanafelt (2018). Additional supporting sources include the Nuffield Trust (2023) and The Health Foundation (2022).</w:t>
      </w:r>
    </w:p>
    <w:p w14:paraId="08020F27"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The first source, NHS England (2023), provides official information on workforce wellbeing and organisational support strategies. It highlights the impact of staffing shortages and workload pressures on staff stress levels. The main strength of this source is its relevance and authority, as it is produced by a national healthcare body. It provides current and policy-focused information, making it highly applicable to the NHS context. However, it is largely descriptive and focuses on organisational responses rather than critically analysing the root causes of burnout or individual staff experiences.</w:t>
      </w:r>
    </w:p>
    <w:p w14:paraId="520C0A7B"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The second source, The King’s Fund (2022), offers an independent and analytical perspective on NHS workforce challenges. It examines how burnout affects staff retention, service delivery, and long-term system sustainability. Compared to NHS England, this source provides a more critical evaluation of structural issues, such as funding constraints and workforce planning. This makes it particularly valuable for understanding burnout as a systemic problem. However, its broader policy focus means it may not provide detailed insights into specific clinical roles or frontline experiences.</w:t>
      </w:r>
    </w:p>
    <w:p w14:paraId="32FAFD2E"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 xml:space="preserve">The third source, West, Dyrbye and Shanafelt (2018), published in the </w:t>
      </w:r>
      <w:r w:rsidRPr="00C05105">
        <w:rPr>
          <w:rFonts w:ascii="Arial" w:hAnsi="Arial" w:cs="Arial"/>
          <w:i/>
          <w:iCs/>
          <w:sz w:val="22"/>
          <w:szCs w:val="22"/>
        </w:rPr>
        <w:t>BMJ</w:t>
      </w:r>
      <w:r w:rsidRPr="00C05105">
        <w:rPr>
          <w:rFonts w:ascii="Arial" w:hAnsi="Arial" w:cs="Arial"/>
          <w:sz w:val="22"/>
          <w:szCs w:val="22"/>
        </w:rPr>
        <w:t>, provides strong empirical evidence linking burnout to patient safety outcomes. The study demonstrates that burnout is associated with increased medical errors and reduced quality of care. This peer-reviewed source adds academic credibility and supports the argument that burnout has serious implications beyond staff wellbeing. However, one limitation is that it is not exclusively focused on the UK, which may affect its direct applicability to the NHS context.</w:t>
      </w:r>
    </w:p>
    <w:p w14:paraId="39A3AD7C" w14:textId="77777777" w:rsidR="00C05105" w:rsidRDefault="00C05105" w:rsidP="00C05105">
      <w:pPr>
        <w:spacing w:line="360" w:lineRule="auto"/>
        <w:jc w:val="both"/>
        <w:rPr>
          <w:rFonts w:ascii="Arial" w:hAnsi="Arial" w:cs="Arial"/>
          <w:sz w:val="22"/>
          <w:szCs w:val="22"/>
        </w:rPr>
      </w:pPr>
      <w:r w:rsidRPr="00C05105">
        <w:rPr>
          <w:rFonts w:ascii="Arial" w:hAnsi="Arial" w:cs="Arial"/>
          <w:sz w:val="22"/>
          <w:szCs w:val="22"/>
        </w:rPr>
        <w:t xml:space="preserve">Supporting sources further strengthen the analysis. The Nuffield Trust (2023) provides statistical data on workforce shortages, reinforcing the connection between staffing pressures and burnout. Similarly, The Health Foundation (2022) highlights how long-term workforce pressures and post-pandemic challenges have contributed to increasing burnout levels among </w:t>
      </w:r>
    </w:p>
    <w:p w14:paraId="4B4EFF75" w14:textId="77777777" w:rsidR="00C05105" w:rsidRDefault="00C05105" w:rsidP="00C05105">
      <w:pPr>
        <w:spacing w:line="360" w:lineRule="auto"/>
        <w:jc w:val="both"/>
        <w:rPr>
          <w:rFonts w:ascii="Arial" w:hAnsi="Arial" w:cs="Arial"/>
          <w:sz w:val="22"/>
          <w:szCs w:val="22"/>
        </w:rPr>
      </w:pPr>
    </w:p>
    <w:p w14:paraId="29A00DAC" w14:textId="77777777" w:rsidR="00C05105" w:rsidRDefault="00C05105" w:rsidP="00C05105">
      <w:pPr>
        <w:spacing w:line="360" w:lineRule="auto"/>
        <w:jc w:val="both"/>
        <w:rPr>
          <w:rFonts w:ascii="Arial" w:hAnsi="Arial" w:cs="Arial"/>
          <w:sz w:val="22"/>
          <w:szCs w:val="22"/>
        </w:rPr>
      </w:pPr>
    </w:p>
    <w:p w14:paraId="61CFA826" w14:textId="30AAF5AF"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NHS staff. These sources complement the main references by combining data and policy analysis.</w:t>
      </w:r>
    </w:p>
    <w:p w14:paraId="76729CDB"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Despite the availability of credible sources, a gap remains in recent qualitative research exploring the lived experiences of NHS staff. This suggests a need for further research focusing on personal experiences, coping strategies, and organisational support mechanisms.</w:t>
      </w:r>
    </w:p>
    <w:p w14:paraId="25F882B5" w14:textId="130EBB28" w:rsidR="00C05105" w:rsidRDefault="00C05105" w:rsidP="00C05105">
      <w:pPr>
        <w:spacing w:line="360" w:lineRule="auto"/>
        <w:jc w:val="both"/>
        <w:rPr>
          <w:rFonts w:ascii="Arial" w:hAnsi="Arial" w:cs="Arial"/>
          <w:sz w:val="22"/>
          <w:szCs w:val="22"/>
        </w:rPr>
      </w:pPr>
    </w:p>
    <w:p w14:paraId="3BEB9BF1" w14:textId="77777777" w:rsidR="00C05105" w:rsidRDefault="00C05105" w:rsidP="00C05105">
      <w:pPr>
        <w:spacing w:line="360" w:lineRule="auto"/>
        <w:jc w:val="both"/>
        <w:rPr>
          <w:rFonts w:ascii="Arial" w:hAnsi="Arial" w:cs="Arial"/>
          <w:sz w:val="22"/>
          <w:szCs w:val="22"/>
        </w:rPr>
      </w:pPr>
    </w:p>
    <w:p w14:paraId="61F2C7E5" w14:textId="77777777" w:rsidR="00C05105" w:rsidRDefault="00C05105" w:rsidP="00C05105">
      <w:pPr>
        <w:spacing w:line="360" w:lineRule="auto"/>
        <w:jc w:val="both"/>
        <w:rPr>
          <w:rFonts w:ascii="Arial" w:hAnsi="Arial" w:cs="Arial"/>
          <w:sz w:val="22"/>
          <w:szCs w:val="22"/>
        </w:rPr>
      </w:pPr>
    </w:p>
    <w:p w14:paraId="1E1DE8E7" w14:textId="77777777" w:rsidR="00C05105" w:rsidRDefault="00C05105" w:rsidP="00C05105">
      <w:pPr>
        <w:spacing w:line="360" w:lineRule="auto"/>
        <w:jc w:val="both"/>
        <w:rPr>
          <w:rFonts w:ascii="Arial" w:hAnsi="Arial" w:cs="Arial"/>
          <w:sz w:val="22"/>
          <w:szCs w:val="22"/>
        </w:rPr>
      </w:pPr>
    </w:p>
    <w:p w14:paraId="53888430" w14:textId="77777777" w:rsidR="00C05105" w:rsidRDefault="00C05105" w:rsidP="00C05105">
      <w:pPr>
        <w:spacing w:line="360" w:lineRule="auto"/>
        <w:jc w:val="both"/>
        <w:rPr>
          <w:rFonts w:ascii="Arial" w:hAnsi="Arial" w:cs="Arial"/>
          <w:sz w:val="22"/>
          <w:szCs w:val="22"/>
        </w:rPr>
      </w:pPr>
    </w:p>
    <w:p w14:paraId="4AA46A6D" w14:textId="77777777" w:rsidR="00C05105" w:rsidRDefault="00C05105" w:rsidP="00C05105">
      <w:pPr>
        <w:spacing w:line="360" w:lineRule="auto"/>
        <w:jc w:val="both"/>
        <w:rPr>
          <w:rFonts w:ascii="Arial" w:hAnsi="Arial" w:cs="Arial"/>
          <w:sz w:val="22"/>
          <w:szCs w:val="22"/>
        </w:rPr>
      </w:pPr>
    </w:p>
    <w:p w14:paraId="5B95382C" w14:textId="77777777" w:rsidR="00C05105" w:rsidRDefault="00C05105" w:rsidP="00C05105">
      <w:pPr>
        <w:spacing w:line="360" w:lineRule="auto"/>
        <w:jc w:val="both"/>
        <w:rPr>
          <w:rFonts w:ascii="Arial" w:hAnsi="Arial" w:cs="Arial"/>
          <w:sz w:val="22"/>
          <w:szCs w:val="22"/>
        </w:rPr>
      </w:pPr>
    </w:p>
    <w:p w14:paraId="2E3E786E" w14:textId="77777777" w:rsidR="00C05105" w:rsidRDefault="00C05105" w:rsidP="00C05105">
      <w:pPr>
        <w:spacing w:line="360" w:lineRule="auto"/>
        <w:jc w:val="both"/>
        <w:rPr>
          <w:rFonts w:ascii="Arial" w:hAnsi="Arial" w:cs="Arial"/>
          <w:sz w:val="22"/>
          <w:szCs w:val="22"/>
        </w:rPr>
      </w:pPr>
    </w:p>
    <w:p w14:paraId="42977FDB" w14:textId="77777777" w:rsidR="00C05105" w:rsidRDefault="00C05105" w:rsidP="00C05105">
      <w:pPr>
        <w:spacing w:line="360" w:lineRule="auto"/>
        <w:jc w:val="both"/>
        <w:rPr>
          <w:rFonts w:ascii="Arial" w:hAnsi="Arial" w:cs="Arial"/>
          <w:sz w:val="22"/>
          <w:szCs w:val="22"/>
        </w:rPr>
      </w:pPr>
    </w:p>
    <w:p w14:paraId="23D97B98" w14:textId="77777777" w:rsidR="00C05105" w:rsidRDefault="00C05105" w:rsidP="00C05105">
      <w:pPr>
        <w:spacing w:line="360" w:lineRule="auto"/>
        <w:jc w:val="both"/>
        <w:rPr>
          <w:rFonts w:ascii="Arial" w:hAnsi="Arial" w:cs="Arial"/>
          <w:sz w:val="22"/>
          <w:szCs w:val="22"/>
        </w:rPr>
      </w:pPr>
    </w:p>
    <w:p w14:paraId="35C8A290" w14:textId="77777777" w:rsidR="00C05105" w:rsidRDefault="00C05105" w:rsidP="00C05105">
      <w:pPr>
        <w:spacing w:line="360" w:lineRule="auto"/>
        <w:jc w:val="both"/>
        <w:rPr>
          <w:rFonts w:ascii="Arial" w:hAnsi="Arial" w:cs="Arial"/>
          <w:sz w:val="22"/>
          <w:szCs w:val="22"/>
        </w:rPr>
      </w:pPr>
    </w:p>
    <w:p w14:paraId="4743FD4B" w14:textId="77777777" w:rsidR="00C05105" w:rsidRDefault="00C05105" w:rsidP="00C05105">
      <w:pPr>
        <w:spacing w:line="360" w:lineRule="auto"/>
        <w:jc w:val="both"/>
        <w:rPr>
          <w:rFonts w:ascii="Arial" w:hAnsi="Arial" w:cs="Arial"/>
          <w:sz w:val="22"/>
          <w:szCs w:val="22"/>
        </w:rPr>
      </w:pPr>
    </w:p>
    <w:p w14:paraId="6FE397F9" w14:textId="77777777" w:rsidR="00C05105" w:rsidRDefault="00C05105" w:rsidP="00C05105">
      <w:pPr>
        <w:spacing w:line="360" w:lineRule="auto"/>
        <w:jc w:val="both"/>
        <w:rPr>
          <w:rFonts w:ascii="Arial" w:hAnsi="Arial" w:cs="Arial"/>
          <w:sz w:val="22"/>
          <w:szCs w:val="22"/>
        </w:rPr>
      </w:pPr>
    </w:p>
    <w:p w14:paraId="793B3506" w14:textId="77777777" w:rsidR="00C05105" w:rsidRDefault="00C05105" w:rsidP="00C05105">
      <w:pPr>
        <w:spacing w:line="360" w:lineRule="auto"/>
        <w:jc w:val="both"/>
        <w:rPr>
          <w:rFonts w:ascii="Arial" w:hAnsi="Arial" w:cs="Arial"/>
          <w:sz w:val="22"/>
          <w:szCs w:val="22"/>
        </w:rPr>
      </w:pPr>
    </w:p>
    <w:p w14:paraId="6E9F1B25" w14:textId="77777777" w:rsidR="00C05105" w:rsidRDefault="00C05105" w:rsidP="00C05105">
      <w:pPr>
        <w:spacing w:line="360" w:lineRule="auto"/>
        <w:jc w:val="both"/>
        <w:rPr>
          <w:rFonts w:ascii="Arial" w:hAnsi="Arial" w:cs="Arial"/>
          <w:sz w:val="22"/>
          <w:szCs w:val="22"/>
        </w:rPr>
      </w:pPr>
    </w:p>
    <w:p w14:paraId="24996925" w14:textId="77777777" w:rsidR="00C05105" w:rsidRDefault="00C05105" w:rsidP="00C05105">
      <w:pPr>
        <w:spacing w:line="360" w:lineRule="auto"/>
        <w:jc w:val="both"/>
        <w:rPr>
          <w:rFonts w:ascii="Arial" w:hAnsi="Arial" w:cs="Arial"/>
          <w:sz w:val="22"/>
          <w:szCs w:val="22"/>
        </w:rPr>
      </w:pPr>
    </w:p>
    <w:p w14:paraId="7D810E95" w14:textId="77777777" w:rsidR="00C05105" w:rsidRDefault="00C05105" w:rsidP="00C05105">
      <w:pPr>
        <w:spacing w:line="360" w:lineRule="auto"/>
        <w:jc w:val="both"/>
        <w:rPr>
          <w:rFonts w:ascii="Arial" w:hAnsi="Arial" w:cs="Arial"/>
          <w:sz w:val="22"/>
          <w:szCs w:val="22"/>
        </w:rPr>
      </w:pPr>
    </w:p>
    <w:p w14:paraId="761D128F" w14:textId="77777777" w:rsidR="00C05105" w:rsidRDefault="00C05105" w:rsidP="00C05105">
      <w:pPr>
        <w:spacing w:line="360" w:lineRule="auto"/>
        <w:jc w:val="both"/>
        <w:rPr>
          <w:rFonts w:ascii="Arial" w:hAnsi="Arial" w:cs="Arial"/>
          <w:sz w:val="22"/>
          <w:szCs w:val="22"/>
        </w:rPr>
      </w:pPr>
    </w:p>
    <w:p w14:paraId="35675215" w14:textId="77777777" w:rsidR="00C05105" w:rsidRDefault="00C05105" w:rsidP="00C05105">
      <w:pPr>
        <w:spacing w:line="360" w:lineRule="auto"/>
        <w:jc w:val="both"/>
        <w:rPr>
          <w:rFonts w:ascii="Arial" w:hAnsi="Arial" w:cs="Arial"/>
          <w:sz w:val="22"/>
          <w:szCs w:val="22"/>
        </w:rPr>
      </w:pPr>
    </w:p>
    <w:p w14:paraId="343DE916" w14:textId="77777777" w:rsidR="00C05105" w:rsidRDefault="00C05105" w:rsidP="00C05105">
      <w:pPr>
        <w:spacing w:line="360" w:lineRule="auto"/>
        <w:jc w:val="both"/>
        <w:rPr>
          <w:rFonts w:ascii="Arial" w:hAnsi="Arial" w:cs="Arial"/>
          <w:sz w:val="22"/>
          <w:szCs w:val="22"/>
        </w:rPr>
      </w:pPr>
    </w:p>
    <w:p w14:paraId="627D2957" w14:textId="77777777" w:rsidR="00C05105" w:rsidRDefault="00C05105" w:rsidP="00C05105">
      <w:pPr>
        <w:spacing w:line="360" w:lineRule="auto"/>
        <w:jc w:val="both"/>
        <w:rPr>
          <w:rFonts w:ascii="Arial" w:hAnsi="Arial" w:cs="Arial"/>
          <w:sz w:val="22"/>
          <w:szCs w:val="22"/>
        </w:rPr>
      </w:pPr>
    </w:p>
    <w:p w14:paraId="1E6B2775" w14:textId="77777777" w:rsidR="00C05105" w:rsidRPr="00C05105" w:rsidRDefault="00C05105" w:rsidP="00C05105">
      <w:pPr>
        <w:spacing w:line="360" w:lineRule="auto"/>
        <w:jc w:val="both"/>
        <w:rPr>
          <w:rFonts w:ascii="Arial" w:hAnsi="Arial" w:cs="Arial"/>
          <w:sz w:val="22"/>
          <w:szCs w:val="22"/>
        </w:rPr>
      </w:pPr>
    </w:p>
    <w:p w14:paraId="49BB2B0D" w14:textId="5A6CB9BB" w:rsidR="00C05105" w:rsidRPr="00C05105" w:rsidRDefault="00C05105" w:rsidP="00C05105">
      <w:pPr>
        <w:pStyle w:val="Heading1"/>
      </w:pPr>
      <w:bookmarkStart w:id="3" w:name="_Toc224638523"/>
      <w:r w:rsidRPr="00C05105">
        <w:t>Task 3: Research Methodologies</w:t>
      </w:r>
      <w:bookmarkEnd w:id="3"/>
    </w:p>
    <w:p w14:paraId="6E0B816A"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Research methodologies refer to the systematic approaches used to collect and analyse data in order to answer a research question. The three main types of research methodologies are quantitative, qualitative, and mixed-methods research, each offering distinct advantages depending on the nature of the study.</w:t>
      </w:r>
    </w:p>
    <w:p w14:paraId="4A70A290"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Quantitative research involves the collection of numerical data that can be analysed using statistical techniques. For example, structured surveys measuring burnout levels among NHS staff can provide measurable and comparable data on the prevalence and severity of the issue (Bryman, 2016). This approach is particularly useful for identifying patterns, trends, and correlations across large populations, making it effective for assessing the scale of burnout within the healthcare workforce. However, it may not fully capture the complexity of individual experiences.</w:t>
      </w:r>
    </w:p>
    <w:p w14:paraId="5E194D3F"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Qualitative research, in contrast, focuses on non-numerical data such as interviews, focus groups, or open-ended questionnaires. This approach allows researchers to explore individuals’ experiences, perceptions, and emotions in greater depth. In the context of NHS burnout, qualitative methods can provide valuable insights into how staff perceive workplace pressures, organisational support, and the emotional impact of their roles. However, findings may be less generalisable due to smaller sample sizes.</w:t>
      </w:r>
    </w:p>
    <w:p w14:paraId="0BB5490D"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Mixed-methods research combines both quantitative and qualitative approaches, allowing researchers to benefit from the strengths of each. For this study, a mixed-methods approach is most appropriate, as burnout is both a measurable phenomenon and a subjective experience. Combining statistical data with personal insights enables a more comprehensive understanding of the causes, impact, and potential solutions to staff burnout, supporting more robust and evidence-based conclusions.</w:t>
      </w:r>
    </w:p>
    <w:p w14:paraId="17C1007C" w14:textId="646C666F" w:rsidR="00C05105" w:rsidRDefault="00C05105" w:rsidP="00C05105">
      <w:pPr>
        <w:spacing w:line="360" w:lineRule="auto"/>
        <w:jc w:val="both"/>
        <w:rPr>
          <w:rFonts w:ascii="Arial" w:hAnsi="Arial" w:cs="Arial"/>
          <w:sz w:val="22"/>
          <w:szCs w:val="22"/>
        </w:rPr>
      </w:pPr>
    </w:p>
    <w:p w14:paraId="520822FF" w14:textId="77777777" w:rsidR="00C05105" w:rsidRDefault="00C05105" w:rsidP="00C05105">
      <w:pPr>
        <w:spacing w:line="360" w:lineRule="auto"/>
        <w:jc w:val="both"/>
        <w:rPr>
          <w:rFonts w:ascii="Arial" w:hAnsi="Arial" w:cs="Arial"/>
          <w:sz w:val="22"/>
          <w:szCs w:val="22"/>
        </w:rPr>
      </w:pPr>
    </w:p>
    <w:p w14:paraId="574C6A38" w14:textId="77777777" w:rsidR="00C05105" w:rsidRDefault="00C05105" w:rsidP="00C05105">
      <w:pPr>
        <w:spacing w:line="360" w:lineRule="auto"/>
        <w:jc w:val="both"/>
        <w:rPr>
          <w:rFonts w:ascii="Arial" w:hAnsi="Arial" w:cs="Arial"/>
          <w:sz w:val="22"/>
          <w:szCs w:val="22"/>
        </w:rPr>
      </w:pPr>
    </w:p>
    <w:p w14:paraId="232129AE" w14:textId="77777777" w:rsidR="00C05105" w:rsidRDefault="00C05105" w:rsidP="00C05105">
      <w:pPr>
        <w:spacing w:line="360" w:lineRule="auto"/>
        <w:jc w:val="both"/>
        <w:rPr>
          <w:rFonts w:ascii="Arial" w:hAnsi="Arial" w:cs="Arial"/>
          <w:sz w:val="22"/>
          <w:szCs w:val="22"/>
        </w:rPr>
      </w:pPr>
    </w:p>
    <w:p w14:paraId="6522603D" w14:textId="77777777" w:rsidR="00C05105" w:rsidRDefault="00C05105" w:rsidP="00C05105">
      <w:pPr>
        <w:spacing w:line="360" w:lineRule="auto"/>
        <w:jc w:val="both"/>
        <w:rPr>
          <w:rFonts w:ascii="Arial" w:hAnsi="Arial" w:cs="Arial"/>
          <w:sz w:val="22"/>
          <w:szCs w:val="22"/>
        </w:rPr>
      </w:pPr>
    </w:p>
    <w:p w14:paraId="689C89A2" w14:textId="77777777" w:rsidR="00C05105" w:rsidRDefault="00C05105" w:rsidP="00C05105">
      <w:pPr>
        <w:spacing w:line="360" w:lineRule="auto"/>
        <w:jc w:val="both"/>
        <w:rPr>
          <w:rFonts w:ascii="Arial" w:hAnsi="Arial" w:cs="Arial"/>
          <w:sz w:val="22"/>
          <w:szCs w:val="22"/>
        </w:rPr>
      </w:pPr>
    </w:p>
    <w:p w14:paraId="68FCE01A" w14:textId="77777777" w:rsidR="00C05105" w:rsidRPr="00C05105" w:rsidRDefault="00C05105" w:rsidP="00C05105">
      <w:pPr>
        <w:spacing w:line="360" w:lineRule="auto"/>
        <w:jc w:val="both"/>
        <w:rPr>
          <w:rFonts w:ascii="Arial" w:hAnsi="Arial" w:cs="Arial"/>
          <w:sz w:val="22"/>
          <w:szCs w:val="22"/>
        </w:rPr>
      </w:pPr>
    </w:p>
    <w:p w14:paraId="623C4FA4" w14:textId="501EED04" w:rsidR="00C05105" w:rsidRPr="00C05105" w:rsidRDefault="00C05105" w:rsidP="00C05105">
      <w:pPr>
        <w:pStyle w:val="Heading1"/>
      </w:pPr>
      <w:bookmarkStart w:id="4" w:name="_Toc224638524"/>
      <w:r w:rsidRPr="00C05105">
        <w:t>Task 4: Data Collection</w:t>
      </w:r>
      <w:bookmarkEnd w:id="4"/>
      <w:r w:rsidRPr="00C05105">
        <w:t xml:space="preserve"> </w:t>
      </w:r>
    </w:p>
    <w:p w14:paraId="3EC82211"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Data collection involves gathering information to address a research question and can be divided into primary and secondary data.</w:t>
      </w:r>
    </w:p>
    <w:p w14:paraId="1ECFB7B3"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Primary data is collected directly by the researcher through methods such as surveys, interviews, or observations. In this study, primary data could include surveys measuring burnout levels among NHS staff and interviews exploring their personal experiences. The advantage of primary data is that it is specific and directly relevant to the research topic. However, it can be time-consuming and may require ethical approval.</w:t>
      </w:r>
    </w:p>
    <w:p w14:paraId="21C7197B"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Secondary data refers to existing information collected by other organisations, such as NHS reports, academic journals, and statistical data (ONS, 2023). This type of data is more accessible and cost-effective but may not fully align with the specific research objectives.</w:t>
      </w:r>
    </w:p>
    <w:p w14:paraId="6E295A26"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For this research, a combination of both primary and secondary data is recommended. Secondary data can provide context and identify trends, while primary data can offer detailed insights into staff experiences.</w:t>
      </w:r>
    </w:p>
    <w:p w14:paraId="4374552C"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For example, data from the Office for National Statistics shows that 185.6 million working days were lost due to sickness absence in the UK, highlighting the broader impact of health-related issues on workforce productivity (ONS, 2023). This supports the importance of investigating burnout as a contributing factor.</w:t>
      </w:r>
    </w:p>
    <w:p w14:paraId="60F44C14" w14:textId="77777777" w:rsidR="00C05105" w:rsidRPr="00C05105" w:rsidRDefault="00C05105" w:rsidP="00C05105">
      <w:pPr>
        <w:spacing w:line="360" w:lineRule="auto"/>
        <w:jc w:val="both"/>
        <w:rPr>
          <w:rFonts w:ascii="Arial" w:hAnsi="Arial" w:cs="Arial"/>
          <w:sz w:val="22"/>
          <w:szCs w:val="22"/>
        </w:rPr>
      </w:pPr>
      <w:r w:rsidRPr="00C05105">
        <w:rPr>
          <w:rFonts w:ascii="Arial" w:hAnsi="Arial" w:cs="Arial"/>
          <w:sz w:val="22"/>
          <w:szCs w:val="22"/>
        </w:rPr>
        <w:t>The main advantage of combining both data types is improved reliability and validity. However, challenges include ensuring data accuracy and addressing ethical considerations. Overall, using both types of data enables a more comprehensive analysis.</w:t>
      </w:r>
    </w:p>
    <w:p w14:paraId="171785F7" w14:textId="4DF30BBD" w:rsidR="00C05105" w:rsidRDefault="00C05105" w:rsidP="00C05105">
      <w:pPr>
        <w:spacing w:line="360" w:lineRule="auto"/>
        <w:jc w:val="both"/>
        <w:rPr>
          <w:rFonts w:ascii="Arial" w:hAnsi="Arial" w:cs="Arial"/>
          <w:sz w:val="22"/>
          <w:szCs w:val="22"/>
        </w:rPr>
      </w:pPr>
    </w:p>
    <w:p w14:paraId="7107D735" w14:textId="77777777" w:rsidR="00C05105" w:rsidRDefault="00C05105" w:rsidP="00C05105">
      <w:pPr>
        <w:spacing w:line="360" w:lineRule="auto"/>
        <w:jc w:val="both"/>
        <w:rPr>
          <w:rFonts w:ascii="Arial" w:hAnsi="Arial" w:cs="Arial"/>
          <w:sz w:val="22"/>
          <w:szCs w:val="22"/>
        </w:rPr>
      </w:pPr>
    </w:p>
    <w:p w14:paraId="7E34F18A" w14:textId="77777777" w:rsidR="00C05105" w:rsidRDefault="00C05105" w:rsidP="00C05105">
      <w:pPr>
        <w:spacing w:line="360" w:lineRule="auto"/>
        <w:jc w:val="both"/>
        <w:rPr>
          <w:rFonts w:ascii="Arial" w:hAnsi="Arial" w:cs="Arial"/>
          <w:sz w:val="22"/>
          <w:szCs w:val="22"/>
        </w:rPr>
      </w:pPr>
    </w:p>
    <w:p w14:paraId="70DF1879" w14:textId="77777777" w:rsidR="00C05105" w:rsidRDefault="00C05105" w:rsidP="00C05105">
      <w:pPr>
        <w:spacing w:line="360" w:lineRule="auto"/>
        <w:jc w:val="both"/>
        <w:rPr>
          <w:rFonts w:ascii="Arial" w:hAnsi="Arial" w:cs="Arial"/>
          <w:sz w:val="22"/>
          <w:szCs w:val="22"/>
        </w:rPr>
      </w:pPr>
    </w:p>
    <w:p w14:paraId="50B4C430" w14:textId="77777777" w:rsidR="00C05105" w:rsidRDefault="00C05105" w:rsidP="00C05105">
      <w:pPr>
        <w:spacing w:line="360" w:lineRule="auto"/>
        <w:jc w:val="both"/>
        <w:rPr>
          <w:rFonts w:ascii="Arial" w:hAnsi="Arial" w:cs="Arial"/>
          <w:sz w:val="22"/>
          <w:szCs w:val="22"/>
        </w:rPr>
      </w:pPr>
    </w:p>
    <w:p w14:paraId="7D0A5147" w14:textId="77777777" w:rsidR="00C05105" w:rsidRDefault="00C05105" w:rsidP="00C05105">
      <w:pPr>
        <w:spacing w:line="360" w:lineRule="auto"/>
        <w:jc w:val="both"/>
        <w:rPr>
          <w:rFonts w:ascii="Arial" w:hAnsi="Arial" w:cs="Arial"/>
          <w:sz w:val="22"/>
          <w:szCs w:val="22"/>
        </w:rPr>
      </w:pPr>
    </w:p>
    <w:p w14:paraId="2BA8DD6D" w14:textId="77777777" w:rsidR="00C05105" w:rsidRDefault="00C05105" w:rsidP="00C05105">
      <w:pPr>
        <w:spacing w:line="360" w:lineRule="auto"/>
        <w:jc w:val="both"/>
        <w:rPr>
          <w:rFonts w:ascii="Arial" w:hAnsi="Arial" w:cs="Arial"/>
          <w:sz w:val="22"/>
          <w:szCs w:val="22"/>
        </w:rPr>
      </w:pPr>
    </w:p>
    <w:p w14:paraId="072CF2EF" w14:textId="77777777" w:rsidR="00C05105" w:rsidRPr="00C05105" w:rsidRDefault="00C05105" w:rsidP="00C05105">
      <w:pPr>
        <w:spacing w:line="360" w:lineRule="auto"/>
        <w:jc w:val="both"/>
        <w:rPr>
          <w:rFonts w:ascii="Arial" w:hAnsi="Arial" w:cs="Arial"/>
          <w:sz w:val="22"/>
          <w:szCs w:val="22"/>
        </w:rPr>
      </w:pPr>
    </w:p>
    <w:p w14:paraId="7C7B2161" w14:textId="306FE7DE" w:rsidR="00C05105" w:rsidRPr="00C05105" w:rsidRDefault="00C05105" w:rsidP="00C05105">
      <w:pPr>
        <w:pStyle w:val="Heading1"/>
      </w:pPr>
      <w:bookmarkStart w:id="5" w:name="_Toc224638525"/>
      <w:r w:rsidRPr="00C05105">
        <w:t>Conclusion</w:t>
      </w:r>
      <w:bookmarkEnd w:id="5"/>
      <w:r w:rsidRPr="00C05105">
        <w:t xml:space="preserve"> </w:t>
      </w:r>
    </w:p>
    <w:p w14:paraId="4C731AE6" w14:textId="0F9D080D" w:rsidR="00C05105" w:rsidRDefault="00C05105" w:rsidP="00C05105">
      <w:pPr>
        <w:spacing w:line="360" w:lineRule="auto"/>
        <w:jc w:val="both"/>
        <w:rPr>
          <w:rFonts w:ascii="Arial" w:hAnsi="Arial" w:cs="Arial"/>
          <w:sz w:val="22"/>
          <w:szCs w:val="22"/>
        </w:rPr>
      </w:pPr>
      <w:r w:rsidRPr="00C05105">
        <w:rPr>
          <w:rFonts w:ascii="Arial" w:hAnsi="Arial" w:cs="Arial"/>
          <w:sz w:val="22"/>
          <w:szCs w:val="22"/>
        </w:rPr>
        <w:t>In conclusion, staff burnout in the NHS is a significant issue affecting workforce wellbeing, organisational performance, and patient safety. This report has demonstrated that burnout is driven by factors such as staffing shortages, workload pressures, and systemic challenges. The evaluation of credible sources highlights both the scale of the issue and gaps in current research. A mixed-methods approach, supported by both primary and secondary data, has been proposed to explore burnout more effectively. Addressing this issue is essential for ensuring the sustainability of the NHS and maintaining high standards of care delivery.</w:t>
      </w:r>
    </w:p>
    <w:p w14:paraId="44F34F90" w14:textId="77777777" w:rsidR="00C05105" w:rsidRDefault="00C05105" w:rsidP="00C05105">
      <w:pPr>
        <w:spacing w:line="360" w:lineRule="auto"/>
        <w:jc w:val="both"/>
        <w:rPr>
          <w:rFonts w:ascii="Arial" w:hAnsi="Arial" w:cs="Arial"/>
          <w:sz w:val="22"/>
          <w:szCs w:val="22"/>
        </w:rPr>
      </w:pPr>
    </w:p>
    <w:p w14:paraId="4702B553" w14:textId="77777777" w:rsidR="00C05105" w:rsidRDefault="00C05105" w:rsidP="00C05105">
      <w:pPr>
        <w:spacing w:line="360" w:lineRule="auto"/>
        <w:jc w:val="both"/>
        <w:rPr>
          <w:rFonts w:ascii="Arial" w:hAnsi="Arial" w:cs="Arial"/>
          <w:sz w:val="22"/>
          <w:szCs w:val="22"/>
        </w:rPr>
      </w:pPr>
    </w:p>
    <w:p w14:paraId="0F3E6665" w14:textId="77777777" w:rsidR="00C05105" w:rsidRDefault="00C05105" w:rsidP="00C05105">
      <w:pPr>
        <w:spacing w:line="360" w:lineRule="auto"/>
        <w:jc w:val="both"/>
        <w:rPr>
          <w:rFonts w:ascii="Arial" w:hAnsi="Arial" w:cs="Arial"/>
          <w:sz w:val="22"/>
          <w:szCs w:val="22"/>
        </w:rPr>
      </w:pPr>
    </w:p>
    <w:p w14:paraId="3CF1CCBF" w14:textId="77777777" w:rsidR="00C05105" w:rsidRDefault="00C05105" w:rsidP="00C05105">
      <w:pPr>
        <w:spacing w:line="360" w:lineRule="auto"/>
        <w:jc w:val="both"/>
        <w:rPr>
          <w:rFonts w:ascii="Arial" w:hAnsi="Arial" w:cs="Arial"/>
          <w:sz w:val="22"/>
          <w:szCs w:val="22"/>
        </w:rPr>
      </w:pPr>
    </w:p>
    <w:p w14:paraId="30895B27" w14:textId="77777777" w:rsidR="00C05105" w:rsidRDefault="00C05105" w:rsidP="00C05105">
      <w:pPr>
        <w:spacing w:line="360" w:lineRule="auto"/>
        <w:jc w:val="both"/>
        <w:rPr>
          <w:rFonts w:ascii="Arial" w:hAnsi="Arial" w:cs="Arial"/>
          <w:sz w:val="22"/>
          <w:szCs w:val="22"/>
        </w:rPr>
      </w:pPr>
    </w:p>
    <w:p w14:paraId="1D06C109" w14:textId="77777777" w:rsidR="00C05105" w:rsidRDefault="00C05105" w:rsidP="00C05105">
      <w:pPr>
        <w:spacing w:line="360" w:lineRule="auto"/>
        <w:jc w:val="both"/>
        <w:rPr>
          <w:rFonts w:ascii="Arial" w:hAnsi="Arial" w:cs="Arial"/>
          <w:sz w:val="22"/>
          <w:szCs w:val="22"/>
        </w:rPr>
      </w:pPr>
    </w:p>
    <w:p w14:paraId="4C4365A2" w14:textId="77777777" w:rsidR="00C05105" w:rsidRDefault="00C05105" w:rsidP="00C05105">
      <w:pPr>
        <w:spacing w:line="360" w:lineRule="auto"/>
        <w:jc w:val="both"/>
        <w:rPr>
          <w:rFonts w:ascii="Arial" w:hAnsi="Arial" w:cs="Arial"/>
          <w:sz w:val="22"/>
          <w:szCs w:val="22"/>
        </w:rPr>
      </w:pPr>
    </w:p>
    <w:p w14:paraId="79DC0E14" w14:textId="77777777" w:rsidR="00C05105" w:rsidRDefault="00C05105" w:rsidP="00C05105">
      <w:pPr>
        <w:spacing w:line="360" w:lineRule="auto"/>
        <w:jc w:val="both"/>
        <w:rPr>
          <w:rFonts w:ascii="Arial" w:hAnsi="Arial" w:cs="Arial"/>
          <w:sz w:val="22"/>
          <w:szCs w:val="22"/>
        </w:rPr>
      </w:pPr>
    </w:p>
    <w:p w14:paraId="65C01018" w14:textId="77777777" w:rsidR="00C05105" w:rsidRDefault="00C05105" w:rsidP="00C05105">
      <w:pPr>
        <w:spacing w:line="360" w:lineRule="auto"/>
        <w:jc w:val="both"/>
        <w:rPr>
          <w:rFonts w:ascii="Arial" w:hAnsi="Arial" w:cs="Arial"/>
          <w:sz w:val="22"/>
          <w:szCs w:val="22"/>
        </w:rPr>
      </w:pPr>
    </w:p>
    <w:p w14:paraId="04F12818" w14:textId="77777777" w:rsidR="00C05105" w:rsidRDefault="00C05105" w:rsidP="00C05105">
      <w:pPr>
        <w:spacing w:line="360" w:lineRule="auto"/>
        <w:jc w:val="both"/>
        <w:rPr>
          <w:rFonts w:ascii="Arial" w:hAnsi="Arial" w:cs="Arial"/>
          <w:sz w:val="22"/>
          <w:szCs w:val="22"/>
        </w:rPr>
      </w:pPr>
    </w:p>
    <w:p w14:paraId="1E453E0E" w14:textId="77777777" w:rsidR="00C05105" w:rsidRDefault="00C05105" w:rsidP="00C05105">
      <w:pPr>
        <w:spacing w:line="360" w:lineRule="auto"/>
        <w:jc w:val="both"/>
        <w:rPr>
          <w:rFonts w:ascii="Arial" w:hAnsi="Arial" w:cs="Arial"/>
          <w:sz w:val="22"/>
          <w:szCs w:val="22"/>
        </w:rPr>
      </w:pPr>
    </w:p>
    <w:p w14:paraId="49A8B08F" w14:textId="77777777" w:rsidR="00C05105" w:rsidRDefault="00C05105" w:rsidP="00C05105">
      <w:pPr>
        <w:spacing w:line="360" w:lineRule="auto"/>
        <w:jc w:val="both"/>
        <w:rPr>
          <w:rFonts w:ascii="Arial" w:hAnsi="Arial" w:cs="Arial"/>
          <w:sz w:val="22"/>
          <w:szCs w:val="22"/>
        </w:rPr>
      </w:pPr>
    </w:p>
    <w:p w14:paraId="3BE179AF" w14:textId="77777777" w:rsidR="00C05105" w:rsidRDefault="00C05105" w:rsidP="00C05105">
      <w:pPr>
        <w:spacing w:line="360" w:lineRule="auto"/>
        <w:jc w:val="both"/>
        <w:rPr>
          <w:rFonts w:ascii="Arial" w:hAnsi="Arial" w:cs="Arial"/>
          <w:sz w:val="22"/>
          <w:szCs w:val="22"/>
        </w:rPr>
      </w:pPr>
    </w:p>
    <w:p w14:paraId="085DA696" w14:textId="77777777" w:rsidR="00C05105" w:rsidRDefault="00C05105" w:rsidP="00C05105">
      <w:pPr>
        <w:spacing w:line="360" w:lineRule="auto"/>
        <w:jc w:val="both"/>
        <w:rPr>
          <w:rFonts w:ascii="Arial" w:hAnsi="Arial" w:cs="Arial"/>
          <w:sz w:val="22"/>
          <w:szCs w:val="22"/>
        </w:rPr>
      </w:pPr>
    </w:p>
    <w:p w14:paraId="3F048788" w14:textId="77777777" w:rsidR="00C05105" w:rsidRDefault="00C05105" w:rsidP="00C05105">
      <w:pPr>
        <w:spacing w:line="360" w:lineRule="auto"/>
        <w:jc w:val="both"/>
        <w:rPr>
          <w:rFonts w:ascii="Arial" w:hAnsi="Arial" w:cs="Arial"/>
          <w:sz w:val="22"/>
          <w:szCs w:val="22"/>
        </w:rPr>
      </w:pPr>
    </w:p>
    <w:p w14:paraId="71E13C83" w14:textId="77777777" w:rsidR="00C05105" w:rsidRDefault="00C05105" w:rsidP="00C05105">
      <w:pPr>
        <w:spacing w:line="360" w:lineRule="auto"/>
        <w:jc w:val="both"/>
        <w:rPr>
          <w:rFonts w:ascii="Arial" w:hAnsi="Arial" w:cs="Arial"/>
          <w:sz w:val="22"/>
          <w:szCs w:val="22"/>
        </w:rPr>
      </w:pPr>
    </w:p>
    <w:p w14:paraId="41416242" w14:textId="77777777" w:rsidR="00C05105" w:rsidRDefault="00C05105" w:rsidP="00C05105">
      <w:pPr>
        <w:spacing w:line="360" w:lineRule="auto"/>
        <w:jc w:val="both"/>
        <w:rPr>
          <w:rFonts w:ascii="Arial" w:hAnsi="Arial" w:cs="Arial"/>
          <w:sz w:val="22"/>
          <w:szCs w:val="22"/>
        </w:rPr>
      </w:pPr>
    </w:p>
    <w:p w14:paraId="747FC3D3" w14:textId="77777777" w:rsidR="00C05105" w:rsidRDefault="00C05105" w:rsidP="00C05105">
      <w:pPr>
        <w:spacing w:line="360" w:lineRule="auto"/>
        <w:jc w:val="both"/>
        <w:rPr>
          <w:rFonts w:ascii="Arial" w:hAnsi="Arial" w:cs="Arial"/>
          <w:sz w:val="22"/>
          <w:szCs w:val="22"/>
        </w:rPr>
      </w:pPr>
    </w:p>
    <w:p w14:paraId="2D8FD721" w14:textId="77777777" w:rsidR="00C05105" w:rsidRPr="00C05105" w:rsidRDefault="00C05105" w:rsidP="00C05105">
      <w:pPr>
        <w:spacing w:line="360" w:lineRule="auto"/>
        <w:jc w:val="both"/>
        <w:rPr>
          <w:rFonts w:ascii="Arial" w:hAnsi="Arial" w:cs="Arial"/>
          <w:sz w:val="22"/>
          <w:szCs w:val="22"/>
        </w:rPr>
      </w:pPr>
    </w:p>
    <w:p w14:paraId="76DBD081" w14:textId="715CB3A1" w:rsidR="00C05105" w:rsidRPr="00C05105" w:rsidRDefault="00C05105" w:rsidP="00C05105">
      <w:pPr>
        <w:pStyle w:val="Heading1"/>
      </w:pPr>
      <w:bookmarkStart w:id="6" w:name="_Toc224638526"/>
      <w:r w:rsidRPr="00C05105">
        <w:t>Reference List</w:t>
      </w:r>
      <w:bookmarkEnd w:id="6"/>
      <w:r w:rsidRPr="00C05105">
        <w:t xml:space="preserve"> </w:t>
      </w:r>
    </w:p>
    <w:p w14:paraId="69DAD4BB" w14:textId="77777777" w:rsidR="00C05105" w:rsidRPr="00C05105" w:rsidRDefault="00C05105" w:rsidP="00C05105">
      <w:pPr>
        <w:pStyle w:val="ListParagraph"/>
        <w:numPr>
          <w:ilvl w:val="0"/>
          <w:numId w:val="1"/>
        </w:numPr>
        <w:spacing w:line="360" w:lineRule="auto"/>
        <w:rPr>
          <w:rFonts w:ascii="Arial" w:hAnsi="Arial" w:cs="Arial"/>
          <w:sz w:val="22"/>
          <w:szCs w:val="22"/>
        </w:rPr>
      </w:pPr>
      <w:r w:rsidRPr="00C05105">
        <w:rPr>
          <w:rFonts w:ascii="Arial" w:hAnsi="Arial" w:cs="Arial"/>
          <w:sz w:val="22"/>
          <w:szCs w:val="22"/>
        </w:rPr>
        <w:t xml:space="preserve">Bryman, A. (2016) </w:t>
      </w:r>
      <w:r w:rsidRPr="00C05105">
        <w:rPr>
          <w:rFonts w:ascii="Arial" w:hAnsi="Arial" w:cs="Arial"/>
          <w:i/>
          <w:iCs/>
          <w:sz w:val="22"/>
          <w:szCs w:val="22"/>
        </w:rPr>
        <w:t>Social Research Methods</w:t>
      </w:r>
      <w:r w:rsidRPr="00C05105">
        <w:rPr>
          <w:rFonts w:ascii="Arial" w:hAnsi="Arial" w:cs="Arial"/>
          <w:sz w:val="22"/>
          <w:szCs w:val="22"/>
        </w:rPr>
        <w:t>. 5th edn. Oxford: Oxford University Press.</w:t>
      </w:r>
    </w:p>
    <w:p w14:paraId="0B1FEB1F" w14:textId="77777777" w:rsidR="00C05105" w:rsidRPr="00BD1778" w:rsidRDefault="00C05105" w:rsidP="00C05105">
      <w:pPr>
        <w:pStyle w:val="ListParagraph"/>
        <w:numPr>
          <w:ilvl w:val="0"/>
          <w:numId w:val="1"/>
        </w:numPr>
        <w:spacing w:line="360" w:lineRule="auto"/>
        <w:rPr>
          <w:rFonts w:ascii="Arial" w:hAnsi="Arial" w:cs="Arial"/>
          <w:sz w:val="22"/>
          <w:szCs w:val="22"/>
          <w:lang w:val="fr-FR"/>
        </w:rPr>
      </w:pPr>
      <w:r w:rsidRPr="00C05105">
        <w:rPr>
          <w:rFonts w:ascii="Arial" w:hAnsi="Arial" w:cs="Arial"/>
          <w:sz w:val="22"/>
          <w:szCs w:val="22"/>
        </w:rPr>
        <w:t xml:space="preserve">Maslach, C. and Leiter, M.P. (2016) ‘Understanding the burnout experience: recent research and its implications’, </w:t>
      </w:r>
      <w:r w:rsidRPr="00C05105">
        <w:rPr>
          <w:rFonts w:ascii="Arial" w:hAnsi="Arial" w:cs="Arial"/>
          <w:i/>
          <w:iCs/>
          <w:sz w:val="22"/>
          <w:szCs w:val="22"/>
        </w:rPr>
        <w:t>World Psychiatry</w:t>
      </w:r>
      <w:r w:rsidRPr="00C05105">
        <w:rPr>
          <w:rFonts w:ascii="Arial" w:hAnsi="Arial" w:cs="Arial"/>
          <w:sz w:val="22"/>
          <w:szCs w:val="22"/>
        </w:rPr>
        <w:t xml:space="preserve">, 15(2), pp. 103–111. </w:t>
      </w:r>
      <w:r w:rsidRPr="00BD1778">
        <w:rPr>
          <w:rFonts w:ascii="Arial" w:hAnsi="Arial" w:cs="Arial"/>
          <w:sz w:val="22"/>
          <w:szCs w:val="22"/>
          <w:lang w:val="fr-FR"/>
        </w:rPr>
        <w:t>Available at:</w:t>
      </w:r>
      <w:r w:rsidRPr="00BD1778">
        <w:rPr>
          <w:rFonts w:ascii="Arial" w:hAnsi="Arial" w:cs="Arial"/>
          <w:sz w:val="22"/>
          <w:szCs w:val="22"/>
          <w:lang w:val="fr-FR"/>
        </w:rPr>
        <w:br/>
      </w:r>
      <w:hyperlink r:id="rId9" w:tgtFrame="_new" w:history="1">
        <w:r w:rsidRPr="00BD1778">
          <w:rPr>
            <w:rStyle w:val="Hyperlink"/>
            <w:rFonts w:ascii="Arial" w:hAnsi="Arial" w:cs="Arial"/>
            <w:sz w:val="22"/>
            <w:szCs w:val="22"/>
            <w:lang w:val="fr-FR"/>
          </w:rPr>
          <w:t>https://www.ncbi.nlm.nih.gov/pmc/articles/PMC4911781/</w:t>
        </w:r>
      </w:hyperlink>
    </w:p>
    <w:p w14:paraId="628BA7ED" w14:textId="77777777" w:rsidR="00C05105" w:rsidRPr="00BD1778" w:rsidRDefault="00C05105" w:rsidP="00C05105">
      <w:pPr>
        <w:pStyle w:val="ListParagraph"/>
        <w:numPr>
          <w:ilvl w:val="0"/>
          <w:numId w:val="1"/>
        </w:numPr>
        <w:spacing w:line="360" w:lineRule="auto"/>
        <w:rPr>
          <w:rFonts w:ascii="Arial" w:hAnsi="Arial" w:cs="Arial"/>
          <w:sz w:val="22"/>
          <w:szCs w:val="22"/>
          <w:lang w:val="fr-FR"/>
        </w:rPr>
      </w:pPr>
      <w:r w:rsidRPr="00C05105">
        <w:rPr>
          <w:rFonts w:ascii="Arial" w:hAnsi="Arial" w:cs="Arial"/>
          <w:sz w:val="22"/>
          <w:szCs w:val="22"/>
        </w:rPr>
        <w:t xml:space="preserve">NHS England (2023) </w:t>
      </w:r>
      <w:r w:rsidRPr="00C05105">
        <w:rPr>
          <w:rFonts w:ascii="Arial" w:hAnsi="Arial" w:cs="Arial"/>
          <w:i/>
          <w:iCs/>
          <w:sz w:val="22"/>
          <w:szCs w:val="22"/>
        </w:rPr>
        <w:t>Supporting our NHS people</w:t>
      </w:r>
      <w:r w:rsidRPr="00C05105">
        <w:rPr>
          <w:rFonts w:ascii="Arial" w:hAnsi="Arial" w:cs="Arial"/>
          <w:sz w:val="22"/>
          <w:szCs w:val="22"/>
        </w:rPr>
        <w:t xml:space="preserve">. </w:t>
      </w:r>
      <w:r w:rsidRPr="00BD1778">
        <w:rPr>
          <w:rFonts w:ascii="Arial" w:hAnsi="Arial" w:cs="Arial"/>
          <w:sz w:val="22"/>
          <w:szCs w:val="22"/>
          <w:lang w:val="fr-FR"/>
        </w:rPr>
        <w:t>Available at:</w:t>
      </w:r>
      <w:r w:rsidRPr="00BD1778">
        <w:rPr>
          <w:rFonts w:ascii="Arial" w:hAnsi="Arial" w:cs="Arial"/>
          <w:sz w:val="22"/>
          <w:szCs w:val="22"/>
          <w:lang w:val="fr-FR"/>
        </w:rPr>
        <w:br/>
      </w:r>
      <w:hyperlink r:id="rId10" w:tgtFrame="_new" w:history="1">
        <w:r w:rsidRPr="00BD1778">
          <w:rPr>
            <w:rStyle w:val="Hyperlink"/>
            <w:rFonts w:ascii="Arial" w:hAnsi="Arial" w:cs="Arial"/>
            <w:sz w:val="22"/>
            <w:szCs w:val="22"/>
            <w:lang w:val="fr-FR"/>
          </w:rPr>
          <w:t>https://www.england.nhs.uk/supporting-our-nhs-people/</w:t>
        </w:r>
      </w:hyperlink>
    </w:p>
    <w:p w14:paraId="22B61A9F" w14:textId="77777777" w:rsidR="00C05105" w:rsidRPr="00BD1778" w:rsidRDefault="00C05105" w:rsidP="00C05105">
      <w:pPr>
        <w:pStyle w:val="ListParagraph"/>
        <w:numPr>
          <w:ilvl w:val="0"/>
          <w:numId w:val="1"/>
        </w:numPr>
        <w:spacing w:line="360" w:lineRule="auto"/>
        <w:rPr>
          <w:rFonts w:ascii="Arial" w:hAnsi="Arial" w:cs="Arial"/>
          <w:sz w:val="22"/>
          <w:szCs w:val="22"/>
          <w:lang w:val="fr-FR"/>
        </w:rPr>
      </w:pPr>
      <w:r w:rsidRPr="00C05105">
        <w:rPr>
          <w:rFonts w:ascii="Arial" w:hAnsi="Arial" w:cs="Arial"/>
          <w:sz w:val="22"/>
          <w:szCs w:val="22"/>
        </w:rPr>
        <w:t xml:space="preserve">Nuffield Trust (2023) </w:t>
      </w:r>
      <w:r w:rsidRPr="00C05105">
        <w:rPr>
          <w:rFonts w:ascii="Arial" w:hAnsi="Arial" w:cs="Arial"/>
          <w:i/>
          <w:iCs/>
          <w:sz w:val="22"/>
          <w:szCs w:val="22"/>
        </w:rPr>
        <w:t>The NHS workforce in numbers</w:t>
      </w:r>
      <w:r w:rsidRPr="00C05105">
        <w:rPr>
          <w:rFonts w:ascii="Arial" w:hAnsi="Arial" w:cs="Arial"/>
          <w:sz w:val="22"/>
          <w:szCs w:val="22"/>
        </w:rPr>
        <w:t xml:space="preserve">. </w:t>
      </w:r>
      <w:r w:rsidRPr="00BD1778">
        <w:rPr>
          <w:rFonts w:ascii="Arial" w:hAnsi="Arial" w:cs="Arial"/>
          <w:sz w:val="22"/>
          <w:szCs w:val="22"/>
          <w:lang w:val="fr-FR"/>
        </w:rPr>
        <w:t>Available at:</w:t>
      </w:r>
      <w:r w:rsidRPr="00BD1778">
        <w:rPr>
          <w:rFonts w:ascii="Arial" w:hAnsi="Arial" w:cs="Arial"/>
          <w:sz w:val="22"/>
          <w:szCs w:val="22"/>
          <w:lang w:val="fr-FR"/>
        </w:rPr>
        <w:br/>
      </w:r>
      <w:hyperlink r:id="rId11" w:tgtFrame="_new" w:history="1">
        <w:r w:rsidRPr="00BD1778">
          <w:rPr>
            <w:rStyle w:val="Hyperlink"/>
            <w:rFonts w:ascii="Arial" w:hAnsi="Arial" w:cs="Arial"/>
            <w:sz w:val="22"/>
            <w:szCs w:val="22"/>
            <w:lang w:val="fr-FR"/>
          </w:rPr>
          <w:t>https://www.nuffieldtrust.org.uk/resource/the-nhs-workforce-in-numbers</w:t>
        </w:r>
      </w:hyperlink>
    </w:p>
    <w:p w14:paraId="3F281257" w14:textId="77777777" w:rsidR="00C05105" w:rsidRPr="00BD1778" w:rsidRDefault="00C05105" w:rsidP="00C05105">
      <w:pPr>
        <w:pStyle w:val="ListParagraph"/>
        <w:numPr>
          <w:ilvl w:val="0"/>
          <w:numId w:val="1"/>
        </w:numPr>
        <w:spacing w:line="360" w:lineRule="auto"/>
        <w:rPr>
          <w:rFonts w:ascii="Arial" w:hAnsi="Arial" w:cs="Arial"/>
          <w:sz w:val="22"/>
          <w:szCs w:val="22"/>
          <w:lang w:val="fr-FR"/>
        </w:rPr>
      </w:pPr>
      <w:r w:rsidRPr="00C05105">
        <w:rPr>
          <w:rFonts w:ascii="Arial" w:hAnsi="Arial" w:cs="Arial"/>
          <w:sz w:val="22"/>
          <w:szCs w:val="22"/>
        </w:rPr>
        <w:t xml:space="preserve">Office for National Statistics (2023) </w:t>
      </w:r>
      <w:r w:rsidRPr="00C05105">
        <w:rPr>
          <w:rFonts w:ascii="Arial" w:hAnsi="Arial" w:cs="Arial"/>
          <w:i/>
          <w:iCs/>
          <w:sz w:val="22"/>
          <w:szCs w:val="22"/>
        </w:rPr>
        <w:t>Sickness absence in the UK labour market: 2022</w:t>
      </w:r>
      <w:r w:rsidRPr="00C05105">
        <w:rPr>
          <w:rFonts w:ascii="Arial" w:hAnsi="Arial" w:cs="Arial"/>
          <w:sz w:val="22"/>
          <w:szCs w:val="22"/>
        </w:rPr>
        <w:t xml:space="preserve">. </w:t>
      </w:r>
      <w:r w:rsidRPr="00BD1778">
        <w:rPr>
          <w:rFonts w:ascii="Arial" w:hAnsi="Arial" w:cs="Arial"/>
          <w:sz w:val="22"/>
          <w:szCs w:val="22"/>
          <w:lang w:val="fr-FR"/>
        </w:rPr>
        <w:t>Available at:</w:t>
      </w:r>
      <w:r w:rsidRPr="00BD1778">
        <w:rPr>
          <w:rFonts w:ascii="Arial" w:hAnsi="Arial" w:cs="Arial"/>
          <w:sz w:val="22"/>
          <w:szCs w:val="22"/>
          <w:lang w:val="fr-FR"/>
        </w:rPr>
        <w:br/>
      </w:r>
      <w:hyperlink r:id="rId12" w:tgtFrame="_new" w:history="1">
        <w:r w:rsidRPr="00BD1778">
          <w:rPr>
            <w:rStyle w:val="Hyperlink"/>
            <w:rFonts w:ascii="Arial" w:hAnsi="Arial" w:cs="Arial"/>
            <w:sz w:val="22"/>
            <w:szCs w:val="22"/>
            <w:lang w:val="fr-FR"/>
          </w:rPr>
          <w:t>https://www.ons.gov.uk/employmentandlabourmarket/peopleinwork/labourproductivity/articles/sicknessabsenceinthelabourmarket/2022</w:t>
        </w:r>
      </w:hyperlink>
    </w:p>
    <w:p w14:paraId="7F545F81" w14:textId="77777777" w:rsidR="00C05105" w:rsidRPr="00BD1778" w:rsidRDefault="00C05105" w:rsidP="00C05105">
      <w:pPr>
        <w:pStyle w:val="ListParagraph"/>
        <w:numPr>
          <w:ilvl w:val="0"/>
          <w:numId w:val="1"/>
        </w:numPr>
        <w:spacing w:line="360" w:lineRule="auto"/>
        <w:rPr>
          <w:rFonts w:ascii="Arial" w:hAnsi="Arial" w:cs="Arial"/>
          <w:sz w:val="22"/>
          <w:szCs w:val="22"/>
          <w:lang w:val="fr-FR"/>
        </w:rPr>
      </w:pPr>
      <w:r w:rsidRPr="00C05105">
        <w:rPr>
          <w:rFonts w:ascii="Arial" w:hAnsi="Arial" w:cs="Arial"/>
          <w:sz w:val="22"/>
          <w:szCs w:val="22"/>
        </w:rPr>
        <w:t xml:space="preserve">The Health Foundation (2022) </w:t>
      </w:r>
      <w:r w:rsidRPr="00C05105">
        <w:rPr>
          <w:rFonts w:ascii="Arial" w:hAnsi="Arial" w:cs="Arial"/>
          <w:i/>
          <w:iCs/>
          <w:sz w:val="22"/>
          <w:szCs w:val="22"/>
        </w:rPr>
        <w:t>How can we think long term when the issues facing the health service are so immediate?</w:t>
      </w:r>
      <w:r w:rsidRPr="00C05105">
        <w:rPr>
          <w:rFonts w:ascii="Arial" w:hAnsi="Arial" w:cs="Arial"/>
          <w:sz w:val="22"/>
          <w:szCs w:val="22"/>
        </w:rPr>
        <w:t xml:space="preserve"> </w:t>
      </w:r>
      <w:r w:rsidRPr="00BD1778">
        <w:rPr>
          <w:rFonts w:ascii="Arial" w:hAnsi="Arial" w:cs="Arial"/>
          <w:sz w:val="22"/>
          <w:szCs w:val="22"/>
          <w:lang w:val="fr-FR"/>
        </w:rPr>
        <w:t>Available at:</w:t>
      </w:r>
      <w:r w:rsidRPr="00BD1778">
        <w:rPr>
          <w:rFonts w:ascii="Arial" w:hAnsi="Arial" w:cs="Arial"/>
          <w:sz w:val="22"/>
          <w:szCs w:val="22"/>
          <w:lang w:val="fr-FR"/>
        </w:rPr>
        <w:br/>
      </w:r>
      <w:hyperlink r:id="rId13" w:tgtFrame="_new" w:history="1">
        <w:r w:rsidRPr="00BD1778">
          <w:rPr>
            <w:rStyle w:val="Hyperlink"/>
            <w:rFonts w:ascii="Arial" w:hAnsi="Arial" w:cs="Arial"/>
            <w:sz w:val="22"/>
            <w:szCs w:val="22"/>
            <w:lang w:val="fr-FR"/>
          </w:rPr>
          <w:t>https://www.health.org.uk/features-and-opinion/blogs/how-can-we-think-long-term-when-the-issues-facing-the-health-service-are</w:t>
        </w:r>
      </w:hyperlink>
    </w:p>
    <w:p w14:paraId="62E0D824" w14:textId="77777777" w:rsidR="00C05105" w:rsidRPr="00BD1778" w:rsidRDefault="00C05105" w:rsidP="00C05105">
      <w:pPr>
        <w:pStyle w:val="ListParagraph"/>
        <w:numPr>
          <w:ilvl w:val="0"/>
          <w:numId w:val="1"/>
        </w:numPr>
        <w:spacing w:line="360" w:lineRule="auto"/>
        <w:rPr>
          <w:rFonts w:ascii="Arial" w:hAnsi="Arial" w:cs="Arial"/>
          <w:sz w:val="22"/>
          <w:szCs w:val="22"/>
          <w:lang w:val="fr-FR"/>
        </w:rPr>
      </w:pPr>
      <w:r w:rsidRPr="00C05105">
        <w:rPr>
          <w:rFonts w:ascii="Arial" w:hAnsi="Arial" w:cs="Arial"/>
          <w:sz w:val="22"/>
          <w:szCs w:val="22"/>
        </w:rPr>
        <w:t xml:space="preserve">The King’s Fund (2022) </w:t>
      </w:r>
      <w:r w:rsidRPr="00C05105">
        <w:rPr>
          <w:rFonts w:ascii="Arial" w:hAnsi="Arial" w:cs="Arial"/>
          <w:i/>
          <w:iCs/>
          <w:sz w:val="22"/>
          <w:szCs w:val="22"/>
        </w:rPr>
        <w:t>NHS workforce</w:t>
      </w:r>
      <w:r w:rsidRPr="00C05105">
        <w:rPr>
          <w:rFonts w:ascii="Arial" w:hAnsi="Arial" w:cs="Arial"/>
          <w:sz w:val="22"/>
          <w:szCs w:val="22"/>
        </w:rPr>
        <w:t xml:space="preserve">. </w:t>
      </w:r>
      <w:r w:rsidRPr="00BD1778">
        <w:rPr>
          <w:rFonts w:ascii="Arial" w:hAnsi="Arial" w:cs="Arial"/>
          <w:sz w:val="22"/>
          <w:szCs w:val="22"/>
          <w:lang w:val="fr-FR"/>
        </w:rPr>
        <w:t>Available at:</w:t>
      </w:r>
      <w:r w:rsidRPr="00BD1778">
        <w:rPr>
          <w:rFonts w:ascii="Arial" w:hAnsi="Arial" w:cs="Arial"/>
          <w:sz w:val="22"/>
          <w:szCs w:val="22"/>
          <w:lang w:val="fr-FR"/>
        </w:rPr>
        <w:br/>
      </w:r>
      <w:hyperlink r:id="rId14" w:tgtFrame="_new" w:history="1">
        <w:r w:rsidRPr="00BD1778">
          <w:rPr>
            <w:rStyle w:val="Hyperlink"/>
            <w:rFonts w:ascii="Arial" w:hAnsi="Arial" w:cs="Arial"/>
            <w:sz w:val="22"/>
            <w:szCs w:val="22"/>
            <w:lang w:val="fr-FR"/>
          </w:rPr>
          <w:t>https://www.kingsfund.org.uk/projects/nhs-in-a-nutshell/nhs-workforce</w:t>
        </w:r>
      </w:hyperlink>
    </w:p>
    <w:p w14:paraId="66D0B5B7" w14:textId="77777777" w:rsidR="00C05105" w:rsidRPr="00C05105" w:rsidRDefault="00C05105" w:rsidP="00C05105">
      <w:pPr>
        <w:pStyle w:val="ListParagraph"/>
        <w:numPr>
          <w:ilvl w:val="0"/>
          <w:numId w:val="1"/>
        </w:numPr>
        <w:spacing w:line="360" w:lineRule="auto"/>
        <w:rPr>
          <w:rFonts w:ascii="Arial" w:hAnsi="Arial" w:cs="Arial"/>
          <w:sz w:val="22"/>
          <w:szCs w:val="22"/>
        </w:rPr>
      </w:pPr>
      <w:r w:rsidRPr="00C05105">
        <w:rPr>
          <w:rFonts w:ascii="Arial" w:hAnsi="Arial" w:cs="Arial"/>
          <w:sz w:val="22"/>
          <w:szCs w:val="22"/>
        </w:rPr>
        <w:t xml:space="preserve">West, C.P., Dyrbye, L.N. and Shanafelt, T.D. (2018) ‘Physician burnout: contributors, consequences and solutions’, </w:t>
      </w:r>
      <w:r w:rsidRPr="00C05105">
        <w:rPr>
          <w:rFonts w:ascii="Arial" w:hAnsi="Arial" w:cs="Arial"/>
          <w:i/>
          <w:iCs/>
          <w:sz w:val="22"/>
          <w:szCs w:val="22"/>
        </w:rPr>
        <w:t>BMJ</w:t>
      </w:r>
      <w:r w:rsidRPr="00C05105">
        <w:rPr>
          <w:rFonts w:ascii="Arial" w:hAnsi="Arial" w:cs="Arial"/>
          <w:sz w:val="22"/>
          <w:szCs w:val="22"/>
        </w:rPr>
        <w:t>, 363. Available at:</w:t>
      </w:r>
      <w:r w:rsidRPr="00C05105">
        <w:rPr>
          <w:rFonts w:ascii="Arial" w:hAnsi="Arial" w:cs="Arial"/>
          <w:sz w:val="22"/>
          <w:szCs w:val="22"/>
        </w:rPr>
        <w:br/>
      </w:r>
      <w:hyperlink r:id="rId15" w:tgtFrame="_new" w:history="1">
        <w:r w:rsidRPr="00C05105">
          <w:rPr>
            <w:rStyle w:val="Hyperlink"/>
            <w:rFonts w:ascii="Arial" w:hAnsi="Arial" w:cs="Arial"/>
            <w:sz w:val="22"/>
            <w:szCs w:val="22"/>
          </w:rPr>
          <w:t>https://www.bmj.com/content/363/bmj.k4649</w:t>
        </w:r>
      </w:hyperlink>
    </w:p>
    <w:p w14:paraId="6FD8291C" w14:textId="77777777" w:rsidR="00C05105" w:rsidRPr="00BD1778" w:rsidRDefault="00C05105" w:rsidP="00C05105">
      <w:pPr>
        <w:pStyle w:val="ListParagraph"/>
        <w:numPr>
          <w:ilvl w:val="0"/>
          <w:numId w:val="1"/>
        </w:numPr>
        <w:spacing w:line="360" w:lineRule="auto"/>
        <w:rPr>
          <w:rFonts w:ascii="Arial" w:hAnsi="Arial" w:cs="Arial"/>
          <w:sz w:val="22"/>
          <w:szCs w:val="22"/>
          <w:lang w:val="fr-FR"/>
        </w:rPr>
      </w:pPr>
      <w:r w:rsidRPr="00C05105">
        <w:rPr>
          <w:rFonts w:ascii="Arial" w:hAnsi="Arial" w:cs="Arial"/>
          <w:sz w:val="22"/>
          <w:szCs w:val="22"/>
        </w:rPr>
        <w:t xml:space="preserve">World Health Organization (2019) </w:t>
      </w:r>
      <w:r w:rsidRPr="00C05105">
        <w:rPr>
          <w:rFonts w:ascii="Arial" w:hAnsi="Arial" w:cs="Arial"/>
          <w:i/>
          <w:iCs/>
          <w:sz w:val="22"/>
          <w:szCs w:val="22"/>
        </w:rPr>
        <w:t>Burn-out an occupational phenomenon (ICD-11)</w:t>
      </w:r>
      <w:r w:rsidRPr="00C05105">
        <w:rPr>
          <w:rFonts w:ascii="Arial" w:hAnsi="Arial" w:cs="Arial"/>
          <w:sz w:val="22"/>
          <w:szCs w:val="22"/>
        </w:rPr>
        <w:t xml:space="preserve">. </w:t>
      </w:r>
      <w:r w:rsidRPr="00BD1778">
        <w:rPr>
          <w:rFonts w:ascii="Arial" w:hAnsi="Arial" w:cs="Arial"/>
          <w:sz w:val="22"/>
          <w:szCs w:val="22"/>
          <w:lang w:val="fr-FR"/>
        </w:rPr>
        <w:t>Available at:</w:t>
      </w:r>
      <w:r w:rsidRPr="00BD1778">
        <w:rPr>
          <w:rFonts w:ascii="Arial" w:hAnsi="Arial" w:cs="Arial"/>
          <w:sz w:val="22"/>
          <w:szCs w:val="22"/>
          <w:lang w:val="fr-FR"/>
        </w:rPr>
        <w:br/>
      </w:r>
      <w:hyperlink r:id="rId16" w:tgtFrame="_new" w:history="1">
        <w:r w:rsidRPr="00BD1778">
          <w:rPr>
            <w:rStyle w:val="Hyperlink"/>
            <w:rFonts w:ascii="Arial" w:hAnsi="Arial" w:cs="Arial"/>
            <w:sz w:val="22"/>
            <w:szCs w:val="22"/>
            <w:lang w:val="fr-FR"/>
          </w:rPr>
          <w:t>https://www.who.int/standards/classifications/frequently-asked-questions/burn-out-an-occupational-phenomenon</w:t>
        </w:r>
      </w:hyperlink>
    </w:p>
    <w:p w14:paraId="7EDB7310" w14:textId="77777777" w:rsidR="00693A9D" w:rsidRPr="00BD1778" w:rsidRDefault="00693A9D" w:rsidP="00C05105">
      <w:pPr>
        <w:spacing w:line="360" w:lineRule="auto"/>
        <w:jc w:val="both"/>
        <w:rPr>
          <w:rFonts w:ascii="Arial" w:hAnsi="Arial" w:cs="Arial"/>
          <w:sz w:val="22"/>
          <w:szCs w:val="22"/>
          <w:lang w:val="fr-FR"/>
        </w:rPr>
      </w:pPr>
    </w:p>
    <w:sectPr w:rsidR="00693A9D" w:rsidRPr="00BD1778">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F0179" w14:textId="77777777" w:rsidR="00F1272C" w:rsidRDefault="00F1272C" w:rsidP="00C05105">
      <w:pPr>
        <w:spacing w:after="0" w:line="240" w:lineRule="auto"/>
      </w:pPr>
      <w:r>
        <w:separator/>
      </w:r>
    </w:p>
  </w:endnote>
  <w:endnote w:type="continuationSeparator" w:id="0">
    <w:p w14:paraId="5CDC5269" w14:textId="77777777" w:rsidR="00F1272C" w:rsidRDefault="00F1272C" w:rsidP="00C05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4048447"/>
      <w:docPartObj>
        <w:docPartGallery w:val="Page Numbers (Bottom of Page)"/>
        <w:docPartUnique/>
      </w:docPartObj>
    </w:sdtPr>
    <w:sdtEndPr>
      <w:rPr>
        <w:noProof/>
      </w:rPr>
    </w:sdtEndPr>
    <w:sdtContent>
      <w:p w14:paraId="7242CB72" w14:textId="505280A2" w:rsidR="00C05105" w:rsidRDefault="00C051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678AD9" w14:textId="77777777" w:rsidR="00C05105" w:rsidRDefault="00C05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00C9D" w14:textId="77777777" w:rsidR="00F1272C" w:rsidRDefault="00F1272C" w:rsidP="00C05105">
      <w:pPr>
        <w:spacing w:after="0" w:line="240" w:lineRule="auto"/>
      </w:pPr>
      <w:r>
        <w:separator/>
      </w:r>
    </w:p>
  </w:footnote>
  <w:footnote w:type="continuationSeparator" w:id="0">
    <w:p w14:paraId="17811B15" w14:textId="77777777" w:rsidR="00F1272C" w:rsidRDefault="00F1272C" w:rsidP="00C051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5635F" w14:textId="7CE7E1F4" w:rsidR="00C05105" w:rsidRDefault="00C05105">
    <w:pPr>
      <w:pStyle w:val="Header"/>
    </w:pPr>
    <w:r w:rsidRPr="00A406E5">
      <w:rPr>
        <w:rFonts w:ascii="Arial" w:hAnsi="Arial" w:cs="Arial"/>
        <w:noProof/>
      </w:rPr>
      <w:drawing>
        <wp:anchor distT="0" distB="0" distL="114300" distR="114300" simplePos="0" relativeHeight="251659264" behindDoc="0" locked="0" layoutInCell="1" allowOverlap="1" wp14:anchorId="66D43BDC" wp14:editId="77094840">
          <wp:simplePos x="0" y="0"/>
          <wp:positionH relativeFrom="column">
            <wp:posOffset>0</wp:posOffset>
          </wp:positionH>
          <wp:positionV relativeFrom="paragraph">
            <wp:posOffset>183515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0F61DE"/>
    <w:multiLevelType w:val="hybridMultilevel"/>
    <w:tmpl w:val="B4DAA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9162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105"/>
    <w:rsid w:val="00243901"/>
    <w:rsid w:val="00614B13"/>
    <w:rsid w:val="00693A9D"/>
    <w:rsid w:val="00785FB2"/>
    <w:rsid w:val="007909F0"/>
    <w:rsid w:val="007D120B"/>
    <w:rsid w:val="00BD1778"/>
    <w:rsid w:val="00C05105"/>
    <w:rsid w:val="00F12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799DC"/>
  <w15:chartTrackingRefBased/>
  <w15:docId w15:val="{C18D58D8-9B3B-436C-A79C-CBEC0CD0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51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51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51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51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51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51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51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51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51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1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51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51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51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51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51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51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51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5105"/>
    <w:rPr>
      <w:rFonts w:eastAsiaTheme="majorEastAsia" w:cstheme="majorBidi"/>
      <w:color w:val="272727" w:themeColor="text1" w:themeTint="D8"/>
    </w:rPr>
  </w:style>
  <w:style w:type="paragraph" w:styleId="Title">
    <w:name w:val="Title"/>
    <w:basedOn w:val="Normal"/>
    <w:next w:val="Normal"/>
    <w:link w:val="TitleChar"/>
    <w:uiPriority w:val="10"/>
    <w:qFormat/>
    <w:rsid w:val="00C051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51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51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51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5105"/>
    <w:pPr>
      <w:spacing w:before="160"/>
      <w:jc w:val="center"/>
    </w:pPr>
    <w:rPr>
      <w:i/>
      <w:iCs/>
      <w:color w:val="404040" w:themeColor="text1" w:themeTint="BF"/>
    </w:rPr>
  </w:style>
  <w:style w:type="character" w:customStyle="1" w:styleId="QuoteChar">
    <w:name w:val="Quote Char"/>
    <w:basedOn w:val="DefaultParagraphFont"/>
    <w:link w:val="Quote"/>
    <w:uiPriority w:val="29"/>
    <w:rsid w:val="00C05105"/>
    <w:rPr>
      <w:i/>
      <w:iCs/>
      <w:color w:val="404040" w:themeColor="text1" w:themeTint="BF"/>
    </w:rPr>
  </w:style>
  <w:style w:type="paragraph" w:styleId="ListParagraph">
    <w:name w:val="List Paragraph"/>
    <w:basedOn w:val="Normal"/>
    <w:uiPriority w:val="34"/>
    <w:qFormat/>
    <w:rsid w:val="00C05105"/>
    <w:pPr>
      <w:ind w:left="720"/>
      <w:contextualSpacing/>
    </w:pPr>
  </w:style>
  <w:style w:type="character" w:styleId="IntenseEmphasis">
    <w:name w:val="Intense Emphasis"/>
    <w:basedOn w:val="DefaultParagraphFont"/>
    <w:uiPriority w:val="21"/>
    <w:qFormat/>
    <w:rsid w:val="00C05105"/>
    <w:rPr>
      <w:i/>
      <w:iCs/>
      <w:color w:val="0F4761" w:themeColor="accent1" w:themeShade="BF"/>
    </w:rPr>
  </w:style>
  <w:style w:type="paragraph" w:styleId="IntenseQuote">
    <w:name w:val="Intense Quote"/>
    <w:basedOn w:val="Normal"/>
    <w:next w:val="Normal"/>
    <w:link w:val="IntenseQuoteChar"/>
    <w:uiPriority w:val="30"/>
    <w:qFormat/>
    <w:rsid w:val="00C051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5105"/>
    <w:rPr>
      <w:i/>
      <w:iCs/>
      <w:color w:val="0F4761" w:themeColor="accent1" w:themeShade="BF"/>
    </w:rPr>
  </w:style>
  <w:style w:type="character" w:styleId="IntenseReference">
    <w:name w:val="Intense Reference"/>
    <w:basedOn w:val="DefaultParagraphFont"/>
    <w:uiPriority w:val="32"/>
    <w:qFormat/>
    <w:rsid w:val="00C05105"/>
    <w:rPr>
      <w:b/>
      <w:bCs/>
      <w:smallCaps/>
      <w:color w:val="0F4761" w:themeColor="accent1" w:themeShade="BF"/>
      <w:spacing w:val="5"/>
    </w:rPr>
  </w:style>
  <w:style w:type="character" w:styleId="Hyperlink">
    <w:name w:val="Hyperlink"/>
    <w:basedOn w:val="DefaultParagraphFont"/>
    <w:uiPriority w:val="99"/>
    <w:unhideWhenUsed/>
    <w:rsid w:val="00C05105"/>
    <w:rPr>
      <w:color w:val="467886" w:themeColor="hyperlink"/>
      <w:u w:val="single"/>
    </w:rPr>
  </w:style>
  <w:style w:type="character" w:styleId="UnresolvedMention">
    <w:name w:val="Unresolved Mention"/>
    <w:basedOn w:val="DefaultParagraphFont"/>
    <w:uiPriority w:val="99"/>
    <w:semiHidden/>
    <w:unhideWhenUsed/>
    <w:rsid w:val="00C05105"/>
    <w:rPr>
      <w:color w:val="605E5C"/>
      <w:shd w:val="clear" w:color="auto" w:fill="E1DFDD"/>
    </w:rPr>
  </w:style>
  <w:style w:type="paragraph" w:styleId="Header">
    <w:name w:val="header"/>
    <w:basedOn w:val="Normal"/>
    <w:link w:val="HeaderChar"/>
    <w:uiPriority w:val="99"/>
    <w:unhideWhenUsed/>
    <w:rsid w:val="00C051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105"/>
  </w:style>
  <w:style w:type="paragraph" w:styleId="Footer">
    <w:name w:val="footer"/>
    <w:basedOn w:val="Normal"/>
    <w:link w:val="FooterChar"/>
    <w:uiPriority w:val="99"/>
    <w:unhideWhenUsed/>
    <w:rsid w:val="00C051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105"/>
  </w:style>
  <w:style w:type="paragraph" w:styleId="TOCHeading">
    <w:name w:val="TOC Heading"/>
    <w:basedOn w:val="Heading1"/>
    <w:next w:val="Normal"/>
    <w:uiPriority w:val="39"/>
    <w:unhideWhenUsed/>
    <w:qFormat/>
    <w:rsid w:val="0024390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4390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ealth.org.uk/features-and-opinion/blogs/how-can-we-think-long-term-when-the-issues-facing-the-health-service-ar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employmentandlabourmarket/peopleinwork/labourproductivity/articles/sicknessabsenceinthelabourmarket/2022?utm_source=chatgpt.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who.int/standards/classifications/frequently-asked-questions/burn-out-an-occupational-phenomen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uffieldtrust.org.uk/resource/the-nhs-workforce-in-numbers" TargetMode="External"/><Relationship Id="rId5" Type="http://schemas.openxmlformats.org/officeDocument/2006/relationships/webSettings" Target="webSettings.xml"/><Relationship Id="rId15" Type="http://schemas.openxmlformats.org/officeDocument/2006/relationships/hyperlink" Target="https://www.bmj.com/content/363/bmj.k4649" TargetMode="External"/><Relationship Id="rId10" Type="http://schemas.openxmlformats.org/officeDocument/2006/relationships/hyperlink" Target="https://www.england.nhs.uk/supporting-our-nhs-peopl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cbi.nlm.nih.gov/pmc/articles/PMC4911781/" TargetMode="External"/><Relationship Id="rId14" Type="http://schemas.openxmlformats.org/officeDocument/2006/relationships/hyperlink" Target="https://www.kingsfund.org.uk/projects/nhs-in-a-nutshell/nhs-workforce"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2CDE7-B427-4CFD-A13E-6CE8C572B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2024</Words>
  <Characters>11740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Mirea</dc:creator>
  <cp:keywords/>
  <dc:description/>
  <cp:lastModifiedBy>Andreea Mirea</cp:lastModifiedBy>
  <cp:revision>2</cp:revision>
  <dcterms:created xsi:type="dcterms:W3CDTF">2026-03-17T10:48:00Z</dcterms:created>
  <dcterms:modified xsi:type="dcterms:W3CDTF">2026-03-17T11:23:00Z</dcterms:modified>
</cp:coreProperties>
</file>