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157EFE" w:rsidRPr="009E7CF8" w:rsidRDefault="00157EFE" w:rsidP="00157EFE">
      <w:pPr>
        <w:jc w:val="both"/>
      </w:pPr>
      <w:r>
        <w:drawing>
          <wp:inline distT="0" distB="0" distL="0" distR="0" wp14:anchorId="60F3EC7D" wp14:editId="08C4652F">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p>
    <w:tbl>
      <w:tblPr>
        <w:tblStyle w:val="TableGrid"/>
        <w:tblpPr w:leftFromText="180" w:rightFromText="180" w:vertAnchor="text" w:horzAnchor="margin" w:tblpY="202"/>
        <w:tblW w:w="9182" w:type="dxa"/>
        <w:tblLook w:val="04A0" w:firstRow="1" w:lastRow="0" w:firstColumn="1" w:lastColumn="0" w:noHBand="0" w:noVBand="1"/>
      </w:tblPr>
      <w:tblGrid>
        <w:gridCol w:w="2337"/>
        <w:gridCol w:w="2698"/>
        <w:gridCol w:w="2271"/>
        <w:gridCol w:w="1876"/>
      </w:tblGrid>
      <w:tr w:rsidR="00157EFE" w:rsidRPr="009E7CF8" w14:paraId="0CEF2390" w14:textId="77777777" w:rsidTr="00C42E9B">
        <w:trPr>
          <w:trHeight w:val="990"/>
        </w:trPr>
        <w:tc>
          <w:tcPr>
            <w:tcW w:w="2295" w:type="dxa"/>
            <w:tcBorders>
              <w:top w:val="single" w:sz="4" w:space="0" w:color="auto"/>
              <w:left w:val="single" w:sz="4" w:space="0" w:color="auto"/>
              <w:bottom w:val="single" w:sz="4" w:space="0" w:color="auto"/>
              <w:right w:val="single" w:sz="4" w:space="0" w:color="auto"/>
            </w:tcBorders>
            <w:hideMark/>
          </w:tcPr>
          <w:p w14:paraId="382E3B85" w14:textId="77777777" w:rsidR="00157EFE" w:rsidRPr="009E7CF8" w:rsidRDefault="00157EFE" w:rsidP="00157EFE">
            <w:pPr>
              <w:spacing w:after="160" w:line="259" w:lineRule="auto"/>
              <w:jc w:val="both"/>
              <w:rPr>
                <w:b/>
                <w:bCs/>
                <w:sz w:val="36"/>
                <w:szCs w:val="36"/>
              </w:rPr>
            </w:pPr>
            <w:r w:rsidRPr="009E7CF8">
              <w:rPr>
                <w:b/>
                <w:bCs/>
                <w:sz w:val="36"/>
                <w:szCs w:val="36"/>
              </w:rPr>
              <w:t>Student Name:</w:t>
            </w:r>
          </w:p>
        </w:tc>
        <w:tc>
          <w:tcPr>
            <w:tcW w:w="2295" w:type="dxa"/>
            <w:tcBorders>
              <w:top w:val="single" w:sz="4" w:space="0" w:color="auto"/>
              <w:left w:val="single" w:sz="4" w:space="0" w:color="auto"/>
              <w:bottom w:val="single" w:sz="4" w:space="0" w:color="auto"/>
              <w:right w:val="single" w:sz="4" w:space="0" w:color="auto"/>
            </w:tcBorders>
            <w:hideMark/>
          </w:tcPr>
          <w:p w14:paraId="4DCCF111" w14:textId="77777777" w:rsidR="00157EFE" w:rsidRPr="009E7CF8" w:rsidRDefault="00157EFE" w:rsidP="00157EFE">
            <w:pPr>
              <w:spacing w:after="160" w:line="259" w:lineRule="auto"/>
              <w:jc w:val="both"/>
              <w:rPr>
                <w:sz w:val="36"/>
                <w:szCs w:val="36"/>
              </w:rPr>
            </w:pPr>
            <w:r>
              <w:rPr>
                <w:sz w:val="36"/>
                <w:szCs w:val="36"/>
              </w:rPr>
              <w:t>Shubham Dudhat</w:t>
            </w:r>
          </w:p>
        </w:tc>
        <w:tc>
          <w:tcPr>
            <w:tcW w:w="2295" w:type="dxa"/>
            <w:tcBorders>
              <w:top w:val="single" w:sz="4" w:space="0" w:color="auto"/>
              <w:left w:val="single" w:sz="4" w:space="0" w:color="auto"/>
              <w:bottom w:val="single" w:sz="4" w:space="0" w:color="auto"/>
              <w:right w:val="single" w:sz="4" w:space="0" w:color="auto"/>
            </w:tcBorders>
            <w:hideMark/>
          </w:tcPr>
          <w:p w14:paraId="0E559CC5" w14:textId="77777777" w:rsidR="00157EFE" w:rsidRPr="009E7CF8" w:rsidRDefault="00157EFE" w:rsidP="00157EFE">
            <w:pPr>
              <w:spacing w:after="160" w:line="259" w:lineRule="auto"/>
              <w:jc w:val="both"/>
              <w:rPr>
                <w:b/>
                <w:bCs/>
                <w:sz w:val="36"/>
                <w:szCs w:val="36"/>
              </w:rPr>
            </w:pPr>
            <w:r w:rsidRPr="009E7CF8">
              <w:rPr>
                <w:b/>
                <w:bCs/>
                <w:sz w:val="36"/>
                <w:szCs w:val="36"/>
              </w:rPr>
              <w:t>Student ID:</w:t>
            </w:r>
          </w:p>
        </w:tc>
        <w:tc>
          <w:tcPr>
            <w:tcW w:w="2297" w:type="dxa"/>
            <w:tcBorders>
              <w:top w:val="single" w:sz="4" w:space="0" w:color="auto"/>
              <w:left w:val="single" w:sz="4" w:space="0" w:color="auto"/>
              <w:bottom w:val="single" w:sz="4" w:space="0" w:color="auto"/>
              <w:right w:val="single" w:sz="4" w:space="0" w:color="auto"/>
            </w:tcBorders>
            <w:hideMark/>
          </w:tcPr>
          <w:p w14:paraId="7E9B8ADA" w14:textId="77777777" w:rsidR="00157EFE" w:rsidRPr="009E7CF8" w:rsidRDefault="00157EFE" w:rsidP="00157EFE">
            <w:pPr>
              <w:spacing w:after="160" w:line="259" w:lineRule="auto"/>
              <w:jc w:val="both"/>
              <w:rPr>
                <w:sz w:val="36"/>
                <w:szCs w:val="36"/>
              </w:rPr>
            </w:pPr>
            <w:r w:rsidRPr="00BA3DF1">
              <w:rPr>
                <w:sz w:val="36"/>
                <w:szCs w:val="36"/>
              </w:rPr>
              <w:t>252</w:t>
            </w:r>
            <w:r>
              <w:rPr>
                <w:sz w:val="36"/>
                <w:szCs w:val="36"/>
              </w:rPr>
              <w:t>6722</w:t>
            </w:r>
          </w:p>
        </w:tc>
      </w:tr>
      <w:tr w:rsidR="00157EFE" w:rsidRPr="009E7CF8" w14:paraId="2FE6B103" w14:textId="77777777" w:rsidTr="00C42E9B">
        <w:trPr>
          <w:trHeight w:val="928"/>
        </w:trPr>
        <w:tc>
          <w:tcPr>
            <w:tcW w:w="2295" w:type="dxa"/>
            <w:tcBorders>
              <w:top w:val="single" w:sz="4" w:space="0" w:color="auto"/>
              <w:left w:val="single" w:sz="4" w:space="0" w:color="auto"/>
              <w:bottom w:val="single" w:sz="4" w:space="0" w:color="auto"/>
              <w:right w:val="single" w:sz="4" w:space="0" w:color="auto"/>
            </w:tcBorders>
            <w:hideMark/>
          </w:tcPr>
          <w:p w14:paraId="41F3D19D" w14:textId="77777777" w:rsidR="00157EFE" w:rsidRPr="009E7CF8" w:rsidRDefault="00157EFE" w:rsidP="00157EFE">
            <w:pPr>
              <w:spacing w:after="160" w:line="259" w:lineRule="auto"/>
              <w:jc w:val="both"/>
              <w:rPr>
                <w:b/>
                <w:bCs/>
                <w:sz w:val="36"/>
                <w:szCs w:val="36"/>
              </w:rPr>
            </w:pPr>
            <w:r w:rsidRPr="009E7CF8">
              <w:rPr>
                <w:b/>
                <w:bCs/>
                <w:sz w:val="36"/>
                <w:szCs w:val="36"/>
              </w:rPr>
              <w:t>Programme:</w:t>
            </w:r>
          </w:p>
        </w:tc>
        <w:tc>
          <w:tcPr>
            <w:tcW w:w="6887" w:type="dxa"/>
            <w:gridSpan w:val="3"/>
            <w:tcBorders>
              <w:top w:val="single" w:sz="4" w:space="0" w:color="auto"/>
              <w:left w:val="single" w:sz="4" w:space="0" w:color="auto"/>
              <w:bottom w:val="single" w:sz="4" w:space="0" w:color="auto"/>
              <w:right w:val="single" w:sz="4" w:space="0" w:color="auto"/>
            </w:tcBorders>
            <w:hideMark/>
          </w:tcPr>
          <w:p w14:paraId="72AC5E33" w14:textId="77777777" w:rsidR="00157EFE" w:rsidRPr="009E7CF8" w:rsidRDefault="00157EFE" w:rsidP="00157EFE">
            <w:pPr>
              <w:spacing w:after="160" w:line="259" w:lineRule="auto"/>
              <w:jc w:val="both"/>
              <w:rPr>
                <w:sz w:val="36"/>
                <w:szCs w:val="36"/>
              </w:rPr>
            </w:pPr>
            <w:r w:rsidRPr="009E7CF8">
              <w:rPr>
                <w:sz w:val="36"/>
                <w:szCs w:val="36"/>
              </w:rPr>
              <w:t>Master of Business Administration</w:t>
            </w:r>
          </w:p>
        </w:tc>
      </w:tr>
      <w:tr w:rsidR="00157EFE" w:rsidRPr="009E7CF8" w14:paraId="3B11EF0E" w14:textId="77777777" w:rsidTr="00C42E9B">
        <w:trPr>
          <w:trHeight w:val="990"/>
        </w:trPr>
        <w:tc>
          <w:tcPr>
            <w:tcW w:w="2295" w:type="dxa"/>
            <w:tcBorders>
              <w:top w:val="single" w:sz="4" w:space="0" w:color="auto"/>
              <w:left w:val="single" w:sz="4" w:space="0" w:color="auto"/>
              <w:bottom w:val="single" w:sz="4" w:space="0" w:color="auto"/>
              <w:right w:val="single" w:sz="4" w:space="0" w:color="auto"/>
            </w:tcBorders>
            <w:hideMark/>
          </w:tcPr>
          <w:p w14:paraId="4637B2E8" w14:textId="77777777" w:rsidR="00157EFE" w:rsidRPr="009E7CF8" w:rsidRDefault="00157EFE" w:rsidP="00157EFE">
            <w:pPr>
              <w:spacing w:after="160" w:line="259" w:lineRule="auto"/>
              <w:jc w:val="both"/>
              <w:rPr>
                <w:b/>
                <w:bCs/>
                <w:sz w:val="36"/>
                <w:szCs w:val="36"/>
              </w:rPr>
            </w:pPr>
            <w:r w:rsidRPr="009E7CF8">
              <w:rPr>
                <w:b/>
                <w:bCs/>
                <w:sz w:val="36"/>
                <w:szCs w:val="36"/>
              </w:rPr>
              <w:t>Module:</w:t>
            </w:r>
          </w:p>
        </w:tc>
        <w:tc>
          <w:tcPr>
            <w:tcW w:w="6887" w:type="dxa"/>
            <w:gridSpan w:val="3"/>
            <w:tcBorders>
              <w:top w:val="single" w:sz="4" w:space="0" w:color="auto"/>
              <w:left w:val="single" w:sz="4" w:space="0" w:color="auto"/>
              <w:bottom w:val="single" w:sz="4" w:space="0" w:color="auto"/>
              <w:right w:val="single" w:sz="4" w:space="0" w:color="auto"/>
            </w:tcBorders>
            <w:hideMark/>
          </w:tcPr>
          <w:p w14:paraId="32DFF352" w14:textId="77777777" w:rsidR="00157EFE" w:rsidRPr="009E7CF8" w:rsidRDefault="00157EFE" w:rsidP="00157EFE">
            <w:pPr>
              <w:spacing w:after="160" w:line="259" w:lineRule="auto"/>
              <w:jc w:val="both"/>
              <w:rPr>
                <w:sz w:val="36"/>
                <w:szCs w:val="36"/>
              </w:rPr>
            </w:pPr>
            <w:r w:rsidRPr="009E7CF8">
              <w:rPr>
                <w:sz w:val="36"/>
                <w:szCs w:val="36"/>
              </w:rPr>
              <w:t>Marketing Management</w:t>
            </w:r>
          </w:p>
        </w:tc>
      </w:tr>
      <w:tr w:rsidR="00157EFE" w:rsidRPr="009E7CF8" w14:paraId="171B09C7" w14:textId="77777777" w:rsidTr="00C42E9B">
        <w:trPr>
          <w:trHeight w:val="990"/>
        </w:trPr>
        <w:tc>
          <w:tcPr>
            <w:tcW w:w="2295" w:type="dxa"/>
            <w:tcBorders>
              <w:top w:val="single" w:sz="4" w:space="0" w:color="auto"/>
              <w:left w:val="single" w:sz="4" w:space="0" w:color="auto"/>
              <w:bottom w:val="single" w:sz="4" w:space="0" w:color="auto"/>
              <w:right w:val="single" w:sz="4" w:space="0" w:color="auto"/>
            </w:tcBorders>
            <w:hideMark/>
          </w:tcPr>
          <w:p w14:paraId="5409D817" w14:textId="77777777" w:rsidR="00157EFE" w:rsidRPr="009E7CF8" w:rsidRDefault="00157EFE" w:rsidP="00157EFE">
            <w:pPr>
              <w:spacing w:after="160" w:line="259" w:lineRule="auto"/>
              <w:jc w:val="both"/>
              <w:rPr>
                <w:b/>
                <w:bCs/>
                <w:sz w:val="36"/>
                <w:szCs w:val="36"/>
              </w:rPr>
            </w:pPr>
            <w:r w:rsidRPr="009E7CF8">
              <w:rPr>
                <w:b/>
                <w:bCs/>
                <w:sz w:val="36"/>
                <w:szCs w:val="36"/>
              </w:rPr>
              <w:t>Module Code:</w:t>
            </w:r>
          </w:p>
        </w:tc>
        <w:tc>
          <w:tcPr>
            <w:tcW w:w="6887" w:type="dxa"/>
            <w:gridSpan w:val="3"/>
            <w:tcBorders>
              <w:top w:val="single" w:sz="4" w:space="0" w:color="auto"/>
              <w:left w:val="single" w:sz="4" w:space="0" w:color="auto"/>
              <w:bottom w:val="single" w:sz="4" w:space="0" w:color="auto"/>
              <w:right w:val="single" w:sz="4" w:space="0" w:color="auto"/>
            </w:tcBorders>
            <w:hideMark/>
          </w:tcPr>
          <w:p w14:paraId="4575C2D5" w14:textId="77777777" w:rsidR="00157EFE" w:rsidRPr="009E7CF8" w:rsidRDefault="00157EFE" w:rsidP="00157EFE">
            <w:pPr>
              <w:spacing w:after="160" w:line="259" w:lineRule="auto"/>
              <w:jc w:val="both"/>
              <w:rPr>
                <w:sz w:val="36"/>
                <w:szCs w:val="36"/>
              </w:rPr>
            </w:pPr>
            <w:r w:rsidRPr="009E7CF8">
              <w:rPr>
                <w:sz w:val="36"/>
                <w:szCs w:val="36"/>
              </w:rPr>
              <w:t>LCMB7024</w:t>
            </w:r>
          </w:p>
        </w:tc>
      </w:tr>
      <w:tr w:rsidR="00157EFE" w:rsidRPr="009E7CF8" w14:paraId="6612EB3A" w14:textId="77777777" w:rsidTr="00C42E9B">
        <w:trPr>
          <w:trHeight w:val="990"/>
        </w:trPr>
        <w:tc>
          <w:tcPr>
            <w:tcW w:w="2295" w:type="dxa"/>
            <w:tcBorders>
              <w:top w:val="single" w:sz="4" w:space="0" w:color="auto"/>
              <w:left w:val="single" w:sz="4" w:space="0" w:color="auto"/>
              <w:bottom w:val="single" w:sz="4" w:space="0" w:color="auto"/>
              <w:right w:val="single" w:sz="4" w:space="0" w:color="auto"/>
            </w:tcBorders>
            <w:hideMark/>
          </w:tcPr>
          <w:p w14:paraId="52A86BA1" w14:textId="77777777" w:rsidR="00157EFE" w:rsidRPr="009E7CF8" w:rsidRDefault="00157EFE" w:rsidP="00157EFE">
            <w:pPr>
              <w:spacing w:after="160" w:line="259" w:lineRule="auto"/>
              <w:jc w:val="both"/>
              <w:rPr>
                <w:b/>
                <w:bCs/>
                <w:sz w:val="36"/>
                <w:szCs w:val="36"/>
              </w:rPr>
            </w:pPr>
            <w:r w:rsidRPr="009E7CF8">
              <w:rPr>
                <w:b/>
                <w:bCs/>
                <w:sz w:val="36"/>
                <w:szCs w:val="36"/>
              </w:rPr>
              <w:t>Assignment Title:</w:t>
            </w:r>
          </w:p>
        </w:tc>
        <w:tc>
          <w:tcPr>
            <w:tcW w:w="6887" w:type="dxa"/>
            <w:gridSpan w:val="3"/>
            <w:tcBorders>
              <w:top w:val="single" w:sz="4" w:space="0" w:color="auto"/>
              <w:left w:val="single" w:sz="4" w:space="0" w:color="auto"/>
              <w:bottom w:val="single" w:sz="4" w:space="0" w:color="auto"/>
              <w:right w:val="single" w:sz="4" w:space="0" w:color="auto"/>
            </w:tcBorders>
            <w:hideMark/>
          </w:tcPr>
          <w:p w14:paraId="58B10E3A" w14:textId="77777777" w:rsidR="00157EFE" w:rsidRPr="009E7CF8" w:rsidRDefault="00157EFE" w:rsidP="00157EFE">
            <w:pPr>
              <w:spacing w:after="160" w:line="259" w:lineRule="auto"/>
              <w:jc w:val="both"/>
              <w:rPr>
                <w:sz w:val="36"/>
                <w:szCs w:val="36"/>
              </w:rPr>
            </w:pPr>
            <w:r w:rsidRPr="005E1EE2">
              <w:rPr>
                <w:sz w:val="36"/>
                <w:szCs w:val="36"/>
              </w:rPr>
              <w:t>Assessment component 1: Marketing Environment Analysis</w:t>
            </w:r>
          </w:p>
        </w:tc>
      </w:tr>
      <w:tr w:rsidR="00157EFE" w:rsidRPr="009E7CF8" w14:paraId="4505486E" w14:textId="77777777" w:rsidTr="00C42E9B">
        <w:trPr>
          <w:trHeight w:val="928"/>
        </w:trPr>
        <w:tc>
          <w:tcPr>
            <w:tcW w:w="2295" w:type="dxa"/>
            <w:tcBorders>
              <w:top w:val="single" w:sz="4" w:space="0" w:color="auto"/>
              <w:left w:val="single" w:sz="4" w:space="0" w:color="auto"/>
              <w:bottom w:val="single" w:sz="4" w:space="0" w:color="auto"/>
              <w:right w:val="single" w:sz="4" w:space="0" w:color="auto"/>
            </w:tcBorders>
            <w:hideMark/>
          </w:tcPr>
          <w:p w14:paraId="1C517DF8" w14:textId="77777777" w:rsidR="00157EFE" w:rsidRPr="009E7CF8" w:rsidRDefault="00157EFE" w:rsidP="00157EFE">
            <w:pPr>
              <w:spacing w:after="160" w:line="259" w:lineRule="auto"/>
              <w:jc w:val="both"/>
              <w:rPr>
                <w:b/>
                <w:bCs/>
                <w:sz w:val="36"/>
                <w:szCs w:val="36"/>
              </w:rPr>
            </w:pPr>
            <w:r w:rsidRPr="009E7CF8">
              <w:rPr>
                <w:b/>
                <w:bCs/>
                <w:sz w:val="36"/>
                <w:szCs w:val="36"/>
              </w:rPr>
              <w:t>Lecturer Name:</w:t>
            </w:r>
          </w:p>
        </w:tc>
        <w:tc>
          <w:tcPr>
            <w:tcW w:w="6887" w:type="dxa"/>
            <w:gridSpan w:val="3"/>
            <w:tcBorders>
              <w:top w:val="single" w:sz="4" w:space="0" w:color="auto"/>
              <w:left w:val="single" w:sz="4" w:space="0" w:color="auto"/>
              <w:bottom w:val="single" w:sz="4" w:space="0" w:color="auto"/>
              <w:right w:val="single" w:sz="4" w:space="0" w:color="auto"/>
            </w:tcBorders>
            <w:hideMark/>
          </w:tcPr>
          <w:p w14:paraId="2964ED66" w14:textId="77777777" w:rsidR="00157EFE" w:rsidRPr="009E7CF8" w:rsidRDefault="00157EFE" w:rsidP="00157EFE">
            <w:pPr>
              <w:spacing w:after="160" w:line="259" w:lineRule="auto"/>
              <w:jc w:val="both"/>
              <w:rPr>
                <w:sz w:val="36"/>
                <w:szCs w:val="36"/>
              </w:rPr>
            </w:pPr>
            <w:r w:rsidRPr="005E1EE2">
              <w:rPr>
                <w:sz w:val="36"/>
                <w:szCs w:val="36"/>
              </w:rPr>
              <w:t>Laila Maazouz Dian Mayasar</w:t>
            </w:r>
            <w:r>
              <w:rPr>
                <w:sz w:val="36"/>
                <w:szCs w:val="36"/>
              </w:rPr>
              <w:t>i</w:t>
            </w:r>
          </w:p>
        </w:tc>
      </w:tr>
      <w:tr w:rsidR="00157EFE" w:rsidRPr="009E7CF8" w14:paraId="0C7DCE5E" w14:textId="77777777" w:rsidTr="00C42E9B">
        <w:trPr>
          <w:trHeight w:val="990"/>
        </w:trPr>
        <w:tc>
          <w:tcPr>
            <w:tcW w:w="2295" w:type="dxa"/>
            <w:tcBorders>
              <w:top w:val="single" w:sz="4" w:space="0" w:color="auto"/>
              <w:left w:val="single" w:sz="4" w:space="0" w:color="auto"/>
              <w:bottom w:val="single" w:sz="4" w:space="0" w:color="auto"/>
              <w:right w:val="single" w:sz="4" w:space="0" w:color="auto"/>
            </w:tcBorders>
            <w:hideMark/>
          </w:tcPr>
          <w:p w14:paraId="4C5FAFF9" w14:textId="77777777" w:rsidR="00157EFE" w:rsidRPr="009E7CF8" w:rsidRDefault="00157EFE" w:rsidP="00157EFE">
            <w:pPr>
              <w:spacing w:after="160" w:line="259" w:lineRule="auto"/>
              <w:jc w:val="both"/>
              <w:rPr>
                <w:b/>
                <w:bCs/>
                <w:sz w:val="36"/>
                <w:szCs w:val="36"/>
              </w:rPr>
            </w:pPr>
            <w:r w:rsidRPr="009E7CF8">
              <w:rPr>
                <w:b/>
                <w:bCs/>
                <w:sz w:val="36"/>
                <w:szCs w:val="36"/>
              </w:rPr>
              <w:t>Word Count:</w:t>
            </w:r>
          </w:p>
        </w:tc>
        <w:tc>
          <w:tcPr>
            <w:tcW w:w="2295" w:type="dxa"/>
            <w:tcBorders>
              <w:top w:val="single" w:sz="4" w:space="0" w:color="auto"/>
              <w:left w:val="single" w:sz="4" w:space="0" w:color="auto"/>
              <w:bottom w:val="single" w:sz="4" w:space="0" w:color="auto"/>
              <w:right w:val="single" w:sz="4" w:space="0" w:color="auto"/>
            </w:tcBorders>
            <w:hideMark/>
          </w:tcPr>
          <w:p w14:paraId="651345FD" w14:textId="77777777" w:rsidR="00157EFE" w:rsidRPr="009E7CF8" w:rsidRDefault="00157EFE" w:rsidP="00157EFE">
            <w:pPr>
              <w:spacing w:after="160" w:line="259" w:lineRule="auto"/>
              <w:jc w:val="both"/>
              <w:rPr>
                <w:sz w:val="36"/>
                <w:szCs w:val="36"/>
              </w:rPr>
            </w:pPr>
            <w:r w:rsidRPr="009E7CF8">
              <w:rPr>
                <w:sz w:val="36"/>
                <w:szCs w:val="36"/>
              </w:rPr>
              <w:t>2</w:t>
            </w:r>
            <w:r>
              <w:rPr>
                <w:sz w:val="36"/>
                <w:szCs w:val="36"/>
              </w:rPr>
              <w:t>537</w:t>
            </w:r>
            <w:r w:rsidRPr="009E7CF8">
              <w:rPr>
                <w:sz w:val="36"/>
                <w:szCs w:val="36"/>
              </w:rPr>
              <w:t>(Excluding Refernces, Tables)</w:t>
            </w:r>
          </w:p>
        </w:tc>
        <w:tc>
          <w:tcPr>
            <w:tcW w:w="2295" w:type="dxa"/>
            <w:tcBorders>
              <w:top w:val="single" w:sz="4" w:space="0" w:color="auto"/>
              <w:left w:val="single" w:sz="4" w:space="0" w:color="auto"/>
              <w:bottom w:val="single" w:sz="4" w:space="0" w:color="auto"/>
              <w:right w:val="single" w:sz="4" w:space="0" w:color="auto"/>
            </w:tcBorders>
            <w:hideMark/>
          </w:tcPr>
          <w:p w14:paraId="192E30B4" w14:textId="77777777" w:rsidR="00157EFE" w:rsidRPr="009E7CF8" w:rsidRDefault="00157EFE" w:rsidP="00157EFE">
            <w:pPr>
              <w:spacing w:after="160" w:line="259" w:lineRule="auto"/>
              <w:jc w:val="both"/>
              <w:rPr>
                <w:b/>
                <w:bCs/>
                <w:sz w:val="36"/>
                <w:szCs w:val="36"/>
              </w:rPr>
            </w:pPr>
            <w:r w:rsidRPr="009E7CF8">
              <w:rPr>
                <w:b/>
                <w:bCs/>
                <w:sz w:val="36"/>
                <w:szCs w:val="36"/>
              </w:rPr>
              <w:t>Submission Date:</w:t>
            </w:r>
          </w:p>
        </w:tc>
        <w:tc>
          <w:tcPr>
            <w:tcW w:w="2297" w:type="dxa"/>
            <w:tcBorders>
              <w:top w:val="single" w:sz="4" w:space="0" w:color="auto"/>
              <w:left w:val="single" w:sz="4" w:space="0" w:color="auto"/>
              <w:bottom w:val="single" w:sz="4" w:space="0" w:color="auto"/>
              <w:right w:val="single" w:sz="4" w:space="0" w:color="auto"/>
            </w:tcBorders>
            <w:hideMark/>
          </w:tcPr>
          <w:p w14:paraId="131B8A6B" w14:textId="77777777" w:rsidR="00157EFE" w:rsidRPr="009E7CF8" w:rsidRDefault="00157EFE" w:rsidP="00157EFE">
            <w:pPr>
              <w:spacing w:after="160" w:line="259" w:lineRule="auto"/>
              <w:jc w:val="both"/>
              <w:rPr>
                <w:sz w:val="36"/>
                <w:szCs w:val="36"/>
              </w:rPr>
            </w:pPr>
            <w:r w:rsidRPr="009E7CF8">
              <w:rPr>
                <w:sz w:val="36"/>
                <w:szCs w:val="36"/>
              </w:rPr>
              <w:t>2</w:t>
            </w:r>
            <w:r>
              <w:rPr>
                <w:sz w:val="36"/>
                <w:szCs w:val="36"/>
              </w:rPr>
              <w:t>7</w:t>
            </w:r>
            <w:r w:rsidRPr="009E7CF8">
              <w:rPr>
                <w:sz w:val="36"/>
                <w:szCs w:val="36"/>
                <w:vertAlign w:val="superscript"/>
              </w:rPr>
              <w:t>th</w:t>
            </w:r>
            <w:r w:rsidRPr="009E7CF8">
              <w:rPr>
                <w:sz w:val="36"/>
                <w:szCs w:val="36"/>
              </w:rPr>
              <w:t xml:space="preserve"> March, 2026</w:t>
            </w:r>
          </w:p>
        </w:tc>
      </w:tr>
    </w:tbl>
    <w:p w14:paraId="0A37501D" w14:textId="77777777" w:rsidR="00157EFE" w:rsidRDefault="00157EFE" w:rsidP="00157EFE">
      <w:pPr>
        <w:jc w:val="both"/>
      </w:pPr>
    </w:p>
    <w:p w14:paraId="5DAB6C7B" w14:textId="77777777" w:rsidR="00157EFE" w:rsidRDefault="00157EFE" w:rsidP="00157EFE">
      <w:pPr>
        <w:jc w:val="both"/>
        <w:rPr>
          <w:rFonts w:cs="Arial"/>
          <w:b/>
          <w:bCs/>
          <w:sz w:val="24"/>
          <w:szCs w:val="24"/>
        </w:rPr>
      </w:pPr>
      <w:r>
        <w:rPr>
          <w:rFonts w:cs="Arial"/>
          <w:b/>
          <w:bCs/>
          <w:sz w:val="24"/>
          <w:szCs w:val="24"/>
        </w:rPr>
        <w:br w:type="page"/>
      </w:r>
    </w:p>
    <w:sdt>
      <w:sdtPr>
        <w:rPr>
          <w:rFonts w:ascii="Arial" w:eastAsiaTheme="minorHAnsi" w:hAnsi="Arial" w:cstheme="minorBidi"/>
          <w:noProof/>
          <w:color w:val="auto"/>
          <w:kern w:val="2"/>
          <w:sz w:val="22"/>
          <w:szCs w:val="22"/>
          <w:lang w:val="en-IN"/>
          <w14:ligatures w14:val="standardContextual"/>
        </w:rPr>
        <w:id w:val="2099879084"/>
        <w:docPartObj>
          <w:docPartGallery w:val="Table of Contents"/>
          <w:docPartUnique/>
        </w:docPartObj>
      </w:sdtPr>
      <w:sdtContent>
        <w:p w14:paraId="22E0FC93" w14:textId="77777777" w:rsidR="00157EFE" w:rsidRDefault="00157EFE">
          <w:pPr>
            <w:pStyle w:val="TOCHeading"/>
          </w:pPr>
          <w:r>
            <w:t>Table of Contents</w:t>
          </w:r>
        </w:p>
        <w:p w14:paraId="2AF04F93" w14:textId="6546CC45" w:rsidR="00157EFE" w:rsidRDefault="00157EFE" w:rsidP="532827D2">
          <w:pPr>
            <w:pStyle w:val="TOC1"/>
            <w:tabs>
              <w:tab w:val="right" w:leader="dot" w:pos="9015"/>
            </w:tabs>
            <w:rPr>
              <w:rStyle w:val="Hyperlink"/>
            </w:rPr>
          </w:pPr>
          <w:r>
            <w:fldChar w:fldCharType="begin"/>
          </w:r>
          <w:r>
            <w:instrText>TOC \o "1-3" \z \u \h</w:instrText>
          </w:r>
          <w:r>
            <w:fldChar w:fldCharType="separate"/>
          </w:r>
          <w:hyperlink w:anchor="_Toc881434280">
            <w:r w:rsidR="532827D2" w:rsidRPr="532827D2">
              <w:rPr>
                <w:rStyle w:val="Hyperlink"/>
              </w:rPr>
              <w:t>1. Introduction</w:t>
            </w:r>
            <w:r>
              <w:tab/>
            </w:r>
            <w:r>
              <w:fldChar w:fldCharType="begin"/>
            </w:r>
            <w:r>
              <w:instrText>PAGEREF _Toc881434280 \h</w:instrText>
            </w:r>
            <w:r>
              <w:fldChar w:fldCharType="separate"/>
            </w:r>
            <w:r w:rsidR="00FC1EDA">
              <w:t>1</w:t>
            </w:r>
            <w:r>
              <w:fldChar w:fldCharType="end"/>
            </w:r>
          </w:hyperlink>
        </w:p>
        <w:p w14:paraId="17742DD0" w14:textId="041B5EF9" w:rsidR="00157EFE" w:rsidRDefault="532827D2" w:rsidP="532827D2">
          <w:pPr>
            <w:pStyle w:val="TOC1"/>
            <w:tabs>
              <w:tab w:val="right" w:leader="dot" w:pos="9015"/>
            </w:tabs>
            <w:rPr>
              <w:rStyle w:val="Hyperlink"/>
            </w:rPr>
          </w:pPr>
          <w:hyperlink w:anchor="_Toc1810987663">
            <w:r w:rsidRPr="532827D2">
              <w:rPr>
                <w:rStyle w:val="Hyperlink"/>
              </w:rPr>
              <w:t>2. Task 1 Macro Marketing Environment Analysis</w:t>
            </w:r>
            <w:r w:rsidR="00157EFE">
              <w:tab/>
            </w:r>
            <w:r w:rsidR="00157EFE">
              <w:fldChar w:fldCharType="begin"/>
            </w:r>
            <w:r w:rsidR="00157EFE">
              <w:instrText>PAGEREF _Toc1810987663 \h</w:instrText>
            </w:r>
            <w:r w:rsidR="00157EFE">
              <w:fldChar w:fldCharType="separate"/>
            </w:r>
            <w:r w:rsidR="00FC1EDA">
              <w:t>1</w:t>
            </w:r>
            <w:r w:rsidR="00157EFE">
              <w:fldChar w:fldCharType="end"/>
            </w:r>
          </w:hyperlink>
        </w:p>
        <w:p w14:paraId="0307DD11" w14:textId="4B70896F" w:rsidR="00157EFE" w:rsidRDefault="532827D2" w:rsidP="532827D2">
          <w:pPr>
            <w:pStyle w:val="TOC2"/>
            <w:tabs>
              <w:tab w:val="right" w:leader="dot" w:pos="9015"/>
            </w:tabs>
            <w:rPr>
              <w:rStyle w:val="Hyperlink"/>
            </w:rPr>
          </w:pPr>
          <w:hyperlink w:anchor="_Toc1183402603">
            <w:r w:rsidRPr="532827D2">
              <w:rPr>
                <w:rStyle w:val="Hyperlink"/>
              </w:rPr>
              <w:t>2.1 Industry Overview</w:t>
            </w:r>
            <w:r w:rsidR="00157EFE">
              <w:tab/>
            </w:r>
            <w:r w:rsidR="00157EFE">
              <w:fldChar w:fldCharType="begin"/>
            </w:r>
            <w:r w:rsidR="00157EFE">
              <w:instrText>PAGEREF _Toc1183402603 \h</w:instrText>
            </w:r>
            <w:r w:rsidR="00157EFE">
              <w:fldChar w:fldCharType="separate"/>
            </w:r>
            <w:r w:rsidR="00FC1EDA">
              <w:t>1</w:t>
            </w:r>
            <w:r w:rsidR="00157EFE">
              <w:fldChar w:fldCharType="end"/>
            </w:r>
          </w:hyperlink>
        </w:p>
        <w:p w14:paraId="75BA38F4" w14:textId="54CE72B1" w:rsidR="00157EFE" w:rsidRDefault="532827D2" w:rsidP="532827D2">
          <w:pPr>
            <w:pStyle w:val="TOC2"/>
            <w:tabs>
              <w:tab w:val="right" w:leader="dot" w:pos="9015"/>
            </w:tabs>
            <w:rPr>
              <w:rStyle w:val="Hyperlink"/>
            </w:rPr>
          </w:pPr>
          <w:hyperlink w:anchor="_Toc890123014">
            <w:r w:rsidRPr="532827D2">
              <w:rPr>
                <w:rStyle w:val="Hyperlink"/>
              </w:rPr>
              <w:t>2.2 Macro Factor 1: Technological Innovation</w:t>
            </w:r>
            <w:r w:rsidR="00157EFE">
              <w:tab/>
            </w:r>
            <w:r w:rsidR="00157EFE">
              <w:fldChar w:fldCharType="begin"/>
            </w:r>
            <w:r w:rsidR="00157EFE">
              <w:instrText>PAGEREF _Toc890123014 \h</w:instrText>
            </w:r>
            <w:r w:rsidR="00157EFE">
              <w:fldChar w:fldCharType="separate"/>
            </w:r>
            <w:r w:rsidR="00FC1EDA">
              <w:t>2</w:t>
            </w:r>
            <w:r w:rsidR="00157EFE">
              <w:fldChar w:fldCharType="end"/>
            </w:r>
          </w:hyperlink>
        </w:p>
        <w:p w14:paraId="19FAA341" w14:textId="41EBA02A" w:rsidR="00157EFE" w:rsidRDefault="532827D2" w:rsidP="532827D2">
          <w:pPr>
            <w:pStyle w:val="TOC2"/>
            <w:tabs>
              <w:tab w:val="right" w:leader="dot" w:pos="9015"/>
            </w:tabs>
            <w:rPr>
              <w:rStyle w:val="Hyperlink"/>
            </w:rPr>
          </w:pPr>
          <w:hyperlink w:anchor="_Toc1753354948">
            <w:r w:rsidRPr="532827D2">
              <w:rPr>
                <w:rStyle w:val="Hyperlink"/>
              </w:rPr>
              <w:t>2.3 Macro Factor 2: Dynamics of Platform Ecosystem</w:t>
            </w:r>
            <w:r w:rsidR="00157EFE">
              <w:tab/>
            </w:r>
            <w:r w:rsidR="00157EFE">
              <w:fldChar w:fldCharType="begin"/>
            </w:r>
            <w:r w:rsidR="00157EFE">
              <w:instrText>PAGEREF _Toc1753354948 \h</w:instrText>
            </w:r>
            <w:r w:rsidR="00157EFE">
              <w:fldChar w:fldCharType="separate"/>
            </w:r>
            <w:r w:rsidR="00FC1EDA">
              <w:t>3</w:t>
            </w:r>
            <w:r w:rsidR="00157EFE">
              <w:fldChar w:fldCharType="end"/>
            </w:r>
          </w:hyperlink>
        </w:p>
        <w:p w14:paraId="7E25E165" w14:textId="3361FCB9" w:rsidR="00157EFE" w:rsidRDefault="532827D2" w:rsidP="532827D2">
          <w:pPr>
            <w:pStyle w:val="TOC2"/>
            <w:tabs>
              <w:tab w:val="right" w:leader="dot" w:pos="9015"/>
            </w:tabs>
            <w:rPr>
              <w:rStyle w:val="Hyperlink"/>
            </w:rPr>
          </w:pPr>
          <w:hyperlink w:anchor="_Toc1258853969">
            <w:r w:rsidRPr="532827D2">
              <w:rPr>
                <w:rStyle w:val="Hyperlink"/>
              </w:rPr>
              <w:t>2.4 Effect on Competitive Position</w:t>
            </w:r>
            <w:r w:rsidR="00157EFE">
              <w:tab/>
            </w:r>
            <w:r w:rsidR="00157EFE">
              <w:fldChar w:fldCharType="begin"/>
            </w:r>
            <w:r w:rsidR="00157EFE">
              <w:instrText>PAGEREF _Toc1258853969 \h</w:instrText>
            </w:r>
            <w:r w:rsidR="00157EFE">
              <w:fldChar w:fldCharType="separate"/>
            </w:r>
            <w:r w:rsidR="00FC1EDA">
              <w:t>4</w:t>
            </w:r>
            <w:r w:rsidR="00157EFE">
              <w:fldChar w:fldCharType="end"/>
            </w:r>
          </w:hyperlink>
        </w:p>
        <w:p w14:paraId="52EF020A" w14:textId="2A31EF76" w:rsidR="00157EFE" w:rsidRDefault="532827D2" w:rsidP="532827D2">
          <w:pPr>
            <w:pStyle w:val="TOC1"/>
            <w:tabs>
              <w:tab w:val="right" w:leader="dot" w:pos="9015"/>
            </w:tabs>
            <w:rPr>
              <w:rStyle w:val="Hyperlink"/>
            </w:rPr>
          </w:pPr>
          <w:hyperlink w:anchor="_Toc670677553">
            <w:r w:rsidRPr="532827D2">
              <w:rPr>
                <w:rStyle w:val="Hyperlink"/>
              </w:rPr>
              <w:t>3. Task 2 Strategic Response Evaluation</w:t>
            </w:r>
            <w:r w:rsidR="00157EFE">
              <w:tab/>
            </w:r>
            <w:r w:rsidR="00157EFE">
              <w:fldChar w:fldCharType="begin"/>
            </w:r>
            <w:r w:rsidR="00157EFE">
              <w:instrText>PAGEREF _Toc670677553 \h</w:instrText>
            </w:r>
            <w:r w:rsidR="00157EFE">
              <w:fldChar w:fldCharType="separate"/>
            </w:r>
            <w:r w:rsidR="00FC1EDA">
              <w:t>5</w:t>
            </w:r>
            <w:r w:rsidR="00157EFE">
              <w:fldChar w:fldCharType="end"/>
            </w:r>
          </w:hyperlink>
        </w:p>
        <w:p w14:paraId="4B4A4837" w14:textId="6F56A875" w:rsidR="00157EFE" w:rsidRDefault="532827D2" w:rsidP="532827D2">
          <w:pPr>
            <w:pStyle w:val="TOC2"/>
            <w:tabs>
              <w:tab w:val="right" w:leader="dot" w:pos="9015"/>
            </w:tabs>
            <w:rPr>
              <w:rStyle w:val="Hyperlink"/>
            </w:rPr>
          </w:pPr>
          <w:hyperlink w:anchor="_Toc1860103904">
            <w:r w:rsidRPr="532827D2">
              <w:rPr>
                <w:rStyle w:val="Hyperlink"/>
              </w:rPr>
              <w:t>3.1 Porter’s Generic Strategies</w:t>
            </w:r>
            <w:r w:rsidR="00157EFE">
              <w:tab/>
            </w:r>
            <w:r w:rsidR="00157EFE">
              <w:fldChar w:fldCharType="begin"/>
            </w:r>
            <w:r w:rsidR="00157EFE">
              <w:instrText>PAGEREF _Toc1860103904 \h</w:instrText>
            </w:r>
            <w:r w:rsidR="00157EFE">
              <w:fldChar w:fldCharType="separate"/>
            </w:r>
            <w:r w:rsidR="00FC1EDA">
              <w:t>5</w:t>
            </w:r>
            <w:r w:rsidR="00157EFE">
              <w:fldChar w:fldCharType="end"/>
            </w:r>
          </w:hyperlink>
        </w:p>
        <w:p w14:paraId="23188FA2" w14:textId="51C00E4C" w:rsidR="00157EFE" w:rsidRDefault="532827D2" w:rsidP="532827D2">
          <w:pPr>
            <w:pStyle w:val="TOC2"/>
            <w:tabs>
              <w:tab w:val="right" w:leader="dot" w:pos="9015"/>
            </w:tabs>
            <w:rPr>
              <w:rStyle w:val="Hyperlink"/>
            </w:rPr>
          </w:pPr>
          <w:hyperlink w:anchor="_Toc541620829">
            <w:r w:rsidRPr="532827D2">
              <w:rPr>
                <w:rStyle w:val="Hyperlink"/>
              </w:rPr>
              <w:t>3.2 Ansoff’s Growth Matrix</w:t>
            </w:r>
            <w:r w:rsidR="00157EFE">
              <w:tab/>
            </w:r>
            <w:r w:rsidR="00157EFE">
              <w:fldChar w:fldCharType="begin"/>
            </w:r>
            <w:r w:rsidR="00157EFE">
              <w:instrText>PAGEREF _Toc541620829 \h</w:instrText>
            </w:r>
            <w:r w:rsidR="00157EFE">
              <w:fldChar w:fldCharType="separate"/>
            </w:r>
            <w:r w:rsidR="00FC1EDA">
              <w:t>6</w:t>
            </w:r>
            <w:r w:rsidR="00157EFE">
              <w:fldChar w:fldCharType="end"/>
            </w:r>
          </w:hyperlink>
        </w:p>
        <w:p w14:paraId="3DDF7110" w14:textId="3C7A0EEF" w:rsidR="00157EFE" w:rsidRDefault="532827D2" w:rsidP="532827D2">
          <w:pPr>
            <w:pStyle w:val="TOC2"/>
            <w:tabs>
              <w:tab w:val="right" w:leader="dot" w:pos="9015"/>
            </w:tabs>
            <w:rPr>
              <w:rStyle w:val="Hyperlink"/>
            </w:rPr>
          </w:pPr>
          <w:hyperlink w:anchor="_Toc728019662">
            <w:r w:rsidRPr="532827D2">
              <w:rPr>
                <w:rStyle w:val="Hyperlink"/>
              </w:rPr>
              <w:t>3.3 Comparative Strategic Evaluation</w:t>
            </w:r>
            <w:r w:rsidR="00157EFE">
              <w:tab/>
            </w:r>
            <w:r w:rsidR="00157EFE">
              <w:fldChar w:fldCharType="begin"/>
            </w:r>
            <w:r w:rsidR="00157EFE">
              <w:instrText>PAGEREF _Toc728019662 \h</w:instrText>
            </w:r>
            <w:r w:rsidR="00157EFE">
              <w:fldChar w:fldCharType="separate"/>
            </w:r>
            <w:r w:rsidR="00FC1EDA">
              <w:t>7</w:t>
            </w:r>
            <w:r w:rsidR="00157EFE">
              <w:fldChar w:fldCharType="end"/>
            </w:r>
          </w:hyperlink>
        </w:p>
        <w:p w14:paraId="78F97F49" w14:textId="713E4ACF" w:rsidR="00157EFE" w:rsidRDefault="532827D2" w:rsidP="532827D2">
          <w:pPr>
            <w:pStyle w:val="TOC1"/>
            <w:tabs>
              <w:tab w:val="right" w:leader="dot" w:pos="9015"/>
            </w:tabs>
            <w:rPr>
              <w:rStyle w:val="Hyperlink"/>
            </w:rPr>
          </w:pPr>
          <w:hyperlink w:anchor="_Toc1431152068">
            <w:r w:rsidRPr="532827D2">
              <w:rPr>
                <w:rStyle w:val="Hyperlink"/>
              </w:rPr>
              <w:t>4. Conclusion</w:t>
            </w:r>
            <w:r w:rsidR="00157EFE">
              <w:tab/>
            </w:r>
            <w:r w:rsidR="00157EFE">
              <w:fldChar w:fldCharType="begin"/>
            </w:r>
            <w:r w:rsidR="00157EFE">
              <w:instrText>PAGEREF _Toc1431152068 \h</w:instrText>
            </w:r>
            <w:r w:rsidR="00157EFE">
              <w:fldChar w:fldCharType="separate"/>
            </w:r>
            <w:r w:rsidR="00FC1EDA">
              <w:t>9</w:t>
            </w:r>
            <w:r w:rsidR="00157EFE">
              <w:fldChar w:fldCharType="end"/>
            </w:r>
          </w:hyperlink>
        </w:p>
        <w:p w14:paraId="33F1F638" w14:textId="0CFE8BC5" w:rsidR="00157EFE" w:rsidRDefault="532827D2" w:rsidP="532827D2">
          <w:pPr>
            <w:pStyle w:val="TOC1"/>
            <w:tabs>
              <w:tab w:val="right" w:leader="dot" w:pos="9015"/>
            </w:tabs>
            <w:rPr>
              <w:rStyle w:val="Hyperlink"/>
            </w:rPr>
          </w:pPr>
          <w:hyperlink w:anchor="_Toc986388571">
            <w:r w:rsidRPr="532827D2">
              <w:rPr>
                <w:rStyle w:val="Hyperlink"/>
              </w:rPr>
              <w:t>References</w:t>
            </w:r>
            <w:r w:rsidR="00157EFE">
              <w:tab/>
            </w:r>
            <w:r w:rsidR="00157EFE">
              <w:fldChar w:fldCharType="begin"/>
            </w:r>
            <w:r w:rsidR="00157EFE">
              <w:instrText>PAGEREF _Toc986388571 \h</w:instrText>
            </w:r>
            <w:r w:rsidR="00157EFE">
              <w:fldChar w:fldCharType="separate"/>
            </w:r>
            <w:r w:rsidR="00FC1EDA">
              <w:t>9</w:t>
            </w:r>
            <w:r w:rsidR="00157EFE">
              <w:fldChar w:fldCharType="end"/>
            </w:r>
          </w:hyperlink>
          <w:r w:rsidR="00157EFE">
            <w:fldChar w:fldCharType="end"/>
          </w:r>
        </w:p>
      </w:sdtContent>
    </w:sdt>
    <w:p w14:paraId="02EB378F" w14:textId="77777777" w:rsidR="00157EFE" w:rsidRDefault="00157EFE"/>
    <w:p w14:paraId="5A39BBE3" w14:textId="4C53E342" w:rsidR="00157EFE" w:rsidRDefault="00157EFE" w:rsidP="4E7D9C53">
      <w:pPr>
        <w:rPr>
          <w:rFonts w:cs="Arial"/>
          <w:b/>
          <w:bCs/>
          <w:sz w:val="24"/>
          <w:szCs w:val="24"/>
        </w:rPr>
      </w:pPr>
    </w:p>
    <w:p w14:paraId="3DFCD559" w14:textId="22E799DF" w:rsidR="4E7D9C53" w:rsidRDefault="4E7D9C53" w:rsidP="4E7D9C53">
      <w:pPr>
        <w:sectPr w:rsidR="4E7D9C53" w:rsidSect="00157EFE">
          <w:headerReference w:type="default" r:id="rId9"/>
          <w:footerReference w:type="default" r:id="rId10"/>
          <w:footerReference w:type="firs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30BD5B7" w14:textId="77777777" w:rsidR="000160C5" w:rsidRPr="000160C5" w:rsidRDefault="000160C5" w:rsidP="00157EFE">
      <w:pPr>
        <w:jc w:val="both"/>
        <w:rPr>
          <w:rFonts w:cs="Arial"/>
          <w:b/>
          <w:bCs/>
          <w:sz w:val="24"/>
          <w:szCs w:val="24"/>
        </w:rPr>
      </w:pPr>
      <w:r w:rsidRPr="000160C5">
        <w:rPr>
          <w:rFonts w:cs="Arial"/>
          <w:b/>
          <w:bCs/>
          <w:sz w:val="24"/>
          <w:szCs w:val="24"/>
        </w:rPr>
        <w:lastRenderedPageBreak/>
        <w:t>MARKETING ENVIRONMENT ANALYSIS</w:t>
      </w:r>
    </w:p>
    <w:p w14:paraId="41C8F396" w14:textId="27D4D4ED" w:rsidR="000160C5" w:rsidRDefault="000160C5" w:rsidP="00157EFE">
      <w:pPr>
        <w:jc w:val="both"/>
        <w:rPr>
          <w:rFonts w:cs="Arial"/>
          <w:sz w:val="24"/>
          <w:szCs w:val="24"/>
        </w:rPr>
      </w:pPr>
      <w:r w:rsidRPr="532827D2">
        <w:rPr>
          <w:rFonts w:cs="Arial"/>
          <w:b/>
          <w:bCs/>
          <w:sz w:val="24"/>
          <w:szCs w:val="24"/>
        </w:rPr>
        <w:t>Spotify vs Apple Music (Global Music Streaming Industry)</w:t>
      </w:r>
    </w:p>
    <w:p w14:paraId="377B6691" w14:textId="77777777" w:rsidR="00213304" w:rsidRPr="00213304" w:rsidRDefault="00213304" w:rsidP="00157EFE">
      <w:pPr>
        <w:pStyle w:val="Heading1"/>
        <w:jc w:val="both"/>
      </w:pPr>
      <w:bookmarkStart w:id="0" w:name="_Toc881434280"/>
      <w:r>
        <w:t>1. Introduction</w:t>
      </w:r>
      <w:bookmarkEnd w:id="0"/>
      <w:r>
        <w:t xml:space="preserve"> </w:t>
      </w:r>
    </w:p>
    <w:p w14:paraId="2CDA9A61" w14:textId="77777777" w:rsidR="00213304" w:rsidRPr="00213304" w:rsidRDefault="00213304" w:rsidP="00157EFE">
      <w:pPr>
        <w:jc w:val="both"/>
        <w:rPr>
          <w:rFonts w:cs="Arial"/>
          <w:sz w:val="24"/>
          <w:szCs w:val="24"/>
        </w:rPr>
      </w:pPr>
      <w:r w:rsidRPr="00213304">
        <w:rPr>
          <w:rFonts w:cs="Arial"/>
          <w:sz w:val="24"/>
          <w:szCs w:val="24"/>
        </w:rPr>
        <w:t>The global music industry has changed structurally in a whole new way in the last decade, brought about by the exponential growth of digital streaming platforms. Traditional models (based on physical sales and digital downloads) have largely given way to subscription-based and ad-supported streaming services and represent a more general trend toward access-based consumption (IFPI, 2023; Laudon and Traver, 2021). This transformation has been enabled by technological advancements, the rise of smartphones and the high availability of high-speed internet which collectively help consumers to access music on demand and on multiple devices.</w:t>
      </w:r>
    </w:p>
    <w:p w14:paraId="5461154B" w14:textId="77777777" w:rsidR="00213304" w:rsidRPr="00213304" w:rsidRDefault="00213304" w:rsidP="00157EFE">
      <w:pPr>
        <w:jc w:val="both"/>
        <w:rPr>
          <w:rFonts w:cs="Arial"/>
          <w:sz w:val="24"/>
          <w:szCs w:val="24"/>
        </w:rPr>
      </w:pPr>
      <w:r w:rsidRPr="00213304">
        <w:rPr>
          <w:rFonts w:cs="Arial"/>
          <w:sz w:val="24"/>
          <w:szCs w:val="24"/>
        </w:rPr>
        <w:t>Within this changing environment, pioneering companies can play an important role in setting industry standards, business models and consumer expectation. At the same time, follower organisations enter the market by using existing innovations while adding additional capabilities that can complement them and allow them to compete effectively (Grant, 2021). Spotify has been well known as a pioneer of the streaming industry, which developed a freemium model backed up with sophisticated data analytics and personalisation based on data analysis. This approach did not only shake the foundations of normal distribution channels, but also redefined how people discovered and consumed music.</w:t>
      </w:r>
    </w:p>
    <w:p w14:paraId="6A7BD2FE" w14:textId="77777777" w:rsidR="00213304" w:rsidRPr="00213304" w:rsidRDefault="00213304" w:rsidP="00157EFE">
      <w:pPr>
        <w:jc w:val="both"/>
        <w:rPr>
          <w:rFonts w:cs="Arial"/>
          <w:sz w:val="24"/>
          <w:szCs w:val="24"/>
        </w:rPr>
      </w:pPr>
      <w:r w:rsidRPr="00213304">
        <w:rPr>
          <w:rFonts w:cs="Arial"/>
          <w:sz w:val="24"/>
          <w:szCs w:val="24"/>
        </w:rPr>
        <w:t>In contrast, Apple Music is a follower organisation that entered the market in 2015, relying on Apple's large ecosystem, good brand, and existing customer base. Rather than relying on innovation alone, Apple Music builds its streaming service into a larger ecosystem of devices and services, offering a seamless and cohesive user experience (Chaffey, 2022).</w:t>
      </w:r>
    </w:p>
    <w:p w14:paraId="43698358" w14:textId="77777777" w:rsidR="00213304" w:rsidRPr="00213304" w:rsidRDefault="00213304" w:rsidP="00157EFE">
      <w:pPr>
        <w:jc w:val="both"/>
        <w:rPr>
          <w:rFonts w:cs="Arial"/>
          <w:sz w:val="24"/>
          <w:szCs w:val="24"/>
        </w:rPr>
      </w:pPr>
      <w:r w:rsidRPr="00213304">
        <w:rPr>
          <w:rFonts w:cs="Arial"/>
          <w:sz w:val="24"/>
          <w:szCs w:val="24"/>
        </w:rPr>
        <w:t>This paper critically analyses the macro-marketing environment which impacts Spotify and Apple Music, where the areas of primary external factor are technological innovation and platform ecosystem. It further evaluates the strategic responses of the both organisations using Porter's Generic Strategies and Ansoff's Growth Matrix in order to assess how each firm maintains growth as well as competitive advantage within a very competitive and rapidly evolving digital industry (Porter, 1985; Ansoff, 1957; Teece, 2018).</w:t>
      </w:r>
    </w:p>
    <w:p w14:paraId="72A3D3EC" w14:textId="77777777" w:rsidR="00213304" w:rsidRPr="00213304" w:rsidRDefault="00213304" w:rsidP="00157EFE">
      <w:pPr>
        <w:jc w:val="both"/>
        <w:rPr>
          <w:rFonts w:cs="Arial"/>
          <w:sz w:val="24"/>
          <w:szCs w:val="24"/>
        </w:rPr>
      </w:pPr>
    </w:p>
    <w:p w14:paraId="19DECE11" w14:textId="77777777" w:rsidR="00213304" w:rsidRPr="00213304" w:rsidRDefault="00213304" w:rsidP="00157EFE">
      <w:pPr>
        <w:pStyle w:val="Heading1"/>
        <w:jc w:val="both"/>
      </w:pPr>
      <w:bookmarkStart w:id="1" w:name="_Toc1810987663"/>
      <w:r>
        <w:t>2. Task 1 Macro Marketing Environment Analysis</w:t>
      </w:r>
      <w:bookmarkEnd w:id="1"/>
    </w:p>
    <w:p w14:paraId="6C75F171" w14:textId="77777777" w:rsidR="00213304" w:rsidRPr="00213304" w:rsidRDefault="00213304" w:rsidP="00157EFE">
      <w:pPr>
        <w:pStyle w:val="Heading2"/>
        <w:jc w:val="both"/>
      </w:pPr>
      <w:bookmarkStart w:id="2" w:name="_Toc1183402603"/>
      <w:r>
        <w:t>2.1 Industry Overview</w:t>
      </w:r>
      <w:bookmarkEnd w:id="2"/>
    </w:p>
    <w:p w14:paraId="5E909684" w14:textId="0D1EF9F0" w:rsidR="00213304" w:rsidRPr="00213304" w:rsidRDefault="00213304" w:rsidP="00157EFE">
      <w:pPr>
        <w:jc w:val="both"/>
        <w:rPr>
          <w:rFonts w:cs="Arial"/>
          <w:sz w:val="24"/>
          <w:szCs w:val="24"/>
        </w:rPr>
      </w:pPr>
      <w:r w:rsidRPr="4E7D9C53">
        <w:rPr>
          <w:rFonts w:cs="Arial"/>
          <w:sz w:val="24"/>
          <w:szCs w:val="24"/>
        </w:rPr>
        <w:t>The music streaming industry has emerged as one of the most dynamic segments of the global digital economy and is characterised by rapid growth, intense competition and continuous technological innovation. The shift from ownership-based</w:t>
      </w:r>
      <w:r w:rsidR="50731970" w:rsidRPr="4E7D9C53">
        <w:rPr>
          <w:rFonts w:cs="Arial"/>
          <w:sz w:val="24"/>
          <w:szCs w:val="24"/>
        </w:rPr>
        <w:t xml:space="preserve"> </w:t>
      </w:r>
      <w:r w:rsidRPr="4E7D9C53">
        <w:rPr>
          <w:rFonts w:cs="Arial"/>
          <w:sz w:val="24"/>
          <w:szCs w:val="24"/>
        </w:rPr>
        <w:t xml:space="preserve">consumption to access-based models has fundamentally changed consumer </w:t>
      </w:r>
      <w:r w:rsidRPr="4E7D9C53">
        <w:rPr>
          <w:rFonts w:cs="Arial"/>
          <w:sz w:val="24"/>
          <w:szCs w:val="24"/>
        </w:rPr>
        <w:lastRenderedPageBreak/>
        <w:t>behaviour, and users now have an increased focus on convenience, personalisation, and affordability (Laudon and Traver, 2021). According to IFPI (2023), streaming is responsible for more than two-thirds of the global recorded music revenues, which demonstrates its dominance in the industry.</w:t>
      </w:r>
    </w:p>
    <w:p w14:paraId="3BD5EA5E" w14:textId="297D09A5" w:rsidR="00213304" w:rsidRPr="00213304" w:rsidRDefault="00213304" w:rsidP="4E7D9C53">
      <w:pPr>
        <w:jc w:val="both"/>
      </w:pPr>
      <w:r w:rsidRPr="4E7D9C53">
        <w:rPr>
          <w:rFonts w:cs="Arial"/>
          <w:sz w:val="24"/>
          <w:szCs w:val="24"/>
        </w:rPr>
        <w:t>Spotify was founded in 2006, and was the first to implement the freemium stream model, where users can listen to music for free with ads, but can also subscribe to pay for additional features. This approach helped it expand and get users worldwide quickly. Apple Music was the closest competitor, launched almost a decade later, which entered the market as a follower but soon caught market share by utilizing Apple's ecosystem of devices and services (Grant, 2021).</w:t>
      </w:r>
      <w:r w:rsidR="7DA78A10">
        <w:drawing>
          <wp:inline distT="0" distB="0" distL="0" distR="0" wp14:anchorId="45693273" wp14:editId="46B9A960">
            <wp:extent cx="5724525" cy="3219450"/>
            <wp:effectExtent l="0" t="0" r="0" b="0"/>
            <wp:docPr id="9416760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676041" name="Picture 941676041"/>
                    <pic:cNvPicPr/>
                  </pic:nvPicPr>
                  <pic:blipFill>
                    <a:blip r:embed="rId1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69CAB2DC" w14:textId="77777777" w:rsidR="00213304" w:rsidRPr="00213304" w:rsidRDefault="00213304" w:rsidP="00157EFE">
      <w:pPr>
        <w:jc w:val="both"/>
        <w:rPr>
          <w:rFonts w:cs="Arial"/>
          <w:sz w:val="24"/>
          <w:szCs w:val="24"/>
        </w:rPr>
      </w:pPr>
      <w:r w:rsidRPr="00213304">
        <w:rPr>
          <w:rFonts w:cs="Arial"/>
          <w:sz w:val="24"/>
          <w:szCs w:val="24"/>
        </w:rPr>
        <w:t>Despite Spotify having a first-mover advantage, the success of Apple Music shows that macro-environmental factors are important in determining competitive outcomes. In particular, technological innovation and platform ecosystem dynamics have become important drivers of both opportunities and threats in the industry.</w:t>
      </w:r>
    </w:p>
    <w:p w14:paraId="0D0B940D" w14:textId="77777777" w:rsidR="00213304" w:rsidRPr="00213304" w:rsidRDefault="00213304" w:rsidP="00157EFE">
      <w:pPr>
        <w:jc w:val="both"/>
        <w:rPr>
          <w:rFonts w:cs="Arial"/>
          <w:sz w:val="24"/>
          <w:szCs w:val="24"/>
        </w:rPr>
      </w:pPr>
    </w:p>
    <w:p w14:paraId="733A3C52" w14:textId="77777777" w:rsidR="00213304" w:rsidRPr="00213304" w:rsidRDefault="00213304" w:rsidP="00157EFE">
      <w:pPr>
        <w:pStyle w:val="Heading2"/>
        <w:jc w:val="both"/>
      </w:pPr>
      <w:bookmarkStart w:id="3" w:name="_Toc890123014"/>
      <w:r>
        <w:t>2.2 Macro Factor 1: Technological Innovation</w:t>
      </w:r>
      <w:bookmarkEnd w:id="3"/>
    </w:p>
    <w:p w14:paraId="296828A7" w14:textId="77777777" w:rsidR="00213304" w:rsidRPr="00213304" w:rsidRDefault="00213304" w:rsidP="00157EFE">
      <w:pPr>
        <w:jc w:val="both"/>
        <w:rPr>
          <w:rFonts w:cs="Arial"/>
          <w:sz w:val="24"/>
          <w:szCs w:val="24"/>
        </w:rPr>
      </w:pPr>
      <w:r w:rsidRPr="00213304">
        <w:rPr>
          <w:rFonts w:cs="Arial"/>
          <w:sz w:val="24"/>
          <w:szCs w:val="24"/>
        </w:rPr>
        <w:t>Technological innovation is a basic force of competitive advantage in the music streaming industry. Spotify has established itself as a leader in this area, by using artificial intelligence, machine learning and big data analytics to provide highly personalised user experiences (Brynjolfsson and McAfee, 2017). Its recommendation systems analyse the user behaviour, listening patterns and preferences to create curated playlists such as "Discover Weekly" that adds a lot to user engagement and retention.</w:t>
      </w:r>
    </w:p>
    <w:p w14:paraId="6D2E1257" w14:textId="77777777" w:rsidR="00213304" w:rsidRPr="00213304" w:rsidRDefault="00213304" w:rsidP="00157EFE">
      <w:pPr>
        <w:jc w:val="both"/>
        <w:rPr>
          <w:rFonts w:cs="Arial"/>
          <w:sz w:val="24"/>
          <w:szCs w:val="24"/>
        </w:rPr>
      </w:pPr>
      <w:r w:rsidRPr="00213304">
        <w:rPr>
          <w:rFonts w:cs="Arial"/>
          <w:sz w:val="24"/>
          <w:szCs w:val="24"/>
        </w:rPr>
        <w:t>Spotify's technological abilities are:</w:t>
      </w:r>
    </w:p>
    <w:p w14:paraId="54AA5B4D" w14:textId="77777777" w:rsidR="00213304" w:rsidRPr="000160C5" w:rsidRDefault="00213304" w:rsidP="00157EFE">
      <w:pPr>
        <w:pStyle w:val="ListParagraph"/>
        <w:numPr>
          <w:ilvl w:val="0"/>
          <w:numId w:val="35"/>
        </w:numPr>
        <w:jc w:val="both"/>
        <w:rPr>
          <w:rFonts w:cs="Arial"/>
          <w:sz w:val="24"/>
          <w:szCs w:val="24"/>
        </w:rPr>
      </w:pPr>
      <w:r w:rsidRPr="000160C5">
        <w:rPr>
          <w:rFonts w:cs="Arial"/>
          <w:sz w:val="24"/>
          <w:szCs w:val="24"/>
        </w:rPr>
        <w:t xml:space="preserve">AI-based advanced recommendation algorithms </w:t>
      </w:r>
    </w:p>
    <w:p w14:paraId="018A4B52" w14:textId="77777777" w:rsidR="00213304" w:rsidRPr="000160C5" w:rsidRDefault="00213304" w:rsidP="00157EFE">
      <w:pPr>
        <w:pStyle w:val="ListParagraph"/>
        <w:numPr>
          <w:ilvl w:val="0"/>
          <w:numId w:val="35"/>
        </w:numPr>
        <w:jc w:val="both"/>
        <w:rPr>
          <w:rFonts w:cs="Arial"/>
          <w:sz w:val="24"/>
          <w:szCs w:val="24"/>
        </w:rPr>
      </w:pPr>
      <w:r w:rsidRPr="000160C5">
        <w:rPr>
          <w:rFonts w:cs="Arial"/>
          <w:sz w:val="24"/>
          <w:szCs w:val="24"/>
        </w:rPr>
        <w:t xml:space="preserve">Personalised playlists and discovery of music </w:t>
      </w:r>
    </w:p>
    <w:p w14:paraId="733B1C8C" w14:textId="77777777" w:rsidR="00213304" w:rsidRPr="000160C5" w:rsidRDefault="00213304" w:rsidP="00157EFE">
      <w:pPr>
        <w:pStyle w:val="ListParagraph"/>
        <w:numPr>
          <w:ilvl w:val="0"/>
          <w:numId w:val="35"/>
        </w:numPr>
        <w:jc w:val="both"/>
        <w:rPr>
          <w:rFonts w:cs="Arial"/>
          <w:sz w:val="24"/>
          <w:szCs w:val="24"/>
        </w:rPr>
      </w:pPr>
      <w:r w:rsidRPr="000160C5">
        <w:rPr>
          <w:rFonts w:cs="Arial"/>
          <w:sz w:val="24"/>
          <w:szCs w:val="24"/>
        </w:rPr>
        <w:lastRenderedPageBreak/>
        <w:t xml:space="preserve">Constant innovation of user interface design </w:t>
      </w:r>
    </w:p>
    <w:p w14:paraId="75C62612" w14:textId="77777777" w:rsidR="00213304" w:rsidRPr="000160C5" w:rsidRDefault="00213304" w:rsidP="00157EFE">
      <w:pPr>
        <w:pStyle w:val="ListParagraph"/>
        <w:numPr>
          <w:ilvl w:val="0"/>
          <w:numId w:val="35"/>
        </w:numPr>
        <w:jc w:val="both"/>
        <w:rPr>
          <w:rFonts w:cs="Arial"/>
          <w:sz w:val="24"/>
          <w:szCs w:val="24"/>
        </w:rPr>
      </w:pPr>
      <w:r w:rsidRPr="000160C5">
        <w:rPr>
          <w:rFonts w:cs="Arial"/>
          <w:sz w:val="24"/>
          <w:szCs w:val="24"/>
        </w:rPr>
        <w:t xml:space="preserve">Cross-platform functionality between devices </w:t>
      </w:r>
    </w:p>
    <w:p w14:paraId="341A354C" w14:textId="77777777" w:rsidR="00213304" w:rsidRPr="00213304" w:rsidRDefault="00213304" w:rsidP="00157EFE">
      <w:pPr>
        <w:jc w:val="both"/>
        <w:rPr>
          <w:rFonts w:cs="Arial"/>
          <w:sz w:val="24"/>
          <w:szCs w:val="24"/>
        </w:rPr>
      </w:pPr>
      <w:r w:rsidRPr="4E7D9C53">
        <w:rPr>
          <w:rFonts w:cs="Arial"/>
          <w:sz w:val="24"/>
          <w:szCs w:val="24"/>
        </w:rPr>
        <w:t>These capabilities are what allow Spotify to distinguish itself by way of greater personalisation, and to establish a strong value proposition in favour of customer satisfaction. However, sustaining this technological leadership comes at great and constant cost, which puts pressure on operational costs, and consequently profitability (KPMG, 2022).</w:t>
      </w:r>
    </w:p>
    <w:p w14:paraId="6B615999" w14:textId="79A704A4" w:rsidR="00213304" w:rsidRPr="00213304" w:rsidRDefault="00213304" w:rsidP="4E7D9C53">
      <w:pPr>
        <w:jc w:val="both"/>
        <w:rPr>
          <w:rFonts w:cs="Arial"/>
          <w:sz w:val="24"/>
          <w:szCs w:val="24"/>
        </w:rPr>
      </w:pPr>
      <w:r>
        <w:drawing>
          <wp:anchor distT="0" distB="0" distL="114300" distR="114300" simplePos="0" relativeHeight="251657216" behindDoc="0" locked="0" layoutInCell="1" allowOverlap="1" wp14:anchorId="54489324" wp14:editId="7794CD84">
            <wp:simplePos x="0" y="0"/>
            <wp:positionH relativeFrom="column">
              <wp:align>left</wp:align>
            </wp:positionH>
            <wp:positionV relativeFrom="paragraph">
              <wp:posOffset>0</wp:posOffset>
            </wp:positionV>
            <wp:extent cx="3964764" cy="1781175"/>
            <wp:effectExtent l="0" t="0" r="0" b="0"/>
            <wp:wrapSquare wrapText="bothSides"/>
            <wp:docPr id="6758986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898697" name="Picture 675898697"/>
                    <pic:cNvPicPr/>
                  </pic:nvPicPr>
                  <pic:blipFill>
                    <a:blip r:embed="rId13">
                      <a:extLst>
                        <a:ext uri="{28A0092B-C50C-407E-A947-70E740481C1C}">
                          <a14:useLocalDpi xmlns:a14="http://schemas.microsoft.com/office/drawing/2010/main"/>
                        </a:ext>
                      </a:extLst>
                    </a:blip>
                    <a:stretch>
                      <a:fillRect/>
                    </a:stretch>
                  </pic:blipFill>
                  <pic:spPr>
                    <a:xfrm>
                      <a:off x="0" y="0"/>
                      <a:ext cx="3964764" cy="1781175"/>
                    </a:xfrm>
                    <a:prstGeom prst="rect">
                      <a:avLst/>
                    </a:prstGeom>
                  </pic:spPr>
                </pic:pic>
              </a:graphicData>
            </a:graphic>
            <wp14:sizeRelH relativeFrom="page">
              <wp14:pctWidth>0</wp14:pctWidth>
            </wp14:sizeRelH>
            <wp14:sizeRelV relativeFrom="page">
              <wp14:pctHeight>0</wp14:pctHeight>
            </wp14:sizeRelV>
          </wp:anchor>
        </w:drawing>
      </w:r>
      <w:r w:rsidRPr="4E7D9C53">
        <w:rPr>
          <w:rFonts w:cs="Arial"/>
          <w:sz w:val="24"/>
          <w:szCs w:val="24"/>
        </w:rPr>
        <w:t>In contrast, Apple Music has a different technology strategy aimed at integration in the Apple ecosystem rather than in data-driven personalisation. While it has a set of playlists you can listen to and premium features like lossless audio and spatial sound, its recommendation systems are generally not as advanced as those of Spotify (Laudon and Traver, 2021). Instead Apple Music focuses on integration across Apple devices ensuring convenience and a better user experience.</w:t>
      </w:r>
    </w:p>
    <w:p w14:paraId="57D923BE" w14:textId="77777777" w:rsidR="00213304" w:rsidRPr="00213304" w:rsidRDefault="00213304" w:rsidP="00157EFE">
      <w:pPr>
        <w:jc w:val="both"/>
        <w:rPr>
          <w:rFonts w:cs="Arial"/>
          <w:sz w:val="24"/>
          <w:szCs w:val="24"/>
        </w:rPr>
      </w:pPr>
      <w:r w:rsidRPr="00213304">
        <w:rPr>
          <w:rFonts w:cs="Arial"/>
          <w:sz w:val="24"/>
          <w:szCs w:val="24"/>
        </w:rPr>
        <w:t>Apple Music's technological strengths are:</w:t>
      </w:r>
    </w:p>
    <w:p w14:paraId="758CA7AE" w14:textId="77777777" w:rsidR="00213304" w:rsidRPr="000160C5" w:rsidRDefault="00213304" w:rsidP="00157EFE">
      <w:pPr>
        <w:pStyle w:val="ListParagraph"/>
        <w:numPr>
          <w:ilvl w:val="0"/>
          <w:numId w:val="36"/>
        </w:numPr>
        <w:jc w:val="both"/>
        <w:rPr>
          <w:rFonts w:cs="Arial"/>
          <w:sz w:val="24"/>
          <w:szCs w:val="24"/>
        </w:rPr>
      </w:pPr>
      <w:r w:rsidRPr="000160C5">
        <w:rPr>
          <w:rFonts w:cs="Arial"/>
          <w:sz w:val="24"/>
          <w:szCs w:val="24"/>
        </w:rPr>
        <w:t xml:space="preserve">Integration with Apple hardware &amp; software </w:t>
      </w:r>
    </w:p>
    <w:p w14:paraId="0D338801" w14:textId="77777777" w:rsidR="00213304" w:rsidRPr="000160C5" w:rsidRDefault="00213304" w:rsidP="00157EFE">
      <w:pPr>
        <w:pStyle w:val="ListParagraph"/>
        <w:numPr>
          <w:ilvl w:val="0"/>
          <w:numId w:val="36"/>
        </w:numPr>
        <w:jc w:val="both"/>
        <w:rPr>
          <w:rFonts w:cs="Arial"/>
          <w:sz w:val="24"/>
          <w:szCs w:val="24"/>
        </w:rPr>
      </w:pPr>
      <w:r w:rsidRPr="000160C5">
        <w:rPr>
          <w:rFonts w:cs="Arial"/>
          <w:sz w:val="24"/>
          <w:szCs w:val="24"/>
        </w:rPr>
        <w:t xml:space="preserve">High-quality audio features </w:t>
      </w:r>
    </w:p>
    <w:p w14:paraId="057EA5AF" w14:textId="77777777" w:rsidR="00213304" w:rsidRPr="000160C5" w:rsidRDefault="00213304" w:rsidP="00157EFE">
      <w:pPr>
        <w:pStyle w:val="ListParagraph"/>
        <w:numPr>
          <w:ilvl w:val="0"/>
          <w:numId w:val="36"/>
        </w:numPr>
        <w:jc w:val="both"/>
        <w:rPr>
          <w:rFonts w:cs="Arial"/>
          <w:sz w:val="24"/>
          <w:szCs w:val="24"/>
        </w:rPr>
      </w:pPr>
      <w:r w:rsidRPr="000160C5">
        <w:rPr>
          <w:rFonts w:cs="Arial"/>
          <w:sz w:val="24"/>
          <w:szCs w:val="24"/>
        </w:rPr>
        <w:t xml:space="preserve">Consistent and powerful user interface and design </w:t>
      </w:r>
    </w:p>
    <w:p w14:paraId="411118C4" w14:textId="77777777" w:rsidR="00213304" w:rsidRPr="000160C5" w:rsidRDefault="00213304" w:rsidP="00157EFE">
      <w:pPr>
        <w:pStyle w:val="ListParagraph"/>
        <w:numPr>
          <w:ilvl w:val="0"/>
          <w:numId w:val="36"/>
        </w:numPr>
        <w:jc w:val="both"/>
        <w:rPr>
          <w:rFonts w:cs="Arial"/>
          <w:sz w:val="24"/>
          <w:szCs w:val="24"/>
        </w:rPr>
      </w:pPr>
      <w:r w:rsidRPr="000160C5">
        <w:rPr>
          <w:rFonts w:cs="Arial"/>
          <w:sz w:val="24"/>
          <w:szCs w:val="24"/>
        </w:rPr>
        <w:t xml:space="preserve">Human-curated content </w:t>
      </w:r>
    </w:p>
    <w:p w14:paraId="14D3A9B0" w14:textId="77777777" w:rsidR="00213304" w:rsidRPr="00213304" w:rsidRDefault="00213304" w:rsidP="00157EFE">
      <w:pPr>
        <w:jc w:val="both"/>
        <w:rPr>
          <w:rFonts w:cs="Arial"/>
          <w:sz w:val="24"/>
          <w:szCs w:val="24"/>
        </w:rPr>
      </w:pPr>
      <w:r w:rsidRPr="00213304">
        <w:rPr>
          <w:rFonts w:cs="Arial"/>
          <w:sz w:val="24"/>
          <w:szCs w:val="24"/>
        </w:rPr>
        <w:t>From a critical perspective, this contrast reflects two different approaches of strategy - innovation-driven differentiation and ecosystem-driven optimisation. Spotify's focus on data-driven innovation offers improved engagement and scalability while Apple's Music's strategy focuses on user retention through integration. According to Teece (2018) firms that successfully match technological abilities to business models are better able to maintain competitive advantage in fast-changing industries.</w:t>
      </w:r>
    </w:p>
    <w:p w14:paraId="0E27B00A" w14:textId="77777777" w:rsidR="00213304" w:rsidRPr="00213304" w:rsidRDefault="00213304" w:rsidP="00157EFE">
      <w:pPr>
        <w:jc w:val="both"/>
        <w:rPr>
          <w:rFonts w:cs="Arial"/>
          <w:sz w:val="24"/>
          <w:szCs w:val="24"/>
        </w:rPr>
      </w:pPr>
    </w:p>
    <w:p w14:paraId="13146B02" w14:textId="77777777" w:rsidR="00213304" w:rsidRPr="00213304" w:rsidRDefault="00213304" w:rsidP="00157EFE">
      <w:pPr>
        <w:pStyle w:val="Heading2"/>
        <w:jc w:val="both"/>
      </w:pPr>
      <w:bookmarkStart w:id="4" w:name="_Toc1753354948"/>
      <w:r>
        <w:t>2.3 Macro Factor 2: Dynamics of Platform Ecosystem</w:t>
      </w:r>
      <w:bookmarkEnd w:id="4"/>
    </w:p>
    <w:p w14:paraId="12CDF0EC" w14:textId="77777777" w:rsidR="00213304" w:rsidRPr="00213304" w:rsidRDefault="00213304" w:rsidP="00157EFE">
      <w:pPr>
        <w:jc w:val="both"/>
        <w:rPr>
          <w:rFonts w:cs="Arial"/>
          <w:sz w:val="24"/>
          <w:szCs w:val="24"/>
        </w:rPr>
      </w:pPr>
      <w:r w:rsidRPr="00213304">
        <w:rPr>
          <w:rFonts w:cs="Arial"/>
          <w:sz w:val="24"/>
          <w:szCs w:val="24"/>
        </w:rPr>
        <w:t>Platform ecosystem dynamics are important in terms of competition in the streaming ecosystem. Spotify is an open platform that is available on multiple devices and operating systems, Android, iOS, and web-based systems. This openness facilitates accessibility and helps Spotify to reach a wide and diverse global audience (Chaffey, 2022).</w:t>
      </w:r>
    </w:p>
    <w:p w14:paraId="12162C8D" w14:textId="77777777" w:rsidR="00213304" w:rsidRPr="00213304" w:rsidRDefault="00213304" w:rsidP="00157EFE">
      <w:pPr>
        <w:jc w:val="both"/>
        <w:rPr>
          <w:rFonts w:cs="Arial"/>
          <w:sz w:val="24"/>
          <w:szCs w:val="24"/>
        </w:rPr>
      </w:pPr>
      <w:r w:rsidRPr="00213304">
        <w:rPr>
          <w:rFonts w:cs="Arial"/>
          <w:sz w:val="24"/>
          <w:szCs w:val="24"/>
        </w:rPr>
        <w:t>The advantages of the Spotify's ecosystem include:</w:t>
      </w:r>
    </w:p>
    <w:p w14:paraId="1138C7D0" w14:textId="77777777" w:rsidR="00213304" w:rsidRPr="000160C5" w:rsidRDefault="00213304" w:rsidP="00157EFE">
      <w:pPr>
        <w:pStyle w:val="ListParagraph"/>
        <w:numPr>
          <w:ilvl w:val="0"/>
          <w:numId w:val="37"/>
        </w:numPr>
        <w:jc w:val="both"/>
        <w:rPr>
          <w:rFonts w:cs="Arial"/>
          <w:sz w:val="24"/>
          <w:szCs w:val="24"/>
        </w:rPr>
      </w:pPr>
      <w:r w:rsidRPr="000160C5">
        <w:rPr>
          <w:rFonts w:cs="Arial"/>
          <w:sz w:val="24"/>
          <w:szCs w:val="24"/>
        </w:rPr>
        <w:t xml:space="preserve">Cross-platform compatibility </w:t>
      </w:r>
    </w:p>
    <w:p w14:paraId="1CBF16E4" w14:textId="77777777" w:rsidR="00213304" w:rsidRPr="000160C5" w:rsidRDefault="00213304" w:rsidP="00157EFE">
      <w:pPr>
        <w:pStyle w:val="ListParagraph"/>
        <w:numPr>
          <w:ilvl w:val="0"/>
          <w:numId w:val="37"/>
        </w:numPr>
        <w:jc w:val="both"/>
        <w:rPr>
          <w:rFonts w:cs="Arial"/>
          <w:sz w:val="24"/>
          <w:szCs w:val="24"/>
        </w:rPr>
      </w:pPr>
      <w:r w:rsidRPr="000160C5">
        <w:rPr>
          <w:rFonts w:cs="Arial"/>
          <w:sz w:val="24"/>
          <w:szCs w:val="24"/>
        </w:rPr>
        <w:lastRenderedPageBreak/>
        <w:t xml:space="preserve">Global accessibility </w:t>
      </w:r>
    </w:p>
    <w:p w14:paraId="7E6BCF27" w14:textId="77777777" w:rsidR="00213304" w:rsidRPr="000160C5" w:rsidRDefault="00213304" w:rsidP="00157EFE">
      <w:pPr>
        <w:pStyle w:val="ListParagraph"/>
        <w:numPr>
          <w:ilvl w:val="0"/>
          <w:numId w:val="37"/>
        </w:numPr>
        <w:jc w:val="both"/>
        <w:rPr>
          <w:rFonts w:cs="Arial"/>
          <w:sz w:val="24"/>
          <w:szCs w:val="24"/>
        </w:rPr>
      </w:pPr>
      <w:r w:rsidRPr="000160C5">
        <w:rPr>
          <w:rFonts w:cs="Arial"/>
          <w:sz w:val="24"/>
          <w:szCs w:val="24"/>
        </w:rPr>
        <w:t xml:space="preserve">Flexibility across devices </w:t>
      </w:r>
    </w:p>
    <w:p w14:paraId="2DFC8831" w14:textId="77777777" w:rsidR="00213304" w:rsidRPr="000160C5" w:rsidRDefault="00213304" w:rsidP="00157EFE">
      <w:pPr>
        <w:pStyle w:val="ListParagraph"/>
        <w:numPr>
          <w:ilvl w:val="0"/>
          <w:numId w:val="37"/>
        </w:numPr>
        <w:jc w:val="both"/>
        <w:rPr>
          <w:rFonts w:cs="Arial"/>
          <w:sz w:val="24"/>
          <w:szCs w:val="24"/>
        </w:rPr>
      </w:pPr>
      <w:r w:rsidRPr="000160C5">
        <w:rPr>
          <w:rFonts w:cs="Arial"/>
          <w:sz w:val="24"/>
          <w:szCs w:val="24"/>
        </w:rPr>
        <w:t xml:space="preserve">Lower switching barriers </w:t>
      </w:r>
    </w:p>
    <w:p w14:paraId="6825764E" w14:textId="77777777" w:rsidR="00213304" w:rsidRPr="00213304" w:rsidRDefault="00213304" w:rsidP="00157EFE">
      <w:pPr>
        <w:jc w:val="both"/>
        <w:rPr>
          <w:rFonts w:cs="Arial"/>
          <w:sz w:val="24"/>
          <w:szCs w:val="24"/>
        </w:rPr>
      </w:pPr>
      <w:r w:rsidRPr="08F56D2B">
        <w:rPr>
          <w:rFonts w:cs="Arial"/>
          <w:sz w:val="24"/>
          <w:szCs w:val="24"/>
        </w:rPr>
        <w:t>However, lower switching costs also means that users have easy access to alternative and competing platforms, which puts pressure on competition.</w:t>
      </w:r>
    </w:p>
    <w:p w14:paraId="2752568B" w14:textId="04EF8674" w:rsidR="00213304" w:rsidRPr="00213304" w:rsidRDefault="00213304" w:rsidP="08F56D2B">
      <w:pPr>
        <w:jc w:val="both"/>
        <w:rPr>
          <w:rFonts w:cs="Arial"/>
          <w:sz w:val="24"/>
          <w:szCs w:val="24"/>
        </w:rPr>
      </w:pPr>
      <w:r>
        <w:drawing>
          <wp:anchor distT="0" distB="0" distL="114300" distR="114300" simplePos="0" relativeHeight="251658240" behindDoc="0" locked="0" layoutInCell="1" allowOverlap="1" wp14:anchorId="13198C0B" wp14:editId="08C468B5">
            <wp:simplePos x="0" y="0"/>
            <wp:positionH relativeFrom="column">
              <wp:align>right</wp:align>
            </wp:positionH>
            <wp:positionV relativeFrom="paragraph">
              <wp:posOffset>0</wp:posOffset>
            </wp:positionV>
            <wp:extent cx="3819525" cy="2904364"/>
            <wp:effectExtent l="9525" t="9525" r="9525" b="9525"/>
            <wp:wrapSquare wrapText="bothSides"/>
            <wp:docPr id="8830897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089778" name="Picture 883089778"/>
                    <pic:cNvPicPr/>
                  </pic:nvPicPr>
                  <pic:blipFill>
                    <a:blip r:embed="rId14">
                      <a:extLst>
                        <a:ext uri="{28A0092B-C50C-407E-A947-70E740481C1C}">
                          <a14:useLocalDpi xmlns:a14="http://schemas.microsoft.com/office/drawing/2010/main"/>
                        </a:ext>
                      </a:extLst>
                    </a:blip>
                    <a:stretch>
                      <a:fillRect/>
                    </a:stretch>
                  </pic:blipFill>
                  <pic:spPr>
                    <a:xfrm>
                      <a:off x="0" y="0"/>
                      <a:ext cx="3819525" cy="2904364"/>
                    </a:xfrm>
                    <a:prstGeom prst="rect">
                      <a:avLst/>
                    </a:prstGeom>
                    <a:ln w="9525">
                      <a:solidFill>
                        <a:srgbClr val="0070C0"/>
                      </a:solidFill>
                      <a:prstDash val="solid"/>
                    </a:ln>
                  </pic:spPr>
                </pic:pic>
              </a:graphicData>
            </a:graphic>
            <wp14:sizeRelH relativeFrom="page">
              <wp14:pctWidth>0</wp14:pctWidth>
            </wp14:sizeRelH>
            <wp14:sizeRelV relativeFrom="page">
              <wp14:pctHeight>0</wp14:pctHeight>
            </wp14:sizeRelV>
          </wp:anchor>
        </w:drawing>
      </w:r>
      <w:r w:rsidRPr="08F56D2B">
        <w:rPr>
          <w:rFonts w:cs="Arial"/>
          <w:sz w:val="24"/>
          <w:szCs w:val="24"/>
        </w:rPr>
        <w:t>Apple Music, on the other hand, is a closed ecosystem that is tightly integrated with Apple's hardware and software. This helps in creating a seamless and cohesive user experience but it comes at the cost of accessibility for non-Apple users. The ecosystem strategy makes users less able to switch away from the platform (Grant, 2021) by increasing their switching costs.</w:t>
      </w:r>
    </w:p>
    <w:p w14:paraId="7FBAA7FF" w14:textId="77777777" w:rsidR="00213304" w:rsidRPr="00213304" w:rsidRDefault="00213304" w:rsidP="00157EFE">
      <w:pPr>
        <w:jc w:val="both"/>
        <w:rPr>
          <w:rFonts w:cs="Arial"/>
          <w:sz w:val="24"/>
          <w:szCs w:val="24"/>
        </w:rPr>
      </w:pPr>
      <w:r w:rsidRPr="00213304">
        <w:rPr>
          <w:rFonts w:cs="Arial"/>
          <w:sz w:val="24"/>
          <w:szCs w:val="24"/>
        </w:rPr>
        <w:t>The strengths of Apple Music's ecosystem are:</w:t>
      </w:r>
    </w:p>
    <w:p w14:paraId="76BBF0CE" w14:textId="77777777" w:rsidR="00213304" w:rsidRPr="000160C5" w:rsidRDefault="00213304" w:rsidP="00157EFE">
      <w:pPr>
        <w:pStyle w:val="ListParagraph"/>
        <w:numPr>
          <w:ilvl w:val="0"/>
          <w:numId w:val="38"/>
        </w:numPr>
        <w:jc w:val="both"/>
        <w:rPr>
          <w:rFonts w:cs="Arial"/>
          <w:sz w:val="24"/>
          <w:szCs w:val="24"/>
        </w:rPr>
      </w:pPr>
      <w:r w:rsidRPr="000160C5">
        <w:rPr>
          <w:rFonts w:cs="Arial"/>
          <w:sz w:val="24"/>
          <w:szCs w:val="24"/>
        </w:rPr>
        <w:t xml:space="preserve">High level of integration with Apple devices </w:t>
      </w:r>
    </w:p>
    <w:p w14:paraId="472BE9C0" w14:textId="77777777" w:rsidR="00213304" w:rsidRPr="000160C5" w:rsidRDefault="00213304" w:rsidP="00157EFE">
      <w:pPr>
        <w:pStyle w:val="ListParagraph"/>
        <w:numPr>
          <w:ilvl w:val="0"/>
          <w:numId w:val="38"/>
        </w:numPr>
        <w:jc w:val="both"/>
        <w:rPr>
          <w:rFonts w:cs="Arial"/>
          <w:sz w:val="24"/>
          <w:szCs w:val="24"/>
        </w:rPr>
      </w:pPr>
      <w:r w:rsidRPr="000160C5">
        <w:rPr>
          <w:rFonts w:cs="Arial"/>
          <w:sz w:val="24"/>
          <w:szCs w:val="24"/>
        </w:rPr>
        <w:t xml:space="preserve">High switching costs and customer loyalty </w:t>
      </w:r>
    </w:p>
    <w:p w14:paraId="60EA0F76" w14:textId="77777777" w:rsidR="00213304" w:rsidRPr="000160C5" w:rsidRDefault="00213304" w:rsidP="00157EFE">
      <w:pPr>
        <w:pStyle w:val="ListParagraph"/>
        <w:numPr>
          <w:ilvl w:val="0"/>
          <w:numId w:val="38"/>
        </w:numPr>
        <w:jc w:val="both"/>
        <w:rPr>
          <w:rFonts w:cs="Arial"/>
          <w:sz w:val="24"/>
          <w:szCs w:val="24"/>
        </w:rPr>
      </w:pPr>
      <w:r w:rsidRPr="000160C5">
        <w:rPr>
          <w:rFonts w:cs="Arial"/>
          <w:sz w:val="24"/>
          <w:szCs w:val="24"/>
        </w:rPr>
        <w:t xml:space="preserve">Bundled services (e.g. Apple One) </w:t>
      </w:r>
    </w:p>
    <w:p w14:paraId="2BF1C59B" w14:textId="77777777" w:rsidR="00213304" w:rsidRPr="000160C5" w:rsidRDefault="00213304" w:rsidP="00157EFE">
      <w:pPr>
        <w:pStyle w:val="ListParagraph"/>
        <w:numPr>
          <w:ilvl w:val="0"/>
          <w:numId w:val="38"/>
        </w:numPr>
        <w:jc w:val="both"/>
        <w:rPr>
          <w:rFonts w:cs="Arial"/>
          <w:sz w:val="24"/>
          <w:szCs w:val="24"/>
        </w:rPr>
      </w:pPr>
      <w:r w:rsidRPr="000160C5">
        <w:rPr>
          <w:rFonts w:cs="Arial"/>
          <w:sz w:val="24"/>
          <w:szCs w:val="24"/>
        </w:rPr>
        <w:t xml:space="preserve">Strong brand loyalty </w:t>
      </w:r>
    </w:p>
    <w:p w14:paraId="197B2C4F" w14:textId="77777777" w:rsidR="00213304" w:rsidRDefault="00213304" w:rsidP="00157EFE">
      <w:pPr>
        <w:jc w:val="both"/>
        <w:rPr>
          <w:rFonts w:cs="Arial"/>
          <w:sz w:val="24"/>
          <w:szCs w:val="24"/>
        </w:rPr>
      </w:pPr>
      <w:r w:rsidRPr="00213304">
        <w:rPr>
          <w:rFonts w:cs="Arial"/>
          <w:sz w:val="24"/>
          <w:szCs w:val="24"/>
        </w:rPr>
        <w:t>Critically, this is a trade-off of accessibility and control. Open platform Spotify facilitates the development of scalability and reach in the market, whereas Apple Music's closed ecosystem helps build user retention. Porter (2008) suggests that such structural differences are a significant influence on competitive positioning as well as long run profitability.</w:t>
      </w:r>
    </w:p>
    <w:p w14:paraId="60061E4C" w14:textId="77777777" w:rsidR="000160C5" w:rsidRPr="00213304" w:rsidRDefault="000160C5" w:rsidP="00157EFE">
      <w:pPr>
        <w:jc w:val="both"/>
        <w:rPr>
          <w:rFonts w:cs="Arial"/>
          <w:sz w:val="24"/>
          <w:szCs w:val="24"/>
        </w:rPr>
      </w:pPr>
    </w:p>
    <w:p w14:paraId="740A91F2" w14:textId="77777777" w:rsidR="000160C5" w:rsidRPr="000160C5" w:rsidRDefault="000160C5" w:rsidP="00157EFE">
      <w:pPr>
        <w:pStyle w:val="Heading2"/>
        <w:jc w:val="both"/>
      </w:pPr>
      <w:bookmarkStart w:id="5" w:name="_Toc1258853969"/>
      <w:r>
        <w:t>2.4 Effect on Competitive Position</w:t>
      </w:r>
      <w:bookmarkEnd w:id="5"/>
    </w:p>
    <w:p w14:paraId="08B2EA8E" w14:textId="77777777" w:rsidR="000160C5" w:rsidRPr="000160C5" w:rsidRDefault="000160C5" w:rsidP="00157EFE">
      <w:pPr>
        <w:jc w:val="both"/>
        <w:rPr>
          <w:rFonts w:cs="Arial"/>
          <w:sz w:val="24"/>
          <w:szCs w:val="24"/>
        </w:rPr>
      </w:pPr>
      <w:r w:rsidRPr="000160C5">
        <w:rPr>
          <w:rFonts w:cs="Arial"/>
          <w:sz w:val="24"/>
          <w:szCs w:val="24"/>
        </w:rPr>
        <w:t>The interplay of technological innovation and platform ecosystem dynamics plays a major role in the competitive positioning of Spotify and Apple Music. Spotify's strengths are the application of its intelligent personalisation capabilities and global accessibility that allow it to acquire a large and diverse user base. However, it has lower switching costs thus making it more prone to competition.</w:t>
      </w:r>
    </w:p>
    <w:p w14:paraId="41034C90" w14:textId="77777777" w:rsidR="000160C5" w:rsidRPr="000160C5" w:rsidRDefault="000160C5" w:rsidP="00157EFE">
      <w:pPr>
        <w:jc w:val="both"/>
        <w:rPr>
          <w:rFonts w:cs="Arial"/>
          <w:sz w:val="24"/>
          <w:szCs w:val="24"/>
        </w:rPr>
      </w:pPr>
      <w:r w:rsidRPr="000160C5">
        <w:rPr>
          <w:rFonts w:cs="Arial"/>
          <w:sz w:val="24"/>
          <w:szCs w:val="24"/>
        </w:rPr>
        <w:t>Apple Music, on the other hand, has the advantage of good ecosystem integration, which maximizes customer retention and generates high switching costs. However, its limited access outside the Apple ecosystem might limit its growth potential.</w:t>
      </w:r>
    </w:p>
    <w:p w14:paraId="269A6078" w14:textId="77777777" w:rsidR="000160C5" w:rsidRPr="000160C5" w:rsidRDefault="000160C5" w:rsidP="00157EFE">
      <w:pPr>
        <w:jc w:val="both"/>
        <w:rPr>
          <w:rFonts w:cs="Arial"/>
          <w:sz w:val="24"/>
          <w:szCs w:val="24"/>
        </w:rPr>
      </w:pPr>
      <w:r w:rsidRPr="000160C5">
        <w:rPr>
          <w:rFonts w:cs="Arial"/>
          <w:sz w:val="24"/>
          <w:szCs w:val="24"/>
        </w:rPr>
        <w:lastRenderedPageBreak/>
        <w:t>Comparative positioning:</w:t>
      </w:r>
    </w:p>
    <w:p w14:paraId="48FE66FC" w14:textId="77777777" w:rsidR="000160C5" w:rsidRPr="000160C5" w:rsidRDefault="000160C5" w:rsidP="00157EFE">
      <w:pPr>
        <w:jc w:val="both"/>
        <w:rPr>
          <w:rFonts w:cs="Arial"/>
          <w:sz w:val="24"/>
          <w:szCs w:val="24"/>
        </w:rPr>
      </w:pPr>
      <w:r w:rsidRPr="000160C5">
        <w:rPr>
          <w:rFonts w:cs="Arial"/>
          <w:sz w:val="24"/>
          <w:szCs w:val="24"/>
        </w:rPr>
        <w:t xml:space="preserve">Spotify: </w:t>
      </w:r>
    </w:p>
    <w:p w14:paraId="3B71A041" w14:textId="77777777" w:rsidR="000160C5" w:rsidRPr="000160C5" w:rsidRDefault="000160C5" w:rsidP="00157EFE">
      <w:pPr>
        <w:pStyle w:val="ListParagraph"/>
        <w:numPr>
          <w:ilvl w:val="0"/>
          <w:numId w:val="39"/>
        </w:numPr>
        <w:jc w:val="both"/>
        <w:rPr>
          <w:rFonts w:cs="Arial"/>
          <w:sz w:val="24"/>
          <w:szCs w:val="24"/>
        </w:rPr>
      </w:pPr>
      <w:r w:rsidRPr="000160C5">
        <w:rPr>
          <w:rFonts w:cs="Arial"/>
          <w:sz w:val="24"/>
          <w:szCs w:val="24"/>
        </w:rPr>
        <w:t xml:space="preserve">Strengths: innovation, individualisation, scaleability </w:t>
      </w:r>
    </w:p>
    <w:p w14:paraId="09CA1C87" w14:textId="77777777" w:rsidR="000160C5" w:rsidRPr="000160C5" w:rsidRDefault="000160C5" w:rsidP="00157EFE">
      <w:pPr>
        <w:pStyle w:val="ListParagraph"/>
        <w:numPr>
          <w:ilvl w:val="0"/>
          <w:numId w:val="39"/>
        </w:numPr>
        <w:jc w:val="both"/>
        <w:rPr>
          <w:rFonts w:cs="Arial"/>
          <w:sz w:val="24"/>
          <w:szCs w:val="24"/>
        </w:rPr>
      </w:pPr>
      <w:r w:rsidRPr="000160C5">
        <w:rPr>
          <w:rFonts w:cs="Arial"/>
          <w:sz w:val="24"/>
          <w:szCs w:val="24"/>
        </w:rPr>
        <w:t xml:space="preserve">Weaknesses: Lower user lock-in </w:t>
      </w:r>
    </w:p>
    <w:p w14:paraId="6F9AB7D7" w14:textId="77777777" w:rsidR="000160C5" w:rsidRPr="000160C5" w:rsidRDefault="000160C5" w:rsidP="00157EFE">
      <w:pPr>
        <w:jc w:val="both"/>
        <w:rPr>
          <w:rFonts w:cs="Arial"/>
          <w:sz w:val="24"/>
          <w:szCs w:val="24"/>
        </w:rPr>
      </w:pPr>
      <w:r w:rsidRPr="000160C5">
        <w:rPr>
          <w:rFonts w:cs="Arial"/>
          <w:sz w:val="24"/>
          <w:szCs w:val="24"/>
        </w:rPr>
        <w:t xml:space="preserve">Apple Music: </w:t>
      </w:r>
    </w:p>
    <w:p w14:paraId="75BB4565" w14:textId="77777777" w:rsidR="000160C5" w:rsidRPr="000160C5" w:rsidRDefault="000160C5" w:rsidP="00157EFE">
      <w:pPr>
        <w:pStyle w:val="ListParagraph"/>
        <w:numPr>
          <w:ilvl w:val="0"/>
          <w:numId w:val="40"/>
        </w:numPr>
        <w:jc w:val="both"/>
        <w:rPr>
          <w:rFonts w:cs="Arial"/>
          <w:sz w:val="24"/>
          <w:szCs w:val="24"/>
        </w:rPr>
      </w:pPr>
      <w:r w:rsidRPr="000160C5">
        <w:rPr>
          <w:rFonts w:cs="Arial"/>
          <w:sz w:val="24"/>
          <w:szCs w:val="24"/>
        </w:rPr>
        <w:t xml:space="preserve">Strengths Ecosystem integration, retention </w:t>
      </w:r>
    </w:p>
    <w:p w14:paraId="3090C212" w14:textId="77777777" w:rsidR="000160C5" w:rsidRPr="000160C5" w:rsidRDefault="000160C5" w:rsidP="00157EFE">
      <w:pPr>
        <w:pStyle w:val="ListParagraph"/>
        <w:numPr>
          <w:ilvl w:val="0"/>
          <w:numId w:val="40"/>
        </w:numPr>
        <w:jc w:val="both"/>
        <w:rPr>
          <w:rFonts w:cs="Arial"/>
          <w:sz w:val="24"/>
          <w:szCs w:val="24"/>
        </w:rPr>
      </w:pPr>
      <w:r w:rsidRPr="000160C5">
        <w:rPr>
          <w:rFonts w:cs="Arial"/>
          <w:sz w:val="24"/>
          <w:szCs w:val="24"/>
        </w:rPr>
        <w:t xml:space="preserve">Weaknesses Lack of cross-platform reach </w:t>
      </w:r>
    </w:p>
    <w:p w14:paraId="34234EB9" w14:textId="77777777" w:rsidR="000160C5" w:rsidRDefault="000160C5" w:rsidP="00157EFE">
      <w:pPr>
        <w:jc w:val="both"/>
        <w:rPr>
          <w:rFonts w:cs="Arial"/>
          <w:sz w:val="24"/>
          <w:szCs w:val="24"/>
        </w:rPr>
      </w:pPr>
      <w:r w:rsidRPr="000160C5">
        <w:rPr>
          <w:rFonts w:cs="Arial"/>
          <w:sz w:val="24"/>
          <w:szCs w:val="24"/>
        </w:rPr>
        <w:t>Critically, this analysis shows that first mover advantage is not enough to sustain dominance. Instead, competence success relies on a match between technological competencies and ecosystem strategies (Grant, 2021; Teece, 2018).</w:t>
      </w:r>
    </w:p>
    <w:p w14:paraId="44EAFD9C" w14:textId="77777777" w:rsidR="000160C5" w:rsidRPr="000160C5" w:rsidRDefault="000160C5" w:rsidP="00157EFE">
      <w:pPr>
        <w:jc w:val="both"/>
        <w:rPr>
          <w:rFonts w:cs="Arial"/>
          <w:sz w:val="24"/>
          <w:szCs w:val="24"/>
        </w:rPr>
      </w:pPr>
    </w:p>
    <w:p w14:paraId="6EEBF4E2" w14:textId="77777777" w:rsidR="000160C5" w:rsidRPr="000160C5" w:rsidRDefault="000160C5" w:rsidP="00157EFE">
      <w:pPr>
        <w:pStyle w:val="Heading1"/>
        <w:jc w:val="both"/>
      </w:pPr>
      <w:bookmarkStart w:id="6" w:name="_Toc670677553"/>
      <w:r>
        <w:t>3. Task 2 Strategic Response Evaluation</w:t>
      </w:r>
      <w:bookmarkEnd w:id="6"/>
      <w:r>
        <w:t xml:space="preserve"> </w:t>
      </w:r>
    </w:p>
    <w:p w14:paraId="64FFBF90" w14:textId="77777777" w:rsidR="000160C5" w:rsidRPr="000160C5" w:rsidRDefault="000160C5" w:rsidP="00157EFE">
      <w:pPr>
        <w:pStyle w:val="Heading2"/>
        <w:jc w:val="both"/>
      </w:pPr>
      <w:bookmarkStart w:id="7" w:name="_Toc1860103904"/>
      <w:r>
        <w:t>3.1 Porter’s Generic Strategies</w:t>
      </w:r>
      <w:bookmarkEnd w:id="7"/>
    </w:p>
    <w:p w14:paraId="2509F56B" w14:textId="77777777" w:rsidR="000160C5" w:rsidRPr="000160C5" w:rsidRDefault="000160C5" w:rsidP="00157EFE">
      <w:pPr>
        <w:jc w:val="both"/>
        <w:rPr>
          <w:rFonts w:cs="Arial"/>
          <w:sz w:val="24"/>
          <w:szCs w:val="24"/>
        </w:rPr>
      </w:pPr>
      <w:r w:rsidRPr="321F8DC8">
        <w:rPr>
          <w:rFonts w:cs="Arial"/>
          <w:sz w:val="24"/>
          <w:szCs w:val="24"/>
        </w:rPr>
        <w:t>Porter's Generic Strategies framework is a useful framework for analysing how an organisation can achieve competitive advantage through cost leadership, differentiation or focus (Porter, 1985). Within the global world of music streaming, the companies of Spotify and Apple Music have key strategic differences representing their internal ability and response to the macro-environmental conditions identified in Task 1.</w:t>
      </w:r>
    </w:p>
    <w:p w14:paraId="4E49DA4B" w14:textId="5EE70346" w:rsidR="000160C5" w:rsidRPr="000160C5" w:rsidRDefault="000160C5" w:rsidP="321F8DC8">
      <w:pPr>
        <w:jc w:val="both"/>
        <w:rPr>
          <w:rFonts w:cs="Arial"/>
          <w:sz w:val="24"/>
          <w:szCs w:val="24"/>
        </w:rPr>
      </w:pPr>
      <w:r>
        <w:drawing>
          <wp:anchor distT="0" distB="0" distL="114300" distR="114300" simplePos="0" relativeHeight="251659264" behindDoc="0" locked="0" layoutInCell="1" allowOverlap="1" wp14:anchorId="12771985" wp14:editId="704C3314">
            <wp:simplePos x="0" y="0"/>
            <wp:positionH relativeFrom="column">
              <wp:align>left</wp:align>
            </wp:positionH>
            <wp:positionV relativeFrom="paragraph">
              <wp:posOffset>0</wp:posOffset>
            </wp:positionV>
            <wp:extent cx="3228975" cy="3202111"/>
            <wp:effectExtent l="0" t="0" r="0" b="0"/>
            <wp:wrapSquare wrapText="bothSides"/>
            <wp:docPr id="8934274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427454" name="Picture 893427454"/>
                    <pic:cNvPicPr/>
                  </pic:nvPicPr>
                  <pic:blipFill>
                    <a:blip r:embed="rId15">
                      <a:extLst>
                        <a:ext uri="{28A0092B-C50C-407E-A947-70E740481C1C}">
                          <a14:useLocalDpi xmlns:a14="http://schemas.microsoft.com/office/drawing/2010/main"/>
                        </a:ext>
                      </a:extLst>
                    </a:blip>
                    <a:stretch>
                      <a:fillRect/>
                    </a:stretch>
                  </pic:blipFill>
                  <pic:spPr>
                    <a:xfrm>
                      <a:off x="0" y="0"/>
                      <a:ext cx="3228975" cy="3202111"/>
                    </a:xfrm>
                    <a:prstGeom prst="rect">
                      <a:avLst/>
                    </a:prstGeom>
                  </pic:spPr>
                </pic:pic>
              </a:graphicData>
            </a:graphic>
            <wp14:sizeRelH relativeFrom="page">
              <wp14:pctWidth>0</wp14:pctWidth>
            </wp14:sizeRelH>
            <wp14:sizeRelV relativeFrom="page">
              <wp14:pctHeight>0</wp14:pctHeight>
            </wp14:sizeRelV>
          </wp:anchor>
        </w:drawing>
      </w:r>
      <w:r w:rsidRPr="321F8DC8">
        <w:rPr>
          <w:rFonts w:cs="Arial"/>
          <w:sz w:val="24"/>
          <w:szCs w:val="24"/>
        </w:rPr>
        <w:t>Spotify follows primarily a differentiation strategy, which is centered around providing an extremely personalised and engaging user experience. Its competitive advantage lies in its use of advanced data analytics, artificial intelligence and machine learning to curate personalised playlists and recommendations based on individual user preferences (Chaffey, 2022; Brynjolfsson and McAfee, 2017). This approach improves user satisfaction and increases listening time, and creates a stronger customer engagement.</w:t>
      </w:r>
    </w:p>
    <w:p w14:paraId="3D9C79C2" w14:textId="77777777" w:rsidR="000160C5" w:rsidRPr="000160C5" w:rsidRDefault="000160C5" w:rsidP="00157EFE">
      <w:pPr>
        <w:jc w:val="both"/>
        <w:rPr>
          <w:rFonts w:cs="Arial"/>
          <w:sz w:val="24"/>
          <w:szCs w:val="24"/>
        </w:rPr>
      </w:pPr>
      <w:r w:rsidRPr="000160C5">
        <w:rPr>
          <w:rFonts w:cs="Arial"/>
          <w:sz w:val="24"/>
          <w:szCs w:val="24"/>
        </w:rPr>
        <w:t>Key aspects of Spotify's differentiation strategy are:</w:t>
      </w:r>
    </w:p>
    <w:p w14:paraId="29EBC669" w14:textId="77777777" w:rsidR="000160C5" w:rsidRPr="000160C5" w:rsidRDefault="000160C5" w:rsidP="00157EFE">
      <w:pPr>
        <w:pStyle w:val="ListParagraph"/>
        <w:numPr>
          <w:ilvl w:val="0"/>
          <w:numId w:val="41"/>
        </w:numPr>
        <w:jc w:val="both"/>
        <w:rPr>
          <w:rFonts w:cs="Arial"/>
          <w:sz w:val="24"/>
          <w:szCs w:val="24"/>
        </w:rPr>
      </w:pPr>
      <w:r w:rsidRPr="000160C5">
        <w:rPr>
          <w:rFonts w:cs="Arial"/>
          <w:sz w:val="24"/>
          <w:szCs w:val="24"/>
        </w:rPr>
        <w:t xml:space="preserve">Algorithm-driven personalisation (e.g Discover Weekly) </w:t>
      </w:r>
    </w:p>
    <w:p w14:paraId="1004ED2D" w14:textId="77777777" w:rsidR="000160C5" w:rsidRPr="000160C5" w:rsidRDefault="000160C5" w:rsidP="00157EFE">
      <w:pPr>
        <w:pStyle w:val="ListParagraph"/>
        <w:numPr>
          <w:ilvl w:val="0"/>
          <w:numId w:val="41"/>
        </w:numPr>
        <w:jc w:val="both"/>
        <w:rPr>
          <w:rFonts w:cs="Arial"/>
          <w:sz w:val="24"/>
          <w:szCs w:val="24"/>
        </w:rPr>
      </w:pPr>
      <w:r w:rsidRPr="000160C5">
        <w:rPr>
          <w:rFonts w:cs="Arial"/>
          <w:sz w:val="24"/>
          <w:szCs w:val="24"/>
        </w:rPr>
        <w:t xml:space="preserve">Constant innovation in user experience and user interface </w:t>
      </w:r>
    </w:p>
    <w:p w14:paraId="1EE936A9" w14:textId="77777777" w:rsidR="000160C5" w:rsidRPr="000160C5" w:rsidRDefault="000160C5" w:rsidP="00157EFE">
      <w:pPr>
        <w:pStyle w:val="ListParagraph"/>
        <w:numPr>
          <w:ilvl w:val="0"/>
          <w:numId w:val="41"/>
        </w:numPr>
        <w:jc w:val="both"/>
        <w:rPr>
          <w:rFonts w:cs="Arial"/>
          <w:sz w:val="24"/>
          <w:szCs w:val="24"/>
        </w:rPr>
      </w:pPr>
      <w:r w:rsidRPr="000160C5">
        <w:rPr>
          <w:rFonts w:cs="Arial"/>
          <w:sz w:val="24"/>
          <w:szCs w:val="24"/>
        </w:rPr>
        <w:lastRenderedPageBreak/>
        <w:t xml:space="preserve">Accessibility on cross platforms across devices </w:t>
      </w:r>
    </w:p>
    <w:p w14:paraId="2B716FD5" w14:textId="77777777" w:rsidR="000160C5" w:rsidRPr="000160C5" w:rsidRDefault="000160C5" w:rsidP="00157EFE">
      <w:pPr>
        <w:pStyle w:val="ListParagraph"/>
        <w:numPr>
          <w:ilvl w:val="0"/>
          <w:numId w:val="41"/>
        </w:numPr>
        <w:jc w:val="both"/>
        <w:rPr>
          <w:rFonts w:cs="Arial"/>
          <w:sz w:val="24"/>
          <w:szCs w:val="24"/>
        </w:rPr>
      </w:pPr>
      <w:r w:rsidRPr="000160C5">
        <w:rPr>
          <w:rFonts w:cs="Arial"/>
          <w:sz w:val="24"/>
          <w:szCs w:val="24"/>
        </w:rPr>
        <w:t xml:space="preserve">Expansion into podcast and exclusive content </w:t>
      </w:r>
    </w:p>
    <w:p w14:paraId="32D8BD6B" w14:textId="77777777" w:rsidR="000160C5" w:rsidRPr="000160C5" w:rsidRDefault="000160C5" w:rsidP="00157EFE">
      <w:pPr>
        <w:jc w:val="both"/>
        <w:rPr>
          <w:rFonts w:cs="Arial"/>
          <w:sz w:val="24"/>
          <w:szCs w:val="24"/>
        </w:rPr>
      </w:pPr>
      <w:r w:rsidRPr="000160C5">
        <w:rPr>
          <w:rFonts w:cs="Arial"/>
          <w:sz w:val="24"/>
          <w:szCs w:val="24"/>
        </w:rPr>
        <w:t>These features allow Spotify to develop a unique value proposition that sets them apart from their competitors. However, this strategy is linked with high operational costs as there is constant investment in technology and content acquisition to sustain its competitive advantage (KPMG, 2022).</w:t>
      </w:r>
    </w:p>
    <w:p w14:paraId="5E537045" w14:textId="77777777" w:rsidR="000160C5" w:rsidRPr="000160C5" w:rsidRDefault="000160C5" w:rsidP="00157EFE">
      <w:pPr>
        <w:jc w:val="both"/>
        <w:rPr>
          <w:rFonts w:cs="Arial"/>
          <w:sz w:val="24"/>
          <w:szCs w:val="24"/>
        </w:rPr>
      </w:pPr>
      <w:r w:rsidRPr="000160C5">
        <w:rPr>
          <w:rFonts w:cs="Arial"/>
          <w:sz w:val="24"/>
          <w:szCs w:val="24"/>
        </w:rPr>
        <w:t>In contrast, Apple Music takes the approach of differentiation focus, addressing users in the Apple ecosystem. Rather than going head-to-head on data-driven innovation, Apple Music uses its integration with Apple devices and services to offer a seamless and premium user experience (Laudon and Traver, 2021). This strategy is backed by Apple's good brand equity and customer loyalty.</w:t>
      </w:r>
    </w:p>
    <w:p w14:paraId="2B7CC4C0" w14:textId="77777777" w:rsidR="000160C5" w:rsidRPr="000160C5" w:rsidRDefault="000160C5" w:rsidP="00157EFE">
      <w:pPr>
        <w:jc w:val="both"/>
        <w:rPr>
          <w:rFonts w:cs="Arial"/>
          <w:sz w:val="24"/>
          <w:szCs w:val="24"/>
        </w:rPr>
      </w:pPr>
      <w:r w:rsidRPr="000160C5">
        <w:rPr>
          <w:rFonts w:cs="Arial"/>
          <w:sz w:val="24"/>
          <w:szCs w:val="24"/>
        </w:rPr>
        <w:t>Some of the strategic characteristics of Apple Music are:</w:t>
      </w:r>
    </w:p>
    <w:p w14:paraId="1B6FD978" w14:textId="77777777" w:rsidR="000160C5" w:rsidRPr="000160C5" w:rsidRDefault="000160C5" w:rsidP="00157EFE">
      <w:pPr>
        <w:pStyle w:val="ListParagraph"/>
        <w:numPr>
          <w:ilvl w:val="0"/>
          <w:numId w:val="42"/>
        </w:numPr>
        <w:jc w:val="both"/>
        <w:rPr>
          <w:rFonts w:cs="Arial"/>
          <w:sz w:val="24"/>
          <w:szCs w:val="24"/>
        </w:rPr>
      </w:pPr>
      <w:r w:rsidRPr="000160C5">
        <w:rPr>
          <w:rFonts w:cs="Arial"/>
          <w:sz w:val="24"/>
          <w:szCs w:val="24"/>
        </w:rPr>
        <w:t xml:space="preserve">Close integration with Apple hardware and software </w:t>
      </w:r>
    </w:p>
    <w:p w14:paraId="78E55678" w14:textId="77777777" w:rsidR="000160C5" w:rsidRPr="000160C5" w:rsidRDefault="000160C5" w:rsidP="00157EFE">
      <w:pPr>
        <w:pStyle w:val="ListParagraph"/>
        <w:numPr>
          <w:ilvl w:val="0"/>
          <w:numId w:val="42"/>
        </w:numPr>
        <w:jc w:val="both"/>
        <w:rPr>
          <w:rFonts w:cs="Arial"/>
          <w:sz w:val="24"/>
          <w:szCs w:val="24"/>
        </w:rPr>
      </w:pPr>
      <w:r w:rsidRPr="000160C5">
        <w:rPr>
          <w:rFonts w:cs="Arial"/>
          <w:sz w:val="24"/>
          <w:szCs w:val="24"/>
        </w:rPr>
        <w:t xml:space="preserve">Bundled services (e.g. Apple One subscription) </w:t>
      </w:r>
    </w:p>
    <w:p w14:paraId="15F58C6F" w14:textId="77777777" w:rsidR="000160C5" w:rsidRPr="000160C5" w:rsidRDefault="000160C5" w:rsidP="00157EFE">
      <w:pPr>
        <w:pStyle w:val="ListParagraph"/>
        <w:numPr>
          <w:ilvl w:val="0"/>
          <w:numId w:val="42"/>
        </w:numPr>
        <w:jc w:val="both"/>
        <w:rPr>
          <w:rFonts w:cs="Arial"/>
          <w:sz w:val="24"/>
          <w:szCs w:val="24"/>
        </w:rPr>
      </w:pPr>
      <w:r w:rsidRPr="000160C5">
        <w:rPr>
          <w:rFonts w:cs="Arial"/>
          <w:sz w:val="24"/>
          <w:szCs w:val="24"/>
        </w:rPr>
        <w:t xml:space="preserve">Premium positioning using high quality audio features </w:t>
      </w:r>
    </w:p>
    <w:p w14:paraId="46060342" w14:textId="77777777" w:rsidR="000160C5" w:rsidRPr="000160C5" w:rsidRDefault="000160C5" w:rsidP="00157EFE">
      <w:pPr>
        <w:pStyle w:val="ListParagraph"/>
        <w:numPr>
          <w:ilvl w:val="0"/>
          <w:numId w:val="42"/>
        </w:numPr>
        <w:jc w:val="both"/>
        <w:rPr>
          <w:rFonts w:cs="Arial"/>
          <w:sz w:val="24"/>
          <w:szCs w:val="24"/>
        </w:rPr>
      </w:pPr>
      <w:r w:rsidRPr="000160C5">
        <w:rPr>
          <w:rFonts w:cs="Arial"/>
          <w:sz w:val="24"/>
          <w:szCs w:val="24"/>
        </w:rPr>
        <w:t xml:space="preserve">High levels of brand loyalty and customer retention </w:t>
      </w:r>
    </w:p>
    <w:p w14:paraId="1804B689" w14:textId="77777777" w:rsidR="000160C5" w:rsidRPr="000160C5" w:rsidRDefault="000160C5" w:rsidP="00157EFE">
      <w:pPr>
        <w:jc w:val="both"/>
        <w:rPr>
          <w:rFonts w:cs="Arial"/>
          <w:sz w:val="24"/>
          <w:szCs w:val="24"/>
        </w:rPr>
      </w:pPr>
      <w:r w:rsidRPr="000160C5">
        <w:rPr>
          <w:rFonts w:cs="Arial"/>
          <w:sz w:val="24"/>
          <w:szCs w:val="24"/>
        </w:rPr>
        <w:t>From a critical perspective, the difference between these strategies brings out two different approaches to gaining competitive advantage. Spotify's differentiation strategy focuses on innovation and scalability, helping it to target a diverse global audience. Apple Music's differentiation focus strategy, on the other hand, prioritises customer retention and ecosystem control, with the trade-off of limiting its target market, though building loyalty.</w:t>
      </w:r>
    </w:p>
    <w:p w14:paraId="4B94D5A5" w14:textId="219A31AE" w:rsidR="000160C5" w:rsidRPr="000160C5" w:rsidRDefault="000160C5" w:rsidP="00157EFE">
      <w:pPr>
        <w:jc w:val="both"/>
        <w:rPr>
          <w:rFonts w:cs="Arial"/>
          <w:sz w:val="24"/>
          <w:szCs w:val="24"/>
        </w:rPr>
      </w:pPr>
      <w:r w:rsidRPr="532827D2">
        <w:rPr>
          <w:rFonts w:cs="Arial"/>
          <w:sz w:val="24"/>
          <w:szCs w:val="24"/>
        </w:rPr>
        <w:t>Furthermore, Porter (2008) argues that firms should make their strategies consistent with industry structure to maintain competitive advantage. In this case, Spotify's strategy is quite appropriate for a global, competitive market, where accessibility and innovation are the driving forces. On the other hand, Apple Music's strategy is coherent to a more controlled ecosystem environment, where switching costs and brand loyalty are important factors.</w:t>
      </w:r>
    </w:p>
    <w:p w14:paraId="4BC99A7C" w14:textId="77777777" w:rsidR="000160C5" w:rsidRPr="000160C5" w:rsidRDefault="000160C5" w:rsidP="00157EFE">
      <w:pPr>
        <w:pStyle w:val="Heading2"/>
        <w:jc w:val="both"/>
      </w:pPr>
      <w:bookmarkStart w:id="8" w:name="_Toc541620829"/>
      <w:r>
        <w:t>3.2 Ansoff’s Growth Matrix</w:t>
      </w:r>
      <w:bookmarkEnd w:id="8"/>
    </w:p>
    <w:p w14:paraId="4D167149" w14:textId="77777777" w:rsidR="000160C5" w:rsidRPr="000160C5" w:rsidRDefault="000160C5" w:rsidP="00157EFE">
      <w:pPr>
        <w:jc w:val="both"/>
        <w:rPr>
          <w:rFonts w:cs="Arial"/>
          <w:sz w:val="24"/>
          <w:szCs w:val="24"/>
        </w:rPr>
      </w:pPr>
      <w:r w:rsidRPr="2C0BA242">
        <w:rPr>
          <w:rFonts w:cs="Arial"/>
          <w:sz w:val="24"/>
          <w:szCs w:val="24"/>
        </w:rPr>
        <w:t>Ansoff's Growth Matrix It is a framework for analysing the ways in which organisations seek growth through four strategic options: market penetration, market development, product development, and diversification (Ansoff, 1957). Spotify and Apple Music use different combinations of these to represent their wider strategic priorities.</w:t>
      </w:r>
    </w:p>
    <w:p w14:paraId="2A39C7CC" w14:textId="201BC345" w:rsidR="000160C5" w:rsidRPr="000160C5" w:rsidRDefault="000160C5" w:rsidP="2C0BA242">
      <w:pPr>
        <w:jc w:val="both"/>
        <w:rPr>
          <w:rFonts w:cs="Arial"/>
          <w:sz w:val="24"/>
          <w:szCs w:val="24"/>
        </w:rPr>
      </w:pPr>
      <w:r>
        <w:lastRenderedPageBreak/>
        <w:drawing>
          <wp:anchor distT="0" distB="0" distL="114300" distR="114300" simplePos="0" relativeHeight="251656192" behindDoc="0" locked="0" layoutInCell="1" allowOverlap="1" wp14:anchorId="2AC30050" wp14:editId="40A9DC33">
            <wp:simplePos x="0" y="0"/>
            <wp:positionH relativeFrom="column">
              <wp:align>left</wp:align>
            </wp:positionH>
            <wp:positionV relativeFrom="paragraph">
              <wp:posOffset>0</wp:posOffset>
            </wp:positionV>
            <wp:extent cx="2245681" cy="1838325"/>
            <wp:effectExtent l="0" t="0" r="0" b="0"/>
            <wp:wrapSquare wrapText="bothSides"/>
            <wp:docPr id="981120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12005" name="Picture 98112005"/>
                    <pic:cNvPicPr/>
                  </pic:nvPicPr>
                  <pic:blipFill>
                    <a:blip r:embed="rId16">
                      <a:extLst>
                        <a:ext uri="{28A0092B-C50C-407E-A947-70E740481C1C}">
                          <a14:useLocalDpi xmlns:a14="http://schemas.microsoft.com/office/drawing/2010/main"/>
                        </a:ext>
                      </a:extLst>
                    </a:blip>
                    <a:stretch>
                      <a:fillRect/>
                    </a:stretch>
                  </pic:blipFill>
                  <pic:spPr>
                    <a:xfrm>
                      <a:off x="0" y="0"/>
                      <a:ext cx="2245681" cy="1838325"/>
                    </a:xfrm>
                    <a:prstGeom prst="rect">
                      <a:avLst/>
                    </a:prstGeom>
                  </pic:spPr>
                </pic:pic>
              </a:graphicData>
            </a:graphic>
            <wp14:sizeRelH relativeFrom="page">
              <wp14:pctWidth>0</wp14:pctWidth>
            </wp14:sizeRelH>
            <wp14:sizeRelV relativeFrom="page">
              <wp14:pctHeight>0</wp14:pctHeight>
            </wp14:sizeRelV>
          </wp:anchor>
        </w:drawing>
      </w:r>
      <w:r w:rsidRPr="2C0BA242">
        <w:rPr>
          <w:rFonts w:cs="Arial"/>
          <w:sz w:val="24"/>
          <w:szCs w:val="24"/>
        </w:rPr>
        <w:t>Spotify's growth strategy is mainly influenced by market development and product development. Its expansion into new geographic markets has helped it establish a strong presence globally, while continuous innovation in terms of features and services helps to improve user engagement.</w:t>
      </w:r>
    </w:p>
    <w:p w14:paraId="6639536C" w14:textId="4D278379" w:rsidR="000160C5" w:rsidRPr="000160C5" w:rsidRDefault="000160C5" w:rsidP="2C0BA242">
      <w:pPr>
        <w:jc w:val="both"/>
        <w:rPr>
          <w:rFonts w:cs="Arial"/>
          <w:sz w:val="24"/>
          <w:szCs w:val="24"/>
        </w:rPr>
      </w:pPr>
      <w:r w:rsidRPr="2C0BA242">
        <w:rPr>
          <w:rFonts w:cs="Arial"/>
          <w:sz w:val="24"/>
          <w:szCs w:val="24"/>
        </w:rPr>
        <w:t>Spotify's growth strategies are:</w:t>
      </w:r>
    </w:p>
    <w:p w14:paraId="05023754" w14:textId="77777777" w:rsidR="000160C5" w:rsidRPr="000160C5" w:rsidRDefault="000160C5" w:rsidP="00157EFE">
      <w:pPr>
        <w:pStyle w:val="ListParagraph"/>
        <w:numPr>
          <w:ilvl w:val="0"/>
          <w:numId w:val="43"/>
        </w:numPr>
        <w:jc w:val="both"/>
        <w:rPr>
          <w:rFonts w:cs="Arial"/>
          <w:sz w:val="24"/>
          <w:szCs w:val="24"/>
        </w:rPr>
      </w:pPr>
      <w:r w:rsidRPr="000160C5">
        <w:rPr>
          <w:rFonts w:cs="Arial"/>
          <w:sz w:val="24"/>
          <w:szCs w:val="24"/>
        </w:rPr>
        <w:t xml:space="preserve">Market development by expansion into emerging markets </w:t>
      </w:r>
    </w:p>
    <w:p w14:paraId="2445B836" w14:textId="77777777" w:rsidR="000160C5" w:rsidRPr="000160C5" w:rsidRDefault="000160C5" w:rsidP="00157EFE">
      <w:pPr>
        <w:pStyle w:val="ListParagraph"/>
        <w:numPr>
          <w:ilvl w:val="0"/>
          <w:numId w:val="43"/>
        </w:numPr>
        <w:jc w:val="both"/>
        <w:rPr>
          <w:rFonts w:cs="Arial"/>
          <w:sz w:val="24"/>
          <w:szCs w:val="24"/>
        </w:rPr>
      </w:pPr>
      <w:r w:rsidRPr="000160C5">
        <w:rPr>
          <w:rFonts w:cs="Arial"/>
          <w:sz w:val="24"/>
          <w:szCs w:val="24"/>
        </w:rPr>
        <w:t xml:space="preserve">Product development with the features of AI and podcasts </w:t>
      </w:r>
    </w:p>
    <w:p w14:paraId="7546F045" w14:textId="77777777" w:rsidR="000160C5" w:rsidRPr="000160C5" w:rsidRDefault="000160C5" w:rsidP="00157EFE">
      <w:pPr>
        <w:pStyle w:val="ListParagraph"/>
        <w:numPr>
          <w:ilvl w:val="0"/>
          <w:numId w:val="43"/>
        </w:numPr>
        <w:jc w:val="both"/>
        <w:rPr>
          <w:rFonts w:cs="Arial"/>
          <w:sz w:val="24"/>
          <w:szCs w:val="24"/>
        </w:rPr>
      </w:pPr>
      <w:r w:rsidRPr="000160C5">
        <w:rPr>
          <w:rFonts w:cs="Arial"/>
          <w:sz w:val="24"/>
          <w:szCs w:val="24"/>
        </w:rPr>
        <w:t xml:space="preserve">Diversification into other non-music content such as audiobooks </w:t>
      </w:r>
    </w:p>
    <w:p w14:paraId="0559A967" w14:textId="77777777" w:rsidR="000160C5" w:rsidRPr="000160C5" w:rsidRDefault="000160C5" w:rsidP="00157EFE">
      <w:pPr>
        <w:pStyle w:val="ListParagraph"/>
        <w:numPr>
          <w:ilvl w:val="0"/>
          <w:numId w:val="43"/>
        </w:numPr>
        <w:jc w:val="both"/>
        <w:rPr>
          <w:rFonts w:cs="Arial"/>
          <w:sz w:val="24"/>
          <w:szCs w:val="24"/>
        </w:rPr>
      </w:pPr>
      <w:r w:rsidRPr="000160C5">
        <w:rPr>
          <w:rFonts w:cs="Arial"/>
          <w:sz w:val="24"/>
          <w:szCs w:val="24"/>
        </w:rPr>
        <w:t xml:space="preserve">Strategic partnerships with artists/content creators </w:t>
      </w:r>
    </w:p>
    <w:p w14:paraId="37957382" w14:textId="77777777" w:rsidR="000160C5" w:rsidRPr="000160C5" w:rsidRDefault="000160C5" w:rsidP="00157EFE">
      <w:pPr>
        <w:jc w:val="both"/>
        <w:rPr>
          <w:rFonts w:cs="Arial"/>
          <w:sz w:val="24"/>
          <w:szCs w:val="24"/>
        </w:rPr>
      </w:pPr>
      <w:r w:rsidRPr="000160C5">
        <w:rPr>
          <w:rFonts w:cs="Arial"/>
          <w:sz w:val="24"/>
          <w:szCs w:val="24"/>
        </w:rPr>
        <w:t>This approach thus enables Spotify to continuously grow the number of users, and grow engagement through diversified content offerings. However, such strategies require a lot of investment and thus may affect the profitability in the short term (Grant, 2021).</w:t>
      </w:r>
    </w:p>
    <w:p w14:paraId="67EF185F" w14:textId="77777777" w:rsidR="000160C5" w:rsidRPr="000160C5" w:rsidRDefault="000160C5" w:rsidP="00157EFE">
      <w:pPr>
        <w:jc w:val="both"/>
        <w:rPr>
          <w:rFonts w:cs="Arial"/>
          <w:sz w:val="24"/>
          <w:szCs w:val="24"/>
        </w:rPr>
      </w:pPr>
      <w:r w:rsidRPr="000160C5">
        <w:rPr>
          <w:rFonts w:cs="Arial"/>
          <w:sz w:val="24"/>
          <w:szCs w:val="24"/>
        </w:rPr>
        <w:t>Apple Music, on the other hand, prioritizes market penetration as well as product development. Its strategy is focused on gaining a greater share of the existing user base of Apple's products, instead of aggressively attacking new markets. By bundling Apple Music into services like Apple One, the company can improve customer retention and boost the value of its ecosystem.</w:t>
      </w:r>
    </w:p>
    <w:p w14:paraId="64B822CD" w14:textId="77777777" w:rsidR="000160C5" w:rsidRPr="000160C5" w:rsidRDefault="000160C5" w:rsidP="00157EFE">
      <w:pPr>
        <w:jc w:val="both"/>
        <w:rPr>
          <w:rFonts w:cs="Arial"/>
          <w:sz w:val="24"/>
          <w:szCs w:val="24"/>
        </w:rPr>
      </w:pPr>
      <w:r w:rsidRPr="000160C5">
        <w:rPr>
          <w:rFonts w:cs="Arial"/>
          <w:sz w:val="24"/>
          <w:szCs w:val="24"/>
        </w:rPr>
        <w:t>Growth strategies for Apple Music include:</w:t>
      </w:r>
    </w:p>
    <w:p w14:paraId="4B0DCB8E" w14:textId="77777777" w:rsidR="000160C5" w:rsidRPr="000160C5" w:rsidRDefault="000160C5" w:rsidP="00157EFE">
      <w:pPr>
        <w:pStyle w:val="ListParagraph"/>
        <w:numPr>
          <w:ilvl w:val="0"/>
          <w:numId w:val="44"/>
        </w:numPr>
        <w:jc w:val="both"/>
        <w:rPr>
          <w:rFonts w:cs="Arial"/>
          <w:sz w:val="24"/>
          <w:szCs w:val="24"/>
        </w:rPr>
      </w:pPr>
      <w:r w:rsidRPr="000160C5">
        <w:rPr>
          <w:rFonts w:cs="Arial"/>
          <w:sz w:val="24"/>
          <w:szCs w:val="24"/>
        </w:rPr>
        <w:t xml:space="preserve">Market penetration via conquering existing Apple users </w:t>
      </w:r>
    </w:p>
    <w:p w14:paraId="4207BDAD" w14:textId="77777777" w:rsidR="000160C5" w:rsidRPr="000160C5" w:rsidRDefault="000160C5" w:rsidP="00157EFE">
      <w:pPr>
        <w:pStyle w:val="ListParagraph"/>
        <w:numPr>
          <w:ilvl w:val="0"/>
          <w:numId w:val="44"/>
        </w:numPr>
        <w:jc w:val="both"/>
        <w:rPr>
          <w:rFonts w:cs="Arial"/>
          <w:sz w:val="24"/>
          <w:szCs w:val="24"/>
        </w:rPr>
      </w:pPr>
      <w:r w:rsidRPr="000160C5">
        <w:rPr>
          <w:rFonts w:cs="Arial"/>
          <w:sz w:val="24"/>
          <w:szCs w:val="24"/>
        </w:rPr>
        <w:t xml:space="preserve">Product development through improved audio and user interface </w:t>
      </w:r>
    </w:p>
    <w:p w14:paraId="5CF60AB9" w14:textId="77777777" w:rsidR="000160C5" w:rsidRPr="000160C5" w:rsidRDefault="000160C5" w:rsidP="00157EFE">
      <w:pPr>
        <w:pStyle w:val="ListParagraph"/>
        <w:numPr>
          <w:ilvl w:val="0"/>
          <w:numId w:val="44"/>
        </w:numPr>
        <w:jc w:val="both"/>
        <w:rPr>
          <w:rFonts w:cs="Arial"/>
          <w:sz w:val="24"/>
          <w:szCs w:val="24"/>
        </w:rPr>
      </w:pPr>
      <w:r w:rsidRPr="000160C5">
        <w:rPr>
          <w:rFonts w:cs="Arial"/>
          <w:sz w:val="24"/>
          <w:szCs w:val="24"/>
        </w:rPr>
        <w:t xml:space="preserve">Bundling with other Apple services </w:t>
      </w:r>
    </w:p>
    <w:p w14:paraId="24C32422" w14:textId="77777777" w:rsidR="000160C5" w:rsidRPr="000160C5" w:rsidRDefault="000160C5" w:rsidP="00157EFE">
      <w:pPr>
        <w:pStyle w:val="ListParagraph"/>
        <w:numPr>
          <w:ilvl w:val="0"/>
          <w:numId w:val="44"/>
        </w:numPr>
        <w:jc w:val="both"/>
        <w:rPr>
          <w:rFonts w:cs="Arial"/>
          <w:sz w:val="24"/>
          <w:szCs w:val="24"/>
        </w:rPr>
      </w:pPr>
      <w:r w:rsidRPr="000160C5">
        <w:rPr>
          <w:rFonts w:cs="Arial"/>
          <w:sz w:val="24"/>
          <w:szCs w:val="24"/>
        </w:rPr>
        <w:t xml:space="preserve">Strengthening of Ecosystem Integration </w:t>
      </w:r>
    </w:p>
    <w:p w14:paraId="762C75A4" w14:textId="77777777" w:rsidR="000160C5" w:rsidRPr="000160C5" w:rsidRDefault="000160C5" w:rsidP="00157EFE">
      <w:pPr>
        <w:jc w:val="both"/>
        <w:rPr>
          <w:rFonts w:cs="Arial"/>
          <w:sz w:val="24"/>
          <w:szCs w:val="24"/>
        </w:rPr>
      </w:pPr>
      <w:r w:rsidRPr="000160C5">
        <w:rPr>
          <w:rFonts w:cs="Arial"/>
          <w:sz w:val="24"/>
          <w:szCs w:val="24"/>
        </w:rPr>
        <w:t>Critically, the expansion strategy for Apple Music is not about global expansion, but more about creating as much value within the existing ecosystem as possible. This reduces risk but may be a limiting factor for long term scalability than Spotify's approach.</w:t>
      </w:r>
    </w:p>
    <w:p w14:paraId="5C371DA0" w14:textId="77777777" w:rsidR="000160C5" w:rsidRPr="000160C5" w:rsidRDefault="000160C5" w:rsidP="00157EFE">
      <w:pPr>
        <w:jc w:val="both"/>
        <w:rPr>
          <w:rFonts w:cs="Arial"/>
          <w:sz w:val="24"/>
          <w:szCs w:val="24"/>
        </w:rPr>
      </w:pPr>
      <w:r w:rsidRPr="000160C5">
        <w:rPr>
          <w:rFonts w:cs="Arial"/>
          <w:sz w:val="24"/>
          <w:szCs w:val="24"/>
        </w:rPr>
        <w:t>From a theoretical perspective, Ansoff (1957) has suggested that diversification strategies are high risk but have higher growth potential. Spotify's move into podcasts and audiobooks is a calculated diversification strategy for greater engagement and revenue streams. Apple Music's more conservative approach is more focused on stability and customer retention than rapid expansion.</w:t>
      </w:r>
    </w:p>
    <w:p w14:paraId="3DEEC669" w14:textId="77777777" w:rsidR="000160C5" w:rsidRPr="000160C5" w:rsidRDefault="000160C5" w:rsidP="00157EFE">
      <w:pPr>
        <w:jc w:val="both"/>
        <w:rPr>
          <w:rFonts w:cs="Arial"/>
          <w:sz w:val="24"/>
          <w:szCs w:val="24"/>
        </w:rPr>
      </w:pPr>
    </w:p>
    <w:p w14:paraId="6A978F65" w14:textId="77777777" w:rsidR="000160C5" w:rsidRPr="000160C5" w:rsidRDefault="000160C5" w:rsidP="00157EFE">
      <w:pPr>
        <w:pStyle w:val="Heading2"/>
        <w:jc w:val="both"/>
      </w:pPr>
      <w:bookmarkStart w:id="9" w:name="_Toc728019662"/>
      <w:r>
        <w:t>3.3 Comparative Strategic Evaluation</w:t>
      </w:r>
      <w:bookmarkEnd w:id="9"/>
    </w:p>
    <w:p w14:paraId="2561D584" w14:textId="77777777" w:rsidR="000160C5" w:rsidRPr="000160C5" w:rsidRDefault="000160C5" w:rsidP="00157EFE">
      <w:pPr>
        <w:jc w:val="both"/>
        <w:rPr>
          <w:rFonts w:cs="Arial"/>
          <w:sz w:val="24"/>
          <w:szCs w:val="24"/>
        </w:rPr>
      </w:pPr>
      <w:r w:rsidRPr="000160C5">
        <w:rPr>
          <w:rFonts w:cs="Arial"/>
          <w:sz w:val="24"/>
          <w:szCs w:val="24"/>
        </w:rPr>
        <w:t>The strategic responses of Spotify and Apple Music represent two fundamentally different strategies for creating competitive advantage: capability versus control-driven innovation and ecosystem.</w:t>
      </w:r>
    </w:p>
    <w:p w14:paraId="6C240495" w14:textId="77777777" w:rsidR="000160C5" w:rsidRPr="000160C5" w:rsidRDefault="000160C5" w:rsidP="00157EFE">
      <w:pPr>
        <w:jc w:val="both"/>
        <w:rPr>
          <w:rFonts w:cs="Arial"/>
          <w:sz w:val="24"/>
          <w:szCs w:val="24"/>
        </w:rPr>
      </w:pPr>
      <w:r w:rsidRPr="000160C5">
        <w:rPr>
          <w:rFonts w:cs="Arial"/>
          <w:sz w:val="24"/>
          <w:szCs w:val="24"/>
        </w:rPr>
        <w:lastRenderedPageBreak/>
        <w:t>Spotify strategy is characterised by:</w:t>
      </w:r>
    </w:p>
    <w:p w14:paraId="3FB9E6BA" w14:textId="77777777" w:rsidR="000160C5" w:rsidRPr="000160C5" w:rsidRDefault="000160C5" w:rsidP="00157EFE">
      <w:pPr>
        <w:pStyle w:val="ListParagraph"/>
        <w:numPr>
          <w:ilvl w:val="0"/>
          <w:numId w:val="45"/>
        </w:numPr>
        <w:jc w:val="both"/>
        <w:rPr>
          <w:rFonts w:cs="Arial"/>
          <w:sz w:val="24"/>
          <w:szCs w:val="24"/>
        </w:rPr>
      </w:pPr>
      <w:r w:rsidRPr="000160C5">
        <w:rPr>
          <w:rFonts w:cs="Arial"/>
          <w:sz w:val="24"/>
          <w:szCs w:val="24"/>
        </w:rPr>
        <w:t xml:space="preserve">Innovation-led growth </w:t>
      </w:r>
    </w:p>
    <w:p w14:paraId="6230C24B" w14:textId="77777777" w:rsidR="000160C5" w:rsidRPr="000160C5" w:rsidRDefault="000160C5" w:rsidP="00157EFE">
      <w:pPr>
        <w:pStyle w:val="ListParagraph"/>
        <w:numPr>
          <w:ilvl w:val="0"/>
          <w:numId w:val="45"/>
        </w:numPr>
        <w:jc w:val="both"/>
        <w:rPr>
          <w:rFonts w:cs="Arial"/>
          <w:sz w:val="24"/>
          <w:szCs w:val="24"/>
        </w:rPr>
      </w:pPr>
      <w:r w:rsidRPr="000160C5">
        <w:rPr>
          <w:rFonts w:cs="Arial"/>
          <w:sz w:val="24"/>
          <w:szCs w:val="24"/>
        </w:rPr>
        <w:t xml:space="preserve">Global scalability </w:t>
      </w:r>
    </w:p>
    <w:p w14:paraId="2189A043" w14:textId="77777777" w:rsidR="000160C5" w:rsidRPr="000160C5" w:rsidRDefault="000160C5" w:rsidP="00157EFE">
      <w:pPr>
        <w:pStyle w:val="ListParagraph"/>
        <w:numPr>
          <w:ilvl w:val="0"/>
          <w:numId w:val="45"/>
        </w:numPr>
        <w:jc w:val="both"/>
        <w:rPr>
          <w:rFonts w:cs="Arial"/>
          <w:sz w:val="24"/>
          <w:szCs w:val="24"/>
        </w:rPr>
      </w:pPr>
      <w:r w:rsidRPr="000160C5">
        <w:rPr>
          <w:rFonts w:cs="Arial"/>
          <w:sz w:val="24"/>
          <w:szCs w:val="24"/>
        </w:rPr>
        <w:t xml:space="preserve">Open platform availability </w:t>
      </w:r>
    </w:p>
    <w:p w14:paraId="1BD47ED3" w14:textId="77777777" w:rsidR="000160C5" w:rsidRPr="000160C5" w:rsidRDefault="000160C5" w:rsidP="00157EFE">
      <w:pPr>
        <w:pStyle w:val="ListParagraph"/>
        <w:numPr>
          <w:ilvl w:val="0"/>
          <w:numId w:val="45"/>
        </w:numPr>
        <w:jc w:val="both"/>
        <w:rPr>
          <w:rFonts w:cs="Arial"/>
          <w:sz w:val="24"/>
          <w:szCs w:val="24"/>
        </w:rPr>
      </w:pPr>
      <w:r w:rsidRPr="000160C5">
        <w:rPr>
          <w:rFonts w:cs="Arial"/>
          <w:sz w:val="24"/>
          <w:szCs w:val="24"/>
        </w:rPr>
        <w:t xml:space="preserve">Constant technological development </w:t>
      </w:r>
    </w:p>
    <w:p w14:paraId="717D6BE6" w14:textId="77777777" w:rsidR="000160C5" w:rsidRPr="000160C5" w:rsidRDefault="000160C5" w:rsidP="00157EFE">
      <w:pPr>
        <w:jc w:val="both"/>
        <w:rPr>
          <w:rFonts w:cs="Arial"/>
          <w:sz w:val="24"/>
          <w:szCs w:val="24"/>
        </w:rPr>
      </w:pPr>
      <w:r w:rsidRPr="000160C5">
        <w:rPr>
          <w:rFonts w:cs="Arial"/>
          <w:sz w:val="24"/>
          <w:szCs w:val="24"/>
        </w:rPr>
        <w:t>Apple Music's strategy is characterised by:</w:t>
      </w:r>
    </w:p>
    <w:p w14:paraId="3E083B87" w14:textId="77777777" w:rsidR="000160C5" w:rsidRPr="000160C5" w:rsidRDefault="000160C5" w:rsidP="00157EFE">
      <w:pPr>
        <w:pStyle w:val="ListParagraph"/>
        <w:numPr>
          <w:ilvl w:val="0"/>
          <w:numId w:val="46"/>
        </w:numPr>
        <w:jc w:val="both"/>
        <w:rPr>
          <w:rFonts w:cs="Arial"/>
          <w:sz w:val="24"/>
          <w:szCs w:val="24"/>
        </w:rPr>
      </w:pPr>
      <w:r w:rsidRPr="000160C5">
        <w:rPr>
          <w:rFonts w:cs="Arial"/>
          <w:sz w:val="24"/>
          <w:szCs w:val="24"/>
        </w:rPr>
        <w:t xml:space="preserve">Ecosystem integration </w:t>
      </w:r>
    </w:p>
    <w:p w14:paraId="63E77007" w14:textId="77777777" w:rsidR="000160C5" w:rsidRPr="000160C5" w:rsidRDefault="000160C5" w:rsidP="00157EFE">
      <w:pPr>
        <w:pStyle w:val="ListParagraph"/>
        <w:numPr>
          <w:ilvl w:val="0"/>
          <w:numId w:val="46"/>
        </w:numPr>
        <w:jc w:val="both"/>
        <w:rPr>
          <w:rFonts w:cs="Arial"/>
          <w:sz w:val="24"/>
          <w:szCs w:val="24"/>
        </w:rPr>
      </w:pPr>
      <w:r w:rsidRPr="000160C5">
        <w:rPr>
          <w:rFonts w:cs="Arial"/>
          <w:sz w:val="24"/>
          <w:szCs w:val="24"/>
        </w:rPr>
        <w:t xml:space="preserve">Customer retention &amp; loyalty </w:t>
      </w:r>
    </w:p>
    <w:p w14:paraId="5E21E621" w14:textId="77777777" w:rsidR="000160C5" w:rsidRPr="000160C5" w:rsidRDefault="000160C5" w:rsidP="00157EFE">
      <w:pPr>
        <w:pStyle w:val="ListParagraph"/>
        <w:numPr>
          <w:ilvl w:val="0"/>
          <w:numId w:val="46"/>
        </w:numPr>
        <w:jc w:val="both"/>
        <w:rPr>
          <w:rFonts w:cs="Arial"/>
          <w:sz w:val="24"/>
          <w:szCs w:val="24"/>
        </w:rPr>
      </w:pPr>
      <w:r w:rsidRPr="000160C5">
        <w:rPr>
          <w:rFonts w:cs="Arial"/>
          <w:sz w:val="24"/>
          <w:szCs w:val="24"/>
        </w:rPr>
        <w:t xml:space="preserve">Premium service positioning </w:t>
      </w:r>
    </w:p>
    <w:p w14:paraId="7EEF63F0" w14:textId="77777777" w:rsidR="000160C5" w:rsidRPr="000160C5" w:rsidRDefault="000160C5" w:rsidP="00157EFE">
      <w:pPr>
        <w:pStyle w:val="ListParagraph"/>
        <w:numPr>
          <w:ilvl w:val="0"/>
          <w:numId w:val="46"/>
        </w:numPr>
        <w:jc w:val="both"/>
        <w:rPr>
          <w:rFonts w:cs="Arial"/>
          <w:sz w:val="24"/>
          <w:szCs w:val="24"/>
        </w:rPr>
      </w:pPr>
      <w:r w:rsidRPr="000160C5">
        <w:rPr>
          <w:rFonts w:cs="Arial"/>
          <w:sz w:val="24"/>
          <w:szCs w:val="24"/>
        </w:rPr>
        <w:t xml:space="preserve">Controlled environment for the user </w:t>
      </w:r>
    </w:p>
    <w:p w14:paraId="6426FE6E" w14:textId="77777777" w:rsidR="00213304" w:rsidRPr="00213304" w:rsidRDefault="000160C5" w:rsidP="00157EFE">
      <w:pPr>
        <w:jc w:val="both"/>
        <w:rPr>
          <w:rFonts w:eastAsia="Times New Roman" w:cs="Arial"/>
          <w:noProof w:val="0"/>
          <w:kern w:val="0"/>
          <w:sz w:val="24"/>
          <w:szCs w:val="24"/>
          <w:lang w:eastAsia="en-IN"/>
          <w14:ligatures w14:val="none"/>
        </w:rPr>
      </w:pPr>
      <w:r w:rsidRPr="532827D2">
        <w:rPr>
          <w:rFonts w:cs="Arial"/>
          <w:sz w:val="24"/>
          <w:szCs w:val="24"/>
        </w:rPr>
        <w:t>From a critical standpoint, Spotify's strategy is more effective in terms of achieving a long-term growth because of the scalability and adaptability nature. Its ability to innovate and branch out into new markets helps it to stay competitive in a rapidly evolving industry. However its lower switching costs have made it more vulnerable to competition.</w:t>
      </w:r>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2385"/>
        <w:gridCol w:w="2077"/>
        <w:gridCol w:w="1725"/>
        <w:gridCol w:w="2175"/>
      </w:tblGrid>
      <w:tr w:rsidR="532827D2" w14:paraId="0E817638" w14:textId="77777777" w:rsidTr="532827D2">
        <w:trPr>
          <w:trHeight w:val="300"/>
        </w:trPr>
        <w:tc>
          <w:tcPr>
            <w:tcW w:w="2385" w:type="dxa"/>
            <w:vAlign w:val="center"/>
          </w:tcPr>
          <w:p w14:paraId="27B86BE7" w14:textId="4138C26F" w:rsidR="532827D2" w:rsidRDefault="532827D2" w:rsidP="532827D2">
            <w:pPr>
              <w:spacing w:after="0"/>
              <w:jc w:val="center"/>
            </w:pPr>
            <w:r w:rsidRPr="532827D2">
              <w:rPr>
                <w:b/>
                <w:bCs/>
                <w:color w:val="000000" w:themeColor="text1"/>
              </w:rPr>
              <w:t>Factor</w:t>
            </w:r>
          </w:p>
        </w:tc>
        <w:tc>
          <w:tcPr>
            <w:tcW w:w="2077" w:type="dxa"/>
            <w:vAlign w:val="center"/>
          </w:tcPr>
          <w:p w14:paraId="6AA3F9DC" w14:textId="28395D2B" w:rsidR="532827D2" w:rsidRDefault="532827D2" w:rsidP="532827D2">
            <w:pPr>
              <w:spacing w:after="0"/>
              <w:jc w:val="center"/>
            </w:pPr>
            <w:r w:rsidRPr="532827D2">
              <w:rPr>
                <w:b/>
                <w:bCs/>
                <w:color w:val="000000" w:themeColor="text1"/>
              </w:rPr>
              <w:t>Spotify</w:t>
            </w:r>
          </w:p>
        </w:tc>
        <w:tc>
          <w:tcPr>
            <w:tcW w:w="1725" w:type="dxa"/>
            <w:vAlign w:val="center"/>
          </w:tcPr>
          <w:p w14:paraId="76957CA2" w14:textId="68DBC2FD" w:rsidR="532827D2" w:rsidRDefault="532827D2" w:rsidP="532827D2">
            <w:pPr>
              <w:spacing w:after="0"/>
              <w:jc w:val="center"/>
            </w:pPr>
            <w:r w:rsidRPr="532827D2">
              <w:rPr>
                <w:b/>
                <w:bCs/>
                <w:color w:val="000000" w:themeColor="text1"/>
              </w:rPr>
              <w:t>Apple Music</w:t>
            </w:r>
          </w:p>
        </w:tc>
        <w:tc>
          <w:tcPr>
            <w:tcW w:w="2175" w:type="dxa"/>
            <w:vAlign w:val="center"/>
          </w:tcPr>
          <w:p w14:paraId="7860252F" w14:textId="7795AAA9" w:rsidR="532827D2" w:rsidRDefault="532827D2" w:rsidP="532827D2">
            <w:pPr>
              <w:spacing w:after="0"/>
              <w:jc w:val="center"/>
            </w:pPr>
            <w:r w:rsidRPr="532827D2">
              <w:rPr>
                <w:b/>
                <w:bCs/>
                <w:color w:val="000000" w:themeColor="text1"/>
              </w:rPr>
              <w:t>Conclusion</w:t>
            </w:r>
          </w:p>
        </w:tc>
      </w:tr>
      <w:tr w:rsidR="532827D2" w14:paraId="767B7C99" w14:textId="77777777" w:rsidTr="532827D2">
        <w:trPr>
          <w:trHeight w:val="300"/>
        </w:trPr>
        <w:tc>
          <w:tcPr>
            <w:tcW w:w="2385" w:type="dxa"/>
            <w:vAlign w:val="center"/>
          </w:tcPr>
          <w:p w14:paraId="213505FB" w14:textId="17CC2C6B" w:rsidR="532827D2" w:rsidRDefault="532827D2" w:rsidP="532827D2">
            <w:pPr>
              <w:spacing w:after="0"/>
              <w:jc w:val="center"/>
            </w:pPr>
            <w:r w:rsidRPr="532827D2">
              <w:rPr>
                <w:color w:val="000000" w:themeColor="text1"/>
              </w:rPr>
              <w:t>Innovation</w:t>
            </w:r>
          </w:p>
        </w:tc>
        <w:tc>
          <w:tcPr>
            <w:tcW w:w="2077" w:type="dxa"/>
            <w:vAlign w:val="center"/>
          </w:tcPr>
          <w:p w14:paraId="3A377216" w14:textId="2071BDEF" w:rsidR="532827D2" w:rsidRDefault="532827D2" w:rsidP="532827D2">
            <w:pPr>
              <w:spacing w:after="0"/>
              <w:jc w:val="center"/>
            </w:pPr>
            <w:r w:rsidRPr="532827D2">
              <w:rPr>
                <w:color w:val="000000" w:themeColor="text1"/>
              </w:rPr>
              <w:t>High</w:t>
            </w:r>
          </w:p>
        </w:tc>
        <w:tc>
          <w:tcPr>
            <w:tcW w:w="1725" w:type="dxa"/>
            <w:vAlign w:val="center"/>
          </w:tcPr>
          <w:p w14:paraId="2D2939A4" w14:textId="00D48DB7" w:rsidR="532827D2" w:rsidRDefault="532827D2" w:rsidP="532827D2">
            <w:pPr>
              <w:spacing w:after="0"/>
              <w:jc w:val="center"/>
            </w:pPr>
            <w:r w:rsidRPr="532827D2">
              <w:rPr>
                <w:color w:val="000000" w:themeColor="text1"/>
              </w:rPr>
              <w:t>Moderate</w:t>
            </w:r>
          </w:p>
        </w:tc>
        <w:tc>
          <w:tcPr>
            <w:tcW w:w="2175" w:type="dxa"/>
            <w:vAlign w:val="center"/>
          </w:tcPr>
          <w:p w14:paraId="66BC62D2" w14:textId="3805016A" w:rsidR="532827D2" w:rsidRDefault="532827D2" w:rsidP="532827D2">
            <w:pPr>
              <w:spacing w:after="0"/>
              <w:jc w:val="center"/>
            </w:pPr>
            <w:r w:rsidRPr="532827D2">
              <w:rPr>
                <w:color w:val="000000" w:themeColor="text1"/>
              </w:rPr>
              <w:t>Spotify leads</w:t>
            </w:r>
          </w:p>
        </w:tc>
      </w:tr>
      <w:tr w:rsidR="532827D2" w14:paraId="34EE7002" w14:textId="77777777" w:rsidTr="532827D2">
        <w:trPr>
          <w:trHeight w:val="300"/>
        </w:trPr>
        <w:tc>
          <w:tcPr>
            <w:tcW w:w="2385" w:type="dxa"/>
            <w:vAlign w:val="center"/>
          </w:tcPr>
          <w:p w14:paraId="7E13F23A" w14:textId="3D43E072" w:rsidR="532827D2" w:rsidRDefault="532827D2" w:rsidP="532827D2">
            <w:pPr>
              <w:spacing w:after="0"/>
              <w:jc w:val="center"/>
            </w:pPr>
            <w:r w:rsidRPr="532827D2">
              <w:rPr>
                <w:color w:val="000000" w:themeColor="text1"/>
              </w:rPr>
              <w:t>Customer Retention</w:t>
            </w:r>
          </w:p>
        </w:tc>
        <w:tc>
          <w:tcPr>
            <w:tcW w:w="2077" w:type="dxa"/>
            <w:vAlign w:val="center"/>
          </w:tcPr>
          <w:p w14:paraId="4B9F4725" w14:textId="324F3F91" w:rsidR="532827D2" w:rsidRDefault="532827D2" w:rsidP="532827D2">
            <w:pPr>
              <w:spacing w:after="0"/>
              <w:jc w:val="center"/>
            </w:pPr>
            <w:r w:rsidRPr="532827D2">
              <w:rPr>
                <w:color w:val="000000" w:themeColor="text1"/>
              </w:rPr>
              <w:t>Moderate</w:t>
            </w:r>
          </w:p>
        </w:tc>
        <w:tc>
          <w:tcPr>
            <w:tcW w:w="1725" w:type="dxa"/>
            <w:vAlign w:val="center"/>
          </w:tcPr>
          <w:p w14:paraId="0323B490" w14:textId="7A7D6FE2" w:rsidR="532827D2" w:rsidRDefault="532827D2" w:rsidP="532827D2">
            <w:pPr>
              <w:spacing w:after="0"/>
              <w:jc w:val="center"/>
            </w:pPr>
            <w:r w:rsidRPr="532827D2">
              <w:rPr>
                <w:color w:val="000000" w:themeColor="text1"/>
              </w:rPr>
              <w:t>High</w:t>
            </w:r>
          </w:p>
        </w:tc>
        <w:tc>
          <w:tcPr>
            <w:tcW w:w="2175" w:type="dxa"/>
            <w:vAlign w:val="center"/>
          </w:tcPr>
          <w:p w14:paraId="1F79C8C3" w14:textId="7DB9A3E9" w:rsidR="532827D2" w:rsidRDefault="532827D2" w:rsidP="532827D2">
            <w:pPr>
              <w:spacing w:after="0"/>
              <w:jc w:val="center"/>
            </w:pPr>
            <w:r w:rsidRPr="532827D2">
              <w:rPr>
                <w:color w:val="000000" w:themeColor="text1"/>
              </w:rPr>
              <w:t>Apple leads</w:t>
            </w:r>
          </w:p>
        </w:tc>
      </w:tr>
      <w:tr w:rsidR="532827D2" w14:paraId="7BFB12C3" w14:textId="77777777" w:rsidTr="532827D2">
        <w:trPr>
          <w:trHeight w:val="300"/>
        </w:trPr>
        <w:tc>
          <w:tcPr>
            <w:tcW w:w="2385" w:type="dxa"/>
            <w:vAlign w:val="center"/>
          </w:tcPr>
          <w:p w14:paraId="42A4E66C" w14:textId="5A7779EB" w:rsidR="532827D2" w:rsidRDefault="532827D2" w:rsidP="532827D2">
            <w:pPr>
              <w:spacing w:after="0"/>
              <w:jc w:val="center"/>
            </w:pPr>
            <w:r w:rsidRPr="532827D2">
              <w:rPr>
                <w:color w:val="000000" w:themeColor="text1"/>
              </w:rPr>
              <w:t>Scalability</w:t>
            </w:r>
          </w:p>
        </w:tc>
        <w:tc>
          <w:tcPr>
            <w:tcW w:w="2077" w:type="dxa"/>
            <w:vAlign w:val="center"/>
          </w:tcPr>
          <w:p w14:paraId="0231EBD4" w14:textId="4EB93D68" w:rsidR="532827D2" w:rsidRDefault="532827D2" w:rsidP="532827D2">
            <w:pPr>
              <w:spacing w:after="0"/>
              <w:jc w:val="center"/>
            </w:pPr>
            <w:r w:rsidRPr="532827D2">
              <w:rPr>
                <w:color w:val="000000" w:themeColor="text1"/>
              </w:rPr>
              <w:t>Global</w:t>
            </w:r>
          </w:p>
        </w:tc>
        <w:tc>
          <w:tcPr>
            <w:tcW w:w="1725" w:type="dxa"/>
            <w:vAlign w:val="center"/>
          </w:tcPr>
          <w:p w14:paraId="0CB89763" w14:textId="06AABDFD" w:rsidR="532827D2" w:rsidRDefault="532827D2" w:rsidP="532827D2">
            <w:pPr>
              <w:spacing w:after="0"/>
              <w:jc w:val="center"/>
            </w:pPr>
            <w:r w:rsidRPr="532827D2">
              <w:rPr>
                <w:color w:val="000000" w:themeColor="text1"/>
              </w:rPr>
              <w:t>Limited</w:t>
            </w:r>
          </w:p>
        </w:tc>
        <w:tc>
          <w:tcPr>
            <w:tcW w:w="2175" w:type="dxa"/>
            <w:vAlign w:val="center"/>
          </w:tcPr>
          <w:p w14:paraId="64563AB7" w14:textId="31222384" w:rsidR="532827D2" w:rsidRDefault="532827D2" w:rsidP="532827D2">
            <w:pPr>
              <w:spacing w:after="0"/>
              <w:jc w:val="center"/>
            </w:pPr>
            <w:r w:rsidRPr="532827D2">
              <w:rPr>
                <w:color w:val="000000" w:themeColor="text1"/>
              </w:rPr>
              <w:t>Spotify advantage</w:t>
            </w:r>
          </w:p>
        </w:tc>
      </w:tr>
      <w:tr w:rsidR="532827D2" w14:paraId="471CF54E" w14:textId="77777777" w:rsidTr="532827D2">
        <w:trPr>
          <w:trHeight w:val="300"/>
        </w:trPr>
        <w:tc>
          <w:tcPr>
            <w:tcW w:w="2385" w:type="dxa"/>
            <w:vAlign w:val="center"/>
          </w:tcPr>
          <w:p w14:paraId="63F619AE" w14:textId="1350A076" w:rsidR="532827D2" w:rsidRDefault="532827D2" w:rsidP="532827D2">
            <w:pPr>
              <w:spacing w:after="0"/>
              <w:jc w:val="center"/>
            </w:pPr>
            <w:r w:rsidRPr="532827D2">
              <w:rPr>
                <w:color w:val="000000" w:themeColor="text1"/>
              </w:rPr>
              <w:t>Profit Stability</w:t>
            </w:r>
          </w:p>
        </w:tc>
        <w:tc>
          <w:tcPr>
            <w:tcW w:w="2077" w:type="dxa"/>
            <w:vAlign w:val="center"/>
          </w:tcPr>
          <w:p w14:paraId="11393F43" w14:textId="5C0BE0CF" w:rsidR="532827D2" w:rsidRDefault="532827D2" w:rsidP="532827D2">
            <w:pPr>
              <w:spacing w:after="0"/>
              <w:jc w:val="center"/>
            </w:pPr>
            <w:r w:rsidRPr="532827D2">
              <w:rPr>
                <w:color w:val="000000" w:themeColor="text1"/>
              </w:rPr>
              <w:t>Lower</w:t>
            </w:r>
          </w:p>
        </w:tc>
        <w:tc>
          <w:tcPr>
            <w:tcW w:w="1725" w:type="dxa"/>
            <w:vAlign w:val="center"/>
          </w:tcPr>
          <w:p w14:paraId="16190435" w14:textId="186E508B" w:rsidR="532827D2" w:rsidRDefault="532827D2" w:rsidP="532827D2">
            <w:pPr>
              <w:spacing w:after="0"/>
              <w:jc w:val="center"/>
            </w:pPr>
            <w:r w:rsidRPr="532827D2">
              <w:rPr>
                <w:color w:val="000000" w:themeColor="text1"/>
              </w:rPr>
              <w:t>Higher</w:t>
            </w:r>
          </w:p>
        </w:tc>
        <w:tc>
          <w:tcPr>
            <w:tcW w:w="2175" w:type="dxa"/>
            <w:vAlign w:val="center"/>
          </w:tcPr>
          <w:p w14:paraId="143C20FA" w14:textId="2896AB43" w:rsidR="532827D2" w:rsidRDefault="532827D2" w:rsidP="532827D2">
            <w:pPr>
              <w:spacing w:after="0"/>
              <w:jc w:val="center"/>
            </w:pPr>
            <w:r w:rsidRPr="532827D2">
              <w:rPr>
                <w:color w:val="000000" w:themeColor="text1"/>
              </w:rPr>
              <w:t>Apple advantage</w:t>
            </w:r>
          </w:p>
        </w:tc>
      </w:tr>
      <w:tr w:rsidR="532827D2" w14:paraId="362CA66F" w14:textId="77777777" w:rsidTr="532827D2">
        <w:trPr>
          <w:trHeight w:val="300"/>
        </w:trPr>
        <w:tc>
          <w:tcPr>
            <w:tcW w:w="2385" w:type="dxa"/>
            <w:vAlign w:val="center"/>
          </w:tcPr>
          <w:p w14:paraId="05329780" w14:textId="5E7AA98D" w:rsidR="532827D2" w:rsidRDefault="532827D2" w:rsidP="532827D2">
            <w:pPr>
              <w:spacing w:after="0"/>
              <w:jc w:val="center"/>
            </w:pPr>
            <w:r w:rsidRPr="532827D2">
              <w:rPr>
                <w:color w:val="000000" w:themeColor="text1"/>
              </w:rPr>
              <w:t>Long-term Growth</w:t>
            </w:r>
          </w:p>
        </w:tc>
        <w:tc>
          <w:tcPr>
            <w:tcW w:w="2077" w:type="dxa"/>
            <w:vAlign w:val="center"/>
          </w:tcPr>
          <w:p w14:paraId="697FBC6B" w14:textId="3EC14840" w:rsidR="532827D2" w:rsidRDefault="532827D2" w:rsidP="532827D2">
            <w:pPr>
              <w:spacing w:after="0"/>
              <w:jc w:val="center"/>
            </w:pPr>
            <w:r w:rsidRPr="532827D2">
              <w:rPr>
                <w:color w:val="000000" w:themeColor="text1"/>
              </w:rPr>
              <w:t>Strong</w:t>
            </w:r>
          </w:p>
        </w:tc>
        <w:tc>
          <w:tcPr>
            <w:tcW w:w="1725" w:type="dxa"/>
            <w:vAlign w:val="center"/>
          </w:tcPr>
          <w:p w14:paraId="3621D43E" w14:textId="7EA16E47" w:rsidR="532827D2" w:rsidRDefault="532827D2" w:rsidP="532827D2">
            <w:pPr>
              <w:spacing w:after="0"/>
              <w:jc w:val="center"/>
            </w:pPr>
            <w:r w:rsidRPr="532827D2">
              <w:rPr>
                <w:color w:val="000000" w:themeColor="text1"/>
              </w:rPr>
              <w:t>Moderate</w:t>
            </w:r>
          </w:p>
        </w:tc>
        <w:tc>
          <w:tcPr>
            <w:tcW w:w="2175" w:type="dxa"/>
            <w:vAlign w:val="center"/>
          </w:tcPr>
          <w:p w14:paraId="7386DA56" w14:textId="341A624B" w:rsidR="532827D2" w:rsidRDefault="532827D2" w:rsidP="532827D2">
            <w:pPr>
              <w:spacing w:after="0"/>
              <w:jc w:val="center"/>
            </w:pPr>
            <w:r w:rsidRPr="532827D2">
              <w:rPr>
                <w:color w:val="000000" w:themeColor="text1"/>
              </w:rPr>
              <w:t>Spotify stronger</w:t>
            </w:r>
          </w:p>
        </w:tc>
      </w:tr>
    </w:tbl>
    <w:p w14:paraId="0BE515D7" w14:textId="28292DB6" w:rsidR="532827D2" w:rsidRDefault="532827D2" w:rsidP="532827D2">
      <w:pPr>
        <w:jc w:val="both"/>
        <w:rPr>
          <w:rFonts w:cs="Arial"/>
          <w:sz w:val="24"/>
          <w:szCs w:val="24"/>
        </w:rPr>
      </w:pPr>
    </w:p>
    <w:p w14:paraId="7A289A6E" w14:textId="77777777"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In contrast, Apple Music's strategy is better suited in the short to medium term, as the integration of its ecosystem produces high switching costs and high customer loyalty. This provides stable revenue streams and takes competitive pressure away. However, its small accessibility might limit its long-term growth.</w:t>
      </w:r>
    </w:p>
    <w:p w14:paraId="06AD90D8" w14:textId="77777777"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Key comparative insights:</w:t>
      </w:r>
    </w:p>
    <w:p w14:paraId="520B45DF" w14:textId="77777777"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Spotify excels in: </w:t>
      </w:r>
    </w:p>
    <w:p w14:paraId="2807B6CE" w14:textId="77777777" w:rsidR="000160C5" w:rsidRPr="000160C5" w:rsidRDefault="000160C5" w:rsidP="00157EFE">
      <w:pPr>
        <w:pStyle w:val="ListParagraph"/>
        <w:numPr>
          <w:ilvl w:val="0"/>
          <w:numId w:val="47"/>
        </w:num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Innovation and individualisation </w:t>
      </w:r>
    </w:p>
    <w:p w14:paraId="752A2F90" w14:textId="77777777" w:rsidR="000160C5" w:rsidRPr="000160C5" w:rsidRDefault="000160C5" w:rsidP="00157EFE">
      <w:pPr>
        <w:pStyle w:val="ListParagraph"/>
        <w:numPr>
          <w:ilvl w:val="0"/>
          <w:numId w:val="47"/>
        </w:num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Global coverage and accessibility </w:t>
      </w:r>
    </w:p>
    <w:p w14:paraId="5D7F0C71" w14:textId="77777777" w:rsidR="000160C5" w:rsidRPr="000160C5" w:rsidRDefault="000160C5" w:rsidP="00157EFE">
      <w:pPr>
        <w:pStyle w:val="ListParagraph"/>
        <w:numPr>
          <w:ilvl w:val="0"/>
          <w:numId w:val="47"/>
        </w:num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Long-term scalability </w:t>
      </w:r>
    </w:p>
    <w:p w14:paraId="34C89190" w14:textId="77777777"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Apple Music excels in: </w:t>
      </w:r>
    </w:p>
    <w:p w14:paraId="517CB4BC" w14:textId="77777777" w:rsidR="000160C5" w:rsidRPr="000160C5" w:rsidRDefault="000160C5" w:rsidP="00157EFE">
      <w:pPr>
        <w:pStyle w:val="ListParagraph"/>
        <w:numPr>
          <w:ilvl w:val="0"/>
          <w:numId w:val="48"/>
        </w:num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Customer Retention and Customer Loyalty </w:t>
      </w:r>
    </w:p>
    <w:p w14:paraId="38BEA5FD" w14:textId="77777777" w:rsidR="000160C5" w:rsidRPr="000160C5" w:rsidRDefault="000160C5" w:rsidP="00157EFE">
      <w:pPr>
        <w:pStyle w:val="ListParagraph"/>
        <w:numPr>
          <w:ilvl w:val="0"/>
          <w:numId w:val="48"/>
        </w:num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Ecosystem integration </w:t>
      </w:r>
    </w:p>
    <w:p w14:paraId="4B3F577A" w14:textId="77777777" w:rsidR="000160C5" w:rsidRPr="000160C5" w:rsidRDefault="000160C5" w:rsidP="00157EFE">
      <w:pPr>
        <w:pStyle w:val="ListParagraph"/>
        <w:numPr>
          <w:ilvl w:val="0"/>
          <w:numId w:val="48"/>
        </w:num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Premium user experience </w:t>
      </w:r>
    </w:p>
    <w:p w14:paraId="3656B9AB" w14:textId="77777777" w:rsid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According to Teece (2018), dynamic capabilities are the capability of firms to develop competencies that may include the capability to adapt to the changes in their </w:t>
      </w:r>
      <w:r w:rsidRPr="000160C5">
        <w:rPr>
          <w:rFonts w:eastAsia="Times New Roman" w:cs="Arial"/>
          <w:noProof w:val="0"/>
          <w:kern w:val="0"/>
          <w:sz w:val="24"/>
          <w:szCs w:val="24"/>
          <w:lang w:eastAsia="en-IN"/>
          <w14:ligatures w14:val="none"/>
        </w:rPr>
        <w:lastRenderedPageBreak/>
        <w:t xml:space="preserve">environment, and are more likely to sustain competitive advantage. Spotify's constant innovation and diversification </w:t>
      </w:r>
      <w:proofErr w:type="gramStart"/>
      <w:r w:rsidRPr="000160C5">
        <w:rPr>
          <w:rFonts w:eastAsia="Times New Roman" w:cs="Arial"/>
          <w:noProof w:val="0"/>
          <w:kern w:val="0"/>
          <w:sz w:val="24"/>
          <w:szCs w:val="24"/>
          <w:lang w:eastAsia="en-IN"/>
          <w14:ligatures w14:val="none"/>
        </w:rPr>
        <w:t>makes</w:t>
      </w:r>
      <w:proofErr w:type="gramEnd"/>
      <w:r w:rsidRPr="000160C5">
        <w:rPr>
          <w:rFonts w:eastAsia="Times New Roman" w:cs="Arial"/>
          <w:noProof w:val="0"/>
          <w:kern w:val="0"/>
          <w:sz w:val="24"/>
          <w:szCs w:val="24"/>
          <w:lang w:eastAsia="en-IN"/>
          <w14:ligatures w14:val="none"/>
        </w:rPr>
        <w:t xml:space="preserve"> better sense from this point of view.</w:t>
      </w:r>
    </w:p>
    <w:p w14:paraId="467A7749" w14:textId="77777777" w:rsidR="000160C5" w:rsidRPr="000160C5" w:rsidRDefault="000160C5" w:rsidP="00157EFE">
      <w:pPr>
        <w:pStyle w:val="Heading1"/>
        <w:jc w:val="both"/>
        <w:rPr>
          <w:rFonts w:eastAsia="Times New Roman"/>
          <w:lang w:eastAsia="en-IN"/>
        </w:rPr>
      </w:pPr>
      <w:bookmarkStart w:id="10" w:name="_Toc1431152068"/>
      <w:r w:rsidRPr="532827D2">
        <w:rPr>
          <w:rFonts w:eastAsia="Times New Roman"/>
          <w:lang w:eastAsia="en-IN"/>
        </w:rPr>
        <w:t>4. Conclusion</w:t>
      </w:r>
      <w:bookmarkEnd w:id="10"/>
      <w:r w:rsidRPr="532827D2">
        <w:rPr>
          <w:rFonts w:eastAsia="Times New Roman"/>
          <w:lang w:eastAsia="en-IN"/>
        </w:rPr>
        <w:t xml:space="preserve"> </w:t>
      </w:r>
    </w:p>
    <w:p w14:paraId="61AB97E1" w14:textId="77777777"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This report has conducted a critical analysis of the macro-marketing environment and strategic responses of Spotify and Apple Music in the global music streaming industry. The findings highlight the fact that technological innovation and platform ecosystems dynamics are key factors in determining competitive positioning, opportunities, and threats.</w:t>
      </w:r>
    </w:p>
    <w:p w14:paraId="0018B7E4" w14:textId="77777777"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The analysis showed that the key to Spotify's success is the company's data-driven innovation and open platform model, which allows for high levels of personalisation, user engagement, and global scalability. However, the fact that its lower switching costs make it more susceptible to competitive pressures. In contrast, Apple Music uses its integration into the Apple ecosystem to develop a seamless user experience and high customer retention. While this strategy increases loyalty and decreases competition, it decreases accessibility and global reach.</w:t>
      </w:r>
    </w:p>
    <w:p w14:paraId="6812D010" w14:textId="77777777"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The evaluation of strategic responses using Porter's Generic Strategies showed that Spotify differentiation strategy supports long-term growth through innovation while Apple Music differentiation </w:t>
      </w:r>
      <w:proofErr w:type="gramStart"/>
      <w:r w:rsidRPr="000160C5">
        <w:rPr>
          <w:rFonts w:eastAsia="Times New Roman" w:cs="Arial"/>
          <w:noProof w:val="0"/>
          <w:kern w:val="0"/>
          <w:sz w:val="24"/>
          <w:szCs w:val="24"/>
          <w:lang w:eastAsia="en-IN"/>
          <w14:ligatures w14:val="none"/>
        </w:rPr>
        <w:t>focus</w:t>
      </w:r>
      <w:proofErr w:type="gramEnd"/>
      <w:r w:rsidRPr="000160C5">
        <w:rPr>
          <w:rFonts w:eastAsia="Times New Roman" w:cs="Arial"/>
          <w:noProof w:val="0"/>
          <w:kern w:val="0"/>
          <w:sz w:val="24"/>
          <w:szCs w:val="24"/>
          <w:lang w:eastAsia="en-IN"/>
          <w14:ligatures w14:val="none"/>
        </w:rPr>
        <w:t xml:space="preserve"> strategy supports customer retention in a defined customer segment. Similarly, the application of Ansoff's Growth Matrix revealed that the market development and diversification strategies of Spotify allow greater scalability, while the market penetration strategy of Apple Music ensures stability in the ecosystem of the company.</w:t>
      </w:r>
    </w:p>
    <w:p w14:paraId="489FC49F" w14:textId="77777777"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Critically, the analysis indicates that sustainable competitive advantage in the streaming industry requires a balance between innovation on the one hand and integration into the ecosystem on the other. Firms that are able to combine these elements well are more likely to be successful in dynamic and competitive markets (Teece, 2018; Grant, 2021).</w:t>
      </w:r>
    </w:p>
    <w:p w14:paraId="3677BEB5" w14:textId="77777777" w:rsidR="00213304"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Overall, while Spotify has a better position for its long-term growth with its adaptability and innovation capabilities, Apple Music is highly competitive with its ecosystem-driven strategy. This shows that there are many different strategic routes to being successful, as long as they are in line with the internal capabilities and the outer environmental conditions.</w:t>
      </w:r>
    </w:p>
    <w:p w14:paraId="45FB0818" w14:textId="77777777" w:rsidR="000160C5" w:rsidRDefault="000160C5" w:rsidP="00157EFE">
      <w:pPr>
        <w:jc w:val="both"/>
        <w:rPr>
          <w:rFonts w:eastAsia="Times New Roman" w:cs="Arial"/>
          <w:noProof w:val="0"/>
          <w:kern w:val="0"/>
          <w:sz w:val="24"/>
          <w:szCs w:val="24"/>
          <w:lang w:eastAsia="en-IN"/>
          <w14:ligatures w14:val="none"/>
        </w:rPr>
      </w:pPr>
    </w:p>
    <w:p w14:paraId="071E4E01" w14:textId="77777777" w:rsidR="000160C5" w:rsidRPr="00213304" w:rsidRDefault="000160C5" w:rsidP="00157EFE">
      <w:pPr>
        <w:pStyle w:val="Heading1"/>
        <w:jc w:val="both"/>
        <w:rPr>
          <w:rFonts w:eastAsia="Times New Roman"/>
          <w:lang w:eastAsia="en-IN"/>
        </w:rPr>
      </w:pPr>
      <w:bookmarkStart w:id="11" w:name="_Toc986388571"/>
      <w:r w:rsidRPr="532827D2">
        <w:rPr>
          <w:rFonts w:eastAsia="Times New Roman"/>
          <w:lang w:eastAsia="en-IN"/>
        </w:rPr>
        <w:t>References</w:t>
      </w:r>
      <w:bookmarkEnd w:id="11"/>
    </w:p>
    <w:p w14:paraId="50A75976" w14:textId="77777777" w:rsidR="000160C5" w:rsidRPr="000160C5" w:rsidRDefault="000160C5" w:rsidP="00157EFE">
      <w:pPr>
        <w:jc w:val="both"/>
        <w:rPr>
          <w:rFonts w:cs="Arial"/>
          <w:sz w:val="24"/>
          <w:szCs w:val="24"/>
        </w:rPr>
      </w:pPr>
      <w:r w:rsidRPr="000160C5">
        <w:rPr>
          <w:rFonts w:cs="Arial"/>
          <w:sz w:val="24"/>
          <w:szCs w:val="24"/>
        </w:rPr>
        <w:t xml:space="preserve">Ansoff, H.I. (1957) ‘Strategies for diversification’, </w:t>
      </w:r>
      <w:r w:rsidRPr="000160C5">
        <w:rPr>
          <w:rFonts w:cs="Arial"/>
          <w:i/>
          <w:iCs/>
          <w:sz w:val="24"/>
          <w:szCs w:val="24"/>
        </w:rPr>
        <w:t>Harvard Business Review</w:t>
      </w:r>
      <w:r w:rsidRPr="000160C5">
        <w:rPr>
          <w:rFonts w:cs="Arial"/>
          <w:sz w:val="24"/>
          <w:szCs w:val="24"/>
        </w:rPr>
        <w:t>, 35(5), pp. 113–124.</w:t>
      </w:r>
    </w:p>
    <w:p w14:paraId="740F182F" w14:textId="77777777" w:rsidR="000160C5" w:rsidRPr="000160C5" w:rsidRDefault="000160C5" w:rsidP="00157EFE">
      <w:pPr>
        <w:jc w:val="both"/>
        <w:rPr>
          <w:rFonts w:cs="Arial"/>
          <w:sz w:val="24"/>
          <w:szCs w:val="24"/>
        </w:rPr>
      </w:pPr>
      <w:r w:rsidRPr="000160C5">
        <w:rPr>
          <w:rFonts w:cs="Arial"/>
          <w:sz w:val="24"/>
          <w:szCs w:val="24"/>
        </w:rPr>
        <w:t xml:space="preserve">Brynjolfsson, E. and McAfee, A. (2017) </w:t>
      </w:r>
      <w:r w:rsidRPr="000160C5">
        <w:rPr>
          <w:rFonts w:cs="Arial"/>
          <w:i/>
          <w:iCs/>
          <w:sz w:val="24"/>
          <w:szCs w:val="24"/>
        </w:rPr>
        <w:t>Machine, Platform, Crowd: Harnessing Our Digital Future</w:t>
      </w:r>
      <w:r w:rsidRPr="000160C5">
        <w:rPr>
          <w:rFonts w:cs="Arial"/>
          <w:sz w:val="24"/>
          <w:szCs w:val="24"/>
        </w:rPr>
        <w:t>. New York: W.W. Norton &amp; Company.</w:t>
      </w:r>
    </w:p>
    <w:p w14:paraId="1589D542" w14:textId="77777777" w:rsidR="000160C5" w:rsidRPr="000160C5" w:rsidRDefault="000160C5" w:rsidP="00157EFE">
      <w:pPr>
        <w:jc w:val="both"/>
        <w:rPr>
          <w:rFonts w:cs="Arial"/>
          <w:sz w:val="24"/>
          <w:szCs w:val="24"/>
        </w:rPr>
      </w:pPr>
      <w:r w:rsidRPr="000160C5">
        <w:rPr>
          <w:rFonts w:cs="Arial"/>
          <w:sz w:val="24"/>
          <w:szCs w:val="24"/>
        </w:rPr>
        <w:lastRenderedPageBreak/>
        <w:t xml:space="preserve">Chaffey, D. and Ellis-Chadwick, F. (2022) </w:t>
      </w:r>
      <w:r w:rsidRPr="000160C5">
        <w:rPr>
          <w:rFonts w:cs="Arial"/>
          <w:i/>
          <w:iCs/>
          <w:sz w:val="24"/>
          <w:szCs w:val="24"/>
        </w:rPr>
        <w:t>Digital Marketing: Strategy, Implementation and Practice</w:t>
      </w:r>
      <w:r w:rsidRPr="000160C5">
        <w:rPr>
          <w:rFonts w:cs="Arial"/>
          <w:sz w:val="24"/>
          <w:szCs w:val="24"/>
        </w:rPr>
        <w:t>. 8th edn. Harlow: Pearson Education.</w:t>
      </w:r>
    </w:p>
    <w:p w14:paraId="4831835A" w14:textId="77777777" w:rsidR="000160C5" w:rsidRPr="000160C5" w:rsidRDefault="000160C5" w:rsidP="00157EFE">
      <w:pPr>
        <w:jc w:val="both"/>
        <w:rPr>
          <w:rFonts w:cs="Arial"/>
          <w:sz w:val="24"/>
          <w:szCs w:val="24"/>
        </w:rPr>
      </w:pPr>
      <w:r w:rsidRPr="000160C5">
        <w:rPr>
          <w:rFonts w:cs="Arial"/>
          <w:sz w:val="24"/>
          <w:szCs w:val="24"/>
        </w:rPr>
        <w:t xml:space="preserve">Grant, R.M. (2021) </w:t>
      </w:r>
      <w:r w:rsidRPr="000160C5">
        <w:rPr>
          <w:rFonts w:cs="Arial"/>
          <w:i/>
          <w:iCs/>
          <w:sz w:val="24"/>
          <w:szCs w:val="24"/>
        </w:rPr>
        <w:t>Contemporary Strategy Analysis</w:t>
      </w:r>
      <w:r w:rsidRPr="000160C5">
        <w:rPr>
          <w:rFonts w:cs="Arial"/>
          <w:sz w:val="24"/>
          <w:szCs w:val="24"/>
        </w:rPr>
        <w:t>. 11th edn. Hoboken: John Wiley &amp; Sons.</w:t>
      </w:r>
    </w:p>
    <w:p w14:paraId="4068B026" w14:textId="77777777" w:rsidR="000160C5" w:rsidRPr="000160C5" w:rsidRDefault="000160C5" w:rsidP="00157EFE">
      <w:pPr>
        <w:jc w:val="both"/>
        <w:rPr>
          <w:rFonts w:cs="Arial"/>
          <w:sz w:val="24"/>
          <w:szCs w:val="24"/>
        </w:rPr>
      </w:pPr>
      <w:r w:rsidRPr="000160C5">
        <w:rPr>
          <w:rFonts w:cs="Arial"/>
          <w:sz w:val="24"/>
          <w:szCs w:val="24"/>
        </w:rPr>
        <w:t xml:space="preserve">International Federation of the Phonographic Industry (IFPI) (2023) </w:t>
      </w:r>
      <w:r w:rsidRPr="000160C5">
        <w:rPr>
          <w:rFonts w:cs="Arial"/>
          <w:i/>
          <w:iCs/>
          <w:sz w:val="24"/>
          <w:szCs w:val="24"/>
        </w:rPr>
        <w:t>Global Music Report 2023</w:t>
      </w:r>
      <w:r w:rsidRPr="000160C5">
        <w:rPr>
          <w:rFonts w:cs="Arial"/>
          <w:sz w:val="24"/>
          <w:szCs w:val="24"/>
        </w:rPr>
        <w:t xml:space="preserve">. Available at: </w:t>
      </w:r>
      <w:hyperlink r:id="rId17" w:tgtFrame="_new" w:history="1">
        <w:r w:rsidRPr="000160C5">
          <w:rPr>
            <w:rStyle w:val="Hyperlink"/>
            <w:rFonts w:cs="Arial"/>
            <w:sz w:val="24"/>
            <w:szCs w:val="24"/>
          </w:rPr>
          <w:t>https://www.ifpi.org</w:t>
        </w:r>
      </w:hyperlink>
      <w:r w:rsidRPr="000160C5">
        <w:rPr>
          <w:rFonts w:cs="Arial"/>
          <w:sz w:val="24"/>
          <w:szCs w:val="24"/>
        </w:rPr>
        <w:t xml:space="preserve"> (Accessed: 20 March 2026).</w:t>
      </w:r>
    </w:p>
    <w:p w14:paraId="51680771" w14:textId="77777777" w:rsidR="000160C5" w:rsidRPr="000160C5" w:rsidRDefault="000160C5" w:rsidP="00157EFE">
      <w:pPr>
        <w:jc w:val="both"/>
        <w:rPr>
          <w:rFonts w:cs="Arial"/>
          <w:sz w:val="24"/>
          <w:szCs w:val="24"/>
        </w:rPr>
      </w:pPr>
      <w:r w:rsidRPr="000160C5">
        <w:rPr>
          <w:rFonts w:cs="Arial"/>
          <w:sz w:val="24"/>
          <w:szCs w:val="24"/>
        </w:rPr>
        <w:t xml:space="preserve">KPMG (2022) </w:t>
      </w:r>
      <w:r w:rsidRPr="000160C5">
        <w:rPr>
          <w:rFonts w:cs="Arial"/>
          <w:i/>
          <w:iCs/>
          <w:sz w:val="24"/>
          <w:szCs w:val="24"/>
        </w:rPr>
        <w:t>Global Media and Entertainment Outlook 2022</w:t>
      </w:r>
      <w:r w:rsidRPr="000160C5">
        <w:rPr>
          <w:rFonts w:cs="Arial"/>
          <w:sz w:val="24"/>
          <w:szCs w:val="24"/>
        </w:rPr>
        <w:t>. London: KPMG International.</w:t>
      </w:r>
    </w:p>
    <w:p w14:paraId="2A1098B5" w14:textId="77777777" w:rsidR="000160C5" w:rsidRPr="000160C5" w:rsidRDefault="000160C5" w:rsidP="00157EFE">
      <w:pPr>
        <w:jc w:val="both"/>
        <w:rPr>
          <w:rFonts w:cs="Arial"/>
          <w:sz w:val="24"/>
          <w:szCs w:val="24"/>
        </w:rPr>
      </w:pPr>
      <w:r w:rsidRPr="000160C5">
        <w:rPr>
          <w:rFonts w:cs="Arial"/>
          <w:sz w:val="24"/>
          <w:szCs w:val="24"/>
        </w:rPr>
        <w:t xml:space="preserve">Laudon, K.C. and Traver, C.G. (2021) </w:t>
      </w:r>
      <w:r w:rsidRPr="000160C5">
        <w:rPr>
          <w:rFonts w:cs="Arial"/>
          <w:i/>
          <w:iCs/>
          <w:sz w:val="24"/>
          <w:szCs w:val="24"/>
        </w:rPr>
        <w:t>E-commerce: Business, Technology, Society</w:t>
      </w:r>
      <w:r w:rsidRPr="000160C5">
        <w:rPr>
          <w:rFonts w:cs="Arial"/>
          <w:sz w:val="24"/>
          <w:szCs w:val="24"/>
        </w:rPr>
        <w:t>. 16th edn. Harlow: Pearson Education.</w:t>
      </w:r>
    </w:p>
    <w:p w14:paraId="3C1EE134" w14:textId="77777777" w:rsidR="000160C5" w:rsidRPr="000160C5" w:rsidRDefault="000160C5" w:rsidP="00157EFE">
      <w:pPr>
        <w:jc w:val="both"/>
        <w:rPr>
          <w:rFonts w:cs="Arial"/>
          <w:sz w:val="24"/>
          <w:szCs w:val="24"/>
        </w:rPr>
      </w:pPr>
      <w:r w:rsidRPr="000160C5">
        <w:rPr>
          <w:rFonts w:cs="Arial"/>
          <w:sz w:val="24"/>
          <w:szCs w:val="24"/>
        </w:rPr>
        <w:t xml:space="preserve">Porter, M.E. (1985) </w:t>
      </w:r>
      <w:r w:rsidRPr="000160C5">
        <w:rPr>
          <w:rFonts w:cs="Arial"/>
          <w:i/>
          <w:iCs/>
          <w:sz w:val="24"/>
          <w:szCs w:val="24"/>
        </w:rPr>
        <w:t>Competitive Advantage: Creating and Sustaining Superior Performance</w:t>
      </w:r>
      <w:r w:rsidRPr="000160C5">
        <w:rPr>
          <w:rFonts w:cs="Arial"/>
          <w:sz w:val="24"/>
          <w:szCs w:val="24"/>
        </w:rPr>
        <w:t>. New York: Free Press.</w:t>
      </w:r>
    </w:p>
    <w:p w14:paraId="0A454974" w14:textId="77777777" w:rsidR="000160C5" w:rsidRPr="000160C5" w:rsidRDefault="000160C5" w:rsidP="00157EFE">
      <w:pPr>
        <w:jc w:val="both"/>
        <w:rPr>
          <w:rFonts w:cs="Arial"/>
          <w:sz w:val="24"/>
          <w:szCs w:val="24"/>
        </w:rPr>
      </w:pPr>
      <w:r w:rsidRPr="000160C5">
        <w:rPr>
          <w:rFonts w:cs="Arial"/>
          <w:sz w:val="24"/>
          <w:szCs w:val="24"/>
        </w:rPr>
        <w:t xml:space="preserve">Porter, M.E. (2008) ‘The five competitive forces that shape strategy’, </w:t>
      </w:r>
      <w:r w:rsidRPr="000160C5">
        <w:rPr>
          <w:rFonts w:cs="Arial"/>
          <w:i/>
          <w:iCs/>
          <w:sz w:val="24"/>
          <w:szCs w:val="24"/>
        </w:rPr>
        <w:t>Harvard Business Review</w:t>
      </w:r>
      <w:r w:rsidRPr="000160C5">
        <w:rPr>
          <w:rFonts w:cs="Arial"/>
          <w:sz w:val="24"/>
          <w:szCs w:val="24"/>
        </w:rPr>
        <w:t>, 86(1), pp. 78–93.</w:t>
      </w:r>
    </w:p>
    <w:p w14:paraId="40A02F18" w14:textId="77777777" w:rsidR="000160C5" w:rsidRPr="000160C5" w:rsidRDefault="000160C5" w:rsidP="00157EFE">
      <w:pPr>
        <w:jc w:val="both"/>
        <w:rPr>
          <w:rFonts w:cs="Arial"/>
          <w:sz w:val="24"/>
          <w:szCs w:val="24"/>
        </w:rPr>
      </w:pPr>
      <w:r w:rsidRPr="000160C5">
        <w:rPr>
          <w:rFonts w:cs="Arial"/>
          <w:sz w:val="24"/>
          <w:szCs w:val="24"/>
        </w:rPr>
        <w:t xml:space="preserve">Statista (2024) </w:t>
      </w:r>
      <w:r w:rsidRPr="000160C5">
        <w:rPr>
          <w:rFonts w:cs="Arial"/>
          <w:i/>
          <w:iCs/>
          <w:sz w:val="24"/>
          <w:szCs w:val="24"/>
        </w:rPr>
        <w:t>Global music streaming subscribers and market share</w:t>
      </w:r>
      <w:r w:rsidRPr="000160C5">
        <w:rPr>
          <w:rFonts w:cs="Arial"/>
          <w:sz w:val="24"/>
          <w:szCs w:val="24"/>
        </w:rPr>
        <w:t xml:space="preserve">. Available at: </w:t>
      </w:r>
      <w:hyperlink r:id="rId18" w:tgtFrame="_new" w:history="1">
        <w:r w:rsidRPr="000160C5">
          <w:rPr>
            <w:rStyle w:val="Hyperlink"/>
            <w:rFonts w:cs="Arial"/>
            <w:sz w:val="24"/>
            <w:szCs w:val="24"/>
          </w:rPr>
          <w:t>https://www.statista.com</w:t>
        </w:r>
      </w:hyperlink>
      <w:r w:rsidRPr="000160C5">
        <w:rPr>
          <w:rFonts w:cs="Arial"/>
          <w:sz w:val="24"/>
          <w:szCs w:val="24"/>
        </w:rPr>
        <w:t xml:space="preserve"> (Accessed: 20 March 2026).</w:t>
      </w:r>
    </w:p>
    <w:p w14:paraId="676F50ED" w14:textId="77777777" w:rsidR="000160C5" w:rsidRPr="000160C5" w:rsidRDefault="000160C5" w:rsidP="00157EFE">
      <w:pPr>
        <w:jc w:val="both"/>
        <w:rPr>
          <w:rFonts w:cs="Arial"/>
          <w:sz w:val="24"/>
          <w:szCs w:val="24"/>
        </w:rPr>
      </w:pPr>
      <w:r w:rsidRPr="000160C5">
        <w:rPr>
          <w:rFonts w:cs="Arial"/>
          <w:sz w:val="24"/>
          <w:szCs w:val="24"/>
        </w:rPr>
        <w:t xml:space="preserve">Teece, D.J. (2018) ‘Business models and dynamic capabilities’, </w:t>
      </w:r>
      <w:r w:rsidRPr="000160C5">
        <w:rPr>
          <w:rFonts w:cs="Arial"/>
          <w:i/>
          <w:iCs/>
          <w:sz w:val="24"/>
          <w:szCs w:val="24"/>
        </w:rPr>
        <w:t>Long Range Planning</w:t>
      </w:r>
      <w:r w:rsidRPr="000160C5">
        <w:rPr>
          <w:rFonts w:cs="Arial"/>
          <w:sz w:val="24"/>
          <w:szCs w:val="24"/>
        </w:rPr>
        <w:t>, 51(1), pp. 40–49.</w:t>
      </w:r>
    </w:p>
    <w:p w14:paraId="11F4D67B" w14:textId="77777777" w:rsidR="000160C5" w:rsidRPr="000160C5" w:rsidRDefault="000160C5" w:rsidP="00157EFE">
      <w:pPr>
        <w:jc w:val="both"/>
        <w:rPr>
          <w:rFonts w:cs="Arial"/>
          <w:sz w:val="24"/>
          <w:szCs w:val="24"/>
        </w:rPr>
      </w:pPr>
      <w:r w:rsidRPr="000160C5">
        <w:rPr>
          <w:rFonts w:cs="Arial"/>
          <w:sz w:val="24"/>
          <w:szCs w:val="24"/>
        </w:rPr>
        <w:t xml:space="preserve">Apple Inc. (2023) </w:t>
      </w:r>
      <w:r w:rsidRPr="000160C5">
        <w:rPr>
          <w:rFonts w:cs="Arial"/>
          <w:i/>
          <w:iCs/>
          <w:sz w:val="24"/>
          <w:szCs w:val="24"/>
        </w:rPr>
        <w:t>Form 10-K Annual Report</w:t>
      </w:r>
      <w:r w:rsidRPr="000160C5">
        <w:rPr>
          <w:rFonts w:cs="Arial"/>
          <w:sz w:val="24"/>
          <w:szCs w:val="24"/>
        </w:rPr>
        <w:t xml:space="preserve">. Available at: </w:t>
      </w:r>
      <w:hyperlink r:id="rId19" w:tgtFrame="_new" w:history="1">
        <w:r w:rsidRPr="000160C5">
          <w:rPr>
            <w:rStyle w:val="Hyperlink"/>
            <w:rFonts w:cs="Arial"/>
            <w:sz w:val="24"/>
            <w:szCs w:val="24"/>
          </w:rPr>
          <w:t>https://www.apple.com/investor</w:t>
        </w:r>
      </w:hyperlink>
      <w:r w:rsidRPr="000160C5">
        <w:rPr>
          <w:rFonts w:cs="Arial"/>
          <w:sz w:val="24"/>
          <w:szCs w:val="24"/>
        </w:rPr>
        <w:t xml:space="preserve"> (Accessed: 20 March 2026).</w:t>
      </w:r>
    </w:p>
    <w:p w14:paraId="0108F6A5" w14:textId="77777777" w:rsidR="000160C5" w:rsidRPr="000160C5" w:rsidRDefault="000160C5" w:rsidP="00157EFE">
      <w:pPr>
        <w:jc w:val="both"/>
        <w:rPr>
          <w:rFonts w:cs="Arial"/>
          <w:sz w:val="24"/>
          <w:szCs w:val="24"/>
        </w:rPr>
      </w:pPr>
      <w:r w:rsidRPr="000160C5">
        <w:rPr>
          <w:rFonts w:cs="Arial"/>
          <w:sz w:val="24"/>
          <w:szCs w:val="24"/>
        </w:rPr>
        <w:t xml:space="preserve">Spotify Technology S.A. (2023) </w:t>
      </w:r>
      <w:r w:rsidRPr="000160C5">
        <w:rPr>
          <w:rFonts w:cs="Arial"/>
          <w:i/>
          <w:iCs/>
          <w:sz w:val="24"/>
          <w:szCs w:val="24"/>
        </w:rPr>
        <w:t>Annual Report (Form 20-F)</w:t>
      </w:r>
      <w:r w:rsidRPr="000160C5">
        <w:rPr>
          <w:rFonts w:cs="Arial"/>
          <w:sz w:val="24"/>
          <w:szCs w:val="24"/>
        </w:rPr>
        <w:t>. Available at: https://investors.spotify.com (Accessed: 20 March 2026).</w:t>
      </w:r>
    </w:p>
    <w:p w14:paraId="09E0E20B" w14:textId="77777777" w:rsidR="000160C5" w:rsidRPr="000160C5" w:rsidRDefault="000160C5" w:rsidP="00157EFE">
      <w:pPr>
        <w:jc w:val="both"/>
        <w:rPr>
          <w:rFonts w:cs="Arial"/>
          <w:sz w:val="24"/>
          <w:szCs w:val="24"/>
        </w:rPr>
      </w:pPr>
      <w:r w:rsidRPr="000160C5">
        <w:rPr>
          <w:rFonts w:cs="Arial"/>
          <w:sz w:val="24"/>
          <w:szCs w:val="24"/>
        </w:rPr>
        <w:t xml:space="preserve">Deloitte (2023) </w:t>
      </w:r>
      <w:r w:rsidRPr="000160C5">
        <w:rPr>
          <w:rFonts w:cs="Arial"/>
          <w:i/>
          <w:iCs/>
          <w:sz w:val="24"/>
          <w:szCs w:val="24"/>
        </w:rPr>
        <w:t>Digital Media Trends Survey</w:t>
      </w:r>
      <w:r w:rsidRPr="000160C5">
        <w:rPr>
          <w:rFonts w:cs="Arial"/>
          <w:sz w:val="24"/>
          <w:szCs w:val="24"/>
        </w:rPr>
        <w:t xml:space="preserve">. Available at: </w:t>
      </w:r>
      <w:hyperlink r:id="rId20" w:tgtFrame="_new" w:history="1">
        <w:r w:rsidRPr="000160C5">
          <w:rPr>
            <w:rStyle w:val="Hyperlink"/>
            <w:rFonts w:cs="Arial"/>
            <w:sz w:val="24"/>
            <w:szCs w:val="24"/>
          </w:rPr>
          <w:t>https://www2.deloitte.com</w:t>
        </w:r>
      </w:hyperlink>
      <w:r w:rsidRPr="000160C5">
        <w:rPr>
          <w:rFonts w:cs="Arial"/>
          <w:sz w:val="24"/>
          <w:szCs w:val="24"/>
        </w:rPr>
        <w:t xml:space="preserve"> (Accessed: 20 March 2026).</w:t>
      </w:r>
    </w:p>
    <w:p w14:paraId="61A38E13" w14:textId="77777777" w:rsidR="000160C5" w:rsidRPr="000160C5" w:rsidRDefault="000160C5" w:rsidP="00157EFE">
      <w:pPr>
        <w:jc w:val="both"/>
        <w:rPr>
          <w:rFonts w:cs="Arial"/>
          <w:sz w:val="24"/>
          <w:szCs w:val="24"/>
        </w:rPr>
      </w:pPr>
      <w:r w:rsidRPr="000160C5">
        <w:rPr>
          <w:rFonts w:cs="Arial"/>
          <w:sz w:val="24"/>
          <w:szCs w:val="24"/>
        </w:rPr>
        <w:t xml:space="preserve">PwC (2023) </w:t>
      </w:r>
      <w:r w:rsidRPr="000160C5">
        <w:rPr>
          <w:rFonts w:cs="Arial"/>
          <w:i/>
          <w:iCs/>
          <w:sz w:val="24"/>
          <w:szCs w:val="24"/>
        </w:rPr>
        <w:t>Global Entertainment &amp; Media Outlook 2023–2027</w:t>
      </w:r>
      <w:r w:rsidRPr="000160C5">
        <w:rPr>
          <w:rFonts w:cs="Arial"/>
          <w:sz w:val="24"/>
          <w:szCs w:val="24"/>
        </w:rPr>
        <w:t xml:space="preserve">. Available at: </w:t>
      </w:r>
      <w:hyperlink r:id="rId21" w:tgtFrame="_new" w:history="1">
        <w:r w:rsidRPr="000160C5">
          <w:rPr>
            <w:rStyle w:val="Hyperlink"/>
            <w:rFonts w:cs="Arial"/>
            <w:sz w:val="24"/>
            <w:szCs w:val="24"/>
          </w:rPr>
          <w:t>https://www.pwc.com</w:t>
        </w:r>
      </w:hyperlink>
      <w:r w:rsidRPr="000160C5">
        <w:rPr>
          <w:rFonts w:cs="Arial"/>
          <w:sz w:val="24"/>
          <w:szCs w:val="24"/>
        </w:rPr>
        <w:t xml:space="preserve"> (Accessed: 20 March 2026).</w:t>
      </w:r>
    </w:p>
    <w:p w14:paraId="049F31CB" w14:textId="77777777" w:rsidR="006B01C2" w:rsidRPr="00213304" w:rsidRDefault="006B01C2" w:rsidP="00157EFE">
      <w:pPr>
        <w:jc w:val="both"/>
        <w:rPr>
          <w:rFonts w:cs="Arial"/>
          <w:sz w:val="24"/>
          <w:szCs w:val="24"/>
        </w:rPr>
      </w:pPr>
    </w:p>
    <w:sectPr w:rsidR="006B01C2" w:rsidRPr="00213304" w:rsidSect="00157EFE">
      <w:headerReference w:type="default" r:id="rId22"/>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E75101" w14:textId="77777777" w:rsidR="009601CB" w:rsidRDefault="009601CB" w:rsidP="00157EFE">
      <w:pPr>
        <w:spacing w:after="0" w:line="240" w:lineRule="auto"/>
      </w:pPr>
      <w:r>
        <w:separator/>
      </w:r>
    </w:p>
  </w:endnote>
  <w:endnote w:type="continuationSeparator" w:id="0">
    <w:p w14:paraId="75D1BA37" w14:textId="77777777" w:rsidR="009601CB" w:rsidRDefault="009601CB" w:rsidP="00157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61D779" w14:textId="77777777" w:rsidR="00157EFE" w:rsidRDefault="00157EFE">
    <w:pPr>
      <w:pStyle w:val="Footer"/>
      <w:jc w:val="right"/>
    </w:pPr>
  </w:p>
  <w:p w14:paraId="3CF2D8B6" w14:textId="77777777" w:rsidR="00157EFE" w:rsidRDefault="00157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410961066"/>
      <w:docPartObj>
        <w:docPartGallery w:val="Page Numbers (Bottom of Page)"/>
        <w:docPartUnique/>
      </w:docPartObj>
    </w:sdtPr>
    <w:sdtEndPr>
      <w:rPr>
        <w:noProof/>
      </w:rPr>
    </w:sdtEndPr>
    <w:sdtContent>
      <w:p w14:paraId="7B20FA2E" w14:textId="77777777" w:rsidR="00157EFE" w:rsidRDefault="00157EFE">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4DDBEF00" w14:textId="77777777" w:rsidR="00157EFE" w:rsidRDefault="00157E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738849687"/>
      <w:docPartObj>
        <w:docPartGallery w:val="Page Numbers (Bottom of Page)"/>
        <w:docPartUnique/>
      </w:docPartObj>
    </w:sdtPr>
    <w:sdtEndPr>
      <w:rPr>
        <w:noProof/>
      </w:rPr>
    </w:sdtEndPr>
    <w:sdtContent>
      <w:p w14:paraId="2903CBC8" w14:textId="77777777" w:rsidR="00157EFE" w:rsidRDefault="00157EFE">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4101652C" w14:textId="77777777" w:rsidR="00157EFE" w:rsidRDefault="00157E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BA2912" w14:textId="77777777" w:rsidR="009601CB" w:rsidRDefault="009601CB" w:rsidP="00157EFE">
      <w:pPr>
        <w:spacing w:after="0" w:line="240" w:lineRule="auto"/>
      </w:pPr>
      <w:r>
        <w:separator/>
      </w:r>
    </w:p>
  </w:footnote>
  <w:footnote w:type="continuationSeparator" w:id="0">
    <w:p w14:paraId="5F4DE18F" w14:textId="77777777" w:rsidR="009601CB" w:rsidRDefault="009601CB" w:rsidP="00157E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32827D2" w14:paraId="71455F47" w14:textId="77777777" w:rsidTr="532827D2">
      <w:trPr>
        <w:trHeight w:val="300"/>
      </w:trPr>
      <w:tc>
        <w:tcPr>
          <w:tcW w:w="3005" w:type="dxa"/>
        </w:tcPr>
        <w:p w14:paraId="4531BD29" w14:textId="3062BE61" w:rsidR="532827D2" w:rsidRDefault="532827D2" w:rsidP="532827D2">
          <w:pPr>
            <w:pStyle w:val="Header"/>
            <w:ind w:left="-115"/>
          </w:pPr>
        </w:p>
      </w:tc>
      <w:tc>
        <w:tcPr>
          <w:tcW w:w="3005" w:type="dxa"/>
        </w:tcPr>
        <w:p w14:paraId="11C6E6CD" w14:textId="4CBC3897" w:rsidR="532827D2" w:rsidRDefault="532827D2" w:rsidP="532827D2">
          <w:pPr>
            <w:pStyle w:val="Header"/>
            <w:jc w:val="center"/>
          </w:pPr>
        </w:p>
      </w:tc>
      <w:tc>
        <w:tcPr>
          <w:tcW w:w="3005" w:type="dxa"/>
        </w:tcPr>
        <w:p w14:paraId="3796D4D1" w14:textId="00296463" w:rsidR="532827D2" w:rsidRDefault="532827D2" w:rsidP="532827D2">
          <w:pPr>
            <w:pStyle w:val="Header"/>
            <w:ind w:right="-115"/>
            <w:jc w:val="right"/>
          </w:pPr>
        </w:p>
      </w:tc>
    </w:tr>
  </w:tbl>
  <w:p w14:paraId="6BD4B1C6" w14:textId="34064FDA" w:rsidR="532827D2" w:rsidRDefault="532827D2" w:rsidP="532827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32827D2" w14:paraId="0291993B" w14:textId="77777777" w:rsidTr="532827D2">
      <w:trPr>
        <w:trHeight w:val="300"/>
      </w:trPr>
      <w:tc>
        <w:tcPr>
          <w:tcW w:w="3005" w:type="dxa"/>
        </w:tcPr>
        <w:p w14:paraId="56B93F28" w14:textId="7253E1AB" w:rsidR="532827D2" w:rsidRDefault="532827D2" w:rsidP="532827D2">
          <w:pPr>
            <w:pStyle w:val="Header"/>
            <w:ind w:left="-115"/>
          </w:pPr>
        </w:p>
      </w:tc>
      <w:tc>
        <w:tcPr>
          <w:tcW w:w="3005" w:type="dxa"/>
        </w:tcPr>
        <w:p w14:paraId="67EEED6C" w14:textId="35113F36" w:rsidR="532827D2" w:rsidRDefault="532827D2" w:rsidP="532827D2">
          <w:pPr>
            <w:pStyle w:val="Header"/>
            <w:jc w:val="center"/>
          </w:pPr>
        </w:p>
      </w:tc>
      <w:tc>
        <w:tcPr>
          <w:tcW w:w="3005" w:type="dxa"/>
        </w:tcPr>
        <w:p w14:paraId="2C0F287C" w14:textId="75B498C3" w:rsidR="532827D2" w:rsidRDefault="532827D2" w:rsidP="532827D2">
          <w:pPr>
            <w:pStyle w:val="Header"/>
            <w:ind w:right="-115"/>
            <w:jc w:val="right"/>
          </w:pPr>
        </w:p>
      </w:tc>
    </w:tr>
  </w:tbl>
  <w:p w14:paraId="32026C33" w14:textId="40F1EB91" w:rsidR="532827D2" w:rsidRDefault="532827D2" w:rsidP="532827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A0C30"/>
    <w:multiLevelType w:val="multilevel"/>
    <w:tmpl w:val="6E6CC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84B41"/>
    <w:multiLevelType w:val="hybridMultilevel"/>
    <w:tmpl w:val="8B00FE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A5D4DDF"/>
    <w:multiLevelType w:val="multilevel"/>
    <w:tmpl w:val="721E7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1A09A6"/>
    <w:multiLevelType w:val="hybridMultilevel"/>
    <w:tmpl w:val="BDF611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5936C26"/>
    <w:multiLevelType w:val="multilevel"/>
    <w:tmpl w:val="94CA9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220424"/>
    <w:multiLevelType w:val="multilevel"/>
    <w:tmpl w:val="F6860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8323CB"/>
    <w:multiLevelType w:val="multilevel"/>
    <w:tmpl w:val="DC9C1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4235CC"/>
    <w:multiLevelType w:val="hybridMultilevel"/>
    <w:tmpl w:val="2CB227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1056ACD"/>
    <w:multiLevelType w:val="multilevel"/>
    <w:tmpl w:val="1C322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495384"/>
    <w:multiLevelType w:val="multilevel"/>
    <w:tmpl w:val="858237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D75A6F"/>
    <w:multiLevelType w:val="multilevel"/>
    <w:tmpl w:val="33222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410678"/>
    <w:multiLevelType w:val="multilevel"/>
    <w:tmpl w:val="C582B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8F055F"/>
    <w:multiLevelType w:val="hybridMultilevel"/>
    <w:tmpl w:val="9EB059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2F64B47"/>
    <w:multiLevelType w:val="multilevel"/>
    <w:tmpl w:val="5F92D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19131D"/>
    <w:multiLevelType w:val="multilevel"/>
    <w:tmpl w:val="E1FE5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345FF4"/>
    <w:multiLevelType w:val="multilevel"/>
    <w:tmpl w:val="DD745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99291A"/>
    <w:multiLevelType w:val="multilevel"/>
    <w:tmpl w:val="FA7AA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3701B3"/>
    <w:multiLevelType w:val="multilevel"/>
    <w:tmpl w:val="B316D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A77147"/>
    <w:multiLevelType w:val="multilevel"/>
    <w:tmpl w:val="160E8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343465"/>
    <w:multiLevelType w:val="hybridMultilevel"/>
    <w:tmpl w:val="A73640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5DC4A69"/>
    <w:multiLevelType w:val="multilevel"/>
    <w:tmpl w:val="BD4ED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D151DA"/>
    <w:multiLevelType w:val="multilevel"/>
    <w:tmpl w:val="A6FA2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C11FF6"/>
    <w:multiLevelType w:val="hybridMultilevel"/>
    <w:tmpl w:val="BB4A8F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72156C2"/>
    <w:multiLevelType w:val="multilevel"/>
    <w:tmpl w:val="53F2C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D00B50"/>
    <w:multiLevelType w:val="hybridMultilevel"/>
    <w:tmpl w:val="57D01D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D432889"/>
    <w:multiLevelType w:val="hybridMultilevel"/>
    <w:tmpl w:val="7E90CA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04B59A2"/>
    <w:multiLevelType w:val="hybridMultilevel"/>
    <w:tmpl w:val="C7EC3A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0FE3FC6"/>
    <w:multiLevelType w:val="multilevel"/>
    <w:tmpl w:val="C292EC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7A2726"/>
    <w:multiLevelType w:val="multilevel"/>
    <w:tmpl w:val="0AFE0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CA1FD1"/>
    <w:multiLevelType w:val="multilevel"/>
    <w:tmpl w:val="85745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4001C3"/>
    <w:multiLevelType w:val="multilevel"/>
    <w:tmpl w:val="62DCE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3A5ABC"/>
    <w:multiLevelType w:val="hybridMultilevel"/>
    <w:tmpl w:val="4232D8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801384A"/>
    <w:multiLevelType w:val="multilevel"/>
    <w:tmpl w:val="72E2EA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8725D5"/>
    <w:multiLevelType w:val="multilevel"/>
    <w:tmpl w:val="4E4E5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3244B7"/>
    <w:multiLevelType w:val="multilevel"/>
    <w:tmpl w:val="B4DE3E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6D6801"/>
    <w:multiLevelType w:val="multilevel"/>
    <w:tmpl w:val="86641D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2C7A22"/>
    <w:multiLevelType w:val="hybridMultilevel"/>
    <w:tmpl w:val="A07883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7268547E"/>
    <w:multiLevelType w:val="multilevel"/>
    <w:tmpl w:val="6BA8A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F96B1D"/>
    <w:multiLevelType w:val="hybridMultilevel"/>
    <w:tmpl w:val="26D636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74C87D5F"/>
    <w:multiLevelType w:val="multilevel"/>
    <w:tmpl w:val="00344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DE18CF"/>
    <w:multiLevelType w:val="multilevel"/>
    <w:tmpl w:val="D86C5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6BC669D"/>
    <w:multiLevelType w:val="multilevel"/>
    <w:tmpl w:val="A202B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4A2481"/>
    <w:multiLevelType w:val="hybridMultilevel"/>
    <w:tmpl w:val="56A694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8DF58FE"/>
    <w:multiLevelType w:val="multilevel"/>
    <w:tmpl w:val="7DFE0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9E04C66"/>
    <w:multiLevelType w:val="multilevel"/>
    <w:tmpl w:val="39481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B011B24"/>
    <w:multiLevelType w:val="hybridMultilevel"/>
    <w:tmpl w:val="C77673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6" w15:restartNumberingAfterBreak="0">
    <w:nsid w:val="7DF742E9"/>
    <w:multiLevelType w:val="multilevel"/>
    <w:tmpl w:val="37F63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F95D22"/>
    <w:multiLevelType w:val="multilevel"/>
    <w:tmpl w:val="50B22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1056773">
    <w:abstractNumId w:val="40"/>
  </w:num>
  <w:num w:numId="2" w16cid:durableId="842933873">
    <w:abstractNumId w:val="4"/>
  </w:num>
  <w:num w:numId="3" w16cid:durableId="1062753807">
    <w:abstractNumId w:val="47"/>
  </w:num>
  <w:num w:numId="4" w16cid:durableId="1569270415">
    <w:abstractNumId w:val="23"/>
  </w:num>
  <w:num w:numId="5" w16cid:durableId="1297175149">
    <w:abstractNumId w:val="32"/>
  </w:num>
  <w:num w:numId="6" w16cid:durableId="936980673">
    <w:abstractNumId w:val="34"/>
  </w:num>
  <w:num w:numId="7" w16cid:durableId="1845123502">
    <w:abstractNumId w:val="6"/>
  </w:num>
  <w:num w:numId="8" w16cid:durableId="1597858900">
    <w:abstractNumId w:val="10"/>
  </w:num>
  <w:num w:numId="9" w16cid:durableId="1490092296">
    <w:abstractNumId w:val="20"/>
  </w:num>
  <w:num w:numId="10" w16cid:durableId="1670868001">
    <w:abstractNumId w:val="21"/>
  </w:num>
  <w:num w:numId="11" w16cid:durableId="297076165">
    <w:abstractNumId w:val="41"/>
  </w:num>
  <w:num w:numId="12" w16cid:durableId="770856464">
    <w:abstractNumId w:val="5"/>
  </w:num>
  <w:num w:numId="13" w16cid:durableId="2034574490">
    <w:abstractNumId w:val="33"/>
  </w:num>
  <w:num w:numId="14" w16cid:durableId="1628782747">
    <w:abstractNumId w:val="35"/>
  </w:num>
  <w:num w:numId="15" w16cid:durableId="220143807">
    <w:abstractNumId w:val="16"/>
  </w:num>
  <w:num w:numId="16" w16cid:durableId="1860508157">
    <w:abstractNumId w:val="0"/>
  </w:num>
  <w:num w:numId="17" w16cid:durableId="1186409653">
    <w:abstractNumId w:val="14"/>
  </w:num>
  <w:num w:numId="18" w16cid:durableId="1135174697">
    <w:abstractNumId w:val="28"/>
  </w:num>
  <w:num w:numId="19" w16cid:durableId="393310129">
    <w:abstractNumId w:val="2"/>
  </w:num>
  <w:num w:numId="20" w16cid:durableId="577642620">
    <w:abstractNumId w:val="15"/>
  </w:num>
  <w:num w:numId="21" w16cid:durableId="926187231">
    <w:abstractNumId w:val="39"/>
  </w:num>
  <w:num w:numId="22" w16cid:durableId="398096012">
    <w:abstractNumId w:val="46"/>
  </w:num>
  <w:num w:numId="23" w16cid:durableId="25299510">
    <w:abstractNumId w:val="9"/>
  </w:num>
  <w:num w:numId="24" w16cid:durableId="77291440">
    <w:abstractNumId w:val="44"/>
  </w:num>
  <w:num w:numId="25" w16cid:durableId="349448841">
    <w:abstractNumId w:val="13"/>
  </w:num>
  <w:num w:numId="26" w16cid:durableId="824779704">
    <w:abstractNumId w:val="37"/>
  </w:num>
  <w:num w:numId="27" w16cid:durableId="662515124">
    <w:abstractNumId w:val="43"/>
  </w:num>
  <w:num w:numId="28" w16cid:durableId="705102512">
    <w:abstractNumId w:val="30"/>
  </w:num>
  <w:num w:numId="29" w16cid:durableId="1839538365">
    <w:abstractNumId w:val="17"/>
  </w:num>
  <w:num w:numId="30" w16cid:durableId="1066418312">
    <w:abstractNumId w:val="11"/>
  </w:num>
  <w:num w:numId="31" w16cid:durableId="1035420637">
    <w:abstractNumId w:val="29"/>
  </w:num>
  <w:num w:numId="32" w16cid:durableId="214775578">
    <w:abstractNumId w:val="18"/>
  </w:num>
  <w:num w:numId="33" w16cid:durableId="502210674">
    <w:abstractNumId w:val="8"/>
  </w:num>
  <w:num w:numId="34" w16cid:durableId="874971515">
    <w:abstractNumId w:val="27"/>
  </w:num>
  <w:num w:numId="35" w16cid:durableId="2081752223">
    <w:abstractNumId w:val="1"/>
  </w:num>
  <w:num w:numId="36" w16cid:durableId="1661620359">
    <w:abstractNumId w:val="7"/>
  </w:num>
  <w:num w:numId="37" w16cid:durableId="374430230">
    <w:abstractNumId w:val="22"/>
  </w:num>
  <w:num w:numId="38" w16cid:durableId="1599026155">
    <w:abstractNumId w:val="42"/>
  </w:num>
  <w:num w:numId="39" w16cid:durableId="1401751601">
    <w:abstractNumId w:val="38"/>
  </w:num>
  <w:num w:numId="40" w16cid:durableId="1306620613">
    <w:abstractNumId w:val="19"/>
  </w:num>
  <w:num w:numId="41" w16cid:durableId="1854682391">
    <w:abstractNumId w:val="31"/>
  </w:num>
  <w:num w:numId="42" w16cid:durableId="74938223">
    <w:abstractNumId w:val="12"/>
  </w:num>
  <w:num w:numId="43" w16cid:durableId="1196504669">
    <w:abstractNumId w:val="24"/>
  </w:num>
  <w:num w:numId="44" w16cid:durableId="1649937237">
    <w:abstractNumId w:val="25"/>
  </w:num>
  <w:num w:numId="45" w16cid:durableId="1926644639">
    <w:abstractNumId w:val="36"/>
  </w:num>
  <w:num w:numId="46" w16cid:durableId="683824040">
    <w:abstractNumId w:val="3"/>
  </w:num>
  <w:num w:numId="47" w16cid:durableId="258565962">
    <w:abstractNumId w:val="26"/>
  </w:num>
  <w:num w:numId="48" w16cid:durableId="2126920674">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304"/>
    <w:rsid w:val="000160C5"/>
    <w:rsid w:val="00157EFE"/>
    <w:rsid w:val="00213304"/>
    <w:rsid w:val="002275A3"/>
    <w:rsid w:val="00231E14"/>
    <w:rsid w:val="006B01C2"/>
    <w:rsid w:val="006E7942"/>
    <w:rsid w:val="008056EF"/>
    <w:rsid w:val="0095078F"/>
    <w:rsid w:val="009601CB"/>
    <w:rsid w:val="00A955EC"/>
    <w:rsid w:val="00D91C68"/>
    <w:rsid w:val="00E16342"/>
    <w:rsid w:val="00E27655"/>
    <w:rsid w:val="00FC1EDA"/>
    <w:rsid w:val="01ADAE52"/>
    <w:rsid w:val="08F56D2B"/>
    <w:rsid w:val="0D7790CE"/>
    <w:rsid w:val="19B78D94"/>
    <w:rsid w:val="1FD0D523"/>
    <w:rsid w:val="2C0BA242"/>
    <w:rsid w:val="2C8FB5E7"/>
    <w:rsid w:val="2D123962"/>
    <w:rsid w:val="2F430778"/>
    <w:rsid w:val="321F8DC8"/>
    <w:rsid w:val="39177F94"/>
    <w:rsid w:val="40C9D181"/>
    <w:rsid w:val="463AC812"/>
    <w:rsid w:val="4E7D9C53"/>
    <w:rsid w:val="4FD72097"/>
    <w:rsid w:val="50731970"/>
    <w:rsid w:val="532827D2"/>
    <w:rsid w:val="5799210F"/>
    <w:rsid w:val="59FF0324"/>
    <w:rsid w:val="5A567E00"/>
    <w:rsid w:val="60C947CB"/>
    <w:rsid w:val="6AA23798"/>
    <w:rsid w:val="6DCB77F1"/>
    <w:rsid w:val="7DA78A10"/>
    <w:rsid w:val="7F4ABB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B4B39"/>
  <w15:chartTrackingRefBased/>
  <w15:docId w15:val="{1866D1BD-76E6-4D03-8DAE-F69A83789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304"/>
    <w:rPr>
      <w:rFonts w:ascii="Arial" w:hAnsi="Arial"/>
      <w:noProof/>
    </w:rPr>
  </w:style>
  <w:style w:type="paragraph" w:styleId="Heading1">
    <w:name w:val="heading 1"/>
    <w:basedOn w:val="Normal"/>
    <w:next w:val="Normal"/>
    <w:link w:val="Heading1Char"/>
    <w:uiPriority w:val="9"/>
    <w:qFormat/>
    <w:rsid w:val="000160C5"/>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0160C5"/>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21330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1330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1330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133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3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3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3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0C5"/>
    <w:rPr>
      <w:rFonts w:ascii="Arial" w:eastAsiaTheme="majorEastAsia" w:hAnsi="Arial" w:cstheme="majorBidi"/>
      <w:b/>
      <w:noProof/>
      <w:color w:val="000000" w:themeColor="text1"/>
      <w:sz w:val="32"/>
      <w:szCs w:val="40"/>
    </w:rPr>
  </w:style>
  <w:style w:type="character" w:customStyle="1" w:styleId="Heading2Char">
    <w:name w:val="Heading 2 Char"/>
    <w:basedOn w:val="DefaultParagraphFont"/>
    <w:link w:val="Heading2"/>
    <w:uiPriority w:val="9"/>
    <w:rsid w:val="000160C5"/>
    <w:rPr>
      <w:rFonts w:ascii="Arial" w:eastAsiaTheme="majorEastAsia" w:hAnsi="Arial" w:cstheme="majorBidi"/>
      <w:b/>
      <w:noProof/>
      <w:color w:val="000000" w:themeColor="text1"/>
      <w:sz w:val="28"/>
      <w:szCs w:val="32"/>
    </w:rPr>
  </w:style>
  <w:style w:type="character" w:customStyle="1" w:styleId="Heading3Char">
    <w:name w:val="Heading 3 Char"/>
    <w:basedOn w:val="DefaultParagraphFont"/>
    <w:link w:val="Heading3"/>
    <w:uiPriority w:val="9"/>
    <w:semiHidden/>
    <w:rsid w:val="00213304"/>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213304"/>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213304"/>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213304"/>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213304"/>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213304"/>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213304"/>
    <w:rPr>
      <w:rFonts w:eastAsiaTheme="majorEastAsia" w:cstheme="majorBidi"/>
      <w:noProof/>
      <w:color w:val="272727" w:themeColor="text1" w:themeTint="D8"/>
    </w:rPr>
  </w:style>
  <w:style w:type="paragraph" w:styleId="Title">
    <w:name w:val="Title"/>
    <w:basedOn w:val="Normal"/>
    <w:next w:val="Normal"/>
    <w:link w:val="TitleChar"/>
    <w:uiPriority w:val="10"/>
    <w:qFormat/>
    <w:rsid w:val="002133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304"/>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2133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304"/>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213304"/>
    <w:pPr>
      <w:spacing w:before="160"/>
      <w:jc w:val="center"/>
    </w:pPr>
    <w:rPr>
      <w:i/>
      <w:iCs/>
      <w:color w:val="404040" w:themeColor="text1" w:themeTint="BF"/>
    </w:rPr>
  </w:style>
  <w:style w:type="character" w:customStyle="1" w:styleId="QuoteChar">
    <w:name w:val="Quote Char"/>
    <w:basedOn w:val="DefaultParagraphFont"/>
    <w:link w:val="Quote"/>
    <w:uiPriority w:val="29"/>
    <w:rsid w:val="00213304"/>
    <w:rPr>
      <w:i/>
      <w:iCs/>
      <w:noProof/>
      <w:color w:val="404040" w:themeColor="text1" w:themeTint="BF"/>
    </w:rPr>
  </w:style>
  <w:style w:type="paragraph" w:styleId="ListParagraph">
    <w:name w:val="List Paragraph"/>
    <w:basedOn w:val="Normal"/>
    <w:uiPriority w:val="34"/>
    <w:qFormat/>
    <w:rsid w:val="00213304"/>
    <w:pPr>
      <w:ind w:left="720"/>
      <w:contextualSpacing/>
    </w:pPr>
  </w:style>
  <w:style w:type="character" w:styleId="IntenseEmphasis">
    <w:name w:val="Intense Emphasis"/>
    <w:basedOn w:val="DefaultParagraphFont"/>
    <w:uiPriority w:val="21"/>
    <w:qFormat/>
    <w:rsid w:val="00213304"/>
    <w:rPr>
      <w:i/>
      <w:iCs/>
      <w:color w:val="2F5496" w:themeColor="accent1" w:themeShade="BF"/>
    </w:rPr>
  </w:style>
  <w:style w:type="paragraph" w:styleId="IntenseQuote">
    <w:name w:val="Intense Quote"/>
    <w:basedOn w:val="Normal"/>
    <w:next w:val="Normal"/>
    <w:link w:val="IntenseQuoteChar"/>
    <w:uiPriority w:val="30"/>
    <w:qFormat/>
    <w:rsid w:val="0021330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13304"/>
    <w:rPr>
      <w:i/>
      <w:iCs/>
      <w:noProof/>
      <w:color w:val="2F5496" w:themeColor="accent1" w:themeShade="BF"/>
    </w:rPr>
  </w:style>
  <w:style w:type="character" w:styleId="IntenseReference">
    <w:name w:val="Intense Reference"/>
    <w:basedOn w:val="DefaultParagraphFont"/>
    <w:uiPriority w:val="32"/>
    <w:qFormat/>
    <w:rsid w:val="00213304"/>
    <w:rPr>
      <w:b/>
      <w:bCs/>
      <w:smallCaps/>
      <w:color w:val="2F5496" w:themeColor="accent1" w:themeShade="BF"/>
      <w:spacing w:val="5"/>
    </w:rPr>
  </w:style>
  <w:style w:type="character" w:styleId="Hyperlink">
    <w:name w:val="Hyperlink"/>
    <w:basedOn w:val="DefaultParagraphFont"/>
    <w:uiPriority w:val="99"/>
    <w:unhideWhenUsed/>
    <w:rsid w:val="000160C5"/>
    <w:rPr>
      <w:color w:val="0563C1" w:themeColor="hyperlink"/>
      <w:u w:val="single"/>
    </w:rPr>
  </w:style>
  <w:style w:type="character" w:styleId="UnresolvedMention">
    <w:name w:val="Unresolved Mention"/>
    <w:basedOn w:val="DefaultParagraphFont"/>
    <w:uiPriority w:val="99"/>
    <w:semiHidden/>
    <w:unhideWhenUsed/>
    <w:rsid w:val="000160C5"/>
    <w:rPr>
      <w:color w:val="605E5C"/>
      <w:shd w:val="clear" w:color="auto" w:fill="E1DFDD"/>
    </w:rPr>
  </w:style>
  <w:style w:type="table" w:styleId="TableGrid">
    <w:name w:val="Table Grid"/>
    <w:basedOn w:val="TableNormal"/>
    <w:uiPriority w:val="39"/>
    <w:rsid w:val="00157E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57EFE"/>
    <w:pPr>
      <w:spacing w:before="240" w:after="0"/>
      <w:outlineLvl w:val="9"/>
    </w:pPr>
    <w:rPr>
      <w:rFonts w:asciiTheme="majorHAnsi" w:hAnsiTheme="majorHAnsi"/>
      <w:b w:val="0"/>
      <w:noProof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157EFE"/>
    <w:pPr>
      <w:spacing w:after="100"/>
    </w:pPr>
  </w:style>
  <w:style w:type="paragraph" w:styleId="TOC2">
    <w:name w:val="toc 2"/>
    <w:basedOn w:val="Normal"/>
    <w:next w:val="Normal"/>
    <w:autoRedefine/>
    <w:uiPriority w:val="39"/>
    <w:unhideWhenUsed/>
    <w:rsid w:val="00157EFE"/>
    <w:pPr>
      <w:spacing w:after="100"/>
      <w:ind w:left="220"/>
    </w:pPr>
  </w:style>
  <w:style w:type="paragraph" w:styleId="Header">
    <w:name w:val="header"/>
    <w:basedOn w:val="Normal"/>
    <w:link w:val="HeaderChar"/>
    <w:uiPriority w:val="99"/>
    <w:unhideWhenUsed/>
    <w:rsid w:val="00157E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EFE"/>
    <w:rPr>
      <w:rFonts w:ascii="Arial" w:hAnsi="Arial"/>
      <w:noProof/>
    </w:rPr>
  </w:style>
  <w:style w:type="paragraph" w:styleId="Footer">
    <w:name w:val="footer"/>
    <w:basedOn w:val="Normal"/>
    <w:link w:val="FooterChar"/>
    <w:uiPriority w:val="99"/>
    <w:unhideWhenUsed/>
    <w:rsid w:val="00157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EFE"/>
    <w:rPr>
      <w:rFonts w:ascii="Arial" w:hAnsi="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www.statista.com" TargetMode="External"/><Relationship Id="rId3" Type="http://schemas.openxmlformats.org/officeDocument/2006/relationships/styles" Target="styles.xml"/><Relationship Id="rId21" Type="http://schemas.openxmlformats.org/officeDocument/2006/relationships/hyperlink" Target="https://www.pwc.com"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ifpi.org"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2.deloitt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3.xml"/><Relationship Id="rId10" Type="http://schemas.openxmlformats.org/officeDocument/2006/relationships/footer" Target="footer1.xml"/><Relationship Id="rId19" Type="http://schemas.openxmlformats.org/officeDocument/2006/relationships/hyperlink" Target="https://www.apple.com/investor"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A80A02-E2F3-4DFC-9CB0-7417881C5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3311</Words>
  <Characters>18873</Characters>
  <Application>Microsoft Office Word</Application>
  <DocSecurity>0</DocSecurity>
  <Lines>157</Lines>
  <Paragraphs>44</Paragraphs>
  <ScaleCrop>false</ScaleCrop>
  <Company/>
  <LinksUpToDate>false</LinksUpToDate>
  <CharactersWithSpaces>22140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 dudhat</dc:creator>
  <cp:keywords/>
  <dc:description/>
  <cp:lastModifiedBy>Avani Kasundra</cp:lastModifiedBy>
  <cp:revision>7</cp:revision>
  <dcterms:created xsi:type="dcterms:W3CDTF">2026-03-21T19:04:00Z</dcterms:created>
  <dcterms:modified xsi:type="dcterms:W3CDTF">2026-03-26T23:02:00Z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5dcaa407-597f-4797-b990-6a4532445745</vt:lpwstr>
  </property>
</Properties>
</file>