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3726C" w14:textId="77777777" w:rsidR="00730CA1" w:rsidRDefault="00730CA1" w:rsidP="00730CA1">
      <w:pPr>
        <w:ind w:left="720" w:hanging="720"/>
        <w:jc w:val="center"/>
        <w:rPr>
          <w:rFonts w:ascii="Arial" w:hAnsi="Arial" w:cs="Arial"/>
          <w:b/>
          <w:bCs/>
          <w:sz w:val="24"/>
          <w:szCs w:val="24"/>
          <w:lang w:val="en-US"/>
        </w:rPr>
      </w:pPr>
    </w:p>
    <w:p w14:paraId="0449691E" w14:textId="77777777" w:rsidR="00730CA1" w:rsidRDefault="00730CA1" w:rsidP="00730CA1">
      <w:pPr>
        <w:ind w:left="720" w:hanging="720"/>
        <w:jc w:val="center"/>
        <w:rPr>
          <w:rFonts w:ascii="Arial" w:hAnsi="Arial" w:cs="Arial"/>
          <w:b/>
          <w:bCs/>
          <w:sz w:val="24"/>
          <w:szCs w:val="24"/>
          <w:lang w:val="en-US"/>
        </w:rPr>
      </w:pPr>
    </w:p>
    <w:p w14:paraId="649B734C" w14:textId="77777777" w:rsidR="00730CA1" w:rsidRDefault="00730CA1" w:rsidP="00730CA1">
      <w:pPr>
        <w:ind w:left="720" w:hanging="720"/>
        <w:jc w:val="center"/>
        <w:rPr>
          <w:rFonts w:ascii="Arial" w:hAnsi="Arial" w:cs="Arial"/>
          <w:b/>
          <w:bCs/>
          <w:sz w:val="24"/>
          <w:szCs w:val="24"/>
          <w:lang w:val="en-US"/>
        </w:rPr>
      </w:pPr>
    </w:p>
    <w:p w14:paraId="17A43CE7" w14:textId="77777777" w:rsidR="00730CA1" w:rsidRDefault="00730CA1" w:rsidP="00730CA1">
      <w:pPr>
        <w:ind w:left="720" w:hanging="720"/>
        <w:jc w:val="center"/>
        <w:rPr>
          <w:rFonts w:ascii="Arial" w:hAnsi="Arial" w:cs="Arial"/>
          <w:b/>
          <w:bCs/>
          <w:sz w:val="24"/>
          <w:szCs w:val="24"/>
          <w:lang w:val="en-US"/>
        </w:rPr>
      </w:pPr>
      <w:r>
        <w:rPr>
          <w:noProof/>
        </w:rPr>
        <w:drawing>
          <wp:inline distT="0" distB="0" distL="0" distR="0" wp14:anchorId="5E882C08" wp14:editId="26BE0C89">
            <wp:extent cx="4161790" cy="1498360"/>
            <wp:effectExtent l="0" t="0" r="0" b="6985"/>
            <wp:docPr id="727282751"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rotWithShape="1">
                    <a:blip r:embed="rId8">
                      <a:extLst>
                        <a:ext uri="{28A0092B-C50C-407E-A947-70E740481C1C}">
                          <a14:useLocalDpi xmlns:a14="http://schemas.microsoft.com/office/drawing/2010/main" val="0"/>
                        </a:ext>
                      </a:extLst>
                    </a:blip>
                    <a:srcRect t="16701" b="18487"/>
                    <a:stretch>
                      <a:fillRect/>
                    </a:stretch>
                  </pic:blipFill>
                  <pic:spPr bwMode="auto">
                    <a:xfrm>
                      <a:off x="0" y="0"/>
                      <a:ext cx="4179435" cy="1504713"/>
                    </a:xfrm>
                    <a:prstGeom prst="rect">
                      <a:avLst/>
                    </a:prstGeom>
                    <a:noFill/>
                    <a:ln>
                      <a:noFill/>
                    </a:ln>
                    <a:extLst>
                      <a:ext uri="{53640926-AAD7-44D8-BBD7-CCE9431645EC}">
                        <a14:shadowObscured xmlns:a14="http://schemas.microsoft.com/office/drawing/2010/main"/>
                      </a:ext>
                    </a:extLst>
                  </pic:spPr>
                </pic:pic>
              </a:graphicData>
            </a:graphic>
          </wp:inline>
        </w:drawing>
      </w:r>
    </w:p>
    <w:p w14:paraId="1698D40C" w14:textId="77777777" w:rsidR="00730CA1" w:rsidRDefault="00730CA1" w:rsidP="00730CA1">
      <w:pPr>
        <w:ind w:left="720" w:hanging="720"/>
        <w:jc w:val="center"/>
        <w:rPr>
          <w:rFonts w:ascii="Arial" w:hAnsi="Arial" w:cs="Arial"/>
          <w:b/>
          <w:bCs/>
          <w:sz w:val="24"/>
          <w:szCs w:val="24"/>
          <w:lang w:val="en-US"/>
        </w:rPr>
      </w:pPr>
    </w:p>
    <w:p w14:paraId="7D43DF20" w14:textId="0CBF080B" w:rsidR="00730CA1" w:rsidRDefault="00730CA1" w:rsidP="00730CA1">
      <w:pPr>
        <w:ind w:left="720" w:hanging="720"/>
        <w:jc w:val="center"/>
        <w:rPr>
          <w:rFonts w:ascii="Arial" w:hAnsi="Arial" w:cs="Arial"/>
          <w:b/>
          <w:bCs/>
          <w:sz w:val="24"/>
          <w:szCs w:val="24"/>
          <w:lang w:val="en-US"/>
        </w:rPr>
      </w:pPr>
      <w:r w:rsidRPr="00730CA1">
        <w:rPr>
          <w:rFonts w:ascii="Arial" w:hAnsi="Arial" w:cs="Arial"/>
          <w:b/>
          <w:bCs/>
          <w:sz w:val="24"/>
          <w:szCs w:val="24"/>
          <w:lang w:val="en-US"/>
        </w:rPr>
        <w:t>The Impact of the UK Carbon Border Adjustment Mechanism (CBAM) on the Procurement Strategies of UK Construction MNEs: A Study of High-Emission Material Sourcing</w:t>
      </w:r>
    </w:p>
    <w:p w14:paraId="57B5F8EB" w14:textId="77777777" w:rsidR="00730CA1" w:rsidRDefault="00730CA1" w:rsidP="00730CA1">
      <w:pPr>
        <w:ind w:left="720" w:hanging="720"/>
        <w:jc w:val="center"/>
        <w:rPr>
          <w:rFonts w:ascii="Arial" w:hAnsi="Arial" w:cs="Arial"/>
          <w:b/>
          <w:bCs/>
          <w:sz w:val="24"/>
          <w:szCs w:val="24"/>
          <w:lang w:val="en-US"/>
        </w:rPr>
      </w:pPr>
    </w:p>
    <w:p w14:paraId="5CFD30EF" w14:textId="77777777" w:rsidR="00730CA1" w:rsidRDefault="00730CA1" w:rsidP="00730CA1">
      <w:pPr>
        <w:ind w:left="720" w:hanging="720"/>
        <w:jc w:val="center"/>
        <w:rPr>
          <w:rFonts w:ascii="Arial" w:hAnsi="Arial" w:cs="Arial"/>
          <w:b/>
          <w:bCs/>
          <w:sz w:val="24"/>
          <w:szCs w:val="24"/>
          <w:lang w:val="en-US"/>
        </w:rPr>
      </w:pPr>
    </w:p>
    <w:p w14:paraId="73D202DC" w14:textId="77777777" w:rsidR="00730CA1" w:rsidRPr="00730CA1" w:rsidRDefault="00730CA1" w:rsidP="00730CA1">
      <w:pPr>
        <w:ind w:left="720" w:hanging="720"/>
        <w:jc w:val="center"/>
        <w:rPr>
          <w:rFonts w:ascii="Arial" w:hAnsi="Arial" w:cs="Arial"/>
          <w:b/>
          <w:bCs/>
          <w:sz w:val="24"/>
          <w:szCs w:val="24"/>
          <w:lang w:val="en-US"/>
        </w:rPr>
      </w:pPr>
    </w:p>
    <w:p w14:paraId="2FD3DA11" w14:textId="77777777" w:rsidR="00730CA1" w:rsidRPr="00730CA1" w:rsidRDefault="00730CA1" w:rsidP="00730CA1">
      <w:pPr>
        <w:ind w:left="720" w:hanging="720"/>
        <w:jc w:val="center"/>
        <w:rPr>
          <w:rFonts w:ascii="Arial" w:hAnsi="Arial" w:cs="Arial"/>
          <w:b/>
          <w:bCs/>
          <w:sz w:val="24"/>
          <w:szCs w:val="24"/>
          <w:lang w:val="en-US"/>
        </w:rPr>
      </w:pPr>
    </w:p>
    <w:p w14:paraId="6D61995C" w14:textId="77777777" w:rsidR="00730CA1" w:rsidRPr="00730CA1" w:rsidRDefault="00730CA1" w:rsidP="00730CA1">
      <w:pPr>
        <w:ind w:left="720" w:hanging="720"/>
        <w:jc w:val="center"/>
        <w:rPr>
          <w:rFonts w:ascii="Arial" w:hAnsi="Arial" w:cs="Arial"/>
          <w:b/>
          <w:bCs/>
          <w:sz w:val="24"/>
          <w:szCs w:val="24"/>
          <w:lang w:val="en-US"/>
        </w:rPr>
      </w:pPr>
      <w:r w:rsidRPr="00730CA1">
        <w:rPr>
          <w:rFonts w:ascii="Arial" w:hAnsi="Arial" w:cs="Arial"/>
          <w:b/>
          <w:bCs/>
          <w:i/>
          <w:iCs/>
          <w:sz w:val="24"/>
          <w:szCs w:val="24"/>
          <w:lang w:val="en-US"/>
        </w:rPr>
        <w:t>MBA Dissertation</w:t>
      </w:r>
    </w:p>
    <w:p w14:paraId="544560CC" w14:textId="77777777" w:rsidR="00730CA1" w:rsidRPr="00730CA1" w:rsidRDefault="00730CA1" w:rsidP="00730CA1">
      <w:pPr>
        <w:ind w:left="720" w:hanging="720"/>
        <w:jc w:val="center"/>
        <w:rPr>
          <w:rFonts w:ascii="Arial" w:hAnsi="Arial" w:cs="Arial"/>
          <w:b/>
          <w:bCs/>
          <w:sz w:val="24"/>
          <w:szCs w:val="24"/>
          <w:lang w:val="en-US"/>
        </w:rPr>
      </w:pPr>
    </w:p>
    <w:p w14:paraId="049F4E0D" w14:textId="77777777" w:rsidR="00730CA1" w:rsidRDefault="00730CA1" w:rsidP="00730CA1">
      <w:pPr>
        <w:ind w:left="720" w:hanging="720"/>
        <w:jc w:val="center"/>
        <w:rPr>
          <w:rFonts w:ascii="Arial" w:hAnsi="Arial" w:cs="Arial"/>
          <w:b/>
          <w:bCs/>
          <w:sz w:val="24"/>
          <w:szCs w:val="24"/>
          <w:lang w:val="en-US"/>
        </w:rPr>
      </w:pPr>
      <w:r w:rsidRPr="00730CA1">
        <w:rPr>
          <w:rFonts w:ascii="Arial" w:hAnsi="Arial" w:cs="Arial"/>
          <w:b/>
          <w:bCs/>
          <w:sz w:val="24"/>
          <w:szCs w:val="24"/>
          <w:lang w:val="en-US"/>
        </w:rPr>
        <w:t>Extended Literature Review</w:t>
      </w:r>
    </w:p>
    <w:p w14:paraId="3037339F" w14:textId="77777777" w:rsidR="008740D6" w:rsidRDefault="008740D6" w:rsidP="00730CA1">
      <w:pPr>
        <w:ind w:left="720" w:hanging="720"/>
        <w:jc w:val="center"/>
        <w:rPr>
          <w:rFonts w:ascii="Arial" w:hAnsi="Arial" w:cs="Arial"/>
          <w:b/>
          <w:bCs/>
          <w:sz w:val="24"/>
          <w:szCs w:val="24"/>
          <w:lang w:val="en-US"/>
        </w:rPr>
      </w:pPr>
    </w:p>
    <w:p w14:paraId="0DF299DC" w14:textId="12A349FA" w:rsidR="008740D6" w:rsidRDefault="008740D6" w:rsidP="00730CA1">
      <w:pPr>
        <w:ind w:left="720" w:hanging="720"/>
        <w:jc w:val="center"/>
        <w:rPr>
          <w:rFonts w:ascii="Arial" w:hAnsi="Arial" w:cs="Arial"/>
          <w:b/>
          <w:bCs/>
          <w:sz w:val="24"/>
          <w:szCs w:val="24"/>
          <w:lang w:val="en-US"/>
        </w:rPr>
      </w:pPr>
      <w:r>
        <w:rPr>
          <w:rFonts w:ascii="Arial" w:hAnsi="Arial" w:cs="Arial"/>
          <w:b/>
          <w:bCs/>
          <w:sz w:val="24"/>
          <w:szCs w:val="24"/>
          <w:lang w:val="en-US"/>
        </w:rPr>
        <w:t>P</w:t>
      </w:r>
      <w:r w:rsidRPr="008740D6">
        <w:rPr>
          <w:rFonts w:ascii="Arial" w:hAnsi="Arial" w:cs="Arial"/>
          <w:b/>
          <w:bCs/>
          <w:sz w:val="24"/>
          <w:szCs w:val="24"/>
          <w:lang w:val="en-US"/>
        </w:rPr>
        <w:t>rofessor name</w:t>
      </w:r>
      <w:r>
        <w:rPr>
          <w:rFonts w:ascii="Arial" w:hAnsi="Arial" w:cs="Arial"/>
          <w:b/>
          <w:bCs/>
          <w:sz w:val="24"/>
          <w:szCs w:val="24"/>
          <w:lang w:val="en-US"/>
        </w:rPr>
        <w:t>: A</w:t>
      </w:r>
      <w:r w:rsidRPr="008740D6">
        <w:rPr>
          <w:rFonts w:ascii="Arial" w:hAnsi="Arial" w:cs="Arial"/>
          <w:b/>
          <w:bCs/>
          <w:sz w:val="24"/>
          <w:szCs w:val="24"/>
          <w:lang w:val="en-US"/>
        </w:rPr>
        <w:t xml:space="preserve">lireza </w:t>
      </w:r>
      <w:proofErr w:type="spellStart"/>
      <w:r w:rsidRPr="008740D6">
        <w:rPr>
          <w:rFonts w:ascii="Arial" w:hAnsi="Arial" w:cs="Arial"/>
          <w:b/>
          <w:bCs/>
          <w:sz w:val="24"/>
          <w:szCs w:val="24"/>
          <w:lang w:val="en-US"/>
        </w:rPr>
        <w:t>nazarian</w:t>
      </w:r>
      <w:proofErr w:type="spellEnd"/>
    </w:p>
    <w:p w14:paraId="1430ED96" w14:textId="77777777" w:rsidR="008740D6" w:rsidRDefault="008740D6" w:rsidP="00730CA1">
      <w:pPr>
        <w:ind w:left="720" w:hanging="720"/>
        <w:jc w:val="center"/>
        <w:rPr>
          <w:rFonts w:ascii="Arial" w:hAnsi="Arial" w:cs="Arial"/>
          <w:b/>
          <w:bCs/>
          <w:sz w:val="24"/>
          <w:szCs w:val="24"/>
          <w:lang w:val="en-US"/>
        </w:rPr>
      </w:pPr>
    </w:p>
    <w:p w14:paraId="7E4C2FC5" w14:textId="7A86FB60" w:rsidR="008740D6" w:rsidRPr="00730CA1" w:rsidRDefault="008740D6" w:rsidP="00730CA1">
      <w:pPr>
        <w:ind w:left="720" w:hanging="720"/>
        <w:jc w:val="center"/>
        <w:rPr>
          <w:rFonts w:ascii="Arial" w:hAnsi="Arial" w:cs="Arial"/>
          <w:b/>
          <w:bCs/>
          <w:sz w:val="24"/>
          <w:szCs w:val="24"/>
          <w:lang w:val="en-US"/>
        </w:rPr>
      </w:pPr>
      <w:r>
        <w:rPr>
          <w:rFonts w:ascii="Arial" w:hAnsi="Arial" w:cs="Arial"/>
          <w:b/>
          <w:bCs/>
          <w:sz w:val="24"/>
          <w:szCs w:val="24"/>
          <w:lang w:val="en-US"/>
        </w:rPr>
        <w:t>M</w:t>
      </w:r>
      <w:r w:rsidRPr="008740D6">
        <w:rPr>
          <w:rFonts w:ascii="Arial" w:hAnsi="Arial" w:cs="Arial"/>
          <w:b/>
          <w:bCs/>
          <w:sz w:val="24"/>
          <w:szCs w:val="24"/>
          <w:lang w:val="en-US"/>
        </w:rPr>
        <w:t>odule code</w:t>
      </w:r>
      <w:r>
        <w:rPr>
          <w:rFonts w:ascii="Arial" w:hAnsi="Arial" w:cs="Arial"/>
          <w:b/>
          <w:bCs/>
          <w:sz w:val="24"/>
          <w:szCs w:val="24"/>
          <w:lang w:val="en-US"/>
        </w:rPr>
        <w:t>:</w:t>
      </w:r>
      <w:r w:rsidRPr="008740D6">
        <w:rPr>
          <w:rFonts w:ascii="Arial" w:hAnsi="Arial" w:cs="Arial"/>
          <w:b/>
          <w:bCs/>
          <w:sz w:val="24"/>
          <w:szCs w:val="24"/>
          <w:lang w:val="en-US"/>
        </w:rPr>
        <w:t xml:space="preserve"> </w:t>
      </w:r>
      <w:r>
        <w:rPr>
          <w:rFonts w:ascii="Arial" w:hAnsi="Arial" w:cs="Arial"/>
          <w:b/>
          <w:bCs/>
          <w:sz w:val="24"/>
          <w:szCs w:val="24"/>
          <w:lang w:val="en-US"/>
        </w:rPr>
        <w:t>LCMB</w:t>
      </w:r>
      <w:r w:rsidRPr="008740D6">
        <w:rPr>
          <w:rFonts w:ascii="Arial" w:hAnsi="Arial" w:cs="Arial"/>
          <w:b/>
          <w:bCs/>
          <w:sz w:val="24"/>
          <w:szCs w:val="24"/>
          <w:lang w:val="en-US"/>
        </w:rPr>
        <w:t>7035</w:t>
      </w:r>
    </w:p>
    <w:p w14:paraId="6E81F753" w14:textId="77777777" w:rsidR="00730CA1" w:rsidRPr="00730CA1" w:rsidRDefault="00730CA1" w:rsidP="00730CA1">
      <w:pPr>
        <w:ind w:left="720" w:hanging="720"/>
        <w:jc w:val="center"/>
        <w:rPr>
          <w:rFonts w:ascii="Arial" w:hAnsi="Arial" w:cs="Arial"/>
          <w:b/>
          <w:bCs/>
          <w:sz w:val="24"/>
          <w:szCs w:val="24"/>
          <w:lang w:val="en-US"/>
        </w:rPr>
      </w:pPr>
    </w:p>
    <w:p w14:paraId="0AFA2A9C" w14:textId="77777777" w:rsidR="00730CA1" w:rsidRPr="00730CA1" w:rsidRDefault="00730CA1" w:rsidP="00730CA1">
      <w:pPr>
        <w:ind w:left="720" w:hanging="720"/>
        <w:jc w:val="center"/>
        <w:rPr>
          <w:rFonts w:ascii="Arial" w:hAnsi="Arial" w:cs="Arial"/>
          <w:b/>
          <w:bCs/>
          <w:sz w:val="24"/>
          <w:szCs w:val="24"/>
          <w:lang w:val="en-US"/>
        </w:rPr>
      </w:pPr>
      <w:r w:rsidRPr="00730CA1">
        <w:rPr>
          <w:rFonts w:ascii="Arial" w:hAnsi="Arial" w:cs="Arial"/>
          <w:b/>
          <w:bCs/>
          <w:sz w:val="24"/>
          <w:szCs w:val="24"/>
          <w:lang w:val="en-US"/>
        </w:rPr>
        <w:t xml:space="preserve">Student Name: Prashant </w:t>
      </w:r>
      <w:proofErr w:type="spellStart"/>
      <w:r w:rsidRPr="00730CA1">
        <w:rPr>
          <w:rFonts w:ascii="Arial" w:hAnsi="Arial" w:cs="Arial"/>
          <w:b/>
          <w:bCs/>
          <w:sz w:val="24"/>
          <w:szCs w:val="24"/>
          <w:lang w:val="en-US"/>
        </w:rPr>
        <w:t>rathod</w:t>
      </w:r>
      <w:proofErr w:type="spellEnd"/>
    </w:p>
    <w:p w14:paraId="3A415519" w14:textId="77777777" w:rsidR="00730CA1" w:rsidRPr="00730CA1" w:rsidRDefault="00730CA1" w:rsidP="00730CA1">
      <w:pPr>
        <w:ind w:left="720" w:hanging="720"/>
        <w:jc w:val="center"/>
        <w:rPr>
          <w:rFonts w:ascii="Arial" w:hAnsi="Arial" w:cs="Arial"/>
          <w:b/>
          <w:bCs/>
          <w:sz w:val="24"/>
          <w:szCs w:val="24"/>
          <w:lang w:val="en-US"/>
        </w:rPr>
      </w:pPr>
      <w:r w:rsidRPr="00730CA1">
        <w:rPr>
          <w:rFonts w:ascii="Arial" w:hAnsi="Arial" w:cs="Arial"/>
          <w:b/>
          <w:bCs/>
          <w:sz w:val="24"/>
          <w:szCs w:val="24"/>
          <w:lang w:val="en-US"/>
        </w:rPr>
        <w:t>Student ID: 2431299</w:t>
      </w:r>
    </w:p>
    <w:p w14:paraId="776A8349" w14:textId="77777777" w:rsidR="00730CA1" w:rsidRDefault="00730CA1" w:rsidP="00730CA1">
      <w:pPr>
        <w:ind w:left="720" w:hanging="720"/>
        <w:jc w:val="center"/>
        <w:rPr>
          <w:rFonts w:ascii="Arial" w:hAnsi="Arial" w:cs="Arial"/>
          <w:b/>
          <w:bCs/>
          <w:sz w:val="24"/>
          <w:szCs w:val="24"/>
          <w:lang w:val="en-US"/>
        </w:rPr>
      </w:pPr>
    </w:p>
    <w:p w14:paraId="264F2BCF" w14:textId="77777777" w:rsidR="008740D6" w:rsidRDefault="008740D6" w:rsidP="00730CA1">
      <w:pPr>
        <w:ind w:left="720" w:hanging="720"/>
        <w:jc w:val="center"/>
        <w:rPr>
          <w:rFonts w:ascii="Arial" w:hAnsi="Arial" w:cs="Arial"/>
          <w:b/>
          <w:bCs/>
          <w:sz w:val="24"/>
          <w:szCs w:val="24"/>
          <w:lang w:val="en-US"/>
        </w:rPr>
      </w:pPr>
    </w:p>
    <w:p w14:paraId="15AA5DB8" w14:textId="30F4649A" w:rsidR="008740D6" w:rsidRPr="00730CA1" w:rsidRDefault="008740D6" w:rsidP="00730CA1">
      <w:pPr>
        <w:ind w:left="720" w:hanging="720"/>
        <w:jc w:val="center"/>
        <w:rPr>
          <w:rFonts w:ascii="Arial" w:hAnsi="Arial" w:cs="Arial"/>
          <w:b/>
          <w:bCs/>
          <w:sz w:val="24"/>
          <w:szCs w:val="24"/>
          <w:lang w:val="en-US"/>
        </w:rPr>
      </w:pPr>
      <w:r>
        <w:rPr>
          <w:rFonts w:ascii="Arial" w:hAnsi="Arial" w:cs="Arial"/>
          <w:b/>
          <w:bCs/>
          <w:sz w:val="24"/>
          <w:szCs w:val="24"/>
          <w:lang w:val="en-US"/>
        </w:rPr>
        <w:t xml:space="preserve">Date: </w:t>
      </w:r>
      <w:r w:rsidRPr="008740D6">
        <w:rPr>
          <w:rFonts w:ascii="Arial" w:hAnsi="Arial" w:cs="Arial"/>
          <w:b/>
          <w:bCs/>
          <w:sz w:val="24"/>
          <w:szCs w:val="24"/>
          <w:lang w:val="en-US"/>
        </w:rPr>
        <w:t>08/06/26</w:t>
      </w:r>
    </w:p>
    <w:p w14:paraId="1EBD1099" w14:textId="77777777" w:rsidR="003A7791" w:rsidRPr="003A7791" w:rsidRDefault="003A7791" w:rsidP="000F4CF3">
      <w:pPr>
        <w:ind w:left="720" w:hanging="720"/>
        <w:jc w:val="center"/>
        <w:rPr>
          <w:rFonts w:ascii="Arial" w:hAnsi="Arial" w:cs="Arial"/>
          <w:b/>
          <w:bCs/>
          <w:sz w:val="24"/>
          <w:szCs w:val="24"/>
        </w:rPr>
      </w:pPr>
    </w:p>
    <w:p w14:paraId="2DEA9638" w14:textId="77777777" w:rsidR="003A7791" w:rsidRPr="003A7791" w:rsidRDefault="003A7791" w:rsidP="000F4CF3">
      <w:pPr>
        <w:ind w:left="720" w:hanging="720"/>
        <w:jc w:val="center"/>
        <w:rPr>
          <w:rFonts w:ascii="Arial" w:hAnsi="Arial" w:cs="Arial"/>
          <w:b/>
          <w:bCs/>
          <w:sz w:val="24"/>
          <w:szCs w:val="24"/>
        </w:rPr>
      </w:pPr>
    </w:p>
    <w:p w14:paraId="40187251" w14:textId="77777777" w:rsidR="003A7791" w:rsidRPr="003A7791" w:rsidRDefault="003A7791" w:rsidP="000F4CF3">
      <w:pPr>
        <w:ind w:left="720" w:hanging="720"/>
        <w:jc w:val="center"/>
        <w:rPr>
          <w:rFonts w:ascii="Arial" w:hAnsi="Arial" w:cs="Arial"/>
          <w:b/>
          <w:bCs/>
          <w:sz w:val="24"/>
          <w:szCs w:val="24"/>
        </w:rPr>
      </w:pPr>
    </w:p>
    <w:p w14:paraId="15B87184" w14:textId="77777777" w:rsidR="003A7791" w:rsidRPr="003A7791" w:rsidRDefault="003A7791" w:rsidP="000F4CF3">
      <w:pPr>
        <w:ind w:left="720" w:hanging="720"/>
        <w:jc w:val="center"/>
        <w:rPr>
          <w:rFonts w:ascii="Arial" w:hAnsi="Arial" w:cs="Arial"/>
          <w:b/>
          <w:bCs/>
          <w:sz w:val="24"/>
          <w:szCs w:val="24"/>
        </w:rPr>
      </w:pPr>
    </w:p>
    <w:p w14:paraId="52DC5970" w14:textId="77777777" w:rsidR="003A7791" w:rsidRPr="003A7791" w:rsidRDefault="003A7791" w:rsidP="000F4CF3">
      <w:pPr>
        <w:ind w:left="720" w:hanging="720"/>
        <w:jc w:val="center"/>
        <w:rPr>
          <w:rFonts w:ascii="Arial" w:hAnsi="Arial" w:cs="Arial"/>
          <w:b/>
          <w:bCs/>
          <w:sz w:val="24"/>
          <w:szCs w:val="24"/>
        </w:rPr>
      </w:pPr>
    </w:p>
    <w:p w14:paraId="4DF658F1" w14:textId="77777777" w:rsidR="003A7791" w:rsidRPr="003A7791" w:rsidRDefault="003A7791" w:rsidP="003A7791">
      <w:pPr>
        <w:spacing w:before="60" w:after="60"/>
        <w:rPr>
          <w:sz w:val="24"/>
          <w:szCs w:val="24"/>
        </w:rPr>
      </w:pPr>
    </w:p>
    <w:p w14:paraId="7EBF0472" w14:textId="77777777" w:rsidR="003A7791" w:rsidRPr="003A7791" w:rsidRDefault="003A7791" w:rsidP="003A7791">
      <w:pPr>
        <w:spacing w:before="60" w:after="60"/>
        <w:rPr>
          <w:sz w:val="24"/>
          <w:szCs w:val="24"/>
        </w:rPr>
      </w:pPr>
    </w:p>
    <w:p w14:paraId="011A73AB" w14:textId="77777777" w:rsidR="003A7791" w:rsidRPr="003A7791" w:rsidRDefault="003A7791" w:rsidP="003A7791">
      <w:pPr>
        <w:spacing w:before="60" w:after="60"/>
        <w:rPr>
          <w:sz w:val="24"/>
          <w:szCs w:val="24"/>
        </w:rPr>
      </w:pPr>
    </w:p>
    <w:p w14:paraId="02A46F9A" w14:textId="77777777" w:rsidR="003A7791" w:rsidRPr="003A7791" w:rsidRDefault="003A7791" w:rsidP="003A7791">
      <w:pPr>
        <w:spacing w:before="60" w:after="60" w:line="360" w:lineRule="auto"/>
        <w:jc w:val="center"/>
        <w:rPr>
          <w:b/>
          <w:bCs/>
          <w:sz w:val="24"/>
          <w:szCs w:val="24"/>
        </w:rPr>
      </w:pPr>
    </w:p>
    <w:p w14:paraId="795A080F" w14:textId="77777777" w:rsidR="003A7791" w:rsidRPr="003A7791" w:rsidRDefault="003A7791" w:rsidP="003A7791">
      <w:pPr>
        <w:spacing w:before="60" w:after="60"/>
        <w:rPr>
          <w:sz w:val="24"/>
          <w:szCs w:val="24"/>
        </w:rPr>
      </w:pPr>
    </w:p>
    <w:p w14:paraId="0DF43299" w14:textId="77777777" w:rsidR="003A7791" w:rsidRPr="003A7791" w:rsidRDefault="003A7791" w:rsidP="003A7791">
      <w:pPr>
        <w:spacing w:before="60" w:after="60"/>
        <w:rPr>
          <w:sz w:val="24"/>
          <w:szCs w:val="24"/>
        </w:rPr>
      </w:pPr>
    </w:p>
    <w:p w14:paraId="47C789D0" w14:textId="77777777" w:rsidR="003A7791" w:rsidRPr="003A7791" w:rsidRDefault="003A7791" w:rsidP="003A7791">
      <w:pPr>
        <w:spacing w:before="60" w:after="60"/>
        <w:rPr>
          <w:sz w:val="24"/>
          <w:szCs w:val="24"/>
        </w:rPr>
      </w:pPr>
    </w:p>
    <w:p w14:paraId="0DF95A5C" w14:textId="77777777" w:rsidR="00730CA1" w:rsidRPr="003A7791" w:rsidRDefault="00730CA1" w:rsidP="003A7791">
      <w:pPr>
        <w:spacing w:before="60" w:after="60"/>
        <w:rPr>
          <w:sz w:val="24"/>
          <w:szCs w:val="24"/>
        </w:rPr>
      </w:pPr>
    </w:p>
    <w:p w14:paraId="0F34CAC8" w14:textId="77777777" w:rsidR="003A7791" w:rsidRPr="003A7791" w:rsidRDefault="003A7791" w:rsidP="003A7791">
      <w:pPr>
        <w:pStyle w:val="Heading1"/>
        <w:numPr>
          <w:ilvl w:val="0"/>
          <w:numId w:val="0"/>
        </w:numPr>
        <w:ind w:left="432"/>
        <w:rPr>
          <w:sz w:val="24"/>
          <w:szCs w:val="24"/>
        </w:rPr>
      </w:pPr>
      <w:bookmarkStart w:id="0" w:name="_Toc231599649"/>
      <w:r w:rsidRPr="003A7791">
        <w:rPr>
          <w:sz w:val="24"/>
          <w:szCs w:val="24"/>
        </w:rPr>
        <w:lastRenderedPageBreak/>
        <w:t>Abstract</w:t>
      </w:r>
      <w:bookmarkEnd w:id="0"/>
    </w:p>
    <w:p w14:paraId="5F3274E1" w14:textId="77777777" w:rsidR="00D52247" w:rsidRPr="00D52247" w:rsidRDefault="00D52247" w:rsidP="00D52247">
      <w:pPr>
        <w:spacing w:before="120" w:after="120" w:line="360" w:lineRule="auto"/>
        <w:jc w:val="both"/>
        <w:rPr>
          <w:sz w:val="24"/>
          <w:szCs w:val="24"/>
        </w:rPr>
      </w:pPr>
      <w:r w:rsidRPr="00D52247">
        <w:rPr>
          <w:sz w:val="24"/>
          <w:szCs w:val="24"/>
        </w:rPr>
        <w:t>This dissertation aims to provide an Extended Literature Review of the reconfiguration of international procurement processes in UK construction multinational enterprises (MNEs) in response to the UK Carbon Border Adjustment Mechanism (UK CBAM) that is set for implementation from 1 January 2027. The study draws from four well-known theoretical bodies: Transaction Cost Economics, the Porter Hypothesis, Institutional Theory and Resource Dependence Theory to synthesise evidence from three discrete strands of literature: carbon-pricing economics, sustainable supply chain management and construction management.</w:t>
      </w:r>
    </w:p>
    <w:p w14:paraId="0524D6EC" w14:textId="7206621B" w:rsidR="003A7791" w:rsidRDefault="00D52247" w:rsidP="00D52247">
      <w:pPr>
        <w:spacing w:before="120" w:after="120" w:line="360" w:lineRule="auto"/>
        <w:jc w:val="both"/>
        <w:rPr>
          <w:sz w:val="24"/>
          <w:szCs w:val="24"/>
        </w:rPr>
      </w:pPr>
      <w:r w:rsidRPr="00D52247">
        <w:rPr>
          <w:sz w:val="24"/>
          <w:szCs w:val="24"/>
        </w:rPr>
        <w:t>The review reveals that CBAM will result in substantial cost surcharges on key construction materials</w:t>
      </w:r>
      <w:r>
        <w:rPr>
          <w:sz w:val="24"/>
          <w:szCs w:val="24"/>
        </w:rPr>
        <w:t>:</w:t>
      </w:r>
      <w:r w:rsidRPr="00D52247">
        <w:rPr>
          <w:sz w:val="24"/>
          <w:szCs w:val="24"/>
        </w:rPr>
        <w:t xml:space="preserve"> 8 – 15 % on steel, 10 – 18 % on aluminium, 5 – 12 % on cement, 6 – 10 % on glass – leading to a strategic change from cost efficiency to carbon efficiency in procurement. There are four main adaptive responses: supplier substitution, contract redesign, sourcing localisation and material substitution. The results are combined into a Carbon-Adjusted Procurement (CAP) framework that reflects the relationship between cost, carbon, compliance and capacity.</w:t>
      </w:r>
    </w:p>
    <w:p w14:paraId="62EF306F" w14:textId="6CEEB094" w:rsidR="00D52247" w:rsidRPr="00D52247" w:rsidRDefault="00D52247" w:rsidP="00D52247">
      <w:pPr>
        <w:spacing w:before="120" w:after="120" w:line="360" w:lineRule="auto"/>
        <w:jc w:val="both"/>
        <w:rPr>
          <w:i/>
          <w:iCs/>
          <w:sz w:val="24"/>
          <w:szCs w:val="24"/>
        </w:rPr>
      </w:pPr>
      <w:r w:rsidRPr="00D52247">
        <w:rPr>
          <w:b/>
          <w:bCs/>
          <w:sz w:val="24"/>
          <w:szCs w:val="24"/>
        </w:rPr>
        <w:t>Keywords:</w:t>
      </w:r>
      <w:r>
        <w:rPr>
          <w:sz w:val="24"/>
          <w:szCs w:val="24"/>
        </w:rPr>
        <w:t xml:space="preserve"> </w:t>
      </w:r>
      <w:r w:rsidRPr="00D52247">
        <w:rPr>
          <w:i/>
          <w:iCs/>
          <w:sz w:val="24"/>
          <w:szCs w:val="24"/>
        </w:rPr>
        <w:t>UK Carbon Border Adjustment Mechanism (CBAM), International Procurement, Construction MNEs, Sustainable Supply Chain Management, Supply Chain Decarbonisation.</w:t>
      </w:r>
    </w:p>
    <w:p w14:paraId="3BF767C2" w14:textId="77777777" w:rsidR="00D52247" w:rsidRDefault="00D52247" w:rsidP="00D52247">
      <w:pPr>
        <w:spacing w:before="120" w:after="120" w:line="360" w:lineRule="auto"/>
        <w:jc w:val="both"/>
        <w:rPr>
          <w:sz w:val="24"/>
          <w:szCs w:val="24"/>
        </w:rPr>
      </w:pPr>
    </w:p>
    <w:p w14:paraId="31394168" w14:textId="77777777" w:rsidR="00D52247" w:rsidRPr="003A7791" w:rsidRDefault="00D52247" w:rsidP="00D52247">
      <w:pPr>
        <w:spacing w:before="120" w:after="120" w:line="360" w:lineRule="auto"/>
        <w:jc w:val="both"/>
        <w:rPr>
          <w:sz w:val="24"/>
          <w:szCs w:val="24"/>
        </w:rPr>
      </w:pPr>
    </w:p>
    <w:p w14:paraId="7155CEE8" w14:textId="77777777" w:rsidR="003A7791" w:rsidRPr="003A7791" w:rsidRDefault="003A7791" w:rsidP="003A7791">
      <w:pPr>
        <w:spacing w:before="120" w:after="120" w:line="360" w:lineRule="auto"/>
        <w:jc w:val="both"/>
        <w:rPr>
          <w:sz w:val="24"/>
          <w:szCs w:val="24"/>
        </w:rPr>
      </w:pPr>
    </w:p>
    <w:p w14:paraId="03EF9CCF" w14:textId="77777777" w:rsidR="003A7791" w:rsidRPr="003A7791" w:rsidRDefault="003A7791" w:rsidP="003A7791">
      <w:pPr>
        <w:spacing w:before="120" w:after="120" w:line="360" w:lineRule="auto"/>
        <w:jc w:val="both"/>
        <w:rPr>
          <w:sz w:val="24"/>
          <w:szCs w:val="24"/>
        </w:rPr>
      </w:pPr>
    </w:p>
    <w:p w14:paraId="1A5F74DD" w14:textId="77777777" w:rsidR="003A7791" w:rsidRPr="003A7791" w:rsidRDefault="003A7791" w:rsidP="003A7791">
      <w:pPr>
        <w:spacing w:before="120" w:after="120" w:line="360" w:lineRule="auto"/>
        <w:jc w:val="both"/>
        <w:rPr>
          <w:sz w:val="24"/>
          <w:szCs w:val="24"/>
        </w:rPr>
      </w:pPr>
    </w:p>
    <w:p w14:paraId="5B12F695" w14:textId="77777777" w:rsidR="003A7791" w:rsidRPr="003A7791" w:rsidRDefault="003A7791" w:rsidP="003A7791">
      <w:pPr>
        <w:spacing w:before="120" w:after="120" w:line="360" w:lineRule="auto"/>
        <w:jc w:val="both"/>
        <w:rPr>
          <w:sz w:val="24"/>
          <w:szCs w:val="24"/>
        </w:rPr>
      </w:pPr>
    </w:p>
    <w:p w14:paraId="018AAA18" w14:textId="77777777" w:rsidR="003A7791" w:rsidRPr="003A7791" w:rsidRDefault="003A7791" w:rsidP="003A7791">
      <w:pPr>
        <w:spacing w:before="120" w:after="120" w:line="360" w:lineRule="auto"/>
        <w:jc w:val="both"/>
        <w:rPr>
          <w:sz w:val="24"/>
          <w:szCs w:val="24"/>
        </w:rPr>
      </w:pPr>
    </w:p>
    <w:p w14:paraId="3FAC06C7" w14:textId="77777777" w:rsidR="003A7791" w:rsidRPr="003A7791" w:rsidRDefault="003A7791" w:rsidP="003A7791">
      <w:pPr>
        <w:spacing w:before="120" w:after="120" w:line="360" w:lineRule="auto"/>
        <w:jc w:val="both"/>
        <w:rPr>
          <w:sz w:val="24"/>
          <w:szCs w:val="24"/>
        </w:rPr>
      </w:pPr>
    </w:p>
    <w:p w14:paraId="458CD2A4" w14:textId="77777777" w:rsidR="003A7791" w:rsidRPr="003A7791" w:rsidRDefault="003A7791" w:rsidP="003A7791">
      <w:pPr>
        <w:spacing w:before="120" w:after="120" w:line="360" w:lineRule="auto"/>
        <w:jc w:val="both"/>
        <w:rPr>
          <w:sz w:val="24"/>
          <w:szCs w:val="24"/>
        </w:rPr>
      </w:pPr>
    </w:p>
    <w:p w14:paraId="4679B46C" w14:textId="77777777" w:rsidR="003A7791" w:rsidRPr="003A7791" w:rsidRDefault="003A7791" w:rsidP="003A7791">
      <w:pPr>
        <w:spacing w:before="120" w:after="120" w:line="360" w:lineRule="auto"/>
        <w:jc w:val="both"/>
        <w:rPr>
          <w:sz w:val="24"/>
          <w:szCs w:val="24"/>
        </w:rPr>
      </w:pPr>
    </w:p>
    <w:p w14:paraId="460B5AB7" w14:textId="77777777" w:rsidR="003A7791" w:rsidRPr="003A7791" w:rsidRDefault="003A7791" w:rsidP="003A7791">
      <w:pPr>
        <w:spacing w:before="120" w:after="120" w:line="360" w:lineRule="auto"/>
        <w:jc w:val="both"/>
        <w:rPr>
          <w:sz w:val="24"/>
          <w:szCs w:val="24"/>
        </w:rPr>
      </w:pPr>
    </w:p>
    <w:sdt>
      <w:sdtPr>
        <w:rPr>
          <w:rFonts w:ascii="Times New Roman" w:eastAsia="Times New Roman" w:hAnsi="Times New Roman" w:cs="Times New Roman"/>
          <w:color w:val="auto"/>
          <w:sz w:val="24"/>
          <w:szCs w:val="24"/>
          <w:lang w:val="en-GB"/>
        </w:rPr>
        <w:id w:val="-294828008"/>
        <w:docPartObj>
          <w:docPartGallery w:val="Table of Contents"/>
          <w:docPartUnique/>
        </w:docPartObj>
      </w:sdtPr>
      <w:sdtEndPr>
        <w:rPr>
          <w:b/>
          <w:bCs/>
        </w:rPr>
      </w:sdtEndPr>
      <w:sdtContent>
        <w:p w14:paraId="1EE467E4" w14:textId="7DFAE8C3" w:rsidR="00876E72" w:rsidRPr="00876E72" w:rsidRDefault="003A7791" w:rsidP="00876E72">
          <w:pPr>
            <w:pStyle w:val="TOCHeading1"/>
            <w:numPr>
              <w:ilvl w:val="0"/>
              <w:numId w:val="0"/>
            </w:numPr>
            <w:spacing w:line="360" w:lineRule="auto"/>
            <w:ind w:left="432"/>
            <w:jc w:val="center"/>
            <w:rPr>
              <w:rFonts w:ascii="Times New Roman" w:hAnsi="Times New Roman" w:cs="Times New Roman"/>
              <w:noProof/>
              <w:sz w:val="24"/>
              <w:szCs w:val="24"/>
            </w:rPr>
          </w:pPr>
          <w:r w:rsidRPr="00D52247">
            <w:rPr>
              <w:rFonts w:ascii="Times New Roman" w:hAnsi="Times New Roman" w:cs="Times New Roman"/>
              <w:b/>
              <w:bCs/>
              <w:color w:val="auto"/>
              <w:sz w:val="28"/>
              <w:szCs w:val="28"/>
            </w:rPr>
            <w:t>Table of Contents</w:t>
          </w:r>
          <w:r w:rsidRPr="00876E72">
            <w:rPr>
              <w:rFonts w:ascii="Times New Roman" w:hAnsi="Times New Roman" w:cs="Times New Roman"/>
              <w:sz w:val="24"/>
              <w:szCs w:val="24"/>
            </w:rPr>
            <w:fldChar w:fldCharType="begin"/>
          </w:r>
          <w:r w:rsidRPr="00876E72">
            <w:rPr>
              <w:rFonts w:ascii="Times New Roman" w:hAnsi="Times New Roman" w:cs="Times New Roman"/>
              <w:sz w:val="24"/>
              <w:szCs w:val="24"/>
            </w:rPr>
            <w:instrText xml:space="preserve"> TOC \o "1-3" \h \z \u </w:instrText>
          </w:r>
          <w:r w:rsidRPr="00876E72">
            <w:rPr>
              <w:rFonts w:ascii="Times New Roman" w:hAnsi="Times New Roman" w:cs="Times New Roman"/>
              <w:sz w:val="24"/>
              <w:szCs w:val="24"/>
            </w:rPr>
            <w:fldChar w:fldCharType="separate"/>
          </w:r>
        </w:p>
        <w:p w14:paraId="3B726314" w14:textId="3983EC35" w:rsidR="00876E72" w:rsidRPr="00876E72" w:rsidRDefault="00876E72" w:rsidP="00876E72">
          <w:pPr>
            <w:pStyle w:val="TOC1"/>
            <w:tabs>
              <w:tab w:val="right" w:leader="dot" w:pos="8656"/>
            </w:tabs>
            <w:spacing w:line="360" w:lineRule="auto"/>
            <w:rPr>
              <w:rFonts w:eastAsiaTheme="minorEastAsia"/>
              <w:noProof/>
              <w:kern w:val="2"/>
              <w14:ligatures w14:val="standardContextual"/>
            </w:rPr>
          </w:pPr>
          <w:hyperlink w:anchor="_Toc231599649" w:history="1">
            <w:r w:rsidRPr="00876E72">
              <w:rPr>
                <w:rStyle w:val="Hyperlink"/>
                <w:noProof/>
              </w:rPr>
              <w:t>Abstract</w:t>
            </w:r>
            <w:r w:rsidRPr="00876E72">
              <w:rPr>
                <w:noProof/>
                <w:webHidden/>
              </w:rPr>
              <w:tab/>
            </w:r>
            <w:r w:rsidRPr="00876E72">
              <w:rPr>
                <w:noProof/>
                <w:webHidden/>
              </w:rPr>
              <w:fldChar w:fldCharType="begin"/>
            </w:r>
            <w:r w:rsidRPr="00876E72">
              <w:rPr>
                <w:noProof/>
                <w:webHidden/>
              </w:rPr>
              <w:instrText xml:space="preserve"> PAGEREF _Toc231599649 \h </w:instrText>
            </w:r>
            <w:r w:rsidRPr="00876E72">
              <w:rPr>
                <w:noProof/>
                <w:webHidden/>
              </w:rPr>
            </w:r>
            <w:r w:rsidRPr="00876E72">
              <w:rPr>
                <w:noProof/>
                <w:webHidden/>
              </w:rPr>
              <w:fldChar w:fldCharType="separate"/>
            </w:r>
            <w:r w:rsidR="00730CA1">
              <w:rPr>
                <w:noProof/>
                <w:webHidden/>
              </w:rPr>
              <w:t>2</w:t>
            </w:r>
            <w:r w:rsidRPr="00876E72">
              <w:rPr>
                <w:noProof/>
                <w:webHidden/>
              </w:rPr>
              <w:fldChar w:fldCharType="end"/>
            </w:r>
          </w:hyperlink>
        </w:p>
        <w:p w14:paraId="2E4FDA85" w14:textId="1A727DE0"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650" w:history="1">
            <w:r w:rsidRPr="00876E72">
              <w:rPr>
                <w:rStyle w:val="Hyperlink"/>
                <w:noProof/>
              </w:rPr>
              <w:t>1</w:t>
            </w:r>
            <w:r w:rsidRPr="00876E72">
              <w:rPr>
                <w:rFonts w:eastAsiaTheme="minorEastAsia"/>
                <w:noProof/>
                <w:kern w:val="2"/>
                <w14:ligatures w14:val="standardContextual"/>
              </w:rPr>
              <w:tab/>
            </w:r>
            <w:r w:rsidRPr="00876E72">
              <w:rPr>
                <w:rStyle w:val="Hyperlink"/>
                <w:noProof/>
              </w:rPr>
              <w:t>Chapter One: Introduction</w:t>
            </w:r>
            <w:r w:rsidRPr="00876E72">
              <w:rPr>
                <w:noProof/>
                <w:webHidden/>
              </w:rPr>
              <w:tab/>
            </w:r>
            <w:r w:rsidRPr="00876E72">
              <w:rPr>
                <w:noProof/>
                <w:webHidden/>
              </w:rPr>
              <w:fldChar w:fldCharType="begin"/>
            </w:r>
            <w:r w:rsidRPr="00876E72">
              <w:rPr>
                <w:noProof/>
                <w:webHidden/>
              </w:rPr>
              <w:instrText xml:space="preserve"> PAGEREF _Toc231599650 \h </w:instrText>
            </w:r>
            <w:r w:rsidRPr="00876E72">
              <w:rPr>
                <w:noProof/>
                <w:webHidden/>
              </w:rPr>
            </w:r>
            <w:r w:rsidRPr="00876E72">
              <w:rPr>
                <w:noProof/>
                <w:webHidden/>
              </w:rPr>
              <w:fldChar w:fldCharType="separate"/>
            </w:r>
            <w:r w:rsidR="00730CA1">
              <w:rPr>
                <w:noProof/>
                <w:webHidden/>
              </w:rPr>
              <w:t>7</w:t>
            </w:r>
            <w:r w:rsidRPr="00876E72">
              <w:rPr>
                <w:noProof/>
                <w:webHidden/>
              </w:rPr>
              <w:fldChar w:fldCharType="end"/>
            </w:r>
          </w:hyperlink>
        </w:p>
        <w:p w14:paraId="487EFB81" w14:textId="4FE0F9C3"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1" w:history="1">
            <w:r w:rsidRPr="00876E72">
              <w:rPr>
                <w:rStyle w:val="Hyperlink"/>
                <w:noProof/>
              </w:rPr>
              <w:t>1.1</w:t>
            </w:r>
            <w:r w:rsidRPr="00876E72">
              <w:rPr>
                <w:rFonts w:eastAsiaTheme="minorEastAsia"/>
                <w:noProof/>
                <w:kern w:val="2"/>
                <w14:ligatures w14:val="standardContextual"/>
              </w:rPr>
              <w:tab/>
            </w:r>
            <w:r w:rsidRPr="00876E72">
              <w:rPr>
                <w:rStyle w:val="Hyperlink"/>
                <w:noProof/>
              </w:rPr>
              <w:t>Introduction</w:t>
            </w:r>
            <w:r w:rsidRPr="00876E72">
              <w:rPr>
                <w:noProof/>
                <w:webHidden/>
              </w:rPr>
              <w:tab/>
            </w:r>
            <w:r w:rsidRPr="00876E72">
              <w:rPr>
                <w:noProof/>
                <w:webHidden/>
              </w:rPr>
              <w:fldChar w:fldCharType="begin"/>
            </w:r>
            <w:r w:rsidRPr="00876E72">
              <w:rPr>
                <w:noProof/>
                <w:webHidden/>
              </w:rPr>
              <w:instrText xml:space="preserve"> PAGEREF _Toc231599651 \h </w:instrText>
            </w:r>
            <w:r w:rsidRPr="00876E72">
              <w:rPr>
                <w:noProof/>
                <w:webHidden/>
              </w:rPr>
            </w:r>
            <w:r w:rsidRPr="00876E72">
              <w:rPr>
                <w:noProof/>
                <w:webHidden/>
              </w:rPr>
              <w:fldChar w:fldCharType="separate"/>
            </w:r>
            <w:r w:rsidR="00730CA1">
              <w:rPr>
                <w:noProof/>
                <w:webHidden/>
              </w:rPr>
              <w:t>7</w:t>
            </w:r>
            <w:r w:rsidRPr="00876E72">
              <w:rPr>
                <w:noProof/>
                <w:webHidden/>
              </w:rPr>
              <w:fldChar w:fldCharType="end"/>
            </w:r>
          </w:hyperlink>
        </w:p>
        <w:p w14:paraId="4A835FE0" w14:textId="204F11FB"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2" w:history="1">
            <w:r w:rsidRPr="00876E72">
              <w:rPr>
                <w:rStyle w:val="Hyperlink"/>
                <w:noProof/>
              </w:rPr>
              <w:t>1.2</w:t>
            </w:r>
            <w:r w:rsidRPr="00876E72">
              <w:rPr>
                <w:rFonts w:eastAsiaTheme="minorEastAsia"/>
                <w:noProof/>
                <w:kern w:val="2"/>
                <w14:ligatures w14:val="standardContextual"/>
              </w:rPr>
              <w:tab/>
            </w:r>
            <w:r w:rsidRPr="00876E72">
              <w:rPr>
                <w:rStyle w:val="Hyperlink"/>
                <w:noProof/>
              </w:rPr>
              <w:t>Background of the Research Topic</w:t>
            </w:r>
            <w:r w:rsidRPr="00876E72">
              <w:rPr>
                <w:noProof/>
                <w:webHidden/>
              </w:rPr>
              <w:tab/>
            </w:r>
            <w:r w:rsidRPr="00876E72">
              <w:rPr>
                <w:noProof/>
                <w:webHidden/>
              </w:rPr>
              <w:fldChar w:fldCharType="begin"/>
            </w:r>
            <w:r w:rsidRPr="00876E72">
              <w:rPr>
                <w:noProof/>
                <w:webHidden/>
              </w:rPr>
              <w:instrText xml:space="preserve"> PAGEREF _Toc231599652 \h </w:instrText>
            </w:r>
            <w:r w:rsidRPr="00876E72">
              <w:rPr>
                <w:noProof/>
                <w:webHidden/>
              </w:rPr>
            </w:r>
            <w:r w:rsidRPr="00876E72">
              <w:rPr>
                <w:noProof/>
                <w:webHidden/>
              </w:rPr>
              <w:fldChar w:fldCharType="separate"/>
            </w:r>
            <w:r w:rsidR="00730CA1">
              <w:rPr>
                <w:noProof/>
                <w:webHidden/>
              </w:rPr>
              <w:t>7</w:t>
            </w:r>
            <w:r w:rsidRPr="00876E72">
              <w:rPr>
                <w:noProof/>
                <w:webHidden/>
              </w:rPr>
              <w:fldChar w:fldCharType="end"/>
            </w:r>
          </w:hyperlink>
        </w:p>
        <w:p w14:paraId="2D01F050" w14:textId="3AE5A3C1"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3" w:history="1">
            <w:r w:rsidRPr="00876E72">
              <w:rPr>
                <w:rStyle w:val="Hyperlink"/>
                <w:noProof/>
              </w:rPr>
              <w:t>1.3</w:t>
            </w:r>
            <w:r w:rsidRPr="00876E72">
              <w:rPr>
                <w:rFonts w:eastAsiaTheme="minorEastAsia"/>
                <w:noProof/>
                <w:kern w:val="2"/>
                <w14:ligatures w14:val="standardContextual"/>
              </w:rPr>
              <w:tab/>
            </w:r>
            <w:r w:rsidRPr="00876E72">
              <w:rPr>
                <w:rStyle w:val="Hyperlink"/>
                <w:noProof/>
              </w:rPr>
              <w:t>Research Problem and Gap in the Literature</w:t>
            </w:r>
            <w:r w:rsidRPr="00876E72">
              <w:rPr>
                <w:noProof/>
                <w:webHidden/>
              </w:rPr>
              <w:tab/>
            </w:r>
            <w:r w:rsidRPr="00876E72">
              <w:rPr>
                <w:noProof/>
                <w:webHidden/>
              </w:rPr>
              <w:fldChar w:fldCharType="begin"/>
            </w:r>
            <w:r w:rsidRPr="00876E72">
              <w:rPr>
                <w:noProof/>
                <w:webHidden/>
              </w:rPr>
              <w:instrText xml:space="preserve"> PAGEREF _Toc231599653 \h </w:instrText>
            </w:r>
            <w:r w:rsidRPr="00876E72">
              <w:rPr>
                <w:noProof/>
                <w:webHidden/>
              </w:rPr>
            </w:r>
            <w:r w:rsidRPr="00876E72">
              <w:rPr>
                <w:noProof/>
                <w:webHidden/>
              </w:rPr>
              <w:fldChar w:fldCharType="separate"/>
            </w:r>
            <w:r w:rsidR="00730CA1">
              <w:rPr>
                <w:noProof/>
                <w:webHidden/>
              </w:rPr>
              <w:t>8</w:t>
            </w:r>
            <w:r w:rsidRPr="00876E72">
              <w:rPr>
                <w:noProof/>
                <w:webHidden/>
              </w:rPr>
              <w:fldChar w:fldCharType="end"/>
            </w:r>
          </w:hyperlink>
        </w:p>
        <w:p w14:paraId="3E6D0208" w14:textId="4543A16F"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4" w:history="1">
            <w:r w:rsidRPr="00876E72">
              <w:rPr>
                <w:rStyle w:val="Hyperlink"/>
                <w:noProof/>
              </w:rPr>
              <w:t>1.4</w:t>
            </w:r>
            <w:r w:rsidRPr="00876E72">
              <w:rPr>
                <w:rFonts w:eastAsiaTheme="minorEastAsia"/>
                <w:noProof/>
                <w:kern w:val="2"/>
                <w14:ligatures w14:val="standardContextual"/>
              </w:rPr>
              <w:tab/>
            </w:r>
            <w:r w:rsidRPr="00876E72">
              <w:rPr>
                <w:rStyle w:val="Hyperlink"/>
                <w:noProof/>
              </w:rPr>
              <w:t>Urgency and Timeliness of the Topic</w:t>
            </w:r>
            <w:r w:rsidRPr="00876E72">
              <w:rPr>
                <w:noProof/>
                <w:webHidden/>
              </w:rPr>
              <w:tab/>
            </w:r>
            <w:r w:rsidRPr="00876E72">
              <w:rPr>
                <w:noProof/>
                <w:webHidden/>
              </w:rPr>
              <w:fldChar w:fldCharType="begin"/>
            </w:r>
            <w:r w:rsidRPr="00876E72">
              <w:rPr>
                <w:noProof/>
                <w:webHidden/>
              </w:rPr>
              <w:instrText xml:space="preserve"> PAGEREF _Toc231599654 \h </w:instrText>
            </w:r>
            <w:r w:rsidRPr="00876E72">
              <w:rPr>
                <w:noProof/>
                <w:webHidden/>
              </w:rPr>
            </w:r>
            <w:r w:rsidRPr="00876E72">
              <w:rPr>
                <w:noProof/>
                <w:webHidden/>
              </w:rPr>
              <w:fldChar w:fldCharType="separate"/>
            </w:r>
            <w:r w:rsidR="00730CA1">
              <w:rPr>
                <w:noProof/>
                <w:webHidden/>
              </w:rPr>
              <w:t>9</w:t>
            </w:r>
            <w:r w:rsidRPr="00876E72">
              <w:rPr>
                <w:noProof/>
                <w:webHidden/>
              </w:rPr>
              <w:fldChar w:fldCharType="end"/>
            </w:r>
          </w:hyperlink>
        </w:p>
        <w:p w14:paraId="76F3C5FE" w14:textId="51EF1C80"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5" w:history="1">
            <w:r w:rsidRPr="00876E72">
              <w:rPr>
                <w:rStyle w:val="Hyperlink"/>
                <w:noProof/>
              </w:rPr>
              <w:t>1.5</w:t>
            </w:r>
            <w:r w:rsidRPr="00876E72">
              <w:rPr>
                <w:rFonts w:eastAsiaTheme="minorEastAsia"/>
                <w:noProof/>
                <w:kern w:val="2"/>
                <w14:ligatures w14:val="standardContextual"/>
              </w:rPr>
              <w:tab/>
            </w:r>
            <w:r w:rsidRPr="00876E72">
              <w:rPr>
                <w:rStyle w:val="Hyperlink"/>
                <w:noProof/>
              </w:rPr>
              <w:t>Research Aim and Objectives</w:t>
            </w:r>
            <w:r w:rsidRPr="00876E72">
              <w:rPr>
                <w:noProof/>
                <w:webHidden/>
              </w:rPr>
              <w:tab/>
            </w:r>
            <w:r w:rsidRPr="00876E72">
              <w:rPr>
                <w:noProof/>
                <w:webHidden/>
              </w:rPr>
              <w:fldChar w:fldCharType="begin"/>
            </w:r>
            <w:r w:rsidRPr="00876E72">
              <w:rPr>
                <w:noProof/>
                <w:webHidden/>
              </w:rPr>
              <w:instrText xml:space="preserve"> PAGEREF _Toc231599655 \h </w:instrText>
            </w:r>
            <w:r w:rsidRPr="00876E72">
              <w:rPr>
                <w:noProof/>
                <w:webHidden/>
              </w:rPr>
            </w:r>
            <w:r w:rsidRPr="00876E72">
              <w:rPr>
                <w:noProof/>
                <w:webHidden/>
              </w:rPr>
              <w:fldChar w:fldCharType="separate"/>
            </w:r>
            <w:r w:rsidR="00730CA1">
              <w:rPr>
                <w:noProof/>
                <w:webHidden/>
              </w:rPr>
              <w:t>9</w:t>
            </w:r>
            <w:r w:rsidRPr="00876E72">
              <w:rPr>
                <w:noProof/>
                <w:webHidden/>
              </w:rPr>
              <w:fldChar w:fldCharType="end"/>
            </w:r>
          </w:hyperlink>
        </w:p>
        <w:p w14:paraId="00FFA05B" w14:textId="4DA46FB3"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6" w:history="1">
            <w:r w:rsidRPr="00876E72">
              <w:rPr>
                <w:rStyle w:val="Hyperlink"/>
                <w:noProof/>
              </w:rPr>
              <w:t>1.6</w:t>
            </w:r>
            <w:r w:rsidRPr="00876E72">
              <w:rPr>
                <w:rFonts w:eastAsiaTheme="minorEastAsia"/>
                <w:noProof/>
                <w:kern w:val="2"/>
                <w14:ligatures w14:val="standardContextual"/>
              </w:rPr>
              <w:tab/>
            </w:r>
            <w:r w:rsidRPr="00876E72">
              <w:rPr>
                <w:rStyle w:val="Hyperlink"/>
                <w:noProof/>
              </w:rPr>
              <w:t>Research Questions</w:t>
            </w:r>
            <w:r w:rsidRPr="00876E72">
              <w:rPr>
                <w:noProof/>
                <w:webHidden/>
              </w:rPr>
              <w:tab/>
            </w:r>
            <w:r w:rsidRPr="00876E72">
              <w:rPr>
                <w:noProof/>
                <w:webHidden/>
              </w:rPr>
              <w:fldChar w:fldCharType="begin"/>
            </w:r>
            <w:r w:rsidRPr="00876E72">
              <w:rPr>
                <w:noProof/>
                <w:webHidden/>
              </w:rPr>
              <w:instrText xml:space="preserve"> PAGEREF _Toc231599656 \h </w:instrText>
            </w:r>
            <w:r w:rsidRPr="00876E72">
              <w:rPr>
                <w:noProof/>
                <w:webHidden/>
              </w:rPr>
            </w:r>
            <w:r w:rsidRPr="00876E72">
              <w:rPr>
                <w:noProof/>
                <w:webHidden/>
              </w:rPr>
              <w:fldChar w:fldCharType="separate"/>
            </w:r>
            <w:r w:rsidR="00730CA1">
              <w:rPr>
                <w:noProof/>
                <w:webHidden/>
              </w:rPr>
              <w:t>10</w:t>
            </w:r>
            <w:r w:rsidRPr="00876E72">
              <w:rPr>
                <w:noProof/>
                <w:webHidden/>
              </w:rPr>
              <w:fldChar w:fldCharType="end"/>
            </w:r>
          </w:hyperlink>
        </w:p>
        <w:p w14:paraId="69B778EE" w14:textId="676B873F"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7" w:history="1">
            <w:r w:rsidRPr="00876E72">
              <w:rPr>
                <w:rStyle w:val="Hyperlink"/>
                <w:noProof/>
              </w:rPr>
              <w:t>1.7</w:t>
            </w:r>
            <w:r w:rsidRPr="00876E72">
              <w:rPr>
                <w:rFonts w:eastAsiaTheme="minorEastAsia"/>
                <w:noProof/>
                <w:kern w:val="2"/>
                <w14:ligatures w14:val="standardContextual"/>
              </w:rPr>
              <w:tab/>
            </w:r>
            <w:r w:rsidRPr="00876E72">
              <w:rPr>
                <w:rStyle w:val="Hyperlink"/>
                <w:noProof/>
              </w:rPr>
              <w:t>Scope of the Review</w:t>
            </w:r>
            <w:r w:rsidRPr="00876E72">
              <w:rPr>
                <w:noProof/>
                <w:webHidden/>
              </w:rPr>
              <w:tab/>
            </w:r>
            <w:r w:rsidRPr="00876E72">
              <w:rPr>
                <w:noProof/>
                <w:webHidden/>
              </w:rPr>
              <w:fldChar w:fldCharType="begin"/>
            </w:r>
            <w:r w:rsidRPr="00876E72">
              <w:rPr>
                <w:noProof/>
                <w:webHidden/>
              </w:rPr>
              <w:instrText xml:space="preserve"> PAGEREF _Toc231599657 \h </w:instrText>
            </w:r>
            <w:r w:rsidRPr="00876E72">
              <w:rPr>
                <w:noProof/>
                <w:webHidden/>
              </w:rPr>
            </w:r>
            <w:r w:rsidRPr="00876E72">
              <w:rPr>
                <w:noProof/>
                <w:webHidden/>
              </w:rPr>
              <w:fldChar w:fldCharType="separate"/>
            </w:r>
            <w:r w:rsidR="00730CA1">
              <w:rPr>
                <w:noProof/>
                <w:webHidden/>
              </w:rPr>
              <w:t>10</w:t>
            </w:r>
            <w:r w:rsidRPr="00876E72">
              <w:rPr>
                <w:noProof/>
                <w:webHidden/>
              </w:rPr>
              <w:fldChar w:fldCharType="end"/>
            </w:r>
          </w:hyperlink>
        </w:p>
        <w:p w14:paraId="3EA7334E" w14:textId="5DD4CA26"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8" w:history="1">
            <w:r w:rsidRPr="00876E72">
              <w:rPr>
                <w:rStyle w:val="Hyperlink"/>
                <w:noProof/>
              </w:rPr>
              <w:t>1.8</w:t>
            </w:r>
            <w:r w:rsidRPr="00876E72">
              <w:rPr>
                <w:rFonts w:eastAsiaTheme="minorEastAsia"/>
                <w:noProof/>
                <w:kern w:val="2"/>
                <w14:ligatures w14:val="standardContextual"/>
              </w:rPr>
              <w:tab/>
            </w:r>
            <w:r w:rsidRPr="00876E72">
              <w:rPr>
                <w:rStyle w:val="Hyperlink"/>
                <w:noProof/>
              </w:rPr>
              <w:t>Structure of the Dissertation</w:t>
            </w:r>
            <w:r w:rsidRPr="00876E72">
              <w:rPr>
                <w:noProof/>
                <w:webHidden/>
              </w:rPr>
              <w:tab/>
            </w:r>
            <w:r w:rsidRPr="00876E72">
              <w:rPr>
                <w:noProof/>
                <w:webHidden/>
              </w:rPr>
              <w:fldChar w:fldCharType="begin"/>
            </w:r>
            <w:r w:rsidRPr="00876E72">
              <w:rPr>
                <w:noProof/>
                <w:webHidden/>
              </w:rPr>
              <w:instrText xml:space="preserve"> PAGEREF _Toc231599658 \h </w:instrText>
            </w:r>
            <w:r w:rsidRPr="00876E72">
              <w:rPr>
                <w:noProof/>
                <w:webHidden/>
              </w:rPr>
            </w:r>
            <w:r w:rsidRPr="00876E72">
              <w:rPr>
                <w:noProof/>
                <w:webHidden/>
              </w:rPr>
              <w:fldChar w:fldCharType="separate"/>
            </w:r>
            <w:r w:rsidR="00730CA1">
              <w:rPr>
                <w:noProof/>
                <w:webHidden/>
              </w:rPr>
              <w:t>11</w:t>
            </w:r>
            <w:r w:rsidRPr="00876E72">
              <w:rPr>
                <w:noProof/>
                <w:webHidden/>
              </w:rPr>
              <w:fldChar w:fldCharType="end"/>
            </w:r>
          </w:hyperlink>
        </w:p>
        <w:p w14:paraId="2F680B68" w14:textId="43188099"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59" w:history="1">
            <w:r w:rsidRPr="00876E72">
              <w:rPr>
                <w:rStyle w:val="Hyperlink"/>
                <w:noProof/>
              </w:rPr>
              <w:t>1.9</w:t>
            </w:r>
            <w:r w:rsidRPr="00876E72">
              <w:rPr>
                <w:rFonts w:eastAsiaTheme="minorEastAsia"/>
                <w:noProof/>
                <w:kern w:val="2"/>
                <w14:ligatures w14:val="standardContextual"/>
              </w:rPr>
              <w:tab/>
            </w:r>
            <w:r w:rsidRPr="00876E72">
              <w:rPr>
                <w:rStyle w:val="Hyperlink"/>
                <w:noProof/>
              </w:rPr>
              <w:t>Conclusion:</w:t>
            </w:r>
            <w:r w:rsidRPr="00876E72">
              <w:rPr>
                <w:noProof/>
                <w:webHidden/>
              </w:rPr>
              <w:tab/>
            </w:r>
            <w:r w:rsidRPr="00876E72">
              <w:rPr>
                <w:noProof/>
                <w:webHidden/>
              </w:rPr>
              <w:fldChar w:fldCharType="begin"/>
            </w:r>
            <w:r w:rsidRPr="00876E72">
              <w:rPr>
                <w:noProof/>
                <w:webHidden/>
              </w:rPr>
              <w:instrText xml:space="preserve"> PAGEREF _Toc231599659 \h </w:instrText>
            </w:r>
            <w:r w:rsidRPr="00876E72">
              <w:rPr>
                <w:noProof/>
                <w:webHidden/>
              </w:rPr>
            </w:r>
            <w:r w:rsidRPr="00876E72">
              <w:rPr>
                <w:noProof/>
                <w:webHidden/>
              </w:rPr>
              <w:fldChar w:fldCharType="separate"/>
            </w:r>
            <w:r w:rsidR="00730CA1">
              <w:rPr>
                <w:noProof/>
                <w:webHidden/>
              </w:rPr>
              <w:t>11</w:t>
            </w:r>
            <w:r w:rsidRPr="00876E72">
              <w:rPr>
                <w:noProof/>
                <w:webHidden/>
              </w:rPr>
              <w:fldChar w:fldCharType="end"/>
            </w:r>
          </w:hyperlink>
        </w:p>
        <w:p w14:paraId="458A66FA" w14:textId="6B75B968"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660" w:history="1">
            <w:r w:rsidRPr="00876E72">
              <w:rPr>
                <w:rStyle w:val="Hyperlink"/>
                <w:noProof/>
              </w:rPr>
              <w:t>2</w:t>
            </w:r>
            <w:r w:rsidRPr="00876E72">
              <w:rPr>
                <w:rFonts w:eastAsiaTheme="minorEastAsia"/>
                <w:noProof/>
                <w:kern w:val="2"/>
                <w14:ligatures w14:val="standardContextual"/>
              </w:rPr>
              <w:tab/>
            </w:r>
            <w:r w:rsidRPr="00876E72">
              <w:rPr>
                <w:rStyle w:val="Hyperlink"/>
                <w:noProof/>
              </w:rPr>
              <w:t>Chapter Two: Methodology of the Literature Review</w:t>
            </w:r>
            <w:r w:rsidRPr="00876E72">
              <w:rPr>
                <w:noProof/>
                <w:webHidden/>
              </w:rPr>
              <w:tab/>
            </w:r>
            <w:r w:rsidRPr="00876E72">
              <w:rPr>
                <w:noProof/>
                <w:webHidden/>
              </w:rPr>
              <w:fldChar w:fldCharType="begin"/>
            </w:r>
            <w:r w:rsidRPr="00876E72">
              <w:rPr>
                <w:noProof/>
                <w:webHidden/>
              </w:rPr>
              <w:instrText xml:space="preserve"> PAGEREF _Toc231599660 \h </w:instrText>
            </w:r>
            <w:r w:rsidRPr="00876E72">
              <w:rPr>
                <w:noProof/>
                <w:webHidden/>
              </w:rPr>
            </w:r>
            <w:r w:rsidRPr="00876E72">
              <w:rPr>
                <w:noProof/>
                <w:webHidden/>
              </w:rPr>
              <w:fldChar w:fldCharType="separate"/>
            </w:r>
            <w:r w:rsidR="00730CA1">
              <w:rPr>
                <w:noProof/>
                <w:webHidden/>
              </w:rPr>
              <w:t>12</w:t>
            </w:r>
            <w:r w:rsidRPr="00876E72">
              <w:rPr>
                <w:noProof/>
                <w:webHidden/>
              </w:rPr>
              <w:fldChar w:fldCharType="end"/>
            </w:r>
          </w:hyperlink>
        </w:p>
        <w:p w14:paraId="699D689F" w14:textId="5EE475ED"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1" w:history="1">
            <w:r w:rsidRPr="00876E72">
              <w:rPr>
                <w:rStyle w:val="Hyperlink"/>
                <w:noProof/>
              </w:rPr>
              <w:t>2.1</w:t>
            </w:r>
            <w:r w:rsidRPr="00876E72">
              <w:rPr>
                <w:rFonts w:eastAsiaTheme="minorEastAsia"/>
                <w:noProof/>
                <w:kern w:val="2"/>
                <w14:ligatures w14:val="standardContextual"/>
              </w:rPr>
              <w:tab/>
            </w:r>
            <w:r w:rsidRPr="00876E72">
              <w:rPr>
                <w:rStyle w:val="Hyperlink"/>
                <w:noProof/>
              </w:rPr>
              <w:t>Introduction</w:t>
            </w:r>
            <w:r w:rsidRPr="00876E72">
              <w:rPr>
                <w:noProof/>
                <w:webHidden/>
              </w:rPr>
              <w:tab/>
            </w:r>
            <w:r w:rsidRPr="00876E72">
              <w:rPr>
                <w:noProof/>
                <w:webHidden/>
              </w:rPr>
              <w:fldChar w:fldCharType="begin"/>
            </w:r>
            <w:r w:rsidRPr="00876E72">
              <w:rPr>
                <w:noProof/>
                <w:webHidden/>
              </w:rPr>
              <w:instrText xml:space="preserve"> PAGEREF _Toc231599661 \h </w:instrText>
            </w:r>
            <w:r w:rsidRPr="00876E72">
              <w:rPr>
                <w:noProof/>
                <w:webHidden/>
              </w:rPr>
            </w:r>
            <w:r w:rsidRPr="00876E72">
              <w:rPr>
                <w:noProof/>
                <w:webHidden/>
              </w:rPr>
              <w:fldChar w:fldCharType="separate"/>
            </w:r>
            <w:r w:rsidR="00730CA1">
              <w:rPr>
                <w:noProof/>
                <w:webHidden/>
              </w:rPr>
              <w:t>12</w:t>
            </w:r>
            <w:r w:rsidRPr="00876E72">
              <w:rPr>
                <w:noProof/>
                <w:webHidden/>
              </w:rPr>
              <w:fldChar w:fldCharType="end"/>
            </w:r>
          </w:hyperlink>
        </w:p>
        <w:p w14:paraId="56C399DD" w14:textId="075BA8B0"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2" w:history="1">
            <w:r w:rsidRPr="00876E72">
              <w:rPr>
                <w:rStyle w:val="Hyperlink"/>
                <w:noProof/>
              </w:rPr>
              <w:t>2.2</w:t>
            </w:r>
            <w:r w:rsidRPr="00876E72">
              <w:rPr>
                <w:rFonts w:eastAsiaTheme="minorEastAsia"/>
                <w:noProof/>
                <w:kern w:val="2"/>
                <w14:ligatures w14:val="standardContextual"/>
              </w:rPr>
              <w:tab/>
            </w:r>
            <w:r w:rsidRPr="00876E72">
              <w:rPr>
                <w:rStyle w:val="Hyperlink"/>
                <w:noProof/>
              </w:rPr>
              <w:t>Search Strategy</w:t>
            </w:r>
            <w:r w:rsidRPr="00876E72">
              <w:rPr>
                <w:noProof/>
                <w:webHidden/>
              </w:rPr>
              <w:tab/>
            </w:r>
            <w:r w:rsidRPr="00876E72">
              <w:rPr>
                <w:noProof/>
                <w:webHidden/>
              </w:rPr>
              <w:fldChar w:fldCharType="begin"/>
            </w:r>
            <w:r w:rsidRPr="00876E72">
              <w:rPr>
                <w:noProof/>
                <w:webHidden/>
              </w:rPr>
              <w:instrText xml:space="preserve"> PAGEREF _Toc231599662 \h </w:instrText>
            </w:r>
            <w:r w:rsidRPr="00876E72">
              <w:rPr>
                <w:noProof/>
                <w:webHidden/>
              </w:rPr>
            </w:r>
            <w:r w:rsidRPr="00876E72">
              <w:rPr>
                <w:noProof/>
                <w:webHidden/>
              </w:rPr>
              <w:fldChar w:fldCharType="separate"/>
            </w:r>
            <w:r w:rsidR="00730CA1">
              <w:rPr>
                <w:noProof/>
                <w:webHidden/>
              </w:rPr>
              <w:t>12</w:t>
            </w:r>
            <w:r w:rsidRPr="00876E72">
              <w:rPr>
                <w:noProof/>
                <w:webHidden/>
              </w:rPr>
              <w:fldChar w:fldCharType="end"/>
            </w:r>
          </w:hyperlink>
        </w:p>
        <w:p w14:paraId="28F2A806" w14:textId="11B931D6"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3" w:history="1">
            <w:r w:rsidRPr="00876E72">
              <w:rPr>
                <w:rStyle w:val="Hyperlink"/>
                <w:noProof/>
              </w:rPr>
              <w:t>2.3</w:t>
            </w:r>
            <w:r w:rsidRPr="00876E72">
              <w:rPr>
                <w:rFonts w:eastAsiaTheme="minorEastAsia"/>
                <w:noProof/>
                <w:kern w:val="2"/>
                <w14:ligatures w14:val="standardContextual"/>
              </w:rPr>
              <w:tab/>
            </w:r>
            <w:r w:rsidRPr="00876E72">
              <w:rPr>
                <w:rStyle w:val="Hyperlink"/>
                <w:noProof/>
              </w:rPr>
              <w:t>Databases and Sources</w:t>
            </w:r>
            <w:r w:rsidRPr="00876E72">
              <w:rPr>
                <w:noProof/>
                <w:webHidden/>
              </w:rPr>
              <w:tab/>
            </w:r>
            <w:r w:rsidRPr="00876E72">
              <w:rPr>
                <w:noProof/>
                <w:webHidden/>
              </w:rPr>
              <w:fldChar w:fldCharType="begin"/>
            </w:r>
            <w:r w:rsidRPr="00876E72">
              <w:rPr>
                <w:noProof/>
                <w:webHidden/>
              </w:rPr>
              <w:instrText xml:space="preserve"> PAGEREF _Toc231599663 \h </w:instrText>
            </w:r>
            <w:r w:rsidRPr="00876E72">
              <w:rPr>
                <w:noProof/>
                <w:webHidden/>
              </w:rPr>
            </w:r>
            <w:r w:rsidRPr="00876E72">
              <w:rPr>
                <w:noProof/>
                <w:webHidden/>
              </w:rPr>
              <w:fldChar w:fldCharType="separate"/>
            </w:r>
            <w:r w:rsidR="00730CA1">
              <w:rPr>
                <w:noProof/>
                <w:webHidden/>
              </w:rPr>
              <w:t>13</w:t>
            </w:r>
            <w:r w:rsidRPr="00876E72">
              <w:rPr>
                <w:noProof/>
                <w:webHidden/>
              </w:rPr>
              <w:fldChar w:fldCharType="end"/>
            </w:r>
          </w:hyperlink>
        </w:p>
        <w:p w14:paraId="0024C7E0" w14:textId="15ABAE2E"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4" w:history="1">
            <w:r w:rsidRPr="00876E72">
              <w:rPr>
                <w:rStyle w:val="Hyperlink"/>
                <w:noProof/>
              </w:rPr>
              <w:t>2.4</w:t>
            </w:r>
            <w:r w:rsidRPr="00876E72">
              <w:rPr>
                <w:rFonts w:eastAsiaTheme="minorEastAsia"/>
                <w:noProof/>
                <w:kern w:val="2"/>
                <w14:ligatures w14:val="standardContextual"/>
              </w:rPr>
              <w:tab/>
            </w:r>
            <w:r w:rsidRPr="00876E72">
              <w:rPr>
                <w:rStyle w:val="Hyperlink"/>
                <w:noProof/>
              </w:rPr>
              <w:t>Keywords and Search Terms</w:t>
            </w:r>
            <w:r w:rsidRPr="00876E72">
              <w:rPr>
                <w:noProof/>
                <w:webHidden/>
              </w:rPr>
              <w:tab/>
            </w:r>
            <w:r w:rsidRPr="00876E72">
              <w:rPr>
                <w:noProof/>
                <w:webHidden/>
              </w:rPr>
              <w:fldChar w:fldCharType="begin"/>
            </w:r>
            <w:r w:rsidRPr="00876E72">
              <w:rPr>
                <w:noProof/>
                <w:webHidden/>
              </w:rPr>
              <w:instrText xml:space="preserve"> PAGEREF _Toc231599664 \h </w:instrText>
            </w:r>
            <w:r w:rsidRPr="00876E72">
              <w:rPr>
                <w:noProof/>
                <w:webHidden/>
              </w:rPr>
            </w:r>
            <w:r w:rsidRPr="00876E72">
              <w:rPr>
                <w:noProof/>
                <w:webHidden/>
              </w:rPr>
              <w:fldChar w:fldCharType="separate"/>
            </w:r>
            <w:r w:rsidR="00730CA1">
              <w:rPr>
                <w:noProof/>
                <w:webHidden/>
              </w:rPr>
              <w:t>13</w:t>
            </w:r>
            <w:r w:rsidRPr="00876E72">
              <w:rPr>
                <w:noProof/>
                <w:webHidden/>
              </w:rPr>
              <w:fldChar w:fldCharType="end"/>
            </w:r>
          </w:hyperlink>
        </w:p>
        <w:p w14:paraId="1E1479C0" w14:textId="18B6154F"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5" w:history="1">
            <w:r w:rsidRPr="00876E72">
              <w:rPr>
                <w:rStyle w:val="Hyperlink"/>
                <w:noProof/>
              </w:rPr>
              <w:t>2.5</w:t>
            </w:r>
            <w:r w:rsidRPr="00876E72">
              <w:rPr>
                <w:rFonts w:eastAsiaTheme="minorEastAsia"/>
                <w:noProof/>
                <w:kern w:val="2"/>
                <w14:ligatures w14:val="standardContextual"/>
              </w:rPr>
              <w:tab/>
            </w:r>
            <w:r w:rsidRPr="00876E72">
              <w:rPr>
                <w:rStyle w:val="Hyperlink"/>
                <w:noProof/>
              </w:rPr>
              <w:t>Time Frame for Included Publications</w:t>
            </w:r>
            <w:r w:rsidRPr="00876E72">
              <w:rPr>
                <w:noProof/>
                <w:webHidden/>
              </w:rPr>
              <w:tab/>
            </w:r>
            <w:r w:rsidRPr="00876E72">
              <w:rPr>
                <w:noProof/>
                <w:webHidden/>
              </w:rPr>
              <w:fldChar w:fldCharType="begin"/>
            </w:r>
            <w:r w:rsidRPr="00876E72">
              <w:rPr>
                <w:noProof/>
                <w:webHidden/>
              </w:rPr>
              <w:instrText xml:space="preserve"> PAGEREF _Toc231599665 \h </w:instrText>
            </w:r>
            <w:r w:rsidRPr="00876E72">
              <w:rPr>
                <w:noProof/>
                <w:webHidden/>
              </w:rPr>
            </w:r>
            <w:r w:rsidRPr="00876E72">
              <w:rPr>
                <w:noProof/>
                <w:webHidden/>
              </w:rPr>
              <w:fldChar w:fldCharType="separate"/>
            </w:r>
            <w:r w:rsidR="00730CA1">
              <w:rPr>
                <w:noProof/>
                <w:webHidden/>
              </w:rPr>
              <w:t>14</w:t>
            </w:r>
            <w:r w:rsidRPr="00876E72">
              <w:rPr>
                <w:noProof/>
                <w:webHidden/>
              </w:rPr>
              <w:fldChar w:fldCharType="end"/>
            </w:r>
          </w:hyperlink>
        </w:p>
        <w:p w14:paraId="128F7606" w14:textId="343A9D7D"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6" w:history="1">
            <w:r w:rsidRPr="00876E72">
              <w:rPr>
                <w:rStyle w:val="Hyperlink"/>
                <w:noProof/>
              </w:rPr>
              <w:t>2.6</w:t>
            </w:r>
            <w:r w:rsidRPr="00876E72">
              <w:rPr>
                <w:rFonts w:eastAsiaTheme="minorEastAsia"/>
                <w:noProof/>
                <w:kern w:val="2"/>
                <w14:ligatures w14:val="standardContextual"/>
              </w:rPr>
              <w:tab/>
            </w:r>
            <w:r w:rsidRPr="00876E72">
              <w:rPr>
                <w:rStyle w:val="Hyperlink"/>
                <w:noProof/>
              </w:rPr>
              <w:t>Inclusion and Exclusion Criteria</w:t>
            </w:r>
            <w:r w:rsidRPr="00876E72">
              <w:rPr>
                <w:noProof/>
                <w:webHidden/>
              </w:rPr>
              <w:tab/>
            </w:r>
            <w:r w:rsidRPr="00876E72">
              <w:rPr>
                <w:noProof/>
                <w:webHidden/>
              </w:rPr>
              <w:fldChar w:fldCharType="begin"/>
            </w:r>
            <w:r w:rsidRPr="00876E72">
              <w:rPr>
                <w:noProof/>
                <w:webHidden/>
              </w:rPr>
              <w:instrText xml:space="preserve"> PAGEREF _Toc231599666 \h </w:instrText>
            </w:r>
            <w:r w:rsidRPr="00876E72">
              <w:rPr>
                <w:noProof/>
                <w:webHidden/>
              </w:rPr>
            </w:r>
            <w:r w:rsidRPr="00876E72">
              <w:rPr>
                <w:noProof/>
                <w:webHidden/>
              </w:rPr>
              <w:fldChar w:fldCharType="separate"/>
            </w:r>
            <w:r w:rsidR="00730CA1">
              <w:rPr>
                <w:noProof/>
                <w:webHidden/>
              </w:rPr>
              <w:t>14</w:t>
            </w:r>
            <w:r w:rsidRPr="00876E72">
              <w:rPr>
                <w:noProof/>
                <w:webHidden/>
              </w:rPr>
              <w:fldChar w:fldCharType="end"/>
            </w:r>
          </w:hyperlink>
        </w:p>
        <w:p w14:paraId="24AF79AE" w14:textId="2F18FF68"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7" w:history="1">
            <w:r w:rsidRPr="00876E72">
              <w:rPr>
                <w:rStyle w:val="Hyperlink"/>
                <w:noProof/>
              </w:rPr>
              <w:t>2.7</w:t>
            </w:r>
            <w:r w:rsidRPr="00876E72">
              <w:rPr>
                <w:rFonts w:eastAsiaTheme="minorEastAsia"/>
                <w:noProof/>
                <w:kern w:val="2"/>
                <w14:ligatures w14:val="standardContextual"/>
              </w:rPr>
              <w:tab/>
            </w:r>
            <w:r w:rsidRPr="00876E72">
              <w:rPr>
                <w:rStyle w:val="Hyperlink"/>
                <w:noProof/>
              </w:rPr>
              <w:t>Screening Process (PRISMA-Style)</w:t>
            </w:r>
            <w:r w:rsidRPr="00876E72">
              <w:rPr>
                <w:noProof/>
                <w:webHidden/>
              </w:rPr>
              <w:tab/>
            </w:r>
            <w:r w:rsidRPr="00876E72">
              <w:rPr>
                <w:noProof/>
                <w:webHidden/>
              </w:rPr>
              <w:fldChar w:fldCharType="begin"/>
            </w:r>
            <w:r w:rsidRPr="00876E72">
              <w:rPr>
                <w:noProof/>
                <w:webHidden/>
              </w:rPr>
              <w:instrText xml:space="preserve"> PAGEREF _Toc231599667 \h </w:instrText>
            </w:r>
            <w:r w:rsidRPr="00876E72">
              <w:rPr>
                <w:noProof/>
                <w:webHidden/>
              </w:rPr>
            </w:r>
            <w:r w:rsidRPr="00876E72">
              <w:rPr>
                <w:noProof/>
                <w:webHidden/>
              </w:rPr>
              <w:fldChar w:fldCharType="separate"/>
            </w:r>
            <w:r w:rsidR="00730CA1">
              <w:rPr>
                <w:noProof/>
                <w:webHidden/>
              </w:rPr>
              <w:t>15</w:t>
            </w:r>
            <w:r w:rsidRPr="00876E72">
              <w:rPr>
                <w:noProof/>
                <w:webHidden/>
              </w:rPr>
              <w:fldChar w:fldCharType="end"/>
            </w:r>
          </w:hyperlink>
        </w:p>
        <w:p w14:paraId="7ADBD635" w14:textId="1C327CE9"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8" w:history="1">
            <w:r w:rsidRPr="00876E72">
              <w:rPr>
                <w:rStyle w:val="Hyperlink"/>
                <w:noProof/>
              </w:rPr>
              <w:t>2.8</w:t>
            </w:r>
            <w:r w:rsidRPr="00876E72">
              <w:rPr>
                <w:rFonts w:eastAsiaTheme="minorEastAsia"/>
                <w:noProof/>
                <w:kern w:val="2"/>
                <w14:ligatures w14:val="standardContextual"/>
              </w:rPr>
              <w:tab/>
            </w:r>
            <w:r w:rsidRPr="00876E72">
              <w:rPr>
                <w:rStyle w:val="Hyperlink"/>
                <w:noProof/>
              </w:rPr>
              <w:t>Quality Assessment of Included Studies</w:t>
            </w:r>
            <w:r w:rsidRPr="00876E72">
              <w:rPr>
                <w:noProof/>
                <w:webHidden/>
              </w:rPr>
              <w:tab/>
            </w:r>
            <w:r w:rsidRPr="00876E72">
              <w:rPr>
                <w:noProof/>
                <w:webHidden/>
              </w:rPr>
              <w:fldChar w:fldCharType="begin"/>
            </w:r>
            <w:r w:rsidRPr="00876E72">
              <w:rPr>
                <w:noProof/>
                <w:webHidden/>
              </w:rPr>
              <w:instrText xml:space="preserve"> PAGEREF _Toc231599668 \h </w:instrText>
            </w:r>
            <w:r w:rsidRPr="00876E72">
              <w:rPr>
                <w:noProof/>
                <w:webHidden/>
              </w:rPr>
            </w:r>
            <w:r w:rsidRPr="00876E72">
              <w:rPr>
                <w:noProof/>
                <w:webHidden/>
              </w:rPr>
              <w:fldChar w:fldCharType="separate"/>
            </w:r>
            <w:r w:rsidR="00730CA1">
              <w:rPr>
                <w:noProof/>
                <w:webHidden/>
              </w:rPr>
              <w:t>16</w:t>
            </w:r>
            <w:r w:rsidRPr="00876E72">
              <w:rPr>
                <w:noProof/>
                <w:webHidden/>
              </w:rPr>
              <w:fldChar w:fldCharType="end"/>
            </w:r>
          </w:hyperlink>
        </w:p>
        <w:p w14:paraId="5EB5B2D4" w14:textId="40A9FF05"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69" w:history="1">
            <w:r w:rsidRPr="00876E72">
              <w:rPr>
                <w:rStyle w:val="Hyperlink"/>
                <w:noProof/>
              </w:rPr>
              <w:t>2.9</w:t>
            </w:r>
            <w:r w:rsidRPr="00876E72">
              <w:rPr>
                <w:rFonts w:eastAsiaTheme="minorEastAsia"/>
                <w:noProof/>
                <w:kern w:val="2"/>
                <w14:ligatures w14:val="standardContextual"/>
              </w:rPr>
              <w:tab/>
            </w:r>
            <w:r w:rsidRPr="00876E72">
              <w:rPr>
                <w:rStyle w:val="Hyperlink"/>
                <w:noProof/>
              </w:rPr>
              <w:t>Analytical Method: How the Literature Was Examined</w:t>
            </w:r>
            <w:r w:rsidRPr="00876E72">
              <w:rPr>
                <w:noProof/>
                <w:webHidden/>
              </w:rPr>
              <w:tab/>
            </w:r>
            <w:r w:rsidRPr="00876E72">
              <w:rPr>
                <w:noProof/>
                <w:webHidden/>
              </w:rPr>
              <w:fldChar w:fldCharType="begin"/>
            </w:r>
            <w:r w:rsidRPr="00876E72">
              <w:rPr>
                <w:noProof/>
                <w:webHidden/>
              </w:rPr>
              <w:instrText xml:space="preserve"> PAGEREF _Toc231599669 \h </w:instrText>
            </w:r>
            <w:r w:rsidRPr="00876E72">
              <w:rPr>
                <w:noProof/>
                <w:webHidden/>
              </w:rPr>
            </w:r>
            <w:r w:rsidRPr="00876E72">
              <w:rPr>
                <w:noProof/>
                <w:webHidden/>
              </w:rPr>
              <w:fldChar w:fldCharType="separate"/>
            </w:r>
            <w:r w:rsidR="00730CA1">
              <w:rPr>
                <w:noProof/>
                <w:webHidden/>
              </w:rPr>
              <w:t>17</w:t>
            </w:r>
            <w:r w:rsidRPr="00876E72">
              <w:rPr>
                <w:noProof/>
                <w:webHidden/>
              </w:rPr>
              <w:fldChar w:fldCharType="end"/>
            </w:r>
          </w:hyperlink>
        </w:p>
        <w:p w14:paraId="7B9A475A" w14:textId="099CF2F1"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70" w:history="1">
            <w:r w:rsidRPr="00876E72">
              <w:rPr>
                <w:rStyle w:val="Hyperlink"/>
                <w:noProof/>
              </w:rPr>
              <w:t>2.10</w:t>
            </w:r>
            <w:r w:rsidRPr="00876E72">
              <w:rPr>
                <w:rFonts w:eastAsiaTheme="minorEastAsia"/>
                <w:noProof/>
                <w:kern w:val="2"/>
                <w14:ligatures w14:val="standardContextual"/>
              </w:rPr>
              <w:tab/>
            </w:r>
            <w:r w:rsidRPr="00876E72">
              <w:rPr>
                <w:rStyle w:val="Hyperlink"/>
                <w:noProof/>
              </w:rPr>
              <w:t>Conclusion:</w:t>
            </w:r>
            <w:r w:rsidRPr="00876E72">
              <w:rPr>
                <w:noProof/>
                <w:webHidden/>
              </w:rPr>
              <w:tab/>
            </w:r>
            <w:r w:rsidRPr="00876E72">
              <w:rPr>
                <w:noProof/>
                <w:webHidden/>
              </w:rPr>
              <w:fldChar w:fldCharType="begin"/>
            </w:r>
            <w:r w:rsidRPr="00876E72">
              <w:rPr>
                <w:noProof/>
                <w:webHidden/>
              </w:rPr>
              <w:instrText xml:space="preserve"> PAGEREF _Toc231599670 \h </w:instrText>
            </w:r>
            <w:r w:rsidRPr="00876E72">
              <w:rPr>
                <w:noProof/>
                <w:webHidden/>
              </w:rPr>
            </w:r>
            <w:r w:rsidRPr="00876E72">
              <w:rPr>
                <w:noProof/>
                <w:webHidden/>
              </w:rPr>
              <w:fldChar w:fldCharType="separate"/>
            </w:r>
            <w:r w:rsidR="00730CA1">
              <w:rPr>
                <w:noProof/>
                <w:webHidden/>
              </w:rPr>
              <w:t>18</w:t>
            </w:r>
            <w:r w:rsidRPr="00876E72">
              <w:rPr>
                <w:noProof/>
                <w:webHidden/>
              </w:rPr>
              <w:fldChar w:fldCharType="end"/>
            </w:r>
          </w:hyperlink>
        </w:p>
        <w:p w14:paraId="68B04DD1" w14:textId="01C63D8B"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671" w:history="1">
            <w:r w:rsidRPr="00876E72">
              <w:rPr>
                <w:rStyle w:val="Hyperlink"/>
                <w:noProof/>
              </w:rPr>
              <w:t>3</w:t>
            </w:r>
            <w:r w:rsidRPr="00876E72">
              <w:rPr>
                <w:rFonts w:eastAsiaTheme="minorEastAsia"/>
                <w:noProof/>
                <w:kern w:val="2"/>
                <w14:ligatures w14:val="standardContextual"/>
              </w:rPr>
              <w:tab/>
            </w:r>
            <w:r w:rsidRPr="00876E72">
              <w:rPr>
                <w:rStyle w:val="Hyperlink"/>
                <w:noProof/>
              </w:rPr>
              <w:t>Chapter Three: Thematic Literature Review / Analysis</w:t>
            </w:r>
            <w:r w:rsidRPr="00876E72">
              <w:rPr>
                <w:noProof/>
                <w:webHidden/>
              </w:rPr>
              <w:tab/>
            </w:r>
            <w:r w:rsidRPr="00876E72">
              <w:rPr>
                <w:noProof/>
                <w:webHidden/>
              </w:rPr>
              <w:fldChar w:fldCharType="begin"/>
            </w:r>
            <w:r w:rsidRPr="00876E72">
              <w:rPr>
                <w:noProof/>
                <w:webHidden/>
              </w:rPr>
              <w:instrText xml:space="preserve"> PAGEREF _Toc231599671 \h </w:instrText>
            </w:r>
            <w:r w:rsidRPr="00876E72">
              <w:rPr>
                <w:noProof/>
                <w:webHidden/>
              </w:rPr>
            </w:r>
            <w:r w:rsidRPr="00876E72">
              <w:rPr>
                <w:noProof/>
                <w:webHidden/>
              </w:rPr>
              <w:fldChar w:fldCharType="separate"/>
            </w:r>
            <w:r w:rsidR="00730CA1">
              <w:rPr>
                <w:noProof/>
                <w:webHidden/>
              </w:rPr>
              <w:t>19</w:t>
            </w:r>
            <w:r w:rsidRPr="00876E72">
              <w:rPr>
                <w:noProof/>
                <w:webHidden/>
              </w:rPr>
              <w:fldChar w:fldCharType="end"/>
            </w:r>
          </w:hyperlink>
        </w:p>
        <w:p w14:paraId="4EA62A29" w14:textId="2C77E15A"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72" w:history="1">
            <w:r w:rsidRPr="00876E72">
              <w:rPr>
                <w:rStyle w:val="Hyperlink"/>
                <w:noProof/>
              </w:rPr>
              <w:t>3.1</w:t>
            </w:r>
            <w:r w:rsidRPr="00876E72">
              <w:rPr>
                <w:rFonts w:eastAsiaTheme="minorEastAsia"/>
                <w:noProof/>
                <w:kern w:val="2"/>
                <w14:ligatures w14:val="standardContextual"/>
              </w:rPr>
              <w:tab/>
            </w:r>
            <w:r w:rsidRPr="00876E72">
              <w:rPr>
                <w:rStyle w:val="Hyperlink"/>
                <w:noProof/>
              </w:rPr>
              <w:t>Introduction</w:t>
            </w:r>
            <w:r w:rsidRPr="00876E72">
              <w:rPr>
                <w:noProof/>
                <w:webHidden/>
              </w:rPr>
              <w:tab/>
            </w:r>
            <w:r w:rsidRPr="00876E72">
              <w:rPr>
                <w:noProof/>
                <w:webHidden/>
              </w:rPr>
              <w:fldChar w:fldCharType="begin"/>
            </w:r>
            <w:r w:rsidRPr="00876E72">
              <w:rPr>
                <w:noProof/>
                <w:webHidden/>
              </w:rPr>
              <w:instrText xml:space="preserve"> PAGEREF _Toc231599672 \h </w:instrText>
            </w:r>
            <w:r w:rsidRPr="00876E72">
              <w:rPr>
                <w:noProof/>
                <w:webHidden/>
              </w:rPr>
            </w:r>
            <w:r w:rsidRPr="00876E72">
              <w:rPr>
                <w:noProof/>
                <w:webHidden/>
              </w:rPr>
              <w:fldChar w:fldCharType="separate"/>
            </w:r>
            <w:r w:rsidR="00730CA1">
              <w:rPr>
                <w:noProof/>
                <w:webHidden/>
              </w:rPr>
              <w:t>19</w:t>
            </w:r>
            <w:r w:rsidRPr="00876E72">
              <w:rPr>
                <w:noProof/>
                <w:webHidden/>
              </w:rPr>
              <w:fldChar w:fldCharType="end"/>
            </w:r>
          </w:hyperlink>
        </w:p>
        <w:p w14:paraId="57AC3B90" w14:textId="6A456EF3"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73" w:history="1">
            <w:r w:rsidRPr="00876E72">
              <w:rPr>
                <w:rStyle w:val="Hyperlink"/>
                <w:noProof/>
              </w:rPr>
              <w:t>3.2</w:t>
            </w:r>
            <w:r w:rsidRPr="00876E72">
              <w:rPr>
                <w:rFonts w:eastAsiaTheme="minorEastAsia"/>
                <w:noProof/>
                <w:kern w:val="2"/>
                <w14:ligatures w14:val="standardContextual"/>
              </w:rPr>
              <w:tab/>
            </w:r>
            <w:r w:rsidRPr="00876E72">
              <w:rPr>
                <w:rStyle w:val="Hyperlink"/>
                <w:noProof/>
              </w:rPr>
              <w:t>Theme 1: Theoretical Foundations</w:t>
            </w:r>
            <w:r w:rsidRPr="00876E72">
              <w:rPr>
                <w:noProof/>
                <w:webHidden/>
              </w:rPr>
              <w:tab/>
            </w:r>
            <w:r w:rsidRPr="00876E72">
              <w:rPr>
                <w:noProof/>
                <w:webHidden/>
              </w:rPr>
              <w:fldChar w:fldCharType="begin"/>
            </w:r>
            <w:r w:rsidRPr="00876E72">
              <w:rPr>
                <w:noProof/>
                <w:webHidden/>
              </w:rPr>
              <w:instrText xml:space="preserve"> PAGEREF _Toc231599673 \h </w:instrText>
            </w:r>
            <w:r w:rsidRPr="00876E72">
              <w:rPr>
                <w:noProof/>
                <w:webHidden/>
              </w:rPr>
            </w:r>
            <w:r w:rsidRPr="00876E72">
              <w:rPr>
                <w:noProof/>
                <w:webHidden/>
              </w:rPr>
              <w:fldChar w:fldCharType="separate"/>
            </w:r>
            <w:r w:rsidR="00730CA1">
              <w:rPr>
                <w:noProof/>
                <w:webHidden/>
              </w:rPr>
              <w:t>19</w:t>
            </w:r>
            <w:r w:rsidRPr="00876E72">
              <w:rPr>
                <w:noProof/>
                <w:webHidden/>
              </w:rPr>
              <w:fldChar w:fldCharType="end"/>
            </w:r>
          </w:hyperlink>
        </w:p>
        <w:p w14:paraId="0575E6E5" w14:textId="54F7642D"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74" w:history="1">
            <w:r w:rsidRPr="00876E72">
              <w:rPr>
                <w:rStyle w:val="Hyperlink"/>
                <w:noProof/>
              </w:rPr>
              <w:t>3.2.1</w:t>
            </w:r>
            <w:r w:rsidRPr="00876E72">
              <w:rPr>
                <w:rFonts w:eastAsiaTheme="minorEastAsia"/>
                <w:noProof/>
                <w:kern w:val="2"/>
                <w14:ligatures w14:val="standardContextual"/>
              </w:rPr>
              <w:tab/>
            </w:r>
            <w:r w:rsidRPr="00876E72">
              <w:rPr>
                <w:rStyle w:val="Hyperlink"/>
                <w:noProof/>
              </w:rPr>
              <w:t>Key Theories: Dominant Theoretical Frameworks</w:t>
            </w:r>
            <w:r w:rsidRPr="00876E72">
              <w:rPr>
                <w:noProof/>
                <w:webHidden/>
              </w:rPr>
              <w:tab/>
            </w:r>
            <w:r w:rsidRPr="00876E72">
              <w:rPr>
                <w:noProof/>
                <w:webHidden/>
              </w:rPr>
              <w:fldChar w:fldCharType="begin"/>
            </w:r>
            <w:r w:rsidRPr="00876E72">
              <w:rPr>
                <w:noProof/>
                <w:webHidden/>
              </w:rPr>
              <w:instrText xml:space="preserve"> PAGEREF _Toc231599674 \h </w:instrText>
            </w:r>
            <w:r w:rsidRPr="00876E72">
              <w:rPr>
                <w:noProof/>
                <w:webHidden/>
              </w:rPr>
            </w:r>
            <w:r w:rsidRPr="00876E72">
              <w:rPr>
                <w:noProof/>
                <w:webHidden/>
              </w:rPr>
              <w:fldChar w:fldCharType="separate"/>
            </w:r>
            <w:r w:rsidR="00730CA1">
              <w:rPr>
                <w:noProof/>
                <w:webHidden/>
              </w:rPr>
              <w:t>20</w:t>
            </w:r>
            <w:r w:rsidRPr="00876E72">
              <w:rPr>
                <w:noProof/>
                <w:webHidden/>
              </w:rPr>
              <w:fldChar w:fldCharType="end"/>
            </w:r>
          </w:hyperlink>
        </w:p>
        <w:p w14:paraId="1727A208" w14:textId="4A46F830"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75" w:history="1">
            <w:r w:rsidRPr="00876E72">
              <w:rPr>
                <w:rStyle w:val="Hyperlink"/>
                <w:noProof/>
              </w:rPr>
              <w:t>3.2.2</w:t>
            </w:r>
            <w:r w:rsidRPr="00876E72">
              <w:rPr>
                <w:rFonts w:eastAsiaTheme="minorEastAsia"/>
                <w:noProof/>
                <w:kern w:val="2"/>
                <w14:ligatures w14:val="standardContextual"/>
              </w:rPr>
              <w:tab/>
            </w:r>
            <w:r w:rsidRPr="00876E72">
              <w:rPr>
                <w:rStyle w:val="Hyperlink"/>
                <w:noProof/>
              </w:rPr>
              <w:t>Conceptual Definitions</w:t>
            </w:r>
            <w:r w:rsidRPr="00876E72">
              <w:rPr>
                <w:noProof/>
                <w:webHidden/>
              </w:rPr>
              <w:tab/>
            </w:r>
            <w:r w:rsidRPr="00876E72">
              <w:rPr>
                <w:noProof/>
                <w:webHidden/>
              </w:rPr>
              <w:fldChar w:fldCharType="begin"/>
            </w:r>
            <w:r w:rsidRPr="00876E72">
              <w:rPr>
                <w:noProof/>
                <w:webHidden/>
              </w:rPr>
              <w:instrText xml:space="preserve"> PAGEREF _Toc231599675 \h </w:instrText>
            </w:r>
            <w:r w:rsidRPr="00876E72">
              <w:rPr>
                <w:noProof/>
                <w:webHidden/>
              </w:rPr>
            </w:r>
            <w:r w:rsidRPr="00876E72">
              <w:rPr>
                <w:noProof/>
                <w:webHidden/>
              </w:rPr>
              <w:fldChar w:fldCharType="separate"/>
            </w:r>
            <w:r w:rsidR="00730CA1">
              <w:rPr>
                <w:noProof/>
                <w:webHidden/>
              </w:rPr>
              <w:t>21</w:t>
            </w:r>
            <w:r w:rsidRPr="00876E72">
              <w:rPr>
                <w:noProof/>
                <w:webHidden/>
              </w:rPr>
              <w:fldChar w:fldCharType="end"/>
            </w:r>
          </w:hyperlink>
        </w:p>
        <w:p w14:paraId="667FC147" w14:textId="3DDC1A46"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76" w:history="1">
            <w:r w:rsidRPr="00876E72">
              <w:rPr>
                <w:rStyle w:val="Hyperlink"/>
                <w:noProof/>
              </w:rPr>
              <w:t>3.2.3</w:t>
            </w:r>
            <w:r w:rsidRPr="00876E72">
              <w:rPr>
                <w:rFonts w:eastAsiaTheme="minorEastAsia"/>
                <w:noProof/>
                <w:kern w:val="2"/>
                <w14:ligatures w14:val="standardContextual"/>
              </w:rPr>
              <w:tab/>
            </w:r>
            <w:r w:rsidRPr="00876E72">
              <w:rPr>
                <w:rStyle w:val="Hyperlink"/>
                <w:noProof/>
              </w:rPr>
              <w:t>Integrated Conceptual Framework</w:t>
            </w:r>
            <w:r w:rsidRPr="00876E72">
              <w:rPr>
                <w:noProof/>
                <w:webHidden/>
              </w:rPr>
              <w:tab/>
            </w:r>
            <w:r w:rsidRPr="00876E72">
              <w:rPr>
                <w:noProof/>
                <w:webHidden/>
              </w:rPr>
              <w:fldChar w:fldCharType="begin"/>
            </w:r>
            <w:r w:rsidRPr="00876E72">
              <w:rPr>
                <w:noProof/>
                <w:webHidden/>
              </w:rPr>
              <w:instrText xml:space="preserve"> PAGEREF _Toc231599676 \h </w:instrText>
            </w:r>
            <w:r w:rsidRPr="00876E72">
              <w:rPr>
                <w:noProof/>
                <w:webHidden/>
              </w:rPr>
            </w:r>
            <w:r w:rsidRPr="00876E72">
              <w:rPr>
                <w:noProof/>
                <w:webHidden/>
              </w:rPr>
              <w:fldChar w:fldCharType="separate"/>
            </w:r>
            <w:r w:rsidR="00730CA1">
              <w:rPr>
                <w:noProof/>
                <w:webHidden/>
              </w:rPr>
              <w:t>21</w:t>
            </w:r>
            <w:r w:rsidRPr="00876E72">
              <w:rPr>
                <w:noProof/>
                <w:webHidden/>
              </w:rPr>
              <w:fldChar w:fldCharType="end"/>
            </w:r>
          </w:hyperlink>
        </w:p>
        <w:p w14:paraId="4E26BFB9" w14:textId="2B57EBD9"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77" w:history="1">
            <w:r w:rsidRPr="00876E72">
              <w:rPr>
                <w:rStyle w:val="Hyperlink"/>
                <w:noProof/>
              </w:rPr>
              <w:t>3.3</w:t>
            </w:r>
            <w:r w:rsidRPr="00876E72">
              <w:rPr>
                <w:rFonts w:eastAsiaTheme="minorEastAsia"/>
                <w:noProof/>
                <w:kern w:val="2"/>
                <w14:ligatures w14:val="standardContextual"/>
              </w:rPr>
              <w:tab/>
            </w:r>
            <w:r w:rsidRPr="00876E72">
              <w:rPr>
                <w:rStyle w:val="Hyperlink"/>
                <w:noProof/>
              </w:rPr>
              <w:t>Theme 2: Empirical Findings</w:t>
            </w:r>
            <w:r w:rsidRPr="00876E72">
              <w:rPr>
                <w:noProof/>
                <w:webHidden/>
              </w:rPr>
              <w:tab/>
            </w:r>
            <w:r w:rsidRPr="00876E72">
              <w:rPr>
                <w:noProof/>
                <w:webHidden/>
              </w:rPr>
              <w:fldChar w:fldCharType="begin"/>
            </w:r>
            <w:r w:rsidRPr="00876E72">
              <w:rPr>
                <w:noProof/>
                <w:webHidden/>
              </w:rPr>
              <w:instrText xml:space="preserve"> PAGEREF _Toc231599677 \h </w:instrText>
            </w:r>
            <w:r w:rsidRPr="00876E72">
              <w:rPr>
                <w:noProof/>
                <w:webHidden/>
              </w:rPr>
            </w:r>
            <w:r w:rsidRPr="00876E72">
              <w:rPr>
                <w:noProof/>
                <w:webHidden/>
              </w:rPr>
              <w:fldChar w:fldCharType="separate"/>
            </w:r>
            <w:r w:rsidR="00730CA1">
              <w:rPr>
                <w:noProof/>
                <w:webHidden/>
              </w:rPr>
              <w:t>22</w:t>
            </w:r>
            <w:r w:rsidRPr="00876E72">
              <w:rPr>
                <w:noProof/>
                <w:webHidden/>
              </w:rPr>
              <w:fldChar w:fldCharType="end"/>
            </w:r>
          </w:hyperlink>
        </w:p>
        <w:p w14:paraId="3F95EA82" w14:textId="2B44AABA"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78" w:history="1">
            <w:r w:rsidRPr="00876E72">
              <w:rPr>
                <w:rStyle w:val="Hyperlink"/>
                <w:noProof/>
              </w:rPr>
              <w:t>3.3.1</w:t>
            </w:r>
            <w:r w:rsidRPr="00876E72">
              <w:rPr>
                <w:rFonts w:eastAsiaTheme="minorEastAsia"/>
                <w:noProof/>
                <w:kern w:val="2"/>
                <w14:ligatures w14:val="standardContextual"/>
              </w:rPr>
              <w:tab/>
            </w:r>
            <w:r w:rsidRPr="00876E72">
              <w:rPr>
                <w:rStyle w:val="Hyperlink"/>
                <w:noProof/>
              </w:rPr>
              <w:t>Major Findings Across Studies: Carbon Pricing and Cost Transmission</w:t>
            </w:r>
            <w:r w:rsidRPr="00876E72">
              <w:rPr>
                <w:noProof/>
                <w:webHidden/>
              </w:rPr>
              <w:tab/>
            </w:r>
            <w:r w:rsidRPr="00876E72">
              <w:rPr>
                <w:noProof/>
                <w:webHidden/>
              </w:rPr>
              <w:fldChar w:fldCharType="begin"/>
            </w:r>
            <w:r w:rsidRPr="00876E72">
              <w:rPr>
                <w:noProof/>
                <w:webHidden/>
              </w:rPr>
              <w:instrText xml:space="preserve"> PAGEREF _Toc231599678 \h </w:instrText>
            </w:r>
            <w:r w:rsidRPr="00876E72">
              <w:rPr>
                <w:noProof/>
                <w:webHidden/>
              </w:rPr>
            </w:r>
            <w:r w:rsidRPr="00876E72">
              <w:rPr>
                <w:noProof/>
                <w:webHidden/>
              </w:rPr>
              <w:fldChar w:fldCharType="separate"/>
            </w:r>
            <w:r w:rsidR="00730CA1">
              <w:rPr>
                <w:noProof/>
                <w:webHidden/>
              </w:rPr>
              <w:t>22</w:t>
            </w:r>
            <w:r w:rsidRPr="00876E72">
              <w:rPr>
                <w:noProof/>
                <w:webHidden/>
              </w:rPr>
              <w:fldChar w:fldCharType="end"/>
            </w:r>
          </w:hyperlink>
        </w:p>
        <w:p w14:paraId="75524FF2" w14:textId="2DCF5E09"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79" w:history="1">
            <w:r w:rsidRPr="00876E72">
              <w:rPr>
                <w:rStyle w:val="Hyperlink"/>
                <w:noProof/>
              </w:rPr>
              <w:t>3.3.2</w:t>
            </w:r>
            <w:r w:rsidRPr="00876E72">
              <w:rPr>
                <w:rFonts w:eastAsiaTheme="minorEastAsia"/>
                <w:noProof/>
                <w:kern w:val="2"/>
                <w14:ligatures w14:val="standardContextual"/>
              </w:rPr>
              <w:tab/>
            </w:r>
            <w:r w:rsidRPr="00876E72">
              <w:rPr>
                <w:rStyle w:val="Hyperlink"/>
                <w:noProof/>
              </w:rPr>
              <w:t>Cost Implications for UK Construction Materials Procurement</w:t>
            </w:r>
            <w:r w:rsidRPr="00876E72">
              <w:rPr>
                <w:noProof/>
                <w:webHidden/>
              </w:rPr>
              <w:tab/>
            </w:r>
            <w:r w:rsidRPr="00876E72">
              <w:rPr>
                <w:noProof/>
                <w:webHidden/>
              </w:rPr>
              <w:fldChar w:fldCharType="begin"/>
            </w:r>
            <w:r w:rsidRPr="00876E72">
              <w:rPr>
                <w:noProof/>
                <w:webHidden/>
              </w:rPr>
              <w:instrText xml:space="preserve"> PAGEREF _Toc231599679 \h </w:instrText>
            </w:r>
            <w:r w:rsidRPr="00876E72">
              <w:rPr>
                <w:noProof/>
                <w:webHidden/>
              </w:rPr>
            </w:r>
            <w:r w:rsidRPr="00876E72">
              <w:rPr>
                <w:noProof/>
                <w:webHidden/>
              </w:rPr>
              <w:fldChar w:fldCharType="separate"/>
            </w:r>
            <w:r w:rsidR="00730CA1">
              <w:rPr>
                <w:noProof/>
                <w:webHidden/>
              </w:rPr>
              <w:t>22</w:t>
            </w:r>
            <w:r w:rsidRPr="00876E72">
              <w:rPr>
                <w:noProof/>
                <w:webHidden/>
              </w:rPr>
              <w:fldChar w:fldCharType="end"/>
            </w:r>
          </w:hyperlink>
        </w:p>
        <w:p w14:paraId="71D1E522" w14:textId="18E2E2E2"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80" w:history="1">
            <w:r w:rsidRPr="00876E72">
              <w:rPr>
                <w:rStyle w:val="Hyperlink"/>
                <w:noProof/>
              </w:rPr>
              <w:t>3.3.3</w:t>
            </w:r>
            <w:r w:rsidRPr="00876E72">
              <w:rPr>
                <w:rFonts w:eastAsiaTheme="minorEastAsia"/>
                <w:noProof/>
                <w:kern w:val="2"/>
                <w14:ligatures w14:val="standardContextual"/>
              </w:rPr>
              <w:tab/>
            </w:r>
            <w:r w:rsidRPr="00876E72">
              <w:rPr>
                <w:rStyle w:val="Hyperlink"/>
                <w:noProof/>
              </w:rPr>
              <w:t>Contradictions in Results: Strategic Procurement Responses Across Jurisdictions</w:t>
            </w:r>
            <w:r w:rsidRPr="00876E72">
              <w:rPr>
                <w:noProof/>
                <w:webHidden/>
              </w:rPr>
              <w:tab/>
            </w:r>
            <w:r w:rsidRPr="00876E72">
              <w:rPr>
                <w:noProof/>
                <w:webHidden/>
              </w:rPr>
              <w:fldChar w:fldCharType="begin"/>
            </w:r>
            <w:r w:rsidRPr="00876E72">
              <w:rPr>
                <w:noProof/>
                <w:webHidden/>
              </w:rPr>
              <w:instrText xml:space="preserve"> PAGEREF _Toc231599680 \h </w:instrText>
            </w:r>
            <w:r w:rsidRPr="00876E72">
              <w:rPr>
                <w:noProof/>
                <w:webHidden/>
              </w:rPr>
            </w:r>
            <w:r w:rsidRPr="00876E72">
              <w:rPr>
                <w:noProof/>
                <w:webHidden/>
              </w:rPr>
              <w:fldChar w:fldCharType="separate"/>
            </w:r>
            <w:r w:rsidR="00730CA1">
              <w:rPr>
                <w:noProof/>
                <w:webHidden/>
              </w:rPr>
              <w:t>23</w:t>
            </w:r>
            <w:r w:rsidRPr="00876E72">
              <w:rPr>
                <w:noProof/>
                <w:webHidden/>
              </w:rPr>
              <w:fldChar w:fldCharType="end"/>
            </w:r>
          </w:hyperlink>
        </w:p>
        <w:p w14:paraId="1C502AB0" w14:textId="058A8D04"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81" w:history="1">
            <w:r w:rsidRPr="00876E72">
              <w:rPr>
                <w:rStyle w:val="Hyperlink"/>
                <w:noProof/>
              </w:rPr>
              <w:t>3.4</w:t>
            </w:r>
            <w:r w:rsidRPr="00876E72">
              <w:rPr>
                <w:rFonts w:eastAsiaTheme="minorEastAsia"/>
                <w:noProof/>
                <w:kern w:val="2"/>
                <w14:ligatures w14:val="standardContextual"/>
              </w:rPr>
              <w:tab/>
            </w:r>
            <w:r w:rsidRPr="00876E72">
              <w:rPr>
                <w:rStyle w:val="Hyperlink"/>
                <w:noProof/>
              </w:rPr>
              <w:t>Theme 3: Emerging Debates</w:t>
            </w:r>
            <w:r w:rsidRPr="00876E72">
              <w:rPr>
                <w:noProof/>
                <w:webHidden/>
              </w:rPr>
              <w:tab/>
            </w:r>
            <w:r w:rsidRPr="00876E72">
              <w:rPr>
                <w:noProof/>
                <w:webHidden/>
              </w:rPr>
              <w:fldChar w:fldCharType="begin"/>
            </w:r>
            <w:r w:rsidRPr="00876E72">
              <w:rPr>
                <w:noProof/>
                <w:webHidden/>
              </w:rPr>
              <w:instrText xml:space="preserve"> PAGEREF _Toc231599681 \h </w:instrText>
            </w:r>
            <w:r w:rsidRPr="00876E72">
              <w:rPr>
                <w:noProof/>
                <w:webHidden/>
              </w:rPr>
            </w:r>
            <w:r w:rsidRPr="00876E72">
              <w:rPr>
                <w:noProof/>
                <w:webHidden/>
              </w:rPr>
              <w:fldChar w:fldCharType="separate"/>
            </w:r>
            <w:r w:rsidR="00730CA1">
              <w:rPr>
                <w:noProof/>
                <w:webHidden/>
              </w:rPr>
              <w:t>25</w:t>
            </w:r>
            <w:r w:rsidRPr="00876E72">
              <w:rPr>
                <w:noProof/>
                <w:webHidden/>
              </w:rPr>
              <w:fldChar w:fldCharType="end"/>
            </w:r>
          </w:hyperlink>
        </w:p>
        <w:p w14:paraId="4A82539D" w14:textId="1C2947A1"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82" w:history="1">
            <w:r w:rsidRPr="00876E72">
              <w:rPr>
                <w:rStyle w:val="Hyperlink"/>
                <w:noProof/>
              </w:rPr>
              <w:t>3.4.1</w:t>
            </w:r>
            <w:r w:rsidRPr="00876E72">
              <w:rPr>
                <w:rFonts w:eastAsiaTheme="minorEastAsia"/>
                <w:noProof/>
                <w:kern w:val="2"/>
                <w14:ligatures w14:val="standardContextual"/>
              </w:rPr>
              <w:tab/>
            </w:r>
            <w:r w:rsidRPr="00876E72">
              <w:rPr>
                <w:rStyle w:val="Hyperlink"/>
                <w:noProof/>
              </w:rPr>
              <w:t>New Perspectives: The Contested Legal Durability of CBAM</w:t>
            </w:r>
            <w:r w:rsidRPr="00876E72">
              <w:rPr>
                <w:noProof/>
                <w:webHidden/>
              </w:rPr>
              <w:tab/>
            </w:r>
            <w:r w:rsidRPr="00876E72">
              <w:rPr>
                <w:noProof/>
                <w:webHidden/>
              </w:rPr>
              <w:fldChar w:fldCharType="begin"/>
            </w:r>
            <w:r w:rsidRPr="00876E72">
              <w:rPr>
                <w:noProof/>
                <w:webHidden/>
              </w:rPr>
              <w:instrText xml:space="preserve"> PAGEREF _Toc231599682 \h </w:instrText>
            </w:r>
            <w:r w:rsidRPr="00876E72">
              <w:rPr>
                <w:noProof/>
                <w:webHidden/>
              </w:rPr>
            </w:r>
            <w:r w:rsidRPr="00876E72">
              <w:rPr>
                <w:noProof/>
                <w:webHidden/>
              </w:rPr>
              <w:fldChar w:fldCharType="separate"/>
            </w:r>
            <w:r w:rsidR="00730CA1">
              <w:rPr>
                <w:noProof/>
                <w:webHidden/>
              </w:rPr>
              <w:t>25</w:t>
            </w:r>
            <w:r w:rsidRPr="00876E72">
              <w:rPr>
                <w:noProof/>
                <w:webHidden/>
              </w:rPr>
              <w:fldChar w:fldCharType="end"/>
            </w:r>
          </w:hyperlink>
        </w:p>
        <w:p w14:paraId="04CE984A" w14:textId="5167F45C"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83" w:history="1">
            <w:r w:rsidRPr="00876E72">
              <w:rPr>
                <w:rStyle w:val="Hyperlink"/>
                <w:noProof/>
              </w:rPr>
              <w:t>3.4.2</w:t>
            </w:r>
            <w:r w:rsidRPr="00876E72">
              <w:rPr>
                <w:rFonts w:eastAsiaTheme="minorEastAsia"/>
                <w:noProof/>
                <w:kern w:val="2"/>
                <w14:ligatures w14:val="standardContextual"/>
              </w:rPr>
              <w:tab/>
            </w:r>
            <w:r w:rsidRPr="00876E72">
              <w:rPr>
                <w:rStyle w:val="Hyperlink"/>
                <w:noProof/>
              </w:rPr>
              <w:t>Critical Discussions: Compliance Burden Versus Competitive Opportunity</w:t>
            </w:r>
            <w:r w:rsidRPr="00876E72">
              <w:rPr>
                <w:noProof/>
                <w:webHidden/>
              </w:rPr>
              <w:tab/>
            </w:r>
            <w:r w:rsidRPr="00876E72">
              <w:rPr>
                <w:noProof/>
                <w:webHidden/>
              </w:rPr>
              <w:fldChar w:fldCharType="begin"/>
            </w:r>
            <w:r w:rsidRPr="00876E72">
              <w:rPr>
                <w:noProof/>
                <w:webHidden/>
              </w:rPr>
              <w:instrText xml:space="preserve"> PAGEREF _Toc231599683 \h </w:instrText>
            </w:r>
            <w:r w:rsidRPr="00876E72">
              <w:rPr>
                <w:noProof/>
                <w:webHidden/>
              </w:rPr>
            </w:r>
            <w:r w:rsidRPr="00876E72">
              <w:rPr>
                <w:noProof/>
                <w:webHidden/>
              </w:rPr>
              <w:fldChar w:fldCharType="separate"/>
            </w:r>
            <w:r w:rsidR="00730CA1">
              <w:rPr>
                <w:noProof/>
                <w:webHidden/>
              </w:rPr>
              <w:t>26</w:t>
            </w:r>
            <w:r w:rsidRPr="00876E72">
              <w:rPr>
                <w:noProof/>
                <w:webHidden/>
              </w:rPr>
              <w:fldChar w:fldCharType="end"/>
            </w:r>
          </w:hyperlink>
        </w:p>
        <w:p w14:paraId="04B4F1BA" w14:textId="6BACCB64"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84" w:history="1">
            <w:r w:rsidRPr="00876E72">
              <w:rPr>
                <w:rStyle w:val="Hyperlink"/>
                <w:noProof/>
              </w:rPr>
              <w:t>3.5</w:t>
            </w:r>
            <w:r w:rsidRPr="00876E72">
              <w:rPr>
                <w:rFonts w:eastAsiaTheme="minorEastAsia"/>
                <w:noProof/>
                <w:kern w:val="2"/>
                <w14:ligatures w14:val="standardContextual"/>
              </w:rPr>
              <w:tab/>
            </w:r>
            <w:r w:rsidRPr="00876E72">
              <w:rPr>
                <w:rStyle w:val="Hyperlink"/>
                <w:noProof/>
              </w:rPr>
              <w:t>Theme 4: Research Gaps</w:t>
            </w:r>
            <w:r w:rsidRPr="00876E72">
              <w:rPr>
                <w:noProof/>
                <w:webHidden/>
              </w:rPr>
              <w:tab/>
            </w:r>
            <w:r w:rsidRPr="00876E72">
              <w:rPr>
                <w:noProof/>
                <w:webHidden/>
              </w:rPr>
              <w:fldChar w:fldCharType="begin"/>
            </w:r>
            <w:r w:rsidRPr="00876E72">
              <w:rPr>
                <w:noProof/>
                <w:webHidden/>
              </w:rPr>
              <w:instrText xml:space="preserve"> PAGEREF _Toc231599684 \h </w:instrText>
            </w:r>
            <w:r w:rsidRPr="00876E72">
              <w:rPr>
                <w:noProof/>
                <w:webHidden/>
              </w:rPr>
            </w:r>
            <w:r w:rsidRPr="00876E72">
              <w:rPr>
                <w:noProof/>
                <w:webHidden/>
              </w:rPr>
              <w:fldChar w:fldCharType="separate"/>
            </w:r>
            <w:r w:rsidR="00730CA1">
              <w:rPr>
                <w:noProof/>
                <w:webHidden/>
              </w:rPr>
              <w:t>27</w:t>
            </w:r>
            <w:r w:rsidRPr="00876E72">
              <w:rPr>
                <w:noProof/>
                <w:webHidden/>
              </w:rPr>
              <w:fldChar w:fldCharType="end"/>
            </w:r>
          </w:hyperlink>
        </w:p>
        <w:p w14:paraId="2CAA31CE" w14:textId="1085BC3B"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85" w:history="1">
            <w:r w:rsidRPr="00876E72">
              <w:rPr>
                <w:rStyle w:val="Hyperlink"/>
                <w:noProof/>
              </w:rPr>
              <w:t>3.5.1</w:t>
            </w:r>
            <w:r w:rsidRPr="00876E72">
              <w:rPr>
                <w:rFonts w:eastAsiaTheme="minorEastAsia"/>
                <w:noProof/>
                <w:kern w:val="2"/>
                <w14:ligatures w14:val="standardContextual"/>
              </w:rPr>
              <w:tab/>
            </w:r>
            <w:r w:rsidRPr="00876E72">
              <w:rPr>
                <w:rStyle w:val="Hyperlink"/>
                <w:noProof/>
              </w:rPr>
              <w:t>What Previous Studies Did Not Address</w:t>
            </w:r>
            <w:r w:rsidRPr="00876E72">
              <w:rPr>
                <w:noProof/>
                <w:webHidden/>
              </w:rPr>
              <w:tab/>
            </w:r>
            <w:r w:rsidRPr="00876E72">
              <w:rPr>
                <w:noProof/>
                <w:webHidden/>
              </w:rPr>
              <w:fldChar w:fldCharType="begin"/>
            </w:r>
            <w:r w:rsidRPr="00876E72">
              <w:rPr>
                <w:noProof/>
                <w:webHidden/>
              </w:rPr>
              <w:instrText xml:space="preserve"> PAGEREF _Toc231599685 \h </w:instrText>
            </w:r>
            <w:r w:rsidRPr="00876E72">
              <w:rPr>
                <w:noProof/>
                <w:webHidden/>
              </w:rPr>
            </w:r>
            <w:r w:rsidRPr="00876E72">
              <w:rPr>
                <w:noProof/>
                <w:webHidden/>
              </w:rPr>
              <w:fldChar w:fldCharType="separate"/>
            </w:r>
            <w:r w:rsidR="00730CA1">
              <w:rPr>
                <w:noProof/>
                <w:webHidden/>
              </w:rPr>
              <w:t>27</w:t>
            </w:r>
            <w:r w:rsidRPr="00876E72">
              <w:rPr>
                <w:noProof/>
                <w:webHidden/>
              </w:rPr>
              <w:fldChar w:fldCharType="end"/>
            </w:r>
          </w:hyperlink>
        </w:p>
        <w:p w14:paraId="18457F62" w14:textId="01C19FBD"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86" w:history="1">
            <w:r w:rsidRPr="00876E72">
              <w:rPr>
                <w:rStyle w:val="Hyperlink"/>
                <w:noProof/>
              </w:rPr>
              <w:t>3.6</w:t>
            </w:r>
            <w:r w:rsidRPr="00876E72">
              <w:rPr>
                <w:rFonts w:eastAsiaTheme="minorEastAsia"/>
                <w:noProof/>
                <w:kern w:val="2"/>
                <w14:ligatures w14:val="standardContextual"/>
              </w:rPr>
              <w:tab/>
            </w:r>
            <w:r w:rsidRPr="00876E72">
              <w:rPr>
                <w:rStyle w:val="Hyperlink"/>
                <w:noProof/>
              </w:rPr>
              <w:t>Conclusion:</w:t>
            </w:r>
            <w:r w:rsidRPr="00876E72">
              <w:rPr>
                <w:noProof/>
                <w:webHidden/>
              </w:rPr>
              <w:tab/>
            </w:r>
            <w:r w:rsidRPr="00876E72">
              <w:rPr>
                <w:noProof/>
                <w:webHidden/>
              </w:rPr>
              <w:fldChar w:fldCharType="begin"/>
            </w:r>
            <w:r w:rsidRPr="00876E72">
              <w:rPr>
                <w:noProof/>
                <w:webHidden/>
              </w:rPr>
              <w:instrText xml:space="preserve"> PAGEREF _Toc231599686 \h </w:instrText>
            </w:r>
            <w:r w:rsidRPr="00876E72">
              <w:rPr>
                <w:noProof/>
                <w:webHidden/>
              </w:rPr>
            </w:r>
            <w:r w:rsidRPr="00876E72">
              <w:rPr>
                <w:noProof/>
                <w:webHidden/>
              </w:rPr>
              <w:fldChar w:fldCharType="separate"/>
            </w:r>
            <w:r w:rsidR="00730CA1">
              <w:rPr>
                <w:noProof/>
                <w:webHidden/>
              </w:rPr>
              <w:t>28</w:t>
            </w:r>
            <w:r w:rsidRPr="00876E72">
              <w:rPr>
                <w:noProof/>
                <w:webHidden/>
              </w:rPr>
              <w:fldChar w:fldCharType="end"/>
            </w:r>
          </w:hyperlink>
        </w:p>
        <w:p w14:paraId="3D349A62" w14:textId="49C35FFA"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687" w:history="1">
            <w:r w:rsidRPr="00876E72">
              <w:rPr>
                <w:rStyle w:val="Hyperlink"/>
                <w:noProof/>
              </w:rPr>
              <w:t>4</w:t>
            </w:r>
            <w:r w:rsidRPr="00876E72">
              <w:rPr>
                <w:rFonts w:eastAsiaTheme="minorEastAsia"/>
                <w:noProof/>
                <w:kern w:val="2"/>
                <w14:ligatures w14:val="standardContextual"/>
              </w:rPr>
              <w:tab/>
            </w:r>
            <w:r w:rsidRPr="00876E72">
              <w:rPr>
                <w:rStyle w:val="Hyperlink"/>
                <w:noProof/>
              </w:rPr>
              <w:t>Chapter Four: Discussion</w:t>
            </w:r>
            <w:r w:rsidRPr="00876E72">
              <w:rPr>
                <w:noProof/>
                <w:webHidden/>
              </w:rPr>
              <w:tab/>
            </w:r>
            <w:r w:rsidRPr="00876E72">
              <w:rPr>
                <w:noProof/>
                <w:webHidden/>
              </w:rPr>
              <w:fldChar w:fldCharType="begin"/>
            </w:r>
            <w:r w:rsidRPr="00876E72">
              <w:rPr>
                <w:noProof/>
                <w:webHidden/>
              </w:rPr>
              <w:instrText xml:space="preserve"> PAGEREF _Toc231599687 \h </w:instrText>
            </w:r>
            <w:r w:rsidRPr="00876E72">
              <w:rPr>
                <w:noProof/>
                <w:webHidden/>
              </w:rPr>
            </w:r>
            <w:r w:rsidRPr="00876E72">
              <w:rPr>
                <w:noProof/>
                <w:webHidden/>
              </w:rPr>
              <w:fldChar w:fldCharType="separate"/>
            </w:r>
            <w:r w:rsidR="00730CA1">
              <w:rPr>
                <w:noProof/>
                <w:webHidden/>
              </w:rPr>
              <w:t>30</w:t>
            </w:r>
            <w:r w:rsidRPr="00876E72">
              <w:rPr>
                <w:noProof/>
                <w:webHidden/>
              </w:rPr>
              <w:fldChar w:fldCharType="end"/>
            </w:r>
          </w:hyperlink>
        </w:p>
        <w:p w14:paraId="26137BE4" w14:textId="7A4A50EC"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88" w:history="1">
            <w:r w:rsidRPr="00876E72">
              <w:rPr>
                <w:rStyle w:val="Hyperlink"/>
                <w:noProof/>
              </w:rPr>
              <w:t>4.1</w:t>
            </w:r>
            <w:r w:rsidRPr="00876E72">
              <w:rPr>
                <w:rFonts w:eastAsiaTheme="minorEastAsia"/>
                <w:noProof/>
                <w:kern w:val="2"/>
                <w14:ligatures w14:val="standardContextual"/>
              </w:rPr>
              <w:tab/>
            </w:r>
            <w:r w:rsidRPr="00876E72">
              <w:rPr>
                <w:rStyle w:val="Hyperlink"/>
                <w:noProof/>
              </w:rPr>
              <w:t>Introduction</w:t>
            </w:r>
            <w:r w:rsidRPr="00876E72">
              <w:rPr>
                <w:noProof/>
                <w:webHidden/>
              </w:rPr>
              <w:tab/>
            </w:r>
            <w:r w:rsidRPr="00876E72">
              <w:rPr>
                <w:noProof/>
                <w:webHidden/>
              </w:rPr>
              <w:fldChar w:fldCharType="begin"/>
            </w:r>
            <w:r w:rsidRPr="00876E72">
              <w:rPr>
                <w:noProof/>
                <w:webHidden/>
              </w:rPr>
              <w:instrText xml:space="preserve"> PAGEREF _Toc231599688 \h </w:instrText>
            </w:r>
            <w:r w:rsidRPr="00876E72">
              <w:rPr>
                <w:noProof/>
                <w:webHidden/>
              </w:rPr>
            </w:r>
            <w:r w:rsidRPr="00876E72">
              <w:rPr>
                <w:noProof/>
                <w:webHidden/>
              </w:rPr>
              <w:fldChar w:fldCharType="separate"/>
            </w:r>
            <w:r w:rsidR="00730CA1">
              <w:rPr>
                <w:noProof/>
                <w:webHidden/>
              </w:rPr>
              <w:t>30</w:t>
            </w:r>
            <w:r w:rsidRPr="00876E72">
              <w:rPr>
                <w:noProof/>
                <w:webHidden/>
              </w:rPr>
              <w:fldChar w:fldCharType="end"/>
            </w:r>
          </w:hyperlink>
        </w:p>
        <w:p w14:paraId="5484AEF2" w14:textId="11FDBC95"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89" w:history="1">
            <w:r w:rsidRPr="00876E72">
              <w:rPr>
                <w:rStyle w:val="Hyperlink"/>
                <w:noProof/>
              </w:rPr>
              <w:t>4.2</w:t>
            </w:r>
            <w:r w:rsidRPr="00876E72">
              <w:rPr>
                <w:rFonts w:eastAsiaTheme="minorEastAsia"/>
                <w:noProof/>
                <w:kern w:val="2"/>
                <w14:ligatures w14:val="standardContextual"/>
              </w:rPr>
              <w:tab/>
            </w:r>
            <w:r w:rsidRPr="00876E72">
              <w:rPr>
                <w:rStyle w:val="Hyperlink"/>
                <w:noProof/>
              </w:rPr>
              <w:t>Integration of Findings: Answering the Research Questions</w:t>
            </w:r>
            <w:r w:rsidRPr="00876E72">
              <w:rPr>
                <w:noProof/>
                <w:webHidden/>
              </w:rPr>
              <w:tab/>
            </w:r>
            <w:r w:rsidRPr="00876E72">
              <w:rPr>
                <w:noProof/>
                <w:webHidden/>
              </w:rPr>
              <w:fldChar w:fldCharType="begin"/>
            </w:r>
            <w:r w:rsidRPr="00876E72">
              <w:rPr>
                <w:noProof/>
                <w:webHidden/>
              </w:rPr>
              <w:instrText xml:space="preserve"> PAGEREF _Toc231599689 \h </w:instrText>
            </w:r>
            <w:r w:rsidRPr="00876E72">
              <w:rPr>
                <w:noProof/>
                <w:webHidden/>
              </w:rPr>
            </w:r>
            <w:r w:rsidRPr="00876E72">
              <w:rPr>
                <w:noProof/>
                <w:webHidden/>
              </w:rPr>
              <w:fldChar w:fldCharType="separate"/>
            </w:r>
            <w:r w:rsidR="00730CA1">
              <w:rPr>
                <w:noProof/>
                <w:webHidden/>
              </w:rPr>
              <w:t>30</w:t>
            </w:r>
            <w:r w:rsidRPr="00876E72">
              <w:rPr>
                <w:noProof/>
                <w:webHidden/>
              </w:rPr>
              <w:fldChar w:fldCharType="end"/>
            </w:r>
          </w:hyperlink>
        </w:p>
        <w:p w14:paraId="013860F2" w14:textId="34CD5FC9"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90" w:history="1">
            <w:r w:rsidRPr="00876E72">
              <w:rPr>
                <w:rStyle w:val="Hyperlink"/>
                <w:noProof/>
              </w:rPr>
              <w:t>4.2.1</w:t>
            </w:r>
            <w:r w:rsidRPr="00876E72">
              <w:rPr>
                <w:rFonts w:eastAsiaTheme="minorEastAsia"/>
                <w:noProof/>
                <w:kern w:val="2"/>
                <w14:ligatures w14:val="standardContextual"/>
              </w:rPr>
              <w:tab/>
            </w:r>
            <w:r w:rsidRPr="00876E72">
              <w:rPr>
                <w:rStyle w:val="Hyperlink"/>
                <w:noProof/>
              </w:rPr>
              <w:t>RQ1: What Are the Projected Cost Implications of UK CBAM for Construction MNEs Importing High-Emission Materials?</w:t>
            </w:r>
            <w:r w:rsidRPr="00876E72">
              <w:rPr>
                <w:noProof/>
                <w:webHidden/>
              </w:rPr>
              <w:tab/>
            </w:r>
            <w:r w:rsidRPr="00876E72">
              <w:rPr>
                <w:noProof/>
                <w:webHidden/>
              </w:rPr>
              <w:fldChar w:fldCharType="begin"/>
            </w:r>
            <w:r w:rsidRPr="00876E72">
              <w:rPr>
                <w:noProof/>
                <w:webHidden/>
              </w:rPr>
              <w:instrText xml:space="preserve"> PAGEREF _Toc231599690 \h </w:instrText>
            </w:r>
            <w:r w:rsidRPr="00876E72">
              <w:rPr>
                <w:noProof/>
                <w:webHidden/>
              </w:rPr>
            </w:r>
            <w:r w:rsidRPr="00876E72">
              <w:rPr>
                <w:noProof/>
                <w:webHidden/>
              </w:rPr>
              <w:fldChar w:fldCharType="separate"/>
            </w:r>
            <w:r w:rsidR="00730CA1">
              <w:rPr>
                <w:noProof/>
                <w:webHidden/>
              </w:rPr>
              <w:t>30</w:t>
            </w:r>
            <w:r w:rsidRPr="00876E72">
              <w:rPr>
                <w:noProof/>
                <w:webHidden/>
              </w:rPr>
              <w:fldChar w:fldCharType="end"/>
            </w:r>
          </w:hyperlink>
        </w:p>
        <w:p w14:paraId="6AEBCE05" w14:textId="19C20134"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91" w:history="1">
            <w:r w:rsidRPr="00876E72">
              <w:rPr>
                <w:rStyle w:val="Hyperlink"/>
                <w:noProof/>
              </w:rPr>
              <w:t>4.2.2</w:t>
            </w:r>
            <w:r w:rsidRPr="00876E72">
              <w:rPr>
                <w:rFonts w:eastAsiaTheme="minorEastAsia"/>
                <w:noProof/>
                <w:kern w:val="2"/>
                <w14:ligatures w14:val="standardContextual"/>
              </w:rPr>
              <w:tab/>
            </w:r>
            <w:r w:rsidRPr="00876E72">
              <w:rPr>
                <w:rStyle w:val="Hyperlink"/>
                <w:noProof/>
              </w:rPr>
              <w:t>RQ2: How Is UK CBAM Driving a Strategic Shift from Cost-Efficiency to Carbon-Efficiency in Procurement?</w:t>
            </w:r>
            <w:r w:rsidRPr="00876E72">
              <w:rPr>
                <w:noProof/>
                <w:webHidden/>
              </w:rPr>
              <w:tab/>
            </w:r>
            <w:r w:rsidRPr="00876E72">
              <w:rPr>
                <w:noProof/>
                <w:webHidden/>
              </w:rPr>
              <w:fldChar w:fldCharType="begin"/>
            </w:r>
            <w:r w:rsidRPr="00876E72">
              <w:rPr>
                <w:noProof/>
                <w:webHidden/>
              </w:rPr>
              <w:instrText xml:space="preserve"> PAGEREF _Toc231599691 \h </w:instrText>
            </w:r>
            <w:r w:rsidRPr="00876E72">
              <w:rPr>
                <w:noProof/>
                <w:webHidden/>
              </w:rPr>
            </w:r>
            <w:r w:rsidRPr="00876E72">
              <w:rPr>
                <w:noProof/>
                <w:webHidden/>
              </w:rPr>
              <w:fldChar w:fldCharType="separate"/>
            </w:r>
            <w:r w:rsidR="00730CA1">
              <w:rPr>
                <w:noProof/>
                <w:webHidden/>
              </w:rPr>
              <w:t>32</w:t>
            </w:r>
            <w:r w:rsidRPr="00876E72">
              <w:rPr>
                <w:noProof/>
                <w:webHidden/>
              </w:rPr>
              <w:fldChar w:fldCharType="end"/>
            </w:r>
          </w:hyperlink>
        </w:p>
        <w:p w14:paraId="734B992A" w14:textId="2605F3AF"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692" w:history="1">
            <w:r w:rsidRPr="00876E72">
              <w:rPr>
                <w:rStyle w:val="Hyperlink"/>
                <w:noProof/>
              </w:rPr>
              <w:t>4.2.3</w:t>
            </w:r>
            <w:r w:rsidRPr="00876E72">
              <w:rPr>
                <w:rFonts w:eastAsiaTheme="minorEastAsia"/>
                <w:noProof/>
                <w:kern w:val="2"/>
                <w14:ligatures w14:val="standardContextual"/>
              </w:rPr>
              <w:tab/>
            </w:r>
            <w:r w:rsidRPr="00876E72">
              <w:rPr>
                <w:rStyle w:val="Hyperlink"/>
                <w:noProof/>
              </w:rPr>
              <w:t>RQ3: How Does CBAM Influence Sourcing Decisions Between International Suppliers and Domestic Low-Carbon Producers?</w:t>
            </w:r>
            <w:r w:rsidRPr="00876E72">
              <w:rPr>
                <w:noProof/>
                <w:webHidden/>
              </w:rPr>
              <w:tab/>
            </w:r>
            <w:r w:rsidRPr="00876E72">
              <w:rPr>
                <w:noProof/>
                <w:webHidden/>
              </w:rPr>
              <w:fldChar w:fldCharType="begin"/>
            </w:r>
            <w:r w:rsidRPr="00876E72">
              <w:rPr>
                <w:noProof/>
                <w:webHidden/>
              </w:rPr>
              <w:instrText xml:space="preserve"> PAGEREF _Toc231599692 \h </w:instrText>
            </w:r>
            <w:r w:rsidRPr="00876E72">
              <w:rPr>
                <w:noProof/>
                <w:webHidden/>
              </w:rPr>
            </w:r>
            <w:r w:rsidRPr="00876E72">
              <w:rPr>
                <w:noProof/>
                <w:webHidden/>
              </w:rPr>
              <w:fldChar w:fldCharType="separate"/>
            </w:r>
            <w:r w:rsidR="00730CA1">
              <w:rPr>
                <w:noProof/>
                <w:webHidden/>
              </w:rPr>
              <w:t>33</w:t>
            </w:r>
            <w:r w:rsidRPr="00876E72">
              <w:rPr>
                <w:noProof/>
                <w:webHidden/>
              </w:rPr>
              <w:fldChar w:fldCharType="end"/>
            </w:r>
          </w:hyperlink>
        </w:p>
        <w:p w14:paraId="363FD5AC" w14:textId="30BC9133"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93" w:history="1">
            <w:r w:rsidRPr="00876E72">
              <w:rPr>
                <w:rStyle w:val="Hyperlink"/>
                <w:noProof/>
              </w:rPr>
              <w:t>4.3</w:t>
            </w:r>
            <w:r w:rsidRPr="00876E72">
              <w:rPr>
                <w:rFonts w:eastAsiaTheme="minorEastAsia"/>
                <w:noProof/>
                <w:kern w:val="2"/>
                <w14:ligatures w14:val="standardContextual"/>
              </w:rPr>
              <w:tab/>
            </w:r>
            <w:r w:rsidRPr="00876E72">
              <w:rPr>
                <w:rStyle w:val="Hyperlink"/>
                <w:noProof/>
              </w:rPr>
              <w:t>Comparison Between Studies: Where the Literature Agrees and Diverges</w:t>
            </w:r>
            <w:r w:rsidRPr="00876E72">
              <w:rPr>
                <w:noProof/>
                <w:webHidden/>
              </w:rPr>
              <w:tab/>
            </w:r>
            <w:r w:rsidRPr="00876E72">
              <w:rPr>
                <w:noProof/>
                <w:webHidden/>
              </w:rPr>
              <w:fldChar w:fldCharType="begin"/>
            </w:r>
            <w:r w:rsidRPr="00876E72">
              <w:rPr>
                <w:noProof/>
                <w:webHidden/>
              </w:rPr>
              <w:instrText xml:space="preserve"> PAGEREF _Toc231599693 \h </w:instrText>
            </w:r>
            <w:r w:rsidRPr="00876E72">
              <w:rPr>
                <w:noProof/>
                <w:webHidden/>
              </w:rPr>
            </w:r>
            <w:r w:rsidRPr="00876E72">
              <w:rPr>
                <w:noProof/>
                <w:webHidden/>
              </w:rPr>
              <w:fldChar w:fldCharType="separate"/>
            </w:r>
            <w:r w:rsidR="00730CA1">
              <w:rPr>
                <w:noProof/>
                <w:webHidden/>
              </w:rPr>
              <w:t>35</w:t>
            </w:r>
            <w:r w:rsidRPr="00876E72">
              <w:rPr>
                <w:noProof/>
                <w:webHidden/>
              </w:rPr>
              <w:fldChar w:fldCharType="end"/>
            </w:r>
          </w:hyperlink>
        </w:p>
        <w:p w14:paraId="49F4F33D" w14:textId="4335E4DC"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94" w:history="1">
            <w:r w:rsidRPr="00876E72">
              <w:rPr>
                <w:rStyle w:val="Hyperlink"/>
                <w:noProof/>
              </w:rPr>
              <w:t>4.4</w:t>
            </w:r>
            <w:r w:rsidRPr="00876E72">
              <w:rPr>
                <w:rFonts w:eastAsiaTheme="minorEastAsia"/>
                <w:noProof/>
                <w:kern w:val="2"/>
                <w14:ligatures w14:val="standardContextual"/>
              </w:rPr>
              <w:tab/>
            </w:r>
            <w:r w:rsidRPr="00876E72">
              <w:rPr>
                <w:rStyle w:val="Hyperlink"/>
                <w:noProof/>
              </w:rPr>
              <w:t>Theoretical implications:</w:t>
            </w:r>
            <w:r w:rsidRPr="00876E72">
              <w:rPr>
                <w:noProof/>
                <w:webHidden/>
              </w:rPr>
              <w:tab/>
            </w:r>
            <w:r w:rsidRPr="00876E72">
              <w:rPr>
                <w:noProof/>
                <w:webHidden/>
              </w:rPr>
              <w:fldChar w:fldCharType="begin"/>
            </w:r>
            <w:r w:rsidRPr="00876E72">
              <w:rPr>
                <w:noProof/>
                <w:webHidden/>
              </w:rPr>
              <w:instrText xml:space="preserve"> PAGEREF _Toc231599694 \h </w:instrText>
            </w:r>
            <w:r w:rsidRPr="00876E72">
              <w:rPr>
                <w:noProof/>
                <w:webHidden/>
              </w:rPr>
            </w:r>
            <w:r w:rsidRPr="00876E72">
              <w:rPr>
                <w:noProof/>
                <w:webHidden/>
              </w:rPr>
              <w:fldChar w:fldCharType="separate"/>
            </w:r>
            <w:r w:rsidR="00730CA1">
              <w:rPr>
                <w:noProof/>
                <w:webHidden/>
              </w:rPr>
              <w:t>36</w:t>
            </w:r>
            <w:r w:rsidRPr="00876E72">
              <w:rPr>
                <w:noProof/>
                <w:webHidden/>
              </w:rPr>
              <w:fldChar w:fldCharType="end"/>
            </w:r>
          </w:hyperlink>
        </w:p>
        <w:p w14:paraId="55243723" w14:textId="0C82750B"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95" w:history="1">
            <w:r w:rsidRPr="00876E72">
              <w:rPr>
                <w:rStyle w:val="Hyperlink"/>
                <w:noProof/>
              </w:rPr>
              <w:t>4.5</w:t>
            </w:r>
            <w:r w:rsidRPr="00876E72">
              <w:rPr>
                <w:rFonts w:eastAsiaTheme="minorEastAsia"/>
                <w:noProof/>
                <w:kern w:val="2"/>
                <w14:ligatures w14:val="standardContextual"/>
              </w:rPr>
              <w:tab/>
            </w:r>
            <w:r w:rsidRPr="00876E72">
              <w:rPr>
                <w:rStyle w:val="Hyperlink"/>
                <w:noProof/>
              </w:rPr>
              <w:t>The Carbon-Adjusted Procurement (CAP) Framework: A Proposed Conceptual Contribution</w:t>
            </w:r>
            <w:r w:rsidRPr="00876E72">
              <w:rPr>
                <w:noProof/>
                <w:webHidden/>
              </w:rPr>
              <w:tab/>
            </w:r>
            <w:r w:rsidRPr="00876E72">
              <w:rPr>
                <w:noProof/>
                <w:webHidden/>
              </w:rPr>
              <w:fldChar w:fldCharType="begin"/>
            </w:r>
            <w:r w:rsidRPr="00876E72">
              <w:rPr>
                <w:noProof/>
                <w:webHidden/>
              </w:rPr>
              <w:instrText xml:space="preserve"> PAGEREF _Toc231599695 \h </w:instrText>
            </w:r>
            <w:r w:rsidRPr="00876E72">
              <w:rPr>
                <w:noProof/>
                <w:webHidden/>
              </w:rPr>
            </w:r>
            <w:r w:rsidRPr="00876E72">
              <w:rPr>
                <w:noProof/>
                <w:webHidden/>
              </w:rPr>
              <w:fldChar w:fldCharType="separate"/>
            </w:r>
            <w:r w:rsidR="00730CA1">
              <w:rPr>
                <w:noProof/>
                <w:webHidden/>
              </w:rPr>
              <w:t>37</w:t>
            </w:r>
            <w:r w:rsidRPr="00876E72">
              <w:rPr>
                <w:noProof/>
                <w:webHidden/>
              </w:rPr>
              <w:fldChar w:fldCharType="end"/>
            </w:r>
          </w:hyperlink>
        </w:p>
        <w:p w14:paraId="69641A98" w14:textId="00A2DB61"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96" w:history="1">
            <w:r w:rsidRPr="00876E72">
              <w:rPr>
                <w:rStyle w:val="Hyperlink"/>
                <w:noProof/>
              </w:rPr>
              <w:t>4.6</w:t>
            </w:r>
            <w:r w:rsidRPr="00876E72">
              <w:rPr>
                <w:rFonts w:eastAsiaTheme="minorEastAsia"/>
                <w:noProof/>
                <w:kern w:val="2"/>
                <w14:ligatures w14:val="standardContextual"/>
              </w:rPr>
              <w:tab/>
            </w:r>
            <w:r w:rsidRPr="00876E72">
              <w:rPr>
                <w:rStyle w:val="Hyperlink"/>
                <w:noProof/>
              </w:rPr>
              <w:t>Identification of Gaps Filled and Gaps Remaining</w:t>
            </w:r>
            <w:r w:rsidRPr="00876E72">
              <w:rPr>
                <w:noProof/>
                <w:webHidden/>
              </w:rPr>
              <w:tab/>
            </w:r>
            <w:r w:rsidRPr="00876E72">
              <w:rPr>
                <w:noProof/>
                <w:webHidden/>
              </w:rPr>
              <w:fldChar w:fldCharType="begin"/>
            </w:r>
            <w:r w:rsidRPr="00876E72">
              <w:rPr>
                <w:noProof/>
                <w:webHidden/>
              </w:rPr>
              <w:instrText xml:space="preserve"> PAGEREF _Toc231599696 \h </w:instrText>
            </w:r>
            <w:r w:rsidRPr="00876E72">
              <w:rPr>
                <w:noProof/>
                <w:webHidden/>
              </w:rPr>
            </w:r>
            <w:r w:rsidRPr="00876E72">
              <w:rPr>
                <w:noProof/>
                <w:webHidden/>
              </w:rPr>
              <w:fldChar w:fldCharType="separate"/>
            </w:r>
            <w:r w:rsidR="00730CA1">
              <w:rPr>
                <w:noProof/>
                <w:webHidden/>
              </w:rPr>
              <w:t>39</w:t>
            </w:r>
            <w:r w:rsidRPr="00876E72">
              <w:rPr>
                <w:noProof/>
                <w:webHidden/>
              </w:rPr>
              <w:fldChar w:fldCharType="end"/>
            </w:r>
          </w:hyperlink>
        </w:p>
        <w:p w14:paraId="405D341A" w14:textId="65145751"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97" w:history="1">
            <w:r w:rsidRPr="00876E72">
              <w:rPr>
                <w:rStyle w:val="Hyperlink"/>
                <w:noProof/>
              </w:rPr>
              <w:t>4.7</w:t>
            </w:r>
            <w:r w:rsidRPr="00876E72">
              <w:rPr>
                <w:rFonts w:eastAsiaTheme="minorEastAsia"/>
                <w:noProof/>
                <w:kern w:val="2"/>
                <w14:ligatures w14:val="standardContextual"/>
              </w:rPr>
              <w:tab/>
            </w:r>
            <w:r w:rsidRPr="00876E72">
              <w:rPr>
                <w:rStyle w:val="Hyperlink"/>
                <w:noProof/>
              </w:rPr>
              <w:t>Conclusion:</w:t>
            </w:r>
            <w:r w:rsidRPr="00876E72">
              <w:rPr>
                <w:noProof/>
                <w:webHidden/>
              </w:rPr>
              <w:tab/>
            </w:r>
            <w:r w:rsidRPr="00876E72">
              <w:rPr>
                <w:noProof/>
                <w:webHidden/>
              </w:rPr>
              <w:fldChar w:fldCharType="begin"/>
            </w:r>
            <w:r w:rsidRPr="00876E72">
              <w:rPr>
                <w:noProof/>
                <w:webHidden/>
              </w:rPr>
              <w:instrText xml:space="preserve"> PAGEREF _Toc231599697 \h </w:instrText>
            </w:r>
            <w:r w:rsidRPr="00876E72">
              <w:rPr>
                <w:noProof/>
                <w:webHidden/>
              </w:rPr>
            </w:r>
            <w:r w:rsidRPr="00876E72">
              <w:rPr>
                <w:noProof/>
                <w:webHidden/>
              </w:rPr>
              <w:fldChar w:fldCharType="separate"/>
            </w:r>
            <w:r w:rsidR="00730CA1">
              <w:rPr>
                <w:noProof/>
                <w:webHidden/>
              </w:rPr>
              <w:t>40</w:t>
            </w:r>
            <w:r w:rsidRPr="00876E72">
              <w:rPr>
                <w:noProof/>
                <w:webHidden/>
              </w:rPr>
              <w:fldChar w:fldCharType="end"/>
            </w:r>
          </w:hyperlink>
        </w:p>
        <w:p w14:paraId="52A49F16" w14:textId="2C1B7803"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698" w:history="1">
            <w:r w:rsidRPr="00876E72">
              <w:rPr>
                <w:rStyle w:val="Hyperlink"/>
                <w:noProof/>
              </w:rPr>
              <w:t>5</w:t>
            </w:r>
            <w:r w:rsidRPr="00876E72">
              <w:rPr>
                <w:rFonts w:eastAsiaTheme="minorEastAsia"/>
                <w:noProof/>
                <w:kern w:val="2"/>
                <w14:ligatures w14:val="standardContextual"/>
              </w:rPr>
              <w:tab/>
            </w:r>
            <w:r w:rsidRPr="00876E72">
              <w:rPr>
                <w:rStyle w:val="Hyperlink"/>
                <w:noProof/>
              </w:rPr>
              <w:t>Chapter Five: Implications</w:t>
            </w:r>
            <w:r w:rsidRPr="00876E72">
              <w:rPr>
                <w:noProof/>
                <w:webHidden/>
              </w:rPr>
              <w:tab/>
            </w:r>
            <w:r w:rsidRPr="00876E72">
              <w:rPr>
                <w:noProof/>
                <w:webHidden/>
              </w:rPr>
              <w:fldChar w:fldCharType="begin"/>
            </w:r>
            <w:r w:rsidRPr="00876E72">
              <w:rPr>
                <w:noProof/>
                <w:webHidden/>
              </w:rPr>
              <w:instrText xml:space="preserve"> PAGEREF _Toc231599698 \h </w:instrText>
            </w:r>
            <w:r w:rsidRPr="00876E72">
              <w:rPr>
                <w:noProof/>
                <w:webHidden/>
              </w:rPr>
            </w:r>
            <w:r w:rsidRPr="00876E72">
              <w:rPr>
                <w:noProof/>
                <w:webHidden/>
              </w:rPr>
              <w:fldChar w:fldCharType="separate"/>
            </w:r>
            <w:r w:rsidR="00730CA1">
              <w:rPr>
                <w:noProof/>
                <w:webHidden/>
              </w:rPr>
              <w:t>41</w:t>
            </w:r>
            <w:r w:rsidRPr="00876E72">
              <w:rPr>
                <w:noProof/>
                <w:webHidden/>
              </w:rPr>
              <w:fldChar w:fldCharType="end"/>
            </w:r>
          </w:hyperlink>
        </w:p>
        <w:p w14:paraId="10780070" w14:textId="42A49B45"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699" w:history="1">
            <w:r w:rsidRPr="00876E72">
              <w:rPr>
                <w:rStyle w:val="Hyperlink"/>
                <w:noProof/>
              </w:rPr>
              <w:t>5.1</w:t>
            </w:r>
            <w:r w:rsidRPr="00876E72">
              <w:rPr>
                <w:rFonts w:eastAsiaTheme="minorEastAsia"/>
                <w:noProof/>
                <w:kern w:val="2"/>
                <w14:ligatures w14:val="standardContextual"/>
              </w:rPr>
              <w:tab/>
            </w:r>
            <w:r w:rsidRPr="00876E72">
              <w:rPr>
                <w:rStyle w:val="Hyperlink"/>
                <w:noProof/>
              </w:rPr>
              <w:t>Introduction</w:t>
            </w:r>
            <w:r w:rsidRPr="00876E72">
              <w:rPr>
                <w:noProof/>
                <w:webHidden/>
              </w:rPr>
              <w:tab/>
            </w:r>
            <w:r w:rsidRPr="00876E72">
              <w:rPr>
                <w:noProof/>
                <w:webHidden/>
              </w:rPr>
              <w:fldChar w:fldCharType="begin"/>
            </w:r>
            <w:r w:rsidRPr="00876E72">
              <w:rPr>
                <w:noProof/>
                <w:webHidden/>
              </w:rPr>
              <w:instrText xml:space="preserve"> PAGEREF _Toc231599699 \h </w:instrText>
            </w:r>
            <w:r w:rsidRPr="00876E72">
              <w:rPr>
                <w:noProof/>
                <w:webHidden/>
              </w:rPr>
            </w:r>
            <w:r w:rsidRPr="00876E72">
              <w:rPr>
                <w:noProof/>
                <w:webHidden/>
              </w:rPr>
              <w:fldChar w:fldCharType="separate"/>
            </w:r>
            <w:r w:rsidR="00730CA1">
              <w:rPr>
                <w:noProof/>
                <w:webHidden/>
              </w:rPr>
              <w:t>41</w:t>
            </w:r>
            <w:r w:rsidRPr="00876E72">
              <w:rPr>
                <w:noProof/>
                <w:webHidden/>
              </w:rPr>
              <w:fldChar w:fldCharType="end"/>
            </w:r>
          </w:hyperlink>
        </w:p>
        <w:p w14:paraId="66B57C50" w14:textId="0016978B"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00" w:history="1">
            <w:r w:rsidRPr="00876E72">
              <w:rPr>
                <w:rStyle w:val="Hyperlink"/>
                <w:noProof/>
              </w:rPr>
              <w:t>5.2</w:t>
            </w:r>
            <w:r w:rsidRPr="00876E72">
              <w:rPr>
                <w:rFonts w:eastAsiaTheme="minorEastAsia"/>
                <w:noProof/>
                <w:kern w:val="2"/>
                <w14:ligatures w14:val="standardContextual"/>
              </w:rPr>
              <w:tab/>
            </w:r>
            <w:r w:rsidRPr="00876E72">
              <w:rPr>
                <w:rStyle w:val="Hyperlink"/>
                <w:noProof/>
              </w:rPr>
              <w:t>Theoretical Implications</w:t>
            </w:r>
            <w:r w:rsidRPr="00876E72">
              <w:rPr>
                <w:noProof/>
                <w:webHidden/>
              </w:rPr>
              <w:tab/>
            </w:r>
            <w:r w:rsidRPr="00876E72">
              <w:rPr>
                <w:noProof/>
                <w:webHidden/>
              </w:rPr>
              <w:fldChar w:fldCharType="begin"/>
            </w:r>
            <w:r w:rsidRPr="00876E72">
              <w:rPr>
                <w:noProof/>
                <w:webHidden/>
              </w:rPr>
              <w:instrText xml:space="preserve"> PAGEREF _Toc231599700 \h </w:instrText>
            </w:r>
            <w:r w:rsidRPr="00876E72">
              <w:rPr>
                <w:noProof/>
                <w:webHidden/>
              </w:rPr>
            </w:r>
            <w:r w:rsidRPr="00876E72">
              <w:rPr>
                <w:noProof/>
                <w:webHidden/>
              </w:rPr>
              <w:fldChar w:fldCharType="separate"/>
            </w:r>
            <w:r w:rsidR="00730CA1">
              <w:rPr>
                <w:noProof/>
                <w:webHidden/>
              </w:rPr>
              <w:t>41</w:t>
            </w:r>
            <w:r w:rsidRPr="00876E72">
              <w:rPr>
                <w:noProof/>
                <w:webHidden/>
              </w:rPr>
              <w:fldChar w:fldCharType="end"/>
            </w:r>
          </w:hyperlink>
        </w:p>
        <w:p w14:paraId="5B6EE8AB" w14:textId="3EB339EE"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701" w:history="1">
            <w:r w:rsidRPr="00876E72">
              <w:rPr>
                <w:rStyle w:val="Hyperlink"/>
                <w:noProof/>
              </w:rPr>
              <w:t>5.2.1</w:t>
            </w:r>
            <w:r w:rsidRPr="00876E72">
              <w:rPr>
                <w:rFonts w:eastAsiaTheme="minorEastAsia"/>
                <w:noProof/>
                <w:kern w:val="2"/>
                <w14:ligatures w14:val="standardContextual"/>
              </w:rPr>
              <w:tab/>
            </w:r>
            <w:r w:rsidRPr="00876E72">
              <w:rPr>
                <w:rStyle w:val="Hyperlink"/>
                <w:noProof/>
              </w:rPr>
              <w:t>Advancing the Multi-Framework Approach to Regulatory Procurement Research</w:t>
            </w:r>
            <w:r w:rsidRPr="00876E72">
              <w:rPr>
                <w:noProof/>
                <w:webHidden/>
              </w:rPr>
              <w:tab/>
            </w:r>
            <w:r w:rsidRPr="00876E72">
              <w:rPr>
                <w:noProof/>
                <w:webHidden/>
              </w:rPr>
              <w:fldChar w:fldCharType="begin"/>
            </w:r>
            <w:r w:rsidRPr="00876E72">
              <w:rPr>
                <w:noProof/>
                <w:webHidden/>
              </w:rPr>
              <w:instrText xml:space="preserve"> PAGEREF _Toc231599701 \h </w:instrText>
            </w:r>
            <w:r w:rsidRPr="00876E72">
              <w:rPr>
                <w:noProof/>
                <w:webHidden/>
              </w:rPr>
            </w:r>
            <w:r w:rsidRPr="00876E72">
              <w:rPr>
                <w:noProof/>
                <w:webHidden/>
              </w:rPr>
              <w:fldChar w:fldCharType="separate"/>
            </w:r>
            <w:r w:rsidR="00730CA1">
              <w:rPr>
                <w:noProof/>
                <w:webHidden/>
              </w:rPr>
              <w:t>41</w:t>
            </w:r>
            <w:r w:rsidRPr="00876E72">
              <w:rPr>
                <w:noProof/>
                <w:webHidden/>
              </w:rPr>
              <w:fldChar w:fldCharType="end"/>
            </w:r>
          </w:hyperlink>
        </w:p>
        <w:p w14:paraId="48E0DFA2" w14:textId="04B98C65"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702" w:history="1">
            <w:r w:rsidRPr="00876E72">
              <w:rPr>
                <w:rStyle w:val="Hyperlink"/>
                <w:noProof/>
              </w:rPr>
              <w:t>5.2.2</w:t>
            </w:r>
            <w:r w:rsidRPr="00876E72">
              <w:rPr>
                <w:rFonts w:eastAsiaTheme="minorEastAsia"/>
                <w:noProof/>
                <w:kern w:val="2"/>
                <w14:ligatures w14:val="standardContextual"/>
              </w:rPr>
              <w:tab/>
            </w:r>
            <w:r w:rsidRPr="00876E72">
              <w:rPr>
                <w:rStyle w:val="Hyperlink"/>
                <w:noProof/>
              </w:rPr>
              <w:t>Development of Institutional Theory in the Context of Construction Procurement</w:t>
            </w:r>
            <w:r w:rsidRPr="00876E72">
              <w:rPr>
                <w:noProof/>
                <w:webHidden/>
              </w:rPr>
              <w:tab/>
            </w:r>
            <w:r w:rsidRPr="00876E72">
              <w:rPr>
                <w:noProof/>
                <w:webHidden/>
              </w:rPr>
              <w:fldChar w:fldCharType="begin"/>
            </w:r>
            <w:r w:rsidRPr="00876E72">
              <w:rPr>
                <w:noProof/>
                <w:webHidden/>
              </w:rPr>
              <w:instrText xml:space="preserve"> PAGEREF _Toc231599702 \h </w:instrText>
            </w:r>
            <w:r w:rsidRPr="00876E72">
              <w:rPr>
                <w:noProof/>
                <w:webHidden/>
              </w:rPr>
            </w:r>
            <w:r w:rsidRPr="00876E72">
              <w:rPr>
                <w:noProof/>
                <w:webHidden/>
              </w:rPr>
              <w:fldChar w:fldCharType="separate"/>
            </w:r>
            <w:r w:rsidR="00730CA1">
              <w:rPr>
                <w:noProof/>
                <w:webHidden/>
              </w:rPr>
              <w:t>41</w:t>
            </w:r>
            <w:r w:rsidRPr="00876E72">
              <w:rPr>
                <w:noProof/>
                <w:webHidden/>
              </w:rPr>
              <w:fldChar w:fldCharType="end"/>
            </w:r>
          </w:hyperlink>
        </w:p>
        <w:p w14:paraId="75F018D3" w14:textId="51094989"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703" w:history="1">
            <w:r w:rsidRPr="00876E72">
              <w:rPr>
                <w:rStyle w:val="Hyperlink"/>
                <w:noProof/>
              </w:rPr>
              <w:t>5.2.3</w:t>
            </w:r>
            <w:r w:rsidRPr="00876E72">
              <w:rPr>
                <w:rFonts w:eastAsiaTheme="minorEastAsia"/>
                <w:noProof/>
                <w:kern w:val="2"/>
                <w14:ligatures w14:val="standardContextual"/>
              </w:rPr>
              <w:tab/>
            </w:r>
            <w:r w:rsidRPr="00876E72">
              <w:rPr>
                <w:rStyle w:val="Hyperlink"/>
                <w:noProof/>
              </w:rPr>
              <w:t>The Carbon-Adjusted Procurement Framework as a New Theoretical Lens</w:t>
            </w:r>
            <w:r w:rsidRPr="00876E72">
              <w:rPr>
                <w:noProof/>
                <w:webHidden/>
              </w:rPr>
              <w:tab/>
            </w:r>
            <w:r w:rsidRPr="00876E72">
              <w:rPr>
                <w:noProof/>
                <w:webHidden/>
              </w:rPr>
              <w:fldChar w:fldCharType="begin"/>
            </w:r>
            <w:r w:rsidRPr="00876E72">
              <w:rPr>
                <w:noProof/>
                <w:webHidden/>
              </w:rPr>
              <w:instrText xml:space="preserve"> PAGEREF _Toc231599703 \h </w:instrText>
            </w:r>
            <w:r w:rsidRPr="00876E72">
              <w:rPr>
                <w:noProof/>
                <w:webHidden/>
              </w:rPr>
            </w:r>
            <w:r w:rsidRPr="00876E72">
              <w:rPr>
                <w:noProof/>
                <w:webHidden/>
              </w:rPr>
              <w:fldChar w:fldCharType="separate"/>
            </w:r>
            <w:r w:rsidR="00730CA1">
              <w:rPr>
                <w:noProof/>
                <w:webHidden/>
              </w:rPr>
              <w:t>42</w:t>
            </w:r>
            <w:r w:rsidRPr="00876E72">
              <w:rPr>
                <w:noProof/>
                <w:webHidden/>
              </w:rPr>
              <w:fldChar w:fldCharType="end"/>
            </w:r>
          </w:hyperlink>
        </w:p>
        <w:p w14:paraId="16F541BA" w14:textId="787C1FED"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04" w:history="1">
            <w:r w:rsidRPr="00876E72">
              <w:rPr>
                <w:rStyle w:val="Hyperlink"/>
                <w:noProof/>
              </w:rPr>
              <w:t>5.3</w:t>
            </w:r>
            <w:r w:rsidRPr="00876E72">
              <w:rPr>
                <w:rFonts w:eastAsiaTheme="minorEastAsia"/>
                <w:noProof/>
                <w:kern w:val="2"/>
                <w14:ligatures w14:val="standardContextual"/>
              </w:rPr>
              <w:tab/>
            </w:r>
            <w:r w:rsidRPr="00876E72">
              <w:rPr>
                <w:rStyle w:val="Hyperlink"/>
                <w:noProof/>
              </w:rPr>
              <w:t>Practical and Managerial Implications</w:t>
            </w:r>
            <w:r w:rsidRPr="00876E72">
              <w:rPr>
                <w:noProof/>
                <w:webHidden/>
              </w:rPr>
              <w:tab/>
            </w:r>
            <w:r w:rsidRPr="00876E72">
              <w:rPr>
                <w:noProof/>
                <w:webHidden/>
              </w:rPr>
              <w:fldChar w:fldCharType="begin"/>
            </w:r>
            <w:r w:rsidRPr="00876E72">
              <w:rPr>
                <w:noProof/>
                <w:webHidden/>
              </w:rPr>
              <w:instrText xml:space="preserve"> PAGEREF _Toc231599704 \h </w:instrText>
            </w:r>
            <w:r w:rsidRPr="00876E72">
              <w:rPr>
                <w:noProof/>
                <w:webHidden/>
              </w:rPr>
            </w:r>
            <w:r w:rsidRPr="00876E72">
              <w:rPr>
                <w:noProof/>
                <w:webHidden/>
              </w:rPr>
              <w:fldChar w:fldCharType="separate"/>
            </w:r>
            <w:r w:rsidR="00730CA1">
              <w:rPr>
                <w:noProof/>
                <w:webHidden/>
              </w:rPr>
              <w:t>42</w:t>
            </w:r>
            <w:r w:rsidRPr="00876E72">
              <w:rPr>
                <w:noProof/>
                <w:webHidden/>
              </w:rPr>
              <w:fldChar w:fldCharType="end"/>
            </w:r>
          </w:hyperlink>
        </w:p>
        <w:p w14:paraId="59E745C6" w14:textId="4B292EB7"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705" w:history="1">
            <w:r w:rsidRPr="00876E72">
              <w:rPr>
                <w:rStyle w:val="Hyperlink"/>
                <w:noProof/>
              </w:rPr>
              <w:t>5.3.1</w:t>
            </w:r>
            <w:r w:rsidRPr="00876E72">
              <w:rPr>
                <w:rFonts w:eastAsiaTheme="minorEastAsia"/>
                <w:noProof/>
                <w:kern w:val="2"/>
                <w14:ligatures w14:val="standardContextual"/>
              </w:rPr>
              <w:tab/>
            </w:r>
            <w:r w:rsidRPr="00876E72">
              <w:rPr>
                <w:rStyle w:val="Hyperlink"/>
                <w:noProof/>
              </w:rPr>
              <w:t>Strategic Recommendations for UK Construction MNEs</w:t>
            </w:r>
            <w:r w:rsidRPr="00876E72">
              <w:rPr>
                <w:noProof/>
                <w:webHidden/>
              </w:rPr>
              <w:tab/>
            </w:r>
            <w:r w:rsidRPr="00876E72">
              <w:rPr>
                <w:noProof/>
                <w:webHidden/>
              </w:rPr>
              <w:fldChar w:fldCharType="begin"/>
            </w:r>
            <w:r w:rsidRPr="00876E72">
              <w:rPr>
                <w:noProof/>
                <w:webHidden/>
              </w:rPr>
              <w:instrText xml:space="preserve"> PAGEREF _Toc231599705 \h </w:instrText>
            </w:r>
            <w:r w:rsidRPr="00876E72">
              <w:rPr>
                <w:noProof/>
                <w:webHidden/>
              </w:rPr>
            </w:r>
            <w:r w:rsidRPr="00876E72">
              <w:rPr>
                <w:noProof/>
                <w:webHidden/>
              </w:rPr>
              <w:fldChar w:fldCharType="separate"/>
            </w:r>
            <w:r w:rsidR="00730CA1">
              <w:rPr>
                <w:noProof/>
                <w:webHidden/>
              </w:rPr>
              <w:t>42</w:t>
            </w:r>
            <w:r w:rsidRPr="00876E72">
              <w:rPr>
                <w:noProof/>
                <w:webHidden/>
              </w:rPr>
              <w:fldChar w:fldCharType="end"/>
            </w:r>
          </w:hyperlink>
        </w:p>
        <w:p w14:paraId="186CA888" w14:textId="46E38142"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706" w:history="1">
            <w:r w:rsidRPr="00876E72">
              <w:rPr>
                <w:rStyle w:val="Hyperlink"/>
                <w:noProof/>
              </w:rPr>
              <w:t>5.3.2</w:t>
            </w:r>
            <w:r w:rsidRPr="00876E72">
              <w:rPr>
                <w:rFonts w:eastAsiaTheme="minorEastAsia"/>
                <w:noProof/>
                <w:kern w:val="2"/>
                <w14:ligatures w14:val="standardContextual"/>
              </w:rPr>
              <w:tab/>
            </w:r>
            <w:r w:rsidRPr="00876E72">
              <w:rPr>
                <w:rStyle w:val="Hyperlink"/>
                <w:noProof/>
              </w:rPr>
              <w:t>Policy and Industry implications</w:t>
            </w:r>
            <w:r w:rsidRPr="00876E72">
              <w:rPr>
                <w:noProof/>
                <w:webHidden/>
              </w:rPr>
              <w:tab/>
            </w:r>
            <w:r w:rsidRPr="00876E72">
              <w:rPr>
                <w:noProof/>
                <w:webHidden/>
              </w:rPr>
              <w:fldChar w:fldCharType="begin"/>
            </w:r>
            <w:r w:rsidRPr="00876E72">
              <w:rPr>
                <w:noProof/>
                <w:webHidden/>
              </w:rPr>
              <w:instrText xml:space="preserve"> PAGEREF _Toc231599706 \h </w:instrText>
            </w:r>
            <w:r w:rsidRPr="00876E72">
              <w:rPr>
                <w:noProof/>
                <w:webHidden/>
              </w:rPr>
            </w:r>
            <w:r w:rsidRPr="00876E72">
              <w:rPr>
                <w:noProof/>
                <w:webHidden/>
              </w:rPr>
              <w:fldChar w:fldCharType="separate"/>
            </w:r>
            <w:r w:rsidR="00730CA1">
              <w:rPr>
                <w:noProof/>
                <w:webHidden/>
              </w:rPr>
              <w:t>43</w:t>
            </w:r>
            <w:r w:rsidRPr="00876E72">
              <w:rPr>
                <w:noProof/>
                <w:webHidden/>
              </w:rPr>
              <w:fldChar w:fldCharType="end"/>
            </w:r>
          </w:hyperlink>
        </w:p>
        <w:p w14:paraId="1B8A1697" w14:textId="0B971C49"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07" w:history="1">
            <w:r w:rsidRPr="00876E72">
              <w:rPr>
                <w:rStyle w:val="Hyperlink"/>
                <w:noProof/>
              </w:rPr>
              <w:t>5.4</w:t>
            </w:r>
            <w:r w:rsidRPr="00876E72">
              <w:rPr>
                <w:rFonts w:eastAsiaTheme="minorEastAsia"/>
                <w:noProof/>
                <w:kern w:val="2"/>
                <w14:ligatures w14:val="standardContextual"/>
              </w:rPr>
              <w:tab/>
            </w:r>
            <w:r w:rsidRPr="00876E72">
              <w:rPr>
                <w:rStyle w:val="Hyperlink"/>
                <w:noProof/>
              </w:rPr>
              <w:t>Research Implications and Future Directions</w:t>
            </w:r>
            <w:r w:rsidRPr="00876E72">
              <w:rPr>
                <w:noProof/>
                <w:webHidden/>
              </w:rPr>
              <w:tab/>
            </w:r>
            <w:r w:rsidRPr="00876E72">
              <w:rPr>
                <w:noProof/>
                <w:webHidden/>
              </w:rPr>
              <w:fldChar w:fldCharType="begin"/>
            </w:r>
            <w:r w:rsidRPr="00876E72">
              <w:rPr>
                <w:noProof/>
                <w:webHidden/>
              </w:rPr>
              <w:instrText xml:space="preserve"> PAGEREF _Toc231599707 \h </w:instrText>
            </w:r>
            <w:r w:rsidRPr="00876E72">
              <w:rPr>
                <w:noProof/>
                <w:webHidden/>
              </w:rPr>
            </w:r>
            <w:r w:rsidRPr="00876E72">
              <w:rPr>
                <w:noProof/>
                <w:webHidden/>
              </w:rPr>
              <w:fldChar w:fldCharType="separate"/>
            </w:r>
            <w:r w:rsidR="00730CA1">
              <w:rPr>
                <w:noProof/>
                <w:webHidden/>
              </w:rPr>
              <w:t>44</w:t>
            </w:r>
            <w:r w:rsidRPr="00876E72">
              <w:rPr>
                <w:noProof/>
                <w:webHidden/>
              </w:rPr>
              <w:fldChar w:fldCharType="end"/>
            </w:r>
          </w:hyperlink>
        </w:p>
        <w:p w14:paraId="1B9166A4" w14:textId="57EC6DB4"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08" w:history="1">
            <w:r w:rsidRPr="00876E72">
              <w:rPr>
                <w:rStyle w:val="Hyperlink"/>
                <w:noProof/>
              </w:rPr>
              <w:t>5.5</w:t>
            </w:r>
            <w:r w:rsidRPr="00876E72">
              <w:rPr>
                <w:rFonts w:eastAsiaTheme="minorEastAsia"/>
                <w:noProof/>
                <w:kern w:val="2"/>
                <w14:ligatures w14:val="standardContextual"/>
              </w:rPr>
              <w:tab/>
            </w:r>
            <w:r w:rsidRPr="00876E72">
              <w:rPr>
                <w:rStyle w:val="Hyperlink"/>
                <w:noProof/>
              </w:rPr>
              <w:t>Conclusion:</w:t>
            </w:r>
            <w:r w:rsidRPr="00876E72">
              <w:rPr>
                <w:noProof/>
                <w:webHidden/>
              </w:rPr>
              <w:tab/>
            </w:r>
            <w:r w:rsidRPr="00876E72">
              <w:rPr>
                <w:noProof/>
                <w:webHidden/>
              </w:rPr>
              <w:fldChar w:fldCharType="begin"/>
            </w:r>
            <w:r w:rsidRPr="00876E72">
              <w:rPr>
                <w:noProof/>
                <w:webHidden/>
              </w:rPr>
              <w:instrText xml:space="preserve"> PAGEREF _Toc231599708 \h </w:instrText>
            </w:r>
            <w:r w:rsidRPr="00876E72">
              <w:rPr>
                <w:noProof/>
                <w:webHidden/>
              </w:rPr>
            </w:r>
            <w:r w:rsidRPr="00876E72">
              <w:rPr>
                <w:noProof/>
                <w:webHidden/>
              </w:rPr>
              <w:fldChar w:fldCharType="separate"/>
            </w:r>
            <w:r w:rsidR="00730CA1">
              <w:rPr>
                <w:noProof/>
                <w:webHidden/>
              </w:rPr>
              <w:t>44</w:t>
            </w:r>
            <w:r w:rsidRPr="00876E72">
              <w:rPr>
                <w:noProof/>
                <w:webHidden/>
              </w:rPr>
              <w:fldChar w:fldCharType="end"/>
            </w:r>
          </w:hyperlink>
        </w:p>
        <w:p w14:paraId="341B5581" w14:textId="2E6285CE"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709" w:history="1">
            <w:r w:rsidRPr="00876E72">
              <w:rPr>
                <w:rStyle w:val="Hyperlink"/>
                <w:noProof/>
              </w:rPr>
              <w:t>6</w:t>
            </w:r>
            <w:r w:rsidRPr="00876E72">
              <w:rPr>
                <w:rFonts w:eastAsiaTheme="minorEastAsia"/>
                <w:noProof/>
                <w:kern w:val="2"/>
                <w14:ligatures w14:val="standardContextual"/>
              </w:rPr>
              <w:tab/>
            </w:r>
            <w:r w:rsidRPr="00876E72">
              <w:rPr>
                <w:rStyle w:val="Hyperlink"/>
                <w:noProof/>
              </w:rPr>
              <w:t>Chapter Six: Conclusion</w:t>
            </w:r>
            <w:r w:rsidRPr="00876E72">
              <w:rPr>
                <w:noProof/>
                <w:webHidden/>
              </w:rPr>
              <w:tab/>
            </w:r>
            <w:r w:rsidRPr="00876E72">
              <w:rPr>
                <w:noProof/>
                <w:webHidden/>
              </w:rPr>
              <w:fldChar w:fldCharType="begin"/>
            </w:r>
            <w:r w:rsidRPr="00876E72">
              <w:rPr>
                <w:noProof/>
                <w:webHidden/>
              </w:rPr>
              <w:instrText xml:space="preserve"> PAGEREF _Toc231599709 \h </w:instrText>
            </w:r>
            <w:r w:rsidRPr="00876E72">
              <w:rPr>
                <w:noProof/>
                <w:webHidden/>
              </w:rPr>
            </w:r>
            <w:r w:rsidRPr="00876E72">
              <w:rPr>
                <w:noProof/>
                <w:webHidden/>
              </w:rPr>
              <w:fldChar w:fldCharType="separate"/>
            </w:r>
            <w:r w:rsidR="00730CA1">
              <w:rPr>
                <w:noProof/>
                <w:webHidden/>
              </w:rPr>
              <w:t>46</w:t>
            </w:r>
            <w:r w:rsidRPr="00876E72">
              <w:rPr>
                <w:noProof/>
                <w:webHidden/>
              </w:rPr>
              <w:fldChar w:fldCharType="end"/>
            </w:r>
          </w:hyperlink>
        </w:p>
        <w:p w14:paraId="17AC0AFC" w14:textId="463DC966"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0" w:history="1">
            <w:r w:rsidRPr="00876E72">
              <w:rPr>
                <w:rStyle w:val="Hyperlink"/>
                <w:noProof/>
              </w:rPr>
              <w:t>6.1</w:t>
            </w:r>
            <w:r w:rsidRPr="00876E72">
              <w:rPr>
                <w:rFonts w:eastAsiaTheme="minorEastAsia"/>
                <w:noProof/>
                <w:kern w:val="2"/>
                <w14:ligatures w14:val="standardContextual"/>
              </w:rPr>
              <w:tab/>
            </w:r>
            <w:r w:rsidRPr="00876E72">
              <w:rPr>
                <w:rStyle w:val="Hyperlink"/>
                <w:noProof/>
              </w:rPr>
              <w:t>Introduction</w:t>
            </w:r>
            <w:r w:rsidRPr="00876E72">
              <w:rPr>
                <w:noProof/>
                <w:webHidden/>
              </w:rPr>
              <w:tab/>
            </w:r>
            <w:r w:rsidRPr="00876E72">
              <w:rPr>
                <w:noProof/>
                <w:webHidden/>
              </w:rPr>
              <w:fldChar w:fldCharType="begin"/>
            </w:r>
            <w:r w:rsidRPr="00876E72">
              <w:rPr>
                <w:noProof/>
                <w:webHidden/>
              </w:rPr>
              <w:instrText xml:space="preserve"> PAGEREF _Toc231599710 \h </w:instrText>
            </w:r>
            <w:r w:rsidRPr="00876E72">
              <w:rPr>
                <w:noProof/>
                <w:webHidden/>
              </w:rPr>
            </w:r>
            <w:r w:rsidRPr="00876E72">
              <w:rPr>
                <w:noProof/>
                <w:webHidden/>
              </w:rPr>
              <w:fldChar w:fldCharType="separate"/>
            </w:r>
            <w:r w:rsidR="00730CA1">
              <w:rPr>
                <w:noProof/>
                <w:webHidden/>
              </w:rPr>
              <w:t>46</w:t>
            </w:r>
            <w:r w:rsidRPr="00876E72">
              <w:rPr>
                <w:noProof/>
                <w:webHidden/>
              </w:rPr>
              <w:fldChar w:fldCharType="end"/>
            </w:r>
          </w:hyperlink>
        </w:p>
        <w:p w14:paraId="3E2E2636" w14:textId="145581C0"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1" w:history="1">
            <w:r w:rsidRPr="00876E72">
              <w:rPr>
                <w:rStyle w:val="Hyperlink"/>
                <w:noProof/>
              </w:rPr>
              <w:t>6.2</w:t>
            </w:r>
            <w:r w:rsidRPr="00876E72">
              <w:rPr>
                <w:rFonts w:eastAsiaTheme="minorEastAsia"/>
                <w:noProof/>
                <w:kern w:val="2"/>
                <w14:ligatures w14:val="standardContextual"/>
              </w:rPr>
              <w:tab/>
            </w:r>
            <w:r w:rsidRPr="00876E72">
              <w:rPr>
                <w:rStyle w:val="Hyperlink"/>
                <w:noProof/>
              </w:rPr>
              <w:t>Answering the Research Questions</w:t>
            </w:r>
            <w:r w:rsidRPr="00876E72">
              <w:rPr>
                <w:noProof/>
                <w:webHidden/>
              </w:rPr>
              <w:tab/>
            </w:r>
            <w:r w:rsidRPr="00876E72">
              <w:rPr>
                <w:noProof/>
                <w:webHidden/>
              </w:rPr>
              <w:fldChar w:fldCharType="begin"/>
            </w:r>
            <w:r w:rsidRPr="00876E72">
              <w:rPr>
                <w:noProof/>
                <w:webHidden/>
              </w:rPr>
              <w:instrText xml:space="preserve"> PAGEREF _Toc231599711 \h </w:instrText>
            </w:r>
            <w:r w:rsidRPr="00876E72">
              <w:rPr>
                <w:noProof/>
                <w:webHidden/>
              </w:rPr>
            </w:r>
            <w:r w:rsidRPr="00876E72">
              <w:rPr>
                <w:noProof/>
                <w:webHidden/>
              </w:rPr>
              <w:fldChar w:fldCharType="separate"/>
            </w:r>
            <w:r w:rsidR="00730CA1">
              <w:rPr>
                <w:noProof/>
                <w:webHidden/>
              </w:rPr>
              <w:t>46</w:t>
            </w:r>
            <w:r w:rsidRPr="00876E72">
              <w:rPr>
                <w:noProof/>
                <w:webHidden/>
              </w:rPr>
              <w:fldChar w:fldCharType="end"/>
            </w:r>
          </w:hyperlink>
        </w:p>
        <w:p w14:paraId="0B7CB618" w14:textId="14260BCE" w:rsidR="00876E72" w:rsidRPr="00876E72" w:rsidRDefault="00876E72" w:rsidP="00876E72">
          <w:pPr>
            <w:pStyle w:val="TOC3"/>
            <w:tabs>
              <w:tab w:val="left" w:pos="1440"/>
              <w:tab w:val="right" w:leader="dot" w:pos="8656"/>
            </w:tabs>
            <w:spacing w:line="360" w:lineRule="auto"/>
            <w:rPr>
              <w:rFonts w:eastAsiaTheme="minorEastAsia"/>
              <w:noProof/>
              <w:kern w:val="2"/>
              <w14:ligatures w14:val="standardContextual"/>
            </w:rPr>
          </w:pPr>
          <w:hyperlink w:anchor="_Toc231599712" w:history="1">
            <w:r w:rsidRPr="00876E72">
              <w:rPr>
                <w:rStyle w:val="Hyperlink"/>
                <w:noProof/>
              </w:rPr>
              <w:t>6.2.1</w:t>
            </w:r>
            <w:r w:rsidRPr="00876E72">
              <w:rPr>
                <w:rFonts w:eastAsiaTheme="minorEastAsia"/>
                <w:noProof/>
                <w:kern w:val="2"/>
                <w14:ligatures w14:val="standardContextual"/>
              </w:rPr>
              <w:tab/>
            </w:r>
            <w:r w:rsidRPr="00876E72">
              <w:rPr>
                <w:rStyle w:val="Hyperlink"/>
                <w:noProof/>
              </w:rPr>
              <w:t>RQ1: What Are the Projected Cost Implications of UK CBAM for Construction MNEs Importing High-Emission Materials?</w:t>
            </w:r>
            <w:r w:rsidRPr="00876E72">
              <w:rPr>
                <w:noProof/>
                <w:webHidden/>
              </w:rPr>
              <w:tab/>
            </w:r>
            <w:r w:rsidRPr="00876E72">
              <w:rPr>
                <w:noProof/>
                <w:webHidden/>
              </w:rPr>
              <w:fldChar w:fldCharType="begin"/>
            </w:r>
            <w:r w:rsidRPr="00876E72">
              <w:rPr>
                <w:noProof/>
                <w:webHidden/>
              </w:rPr>
              <w:instrText xml:space="preserve"> PAGEREF _Toc231599712 \h </w:instrText>
            </w:r>
            <w:r w:rsidRPr="00876E72">
              <w:rPr>
                <w:noProof/>
                <w:webHidden/>
              </w:rPr>
            </w:r>
            <w:r w:rsidRPr="00876E72">
              <w:rPr>
                <w:noProof/>
                <w:webHidden/>
              </w:rPr>
              <w:fldChar w:fldCharType="separate"/>
            </w:r>
            <w:r w:rsidR="00730CA1">
              <w:rPr>
                <w:noProof/>
                <w:webHidden/>
              </w:rPr>
              <w:t>46</w:t>
            </w:r>
            <w:r w:rsidRPr="00876E72">
              <w:rPr>
                <w:noProof/>
                <w:webHidden/>
              </w:rPr>
              <w:fldChar w:fldCharType="end"/>
            </w:r>
          </w:hyperlink>
        </w:p>
        <w:p w14:paraId="4A626D57" w14:textId="02AF7F72"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3" w:history="1">
            <w:r w:rsidRPr="00876E72">
              <w:rPr>
                <w:rStyle w:val="Hyperlink"/>
                <w:noProof/>
              </w:rPr>
              <w:t>6.3</w:t>
            </w:r>
            <w:r w:rsidRPr="00876E72">
              <w:rPr>
                <w:rFonts w:eastAsiaTheme="minorEastAsia"/>
                <w:noProof/>
                <w:kern w:val="2"/>
                <w14:ligatures w14:val="standardContextual"/>
              </w:rPr>
              <w:tab/>
            </w:r>
            <w:r w:rsidRPr="00876E72">
              <w:rPr>
                <w:rStyle w:val="Hyperlink"/>
                <w:noProof/>
              </w:rPr>
              <w:t>RQ2: What is driving a strategic change in UK CBAM procurement from cost-efficient to carbon-efficient?</w:t>
            </w:r>
            <w:r w:rsidRPr="00876E72">
              <w:rPr>
                <w:noProof/>
                <w:webHidden/>
              </w:rPr>
              <w:tab/>
            </w:r>
            <w:r w:rsidRPr="00876E72">
              <w:rPr>
                <w:noProof/>
                <w:webHidden/>
              </w:rPr>
              <w:fldChar w:fldCharType="begin"/>
            </w:r>
            <w:r w:rsidRPr="00876E72">
              <w:rPr>
                <w:noProof/>
                <w:webHidden/>
              </w:rPr>
              <w:instrText xml:space="preserve"> PAGEREF _Toc231599713 \h </w:instrText>
            </w:r>
            <w:r w:rsidRPr="00876E72">
              <w:rPr>
                <w:noProof/>
                <w:webHidden/>
              </w:rPr>
            </w:r>
            <w:r w:rsidRPr="00876E72">
              <w:rPr>
                <w:noProof/>
                <w:webHidden/>
              </w:rPr>
              <w:fldChar w:fldCharType="separate"/>
            </w:r>
            <w:r w:rsidR="00730CA1">
              <w:rPr>
                <w:noProof/>
                <w:webHidden/>
              </w:rPr>
              <w:t>46</w:t>
            </w:r>
            <w:r w:rsidRPr="00876E72">
              <w:rPr>
                <w:noProof/>
                <w:webHidden/>
              </w:rPr>
              <w:fldChar w:fldCharType="end"/>
            </w:r>
          </w:hyperlink>
        </w:p>
        <w:p w14:paraId="3D098C68" w14:textId="58F3B429"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4" w:history="1">
            <w:r w:rsidRPr="00876E72">
              <w:rPr>
                <w:rStyle w:val="Hyperlink"/>
                <w:noProof/>
              </w:rPr>
              <w:t>6.4</w:t>
            </w:r>
            <w:r w:rsidRPr="00876E72">
              <w:rPr>
                <w:rFonts w:eastAsiaTheme="minorEastAsia"/>
                <w:noProof/>
                <w:kern w:val="2"/>
                <w14:ligatures w14:val="standardContextual"/>
              </w:rPr>
              <w:tab/>
            </w:r>
            <w:r w:rsidRPr="00876E72">
              <w:rPr>
                <w:rStyle w:val="Hyperlink"/>
                <w:noProof/>
              </w:rPr>
              <w:t>RQ3: How Does CBAM Influence Sourcing Decisions Between International Suppliers and Domestic Low-Carbon Producers?</w:t>
            </w:r>
            <w:r w:rsidRPr="00876E72">
              <w:rPr>
                <w:noProof/>
                <w:webHidden/>
              </w:rPr>
              <w:tab/>
            </w:r>
            <w:r w:rsidRPr="00876E72">
              <w:rPr>
                <w:noProof/>
                <w:webHidden/>
              </w:rPr>
              <w:fldChar w:fldCharType="begin"/>
            </w:r>
            <w:r w:rsidRPr="00876E72">
              <w:rPr>
                <w:noProof/>
                <w:webHidden/>
              </w:rPr>
              <w:instrText xml:space="preserve"> PAGEREF _Toc231599714 \h </w:instrText>
            </w:r>
            <w:r w:rsidRPr="00876E72">
              <w:rPr>
                <w:noProof/>
                <w:webHidden/>
              </w:rPr>
            </w:r>
            <w:r w:rsidRPr="00876E72">
              <w:rPr>
                <w:noProof/>
                <w:webHidden/>
              </w:rPr>
              <w:fldChar w:fldCharType="separate"/>
            </w:r>
            <w:r w:rsidR="00730CA1">
              <w:rPr>
                <w:noProof/>
                <w:webHidden/>
              </w:rPr>
              <w:t>47</w:t>
            </w:r>
            <w:r w:rsidRPr="00876E72">
              <w:rPr>
                <w:noProof/>
                <w:webHidden/>
              </w:rPr>
              <w:fldChar w:fldCharType="end"/>
            </w:r>
          </w:hyperlink>
        </w:p>
        <w:p w14:paraId="325C378A" w14:textId="037E3EC5"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5" w:history="1">
            <w:r w:rsidRPr="00876E72">
              <w:rPr>
                <w:rStyle w:val="Hyperlink"/>
                <w:noProof/>
              </w:rPr>
              <w:t>6.5</w:t>
            </w:r>
            <w:r w:rsidRPr="00876E72">
              <w:rPr>
                <w:rFonts w:eastAsiaTheme="minorEastAsia"/>
                <w:noProof/>
                <w:kern w:val="2"/>
                <w14:ligatures w14:val="standardContextual"/>
              </w:rPr>
              <w:tab/>
            </w:r>
            <w:r w:rsidRPr="00876E72">
              <w:rPr>
                <w:rStyle w:val="Hyperlink"/>
                <w:noProof/>
              </w:rPr>
              <w:t>Highlights of Contributions</w:t>
            </w:r>
            <w:r w:rsidRPr="00876E72">
              <w:rPr>
                <w:noProof/>
                <w:webHidden/>
              </w:rPr>
              <w:tab/>
            </w:r>
            <w:r w:rsidRPr="00876E72">
              <w:rPr>
                <w:noProof/>
                <w:webHidden/>
              </w:rPr>
              <w:fldChar w:fldCharType="begin"/>
            </w:r>
            <w:r w:rsidRPr="00876E72">
              <w:rPr>
                <w:noProof/>
                <w:webHidden/>
              </w:rPr>
              <w:instrText xml:space="preserve"> PAGEREF _Toc231599715 \h </w:instrText>
            </w:r>
            <w:r w:rsidRPr="00876E72">
              <w:rPr>
                <w:noProof/>
                <w:webHidden/>
              </w:rPr>
            </w:r>
            <w:r w:rsidRPr="00876E72">
              <w:rPr>
                <w:noProof/>
                <w:webHidden/>
              </w:rPr>
              <w:fldChar w:fldCharType="separate"/>
            </w:r>
            <w:r w:rsidR="00730CA1">
              <w:rPr>
                <w:noProof/>
                <w:webHidden/>
              </w:rPr>
              <w:t>47</w:t>
            </w:r>
            <w:r w:rsidRPr="00876E72">
              <w:rPr>
                <w:noProof/>
                <w:webHidden/>
              </w:rPr>
              <w:fldChar w:fldCharType="end"/>
            </w:r>
          </w:hyperlink>
        </w:p>
        <w:p w14:paraId="16CB8719" w14:textId="29558529"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6" w:history="1">
            <w:r w:rsidRPr="00876E72">
              <w:rPr>
                <w:rStyle w:val="Hyperlink"/>
                <w:noProof/>
              </w:rPr>
              <w:t>6.6</w:t>
            </w:r>
            <w:r w:rsidRPr="00876E72">
              <w:rPr>
                <w:rFonts w:eastAsiaTheme="minorEastAsia"/>
                <w:noProof/>
                <w:kern w:val="2"/>
                <w14:ligatures w14:val="standardContextual"/>
              </w:rPr>
              <w:tab/>
            </w:r>
            <w:r w:rsidRPr="00876E72">
              <w:rPr>
                <w:rStyle w:val="Hyperlink"/>
                <w:noProof/>
              </w:rPr>
              <w:t>Limitations of the Study</w:t>
            </w:r>
            <w:r w:rsidRPr="00876E72">
              <w:rPr>
                <w:noProof/>
                <w:webHidden/>
              </w:rPr>
              <w:tab/>
            </w:r>
            <w:r w:rsidRPr="00876E72">
              <w:rPr>
                <w:noProof/>
                <w:webHidden/>
              </w:rPr>
              <w:fldChar w:fldCharType="begin"/>
            </w:r>
            <w:r w:rsidRPr="00876E72">
              <w:rPr>
                <w:noProof/>
                <w:webHidden/>
              </w:rPr>
              <w:instrText xml:space="preserve"> PAGEREF _Toc231599716 \h </w:instrText>
            </w:r>
            <w:r w:rsidRPr="00876E72">
              <w:rPr>
                <w:noProof/>
                <w:webHidden/>
              </w:rPr>
            </w:r>
            <w:r w:rsidRPr="00876E72">
              <w:rPr>
                <w:noProof/>
                <w:webHidden/>
              </w:rPr>
              <w:fldChar w:fldCharType="separate"/>
            </w:r>
            <w:r w:rsidR="00730CA1">
              <w:rPr>
                <w:noProof/>
                <w:webHidden/>
              </w:rPr>
              <w:t>48</w:t>
            </w:r>
            <w:r w:rsidRPr="00876E72">
              <w:rPr>
                <w:noProof/>
                <w:webHidden/>
              </w:rPr>
              <w:fldChar w:fldCharType="end"/>
            </w:r>
          </w:hyperlink>
        </w:p>
        <w:p w14:paraId="190A7505" w14:textId="1CE6A95F"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7" w:history="1">
            <w:r w:rsidRPr="00876E72">
              <w:rPr>
                <w:rStyle w:val="Hyperlink"/>
                <w:noProof/>
              </w:rPr>
              <w:t>6.7</w:t>
            </w:r>
            <w:r w:rsidRPr="00876E72">
              <w:rPr>
                <w:rFonts w:eastAsiaTheme="minorEastAsia"/>
                <w:noProof/>
                <w:kern w:val="2"/>
                <w14:ligatures w14:val="standardContextual"/>
              </w:rPr>
              <w:tab/>
            </w:r>
            <w:r w:rsidRPr="00876E72">
              <w:rPr>
                <w:rStyle w:val="Hyperlink"/>
                <w:noProof/>
              </w:rPr>
              <w:t>Final Recommendations and Future Research</w:t>
            </w:r>
            <w:r w:rsidRPr="00876E72">
              <w:rPr>
                <w:noProof/>
                <w:webHidden/>
              </w:rPr>
              <w:tab/>
            </w:r>
            <w:r w:rsidRPr="00876E72">
              <w:rPr>
                <w:noProof/>
                <w:webHidden/>
              </w:rPr>
              <w:fldChar w:fldCharType="begin"/>
            </w:r>
            <w:r w:rsidRPr="00876E72">
              <w:rPr>
                <w:noProof/>
                <w:webHidden/>
              </w:rPr>
              <w:instrText xml:space="preserve"> PAGEREF _Toc231599717 \h </w:instrText>
            </w:r>
            <w:r w:rsidRPr="00876E72">
              <w:rPr>
                <w:noProof/>
                <w:webHidden/>
              </w:rPr>
            </w:r>
            <w:r w:rsidRPr="00876E72">
              <w:rPr>
                <w:noProof/>
                <w:webHidden/>
              </w:rPr>
              <w:fldChar w:fldCharType="separate"/>
            </w:r>
            <w:r w:rsidR="00730CA1">
              <w:rPr>
                <w:noProof/>
                <w:webHidden/>
              </w:rPr>
              <w:t>48</w:t>
            </w:r>
            <w:r w:rsidRPr="00876E72">
              <w:rPr>
                <w:noProof/>
                <w:webHidden/>
              </w:rPr>
              <w:fldChar w:fldCharType="end"/>
            </w:r>
          </w:hyperlink>
        </w:p>
        <w:p w14:paraId="4137F75D" w14:textId="4FAD3782"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18" w:history="1">
            <w:r w:rsidRPr="00876E72">
              <w:rPr>
                <w:rStyle w:val="Hyperlink"/>
                <w:noProof/>
              </w:rPr>
              <w:t>6.8</w:t>
            </w:r>
            <w:r w:rsidRPr="00876E72">
              <w:rPr>
                <w:rFonts w:eastAsiaTheme="minorEastAsia"/>
                <w:noProof/>
                <w:kern w:val="2"/>
                <w14:ligatures w14:val="standardContextual"/>
              </w:rPr>
              <w:tab/>
            </w:r>
            <w:r w:rsidRPr="00876E72">
              <w:rPr>
                <w:rStyle w:val="Hyperlink"/>
                <w:noProof/>
              </w:rPr>
              <w:t>Closing Statement</w:t>
            </w:r>
            <w:r w:rsidRPr="00876E72">
              <w:rPr>
                <w:noProof/>
                <w:webHidden/>
              </w:rPr>
              <w:tab/>
            </w:r>
            <w:r w:rsidRPr="00876E72">
              <w:rPr>
                <w:noProof/>
                <w:webHidden/>
              </w:rPr>
              <w:fldChar w:fldCharType="begin"/>
            </w:r>
            <w:r w:rsidRPr="00876E72">
              <w:rPr>
                <w:noProof/>
                <w:webHidden/>
              </w:rPr>
              <w:instrText xml:space="preserve"> PAGEREF _Toc231599718 \h </w:instrText>
            </w:r>
            <w:r w:rsidRPr="00876E72">
              <w:rPr>
                <w:noProof/>
                <w:webHidden/>
              </w:rPr>
            </w:r>
            <w:r w:rsidRPr="00876E72">
              <w:rPr>
                <w:noProof/>
                <w:webHidden/>
              </w:rPr>
              <w:fldChar w:fldCharType="separate"/>
            </w:r>
            <w:r w:rsidR="00730CA1">
              <w:rPr>
                <w:noProof/>
                <w:webHidden/>
              </w:rPr>
              <w:t>49</w:t>
            </w:r>
            <w:r w:rsidRPr="00876E72">
              <w:rPr>
                <w:noProof/>
                <w:webHidden/>
              </w:rPr>
              <w:fldChar w:fldCharType="end"/>
            </w:r>
          </w:hyperlink>
        </w:p>
        <w:p w14:paraId="1B198D9E" w14:textId="72820FEE"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719" w:history="1">
            <w:r w:rsidRPr="00876E72">
              <w:rPr>
                <w:rStyle w:val="Hyperlink"/>
                <w:noProof/>
              </w:rPr>
              <w:t>7</w:t>
            </w:r>
            <w:r w:rsidRPr="00876E72">
              <w:rPr>
                <w:rFonts w:eastAsiaTheme="minorEastAsia"/>
                <w:noProof/>
                <w:kern w:val="2"/>
                <w14:ligatures w14:val="standardContextual"/>
              </w:rPr>
              <w:tab/>
            </w:r>
            <w:r w:rsidRPr="00876E72">
              <w:rPr>
                <w:rStyle w:val="Hyperlink"/>
                <w:noProof/>
              </w:rPr>
              <w:t>References</w:t>
            </w:r>
            <w:r w:rsidRPr="00876E72">
              <w:rPr>
                <w:noProof/>
                <w:webHidden/>
              </w:rPr>
              <w:tab/>
            </w:r>
            <w:r w:rsidRPr="00876E72">
              <w:rPr>
                <w:noProof/>
                <w:webHidden/>
              </w:rPr>
              <w:fldChar w:fldCharType="begin"/>
            </w:r>
            <w:r w:rsidRPr="00876E72">
              <w:rPr>
                <w:noProof/>
                <w:webHidden/>
              </w:rPr>
              <w:instrText xml:space="preserve"> PAGEREF _Toc231599719 \h </w:instrText>
            </w:r>
            <w:r w:rsidRPr="00876E72">
              <w:rPr>
                <w:noProof/>
                <w:webHidden/>
              </w:rPr>
            </w:r>
            <w:r w:rsidRPr="00876E72">
              <w:rPr>
                <w:noProof/>
                <w:webHidden/>
              </w:rPr>
              <w:fldChar w:fldCharType="separate"/>
            </w:r>
            <w:r w:rsidR="00730CA1">
              <w:rPr>
                <w:noProof/>
                <w:webHidden/>
              </w:rPr>
              <w:t>50</w:t>
            </w:r>
            <w:r w:rsidRPr="00876E72">
              <w:rPr>
                <w:noProof/>
                <w:webHidden/>
              </w:rPr>
              <w:fldChar w:fldCharType="end"/>
            </w:r>
          </w:hyperlink>
        </w:p>
        <w:p w14:paraId="3E5AB047" w14:textId="428B6336"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720" w:history="1">
            <w:r w:rsidRPr="00876E72">
              <w:rPr>
                <w:rStyle w:val="Hyperlink"/>
                <w:noProof/>
              </w:rPr>
              <w:t>8</w:t>
            </w:r>
            <w:r w:rsidRPr="00876E72">
              <w:rPr>
                <w:rFonts w:eastAsiaTheme="minorEastAsia"/>
                <w:noProof/>
                <w:kern w:val="2"/>
                <w14:ligatures w14:val="standardContextual"/>
              </w:rPr>
              <w:tab/>
            </w:r>
            <w:r w:rsidRPr="00876E72">
              <w:rPr>
                <w:rStyle w:val="Hyperlink"/>
                <w:noProof/>
              </w:rPr>
              <w:t>Appendices</w:t>
            </w:r>
            <w:r w:rsidRPr="00876E72">
              <w:rPr>
                <w:noProof/>
                <w:webHidden/>
              </w:rPr>
              <w:tab/>
            </w:r>
            <w:r w:rsidRPr="00876E72">
              <w:rPr>
                <w:noProof/>
                <w:webHidden/>
              </w:rPr>
              <w:fldChar w:fldCharType="begin"/>
            </w:r>
            <w:r w:rsidRPr="00876E72">
              <w:rPr>
                <w:noProof/>
                <w:webHidden/>
              </w:rPr>
              <w:instrText xml:space="preserve"> PAGEREF _Toc231599720 \h </w:instrText>
            </w:r>
            <w:r w:rsidRPr="00876E72">
              <w:rPr>
                <w:noProof/>
                <w:webHidden/>
              </w:rPr>
            </w:r>
            <w:r w:rsidRPr="00876E72">
              <w:rPr>
                <w:noProof/>
                <w:webHidden/>
              </w:rPr>
              <w:fldChar w:fldCharType="separate"/>
            </w:r>
            <w:r w:rsidR="00730CA1">
              <w:rPr>
                <w:noProof/>
                <w:webHidden/>
              </w:rPr>
              <w:t>62</w:t>
            </w:r>
            <w:r w:rsidRPr="00876E72">
              <w:rPr>
                <w:noProof/>
                <w:webHidden/>
              </w:rPr>
              <w:fldChar w:fldCharType="end"/>
            </w:r>
          </w:hyperlink>
        </w:p>
        <w:p w14:paraId="38297161" w14:textId="3F127A04"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21" w:history="1">
            <w:r w:rsidRPr="00876E72">
              <w:rPr>
                <w:rStyle w:val="Hyperlink"/>
                <w:noProof/>
              </w:rPr>
              <w:t>8.1</w:t>
            </w:r>
            <w:r w:rsidRPr="00876E72">
              <w:rPr>
                <w:rFonts w:eastAsiaTheme="minorEastAsia"/>
                <w:noProof/>
                <w:kern w:val="2"/>
                <w14:ligatures w14:val="standardContextual"/>
              </w:rPr>
              <w:tab/>
            </w:r>
            <w:r w:rsidRPr="00876E72">
              <w:rPr>
                <w:rStyle w:val="Hyperlink"/>
                <w:noProof/>
              </w:rPr>
              <w:t>Appendix A: PRISMA-Style Flow Diagram (Summary)</w:t>
            </w:r>
            <w:r w:rsidRPr="00876E72">
              <w:rPr>
                <w:noProof/>
                <w:webHidden/>
              </w:rPr>
              <w:tab/>
            </w:r>
            <w:r w:rsidRPr="00876E72">
              <w:rPr>
                <w:noProof/>
                <w:webHidden/>
              </w:rPr>
              <w:fldChar w:fldCharType="begin"/>
            </w:r>
            <w:r w:rsidRPr="00876E72">
              <w:rPr>
                <w:noProof/>
                <w:webHidden/>
              </w:rPr>
              <w:instrText xml:space="preserve"> PAGEREF _Toc231599721 \h </w:instrText>
            </w:r>
            <w:r w:rsidRPr="00876E72">
              <w:rPr>
                <w:noProof/>
                <w:webHidden/>
              </w:rPr>
            </w:r>
            <w:r w:rsidRPr="00876E72">
              <w:rPr>
                <w:noProof/>
                <w:webHidden/>
              </w:rPr>
              <w:fldChar w:fldCharType="separate"/>
            </w:r>
            <w:r w:rsidR="00730CA1">
              <w:rPr>
                <w:noProof/>
                <w:webHidden/>
              </w:rPr>
              <w:t>62</w:t>
            </w:r>
            <w:r w:rsidRPr="00876E72">
              <w:rPr>
                <w:noProof/>
                <w:webHidden/>
              </w:rPr>
              <w:fldChar w:fldCharType="end"/>
            </w:r>
          </w:hyperlink>
        </w:p>
        <w:p w14:paraId="28EF6B0F" w14:textId="24DC278B"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22" w:history="1">
            <w:r w:rsidRPr="00876E72">
              <w:rPr>
                <w:rStyle w:val="Hyperlink"/>
                <w:noProof/>
              </w:rPr>
              <w:t>8.2</w:t>
            </w:r>
            <w:r w:rsidRPr="00876E72">
              <w:rPr>
                <w:rFonts w:eastAsiaTheme="minorEastAsia"/>
                <w:noProof/>
                <w:kern w:val="2"/>
                <w14:ligatures w14:val="standardContextual"/>
              </w:rPr>
              <w:tab/>
            </w:r>
            <w:r w:rsidRPr="00876E72">
              <w:rPr>
                <w:rStyle w:val="Hyperlink"/>
                <w:noProof/>
              </w:rPr>
              <w:t>Appendix B: Two-Tier Source Structure</w:t>
            </w:r>
            <w:r w:rsidRPr="00876E72">
              <w:rPr>
                <w:noProof/>
                <w:webHidden/>
              </w:rPr>
              <w:tab/>
            </w:r>
            <w:r w:rsidRPr="00876E72">
              <w:rPr>
                <w:noProof/>
                <w:webHidden/>
              </w:rPr>
              <w:fldChar w:fldCharType="begin"/>
            </w:r>
            <w:r w:rsidRPr="00876E72">
              <w:rPr>
                <w:noProof/>
                <w:webHidden/>
              </w:rPr>
              <w:instrText xml:space="preserve"> PAGEREF _Toc231599722 \h </w:instrText>
            </w:r>
            <w:r w:rsidRPr="00876E72">
              <w:rPr>
                <w:noProof/>
                <w:webHidden/>
              </w:rPr>
            </w:r>
            <w:r w:rsidRPr="00876E72">
              <w:rPr>
                <w:noProof/>
                <w:webHidden/>
              </w:rPr>
              <w:fldChar w:fldCharType="separate"/>
            </w:r>
            <w:r w:rsidR="00730CA1">
              <w:rPr>
                <w:noProof/>
                <w:webHidden/>
              </w:rPr>
              <w:t>62</w:t>
            </w:r>
            <w:r w:rsidRPr="00876E72">
              <w:rPr>
                <w:noProof/>
                <w:webHidden/>
              </w:rPr>
              <w:fldChar w:fldCharType="end"/>
            </w:r>
          </w:hyperlink>
        </w:p>
        <w:p w14:paraId="03EAE99B" w14:textId="570B2A2B" w:rsidR="00876E72" w:rsidRPr="00876E72" w:rsidRDefault="00876E72" w:rsidP="00876E72">
          <w:pPr>
            <w:pStyle w:val="TOC2"/>
            <w:tabs>
              <w:tab w:val="left" w:pos="960"/>
              <w:tab w:val="right" w:leader="dot" w:pos="8656"/>
            </w:tabs>
            <w:spacing w:line="360" w:lineRule="auto"/>
            <w:rPr>
              <w:rFonts w:eastAsiaTheme="minorEastAsia"/>
              <w:noProof/>
              <w:kern w:val="2"/>
              <w14:ligatures w14:val="standardContextual"/>
            </w:rPr>
          </w:pPr>
          <w:hyperlink w:anchor="_Toc231599723" w:history="1">
            <w:r w:rsidRPr="00876E72">
              <w:rPr>
                <w:rStyle w:val="Hyperlink"/>
                <w:noProof/>
              </w:rPr>
              <w:t>8.3</w:t>
            </w:r>
            <w:r w:rsidRPr="00876E72">
              <w:rPr>
                <w:rFonts w:eastAsiaTheme="minorEastAsia"/>
                <w:noProof/>
                <w:kern w:val="2"/>
                <w14:ligatures w14:val="standardContextual"/>
              </w:rPr>
              <w:tab/>
            </w:r>
            <w:r w:rsidRPr="00876E72">
              <w:rPr>
                <w:rStyle w:val="Hyperlink"/>
                <w:noProof/>
              </w:rPr>
              <w:t>Appendix C: Search Strings Used</w:t>
            </w:r>
            <w:r w:rsidRPr="00876E72">
              <w:rPr>
                <w:noProof/>
                <w:webHidden/>
              </w:rPr>
              <w:tab/>
            </w:r>
            <w:r w:rsidRPr="00876E72">
              <w:rPr>
                <w:noProof/>
                <w:webHidden/>
              </w:rPr>
              <w:fldChar w:fldCharType="begin"/>
            </w:r>
            <w:r w:rsidRPr="00876E72">
              <w:rPr>
                <w:noProof/>
                <w:webHidden/>
              </w:rPr>
              <w:instrText xml:space="preserve"> PAGEREF _Toc231599723 \h </w:instrText>
            </w:r>
            <w:r w:rsidRPr="00876E72">
              <w:rPr>
                <w:noProof/>
                <w:webHidden/>
              </w:rPr>
            </w:r>
            <w:r w:rsidRPr="00876E72">
              <w:rPr>
                <w:noProof/>
                <w:webHidden/>
              </w:rPr>
              <w:fldChar w:fldCharType="separate"/>
            </w:r>
            <w:r w:rsidR="00730CA1">
              <w:rPr>
                <w:noProof/>
                <w:webHidden/>
              </w:rPr>
              <w:t>62</w:t>
            </w:r>
            <w:r w:rsidRPr="00876E72">
              <w:rPr>
                <w:noProof/>
                <w:webHidden/>
              </w:rPr>
              <w:fldChar w:fldCharType="end"/>
            </w:r>
          </w:hyperlink>
        </w:p>
        <w:p w14:paraId="661099E7" w14:textId="736EFE50" w:rsidR="00876E72" w:rsidRPr="00876E72" w:rsidRDefault="00876E72" w:rsidP="00876E72">
          <w:pPr>
            <w:pStyle w:val="TOC1"/>
            <w:tabs>
              <w:tab w:val="left" w:pos="480"/>
              <w:tab w:val="right" w:leader="dot" w:pos="8656"/>
            </w:tabs>
            <w:spacing w:line="360" w:lineRule="auto"/>
            <w:rPr>
              <w:rFonts w:eastAsiaTheme="minorEastAsia"/>
              <w:noProof/>
              <w:kern w:val="2"/>
              <w14:ligatures w14:val="standardContextual"/>
            </w:rPr>
          </w:pPr>
          <w:hyperlink w:anchor="_Toc231599724" w:history="1">
            <w:r w:rsidRPr="00876E72">
              <w:rPr>
                <w:rStyle w:val="Hyperlink"/>
                <w:noProof/>
              </w:rPr>
              <w:t>9</w:t>
            </w:r>
            <w:r w:rsidRPr="00876E72">
              <w:rPr>
                <w:rFonts w:eastAsiaTheme="minorEastAsia"/>
                <w:noProof/>
                <w:kern w:val="2"/>
                <w14:ligatures w14:val="standardContextual"/>
              </w:rPr>
              <w:tab/>
            </w:r>
            <w:r w:rsidRPr="00876E72">
              <w:rPr>
                <w:rStyle w:val="Hyperlink"/>
                <w:noProof/>
              </w:rPr>
              <w:t>Excel Data;</w:t>
            </w:r>
            <w:r w:rsidRPr="00876E72">
              <w:rPr>
                <w:noProof/>
                <w:webHidden/>
              </w:rPr>
              <w:tab/>
            </w:r>
            <w:r w:rsidRPr="00876E72">
              <w:rPr>
                <w:noProof/>
                <w:webHidden/>
              </w:rPr>
              <w:fldChar w:fldCharType="begin"/>
            </w:r>
            <w:r w:rsidRPr="00876E72">
              <w:rPr>
                <w:noProof/>
                <w:webHidden/>
              </w:rPr>
              <w:instrText xml:space="preserve"> PAGEREF _Toc231599724 \h </w:instrText>
            </w:r>
            <w:r w:rsidRPr="00876E72">
              <w:rPr>
                <w:noProof/>
                <w:webHidden/>
              </w:rPr>
            </w:r>
            <w:r w:rsidRPr="00876E72">
              <w:rPr>
                <w:noProof/>
                <w:webHidden/>
              </w:rPr>
              <w:fldChar w:fldCharType="separate"/>
            </w:r>
            <w:r w:rsidR="00730CA1">
              <w:rPr>
                <w:noProof/>
                <w:webHidden/>
              </w:rPr>
              <w:t>64</w:t>
            </w:r>
            <w:r w:rsidRPr="00876E72">
              <w:rPr>
                <w:noProof/>
                <w:webHidden/>
              </w:rPr>
              <w:fldChar w:fldCharType="end"/>
            </w:r>
          </w:hyperlink>
        </w:p>
        <w:p w14:paraId="3C2CC097" w14:textId="2C6B9826" w:rsidR="003A7791" w:rsidRPr="00876E72" w:rsidRDefault="003A7791" w:rsidP="00876E72">
          <w:pPr>
            <w:spacing w:line="360" w:lineRule="auto"/>
            <w:rPr>
              <w:sz w:val="24"/>
              <w:szCs w:val="24"/>
            </w:rPr>
          </w:pPr>
          <w:r w:rsidRPr="00876E72">
            <w:rPr>
              <w:b/>
              <w:bCs/>
              <w:sz w:val="24"/>
              <w:szCs w:val="24"/>
            </w:rPr>
            <w:fldChar w:fldCharType="end"/>
          </w:r>
        </w:p>
      </w:sdtContent>
    </w:sdt>
    <w:p w14:paraId="1BE53D65" w14:textId="77777777" w:rsidR="003A7791" w:rsidRPr="003A7791" w:rsidRDefault="003A7791" w:rsidP="00876E72">
      <w:pPr>
        <w:spacing w:before="120" w:after="120" w:line="360" w:lineRule="auto"/>
        <w:jc w:val="both"/>
        <w:rPr>
          <w:sz w:val="24"/>
          <w:szCs w:val="24"/>
        </w:rPr>
      </w:pPr>
    </w:p>
    <w:p w14:paraId="44710BAE" w14:textId="77777777" w:rsidR="003A7791" w:rsidRPr="003A7791" w:rsidRDefault="003A7791" w:rsidP="003A7791">
      <w:pPr>
        <w:spacing w:before="120" w:after="120" w:line="360" w:lineRule="auto"/>
        <w:jc w:val="both"/>
        <w:rPr>
          <w:sz w:val="24"/>
          <w:szCs w:val="24"/>
        </w:rPr>
      </w:pPr>
    </w:p>
    <w:p w14:paraId="3FD9F0B2" w14:textId="77777777" w:rsidR="003A7791" w:rsidRPr="003A7791" w:rsidRDefault="003A7791" w:rsidP="003A7791">
      <w:pPr>
        <w:spacing w:before="120" w:after="120" w:line="360" w:lineRule="auto"/>
        <w:jc w:val="both"/>
        <w:rPr>
          <w:sz w:val="24"/>
          <w:szCs w:val="24"/>
        </w:rPr>
      </w:pPr>
    </w:p>
    <w:p w14:paraId="26F3B861" w14:textId="77777777" w:rsidR="003A7791" w:rsidRPr="003A7791" w:rsidRDefault="003A7791" w:rsidP="003A7791">
      <w:pPr>
        <w:spacing w:before="120" w:after="120" w:line="360" w:lineRule="auto"/>
        <w:jc w:val="both"/>
        <w:rPr>
          <w:sz w:val="24"/>
          <w:szCs w:val="24"/>
        </w:rPr>
      </w:pPr>
    </w:p>
    <w:p w14:paraId="6EF5214D" w14:textId="77777777" w:rsidR="003A7791" w:rsidRPr="003A7791" w:rsidRDefault="003A7791" w:rsidP="003A7791">
      <w:pPr>
        <w:spacing w:before="120" w:after="120" w:line="360" w:lineRule="auto"/>
        <w:jc w:val="both"/>
        <w:rPr>
          <w:sz w:val="24"/>
          <w:szCs w:val="24"/>
        </w:rPr>
      </w:pPr>
    </w:p>
    <w:p w14:paraId="4D0B6C6D" w14:textId="77777777" w:rsidR="003A7791" w:rsidRPr="003A7791" w:rsidRDefault="003A7791" w:rsidP="003A7791">
      <w:pPr>
        <w:spacing w:before="120" w:after="120" w:line="360" w:lineRule="auto"/>
        <w:jc w:val="both"/>
        <w:rPr>
          <w:sz w:val="24"/>
          <w:szCs w:val="24"/>
        </w:rPr>
      </w:pPr>
    </w:p>
    <w:p w14:paraId="4A4B6957" w14:textId="77777777" w:rsidR="003A7791" w:rsidRPr="003A7791" w:rsidRDefault="003A7791" w:rsidP="003A7791">
      <w:pPr>
        <w:spacing w:before="120" w:after="120" w:line="360" w:lineRule="auto"/>
        <w:jc w:val="both"/>
        <w:rPr>
          <w:sz w:val="24"/>
          <w:szCs w:val="24"/>
        </w:rPr>
      </w:pPr>
    </w:p>
    <w:p w14:paraId="4A14FCFB" w14:textId="77777777" w:rsidR="003A7791" w:rsidRPr="003A7791" w:rsidRDefault="003A7791" w:rsidP="003A7791">
      <w:pPr>
        <w:spacing w:before="120" w:after="120" w:line="360" w:lineRule="auto"/>
        <w:jc w:val="both"/>
        <w:rPr>
          <w:sz w:val="24"/>
          <w:szCs w:val="24"/>
        </w:rPr>
      </w:pPr>
    </w:p>
    <w:p w14:paraId="223A02E0" w14:textId="77777777" w:rsidR="003A7791" w:rsidRPr="003A7791" w:rsidRDefault="003A7791" w:rsidP="003A7791">
      <w:pPr>
        <w:spacing w:before="120" w:after="120" w:line="360" w:lineRule="auto"/>
        <w:jc w:val="both"/>
        <w:rPr>
          <w:sz w:val="24"/>
          <w:szCs w:val="24"/>
        </w:rPr>
      </w:pPr>
    </w:p>
    <w:p w14:paraId="268D0F1D" w14:textId="77777777" w:rsidR="003A7791" w:rsidRPr="003A7791" w:rsidRDefault="003A7791" w:rsidP="003A7791">
      <w:pPr>
        <w:spacing w:before="120" w:after="120" w:line="360" w:lineRule="auto"/>
        <w:jc w:val="both"/>
        <w:rPr>
          <w:sz w:val="24"/>
          <w:szCs w:val="24"/>
        </w:rPr>
      </w:pPr>
    </w:p>
    <w:p w14:paraId="0C8986CF" w14:textId="77777777" w:rsidR="003A7791" w:rsidRPr="003A7791" w:rsidRDefault="003A7791" w:rsidP="003A7791">
      <w:pPr>
        <w:spacing w:before="120" w:after="120" w:line="360" w:lineRule="auto"/>
        <w:jc w:val="both"/>
        <w:rPr>
          <w:sz w:val="24"/>
          <w:szCs w:val="24"/>
        </w:rPr>
      </w:pPr>
    </w:p>
    <w:p w14:paraId="13055A51" w14:textId="77777777" w:rsidR="003A7791" w:rsidRPr="003A7791" w:rsidRDefault="003A7791" w:rsidP="003A7791">
      <w:pPr>
        <w:spacing w:before="120" w:after="120" w:line="360" w:lineRule="auto"/>
        <w:jc w:val="both"/>
        <w:rPr>
          <w:sz w:val="24"/>
          <w:szCs w:val="24"/>
        </w:rPr>
      </w:pPr>
    </w:p>
    <w:p w14:paraId="4F6681DC" w14:textId="77777777" w:rsidR="003A7791" w:rsidRPr="003A7791" w:rsidRDefault="003A7791" w:rsidP="003A7791">
      <w:pPr>
        <w:spacing w:before="120" w:after="120" w:line="360" w:lineRule="auto"/>
        <w:jc w:val="both"/>
        <w:rPr>
          <w:sz w:val="24"/>
          <w:szCs w:val="24"/>
        </w:rPr>
      </w:pPr>
    </w:p>
    <w:p w14:paraId="679F2DA8" w14:textId="77777777" w:rsidR="003A7791" w:rsidRDefault="003A7791" w:rsidP="003A7791">
      <w:pPr>
        <w:spacing w:before="120" w:after="120" w:line="360" w:lineRule="auto"/>
        <w:jc w:val="both"/>
        <w:rPr>
          <w:sz w:val="24"/>
          <w:szCs w:val="24"/>
        </w:rPr>
      </w:pPr>
    </w:p>
    <w:p w14:paraId="0E774809" w14:textId="77777777" w:rsidR="00876E72" w:rsidRDefault="00876E72" w:rsidP="003A7791">
      <w:pPr>
        <w:spacing w:before="120" w:after="120" w:line="360" w:lineRule="auto"/>
        <w:jc w:val="both"/>
        <w:rPr>
          <w:sz w:val="24"/>
          <w:szCs w:val="24"/>
        </w:rPr>
      </w:pPr>
    </w:p>
    <w:p w14:paraId="2A3A0548" w14:textId="77777777" w:rsidR="00876E72" w:rsidRDefault="00876E72" w:rsidP="003A7791">
      <w:pPr>
        <w:spacing w:before="120" w:after="120" w:line="360" w:lineRule="auto"/>
        <w:jc w:val="both"/>
        <w:rPr>
          <w:sz w:val="24"/>
          <w:szCs w:val="24"/>
        </w:rPr>
      </w:pPr>
    </w:p>
    <w:p w14:paraId="10E4B660" w14:textId="77777777" w:rsidR="003A7791" w:rsidRPr="003A7791" w:rsidRDefault="003A7791" w:rsidP="003A7791">
      <w:pPr>
        <w:spacing w:before="120" w:after="120" w:line="360" w:lineRule="auto"/>
        <w:jc w:val="both"/>
        <w:rPr>
          <w:sz w:val="24"/>
          <w:szCs w:val="24"/>
        </w:rPr>
      </w:pPr>
    </w:p>
    <w:p w14:paraId="7281ED0D" w14:textId="77777777" w:rsidR="003A7791" w:rsidRPr="003A7791" w:rsidRDefault="003A7791" w:rsidP="003A7791">
      <w:pPr>
        <w:spacing w:before="120" w:after="120" w:line="360" w:lineRule="auto"/>
        <w:jc w:val="both"/>
        <w:rPr>
          <w:sz w:val="24"/>
          <w:szCs w:val="24"/>
        </w:rPr>
      </w:pPr>
    </w:p>
    <w:p w14:paraId="7D6FEF99" w14:textId="77777777" w:rsidR="003A7791" w:rsidRPr="00D06ACD" w:rsidRDefault="003A7791" w:rsidP="00D52247">
      <w:pPr>
        <w:pStyle w:val="Heading1"/>
      </w:pPr>
      <w:bookmarkStart w:id="1" w:name="_Toc231599650"/>
      <w:r w:rsidRPr="00D06ACD">
        <w:lastRenderedPageBreak/>
        <w:t xml:space="preserve">Chapter </w:t>
      </w:r>
      <w:r w:rsidRPr="00D52247">
        <w:t>One</w:t>
      </w:r>
      <w:r w:rsidRPr="00D06ACD">
        <w:t>: Introduction</w:t>
      </w:r>
      <w:bookmarkEnd w:id="1"/>
    </w:p>
    <w:p w14:paraId="4A47C5BB" w14:textId="77777777" w:rsidR="003A7791" w:rsidRPr="00D06ACD" w:rsidRDefault="003A7791" w:rsidP="00D52247">
      <w:pPr>
        <w:pStyle w:val="Heading2"/>
      </w:pPr>
      <w:bookmarkStart w:id="2" w:name="_Toc231599651"/>
      <w:r w:rsidRPr="00D06ACD">
        <w:t>Introduction</w:t>
      </w:r>
      <w:bookmarkEnd w:id="2"/>
    </w:p>
    <w:p w14:paraId="2B550053" w14:textId="77777777" w:rsidR="00C15796" w:rsidRPr="00D06ACD" w:rsidRDefault="00C15796" w:rsidP="00D06ACD">
      <w:pPr>
        <w:spacing w:line="360" w:lineRule="auto"/>
        <w:jc w:val="both"/>
        <w:rPr>
          <w:sz w:val="24"/>
          <w:szCs w:val="24"/>
        </w:rPr>
      </w:pPr>
      <w:r w:rsidRPr="00D06ACD">
        <w:rPr>
          <w:sz w:val="24"/>
          <w:szCs w:val="24"/>
        </w:rPr>
        <w:t xml:space="preserve">The chapter sets the context for the dissertation by introducing the background of how carbon pricing policy has evolved at a global level and the </w:t>
      </w:r>
      <w:proofErr w:type="gramStart"/>
      <w:r w:rsidRPr="00D06ACD">
        <w:rPr>
          <w:sz w:val="24"/>
          <w:szCs w:val="24"/>
        </w:rPr>
        <w:t>particular implications</w:t>
      </w:r>
      <w:proofErr w:type="gramEnd"/>
      <w:r w:rsidRPr="00D06ACD">
        <w:rPr>
          <w:sz w:val="24"/>
          <w:szCs w:val="24"/>
        </w:rPr>
        <w:t xml:space="preserve"> of the UK Carbon Border Adjustment Mechanism (CBAM) for UK construction multinational enterprises (MNEs). The chapter begins with a brief overview of the macroeconomic and regulatory trends that have brought the costs of embedded carbon to the forefront as a strategically important input for import reliant sectors before focusing specifically on the UK construction industry. It states the research problem related to the existing situation of the research, which is the fragmented state of the existing research on the research problem; it states the overall goal of the research and the four specific goals of the research; it presents the research question that will be used to conduct the Extended Literature Review. The chapter ends with a specification of the scope of the review in geographic, sectoral, material and temporal aspects and the structure of the dissertation in general.</w:t>
      </w:r>
    </w:p>
    <w:p w14:paraId="76FA28A5" w14:textId="5265B058" w:rsidR="00C15796" w:rsidRPr="00D06ACD" w:rsidRDefault="00C15796" w:rsidP="00D52247">
      <w:pPr>
        <w:pStyle w:val="Heading2"/>
      </w:pPr>
      <w:bookmarkStart w:id="3" w:name="_Toc231599652"/>
      <w:r w:rsidRPr="00D06ACD">
        <w:t>Background of the Research Topic</w:t>
      </w:r>
      <w:bookmarkEnd w:id="3"/>
    </w:p>
    <w:p w14:paraId="75F6407E" w14:textId="77777777" w:rsidR="00C15796" w:rsidRPr="00D06ACD" w:rsidRDefault="00C15796" w:rsidP="00D06ACD">
      <w:pPr>
        <w:spacing w:line="360" w:lineRule="auto"/>
        <w:jc w:val="both"/>
        <w:rPr>
          <w:sz w:val="24"/>
          <w:szCs w:val="24"/>
        </w:rPr>
      </w:pPr>
      <w:r w:rsidRPr="00D06ACD">
        <w:rPr>
          <w:sz w:val="24"/>
          <w:szCs w:val="24"/>
        </w:rPr>
        <w:t xml:space="preserve">Carbon pricing is no longer a marginal policy tool for climate change but, rather, a structural cost element in the global industrial sector. The world's carbon pricing revenues have quadrupled from USD 104 billion in 2015 to more than USD 104 billion in </w:t>
      </w:r>
      <w:proofErr w:type="gramStart"/>
      <w:r w:rsidRPr="00D06ACD">
        <w:rPr>
          <w:sz w:val="24"/>
          <w:szCs w:val="24"/>
        </w:rPr>
        <w:t>2023, and</w:t>
      </w:r>
      <w:proofErr w:type="gramEnd"/>
      <w:r w:rsidRPr="00D06ACD">
        <w:rPr>
          <w:sz w:val="24"/>
          <w:szCs w:val="24"/>
        </w:rPr>
        <w:t xml:space="preserve"> are responsible for about 23% of global GHGs (World Bank, 2023; </w:t>
      </w:r>
      <w:proofErr w:type="spellStart"/>
      <w:r w:rsidRPr="00D06ACD">
        <w:rPr>
          <w:sz w:val="24"/>
          <w:szCs w:val="24"/>
        </w:rPr>
        <w:t>Santikarn</w:t>
      </w:r>
      <w:proofErr w:type="spellEnd"/>
      <w:r w:rsidRPr="00D06ACD">
        <w:rPr>
          <w:sz w:val="24"/>
          <w:szCs w:val="24"/>
        </w:rPr>
        <w:t xml:space="preserve"> et al., 2021; European Parliament Research Service, 2020). In this long-term development, the Carbon Border Adjustment Mechanism (CBAM) is the most significant regulatory innovation that has happened over the last decade. A CBAM has two purposes: (</w:t>
      </w:r>
      <w:proofErr w:type="spellStart"/>
      <w:r w:rsidRPr="00D06ACD">
        <w:rPr>
          <w:sz w:val="24"/>
          <w:szCs w:val="24"/>
        </w:rPr>
        <w:t>i</w:t>
      </w:r>
      <w:proofErr w:type="spellEnd"/>
      <w:r w:rsidRPr="00D06ACD">
        <w:rPr>
          <w:sz w:val="24"/>
          <w:szCs w:val="24"/>
        </w:rPr>
        <w:t>) to help avoid carbon leakage, and (ii) to equalize the price competitiveness of domestic and foreign producers, by applying a price on imported goods that is the same as the carbon price that would have been paid under the importing jurisdiction's climate regime (</w:t>
      </w:r>
      <w:proofErr w:type="spellStart"/>
      <w:r w:rsidRPr="00D06ACD">
        <w:rPr>
          <w:sz w:val="24"/>
          <w:szCs w:val="24"/>
        </w:rPr>
        <w:t>Shee</w:t>
      </w:r>
      <w:proofErr w:type="spellEnd"/>
      <w:r w:rsidRPr="00D06ACD">
        <w:rPr>
          <w:sz w:val="24"/>
          <w:szCs w:val="24"/>
        </w:rPr>
        <w:t xml:space="preserve"> Weng, 2025).</w:t>
      </w:r>
    </w:p>
    <w:p w14:paraId="03151A0A" w14:textId="77777777" w:rsidR="00C15796" w:rsidRPr="00D06ACD" w:rsidRDefault="00C15796" w:rsidP="00D06ACD">
      <w:pPr>
        <w:spacing w:line="360" w:lineRule="auto"/>
        <w:jc w:val="both"/>
        <w:rPr>
          <w:sz w:val="24"/>
          <w:szCs w:val="24"/>
        </w:rPr>
      </w:pPr>
      <w:r w:rsidRPr="00D06ACD">
        <w:rPr>
          <w:sz w:val="24"/>
          <w:szCs w:val="24"/>
        </w:rPr>
        <w:t>CBAM is in a transition phase from October 2023, and will have financial adjustments from January 2026 for cement, iron and steel, aluminium, fertilisers, electricity and hydrogen (European Commission, 2023). After long consultation, in 2024, the United Kingdom confirmed the implementation of its own CBAM from 1 January 2027, which will include a similar scope of carbon-intensive products, namely steel, aluminium, cement and ceramics, fertilisers and glass (HM Treasury, 2024). The move is a sea change for UK importers, as embedded emissions will become a cost, an auditable cost and a cost that can no longer be ignored.</w:t>
      </w:r>
    </w:p>
    <w:p w14:paraId="76CA223D" w14:textId="5B949346" w:rsidR="00C15796" w:rsidRPr="00D06ACD" w:rsidRDefault="00C15796" w:rsidP="00D06ACD">
      <w:pPr>
        <w:spacing w:line="360" w:lineRule="auto"/>
        <w:jc w:val="both"/>
        <w:rPr>
          <w:sz w:val="24"/>
          <w:szCs w:val="24"/>
        </w:rPr>
      </w:pPr>
      <w:r w:rsidRPr="00D06ACD">
        <w:rPr>
          <w:sz w:val="24"/>
          <w:szCs w:val="24"/>
        </w:rPr>
        <w:lastRenderedPageBreak/>
        <w:t>The construction industry is at the heart of the transformation. Construction is about 6 to 7 % of the UK GDP and the biggest user of steel, cement, aluminium and glass in the UK, which are all covered by CBAM. According to Allwood et al. (2016) over 60% of structural steel in construction in the UK is imported, and the construction MNEs are highly vulnerable to CBAM cost pass-through. The procurement approach in this industry has long been dominated by a logic of cost-efficiency: lowest landed price, competitive tendering, and ‘globally diversified procurement' (Meehan and Bryde, 2011). By introducing a regulatory carbon premium into every tonne of high emission import material, CBAM throws that logic out of the window, and changes the economics of sourcing decisions, contract design, and long-term sourcing strategies. Carbon leakage can be mitigated by up to 50% through the implementation of carbon border adjustments – with the European Parliament Research Service (2020) estimating this figure, and The UK Government and IDDI (2022) signing the Green Public Procurement Pledge, which means public-sector buyers will demand verified low-carbon material credentials from contractors, adding to the regulatory pressure of CBAM on UK construction MNEs. Sugar et al. (2022) has shown that UK procurement policy is becoming increasingly focused on the net zero target; embodied carbon has now been introduced for steel, cement and concrete. DESNZ (2025) has also stated that it is expected that the mandatory reporting of embodied emissions will have a direct impact on public procurement of construction materials.</w:t>
      </w:r>
    </w:p>
    <w:p w14:paraId="11AAB8B8" w14:textId="77777777" w:rsidR="003A7791" w:rsidRPr="00D06ACD" w:rsidRDefault="003A7791" w:rsidP="00D06ACD">
      <w:pPr>
        <w:pStyle w:val="Heading2"/>
        <w:spacing w:line="360" w:lineRule="auto"/>
        <w:jc w:val="both"/>
        <w:rPr>
          <w:rFonts w:cs="Times New Roman"/>
          <w:szCs w:val="24"/>
        </w:rPr>
      </w:pPr>
      <w:bookmarkStart w:id="4" w:name="_Toc231599653"/>
      <w:r w:rsidRPr="00D06ACD">
        <w:rPr>
          <w:rFonts w:cs="Times New Roman"/>
          <w:szCs w:val="24"/>
        </w:rPr>
        <w:t>Research Problem and Gap in the Literature</w:t>
      </w:r>
      <w:bookmarkEnd w:id="4"/>
    </w:p>
    <w:p w14:paraId="7A8E689F" w14:textId="77777777" w:rsidR="00C15796" w:rsidRPr="00D06ACD" w:rsidRDefault="00C15796" w:rsidP="00D06ACD">
      <w:pPr>
        <w:spacing w:line="360" w:lineRule="auto"/>
        <w:jc w:val="both"/>
        <w:rPr>
          <w:sz w:val="24"/>
          <w:szCs w:val="24"/>
        </w:rPr>
      </w:pPr>
      <w:r w:rsidRPr="00D06ACD">
        <w:rPr>
          <w:sz w:val="24"/>
          <w:szCs w:val="24"/>
        </w:rPr>
        <w:t xml:space="preserve">However, while the policy importance of CBAM cannot be overlooked, there is a fragmented and incomplete academic literature on CBAM's rigorous implications for firm procurement. There are three different world classes of literature related to the issue, but they do not necessarily overlap. The carbon-pricing and environmental-economics literature models the aggregate cost effects of border adjustments either by using a computable general equilibrium (CGE) model or a partial-equilibrium approach (Zakeri et al., 2015; Mehling et al., 2019); the latter assumes the price elasticity of demand for these products at the sector level, but does not investigate the downstream buyer behaviour. Second, the sustainable supply chain management literature examines green procurement and carbon-aware supplier selection (Paulraj, 2011; </w:t>
      </w:r>
      <w:proofErr w:type="spellStart"/>
      <w:r w:rsidRPr="00D06ACD">
        <w:rPr>
          <w:sz w:val="24"/>
          <w:szCs w:val="24"/>
        </w:rPr>
        <w:t>Schaltegger</w:t>
      </w:r>
      <w:proofErr w:type="spellEnd"/>
      <w:r w:rsidRPr="00D06ACD">
        <w:rPr>
          <w:sz w:val="24"/>
          <w:szCs w:val="24"/>
        </w:rPr>
        <w:t xml:space="preserve"> and Burritt, 2014), with a clear predominance of voluntary corporate-sustainability contexts, as opposed to a regulatory shock. Thirdly, the construction management literature discusses the issue of </w:t>
      </w:r>
      <w:r w:rsidRPr="00D06ACD">
        <w:rPr>
          <w:sz w:val="24"/>
          <w:szCs w:val="24"/>
        </w:rPr>
        <w:lastRenderedPageBreak/>
        <w:t xml:space="preserve">embodied carbon and low-carbon material substitution (Lehne and Preston, 2018; </w:t>
      </w:r>
      <w:proofErr w:type="spellStart"/>
      <w:r w:rsidRPr="00D06ACD">
        <w:rPr>
          <w:sz w:val="24"/>
          <w:szCs w:val="24"/>
        </w:rPr>
        <w:t>Rootzén</w:t>
      </w:r>
      <w:proofErr w:type="spellEnd"/>
      <w:r w:rsidRPr="00D06ACD">
        <w:rPr>
          <w:sz w:val="24"/>
          <w:szCs w:val="24"/>
        </w:rPr>
        <w:t xml:space="preserve"> and Johnsson, 2017</w:t>
      </w:r>
      <w:proofErr w:type="gramStart"/>
      <w:r w:rsidRPr="00D06ACD">
        <w:rPr>
          <w:sz w:val="24"/>
          <w:szCs w:val="24"/>
        </w:rPr>
        <w:t>), but</w:t>
      </w:r>
      <w:proofErr w:type="gramEnd"/>
      <w:r w:rsidRPr="00D06ACD">
        <w:rPr>
          <w:sz w:val="24"/>
          <w:szCs w:val="24"/>
        </w:rPr>
        <w:t xml:space="preserve"> does not look at regulation as a key motivator for near term procurement decisions.</w:t>
      </w:r>
    </w:p>
    <w:p w14:paraId="4450A854" w14:textId="77777777" w:rsidR="00C15796" w:rsidRPr="00D06ACD" w:rsidRDefault="00C15796" w:rsidP="00D06ACD">
      <w:pPr>
        <w:spacing w:line="360" w:lineRule="auto"/>
        <w:jc w:val="both"/>
        <w:rPr>
          <w:sz w:val="24"/>
          <w:szCs w:val="24"/>
        </w:rPr>
      </w:pPr>
      <w:r w:rsidRPr="00D06ACD">
        <w:rPr>
          <w:sz w:val="24"/>
          <w:szCs w:val="24"/>
        </w:rPr>
        <w:t>There is a disparity that is not captured in any previous study where these three literatures are brought together to explore the reconfiguration of international supply chains of construction MNEs in the direct response to the UK CBAM. Cost, carbon intensity, regulatory compliance, and domestic supply capacity are key considerations for procurement managers, but these factors have not been discussed comprehensively in the context of CBAM. This dissertation aims to do just that with an Extended Literature Review which brings results from the three silos together and establishes an integrated analytical framework.</w:t>
      </w:r>
    </w:p>
    <w:p w14:paraId="65566F10" w14:textId="68FD3FA1" w:rsidR="00C15796" w:rsidRPr="00D06ACD" w:rsidRDefault="00C15796" w:rsidP="00D52247">
      <w:pPr>
        <w:pStyle w:val="Heading2"/>
      </w:pPr>
      <w:bookmarkStart w:id="5" w:name="_Toc231599654"/>
      <w:r w:rsidRPr="00D06ACD">
        <w:t>Urgency and Timeliness of the Topic</w:t>
      </w:r>
      <w:bookmarkEnd w:id="5"/>
    </w:p>
    <w:p w14:paraId="3FEF9CC4" w14:textId="77777777" w:rsidR="00C15796" w:rsidRPr="00D06ACD" w:rsidRDefault="00C15796" w:rsidP="00D06ACD">
      <w:pPr>
        <w:spacing w:line="360" w:lineRule="auto"/>
        <w:jc w:val="both"/>
        <w:rPr>
          <w:sz w:val="24"/>
          <w:szCs w:val="24"/>
        </w:rPr>
      </w:pPr>
      <w:r w:rsidRPr="00D06ACD">
        <w:rPr>
          <w:sz w:val="24"/>
          <w:szCs w:val="24"/>
        </w:rPr>
        <w:t>The research is of a scientific and practical nature. CBAM will be enforced in the UK from 1 January 2027, meaning that procurement contracts tendered, negotiated and signed in 2026 will be the first contracts to be subject to live CBAM obligations on delivery. Now is the time to make decisions that will either drive up the cost of the shock or move MNEs to the competitive advantage (Porter and van der Linde, 1995; Bird and Park, 2016). Meanwhile, the CBAM's free-allowance phase-out will play a role in how the UK Emissions Trading Scheme (ETS) will impact import-intensive businesses, which hasn't been sufficiently studied.</w:t>
      </w:r>
    </w:p>
    <w:p w14:paraId="3E436C09" w14:textId="665DF0E1" w:rsidR="00C15796" w:rsidRPr="00D06ACD" w:rsidRDefault="00C15796" w:rsidP="00D06ACD">
      <w:pPr>
        <w:spacing w:line="360" w:lineRule="auto"/>
        <w:jc w:val="both"/>
        <w:rPr>
          <w:sz w:val="24"/>
          <w:szCs w:val="24"/>
        </w:rPr>
      </w:pPr>
      <w:r w:rsidRPr="00D06ACD">
        <w:rPr>
          <w:sz w:val="24"/>
          <w:szCs w:val="24"/>
        </w:rPr>
        <w:t>On the supply side, announced capacity increases in the UK's green steel, such as the conversion of the Tata Steel Port Talbot and British Steel Scunthorpe electric arc furnaces, are still some years off, presenting a transitional period where demand for compliant materials could outpace supply. It's an interesting moment in time because of the regulatory, market and capacity drivers to do research on CBAM-driven procurement adaptation.</w:t>
      </w:r>
    </w:p>
    <w:p w14:paraId="7C7B15A4" w14:textId="77777777" w:rsidR="003A7791" w:rsidRPr="00D06ACD" w:rsidRDefault="003A7791" w:rsidP="00D06ACD">
      <w:pPr>
        <w:pStyle w:val="Heading2"/>
        <w:spacing w:line="360" w:lineRule="auto"/>
        <w:jc w:val="both"/>
        <w:rPr>
          <w:rFonts w:cs="Times New Roman"/>
          <w:szCs w:val="24"/>
        </w:rPr>
      </w:pPr>
      <w:bookmarkStart w:id="6" w:name="_Toc231599655"/>
      <w:r w:rsidRPr="00D06ACD">
        <w:rPr>
          <w:rFonts w:cs="Times New Roman"/>
          <w:szCs w:val="24"/>
        </w:rPr>
        <w:t>Research Aim and Objectives</w:t>
      </w:r>
      <w:bookmarkEnd w:id="6"/>
    </w:p>
    <w:p w14:paraId="532C1E5E" w14:textId="1E56E62A" w:rsidR="003A7791" w:rsidRPr="00D06ACD" w:rsidRDefault="003A7791" w:rsidP="00D06ACD">
      <w:pPr>
        <w:spacing w:before="120" w:after="120" w:line="360" w:lineRule="auto"/>
        <w:jc w:val="both"/>
        <w:rPr>
          <w:sz w:val="24"/>
          <w:szCs w:val="24"/>
        </w:rPr>
      </w:pPr>
      <w:r w:rsidRPr="00D06ACD">
        <w:rPr>
          <w:sz w:val="24"/>
          <w:szCs w:val="24"/>
        </w:rPr>
        <w:t>This study aims to evaluate how UK construction multinational enterprises are reconfiguring their international supply chains and procurement strategies in response to the emerging UK Carbon Border Adjustment Mechanism, and to develop an integrated analytical framework that captures the interplay of cost, carbon, compliance, and capacity considerations in this reconfiguration.</w:t>
      </w:r>
    </w:p>
    <w:p w14:paraId="5E95D037" w14:textId="77777777" w:rsidR="003A7791" w:rsidRPr="00D06ACD" w:rsidRDefault="003A7791" w:rsidP="00D06ACD">
      <w:pPr>
        <w:spacing w:before="120" w:after="120" w:line="360" w:lineRule="auto"/>
        <w:jc w:val="both"/>
        <w:rPr>
          <w:sz w:val="24"/>
          <w:szCs w:val="24"/>
        </w:rPr>
      </w:pPr>
      <w:r w:rsidRPr="00D06ACD">
        <w:rPr>
          <w:sz w:val="24"/>
          <w:szCs w:val="24"/>
        </w:rPr>
        <w:t>To achieve this aim, the dissertation pursues four specific objectives:</w:t>
      </w:r>
    </w:p>
    <w:p w14:paraId="3461C68B" w14:textId="77777777" w:rsidR="003A7791" w:rsidRPr="00D06ACD" w:rsidRDefault="003A7791" w:rsidP="00D06ACD">
      <w:pPr>
        <w:pStyle w:val="ListParagraph"/>
        <w:numPr>
          <w:ilvl w:val="0"/>
          <w:numId w:val="18"/>
        </w:numPr>
        <w:spacing w:before="60" w:after="60" w:line="360" w:lineRule="auto"/>
        <w:contextualSpacing w:val="0"/>
        <w:jc w:val="both"/>
        <w:rPr>
          <w:rFonts w:ascii="Times New Roman" w:hAnsi="Times New Roman"/>
          <w:sz w:val="24"/>
          <w:szCs w:val="24"/>
        </w:rPr>
      </w:pPr>
      <w:r w:rsidRPr="00D06ACD">
        <w:rPr>
          <w:rFonts w:ascii="Times New Roman" w:hAnsi="Times New Roman"/>
          <w:sz w:val="24"/>
          <w:szCs w:val="24"/>
        </w:rPr>
        <w:lastRenderedPageBreak/>
        <w:t>To examine the projected cost implications for UK construction MNEs procuring carbon-intensive materials from non-UK markets under the UK CBAM.</w:t>
      </w:r>
    </w:p>
    <w:p w14:paraId="260A7FF0" w14:textId="77777777" w:rsidR="003A7791" w:rsidRPr="00D06ACD" w:rsidRDefault="003A7791" w:rsidP="00D06ACD">
      <w:pPr>
        <w:pStyle w:val="ListParagraph"/>
        <w:numPr>
          <w:ilvl w:val="0"/>
          <w:numId w:val="18"/>
        </w:numPr>
        <w:spacing w:before="60" w:after="60" w:line="360" w:lineRule="auto"/>
        <w:contextualSpacing w:val="0"/>
        <w:jc w:val="both"/>
        <w:rPr>
          <w:rFonts w:ascii="Times New Roman" w:hAnsi="Times New Roman"/>
          <w:sz w:val="24"/>
          <w:szCs w:val="24"/>
        </w:rPr>
      </w:pPr>
      <w:r w:rsidRPr="00D06ACD">
        <w:rPr>
          <w:rFonts w:ascii="Times New Roman" w:hAnsi="Times New Roman"/>
          <w:sz w:val="24"/>
          <w:szCs w:val="24"/>
        </w:rPr>
        <w:t>To analyse the strategic reorientation from cost-efficiency to carbon-efficiency in supplier selection practices among UK importing firms.</w:t>
      </w:r>
    </w:p>
    <w:p w14:paraId="7BDAF1ED" w14:textId="77777777" w:rsidR="003A7791" w:rsidRPr="00D06ACD" w:rsidRDefault="003A7791" w:rsidP="00D06ACD">
      <w:pPr>
        <w:pStyle w:val="ListParagraph"/>
        <w:numPr>
          <w:ilvl w:val="0"/>
          <w:numId w:val="18"/>
        </w:numPr>
        <w:spacing w:before="60" w:after="60" w:line="360" w:lineRule="auto"/>
        <w:contextualSpacing w:val="0"/>
        <w:jc w:val="both"/>
        <w:rPr>
          <w:rFonts w:ascii="Times New Roman" w:hAnsi="Times New Roman"/>
          <w:sz w:val="24"/>
          <w:szCs w:val="24"/>
        </w:rPr>
      </w:pPr>
      <w:r w:rsidRPr="00D06ACD">
        <w:rPr>
          <w:rFonts w:ascii="Times New Roman" w:hAnsi="Times New Roman"/>
          <w:sz w:val="24"/>
          <w:szCs w:val="24"/>
        </w:rPr>
        <w:t>To evaluate the influence of CBAM on sourcing decisions between international suppliers and domestic low-carbon producers within the UK procurement landscape.</w:t>
      </w:r>
    </w:p>
    <w:p w14:paraId="5F6CBC94" w14:textId="0ADB7085" w:rsidR="003A7791" w:rsidRPr="00D06ACD" w:rsidRDefault="003A7791" w:rsidP="00D06ACD">
      <w:pPr>
        <w:pStyle w:val="ListParagraph"/>
        <w:numPr>
          <w:ilvl w:val="0"/>
          <w:numId w:val="18"/>
        </w:numPr>
        <w:spacing w:before="60" w:after="60" w:line="360" w:lineRule="auto"/>
        <w:contextualSpacing w:val="0"/>
        <w:jc w:val="both"/>
        <w:rPr>
          <w:rFonts w:ascii="Times New Roman" w:hAnsi="Times New Roman"/>
          <w:sz w:val="24"/>
          <w:szCs w:val="24"/>
        </w:rPr>
      </w:pPr>
      <w:r w:rsidRPr="00D06ACD">
        <w:rPr>
          <w:rFonts w:ascii="Times New Roman" w:hAnsi="Times New Roman"/>
          <w:sz w:val="24"/>
          <w:szCs w:val="24"/>
        </w:rPr>
        <w:t>To provide evidence-based recommendations for UK construction MNEs seeking to adapt procurement strategies in response to CBAM, mitigating regulatory exposure and long-term financial risk.</w:t>
      </w:r>
    </w:p>
    <w:p w14:paraId="698B71CC" w14:textId="77777777" w:rsidR="003A7791" w:rsidRPr="00D06ACD" w:rsidRDefault="003A7791" w:rsidP="00D06ACD">
      <w:pPr>
        <w:pStyle w:val="Heading2"/>
        <w:spacing w:line="360" w:lineRule="auto"/>
        <w:jc w:val="both"/>
        <w:rPr>
          <w:rFonts w:cs="Times New Roman"/>
          <w:szCs w:val="24"/>
        </w:rPr>
      </w:pPr>
      <w:bookmarkStart w:id="7" w:name="_Toc231599656"/>
      <w:r w:rsidRPr="00D06ACD">
        <w:rPr>
          <w:rFonts w:cs="Times New Roman"/>
          <w:szCs w:val="24"/>
        </w:rPr>
        <w:t>Research Questions</w:t>
      </w:r>
      <w:bookmarkEnd w:id="7"/>
    </w:p>
    <w:p w14:paraId="25999EDD" w14:textId="77777777" w:rsidR="003A7791" w:rsidRPr="00D06ACD" w:rsidRDefault="003A7791" w:rsidP="00D06ACD">
      <w:pPr>
        <w:spacing w:before="120" w:after="120" w:line="360" w:lineRule="auto"/>
        <w:jc w:val="both"/>
        <w:rPr>
          <w:sz w:val="24"/>
          <w:szCs w:val="24"/>
        </w:rPr>
      </w:pPr>
      <w:r w:rsidRPr="00D06ACD">
        <w:rPr>
          <w:sz w:val="24"/>
          <w:szCs w:val="24"/>
        </w:rPr>
        <w:t>The dissertation is guided by three research questions:</w:t>
      </w:r>
    </w:p>
    <w:p w14:paraId="11705283" w14:textId="77777777" w:rsidR="003A7791" w:rsidRPr="00D06ACD" w:rsidRDefault="003A7791" w:rsidP="00D06ACD">
      <w:pPr>
        <w:spacing w:before="120" w:after="120" w:line="360" w:lineRule="auto"/>
        <w:jc w:val="both"/>
        <w:rPr>
          <w:sz w:val="24"/>
          <w:szCs w:val="24"/>
        </w:rPr>
      </w:pPr>
      <w:r w:rsidRPr="00D06ACD">
        <w:rPr>
          <w:b/>
          <w:bCs/>
          <w:sz w:val="24"/>
          <w:szCs w:val="24"/>
        </w:rPr>
        <w:t xml:space="preserve">RQ1: </w:t>
      </w:r>
      <w:r w:rsidRPr="00D06ACD">
        <w:rPr>
          <w:sz w:val="24"/>
          <w:szCs w:val="24"/>
        </w:rPr>
        <w:t>What are the projected cost implications of UK CBAM for construction MNEs importing high-emission materials?</w:t>
      </w:r>
    </w:p>
    <w:p w14:paraId="1D1A3758" w14:textId="77777777" w:rsidR="003A7791" w:rsidRPr="00D06ACD" w:rsidRDefault="003A7791" w:rsidP="00D06ACD">
      <w:pPr>
        <w:spacing w:before="120" w:after="120" w:line="360" w:lineRule="auto"/>
        <w:jc w:val="both"/>
        <w:rPr>
          <w:sz w:val="24"/>
          <w:szCs w:val="24"/>
        </w:rPr>
      </w:pPr>
      <w:r w:rsidRPr="00D06ACD">
        <w:rPr>
          <w:b/>
          <w:bCs/>
          <w:sz w:val="24"/>
          <w:szCs w:val="24"/>
        </w:rPr>
        <w:t xml:space="preserve">RQ2: </w:t>
      </w:r>
      <w:r w:rsidRPr="00D06ACD">
        <w:rPr>
          <w:sz w:val="24"/>
          <w:szCs w:val="24"/>
        </w:rPr>
        <w:t>How is UK CBAM driving a strategic shift from cost-efficiency to carbon-efficiency in procurement?</w:t>
      </w:r>
    </w:p>
    <w:p w14:paraId="11C9F6F3" w14:textId="77777777" w:rsidR="003A7791" w:rsidRPr="00D06ACD" w:rsidRDefault="003A7791" w:rsidP="00D06ACD">
      <w:pPr>
        <w:spacing w:before="120" w:after="120" w:line="360" w:lineRule="auto"/>
        <w:jc w:val="both"/>
        <w:rPr>
          <w:sz w:val="24"/>
          <w:szCs w:val="24"/>
        </w:rPr>
      </w:pPr>
      <w:r w:rsidRPr="00D06ACD">
        <w:rPr>
          <w:b/>
          <w:bCs/>
          <w:sz w:val="24"/>
          <w:szCs w:val="24"/>
        </w:rPr>
        <w:t xml:space="preserve">RQ3: </w:t>
      </w:r>
      <w:r w:rsidRPr="00D06ACD">
        <w:rPr>
          <w:sz w:val="24"/>
          <w:szCs w:val="24"/>
        </w:rPr>
        <w:t>How does CBAM influence sourcing decisions between international suppliers and domestic low-carbon producers?</w:t>
      </w:r>
    </w:p>
    <w:p w14:paraId="0C1382CD" w14:textId="77777777" w:rsidR="003A7791" w:rsidRPr="00D06ACD" w:rsidRDefault="003A7791" w:rsidP="00D06ACD">
      <w:pPr>
        <w:pStyle w:val="Heading2"/>
        <w:spacing w:line="360" w:lineRule="auto"/>
        <w:jc w:val="both"/>
        <w:rPr>
          <w:rFonts w:cs="Times New Roman"/>
          <w:szCs w:val="24"/>
        </w:rPr>
      </w:pPr>
      <w:bookmarkStart w:id="8" w:name="_Toc231599657"/>
      <w:r w:rsidRPr="00D06ACD">
        <w:rPr>
          <w:rFonts w:cs="Times New Roman"/>
          <w:szCs w:val="24"/>
        </w:rPr>
        <w:t>Scope of the Review</w:t>
      </w:r>
      <w:bookmarkEnd w:id="8"/>
    </w:p>
    <w:p w14:paraId="4739508A" w14:textId="77777777" w:rsidR="00C15796" w:rsidRPr="00D06ACD" w:rsidRDefault="00C15796" w:rsidP="00D06ACD">
      <w:pPr>
        <w:spacing w:line="360" w:lineRule="auto"/>
        <w:jc w:val="both"/>
        <w:rPr>
          <w:sz w:val="24"/>
          <w:szCs w:val="24"/>
        </w:rPr>
      </w:pPr>
      <w:r w:rsidRPr="00D06ACD">
        <w:rPr>
          <w:sz w:val="24"/>
          <w:szCs w:val="24"/>
        </w:rPr>
        <w:t xml:space="preserve">The review is defined in four </w:t>
      </w:r>
      <w:proofErr w:type="gramStart"/>
      <w:r w:rsidRPr="00D06ACD">
        <w:rPr>
          <w:sz w:val="24"/>
          <w:szCs w:val="24"/>
        </w:rPr>
        <w:t>perimeter</w:t>
      </w:r>
      <w:proofErr w:type="gramEnd"/>
      <w:r w:rsidRPr="00D06ACD">
        <w:rPr>
          <w:sz w:val="24"/>
          <w:szCs w:val="24"/>
        </w:rPr>
        <w:t xml:space="preserve">. Geographically it primarily targets the United Kingdom, but the European Union CBAM is used, if relevant, as a comparison. </w:t>
      </w:r>
      <w:proofErr w:type="spellStart"/>
      <w:r w:rsidRPr="00D06ACD">
        <w:rPr>
          <w:sz w:val="24"/>
          <w:szCs w:val="24"/>
        </w:rPr>
        <w:t>Sectorally</w:t>
      </w:r>
      <w:proofErr w:type="spellEnd"/>
      <w:r w:rsidRPr="00D06ACD">
        <w:rPr>
          <w:sz w:val="24"/>
          <w:szCs w:val="24"/>
        </w:rPr>
        <w:t>, it is limited to the construction sector and, within that sector, to large multinational contractors and developers, as opposed to SMEs, because the MNEs are the ones with the highest exposure to imports and who have the capacity to be decisive in their procurement. The material focuses on the four CBAM covered inputs that are key to the UK construction sector: steel, aluminium, cement and glass. The literature search is confined in time from 2015-2026, with some of the earlier theoretical ground-breaking works included where they support the conceptual framework. In terms of methodology, the dissertation is a secondary research study using an Extended Literature Review approach, which does not involve data collection from primary sources of the entire firm, and limitations are inherent in the conclusions that can be drawn from the published sources.</w:t>
      </w:r>
    </w:p>
    <w:p w14:paraId="7CD3A0E3" w14:textId="779FB7D4" w:rsidR="00C15796" w:rsidRPr="00D06ACD" w:rsidRDefault="00C15796" w:rsidP="00D52247">
      <w:pPr>
        <w:pStyle w:val="Heading2"/>
      </w:pPr>
      <w:bookmarkStart w:id="9" w:name="_Toc231599658"/>
      <w:r w:rsidRPr="00D06ACD">
        <w:lastRenderedPageBreak/>
        <w:t>Structure of the Dissertation</w:t>
      </w:r>
      <w:bookmarkEnd w:id="9"/>
    </w:p>
    <w:p w14:paraId="5DD00DBD" w14:textId="77777777" w:rsidR="00C15796" w:rsidRPr="00D06ACD" w:rsidRDefault="00C15796" w:rsidP="00D06ACD">
      <w:pPr>
        <w:spacing w:line="360" w:lineRule="auto"/>
        <w:jc w:val="both"/>
        <w:rPr>
          <w:sz w:val="24"/>
          <w:szCs w:val="24"/>
        </w:rPr>
      </w:pPr>
      <w:r w:rsidRPr="00D06ACD">
        <w:rPr>
          <w:sz w:val="24"/>
          <w:szCs w:val="24"/>
        </w:rPr>
        <w:t xml:space="preserve">The dissertation is structured in six chapters, </w:t>
      </w:r>
      <w:proofErr w:type="gramStart"/>
      <w:r w:rsidRPr="00D06ACD">
        <w:rPr>
          <w:sz w:val="24"/>
          <w:szCs w:val="24"/>
        </w:rPr>
        <w:t>similar to</w:t>
      </w:r>
      <w:proofErr w:type="gramEnd"/>
      <w:r w:rsidRPr="00D06ACD">
        <w:rPr>
          <w:sz w:val="24"/>
          <w:szCs w:val="24"/>
        </w:rPr>
        <w:t xml:space="preserve"> the Extended Literature Review structure. </w:t>
      </w:r>
    </w:p>
    <w:p w14:paraId="11ABED72" w14:textId="77777777" w:rsidR="00C15796" w:rsidRPr="00D06ACD" w:rsidRDefault="00C15796" w:rsidP="00D06ACD">
      <w:pPr>
        <w:spacing w:line="360" w:lineRule="auto"/>
        <w:jc w:val="both"/>
        <w:rPr>
          <w:sz w:val="24"/>
          <w:szCs w:val="24"/>
        </w:rPr>
      </w:pPr>
      <w:r w:rsidRPr="00D06ACD">
        <w:rPr>
          <w:sz w:val="24"/>
          <w:szCs w:val="24"/>
        </w:rPr>
        <w:t>•</w:t>
      </w:r>
      <w:r w:rsidRPr="00D06ACD">
        <w:rPr>
          <w:sz w:val="24"/>
          <w:szCs w:val="24"/>
        </w:rPr>
        <w:tab/>
        <w:t xml:space="preserve">Chapter 2 presents the methodology of the literature review, including the search strategy, databases, inclusion and exclusion criteria, PRISMA-style screening process, and thematic analysis approach. </w:t>
      </w:r>
    </w:p>
    <w:p w14:paraId="0BC0E378" w14:textId="77777777" w:rsidR="00C15796" w:rsidRPr="00D06ACD" w:rsidRDefault="00C15796" w:rsidP="00D06ACD">
      <w:pPr>
        <w:spacing w:line="360" w:lineRule="auto"/>
        <w:jc w:val="both"/>
        <w:rPr>
          <w:sz w:val="24"/>
          <w:szCs w:val="24"/>
        </w:rPr>
      </w:pPr>
      <w:r w:rsidRPr="00D06ACD">
        <w:rPr>
          <w:sz w:val="24"/>
          <w:szCs w:val="24"/>
        </w:rPr>
        <w:t>•</w:t>
      </w:r>
      <w:r w:rsidRPr="00D06ACD">
        <w:rPr>
          <w:sz w:val="24"/>
          <w:szCs w:val="24"/>
        </w:rPr>
        <w:tab/>
        <w:t xml:space="preserve">Chapter 3 presents the Thematic Literature Review, organised around four themes: theoretical foundations, empirical findings, emerging debates, and research gaps. </w:t>
      </w:r>
    </w:p>
    <w:p w14:paraId="01E316CA" w14:textId="77777777" w:rsidR="00C15796" w:rsidRPr="00D06ACD" w:rsidRDefault="00C15796" w:rsidP="00D06ACD">
      <w:pPr>
        <w:spacing w:line="360" w:lineRule="auto"/>
        <w:jc w:val="both"/>
        <w:rPr>
          <w:sz w:val="24"/>
          <w:szCs w:val="24"/>
        </w:rPr>
      </w:pPr>
      <w:r w:rsidRPr="00D06ACD">
        <w:rPr>
          <w:sz w:val="24"/>
          <w:szCs w:val="24"/>
        </w:rPr>
        <w:t>•</w:t>
      </w:r>
      <w:r w:rsidRPr="00D06ACD">
        <w:rPr>
          <w:sz w:val="24"/>
          <w:szCs w:val="24"/>
        </w:rPr>
        <w:tab/>
        <w:t>Chapter 4 discusses the synthesised findings in direct relation to the three research questions and proposes a Carbon-Adjusted Procurement (CAP) framework as the study's principal conceptual contribution.</w:t>
      </w:r>
    </w:p>
    <w:p w14:paraId="7FEDEC97" w14:textId="77777777" w:rsidR="00C15796" w:rsidRPr="00D06ACD" w:rsidRDefault="00C15796" w:rsidP="00D06ACD">
      <w:pPr>
        <w:spacing w:line="360" w:lineRule="auto"/>
        <w:jc w:val="both"/>
        <w:rPr>
          <w:sz w:val="24"/>
          <w:szCs w:val="24"/>
        </w:rPr>
      </w:pPr>
      <w:r w:rsidRPr="00D06ACD">
        <w:rPr>
          <w:sz w:val="24"/>
          <w:szCs w:val="24"/>
        </w:rPr>
        <w:t>•</w:t>
      </w:r>
      <w:r w:rsidRPr="00D06ACD">
        <w:rPr>
          <w:sz w:val="24"/>
          <w:szCs w:val="24"/>
        </w:rPr>
        <w:tab/>
        <w:t>Chapter 5 translates the findings into theoretical, managerial, and policy implications.</w:t>
      </w:r>
    </w:p>
    <w:p w14:paraId="659A5950" w14:textId="77777777" w:rsidR="00C15796" w:rsidRPr="00D06ACD" w:rsidRDefault="00C15796" w:rsidP="00D06ACD">
      <w:pPr>
        <w:spacing w:line="360" w:lineRule="auto"/>
        <w:jc w:val="both"/>
        <w:rPr>
          <w:sz w:val="24"/>
          <w:szCs w:val="24"/>
        </w:rPr>
      </w:pPr>
      <w:r w:rsidRPr="00D06ACD">
        <w:rPr>
          <w:sz w:val="24"/>
          <w:szCs w:val="24"/>
        </w:rPr>
        <w:t>•</w:t>
      </w:r>
      <w:r w:rsidRPr="00D06ACD">
        <w:rPr>
          <w:sz w:val="24"/>
          <w:szCs w:val="24"/>
        </w:rPr>
        <w:tab/>
        <w:t>Chapter 6 concludes by summarising the answers to the research questions, acknowledging limitations, and identifying directions for future research.</w:t>
      </w:r>
    </w:p>
    <w:p w14:paraId="6D613796" w14:textId="7E4548F8" w:rsidR="00C15796" w:rsidRPr="00D06ACD" w:rsidRDefault="00C15796" w:rsidP="00D52247">
      <w:pPr>
        <w:pStyle w:val="Heading2"/>
      </w:pPr>
      <w:bookmarkStart w:id="10" w:name="_Toc231599659"/>
      <w:r w:rsidRPr="00D06ACD">
        <w:t>Conclusion:</w:t>
      </w:r>
      <w:bookmarkEnd w:id="10"/>
    </w:p>
    <w:p w14:paraId="0AE4F58D" w14:textId="459E7A6A" w:rsidR="003A7791" w:rsidRPr="00D06ACD" w:rsidRDefault="00C15796" w:rsidP="00D06ACD">
      <w:pPr>
        <w:spacing w:line="360" w:lineRule="auto"/>
        <w:jc w:val="both"/>
        <w:rPr>
          <w:sz w:val="24"/>
          <w:szCs w:val="24"/>
        </w:rPr>
      </w:pPr>
      <w:r w:rsidRPr="00D06ACD">
        <w:rPr>
          <w:sz w:val="24"/>
          <w:szCs w:val="24"/>
        </w:rPr>
        <w:t>To conclude, the chapter has set the context, rationale and objectives for the research that forms the basis of the dissertation. It has been able to pinpoint the policy relevance of the UK CBAM as a major imminent regulatory development with direct and material impacts on UK construction MNEs, has identified that there is a gap in the existing literature that this study aims to fill, and has identified three research questions that drive the Extended Literature Review. The 1 January 2027 deadline for the implementation of the CBAM highlights the need for urgency in the topic. Chapter Two then explains the method of literature identification, screening and analysis that was followed.</w:t>
      </w:r>
    </w:p>
    <w:p w14:paraId="0CACE98F" w14:textId="77777777" w:rsidR="003A7791" w:rsidRPr="00D06ACD" w:rsidRDefault="003A7791" w:rsidP="00D06ACD">
      <w:pPr>
        <w:spacing w:before="120" w:after="120" w:line="360" w:lineRule="auto"/>
        <w:jc w:val="both"/>
        <w:rPr>
          <w:sz w:val="24"/>
          <w:szCs w:val="24"/>
        </w:rPr>
      </w:pPr>
    </w:p>
    <w:p w14:paraId="6088DA6B" w14:textId="77777777" w:rsidR="003A7791" w:rsidRPr="00D06ACD" w:rsidRDefault="003A7791" w:rsidP="00D06ACD">
      <w:pPr>
        <w:spacing w:before="120" w:after="120" w:line="360" w:lineRule="auto"/>
        <w:jc w:val="both"/>
        <w:rPr>
          <w:sz w:val="24"/>
          <w:szCs w:val="24"/>
        </w:rPr>
      </w:pPr>
    </w:p>
    <w:p w14:paraId="7D3036C1" w14:textId="77777777" w:rsidR="003A7791" w:rsidRDefault="003A7791" w:rsidP="00D06ACD">
      <w:pPr>
        <w:spacing w:before="120" w:after="120" w:line="360" w:lineRule="auto"/>
        <w:jc w:val="both"/>
        <w:rPr>
          <w:sz w:val="24"/>
          <w:szCs w:val="24"/>
        </w:rPr>
      </w:pPr>
    </w:p>
    <w:p w14:paraId="2AE90870" w14:textId="77777777" w:rsidR="00D52247" w:rsidRDefault="00D52247" w:rsidP="00D06ACD">
      <w:pPr>
        <w:spacing w:before="120" w:after="120" w:line="360" w:lineRule="auto"/>
        <w:jc w:val="both"/>
        <w:rPr>
          <w:sz w:val="24"/>
          <w:szCs w:val="24"/>
        </w:rPr>
      </w:pPr>
    </w:p>
    <w:p w14:paraId="0ED5EE76" w14:textId="77777777" w:rsidR="00D52247" w:rsidRDefault="00D52247" w:rsidP="00D06ACD">
      <w:pPr>
        <w:spacing w:before="120" w:after="120" w:line="360" w:lineRule="auto"/>
        <w:jc w:val="both"/>
        <w:rPr>
          <w:sz w:val="24"/>
          <w:szCs w:val="24"/>
        </w:rPr>
      </w:pPr>
    </w:p>
    <w:p w14:paraId="4130907F" w14:textId="77777777" w:rsidR="00D52247" w:rsidRDefault="00D52247" w:rsidP="00D06ACD">
      <w:pPr>
        <w:spacing w:before="120" w:after="120" w:line="360" w:lineRule="auto"/>
        <w:jc w:val="both"/>
        <w:rPr>
          <w:sz w:val="24"/>
          <w:szCs w:val="24"/>
        </w:rPr>
      </w:pPr>
    </w:p>
    <w:p w14:paraId="5BEB2269" w14:textId="77777777" w:rsidR="00D52247" w:rsidRPr="00D06ACD" w:rsidRDefault="00D52247" w:rsidP="00D06ACD">
      <w:pPr>
        <w:spacing w:before="120" w:after="120" w:line="360" w:lineRule="auto"/>
        <w:jc w:val="both"/>
        <w:rPr>
          <w:sz w:val="24"/>
          <w:szCs w:val="24"/>
        </w:rPr>
      </w:pPr>
    </w:p>
    <w:p w14:paraId="18017133" w14:textId="77777777" w:rsidR="003A7791" w:rsidRPr="00D06ACD" w:rsidRDefault="003A7791" w:rsidP="00D52247">
      <w:pPr>
        <w:pStyle w:val="Heading1"/>
      </w:pPr>
      <w:bookmarkStart w:id="11" w:name="_Toc231599660"/>
      <w:r w:rsidRPr="00D06ACD">
        <w:lastRenderedPageBreak/>
        <w:t xml:space="preserve">Chapter </w:t>
      </w:r>
      <w:r w:rsidRPr="00D52247">
        <w:t>Two</w:t>
      </w:r>
      <w:r w:rsidRPr="00D06ACD">
        <w:t>: Methodology of the Literature Review</w:t>
      </w:r>
      <w:bookmarkEnd w:id="11"/>
    </w:p>
    <w:p w14:paraId="0A606F0C" w14:textId="77777777" w:rsidR="003A7791" w:rsidRPr="00D06ACD" w:rsidRDefault="003A7791" w:rsidP="00D06ACD">
      <w:pPr>
        <w:pStyle w:val="Heading2"/>
        <w:spacing w:line="360" w:lineRule="auto"/>
        <w:jc w:val="both"/>
        <w:rPr>
          <w:rFonts w:cs="Times New Roman"/>
          <w:szCs w:val="24"/>
        </w:rPr>
      </w:pPr>
      <w:bookmarkStart w:id="12" w:name="_Toc231599661"/>
      <w:r w:rsidRPr="00D06ACD">
        <w:rPr>
          <w:rFonts w:cs="Times New Roman"/>
          <w:szCs w:val="24"/>
        </w:rPr>
        <w:t>Introduction</w:t>
      </w:r>
      <w:bookmarkEnd w:id="12"/>
    </w:p>
    <w:p w14:paraId="5C7E9103" w14:textId="77777777" w:rsidR="00C15796" w:rsidRPr="00D06ACD" w:rsidRDefault="00C15796" w:rsidP="00D06ACD">
      <w:pPr>
        <w:spacing w:line="360" w:lineRule="auto"/>
        <w:jc w:val="both"/>
        <w:rPr>
          <w:sz w:val="24"/>
          <w:szCs w:val="24"/>
        </w:rPr>
      </w:pPr>
      <w:r w:rsidRPr="00D06ACD">
        <w:rPr>
          <w:sz w:val="24"/>
          <w:szCs w:val="24"/>
        </w:rPr>
        <w:t xml:space="preserve">This chapter outlines the methodological framework which led to the development of the Evidence base and how the literature was analysed, giving a clear and repeatable account of the methodology. It starts by explaining the justifications for the semi-systematic searching approach taken and justifies its adoption based upon the interpretivist epistemological underpinning of the study. The chapter then explains the databases and sources that were used, the keywords and search strings that were used and the </w:t>
      </w:r>
      <w:proofErr w:type="gramStart"/>
      <w:r w:rsidRPr="00D06ACD">
        <w:rPr>
          <w:sz w:val="24"/>
          <w:szCs w:val="24"/>
        </w:rPr>
        <w:t>time period</w:t>
      </w:r>
      <w:proofErr w:type="gramEnd"/>
      <w:r w:rsidRPr="00D06ACD">
        <w:rPr>
          <w:sz w:val="24"/>
          <w:szCs w:val="24"/>
        </w:rPr>
        <w:t xml:space="preserve"> in which sources were chosen. It explains the inclusion and exclusion criteria used to select the sources, the four-stage screening mechanism that was used to narrow down the initial pool of identified sources, and the quality-checking criteria used to screen the studies for inclusion. The chapter ends with a </w:t>
      </w:r>
      <w:proofErr w:type="gramStart"/>
      <w:r w:rsidRPr="00D06ACD">
        <w:rPr>
          <w:sz w:val="24"/>
          <w:szCs w:val="24"/>
        </w:rPr>
        <w:t>six phase</w:t>
      </w:r>
      <w:proofErr w:type="gramEnd"/>
      <w:r w:rsidRPr="00D06ACD">
        <w:rPr>
          <w:sz w:val="24"/>
          <w:szCs w:val="24"/>
        </w:rPr>
        <w:t xml:space="preserve"> thematic analysis framework for coding, theming and synthesising the literature that has been retained – to provide a methodological basis for the thematic review in Chapter Three.</w:t>
      </w:r>
    </w:p>
    <w:p w14:paraId="7E8DF594" w14:textId="77777777" w:rsidR="00C15796" w:rsidRPr="00D06ACD" w:rsidRDefault="00C15796" w:rsidP="00D06ACD">
      <w:pPr>
        <w:spacing w:line="360" w:lineRule="auto"/>
        <w:jc w:val="both"/>
        <w:rPr>
          <w:sz w:val="24"/>
          <w:szCs w:val="24"/>
        </w:rPr>
      </w:pPr>
      <w:r w:rsidRPr="00D06ACD">
        <w:rPr>
          <w:sz w:val="24"/>
          <w:szCs w:val="24"/>
        </w:rPr>
        <w:t xml:space="preserve">The rigour and credibility of this type of Extended Literature Review (ELR) </w:t>
      </w:r>
      <w:proofErr w:type="gramStart"/>
      <w:r w:rsidRPr="00D06ACD">
        <w:rPr>
          <w:sz w:val="24"/>
          <w:szCs w:val="24"/>
        </w:rPr>
        <w:t>relies</w:t>
      </w:r>
      <w:proofErr w:type="gramEnd"/>
      <w:r w:rsidRPr="00D06ACD">
        <w:rPr>
          <w:sz w:val="24"/>
          <w:szCs w:val="24"/>
        </w:rPr>
        <w:t xml:space="preserve"> on the transparency and replicability of the processes used for identifying, selecting, evaluating and analysing the literature. In this chapter, all the decisions made concerning the materials are explained and </w:t>
      </w:r>
      <w:proofErr w:type="gramStart"/>
      <w:r w:rsidRPr="00D06ACD">
        <w:rPr>
          <w:sz w:val="24"/>
          <w:szCs w:val="24"/>
        </w:rPr>
        <w:t>justified, and</w:t>
      </w:r>
      <w:proofErr w:type="gramEnd"/>
      <w:r w:rsidRPr="00D06ACD">
        <w:rPr>
          <w:sz w:val="24"/>
          <w:szCs w:val="24"/>
        </w:rPr>
        <w:t xml:space="preserve"> are explicitly related to the three research questions that guide the study. The overall objective is to show that the review is based on a systematic and auditable evidence base, and is academically sound, as per Saunders et al. (2009) recommendation of the ELR methodology.</w:t>
      </w:r>
    </w:p>
    <w:p w14:paraId="271338A3" w14:textId="21AF6664" w:rsidR="00C15796" w:rsidRPr="00D06ACD" w:rsidRDefault="00C15796" w:rsidP="00D52247">
      <w:pPr>
        <w:pStyle w:val="Heading2"/>
      </w:pPr>
      <w:bookmarkStart w:id="13" w:name="_Toc231599662"/>
      <w:r w:rsidRPr="00D06ACD">
        <w:t>Search Strategy</w:t>
      </w:r>
      <w:bookmarkEnd w:id="13"/>
    </w:p>
    <w:p w14:paraId="27708116" w14:textId="77777777" w:rsidR="00C15796" w:rsidRPr="00D06ACD" w:rsidRDefault="00C15796" w:rsidP="00D06ACD">
      <w:pPr>
        <w:spacing w:line="360" w:lineRule="auto"/>
        <w:jc w:val="both"/>
        <w:rPr>
          <w:sz w:val="24"/>
          <w:szCs w:val="24"/>
        </w:rPr>
      </w:pPr>
      <w:r w:rsidRPr="00D06ACD">
        <w:rPr>
          <w:sz w:val="24"/>
          <w:szCs w:val="24"/>
        </w:rPr>
        <w:t xml:space="preserve">The search method that has been used is semi-systematic which is the guidance by Torraco (2016) to do integrative review. The semi-systematic approach does not involve repeating the same algorithmic searching in a mechanical way, but rather structured searching in a database and additional searching using a purposeful approach through policy or industry report archives. This allows the breadth of the evidence base relevant to the topic to be reviewed, not just what is found within the traditional academic database, and helps to keep the rigour of a </w:t>
      </w:r>
      <w:proofErr w:type="gramStart"/>
      <w:r w:rsidRPr="00D06ACD">
        <w:rPr>
          <w:sz w:val="24"/>
          <w:szCs w:val="24"/>
        </w:rPr>
        <w:t>Master's</w:t>
      </w:r>
      <w:proofErr w:type="gramEnd"/>
      <w:r w:rsidRPr="00D06ACD">
        <w:rPr>
          <w:sz w:val="24"/>
          <w:szCs w:val="24"/>
        </w:rPr>
        <w:t xml:space="preserve"> level dissertation.</w:t>
      </w:r>
    </w:p>
    <w:p w14:paraId="2214E17E" w14:textId="77777777" w:rsidR="00C15796" w:rsidRPr="00D06ACD" w:rsidRDefault="00C15796" w:rsidP="00D06ACD">
      <w:pPr>
        <w:spacing w:line="360" w:lineRule="auto"/>
        <w:jc w:val="both"/>
        <w:rPr>
          <w:sz w:val="24"/>
          <w:szCs w:val="24"/>
        </w:rPr>
      </w:pPr>
      <w:r w:rsidRPr="00D06ACD">
        <w:rPr>
          <w:sz w:val="24"/>
          <w:szCs w:val="24"/>
        </w:rPr>
        <w:t>There are epistemological grounds for justifying the overall approach, because the research takes an interpretivist philosophical stance, where the formation of procurement strategies in an emergent regulatory regime is understood as being shaped by the meanings that actors attribute to it and the institutional contexts in which this occurs, rather than laws that are universal and can be retrieved purely algorithmically (Bryman and Bell, 2015). A semi-</w:t>
      </w:r>
      <w:r w:rsidRPr="00D06ACD">
        <w:rPr>
          <w:sz w:val="24"/>
          <w:szCs w:val="24"/>
        </w:rPr>
        <w:lastRenderedPageBreak/>
        <w:t xml:space="preserve">systematic approach fits this view and is advocated for by Snyder (2019) in the context of research on emergent phenomena that is situated across </w:t>
      </w:r>
      <w:proofErr w:type="gramStart"/>
      <w:r w:rsidRPr="00D06ACD">
        <w:rPr>
          <w:sz w:val="24"/>
          <w:szCs w:val="24"/>
        </w:rPr>
        <w:t>a number of</w:t>
      </w:r>
      <w:proofErr w:type="gramEnd"/>
      <w:r w:rsidRPr="00D06ACD">
        <w:rPr>
          <w:sz w:val="24"/>
          <w:szCs w:val="24"/>
        </w:rPr>
        <w:t xml:space="preserve"> disciplinary silos.</w:t>
      </w:r>
    </w:p>
    <w:p w14:paraId="32801A72" w14:textId="161B509B" w:rsidR="00C15796" w:rsidRPr="00D06ACD" w:rsidRDefault="00C15796" w:rsidP="00D06ACD">
      <w:pPr>
        <w:spacing w:line="360" w:lineRule="auto"/>
        <w:jc w:val="both"/>
        <w:rPr>
          <w:sz w:val="24"/>
          <w:szCs w:val="24"/>
        </w:rPr>
      </w:pPr>
      <w:r w:rsidRPr="00D06ACD">
        <w:rPr>
          <w:sz w:val="24"/>
          <w:szCs w:val="24"/>
        </w:rPr>
        <w:t xml:space="preserve">Boolean operators (AND, OR, NOT) were used in all parts to connect the main terms and synonyms to maximize recall and yet keep relevance. A broad search was initially carried out, followed by a search for the </w:t>
      </w:r>
      <w:proofErr w:type="gramStart"/>
      <w:r w:rsidRPr="00D06ACD">
        <w:rPr>
          <w:sz w:val="24"/>
          <w:szCs w:val="24"/>
        </w:rPr>
        <w:t>most commonly cited</w:t>
      </w:r>
      <w:proofErr w:type="gramEnd"/>
      <w:r w:rsidRPr="00D06ACD">
        <w:rPr>
          <w:sz w:val="24"/>
          <w:szCs w:val="24"/>
        </w:rPr>
        <w:t xml:space="preserve"> studies and examining the reference lists and citing articles to further refine search terms with theoretical anchors of ‘carbon leakage', ‘transaction cost economics', ‘Porter Hypothesis', ‘institutional theory' and ‘resource dependence theory’.</w:t>
      </w:r>
    </w:p>
    <w:p w14:paraId="66B8492F" w14:textId="77777777" w:rsidR="003A7791" w:rsidRPr="00D06ACD" w:rsidRDefault="003A7791" w:rsidP="00D06ACD">
      <w:pPr>
        <w:pStyle w:val="Heading2"/>
        <w:spacing w:line="360" w:lineRule="auto"/>
        <w:jc w:val="both"/>
        <w:rPr>
          <w:rFonts w:cs="Times New Roman"/>
          <w:szCs w:val="24"/>
        </w:rPr>
      </w:pPr>
      <w:bookmarkStart w:id="14" w:name="_Toc231599663"/>
      <w:r w:rsidRPr="00D06ACD">
        <w:rPr>
          <w:rFonts w:cs="Times New Roman"/>
          <w:szCs w:val="24"/>
        </w:rPr>
        <w:t>Databases and Sources</w:t>
      </w:r>
      <w:bookmarkEnd w:id="14"/>
    </w:p>
    <w:p w14:paraId="237D4243" w14:textId="77777777" w:rsidR="00C15796" w:rsidRPr="00D06ACD" w:rsidRDefault="00C15796" w:rsidP="00D06ACD">
      <w:pPr>
        <w:spacing w:before="60" w:after="60" w:line="360" w:lineRule="auto"/>
        <w:jc w:val="both"/>
        <w:rPr>
          <w:sz w:val="24"/>
          <w:szCs w:val="24"/>
        </w:rPr>
      </w:pPr>
      <w:r w:rsidRPr="00D06ACD">
        <w:rPr>
          <w:sz w:val="24"/>
          <w:szCs w:val="24"/>
        </w:rPr>
        <w:t>The main academic databases that were used were Scopus, Web of Science, Business Source Premier (EBSCO), ScienceDirect and Emerald Insight. The databases were chosen because they together give a complete coverage of the three disciplinary areas of focus in this study, environmental economics, sustainable supply chain management, and construction management. They are indexed journal by journal and ranked in relation to the journal's quality in association with the Association of Business Schools (ABS) Academic Journal Guide.</w:t>
      </w:r>
    </w:p>
    <w:p w14:paraId="1763B69F" w14:textId="77777777" w:rsidR="00C15796" w:rsidRPr="00D06ACD" w:rsidRDefault="00C15796" w:rsidP="00D06ACD">
      <w:pPr>
        <w:spacing w:before="60" w:after="60" w:line="360" w:lineRule="auto"/>
        <w:jc w:val="both"/>
        <w:rPr>
          <w:sz w:val="24"/>
          <w:szCs w:val="24"/>
        </w:rPr>
      </w:pPr>
      <w:r w:rsidRPr="00D06ACD">
        <w:rPr>
          <w:sz w:val="24"/>
          <w:szCs w:val="24"/>
        </w:rPr>
        <w:t xml:space="preserve">To search grey literature and to conduct forward-citation searching, Google Scholar was used in an additional way. The policy repositories searched </w:t>
      </w:r>
      <w:proofErr w:type="gramStart"/>
      <w:r w:rsidRPr="00D06ACD">
        <w:rPr>
          <w:sz w:val="24"/>
          <w:szCs w:val="24"/>
        </w:rPr>
        <w:t>were:</w:t>
      </w:r>
      <w:proofErr w:type="gramEnd"/>
      <w:r w:rsidRPr="00D06ACD">
        <w:rPr>
          <w:sz w:val="24"/>
          <w:szCs w:val="24"/>
        </w:rPr>
        <w:t xml:space="preserve"> HM Treasury, the UK Department for Energy Security and Net Zero (DESNZ), the European Commission and the World Bank Open Knowledge Repository. These industry reports have been directly sourced from the websites of the Construction Leadership Council, UK Green Building Council, Carbon Tracker, McKinsey and Company, Boston Consulting Group and the Royal Institution of Chartered Surveyors.</w:t>
      </w:r>
    </w:p>
    <w:p w14:paraId="6761A0AA" w14:textId="74588CFF" w:rsidR="00C15796" w:rsidRPr="00D06ACD" w:rsidRDefault="00C15796" w:rsidP="00D52247">
      <w:pPr>
        <w:pStyle w:val="Heading2"/>
      </w:pPr>
      <w:bookmarkStart w:id="15" w:name="_Toc231599664"/>
      <w:r w:rsidRPr="00D06ACD">
        <w:t>Keywords and Search Terms</w:t>
      </w:r>
      <w:bookmarkEnd w:id="15"/>
    </w:p>
    <w:p w14:paraId="275D8EB9" w14:textId="77777777" w:rsidR="00C15796" w:rsidRPr="00D06ACD" w:rsidRDefault="00C15796" w:rsidP="00D06ACD">
      <w:pPr>
        <w:spacing w:before="60" w:after="60" w:line="360" w:lineRule="auto"/>
        <w:jc w:val="both"/>
        <w:rPr>
          <w:sz w:val="24"/>
          <w:szCs w:val="24"/>
        </w:rPr>
      </w:pPr>
      <w:r w:rsidRPr="00D06ACD">
        <w:rPr>
          <w:sz w:val="24"/>
          <w:szCs w:val="24"/>
        </w:rPr>
        <w:t>The main keywords used in the search of the academic databases were: ('Carbon Border Adjustment Mechanism' OR 'CBAM') AND ('procurement' OR 'supply chain' OR 'sourcing'); ('UK CBAM' OR 'UK carbon border adjustment') AND 'construction'; ('green steel' OR 'low-carbon steel' OR 'electric arc furnace') AND ('procurement' OR 'supply chain decarbonisation'); ('carbon pricing' OR 'emissions trading') AND ('construction procurement' OR 'embodied carbon'); and ('supply chain reconfiguration' OR 'supplier substitution') AND 'carbon regulation'. The research questions were used to formulate keywords which were developed in an iterative manner during the search process.</w:t>
      </w:r>
    </w:p>
    <w:p w14:paraId="4B391770" w14:textId="11ADD9F4" w:rsidR="00C15796" w:rsidRPr="00D06ACD" w:rsidRDefault="00C15796" w:rsidP="00D52247">
      <w:pPr>
        <w:pStyle w:val="Heading2"/>
      </w:pPr>
      <w:bookmarkStart w:id="16" w:name="_Toc231599665"/>
      <w:r w:rsidRPr="00D06ACD">
        <w:lastRenderedPageBreak/>
        <w:t>Time Frame for Included Publications</w:t>
      </w:r>
      <w:bookmarkEnd w:id="16"/>
    </w:p>
    <w:p w14:paraId="6845016C" w14:textId="77777777" w:rsidR="00C15796" w:rsidRPr="00D06ACD" w:rsidRDefault="00C15796" w:rsidP="00D06ACD">
      <w:pPr>
        <w:spacing w:before="60" w:after="60" w:line="360" w:lineRule="auto"/>
        <w:jc w:val="both"/>
        <w:rPr>
          <w:sz w:val="24"/>
          <w:szCs w:val="24"/>
        </w:rPr>
      </w:pPr>
      <w:r w:rsidRPr="00D06ACD">
        <w:rPr>
          <w:sz w:val="24"/>
          <w:szCs w:val="24"/>
        </w:rPr>
        <w:t>The review focuses on sources from 2015 to 2026. Choosing the lower boundary of 2015 was adopted because carbon pricing revenues started to significantly rise from this year, and from this year onwards, the policy debate on the design of border carbon adjustments increased in materiality (</w:t>
      </w:r>
      <w:proofErr w:type="spellStart"/>
      <w:r w:rsidRPr="00D06ACD">
        <w:rPr>
          <w:sz w:val="24"/>
          <w:szCs w:val="24"/>
        </w:rPr>
        <w:t>Santikarn</w:t>
      </w:r>
      <w:proofErr w:type="spellEnd"/>
      <w:r w:rsidRPr="00D06ACD">
        <w:rPr>
          <w:sz w:val="24"/>
          <w:szCs w:val="24"/>
        </w:rPr>
        <w:t xml:space="preserve"> et al., 2021; World Bank, 2023). Sources published prior to 2015 were included only if they provide foundational theoretical contributions that underpin the analytical framework, as in the case of Porter and van der Linde (1995), Williamson (2008) and DiMaggio and Powell (1983) – these are still canonical sources in their respective theories. The top date of 2026 is for this research; sources from 1Q 2026, such as updated HM Treasury guidance and industry-body assessments, are included where they are directly relevant to the timeline for implementation of the UK CBAM.</w:t>
      </w:r>
    </w:p>
    <w:p w14:paraId="3A546EFE" w14:textId="20642911" w:rsidR="00C15796" w:rsidRPr="00D06ACD" w:rsidRDefault="00C15796" w:rsidP="00D52247">
      <w:pPr>
        <w:pStyle w:val="Heading2"/>
      </w:pPr>
      <w:bookmarkStart w:id="17" w:name="_Toc231599666"/>
      <w:r w:rsidRPr="00D06ACD">
        <w:t>Inclusion and Exclusion Criteria</w:t>
      </w:r>
      <w:bookmarkEnd w:id="17"/>
    </w:p>
    <w:p w14:paraId="5432C92F" w14:textId="77777777" w:rsidR="00C15796" w:rsidRPr="00D06ACD" w:rsidRDefault="00C15796" w:rsidP="00D06ACD">
      <w:pPr>
        <w:spacing w:before="60" w:after="60" w:line="360" w:lineRule="auto"/>
        <w:jc w:val="both"/>
        <w:rPr>
          <w:sz w:val="24"/>
          <w:szCs w:val="24"/>
        </w:rPr>
      </w:pPr>
      <w:r w:rsidRPr="00D06ACD">
        <w:rPr>
          <w:sz w:val="24"/>
          <w:szCs w:val="24"/>
        </w:rPr>
        <w:t>To provide consistency and to reduce selection bias, a clear inclusion and exclusion criteria was established before the screening process. Sources were considered if they directly addressed one or more of the following substantive areas: carbon border adjustment mechanisms, carbon pricing in construction and manufacturing, green or low-carbon procurement, supply chain decarbonisation, embodied carbon in construction materials; and were peer-reviewed papers from journals, high quality academic book chapters, or authoritative policy and industry reports published between 2015 and 2026 or pre-2015 foundational theoretical works which were clearly included; written in English; and accessible in full-text through the University of Wales Trinity Saint David library portal or public repositories.</w:t>
      </w:r>
    </w:p>
    <w:p w14:paraId="5CF1661E" w14:textId="072A8551" w:rsidR="00C15796" w:rsidRPr="00D06ACD" w:rsidRDefault="00C15796" w:rsidP="00D06ACD">
      <w:pPr>
        <w:spacing w:before="60" w:after="60" w:line="360" w:lineRule="auto"/>
        <w:jc w:val="both"/>
        <w:rPr>
          <w:sz w:val="24"/>
          <w:szCs w:val="24"/>
        </w:rPr>
      </w:pPr>
      <w:r w:rsidRPr="00D06ACD">
        <w:rPr>
          <w:sz w:val="24"/>
          <w:szCs w:val="24"/>
        </w:rPr>
        <w:t>The sources were excluded if they were from non-academic sources online, opinion pieces, journalistic articles, non-peer reviewed articles, and studies undertaken at a macroeconomic level whose individual context and implications were not relevant to the firm level or sector level in the UK and the EU.</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3A7791" w:rsidRPr="00D06ACD" w14:paraId="284DA5C8" w14:textId="77777777" w:rsidTr="007B3AB8">
        <w:trPr>
          <w:tblHeader/>
        </w:trPr>
        <w:tc>
          <w:tcPr>
            <w:tcW w:w="45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7352B7E5" w14:textId="77777777" w:rsidR="003A7791" w:rsidRPr="00D06ACD" w:rsidRDefault="003A7791" w:rsidP="00D06ACD">
            <w:pPr>
              <w:spacing w:line="360" w:lineRule="auto"/>
              <w:jc w:val="both"/>
              <w:rPr>
                <w:sz w:val="24"/>
                <w:szCs w:val="24"/>
              </w:rPr>
            </w:pPr>
            <w:r w:rsidRPr="00D06ACD">
              <w:rPr>
                <w:b/>
                <w:bCs/>
                <w:sz w:val="24"/>
                <w:szCs w:val="24"/>
              </w:rPr>
              <w:t>Inclusion Criteria</w:t>
            </w:r>
          </w:p>
        </w:tc>
        <w:tc>
          <w:tcPr>
            <w:tcW w:w="45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4765D29D" w14:textId="77777777" w:rsidR="003A7791" w:rsidRPr="00D06ACD" w:rsidRDefault="003A7791" w:rsidP="00D06ACD">
            <w:pPr>
              <w:spacing w:line="360" w:lineRule="auto"/>
              <w:jc w:val="both"/>
              <w:rPr>
                <w:sz w:val="24"/>
                <w:szCs w:val="24"/>
              </w:rPr>
            </w:pPr>
            <w:r w:rsidRPr="00D06ACD">
              <w:rPr>
                <w:b/>
                <w:bCs/>
                <w:sz w:val="24"/>
                <w:szCs w:val="24"/>
              </w:rPr>
              <w:t>Exclusion Criteria</w:t>
            </w:r>
          </w:p>
        </w:tc>
      </w:tr>
      <w:tr w:rsidR="003A7791" w:rsidRPr="00D06ACD" w14:paraId="438B4430" w14:textId="77777777" w:rsidTr="007B3AB8">
        <w:tc>
          <w:tcPr>
            <w:tcW w:w="45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45DDADD7" w14:textId="77777777" w:rsidR="003A7791" w:rsidRPr="00D06ACD" w:rsidRDefault="003A7791" w:rsidP="00D06ACD">
            <w:pPr>
              <w:spacing w:line="360" w:lineRule="auto"/>
              <w:jc w:val="both"/>
              <w:rPr>
                <w:sz w:val="24"/>
                <w:szCs w:val="24"/>
              </w:rPr>
            </w:pPr>
            <w:r w:rsidRPr="00D06ACD">
              <w:rPr>
                <w:sz w:val="24"/>
                <w:szCs w:val="24"/>
              </w:rPr>
              <w:t>Peer-reviewed journal articles and academic book chapters</w:t>
            </w:r>
          </w:p>
        </w:tc>
        <w:tc>
          <w:tcPr>
            <w:tcW w:w="45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6462F62F" w14:textId="77777777" w:rsidR="003A7791" w:rsidRPr="00D06ACD" w:rsidRDefault="003A7791" w:rsidP="00D06ACD">
            <w:pPr>
              <w:spacing w:line="360" w:lineRule="auto"/>
              <w:jc w:val="both"/>
              <w:rPr>
                <w:sz w:val="24"/>
                <w:szCs w:val="24"/>
              </w:rPr>
            </w:pPr>
            <w:r w:rsidRPr="00D06ACD">
              <w:rPr>
                <w:sz w:val="24"/>
                <w:szCs w:val="24"/>
              </w:rPr>
              <w:t>Non-academic online sources, opinion pieces</w:t>
            </w:r>
          </w:p>
        </w:tc>
      </w:tr>
      <w:tr w:rsidR="003A7791" w:rsidRPr="00D06ACD" w14:paraId="4B1BAD9E" w14:textId="77777777" w:rsidTr="007B3AB8">
        <w:tc>
          <w:tcPr>
            <w:tcW w:w="45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50C3BA7B" w14:textId="77777777" w:rsidR="003A7791" w:rsidRPr="00D06ACD" w:rsidRDefault="003A7791" w:rsidP="00D06ACD">
            <w:pPr>
              <w:spacing w:line="360" w:lineRule="auto"/>
              <w:jc w:val="both"/>
              <w:rPr>
                <w:sz w:val="24"/>
                <w:szCs w:val="24"/>
              </w:rPr>
            </w:pPr>
            <w:r w:rsidRPr="00D06ACD">
              <w:rPr>
                <w:sz w:val="24"/>
                <w:szCs w:val="24"/>
              </w:rPr>
              <w:t>Published 2015–2026 (or pre-2015 foundational theory)</w:t>
            </w:r>
          </w:p>
        </w:tc>
        <w:tc>
          <w:tcPr>
            <w:tcW w:w="45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7FD5E0BD" w14:textId="77777777" w:rsidR="003A7791" w:rsidRPr="00D06ACD" w:rsidRDefault="003A7791" w:rsidP="00D06ACD">
            <w:pPr>
              <w:spacing w:line="360" w:lineRule="auto"/>
              <w:jc w:val="both"/>
              <w:rPr>
                <w:sz w:val="24"/>
                <w:szCs w:val="24"/>
              </w:rPr>
            </w:pPr>
            <w:r w:rsidRPr="00D06ACD">
              <w:rPr>
                <w:sz w:val="24"/>
                <w:szCs w:val="24"/>
              </w:rPr>
              <w:t>Conference abstracts without full papers</w:t>
            </w:r>
          </w:p>
        </w:tc>
      </w:tr>
      <w:tr w:rsidR="003A7791" w:rsidRPr="00D06ACD" w14:paraId="4103DD9D" w14:textId="77777777" w:rsidTr="007B3AB8">
        <w:tc>
          <w:tcPr>
            <w:tcW w:w="45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7FE06315" w14:textId="77777777" w:rsidR="003A7791" w:rsidRPr="00D06ACD" w:rsidRDefault="003A7791" w:rsidP="00D06ACD">
            <w:pPr>
              <w:spacing w:line="360" w:lineRule="auto"/>
              <w:jc w:val="both"/>
              <w:rPr>
                <w:sz w:val="24"/>
                <w:szCs w:val="24"/>
              </w:rPr>
            </w:pPr>
            <w:r w:rsidRPr="00D06ACD">
              <w:rPr>
                <w:sz w:val="24"/>
                <w:szCs w:val="24"/>
              </w:rPr>
              <w:lastRenderedPageBreak/>
              <w:t>Addresses CBAM, carbon pricing, green procurement, or embodied carbon</w:t>
            </w:r>
          </w:p>
        </w:tc>
        <w:tc>
          <w:tcPr>
            <w:tcW w:w="45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5E4610EB" w14:textId="77777777" w:rsidR="003A7791" w:rsidRPr="00D06ACD" w:rsidRDefault="003A7791" w:rsidP="00D06ACD">
            <w:pPr>
              <w:spacing w:line="360" w:lineRule="auto"/>
              <w:jc w:val="both"/>
              <w:rPr>
                <w:sz w:val="24"/>
                <w:szCs w:val="24"/>
              </w:rPr>
            </w:pPr>
            <w:r w:rsidRPr="00D06ACD">
              <w:rPr>
                <w:sz w:val="24"/>
                <w:szCs w:val="24"/>
              </w:rPr>
              <w:t>Non-UK/EU jurisdictions without comparative relevance</w:t>
            </w:r>
          </w:p>
        </w:tc>
      </w:tr>
      <w:tr w:rsidR="003A7791" w:rsidRPr="00D06ACD" w14:paraId="2C65C7EC" w14:textId="77777777" w:rsidTr="007B3AB8">
        <w:tc>
          <w:tcPr>
            <w:tcW w:w="45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4C59AC7F" w14:textId="77777777" w:rsidR="003A7791" w:rsidRPr="00D06ACD" w:rsidRDefault="003A7791" w:rsidP="00D06ACD">
            <w:pPr>
              <w:spacing w:line="360" w:lineRule="auto"/>
              <w:jc w:val="both"/>
              <w:rPr>
                <w:sz w:val="24"/>
                <w:szCs w:val="24"/>
              </w:rPr>
            </w:pPr>
            <w:r w:rsidRPr="00D06ACD">
              <w:rPr>
                <w:sz w:val="24"/>
                <w:szCs w:val="24"/>
              </w:rPr>
              <w:t>Written in English and accessible in full text</w:t>
            </w:r>
          </w:p>
        </w:tc>
        <w:tc>
          <w:tcPr>
            <w:tcW w:w="45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273B6386" w14:textId="77777777" w:rsidR="003A7791" w:rsidRPr="00D06ACD" w:rsidRDefault="003A7791" w:rsidP="00D06ACD">
            <w:pPr>
              <w:spacing w:line="360" w:lineRule="auto"/>
              <w:jc w:val="both"/>
              <w:rPr>
                <w:sz w:val="24"/>
                <w:szCs w:val="24"/>
              </w:rPr>
            </w:pPr>
            <w:r w:rsidRPr="00D06ACD">
              <w:rPr>
                <w:sz w:val="24"/>
                <w:szCs w:val="24"/>
              </w:rPr>
              <w:t>Duplicate records across databases</w:t>
            </w:r>
          </w:p>
        </w:tc>
      </w:tr>
      <w:tr w:rsidR="003A7791" w:rsidRPr="00D06ACD" w14:paraId="2159DF1B" w14:textId="77777777" w:rsidTr="007B3AB8">
        <w:tc>
          <w:tcPr>
            <w:tcW w:w="45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57B38412" w14:textId="77777777" w:rsidR="003A7791" w:rsidRPr="00D06ACD" w:rsidRDefault="003A7791" w:rsidP="00D06ACD">
            <w:pPr>
              <w:spacing w:line="360" w:lineRule="auto"/>
              <w:jc w:val="both"/>
              <w:rPr>
                <w:sz w:val="24"/>
                <w:szCs w:val="24"/>
              </w:rPr>
            </w:pPr>
            <w:r w:rsidRPr="00D06ACD">
              <w:rPr>
                <w:sz w:val="24"/>
                <w:szCs w:val="24"/>
              </w:rPr>
              <w:t>Authoritative policy and industry reports</w:t>
            </w:r>
          </w:p>
        </w:tc>
        <w:tc>
          <w:tcPr>
            <w:tcW w:w="45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1CDE907D" w14:textId="77777777" w:rsidR="003A7791" w:rsidRPr="00D06ACD" w:rsidRDefault="003A7791" w:rsidP="00D06ACD">
            <w:pPr>
              <w:spacing w:line="360" w:lineRule="auto"/>
              <w:jc w:val="both"/>
              <w:rPr>
                <w:sz w:val="24"/>
                <w:szCs w:val="24"/>
              </w:rPr>
            </w:pPr>
            <w:r w:rsidRPr="00D06ACD">
              <w:rPr>
                <w:sz w:val="24"/>
                <w:szCs w:val="24"/>
              </w:rPr>
              <w:t>Macro-level economics with no firm/sector implications</w:t>
            </w:r>
          </w:p>
        </w:tc>
      </w:tr>
    </w:tbl>
    <w:p w14:paraId="5BDBE117" w14:textId="0E43660F" w:rsidR="003A7791" w:rsidRPr="00D06ACD" w:rsidRDefault="00D52247" w:rsidP="00D52247">
      <w:pPr>
        <w:pStyle w:val="Caption"/>
        <w:rPr>
          <w:sz w:val="24"/>
          <w:szCs w:val="24"/>
        </w:rPr>
      </w:pPr>
      <w:r>
        <w:t xml:space="preserve">Table </w:t>
      </w:r>
      <w:fldSimple w:instr=" SEQ Table \* ARABIC ">
        <w:r>
          <w:rPr>
            <w:noProof/>
          </w:rPr>
          <w:t>1</w:t>
        </w:r>
      </w:fldSimple>
      <w:r>
        <w:t xml:space="preserve"> </w:t>
      </w:r>
      <w:r w:rsidR="003A7791" w:rsidRPr="00D06ACD">
        <w:rPr>
          <w:sz w:val="24"/>
          <w:szCs w:val="24"/>
        </w:rPr>
        <w:t>Inclusion and Exclusion Criteria</w:t>
      </w:r>
    </w:p>
    <w:p w14:paraId="1D57053A" w14:textId="77777777" w:rsidR="003A7791" w:rsidRPr="00D06ACD" w:rsidRDefault="003A7791" w:rsidP="00D06ACD">
      <w:pPr>
        <w:pStyle w:val="Heading2"/>
        <w:spacing w:line="360" w:lineRule="auto"/>
        <w:jc w:val="both"/>
        <w:rPr>
          <w:rFonts w:cs="Times New Roman"/>
          <w:szCs w:val="24"/>
        </w:rPr>
      </w:pPr>
      <w:bookmarkStart w:id="18" w:name="_Toc231599667"/>
      <w:r w:rsidRPr="00D06ACD">
        <w:rPr>
          <w:rFonts w:cs="Times New Roman"/>
          <w:szCs w:val="24"/>
        </w:rPr>
        <w:t>Screening Process (PRISMA-Style)</w:t>
      </w:r>
      <w:bookmarkEnd w:id="18"/>
    </w:p>
    <w:p w14:paraId="5A98F183" w14:textId="77777777" w:rsidR="00C15796" w:rsidRPr="00D06ACD" w:rsidRDefault="00C15796" w:rsidP="00D06ACD">
      <w:pPr>
        <w:spacing w:before="240" w:after="120" w:line="360" w:lineRule="auto"/>
        <w:jc w:val="both"/>
        <w:rPr>
          <w:sz w:val="24"/>
          <w:szCs w:val="24"/>
        </w:rPr>
      </w:pPr>
      <w:r w:rsidRPr="00D06ACD">
        <w:rPr>
          <w:sz w:val="24"/>
          <w:szCs w:val="24"/>
        </w:rPr>
        <w:t xml:space="preserve">A four-step procedure </w:t>
      </w:r>
      <w:proofErr w:type="gramStart"/>
      <w:r w:rsidRPr="00D06ACD">
        <w:rPr>
          <w:sz w:val="24"/>
          <w:szCs w:val="24"/>
        </w:rPr>
        <w:t>similar to</w:t>
      </w:r>
      <w:proofErr w:type="gramEnd"/>
      <w:r w:rsidRPr="00D06ACD">
        <w:rPr>
          <w:sz w:val="24"/>
          <w:szCs w:val="24"/>
        </w:rPr>
        <w:t xml:space="preserve"> that of the PRISMA format (Moher et al., 2009) was used to guide the screening process and took place in the context of an Extended Literature Review.</w:t>
      </w:r>
    </w:p>
    <w:p w14:paraId="38760F8C" w14:textId="77777777" w:rsidR="00C15796" w:rsidRPr="00D06ACD" w:rsidRDefault="00C15796" w:rsidP="00D06ACD">
      <w:pPr>
        <w:spacing w:before="240" w:after="120" w:line="360" w:lineRule="auto"/>
        <w:jc w:val="both"/>
        <w:rPr>
          <w:sz w:val="24"/>
          <w:szCs w:val="24"/>
        </w:rPr>
      </w:pPr>
      <w:r w:rsidRPr="00D52247">
        <w:rPr>
          <w:b/>
          <w:bCs/>
          <w:sz w:val="24"/>
          <w:szCs w:val="24"/>
        </w:rPr>
        <w:t>Stage 1 – Identification:</w:t>
      </w:r>
      <w:r w:rsidRPr="00D06ACD">
        <w:rPr>
          <w:sz w:val="24"/>
          <w:szCs w:val="24"/>
        </w:rPr>
        <w:t xml:space="preserve"> About 620 records were found in the initial database search in all five academic databases. The identification pool, c. 665 records, was expanded by another 45 by conducting additional searches in policy repositories and industry reports.</w:t>
      </w:r>
    </w:p>
    <w:p w14:paraId="243F4959" w14:textId="77777777" w:rsidR="00C15796" w:rsidRPr="00D06ACD" w:rsidRDefault="00C15796" w:rsidP="00D06ACD">
      <w:pPr>
        <w:spacing w:before="240" w:after="120" w:line="360" w:lineRule="auto"/>
        <w:jc w:val="both"/>
        <w:rPr>
          <w:sz w:val="24"/>
          <w:szCs w:val="24"/>
        </w:rPr>
      </w:pPr>
      <w:r w:rsidRPr="00D52247">
        <w:rPr>
          <w:b/>
          <w:bCs/>
          <w:sz w:val="24"/>
          <w:szCs w:val="24"/>
        </w:rPr>
        <w:t>Stage 2 – Screening:</w:t>
      </w:r>
      <w:r w:rsidRPr="00D06ACD">
        <w:rPr>
          <w:sz w:val="24"/>
          <w:szCs w:val="24"/>
        </w:rPr>
        <w:t xml:space="preserve"> Duplicates were removed (around 95 records) leaving about 570 records. Titles and abstracts were then scanned for the inclusion and exclusion criteria, excluding another 360 records that were not related to CBAM, carbon pricing, procurement, or supply chain management.</w:t>
      </w:r>
    </w:p>
    <w:p w14:paraId="2AEDACDB" w14:textId="77777777" w:rsidR="00C15796" w:rsidRPr="00D06ACD" w:rsidRDefault="00C15796" w:rsidP="00D06ACD">
      <w:pPr>
        <w:spacing w:before="240" w:after="120" w:line="360" w:lineRule="auto"/>
        <w:jc w:val="both"/>
        <w:rPr>
          <w:sz w:val="24"/>
          <w:szCs w:val="24"/>
        </w:rPr>
      </w:pPr>
      <w:r w:rsidRPr="00D52247">
        <w:rPr>
          <w:b/>
          <w:bCs/>
          <w:sz w:val="24"/>
          <w:szCs w:val="24"/>
        </w:rPr>
        <w:t>Stage 3 – Eligibility:</w:t>
      </w:r>
      <w:r w:rsidRPr="00D06ACD">
        <w:rPr>
          <w:sz w:val="24"/>
          <w:szCs w:val="24"/>
        </w:rPr>
        <w:t xml:space="preserve"> Of the remaining ~210 records, they were evaluated in full-text. Some 80 records focused upon non-UK/non-EU jurisdictions, 15 were conference abstracts only, and 45 were opinion pieces or non-peer-reviewed research, leaving about 70 records eligible.</w:t>
      </w:r>
    </w:p>
    <w:p w14:paraId="57895F1A" w14:textId="77777777" w:rsidR="00C15796" w:rsidRPr="00D06ACD" w:rsidRDefault="00C15796" w:rsidP="00D06ACD">
      <w:pPr>
        <w:spacing w:before="240" w:after="120" w:line="360" w:lineRule="auto"/>
        <w:jc w:val="both"/>
        <w:rPr>
          <w:sz w:val="24"/>
          <w:szCs w:val="24"/>
        </w:rPr>
      </w:pPr>
      <w:r w:rsidRPr="00D52247">
        <w:rPr>
          <w:b/>
          <w:bCs/>
          <w:sz w:val="24"/>
          <w:szCs w:val="24"/>
        </w:rPr>
        <w:t>Stage 4 – Inclusion:</w:t>
      </w:r>
      <w:r w:rsidRPr="00D06ACD">
        <w:rPr>
          <w:sz w:val="24"/>
          <w:szCs w:val="24"/>
        </w:rPr>
        <w:t xml:space="preserve"> Thematic relevance and academic quality were assessed on these 70 </w:t>
      </w:r>
      <w:proofErr w:type="gramStart"/>
      <w:r w:rsidRPr="00D06ACD">
        <w:rPr>
          <w:sz w:val="24"/>
          <w:szCs w:val="24"/>
        </w:rPr>
        <w:t>records</w:t>
      </w:r>
      <w:proofErr w:type="gramEnd"/>
      <w:r w:rsidRPr="00D06ACD">
        <w:rPr>
          <w:sz w:val="24"/>
          <w:szCs w:val="24"/>
        </w:rPr>
        <w:t xml:space="preserve"> and the Extended Literature Review (ELR) was created with around 60 to 70 of them. The process outlined above is summarised in the PRISMA style flow diagram shown in Figure 2.1 below and Appendix A.</w:t>
      </w:r>
    </w:p>
    <w:p w14:paraId="2EAB8F96" w14:textId="62239E22" w:rsidR="003A7791" w:rsidRPr="00D06ACD" w:rsidRDefault="003A7791" w:rsidP="00D52247">
      <w:pPr>
        <w:pStyle w:val="Caption"/>
        <w:rPr>
          <w:sz w:val="24"/>
          <w:szCs w:val="24"/>
        </w:rPr>
      </w:pPr>
      <w:r w:rsidRPr="00D06ACD">
        <w:rPr>
          <w:noProof/>
          <w:sz w:val="24"/>
          <w:szCs w:val="24"/>
        </w:rPr>
        <w:lastRenderedPageBreak/>
        <w:drawing>
          <wp:inline distT="0" distB="0" distL="0" distR="0" wp14:anchorId="377BD551" wp14:editId="24B347A3">
            <wp:extent cx="5942965" cy="5935980"/>
            <wp:effectExtent l="0" t="0" r="635" b="7620"/>
            <wp:docPr id="1001" name="PRISMA Flow Diagram" descr="PRISMA-style flow diagram showing four stages of literature search and se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 name="PRISMA Flow Diagram" descr="PRISMA-style flow diagram showing four stages of literature search and selection"/>
                    <pic:cNvPicPr>
                      <a:picLocks noChangeAspect="1"/>
                    </pic:cNvPicPr>
                  </pic:nvPicPr>
                  <pic:blipFill>
                    <a:blip r:embed="rId9"/>
                    <a:srcRect b="10365"/>
                    <a:stretch>
                      <a:fillRect/>
                    </a:stretch>
                  </pic:blipFill>
                  <pic:spPr>
                    <a:xfrm>
                      <a:off x="0" y="0"/>
                      <a:ext cx="5943600" cy="5936386"/>
                    </a:xfrm>
                    <a:prstGeom prst="rect">
                      <a:avLst/>
                    </a:prstGeom>
                    <a:ln>
                      <a:noFill/>
                    </a:ln>
                  </pic:spPr>
                </pic:pic>
              </a:graphicData>
            </a:graphic>
          </wp:inline>
        </w:drawing>
      </w:r>
      <w:r w:rsidR="00D52247">
        <w:t xml:space="preserve">Figure </w:t>
      </w:r>
      <w:fldSimple w:instr=" SEQ Figure \* ARABIC ">
        <w:r w:rsidR="00D52247">
          <w:rPr>
            <w:noProof/>
          </w:rPr>
          <w:t>1</w:t>
        </w:r>
      </w:fldSimple>
      <w:r w:rsidR="00D52247">
        <w:t xml:space="preserve"> </w:t>
      </w:r>
      <w:r w:rsidRPr="00D06ACD">
        <w:rPr>
          <w:sz w:val="24"/>
          <w:szCs w:val="24"/>
        </w:rPr>
        <w:t>PRISMA-Style Flow Diagram of Literature Search and Selection Process (Moher et al., 2009)</w:t>
      </w:r>
    </w:p>
    <w:p w14:paraId="06B02997" w14:textId="77777777" w:rsidR="003A7791" w:rsidRPr="00D06ACD" w:rsidRDefault="003A7791" w:rsidP="00D06ACD">
      <w:pPr>
        <w:pStyle w:val="Heading2"/>
        <w:spacing w:line="360" w:lineRule="auto"/>
        <w:jc w:val="both"/>
        <w:rPr>
          <w:rFonts w:cs="Times New Roman"/>
          <w:szCs w:val="24"/>
        </w:rPr>
      </w:pPr>
      <w:bookmarkStart w:id="19" w:name="_Toc231599668"/>
      <w:r w:rsidRPr="00D06ACD">
        <w:rPr>
          <w:rFonts w:cs="Times New Roman"/>
          <w:szCs w:val="24"/>
        </w:rPr>
        <w:t>Quality Assessment of Included Studies</w:t>
      </w:r>
      <w:bookmarkEnd w:id="19"/>
    </w:p>
    <w:p w14:paraId="68C1DCDF" w14:textId="77777777" w:rsidR="00C15796" w:rsidRPr="00D06ACD" w:rsidRDefault="00C15796" w:rsidP="00D06ACD">
      <w:pPr>
        <w:spacing w:line="360" w:lineRule="auto"/>
        <w:jc w:val="both"/>
        <w:rPr>
          <w:sz w:val="24"/>
          <w:szCs w:val="24"/>
        </w:rPr>
      </w:pPr>
      <w:r w:rsidRPr="00D06ACD">
        <w:rPr>
          <w:sz w:val="24"/>
          <w:szCs w:val="24"/>
        </w:rPr>
        <w:t xml:space="preserve">Five criteria were used to evaluate the quality and relevance of the studies included. The first is journal ranking, where peer-reviewed articles are compared to the ABS Academic Journal Guide (2021), which rates journals according to a four-point quality scale ranging from 1-star to 4-star (4-star being world-leading journals), and with the </w:t>
      </w:r>
      <w:proofErr w:type="spellStart"/>
      <w:r w:rsidRPr="00D06ACD">
        <w:rPr>
          <w:sz w:val="24"/>
          <w:szCs w:val="24"/>
        </w:rPr>
        <w:t>SCImago</w:t>
      </w:r>
      <w:proofErr w:type="spellEnd"/>
      <w:r w:rsidRPr="00D06ACD">
        <w:rPr>
          <w:sz w:val="24"/>
          <w:szCs w:val="24"/>
        </w:rPr>
        <w:t xml:space="preserve"> Journal Rank (SJR) indicator from Scopus, which classifies journals into quartiles based on their quality: Q1 (highest quality quartile) to Q4 (lowest quality quartile). In view of the emergent and highly specific nature of the scholarship of UK CBAM, and the fact that there is an empirically interesting element across the entire spectrum of journal quality, all ABS-</w:t>
      </w:r>
      <w:r w:rsidRPr="00D06ACD">
        <w:rPr>
          <w:sz w:val="24"/>
          <w:szCs w:val="24"/>
        </w:rPr>
        <w:lastRenderedPageBreak/>
        <w:t xml:space="preserve">rated journals from 1-star to 4-star were deemed to be able to be included in this review. Only journals with SJR index in the top two quartiles were selected (Q1 and Q2) to ensure internationally indexed peer-reviewed articles are of an academic quality, of a level of citations that are considered impactful for the </w:t>
      </w:r>
      <w:proofErr w:type="gramStart"/>
      <w:r w:rsidRPr="00D06ACD">
        <w:rPr>
          <w:sz w:val="24"/>
          <w:szCs w:val="24"/>
        </w:rPr>
        <w:t>field, and</w:t>
      </w:r>
      <w:proofErr w:type="gramEnd"/>
      <w:r w:rsidRPr="00D06ACD">
        <w:rPr>
          <w:sz w:val="24"/>
          <w:szCs w:val="24"/>
        </w:rPr>
        <w:t xml:space="preserve"> have a level of editorial quality that is recognised. Second, methodological robustness: the studies were evaluated for the internal consistency, suitability of sampling/</w:t>
      </w:r>
      <w:proofErr w:type="spellStart"/>
      <w:r w:rsidRPr="00D06ACD">
        <w:rPr>
          <w:sz w:val="24"/>
          <w:szCs w:val="24"/>
        </w:rPr>
        <w:t>datacollection</w:t>
      </w:r>
      <w:proofErr w:type="spellEnd"/>
      <w:r w:rsidRPr="00D06ACD">
        <w:rPr>
          <w:sz w:val="24"/>
          <w:szCs w:val="24"/>
        </w:rPr>
        <w:t xml:space="preserve"> process, and transparency of analysis methodology. Third, contextual relevance: sources were evaluated in terms of how directly they referred to the construction sector in the UK, carbon pricing, and/or procurement strategy reconfiguration; studies that could not be directly applied to the UK were classified as being in the second tier of support. Fourth, theoretical contribution: clarity and originality of conceptual contribution of sources. Fifth, recency and policy currency: for regulatory and policy documents, where appropriate, the most up to date version of HM Treasury and DESNZ guidance was assessed. Industry reports from well-known institutions were evaluated as to their methodological transparency and credibility of the institutions.</w:t>
      </w:r>
    </w:p>
    <w:p w14:paraId="70434FF1" w14:textId="32B3EED8" w:rsidR="00C15796" w:rsidRPr="00D06ACD" w:rsidRDefault="00C15796" w:rsidP="00D52247">
      <w:pPr>
        <w:pStyle w:val="Heading2"/>
      </w:pPr>
      <w:bookmarkStart w:id="20" w:name="_Toc231599669"/>
      <w:r w:rsidRPr="00D06ACD">
        <w:t>Analytical Method: How the Literature Was Examined</w:t>
      </w:r>
      <w:bookmarkEnd w:id="20"/>
    </w:p>
    <w:p w14:paraId="615ED732" w14:textId="77777777" w:rsidR="00C15796" w:rsidRPr="00D06ACD" w:rsidRDefault="00C15796" w:rsidP="00D06ACD">
      <w:pPr>
        <w:spacing w:line="360" w:lineRule="auto"/>
        <w:jc w:val="both"/>
        <w:rPr>
          <w:sz w:val="24"/>
          <w:szCs w:val="24"/>
        </w:rPr>
      </w:pPr>
      <w:r w:rsidRPr="00D06ACD">
        <w:rPr>
          <w:sz w:val="24"/>
          <w:szCs w:val="24"/>
        </w:rPr>
        <w:t>The six phases of thematic analysis outlined by Braun and Clarke (2006) were used to analyse the included sources in the context of secondary literature. Phase 1 (Familiarisation) included the close reading of all the sources included – initial notes were taken on key arguments, empirical claims and theoretical stands. Phase 2 (Generating initial codes) included systematic coding of the relevant text on three analytically derived coding dimensions: (1) carbon cost impact, quantitative and qualitative evidence of procurement cost changes as a result of CBAM; (2) restructuring of supply chains, map procurement sourcing geography and selection criteria in the light of CBAM; and (3) carbon adjusted procurement, evidence on decision making frameworks that harmonise compliance and cost pressures with carbon efficiency objectives.</w:t>
      </w:r>
    </w:p>
    <w:p w14:paraId="0E7282BE" w14:textId="77777777" w:rsidR="00C15796" w:rsidRPr="00D06ACD" w:rsidRDefault="00C15796" w:rsidP="00D06ACD">
      <w:pPr>
        <w:spacing w:line="360" w:lineRule="auto"/>
        <w:jc w:val="both"/>
        <w:rPr>
          <w:sz w:val="24"/>
          <w:szCs w:val="24"/>
        </w:rPr>
      </w:pPr>
      <w:r w:rsidRPr="00D06ACD">
        <w:rPr>
          <w:sz w:val="24"/>
          <w:szCs w:val="24"/>
        </w:rPr>
        <w:t>In Phase 3 (Searching for themes) initial codes were grouped together to form candidate themes, spanning across individual sources. Phase 4 (Reviewing themes) applied the candidate themes to the whole corpus to check for coherence, distinctiveness and collective exhaustiveness. The four themes emerging in Phase 5 (Defining and naming themes): theoretical foundations, empirical findings, emerging debates and research gaps are presented in Chapter 3. In Phase 6 (Producing the report), the themes were written up as synthesised analytical narratives, making sure to link the thematic findings clearly to the three research questions.</w:t>
      </w:r>
    </w:p>
    <w:p w14:paraId="5A0E63E0" w14:textId="5B338A21" w:rsidR="00C15796" w:rsidRPr="00D06ACD" w:rsidRDefault="00C15796" w:rsidP="00D06ACD">
      <w:pPr>
        <w:spacing w:line="360" w:lineRule="auto"/>
        <w:jc w:val="both"/>
        <w:rPr>
          <w:sz w:val="24"/>
          <w:szCs w:val="24"/>
        </w:rPr>
      </w:pPr>
      <w:r w:rsidRPr="00D06ACD">
        <w:rPr>
          <w:sz w:val="24"/>
          <w:szCs w:val="24"/>
        </w:rPr>
        <w:lastRenderedPageBreak/>
        <w:t>The coding was done manually, as this would ensure an audit trail and transparency of the analysis process (Saunders et al., 2009). Findings were triangulated in the three source categories</w:t>
      </w:r>
      <w:r w:rsidR="00D52247">
        <w:rPr>
          <w:sz w:val="24"/>
          <w:szCs w:val="24"/>
        </w:rPr>
        <w:t xml:space="preserve">, </w:t>
      </w:r>
      <w:r w:rsidRPr="00D06ACD">
        <w:rPr>
          <w:sz w:val="24"/>
          <w:szCs w:val="24"/>
        </w:rPr>
        <w:t>academic literature, government and regulatory policy documents and industry reports</w:t>
      </w:r>
      <w:r w:rsidR="00D52247">
        <w:rPr>
          <w:sz w:val="24"/>
          <w:szCs w:val="24"/>
        </w:rPr>
        <w:t xml:space="preserve">, </w:t>
      </w:r>
      <w:r w:rsidRPr="00D06ACD">
        <w:rPr>
          <w:sz w:val="24"/>
          <w:szCs w:val="24"/>
        </w:rPr>
        <w:t xml:space="preserve">improving the credibility and transferability of the findings. If sources </w:t>
      </w:r>
      <w:proofErr w:type="gramStart"/>
      <w:r w:rsidRPr="00D06ACD">
        <w:rPr>
          <w:sz w:val="24"/>
          <w:szCs w:val="24"/>
        </w:rPr>
        <w:t>are in agreement</w:t>
      </w:r>
      <w:proofErr w:type="gramEnd"/>
      <w:r w:rsidRPr="00D06ACD">
        <w:rPr>
          <w:sz w:val="24"/>
          <w:szCs w:val="24"/>
        </w:rPr>
        <w:t xml:space="preserve"> about a finding, this is stated as established evidence; if sources are in conflict, the nature of the disagreement is explicitly analysed.</w:t>
      </w:r>
    </w:p>
    <w:p w14:paraId="751A72B2" w14:textId="3B23D1C6" w:rsidR="00C15796" w:rsidRPr="00D06ACD" w:rsidRDefault="00C15796" w:rsidP="00D52247">
      <w:pPr>
        <w:pStyle w:val="Heading2"/>
      </w:pPr>
      <w:bookmarkStart w:id="21" w:name="_Toc231599670"/>
      <w:r w:rsidRPr="00D06ACD">
        <w:t>Conclusion:</w:t>
      </w:r>
      <w:bookmarkEnd w:id="21"/>
    </w:p>
    <w:p w14:paraId="7B71CD5C" w14:textId="12AF0D34" w:rsidR="00C15796" w:rsidRDefault="00C15796" w:rsidP="00D06ACD">
      <w:pPr>
        <w:spacing w:line="360" w:lineRule="auto"/>
        <w:jc w:val="both"/>
        <w:rPr>
          <w:sz w:val="24"/>
          <w:szCs w:val="24"/>
        </w:rPr>
      </w:pPr>
      <w:r w:rsidRPr="00D06ACD">
        <w:rPr>
          <w:sz w:val="24"/>
          <w:szCs w:val="24"/>
        </w:rPr>
        <w:t xml:space="preserve">To summarize this chapter has provided a sound and clear evidence-base for the Extended Literature Review in a methodologically rigorous and transparent way. The semi-systematic search strategy resulted in inclusion of a final corpus of around 60-70 sources, of which 3 perspectives from different disciplines complement the three research questions. Supported by the policy and industry repositories, the search resulted in relevant sources from the three research questions and three complementary disciplinary perspectives. The ABS Academic Journal Guide (including 1-star through to 4-star journals) and the </w:t>
      </w:r>
      <w:proofErr w:type="spellStart"/>
      <w:r w:rsidRPr="00D06ACD">
        <w:rPr>
          <w:sz w:val="24"/>
          <w:szCs w:val="24"/>
        </w:rPr>
        <w:t>SCImago</w:t>
      </w:r>
      <w:proofErr w:type="spellEnd"/>
      <w:r w:rsidRPr="00D06ACD">
        <w:rPr>
          <w:sz w:val="24"/>
          <w:szCs w:val="24"/>
        </w:rPr>
        <w:t xml:space="preserve"> Journal Rank (SJR) indicator (available for Q1 and Q2 journals only), were used together as the main quality assessment indicators, so that the selection of sources is based on both the spectrum of ABS-ranked scholarship and a suitable indicator of international visibility in Scopus. The methodological basis for the thematic review presented in Chapter Three is provided by the PRISMA-inspired screening process, the six-phase thematic analysis framework, and the triangulation across source categories.</w:t>
      </w:r>
    </w:p>
    <w:p w14:paraId="68F409E1" w14:textId="77777777" w:rsidR="00D52247" w:rsidRDefault="00D52247" w:rsidP="00D06ACD">
      <w:pPr>
        <w:spacing w:line="360" w:lineRule="auto"/>
        <w:jc w:val="both"/>
        <w:rPr>
          <w:sz w:val="24"/>
          <w:szCs w:val="24"/>
        </w:rPr>
      </w:pPr>
    </w:p>
    <w:p w14:paraId="2F776A8F" w14:textId="77777777" w:rsidR="00D52247" w:rsidRDefault="00D52247" w:rsidP="00D06ACD">
      <w:pPr>
        <w:spacing w:line="360" w:lineRule="auto"/>
        <w:jc w:val="both"/>
        <w:rPr>
          <w:sz w:val="24"/>
          <w:szCs w:val="24"/>
        </w:rPr>
      </w:pPr>
    </w:p>
    <w:p w14:paraId="0D2DCA19" w14:textId="77777777" w:rsidR="00D52247" w:rsidRDefault="00D52247" w:rsidP="00D06ACD">
      <w:pPr>
        <w:spacing w:line="360" w:lineRule="auto"/>
        <w:jc w:val="both"/>
        <w:rPr>
          <w:sz w:val="24"/>
          <w:szCs w:val="24"/>
        </w:rPr>
      </w:pPr>
    </w:p>
    <w:p w14:paraId="3F70745C" w14:textId="77777777" w:rsidR="00D52247" w:rsidRDefault="00D52247" w:rsidP="00D06ACD">
      <w:pPr>
        <w:spacing w:line="360" w:lineRule="auto"/>
        <w:jc w:val="both"/>
        <w:rPr>
          <w:sz w:val="24"/>
          <w:szCs w:val="24"/>
        </w:rPr>
      </w:pPr>
    </w:p>
    <w:p w14:paraId="4AB11252" w14:textId="77777777" w:rsidR="00D52247" w:rsidRDefault="00D52247" w:rsidP="00D06ACD">
      <w:pPr>
        <w:spacing w:line="360" w:lineRule="auto"/>
        <w:jc w:val="both"/>
        <w:rPr>
          <w:sz w:val="24"/>
          <w:szCs w:val="24"/>
        </w:rPr>
      </w:pPr>
    </w:p>
    <w:p w14:paraId="7AA49859" w14:textId="77777777" w:rsidR="00D52247" w:rsidRDefault="00D52247" w:rsidP="00D06ACD">
      <w:pPr>
        <w:spacing w:line="360" w:lineRule="auto"/>
        <w:jc w:val="both"/>
        <w:rPr>
          <w:sz w:val="24"/>
          <w:szCs w:val="24"/>
        </w:rPr>
      </w:pPr>
    </w:p>
    <w:p w14:paraId="13997324" w14:textId="77777777" w:rsidR="00D52247" w:rsidRDefault="00D52247" w:rsidP="00D06ACD">
      <w:pPr>
        <w:spacing w:line="360" w:lineRule="auto"/>
        <w:jc w:val="both"/>
        <w:rPr>
          <w:sz w:val="24"/>
          <w:szCs w:val="24"/>
        </w:rPr>
      </w:pPr>
    </w:p>
    <w:p w14:paraId="1BACB07E" w14:textId="77777777" w:rsidR="00D52247" w:rsidRDefault="00D52247" w:rsidP="00D06ACD">
      <w:pPr>
        <w:spacing w:line="360" w:lineRule="auto"/>
        <w:jc w:val="both"/>
        <w:rPr>
          <w:sz w:val="24"/>
          <w:szCs w:val="24"/>
        </w:rPr>
      </w:pPr>
    </w:p>
    <w:p w14:paraId="2F6D1754" w14:textId="77777777" w:rsidR="00D52247" w:rsidRDefault="00D52247" w:rsidP="00D06ACD">
      <w:pPr>
        <w:spacing w:line="360" w:lineRule="auto"/>
        <w:jc w:val="both"/>
        <w:rPr>
          <w:sz w:val="24"/>
          <w:szCs w:val="24"/>
        </w:rPr>
      </w:pPr>
    </w:p>
    <w:p w14:paraId="27A8EA1B" w14:textId="77777777" w:rsidR="00D52247" w:rsidRDefault="00D52247" w:rsidP="00D06ACD">
      <w:pPr>
        <w:spacing w:line="360" w:lineRule="auto"/>
        <w:jc w:val="both"/>
        <w:rPr>
          <w:sz w:val="24"/>
          <w:szCs w:val="24"/>
        </w:rPr>
      </w:pPr>
    </w:p>
    <w:p w14:paraId="5E33194C" w14:textId="77777777" w:rsidR="00D52247" w:rsidRDefault="00D52247" w:rsidP="00D06ACD">
      <w:pPr>
        <w:spacing w:line="360" w:lineRule="auto"/>
        <w:jc w:val="both"/>
        <w:rPr>
          <w:sz w:val="24"/>
          <w:szCs w:val="24"/>
        </w:rPr>
      </w:pPr>
    </w:p>
    <w:p w14:paraId="6581D56F" w14:textId="77777777" w:rsidR="00D52247" w:rsidRDefault="00D52247" w:rsidP="00D06ACD">
      <w:pPr>
        <w:spacing w:line="360" w:lineRule="auto"/>
        <w:jc w:val="both"/>
        <w:rPr>
          <w:sz w:val="24"/>
          <w:szCs w:val="24"/>
        </w:rPr>
      </w:pPr>
    </w:p>
    <w:p w14:paraId="62AA6169" w14:textId="77777777" w:rsidR="00D52247" w:rsidRPr="00D06ACD" w:rsidRDefault="00D52247" w:rsidP="00D06ACD">
      <w:pPr>
        <w:spacing w:line="360" w:lineRule="auto"/>
        <w:jc w:val="both"/>
        <w:rPr>
          <w:sz w:val="24"/>
          <w:szCs w:val="24"/>
        </w:rPr>
      </w:pPr>
    </w:p>
    <w:p w14:paraId="05D0250E" w14:textId="77777777" w:rsidR="00C15796" w:rsidRPr="00D06ACD" w:rsidRDefault="00C15796" w:rsidP="00D06ACD">
      <w:pPr>
        <w:spacing w:line="360" w:lineRule="auto"/>
        <w:jc w:val="both"/>
        <w:rPr>
          <w:sz w:val="24"/>
          <w:szCs w:val="24"/>
        </w:rPr>
      </w:pPr>
    </w:p>
    <w:p w14:paraId="7E19684F" w14:textId="77777777" w:rsidR="003A7791" w:rsidRPr="00D06ACD" w:rsidRDefault="003A7791" w:rsidP="00D52247">
      <w:pPr>
        <w:pStyle w:val="Heading1"/>
      </w:pPr>
      <w:bookmarkStart w:id="22" w:name="_Toc231599671"/>
      <w:r w:rsidRPr="00D06ACD">
        <w:lastRenderedPageBreak/>
        <w:t xml:space="preserve">Chapter Three: </w:t>
      </w:r>
      <w:r w:rsidRPr="00D52247">
        <w:t>Thematic</w:t>
      </w:r>
      <w:r w:rsidRPr="00D06ACD">
        <w:t xml:space="preserve"> Literature Review / Analysis</w:t>
      </w:r>
      <w:bookmarkEnd w:id="22"/>
    </w:p>
    <w:p w14:paraId="2FC39E27" w14:textId="77777777" w:rsidR="003A7791" w:rsidRPr="00D06ACD" w:rsidRDefault="003A7791" w:rsidP="00D06ACD">
      <w:pPr>
        <w:pStyle w:val="Heading2"/>
        <w:spacing w:line="360" w:lineRule="auto"/>
        <w:jc w:val="both"/>
        <w:rPr>
          <w:rFonts w:cs="Times New Roman"/>
          <w:szCs w:val="24"/>
        </w:rPr>
      </w:pPr>
      <w:bookmarkStart w:id="23" w:name="_Toc231599672"/>
      <w:r w:rsidRPr="00D06ACD">
        <w:rPr>
          <w:rFonts w:cs="Times New Roman"/>
          <w:szCs w:val="24"/>
        </w:rPr>
        <w:t>Introduction</w:t>
      </w:r>
      <w:bookmarkEnd w:id="23"/>
    </w:p>
    <w:p w14:paraId="0B4D37F8" w14:textId="77777777" w:rsidR="00C15796" w:rsidRPr="00D06ACD" w:rsidRDefault="00C15796" w:rsidP="00D06ACD">
      <w:pPr>
        <w:spacing w:line="360" w:lineRule="auto"/>
        <w:jc w:val="both"/>
        <w:rPr>
          <w:sz w:val="24"/>
          <w:szCs w:val="24"/>
        </w:rPr>
      </w:pPr>
      <w:r w:rsidRPr="00D06ACD">
        <w:rPr>
          <w:sz w:val="24"/>
          <w:szCs w:val="24"/>
        </w:rPr>
        <w:t xml:space="preserve">The main analytical part of the dissertation is presented in the form of a thematic synthesis of the literature in the logical order of the main issues. Instead of listing the sources author by author, it gathers the evidence base around four themes that together provide answers to the three questions of complementary angles. The chapter introduces the study's concept, called the integrated conceptual framework, which connects the UK CBAM with the outcomes of the procurement strategy, followed by Theme 1, which is the first of the four theoretical frameworks (Transaction Cost Economics, the Porter Hypothesis, Institutional Theory and Resource Dependence Theory) that are the explanatory architecture for the study. In Theme 2, the empirical evidence regarding the transmission of carbon costs is then summarised, and the cost consequences for the UK construction materials procurement are projected. Theme 3 reflects the current debates in the literature, as well as the contested legal sustainability of CBAM under the WTO and the different readings of CBAM as a compliance duty or a competitive advantage. Theme 4 is explicit in identifying the gaps in the previous research; which is the basis for the analytical work which will be carried out in chapter four. The themes are clearly linked to the research </w:t>
      </w:r>
      <w:proofErr w:type="gramStart"/>
      <w:r w:rsidRPr="00D06ACD">
        <w:rPr>
          <w:sz w:val="24"/>
          <w:szCs w:val="24"/>
        </w:rPr>
        <w:t>questions</w:t>
      </w:r>
      <w:proofErr w:type="gramEnd"/>
      <w:r w:rsidRPr="00D06ACD">
        <w:rPr>
          <w:sz w:val="24"/>
          <w:szCs w:val="24"/>
        </w:rPr>
        <w:t xml:space="preserve"> and the conclusion of each chapter carries over the findings to the next chapter for discussion.</w:t>
      </w:r>
    </w:p>
    <w:p w14:paraId="3056D7A1" w14:textId="4059738F" w:rsidR="00C15796" w:rsidRPr="00D06ACD" w:rsidRDefault="00C15796" w:rsidP="00D06ACD">
      <w:pPr>
        <w:spacing w:line="360" w:lineRule="auto"/>
        <w:jc w:val="both"/>
        <w:rPr>
          <w:sz w:val="24"/>
          <w:szCs w:val="24"/>
        </w:rPr>
      </w:pPr>
      <w:r w:rsidRPr="00D06ACD">
        <w:rPr>
          <w:sz w:val="24"/>
          <w:szCs w:val="24"/>
        </w:rPr>
        <w:t>The chapter provides a thematic overview of the literature on the UK Carbon Border Adjustment Mechanism (UK CBAM) and how it affects the procurement practices of UK construction multinational enterprises (MNEs). It follows the Extended Literature Review methodology and is structured in terms of themes rather than authors, and then from theory to empirical evidence to emerging debates and research gaps. The review includes peer-reviewed articles, government documents, industry reports and institutional white papers whose major sources are from 2015 to 2026. All themes are clearly related to the research questions that are being addressed in the study.</w:t>
      </w:r>
    </w:p>
    <w:p w14:paraId="32D415FA" w14:textId="77777777" w:rsidR="003A7791" w:rsidRPr="00D06ACD" w:rsidRDefault="003A7791" w:rsidP="00D06ACD">
      <w:pPr>
        <w:pStyle w:val="Heading2"/>
        <w:spacing w:line="360" w:lineRule="auto"/>
        <w:jc w:val="both"/>
        <w:rPr>
          <w:rFonts w:cs="Times New Roman"/>
          <w:szCs w:val="24"/>
        </w:rPr>
      </w:pPr>
      <w:bookmarkStart w:id="24" w:name="_Toc231599673"/>
      <w:r w:rsidRPr="00D06ACD">
        <w:rPr>
          <w:rFonts w:cs="Times New Roman"/>
          <w:szCs w:val="24"/>
        </w:rPr>
        <w:t>Theme 1: Theoretical Foundations</w:t>
      </w:r>
      <w:bookmarkEnd w:id="24"/>
    </w:p>
    <w:p w14:paraId="4464699E" w14:textId="77777777" w:rsidR="00C15796" w:rsidRPr="00D06ACD" w:rsidRDefault="00C15796" w:rsidP="00D06ACD">
      <w:pPr>
        <w:spacing w:line="360" w:lineRule="auto"/>
        <w:jc w:val="both"/>
        <w:rPr>
          <w:sz w:val="24"/>
          <w:szCs w:val="24"/>
        </w:rPr>
      </w:pPr>
      <w:r w:rsidRPr="00D06ACD">
        <w:rPr>
          <w:sz w:val="24"/>
          <w:szCs w:val="24"/>
        </w:rPr>
        <w:t xml:space="preserve">This theme sets the predominant theoretical approaches and broad underpinning rationales for the review's application of the concept of how CBAM influences procurement </w:t>
      </w:r>
      <w:proofErr w:type="gramStart"/>
      <w:r w:rsidRPr="00D06ACD">
        <w:rPr>
          <w:sz w:val="24"/>
          <w:szCs w:val="24"/>
        </w:rPr>
        <w:t>decisions, and</w:t>
      </w:r>
      <w:proofErr w:type="gramEnd"/>
      <w:r w:rsidRPr="00D06ACD">
        <w:rPr>
          <w:sz w:val="24"/>
          <w:szCs w:val="24"/>
        </w:rPr>
        <w:t xml:space="preserve"> helps to clarify the primary conceptual definitions that will be used throughout the review. Four well-known theoretical views are referred to that each describe a different way in which an event in the regulatory carbon-cost sector becomes a strategic action for firms. These are then integrated into the conceptual framework that will inform the rest of the dissertation.</w:t>
      </w:r>
    </w:p>
    <w:p w14:paraId="5B34A0D9" w14:textId="3245BEBF" w:rsidR="00C15796" w:rsidRPr="00D06ACD" w:rsidRDefault="00C15796" w:rsidP="00D52247">
      <w:pPr>
        <w:pStyle w:val="Heading3"/>
      </w:pPr>
      <w:bookmarkStart w:id="25" w:name="_Toc231599674"/>
      <w:r w:rsidRPr="00D06ACD">
        <w:lastRenderedPageBreak/>
        <w:t>Key Theories: Dominant Theoretical Frameworks</w:t>
      </w:r>
      <w:bookmarkEnd w:id="25"/>
    </w:p>
    <w:p w14:paraId="0D0B857E" w14:textId="77777777" w:rsidR="00C15796" w:rsidRPr="00D06ACD" w:rsidRDefault="00C15796" w:rsidP="00D06ACD">
      <w:pPr>
        <w:spacing w:line="360" w:lineRule="auto"/>
        <w:jc w:val="both"/>
        <w:rPr>
          <w:sz w:val="24"/>
          <w:szCs w:val="24"/>
        </w:rPr>
      </w:pPr>
      <w:r w:rsidRPr="00D06ACD">
        <w:rPr>
          <w:sz w:val="24"/>
          <w:szCs w:val="24"/>
        </w:rPr>
        <w:t>Multiple theories are required since CBAM changes transaction costs, introduces institutional pressures, breaks resource dependency and imposes competitive incentive effects, each of which is linked to a different theoretical tradition.</w:t>
      </w:r>
    </w:p>
    <w:p w14:paraId="0E0CF264" w14:textId="77777777" w:rsidR="00C15796" w:rsidRPr="00D06ACD" w:rsidRDefault="00C15796" w:rsidP="00D06ACD">
      <w:pPr>
        <w:spacing w:line="360" w:lineRule="auto"/>
        <w:jc w:val="both"/>
        <w:rPr>
          <w:sz w:val="24"/>
          <w:szCs w:val="24"/>
        </w:rPr>
      </w:pPr>
      <w:r w:rsidRPr="00D06ACD">
        <w:rPr>
          <w:sz w:val="24"/>
          <w:szCs w:val="24"/>
        </w:rPr>
        <w:t>According to Williamson (2008) and Grover and Malhotra (2003) who took Williamson's TCE theory to the supply chain context, the selection of governance mechanisms depends on whether the governance choices are determined by the costs associated with exchange or with internal organisation. CBAM will add costs to the transaction of international procurement: regulatory verification costs, embedded-carbon accounting requirements and carbon-price uncertainty premiums. Rindfleisch and Heide (1997) asserted that an increase in transaction-specific investments and uncertainty simultaneously encourages firms to shift from spot-market purchasing to longer-term relational contracts or vertical integration. In the CBAM context, this is likely to lead to a transition from short-term competitive tendering to longer-term supply contracts with verified low-carbon producers by construction MNEs.</w:t>
      </w:r>
    </w:p>
    <w:p w14:paraId="21BBA1F9" w14:textId="77777777" w:rsidR="00C15796" w:rsidRPr="00D06ACD" w:rsidRDefault="00C15796" w:rsidP="00D06ACD">
      <w:pPr>
        <w:spacing w:line="360" w:lineRule="auto"/>
        <w:jc w:val="both"/>
        <w:rPr>
          <w:sz w:val="24"/>
          <w:szCs w:val="24"/>
        </w:rPr>
      </w:pPr>
      <w:r w:rsidRPr="00D06ACD">
        <w:rPr>
          <w:sz w:val="24"/>
          <w:szCs w:val="24"/>
        </w:rPr>
        <w:t xml:space="preserve">Within the innovation literature, the Porter Hypothesis (PH) is the notion that "good design of environmental regulation can foster innovation that can mitigate or eliminate, at least in part, the costs associated with compliance, ultimately leading to improvements in competitiveness" (Porter and van der Linde 1995: 100). </w:t>
      </w:r>
      <w:proofErr w:type="spellStart"/>
      <w:r w:rsidRPr="00D06ACD">
        <w:rPr>
          <w:sz w:val="24"/>
          <w:szCs w:val="24"/>
        </w:rPr>
        <w:t>Ambec</w:t>
      </w:r>
      <w:proofErr w:type="spellEnd"/>
      <w:r w:rsidRPr="00D06ACD">
        <w:rPr>
          <w:sz w:val="24"/>
          <w:szCs w:val="24"/>
        </w:rPr>
        <w:t xml:space="preserve"> et al (2013) conducted a detailed review which demonstrated mixed but largely positive evidence for the Porter Hypothesis in carbon-intensive industries. Applied to CBAM, the Porter Hypothesis states that early movers of the construction MNEs investing in carbon-efficient construction procurement systems and low-carbon material sourcing could have a competitive advantage over late movers, including with regards to winning contracts from carbon-conscious institutional customers, such as government departments that are implementing the Greening Government Commitments (DEFRA, 2023).</w:t>
      </w:r>
    </w:p>
    <w:p w14:paraId="3641976A" w14:textId="77777777" w:rsidR="00C15796" w:rsidRPr="00D06ACD" w:rsidRDefault="00C15796" w:rsidP="00D06ACD">
      <w:pPr>
        <w:spacing w:line="360" w:lineRule="auto"/>
        <w:jc w:val="both"/>
        <w:rPr>
          <w:sz w:val="24"/>
          <w:szCs w:val="24"/>
        </w:rPr>
      </w:pPr>
      <w:r w:rsidRPr="00D06ACD">
        <w:rPr>
          <w:sz w:val="24"/>
          <w:szCs w:val="24"/>
        </w:rPr>
        <w:t xml:space="preserve">Institutional Theory (IT) is a theory, which was described by DiMaggio and Powell (1983) and Scott (2013), looks at how organisations react to pressures from their institutional environment that are regulatory, normative and cognitive. CBAM is a direct and coercive institutional pressure, because of its nature as a legally binding regulatory obligation, which affects the cost of non-compliance. Delmas and Toffel (2008) found that coercive regulatory pressures have the highest impact on the adoption of corporate environmental management, more than normative (industry standards) and mimetic (competitor imitation) pressures. The Institutional Theory suggests that, in the construction sector, CBAM </w:t>
      </w:r>
      <w:r w:rsidRPr="00D06ACD">
        <w:rPr>
          <w:sz w:val="24"/>
          <w:szCs w:val="24"/>
        </w:rPr>
        <w:lastRenderedPageBreak/>
        <w:t>compliance will become a prerequisite for market access, and not a driver of differentiation, since those who do not adapt will be punished with higher costs, which will make them uncompetitive.</w:t>
      </w:r>
    </w:p>
    <w:p w14:paraId="3F8C046D" w14:textId="0D5A7BB4" w:rsidR="00C15796" w:rsidRPr="00D06ACD" w:rsidRDefault="00C15796" w:rsidP="00D06ACD">
      <w:pPr>
        <w:spacing w:line="360" w:lineRule="auto"/>
        <w:jc w:val="both"/>
        <w:rPr>
          <w:sz w:val="24"/>
          <w:szCs w:val="24"/>
        </w:rPr>
      </w:pPr>
      <w:r w:rsidRPr="00D06ACD">
        <w:rPr>
          <w:sz w:val="24"/>
          <w:szCs w:val="24"/>
        </w:rPr>
        <w:t xml:space="preserve">Resource Dependence Theory (RDT) is concerned with the management of dependency on the part of organisations with external resource suppliers. The resource dependency UK construction MNEs have on carbon-intensive materials is a key one that CBAM will directly challenge by raising the cost and making it more complex of these imports. Hillman et al. (2009) maintained that firms take measures to buffer, bridge or diversify </w:t>
      </w:r>
      <w:proofErr w:type="gramStart"/>
      <w:r w:rsidRPr="00D06ACD">
        <w:rPr>
          <w:sz w:val="24"/>
          <w:szCs w:val="24"/>
        </w:rPr>
        <w:t>in order to</w:t>
      </w:r>
      <w:proofErr w:type="gramEnd"/>
      <w:r w:rsidRPr="00D06ACD">
        <w:rPr>
          <w:sz w:val="24"/>
          <w:szCs w:val="24"/>
        </w:rPr>
        <w:t xml:space="preserve"> lessen their vulnerability when external dependencies become costly or unreliable. Applied to CBAM, RDT foresees that construction MNEs will engage in three main strategies to de-lever their reliance on imports, namely through domestic sourcing, material substitution, and strategic partnerships with green material producers.</w:t>
      </w:r>
    </w:p>
    <w:p w14:paraId="3EC72B92" w14:textId="77777777" w:rsidR="003A7791" w:rsidRPr="00D06ACD" w:rsidRDefault="003A7791" w:rsidP="00D06ACD">
      <w:pPr>
        <w:pStyle w:val="Heading3"/>
        <w:spacing w:line="360" w:lineRule="auto"/>
        <w:jc w:val="both"/>
        <w:rPr>
          <w:rFonts w:cs="Times New Roman"/>
        </w:rPr>
      </w:pPr>
      <w:bookmarkStart w:id="26" w:name="_Toc231599675"/>
      <w:r w:rsidRPr="00D06ACD">
        <w:rPr>
          <w:rFonts w:cs="Times New Roman"/>
        </w:rPr>
        <w:t>Conceptual Definitions</w:t>
      </w:r>
      <w:bookmarkEnd w:id="26"/>
    </w:p>
    <w:p w14:paraId="0EECF6B6" w14:textId="77777777" w:rsidR="00C15796" w:rsidRPr="00D06ACD" w:rsidRDefault="00C15796" w:rsidP="00D06ACD">
      <w:pPr>
        <w:spacing w:line="360" w:lineRule="auto"/>
        <w:jc w:val="both"/>
        <w:rPr>
          <w:sz w:val="24"/>
          <w:szCs w:val="24"/>
        </w:rPr>
      </w:pPr>
      <w:proofErr w:type="gramStart"/>
      <w:r w:rsidRPr="00D06ACD">
        <w:rPr>
          <w:sz w:val="24"/>
          <w:szCs w:val="24"/>
        </w:rPr>
        <w:t>In order to</w:t>
      </w:r>
      <w:proofErr w:type="gramEnd"/>
      <w:r w:rsidRPr="00D06ACD">
        <w:rPr>
          <w:sz w:val="24"/>
          <w:szCs w:val="24"/>
        </w:rPr>
        <w:t xml:space="preserve"> </w:t>
      </w:r>
      <w:proofErr w:type="spellStart"/>
      <w:r w:rsidRPr="00D06ACD">
        <w:rPr>
          <w:sz w:val="24"/>
          <w:szCs w:val="24"/>
        </w:rPr>
        <w:t>analyze</w:t>
      </w:r>
      <w:proofErr w:type="spellEnd"/>
      <w:r w:rsidRPr="00D06ACD">
        <w:rPr>
          <w:sz w:val="24"/>
          <w:szCs w:val="24"/>
        </w:rPr>
        <w:t xml:space="preserve"> it, three key concepts are defined as follows. A Carbon Border Adjustment Mechanism (CBAM) is a policy tool that applies a border tax to imports that corresponds to the domestic carbon price on similar domestic </w:t>
      </w:r>
      <w:proofErr w:type="gramStart"/>
      <w:r w:rsidRPr="00D06ACD">
        <w:rPr>
          <w:sz w:val="24"/>
          <w:szCs w:val="24"/>
        </w:rPr>
        <w:t>products, and</w:t>
      </w:r>
      <w:proofErr w:type="gramEnd"/>
      <w:r w:rsidRPr="00D06ACD">
        <w:rPr>
          <w:sz w:val="24"/>
          <w:szCs w:val="24"/>
        </w:rPr>
        <w:t xml:space="preserve"> has two goals: to avoid carbon leakage and to level the competitive playing field (Mehling et al., 2019; </w:t>
      </w:r>
      <w:proofErr w:type="spellStart"/>
      <w:r w:rsidRPr="00D06ACD">
        <w:rPr>
          <w:sz w:val="24"/>
          <w:szCs w:val="24"/>
        </w:rPr>
        <w:t>Shee</w:t>
      </w:r>
      <w:proofErr w:type="spellEnd"/>
      <w:r w:rsidRPr="00D06ACD">
        <w:rPr>
          <w:sz w:val="24"/>
          <w:szCs w:val="24"/>
        </w:rPr>
        <w:t xml:space="preserve"> Weng, 2025). The greenhouse-gas emissions emitted in the process of extracting, production and transport of a material before it can be used to make a final product is embedded carbon, the unit that is the basis for calculating CBAM liabilities (Pomponi and </w:t>
      </w:r>
      <w:proofErr w:type="spellStart"/>
      <w:r w:rsidRPr="00D06ACD">
        <w:rPr>
          <w:sz w:val="24"/>
          <w:szCs w:val="24"/>
        </w:rPr>
        <w:t>Moncaster</w:t>
      </w:r>
      <w:proofErr w:type="spellEnd"/>
      <w:r w:rsidRPr="00D06ACD">
        <w:rPr>
          <w:sz w:val="24"/>
          <w:szCs w:val="24"/>
        </w:rPr>
        <w:t>, 2016). In the construction arena, ‘procurement strategy' relates to the decisions a contractor or developer makes to define what to procure, from where, on what terms and in accordance with what criteria; for CBAM, this set of decisions needs to be flexible enough to incorporate carbon as a priced input with traditional cost, quality or lead-time considerations.</w:t>
      </w:r>
    </w:p>
    <w:p w14:paraId="33C16B73" w14:textId="2F8BB330" w:rsidR="00C15796" w:rsidRPr="00D06ACD" w:rsidRDefault="00C15796" w:rsidP="00D52247">
      <w:pPr>
        <w:pStyle w:val="Heading3"/>
      </w:pPr>
      <w:bookmarkStart w:id="27" w:name="_Toc231599676"/>
      <w:r w:rsidRPr="00D06ACD">
        <w:t>Integrated Conceptual Framework</w:t>
      </w:r>
      <w:bookmarkEnd w:id="27"/>
    </w:p>
    <w:p w14:paraId="1E43F19F" w14:textId="77777777" w:rsidR="00C15796" w:rsidRPr="00D06ACD" w:rsidRDefault="00C15796" w:rsidP="00D06ACD">
      <w:pPr>
        <w:spacing w:line="360" w:lineRule="auto"/>
        <w:jc w:val="both"/>
        <w:rPr>
          <w:sz w:val="24"/>
          <w:szCs w:val="24"/>
        </w:rPr>
      </w:pPr>
      <w:r w:rsidRPr="00D06ACD">
        <w:rPr>
          <w:sz w:val="24"/>
          <w:szCs w:val="24"/>
        </w:rPr>
        <w:t>Based on the four lenses, a concise conceptual model is presented in this study in which the UK Carbon Border Adjustment Mechanism (CBAM) is the independent variable (IV) and the procurement strategies of UK construction MNEs is the dependent variable (DV). The independent variable, namely UK CBAM, is operationalised by using three dimensions: the imposition of carbon cost, the requirement to report and verify embedded emissions and the compliance burden imposed on importers. Together these dimensions are a regulatory jolt to the procurement process brought by CBAM.</w:t>
      </w:r>
    </w:p>
    <w:p w14:paraId="3268537F" w14:textId="6311E395" w:rsidR="00C15796" w:rsidRPr="00D06ACD" w:rsidRDefault="00C15796" w:rsidP="00D06ACD">
      <w:pPr>
        <w:spacing w:line="360" w:lineRule="auto"/>
        <w:jc w:val="both"/>
        <w:rPr>
          <w:sz w:val="24"/>
          <w:szCs w:val="24"/>
        </w:rPr>
      </w:pPr>
      <w:r w:rsidRPr="00D06ACD">
        <w:rPr>
          <w:sz w:val="24"/>
          <w:szCs w:val="24"/>
        </w:rPr>
        <w:lastRenderedPageBreak/>
        <w:t xml:space="preserve">The dependent variable of procurement strategies is operationalised by the three literature-derived observable strategic responses: changes in supplier selection criteria (from cost-based to carbon-based), changes in sourcing geographical focus (from global </w:t>
      </w:r>
      <w:proofErr w:type="gramStart"/>
      <w:r w:rsidRPr="00D06ACD">
        <w:rPr>
          <w:sz w:val="24"/>
          <w:szCs w:val="24"/>
        </w:rPr>
        <w:t>low cost</w:t>
      </w:r>
      <w:proofErr w:type="gramEnd"/>
      <w:r w:rsidRPr="00D06ACD">
        <w:rPr>
          <w:sz w:val="24"/>
          <w:szCs w:val="24"/>
        </w:rPr>
        <w:t xml:space="preserve"> sourcing to regional low carbon sourcing), adaptation of contract design (from fixed-price contracts to carbon-indexed contracts). The four theoretical lenses offer an explanatory architecture for the four research questions, the cost and competitiveness logic of the first research question; the strategic shift from cost- to carbon-efficiency logic for RQ2; and the sourcing-relocation logic for RQ3 is underpinned by Institutional Theory.</w:t>
      </w:r>
    </w:p>
    <w:p w14:paraId="06585B7C" w14:textId="77777777" w:rsidR="003A7791" w:rsidRPr="00D06ACD" w:rsidRDefault="003A7791" w:rsidP="00D06ACD">
      <w:pPr>
        <w:pStyle w:val="Heading2"/>
        <w:spacing w:line="360" w:lineRule="auto"/>
        <w:jc w:val="both"/>
        <w:rPr>
          <w:rFonts w:cs="Times New Roman"/>
          <w:szCs w:val="24"/>
        </w:rPr>
      </w:pPr>
      <w:bookmarkStart w:id="28" w:name="_Toc231599677"/>
      <w:r w:rsidRPr="00D06ACD">
        <w:rPr>
          <w:rFonts w:cs="Times New Roman"/>
          <w:szCs w:val="24"/>
        </w:rPr>
        <w:t>Theme 2: Empirical Findings</w:t>
      </w:r>
      <w:bookmarkEnd w:id="28"/>
    </w:p>
    <w:p w14:paraId="06BA44DF" w14:textId="77777777" w:rsidR="003A7791" w:rsidRPr="00D06ACD" w:rsidRDefault="003A7791" w:rsidP="00D06ACD">
      <w:pPr>
        <w:pStyle w:val="Heading3"/>
        <w:spacing w:line="360" w:lineRule="auto"/>
        <w:jc w:val="both"/>
        <w:rPr>
          <w:rFonts w:cs="Times New Roman"/>
        </w:rPr>
      </w:pPr>
      <w:r w:rsidRPr="00D06ACD">
        <w:rPr>
          <w:rFonts w:cs="Times New Roman"/>
        </w:rPr>
        <w:t xml:space="preserve"> </w:t>
      </w:r>
      <w:bookmarkStart w:id="29" w:name="_Toc231599678"/>
      <w:r w:rsidRPr="00D06ACD">
        <w:rPr>
          <w:rFonts w:cs="Times New Roman"/>
        </w:rPr>
        <w:t>Major Findings Across Studies: Carbon Pricing and Cost Transmission</w:t>
      </w:r>
      <w:bookmarkEnd w:id="29"/>
    </w:p>
    <w:p w14:paraId="791530E4" w14:textId="77777777" w:rsidR="00C15796" w:rsidRPr="00D06ACD" w:rsidRDefault="00C15796" w:rsidP="00D06ACD">
      <w:pPr>
        <w:spacing w:before="60" w:after="60" w:line="360" w:lineRule="auto"/>
        <w:jc w:val="both"/>
        <w:rPr>
          <w:sz w:val="24"/>
          <w:szCs w:val="24"/>
        </w:rPr>
      </w:pPr>
      <w:r w:rsidRPr="00D06ACD">
        <w:rPr>
          <w:sz w:val="24"/>
          <w:szCs w:val="24"/>
        </w:rPr>
        <w:t>The logic behind the use of carbon border adjustments is that they would prevent carbon leakage, which occurs when a carbon price in one country pushes emissions from regulated industries to a less well-regulated country (Mehling et al., 2019). Without mechanisms for border adjustment, Branger and Quirion (2014) estimated the leakage rates of the EU ETS for carbon intensive industries like the steel and cement industry at between 5% and 25%. The finding is important because it suggests that in the absence of CBAM the UK ETS would incur the same leakage concerns as carbon prices would increase.</w:t>
      </w:r>
    </w:p>
    <w:p w14:paraId="3D018886" w14:textId="77777777" w:rsidR="00C15796" w:rsidRPr="00D06ACD" w:rsidRDefault="00C15796" w:rsidP="00D06ACD">
      <w:pPr>
        <w:spacing w:before="60" w:after="60" w:line="360" w:lineRule="auto"/>
        <w:jc w:val="both"/>
        <w:rPr>
          <w:sz w:val="24"/>
          <w:szCs w:val="24"/>
        </w:rPr>
      </w:pPr>
      <w:proofErr w:type="spellStart"/>
      <w:r w:rsidRPr="00D06ACD">
        <w:rPr>
          <w:sz w:val="24"/>
          <w:szCs w:val="24"/>
        </w:rPr>
        <w:t>Shee</w:t>
      </w:r>
      <w:proofErr w:type="spellEnd"/>
      <w:r w:rsidRPr="00D06ACD">
        <w:rPr>
          <w:sz w:val="24"/>
          <w:szCs w:val="24"/>
        </w:rPr>
        <w:t xml:space="preserve"> Weng (2025) made the point that the instruments of CBAM not only impose the carbon externality on the imported goods but also offer WTO-compliant support for domestic producers who are subject to carbon pricing. HM Treasury (2024) details the UK CBAM, which will require importers to declare the embedded carbon footprint of the products they import and pay a charge based on the difference between the carbon price paid in the country of origin and the UK ETS carbon price. It is estimated that the landed cost of imported steel and imported cement could increase by 8–15% and 5–12% respectively compared to 2023/24, respectively, due to the CBAM surcharge (Carbon Tracker, 2024; Vivid Economics, 2022), depending on country of origin and method of production. CBAM would cost EUR 14.7 billion annually at the 2024 ETS price and, according to </w:t>
      </w:r>
      <w:proofErr w:type="spellStart"/>
      <w:r w:rsidRPr="00D06ACD">
        <w:rPr>
          <w:sz w:val="24"/>
          <w:szCs w:val="24"/>
        </w:rPr>
        <w:t>Dechezleprêtre</w:t>
      </w:r>
      <w:proofErr w:type="spellEnd"/>
      <w:r w:rsidRPr="00D06ACD">
        <w:rPr>
          <w:sz w:val="24"/>
          <w:szCs w:val="24"/>
        </w:rPr>
        <w:t xml:space="preserve"> et al. (2025), the importers of iron and steel would account for around 75% of the costs of CBAM.</w:t>
      </w:r>
    </w:p>
    <w:p w14:paraId="7EDF5385" w14:textId="2351197C" w:rsidR="00C15796" w:rsidRPr="00D06ACD" w:rsidRDefault="00C15796" w:rsidP="00D52247">
      <w:pPr>
        <w:pStyle w:val="Heading3"/>
      </w:pPr>
      <w:bookmarkStart w:id="30" w:name="_Toc231599679"/>
      <w:r w:rsidRPr="00D06ACD">
        <w:t>Cost Implications for UK Construction Materials Procurement</w:t>
      </w:r>
      <w:bookmarkEnd w:id="30"/>
    </w:p>
    <w:p w14:paraId="58940329" w14:textId="77777777" w:rsidR="00C15796" w:rsidRPr="00D06ACD" w:rsidRDefault="00C15796" w:rsidP="00D06ACD">
      <w:pPr>
        <w:spacing w:before="60" w:after="60" w:line="360" w:lineRule="auto"/>
        <w:jc w:val="both"/>
        <w:rPr>
          <w:sz w:val="24"/>
          <w:szCs w:val="24"/>
        </w:rPr>
      </w:pPr>
      <w:r w:rsidRPr="00D06ACD">
        <w:rPr>
          <w:sz w:val="24"/>
          <w:szCs w:val="24"/>
        </w:rPr>
        <w:t xml:space="preserve">CBAM directly and significantly impacts the cost transmission chain for construction procurement. </w:t>
      </w:r>
      <w:proofErr w:type="spellStart"/>
      <w:r w:rsidRPr="00D06ACD">
        <w:rPr>
          <w:sz w:val="24"/>
          <w:szCs w:val="24"/>
        </w:rPr>
        <w:t>Rootzén</w:t>
      </w:r>
      <w:proofErr w:type="spellEnd"/>
      <w:r w:rsidRPr="00D06ACD">
        <w:rPr>
          <w:sz w:val="24"/>
          <w:szCs w:val="24"/>
        </w:rPr>
        <w:t xml:space="preserve"> and Johnsson (2017) estimated that the cost of a complete carbon pricing for steel production would be 20-35% higher depending on the steelmaking route </w:t>
      </w:r>
      <w:r w:rsidRPr="00D06ACD">
        <w:rPr>
          <w:sz w:val="24"/>
          <w:szCs w:val="24"/>
        </w:rPr>
        <w:lastRenderedPageBreak/>
        <w:t xml:space="preserve">(blast furnace or electric arc furnace). Likewise, Lehne and Preston (2018) calculated that the economic impact of a carbon price of EUR 50 per tonne would be in the order of 40–80% </w:t>
      </w:r>
      <w:proofErr w:type="gramStart"/>
      <w:r w:rsidRPr="00D06ACD">
        <w:rPr>
          <w:sz w:val="24"/>
          <w:szCs w:val="24"/>
        </w:rPr>
        <w:t>for the production of</w:t>
      </w:r>
      <w:proofErr w:type="gramEnd"/>
      <w:r w:rsidRPr="00D06ACD">
        <w:rPr>
          <w:sz w:val="24"/>
          <w:szCs w:val="24"/>
        </w:rPr>
        <w:t xml:space="preserve"> clinker (or 15–30% for RMC production). The figures are especially significant for the construction industry in the UK where material costs account for 40 to 60% of a construction project's total cost (RICS, 2023).</w:t>
      </w:r>
    </w:p>
    <w:p w14:paraId="6F04A14C" w14:textId="13BE1CD8" w:rsidR="00C15796" w:rsidRPr="00D06ACD" w:rsidRDefault="00C15796" w:rsidP="00D06ACD">
      <w:pPr>
        <w:spacing w:before="60" w:after="60" w:line="360" w:lineRule="auto"/>
        <w:jc w:val="both"/>
        <w:rPr>
          <w:sz w:val="24"/>
          <w:szCs w:val="24"/>
        </w:rPr>
      </w:pPr>
      <w:r w:rsidRPr="00D06ACD">
        <w:rPr>
          <w:sz w:val="24"/>
          <w:szCs w:val="24"/>
        </w:rPr>
        <w:t>Estimates suggest that the total liability for UK construction industry by 2030 may be as high as GBP 800 million to GBP 1.4 billion per year, depending on the speed of the phase-out of the free-allowance period in the UK ETS and the carbon intensity of import sources (McKinsey and Company, 2023). Project-wise, RICS estimated that any cost increase stemming from CBAM could eat up a contractor's usual net profit (1.5% – 3.5% of the total project cost) for steel-intensive commercial projects and 1% – 2% for concrete-intensive residential schemes (Deloitte, 2024).</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800"/>
        <w:gridCol w:w="2000"/>
        <w:gridCol w:w="3260"/>
      </w:tblGrid>
      <w:tr w:rsidR="003A7791" w:rsidRPr="00D06ACD" w14:paraId="1319B3B9" w14:textId="77777777" w:rsidTr="007B3AB8">
        <w:trPr>
          <w:tblHeader/>
        </w:trPr>
        <w:tc>
          <w:tcPr>
            <w:tcW w:w="22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1EFC838C" w14:textId="77777777" w:rsidR="003A7791" w:rsidRPr="00D06ACD" w:rsidRDefault="003A7791" w:rsidP="00D06ACD">
            <w:pPr>
              <w:spacing w:line="360" w:lineRule="auto"/>
              <w:jc w:val="both"/>
              <w:rPr>
                <w:sz w:val="24"/>
                <w:szCs w:val="24"/>
              </w:rPr>
            </w:pPr>
            <w:r w:rsidRPr="00D06ACD">
              <w:rPr>
                <w:b/>
                <w:bCs/>
                <w:sz w:val="24"/>
                <w:szCs w:val="24"/>
              </w:rPr>
              <w:t>Material</w:t>
            </w:r>
          </w:p>
        </w:tc>
        <w:tc>
          <w:tcPr>
            <w:tcW w:w="18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584F5C0A" w14:textId="77777777" w:rsidR="003A7791" w:rsidRPr="00D06ACD" w:rsidRDefault="003A7791" w:rsidP="00D06ACD">
            <w:pPr>
              <w:spacing w:line="360" w:lineRule="auto"/>
              <w:jc w:val="both"/>
              <w:rPr>
                <w:sz w:val="24"/>
                <w:szCs w:val="24"/>
              </w:rPr>
            </w:pPr>
            <w:r w:rsidRPr="00D06ACD">
              <w:rPr>
                <w:b/>
                <w:bCs/>
                <w:sz w:val="24"/>
                <w:szCs w:val="24"/>
              </w:rPr>
              <w:t>Import Share (%)</w:t>
            </w:r>
          </w:p>
        </w:tc>
        <w:tc>
          <w:tcPr>
            <w:tcW w:w="20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778ABEBA" w14:textId="77777777" w:rsidR="003A7791" w:rsidRPr="00D06ACD" w:rsidRDefault="003A7791" w:rsidP="00D06ACD">
            <w:pPr>
              <w:spacing w:line="360" w:lineRule="auto"/>
              <w:jc w:val="both"/>
              <w:rPr>
                <w:sz w:val="24"/>
                <w:szCs w:val="24"/>
              </w:rPr>
            </w:pPr>
            <w:r w:rsidRPr="00D06ACD">
              <w:rPr>
                <w:b/>
                <w:bCs/>
                <w:sz w:val="24"/>
                <w:szCs w:val="24"/>
              </w:rPr>
              <w:t>Est. CBAM Surcharge</w:t>
            </w:r>
          </w:p>
        </w:tc>
        <w:tc>
          <w:tcPr>
            <w:tcW w:w="326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20C3D045" w14:textId="77777777" w:rsidR="003A7791" w:rsidRPr="00D06ACD" w:rsidRDefault="003A7791" w:rsidP="00D06ACD">
            <w:pPr>
              <w:spacing w:line="360" w:lineRule="auto"/>
              <w:jc w:val="both"/>
              <w:rPr>
                <w:sz w:val="24"/>
                <w:szCs w:val="24"/>
              </w:rPr>
            </w:pPr>
            <w:r w:rsidRPr="00D06ACD">
              <w:rPr>
                <w:b/>
                <w:bCs/>
                <w:sz w:val="24"/>
                <w:szCs w:val="24"/>
              </w:rPr>
              <w:t>Key Origin Countries</w:t>
            </w:r>
          </w:p>
        </w:tc>
      </w:tr>
      <w:tr w:rsidR="003A7791" w:rsidRPr="00D06ACD" w14:paraId="353FEC54" w14:textId="77777777" w:rsidTr="007B3AB8">
        <w:tc>
          <w:tcPr>
            <w:tcW w:w="22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5C106CB7" w14:textId="77777777" w:rsidR="003A7791" w:rsidRPr="00D06ACD" w:rsidRDefault="003A7791" w:rsidP="00D06ACD">
            <w:pPr>
              <w:spacing w:line="360" w:lineRule="auto"/>
              <w:jc w:val="both"/>
              <w:rPr>
                <w:sz w:val="24"/>
                <w:szCs w:val="24"/>
              </w:rPr>
            </w:pPr>
            <w:r w:rsidRPr="00D06ACD">
              <w:rPr>
                <w:sz w:val="24"/>
                <w:szCs w:val="24"/>
              </w:rPr>
              <w:t>Steel</w:t>
            </w:r>
          </w:p>
        </w:tc>
        <w:tc>
          <w:tcPr>
            <w:tcW w:w="18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7D277E45" w14:textId="77777777" w:rsidR="003A7791" w:rsidRPr="00D06ACD" w:rsidRDefault="003A7791" w:rsidP="00D06ACD">
            <w:pPr>
              <w:spacing w:line="360" w:lineRule="auto"/>
              <w:jc w:val="both"/>
              <w:rPr>
                <w:sz w:val="24"/>
                <w:szCs w:val="24"/>
              </w:rPr>
            </w:pPr>
            <w:r w:rsidRPr="00D06ACD">
              <w:rPr>
                <w:sz w:val="24"/>
                <w:szCs w:val="24"/>
              </w:rPr>
              <w:t>60%</w:t>
            </w:r>
          </w:p>
        </w:tc>
        <w:tc>
          <w:tcPr>
            <w:tcW w:w="20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6F241C71" w14:textId="77777777" w:rsidR="003A7791" w:rsidRPr="00D06ACD" w:rsidRDefault="003A7791" w:rsidP="00D06ACD">
            <w:pPr>
              <w:spacing w:line="360" w:lineRule="auto"/>
              <w:jc w:val="both"/>
              <w:rPr>
                <w:sz w:val="24"/>
                <w:szCs w:val="24"/>
              </w:rPr>
            </w:pPr>
            <w:r w:rsidRPr="00D06ACD">
              <w:rPr>
                <w:sz w:val="24"/>
                <w:szCs w:val="24"/>
              </w:rPr>
              <w:t>8–15%</w:t>
            </w:r>
          </w:p>
        </w:tc>
        <w:tc>
          <w:tcPr>
            <w:tcW w:w="326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57641329" w14:textId="77777777" w:rsidR="003A7791" w:rsidRPr="00D06ACD" w:rsidRDefault="003A7791" w:rsidP="00D06ACD">
            <w:pPr>
              <w:spacing w:line="360" w:lineRule="auto"/>
              <w:jc w:val="both"/>
              <w:rPr>
                <w:sz w:val="24"/>
                <w:szCs w:val="24"/>
              </w:rPr>
            </w:pPr>
            <w:r w:rsidRPr="00D06ACD">
              <w:rPr>
                <w:sz w:val="24"/>
                <w:szCs w:val="24"/>
              </w:rPr>
              <w:t>China, Turkey, EU</w:t>
            </w:r>
          </w:p>
        </w:tc>
      </w:tr>
      <w:tr w:rsidR="003A7791" w:rsidRPr="00D06ACD" w14:paraId="496F1DB5" w14:textId="77777777" w:rsidTr="007B3AB8">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705A2396" w14:textId="77777777" w:rsidR="003A7791" w:rsidRPr="00D06ACD" w:rsidRDefault="003A7791" w:rsidP="00D06ACD">
            <w:pPr>
              <w:spacing w:line="360" w:lineRule="auto"/>
              <w:jc w:val="both"/>
              <w:rPr>
                <w:sz w:val="24"/>
                <w:szCs w:val="24"/>
              </w:rPr>
            </w:pPr>
            <w:r w:rsidRPr="00D06ACD">
              <w:rPr>
                <w:sz w:val="24"/>
                <w:szCs w:val="24"/>
              </w:rPr>
              <w:t>Aluminium</w:t>
            </w:r>
          </w:p>
        </w:tc>
        <w:tc>
          <w:tcPr>
            <w:tcW w:w="18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4D141FDC" w14:textId="77777777" w:rsidR="003A7791" w:rsidRPr="00D06ACD" w:rsidRDefault="003A7791" w:rsidP="00D06ACD">
            <w:pPr>
              <w:spacing w:line="360" w:lineRule="auto"/>
              <w:jc w:val="both"/>
              <w:rPr>
                <w:sz w:val="24"/>
                <w:szCs w:val="24"/>
              </w:rPr>
            </w:pPr>
            <w:r w:rsidRPr="00D06ACD">
              <w:rPr>
                <w:sz w:val="24"/>
                <w:szCs w:val="24"/>
              </w:rPr>
              <w:t>80%</w:t>
            </w:r>
          </w:p>
        </w:tc>
        <w:tc>
          <w:tcPr>
            <w:tcW w:w="2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8172A31" w14:textId="77777777" w:rsidR="003A7791" w:rsidRPr="00D06ACD" w:rsidRDefault="003A7791" w:rsidP="00D06ACD">
            <w:pPr>
              <w:spacing w:line="360" w:lineRule="auto"/>
              <w:jc w:val="both"/>
              <w:rPr>
                <w:sz w:val="24"/>
                <w:szCs w:val="24"/>
              </w:rPr>
            </w:pPr>
            <w:r w:rsidRPr="00D06ACD">
              <w:rPr>
                <w:sz w:val="24"/>
                <w:szCs w:val="24"/>
              </w:rPr>
              <w:t>10–18%</w:t>
            </w:r>
          </w:p>
        </w:tc>
        <w:tc>
          <w:tcPr>
            <w:tcW w:w="32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4BBA6986" w14:textId="77777777" w:rsidR="003A7791" w:rsidRPr="00D06ACD" w:rsidRDefault="003A7791" w:rsidP="00D06ACD">
            <w:pPr>
              <w:spacing w:line="360" w:lineRule="auto"/>
              <w:jc w:val="both"/>
              <w:rPr>
                <w:sz w:val="24"/>
                <w:szCs w:val="24"/>
              </w:rPr>
            </w:pPr>
            <w:r w:rsidRPr="00D06ACD">
              <w:rPr>
                <w:sz w:val="24"/>
                <w:szCs w:val="24"/>
              </w:rPr>
              <w:t>China, UAE, Russia</w:t>
            </w:r>
          </w:p>
        </w:tc>
      </w:tr>
      <w:tr w:rsidR="003A7791" w:rsidRPr="00D06ACD" w14:paraId="6B403E68" w14:textId="77777777" w:rsidTr="007B3AB8">
        <w:tc>
          <w:tcPr>
            <w:tcW w:w="22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46D39566" w14:textId="77777777" w:rsidR="003A7791" w:rsidRPr="00D06ACD" w:rsidRDefault="003A7791" w:rsidP="00D06ACD">
            <w:pPr>
              <w:spacing w:line="360" w:lineRule="auto"/>
              <w:jc w:val="both"/>
              <w:rPr>
                <w:sz w:val="24"/>
                <w:szCs w:val="24"/>
              </w:rPr>
            </w:pPr>
            <w:r w:rsidRPr="00D06ACD">
              <w:rPr>
                <w:sz w:val="24"/>
                <w:szCs w:val="24"/>
              </w:rPr>
              <w:t>Cement</w:t>
            </w:r>
          </w:p>
        </w:tc>
        <w:tc>
          <w:tcPr>
            <w:tcW w:w="18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3E17526E" w14:textId="77777777" w:rsidR="003A7791" w:rsidRPr="00D06ACD" w:rsidRDefault="003A7791" w:rsidP="00D06ACD">
            <w:pPr>
              <w:spacing w:line="360" w:lineRule="auto"/>
              <w:jc w:val="both"/>
              <w:rPr>
                <w:sz w:val="24"/>
                <w:szCs w:val="24"/>
              </w:rPr>
            </w:pPr>
            <w:r w:rsidRPr="00D06ACD">
              <w:rPr>
                <w:sz w:val="24"/>
                <w:szCs w:val="24"/>
              </w:rPr>
              <w:t>25%</w:t>
            </w:r>
          </w:p>
        </w:tc>
        <w:tc>
          <w:tcPr>
            <w:tcW w:w="20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1FC220C7" w14:textId="77777777" w:rsidR="003A7791" w:rsidRPr="00D06ACD" w:rsidRDefault="003A7791" w:rsidP="00D06ACD">
            <w:pPr>
              <w:spacing w:line="360" w:lineRule="auto"/>
              <w:jc w:val="both"/>
              <w:rPr>
                <w:sz w:val="24"/>
                <w:szCs w:val="24"/>
              </w:rPr>
            </w:pPr>
            <w:r w:rsidRPr="00D06ACD">
              <w:rPr>
                <w:sz w:val="24"/>
                <w:szCs w:val="24"/>
              </w:rPr>
              <w:t>5–12%</w:t>
            </w:r>
          </w:p>
        </w:tc>
        <w:tc>
          <w:tcPr>
            <w:tcW w:w="326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75702B76" w14:textId="77777777" w:rsidR="003A7791" w:rsidRPr="00D06ACD" w:rsidRDefault="003A7791" w:rsidP="00D06ACD">
            <w:pPr>
              <w:spacing w:line="360" w:lineRule="auto"/>
              <w:jc w:val="both"/>
              <w:rPr>
                <w:sz w:val="24"/>
                <w:szCs w:val="24"/>
              </w:rPr>
            </w:pPr>
            <w:r w:rsidRPr="00D06ACD">
              <w:rPr>
                <w:sz w:val="24"/>
                <w:szCs w:val="24"/>
              </w:rPr>
              <w:t>EU, Turkey, India</w:t>
            </w:r>
          </w:p>
        </w:tc>
      </w:tr>
      <w:tr w:rsidR="003A7791" w:rsidRPr="00D06ACD" w14:paraId="7886D329" w14:textId="77777777" w:rsidTr="007B3AB8">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AA71564" w14:textId="77777777" w:rsidR="003A7791" w:rsidRPr="00D06ACD" w:rsidRDefault="003A7791" w:rsidP="00D06ACD">
            <w:pPr>
              <w:spacing w:line="360" w:lineRule="auto"/>
              <w:jc w:val="both"/>
              <w:rPr>
                <w:sz w:val="24"/>
                <w:szCs w:val="24"/>
              </w:rPr>
            </w:pPr>
            <w:r w:rsidRPr="00D06ACD">
              <w:rPr>
                <w:sz w:val="24"/>
                <w:szCs w:val="24"/>
              </w:rPr>
              <w:t>Glass</w:t>
            </w:r>
          </w:p>
        </w:tc>
        <w:tc>
          <w:tcPr>
            <w:tcW w:w="18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6EC6FAD" w14:textId="77777777" w:rsidR="003A7791" w:rsidRPr="00D06ACD" w:rsidRDefault="003A7791" w:rsidP="00D06ACD">
            <w:pPr>
              <w:spacing w:line="360" w:lineRule="auto"/>
              <w:jc w:val="both"/>
              <w:rPr>
                <w:sz w:val="24"/>
                <w:szCs w:val="24"/>
              </w:rPr>
            </w:pPr>
            <w:r w:rsidRPr="00D06ACD">
              <w:rPr>
                <w:sz w:val="24"/>
                <w:szCs w:val="24"/>
              </w:rPr>
              <w:t>45%</w:t>
            </w:r>
          </w:p>
        </w:tc>
        <w:tc>
          <w:tcPr>
            <w:tcW w:w="2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07850B3B" w14:textId="77777777" w:rsidR="003A7791" w:rsidRPr="00D06ACD" w:rsidRDefault="003A7791" w:rsidP="00D06ACD">
            <w:pPr>
              <w:spacing w:line="360" w:lineRule="auto"/>
              <w:jc w:val="both"/>
              <w:rPr>
                <w:sz w:val="24"/>
                <w:szCs w:val="24"/>
              </w:rPr>
            </w:pPr>
            <w:r w:rsidRPr="00D06ACD">
              <w:rPr>
                <w:sz w:val="24"/>
                <w:szCs w:val="24"/>
              </w:rPr>
              <w:t>6–10%</w:t>
            </w:r>
          </w:p>
        </w:tc>
        <w:tc>
          <w:tcPr>
            <w:tcW w:w="32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60C7F92" w14:textId="77777777" w:rsidR="003A7791" w:rsidRPr="00D06ACD" w:rsidRDefault="003A7791" w:rsidP="00D06ACD">
            <w:pPr>
              <w:spacing w:line="360" w:lineRule="auto"/>
              <w:jc w:val="both"/>
              <w:rPr>
                <w:sz w:val="24"/>
                <w:szCs w:val="24"/>
              </w:rPr>
            </w:pPr>
            <w:r w:rsidRPr="00D06ACD">
              <w:rPr>
                <w:sz w:val="24"/>
                <w:szCs w:val="24"/>
              </w:rPr>
              <w:t>EU, China, Turkey</w:t>
            </w:r>
          </w:p>
        </w:tc>
      </w:tr>
    </w:tbl>
    <w:p w14:paraId="22FC6BDF" w14:textId="368EF9AC" w:rsidR="003A7791" w:rsidRPr="00D06ACD" w:rsidRDefault="00D52247" w:rsidP="00D52247">
      <w:pPr>
        <w:pStyle w:val="Caption"/>
        <w:rPr>
          <w:sz w:val="24"/>
          <w:szCs w:val="24"/>
        </w:rPr>
      </w:pPr>
      <w:r>
        <w:t xml:space="preserve">Table </w:t>
      </w:r>
      <w:fldSimple w:instr=" SEQ Table \* ARABIC ">
        <w:r>
          <w:rPr>
            <w:noProof/>
          </w:rPr>
          <w:t>2</w:t>
        </w:r>
      </w:fldSimple>
      <w:r>
        <w:t xml:space="preserve"> </w:t>
      </w:r>
      <w:r w:rsidR="003A7791" w:rsidRPr="00D06ACD">
        <w:rPr>
          <w:sz w:val="24"/>
          <w:szCs w:val="24"/>
        </w:rPr>
        <w:t>Estimated CBAM Cost Impact on Key Construction Materials (Source: Allwood et al., 201</w:t>
      </w:r>
      <w:r w:rsidR="003A7791" w:rsidRPr="00D06ACD">
        <w:rPr>
          <w:sz w:val="24"/>
          <w:szCs w:val="24"/>
          <w:lang w:val="en-US"/>
        </w:rPr>
        <w:t>6</w:t>
      </w:r>
      <w:r w:rsidR="003A7791" w:rsidRPr="00D06ACD">
        <w:rPr>
          <w:sz w:val="24"/>
          <w:szCs w:val="24"/>
        </w:rPr>
        <w:t>; Carbon Tracker, 2024; HM Treasury, 2024; BEIS, 2023)</w:t>
      </w:r>
    </w:p>
    <w:p w14:paraId="48C31683" w14:textId="77777777" w:rsidR="003A7791" w:rsidRPr="00D06ACD" w:rsidRDefault="003A7791" w:rsidP="00D06ACD">
      <w:pPr>
        <w:pStyle w:val="Heading3"/>
        <w:spacing w:line="360" w:lineRule="auto"/>
        <w:jc w:val="both"/>
        <w:rPr>
          <w:rFonts w:cs="Times New Roman"/>
        </w:rPr>
      </w:pPr>
      <w:bookmarkStart w:id="31" w:name="_Toc231599680"/>
      <w:r w:rsidRPr="00D06ACD">
        <w:rPr>
          <w:rFonts w:cs="Times New Roman"/>
        </w:rPr>
        <w:t>Contradictions in Results: Strategic Procurement Responses Across Jurisdictions</w:t>
      </w:r>
      <w:bookmarkEnd w:id="31"/>
    </w:p>
    <w:p w14:paraId="1FF1763A" w14:textId="73C660CA" w:rsidR="00C15796" w:rsidRPr="00D06ACD" w:rsidRDefault="00C15796" w:rsidP="00D06ACD">
      <w:pPr>
        <w:spacing w:line="360" w:lineRule="auto"/>
        <w:jc w:val="both"/>
        <w:rPr>
          <w:sz w:val="24"/>
          <w:szCs w:val="24"/>
        </w:rPr>
      </w:pPr>
      <w:r w:rsidRPr="00D06ACD">
        <w:rPr>
          <w:sz w:val="24"/>
          <w:szCs w:val="24"/>
        </w:rPr>
        <w:t xml:space="preserve">There are </w:t>
      </w:r>
      <w:proofErr w:type="gramStart"/>
      <w:r w:rsidRPr="00D06ACD">
        <w:rPr>
          <w:sz w:val="24"/>
          <w:szCs w:val="24"/>
        </w:rPr>
        <w:t>a number of</w:t>
      </w:r>
      <w:proofErr w:type="gramEnd"/>
      <w:r w:rsidRPr="00D06ACD">
        <w:rPr>
          <w:sz w:val="24"/>
          <w:szCs w:val="24"/>
        </w:rPr>
        <w:t xml:space="preserve"> strategic procurement responses that have been identified in the literature that UK construction MNEs could implement to deal with CBAM, but the applicability and effectiveness of these responses vary from study to study. Supplier substitution is the first factor which involves switching the sourcing from high-carbon international suppliers to alternatives of lower-carbon suppliers. Various Authors (2024) evaluated the practical supply chain implications of the UK CBAM for </w:t>
      </w:r>
      <w:proofErr w:type="gramStart"/>
      <w:r w:rsidRPr="00D06ACD">
        <w:rPr>
          <w:sz w:val="24"/>
          <w:szCs w:val="24"/>
        </w:rPr>
        <w:t>importers, and</w:t>
      </w:r>
      <w:proofErr w:type="gramEnd"/>
      <w:r w:rsidRPr="00D06ACD">
        <w:rPr>
          <w:sz w:val="24"/>
          <w:szCs w:val="24"/>
        </w:rPr>
        <w:t xml:space="preserve"> concluded that procurement needs to go beyond generic sustainability requirements to concrete needs for emissions data at the supplier level, and that transparency of supply chains and increased adoption of Environmental Product Declaration (EPD) are important for CBAM compliance. Paulraj (2011) suggested that regulatory pressure is one of the strongest drivers for green supplier selection, inducing an obligation for the supplier to </w:t>
      </w:r>
      <w:r w:rsidRPr="00D06ACD">
        <w:rPr>
          <w:sz w:val="24"/>
          <w:szCs w:val="24"/>
        </w:rPr>
        <w:lastRenderedPageBreak/>
        <w:t xml:space="preserve">perform better in a way that is not voluntary, but mandated by regulations. In the face of new regulations, </w:t>
      </w:r>
      <w:proofErr w:type="spellStart"/>
      <w:r w:rsidRPr="00D06ACD">
        <w:rPr>
          <w:sz w:val="24"/>
          <w:szCs w:val="24"/>
        </w:rPr>
        <w:t>Colicchia</w:t>
      </w:r>
      <w:proofErr w:type="spellEnd"/>
      <w:r w:rsidR="00D52247">
        <w:rPr>
          <w:sz w:val="24"/>
          <w:szCs w:val="24"/>
        </w:rPr>
        <w:t xml:space="preserve"> et al. </w:t>
      </w:r>
      <w:r w:rsidRPr="00D06ACD">
        <w:rPr>
          <w:sz w:val="24"/>
          <w:szCs w:val="24"/>
        </w:rPr>
        <w:t xml:space="preserve">(2019) found that reconfiguring the supply chain is a systematic process that needs to be supported by proactive measures such as creating a diverse supply base and systematically managing risks. Other authors (Various authors, 2022) also found that carbon pricing generates a threshold effect, causing quick 'supplier substitution' above a certain threshold in carbon price. The World Economic Forum (2025) found that companies incorporating carbon governance principles and strong measurement, reporting and verification (MRV) systems have competitive edge and recommended that companies plan for short-term carbon scenarios (1-3 years), and apply short-term internal carbon pricing, followed by medium-term push towards low-carbon suppliers (5-10 years). In its recent survey, Boston Consulting Group (2024) revealed that 62% of EU importers in CBAM covered sectors have started reassessing their supplier portfolios within the first year of transitional reporting, and 38% had begun to engage new suppliers with lower embedded carbon profiles. </w:t>
      </w:r>
      <w:r w:rsidR="00D52247" w:rsidRPr="00D06ACD">
        <w:rPr>
          <w:sz w:val="24"/>
          <w:szCs w:val="24"/>
        </w:rPr>
        <w:t>However,</w:t>
      </w:r>
      <w:r w:rsidRPr="00D06ACD">
        <w:rPr>
          <w:sz w:val="24"/>
          <w:szCs w:val="24"/>
        </w:rPr>
        <w:t xml:space="preserve"> Meehan and Bryde (2011) warned that traditional procurement contracts are not adequate to deal with carbon-cost volatility, since in many cases carbon costs are not subject to contractually agreed escalation and are only known at tender stage.</w:t>
      </w:r>
    </w:p>
    <w:p w14:paraId="0D514C4A" w14:textId="77777777" w:rsidR="00C15796" w:rsidRPr="00D06ACD" w:rsidRDefault="00C15796" w:rsidP="00D06ACD">
      <w:pPr>
        <w:spacing w:line="360" w:lineRule="auto"/>
        <w:jc w:val="both"/>
        <w:rPr>
          <w:sz w:val="24"/>
          <w:szCs w:val="24"/>
        </w:rPr>
      </w:pPr>
      <w:r w:rsidRPr="00D06ACD">
        <w:rPr>
          <w:sz w:val="24"/>
          <w:szCs w:val="24"/>
        </w:rPr>
        <w:t xml:space="preserve">Second, design of the contract is becoming a key response mechanism. Walker and Brammer (2012) suggested that carbon adjusted procurement should include embedded carbon disclosure clauses, carbon-pricing escalation mechanisms and performance-based incentives for verified emissions reductions, as well as involving suppliers and providing long-term offtake for low carbon materials. </w:t>
      </w:r>
      <w:proofErr w:type="spellStart"/>
      <w:r w:rsidRPr="00D06ACD">
        <w:rPr>
          <w:sz w:val="24"/>
          <w:szCs w:val="24"/>
        </w:rPr>
        <w:t>Arogundade</w:t>
      </w:r>
      <w:proofErr w:type="spellEnd"/>
      <w:r w:rsidRPr="00D06ACD">
        <w:rPr>
          <w:sz w:val="24"/>
          <w:szCs w:val="24"/>
        </w:rPr>
        <w:t xml:space="preserve"> et al (2023) found that the UK has fifteen key barriers to construction carbon reduction, including: the structural challenges of resources and prioritisation; policy and standards gaps; and complexity of awareness, all of which highlight the need for procurement managers to address structural challenges when implementing change through sourcing initiatives based on the CBAM. The NEC4 suite of construction contracts has added optional clauses for carbon reporting, although this is not widespread on the construction industry's UK MNEs (Thomas Telford, 2023). Third, while sourcing localisation can be a strategic shift that has the potential to transform, it might be limited by a gap in the supply chain identified by the UK Government, before the country's low-carbon capacity is fully operational (Green Alliance, 2024). There are demand-side responses in material substitution and design optimisation, which is the fourth form mentioned. According to various authors (2025) the current EI of green steel produced by EAFs is lowest among all other green steel production methods and green steel certification </w:t>
      </w:r>
      <w:r w:rsidRPr="00D06ACD">
        <w:rPr>
          <w:sz w:val="24"/>
          <w:szCs w:val="24"/>
        </w:rPr>
        <w:lastRenderedPageBreak/>
        <w:t xml:space="preserve">is not unified. Various authors (2025) also showed that a strong optimisation approach that takes carbon costs into account for steel procurement, leads to significantly lower overall costs compared to conventional steel procurement planning. Allwood et al (2016) have suggested that up to 30% of the structural steel in UK buildings is being used inefficiently, whilst De Wolf, Pomponi and </w:t>
      </w:r>
      <w:proofErr w:type="spellStart"/>
      <w:r w:rsidRPr="00D06ACD">
        <w:rPr>
          <w:sz w:val="24"/>
          <w:szCs w:val="24"/>
        </w:rPr>
        <w:t>Moncaster</w:t>
      </w:r>
      <w:proofErr w:type="spellEnd"/>
      <w:r w:rsidRPr="00D06ACD">
        <w:rPr>
          <w:sz w:val="24"/>
          <w:szCs w:val="24"/>
        </w:rPr>
        <w:t xml:space="preserve"> (2017) have shown that engineered timber and hybrid structural systems can reduce the embodied carbon by 40-60%.</w:t>
      </w:r>
    </w:p>
    <w:p w14:paraId="765FB18D" w14:textId="02E875B9" w:rsidR="00C15796" w:rsidRPr="00D06ACD" w:rsidRDefault="00C15796" w:rsidP="00D06ACD">
      <w:pPr>
        <w:spacing w:line="360" w:lineRule="auto"/>
        <w:jc w:val="both"/>
        <w:rPr>
          <w:sz w:val="24"/>
          <w:szCs w:val="24"/>
        </w:rPr>
      </w:pPr>
      <w:r w:rsidRPr="00D06ACD">
        <w:rPr>
          <w:sz w:val="24"/>
          <w:szCs w:val="24"/>
        </w:rPr>
        <w:t>One major paradox of the empirical literature has to do with the speed and intensity of adaptation. The implementation of carbon-pricing policy in the construction industry in Scandinavian countries as evidenced by Zakeri et al. (2015) led to an increase in the use of low carbon concrete alternatives by 15–20% after 5 years. Fowlie, Reguant and Ryan (2016) determined that the pass-through of carbon costs in the cement sector in California ranged between 70-80%, suggesting that the material-producing firms push the regulatory costs down stream. This is because there are significant challenges when trying to transfer the international experience gained with CBAM into the UK because of the market structure of the construction sector, which is highly fragmented, with the top 10 contractors generating less than 15% of the sector's revenue (Deloitte, 2024) and the prevalent adversarial culture of construction contracts in the UK, which can present obstacles to the collective measures needed to ensure the effective adaptation of CBAM (Latham, 1994; Egan, 1998).</w:t>
      </w:r>
    </w:p>
    <w:p w14:paraId="477E69DD" w14:textId="77777777" w:rsidR="003A7791" w:rsidRPr="00D06ACD" w:rsidRDefault="003A7791" w:rsidP="00D06ACD">
      <w:pPr>
        <w:pStyle w:val="Heading2"/>
        <w:spacing w:line="360" w:lineRule="auto"/>
        <w:jc w:val="both"/>
        <w:rPr>
          <w:rFonts w:cs="Times New Roman"/>
          <w:szCs w:val="24"/>
        </w:rPr>
      </w:pPr>
      <w:bookmarkStart w:id="32" w:name="_Toc231599681"/>
      <w:r w:rsidRPr="00D06ACD">
        <w:rPr>
          <w:rFonts w:cs="Times New Roman"/>
          <w:szCs w:val="24"/>
        </w:rPr>
        <w:t>Theme 3: Emerging Debates</w:t>
      </w:r>
      <w:bookmarkEnd w:id="32"/>
    </w:p>
    <w:p w14:paraId="57B0225E" w14:textId="77777777" w:rsidR="003A7791" w:rsidRPr="00D06ACD" w:rsidRDefault="003A7791" w:rsidP="00D06ACD">
      <w:pPr>
        <w:pStyle w:val="Heading3"/>
        <w:spacing w:line="360" w:lineRule="auto"/>
        <w:jc w:val="both"/>
        <w:rPr>
          <w:rFonts w:cs="Times New Roman"/>
        </w:rPr>
      </w:pPr>
      <w:bookmarkStart w:id="33" w:name="_Toc231599682"/>
      <w:r w:rsidRPr="00D06ACD">
        <w:rPr>
          <w:rFonts w:cs="Times New Roman"/>
        </w:rPr>
        <w:t>New Perspectives: The Contested Legal Durability of CBAM</w:t>
      </w:r>
      <w:bookmarkEnd w:id="33"/>
    </w:p>
    <w:p w14:paraId="0818D5EB" w14:textId="5E8D41C3" w:rsidR="00C15796" w:rsidRPr="00D06ACD" w:rsidRDefault="00C15796" w:rsidP="00D06ACD">
      <w:pPr>
        <w:spacing w:line="360" w:lineRule="auto"/>
        <w:jc w:val="both"/>
        <w:rPr>
          <w:sz w:val="24"/>
          <w:szCs w:val="24"/>
        </w:rPr>
      </w:pPr>
      <w:r w:rsidRPr="00D06ACD">
        <w:rPr>
          <w:sz w:val="24"/>
          <w:szCs w:val="24"/>
        </w:rPr>
        <w:t xml:space="preserve">There are also a number of active debates in the literature which are relevant to the implications and future responses of UK construction MNEs to </w:t>
      </w:r>
      <w:proofErr w:type="spellStart"/>
      <w:r w:rsidRPr="00D06ACD">
        <w:rPr>
          <w:sz w:val="24"/>
          <w:szCs w:val="24"/>
        </w:rPr>
        <w:t>CBAM.In</w:t>
      </w:r>
      <w:proofErr w:type="spellEnd"/>
      <w:r w:rsidRPr="00D06ACD">
        <w:rPr>
          <w:sz w:val="24"/>
          <w:szCs w:val="24"/>
        </w:rPr>
        <w:t xml:space="preserve"> addition to the relatively stable empirical findings on cost transmission there are a number of active debates in the literature that have a material impact on the implications and future responses of UK construction MNEs to CBAM. There is some doubt about whether CBAMs are consistent with WTO rules. Alternative EU CBAM design scenarios have been modelled and show that, when designed with wide sectoral coverage, CBAM has an impact on carbon leakage through increased carbon pricing in the domestic market, while multiple authors (2025) show that EU CBAM has sped up carbon pricing uptake in trading partners, as a lever to carbon pricing diffusion, rather than as a mere leakage-prevention tool. Hillman (2013) and Cosbey et al. (2019) warned that border adjustments may breach the non-discrimination principles of the General Agreement on Tariffs and Trade (GATT) – </w:t>
      </w:r>
      <w:r w:rsidRPr="00D06ACD">
        <w:rPr>
          <w:sz w:val="24"/>
          <w:szCs w:val="24"/>
        </w:rPr>
        <w:lastRenderedPageBreak/>
        <w:t xml:space="preserve">especially if used </w:t>
      </w:r>
      <w:proofErr w:type="spellStart"/>
      <w:r w:rsidRPr="00D06ACD">
        <w:rPr>
          <w:sz w:val="24"/>
          <w:szCs w:val="24"/>
        </w:rPr>
        <w:t>targetting</w:t>
      </w:r>
      <w:proofErr w:type="spellEnd"/>
      <w:r w:rsidRPr="00D06ACD">
        <w:rPr>
          <w:sz w:val="24"/>
          <w:szCs w:val="24"/>
        </w:rPr>
        <w:t xml:space="preserve"> specific trading partners. However, Mehling et al (2019) performed </w:t>
      </w:r>
      <w:r w:rsidR="00D52247" w:rsidRPr="00D06ACD">
        <w:rPr>
          <w:sz w:val="24"/>
          <w:szCs w:val="24"/>
        </w:rPr>
        <w:t>comprehensive legal research</w:t>
      </w:r>
      <w:r w:rsidRPr="00D06ACD">
        <w:rPr>
          <w:sz w:val="24"/>
          <w:szCs w:val="24"/>
        </w:rPr>
        <w:t xml:space="preserve"> that shows that the CBAM, if well designed and truly environmental in objective and non-protectionist in application, would be able to meet the GATT Article XX exceptions. That in the UK, the "border carbon adjustment mechanism" is to be implemented on materials such as materials and metals, including steel and aluminium, cement, and fertilisers, has been confirmed by the rigorous economic analysis by various Authors (2023), which found that sectoral scope impacts are the highest for these materials, and, further, that the path of International Climate Governance is becoming more accommodating to unilateral border measures, but warned of the possibility of retaliatory tariffs by key trading partners.</w:t>
      </w:r>
    </w:p>
    <w:p w14:paraId="3BD34D0C" w14:textId="77777777" w:rsidR="00C15796" w:rsidRPr="00D06ACD" w:rsidRDefault="00C15796" w:rsidP="00D06ACD">
      <w:pPr>
        <w:spacing w:line="360" w:lineRule="auto"/>
        <w:jc w:val="both"/>
        <w:rPr>
          <w:sz w:val="24"/>
          <w:szCs w:val="24"/>
        </w:rPr>
      </w:pPr>
      <w:r w:rsidRPr="00D06ACD">
        <w:rPr>
          <w:sz w:val="24"/>
          <w:szCs w:val="24"/>
        </w:rPr>
        <w:t>This legal uncertainty poses a planning-horizon issue for procurement managers: long-term contracts for procurement need to be built with the understanding that they need to be resilient in the event of the possible occurrence of a partial rollback or an extension of the scope of the CBAM. The new trend in the post-2022 scholarship is that the mechanism has proven to have political longevity and has already shown that it is possible to strategically adapt it, and that the exact parameters of the legal framework can be refined (European Commission, 2023; Boston Consulting Group, 2024).</w:t>
      </w:r>
    </w:p>
    <w:p w14:paraId="343F9370" w14:textId="6AE9D1CE" w:rsidR="00C15796" w:rsidRPr="00D06ACD" w:rsidRDefault="00C15796" w:rsidP="00D52247">
      <w:pPr>
        <w:pStyle w:val="Heading3"/>
      </w:pPr>
      <w:bookmarkStart w:id="34" w:name="_Toc231599683"/>
      <w:r w:rsidRPr="00D06ACD">
        <w:t>Critical Discussions: Compliance Burden Versus Competitive Opportunity</w:t>
      </w:r>
      <w:bookmarkEnd w:id="34"/>
    </w:p>
    <w:p w14:paraId="0607ED82" w14:textId="77777777" w:rsidR="00C15796" w:rsidRPr="00D06ACD" w:rsidRDefault="00C15796" w:rsidP="00D06ACD">
      <w:pPr>
        <w:spacing w:line="360" w:lineRule="auto"/>
        <w:jc w:val="both"/>
        <w:rPr>
          <w:sz w:val="24"/>
          <w:szCs w:val="24"/>
        </w:rPr>
      </w:pPr>
      <w:r w:rsidRPr="00D06ACD">
        <w:rPr>
          <w:sz w:val="24"/>
          <w:szCs w:val="24"/>
        </w:rPr>
        <w:t>The second debate is whether CBAM should be perceived as a compliance obligation or a competitive advantage, which are two distinct strategic approaches of construction MNEs. The Institutional Theory tradition is more of a proponent of the compliance-burden framing: Delmas and Toffel (2008) pointed out that the cost floor for all market participants is increased via coercive regulation, but this doesn't necessarily result in market differentiation. In this way, CBAM can be seen as a cost to navigate and minimise via the most efficient compliance strategy.</w:t>
      </w:r>
    </w:p>
    <w:p w14:paraId="792F4214" w14:textId="43FA6109" w:rsidR="00C15796" w:rsidRPr="00D06ACD" w:rsidRDefault="00C15796" w:rsidP="00D06ACD">
      <w:pPr>
        <w:spacing w:line="360" w:lineRule="auto"/>
        <w:jc w:val="both"/>
        <w:rPr>
          <w:sz w:val="24"/>
          <w:szCs w:val="24"/>
        </w:rPr>
      </w:pPr>
      <w:r w:rsidRPr="00D06ACD">
        <w:rPr>
          <w:sz w:val="24"/>
          <w:szCs w:val="24"/>
        </w:rPr>
        <w:t xml:space="preserve">The competitive-opportunity framing is consistent with the Porter Hypothesis tradition, which </w:t>
      </w:r>
      <w:r w:rsidR="00D52247" w:rsidRPr="00D06ACD">
        <w:rPr>
          <w:sz w:val="24"/>
          <w:szCs w:val="24"/>
        </w:rPr>
        <w:t>assumed</w:t>
      </w:r>
      <w:r w:rsidRPr="00D06ACD">
        <w:rPr>
          <w:sz w:val="24"/>
          <w:szCs w:val="24"/>
        </w:rPr>
        <w:t xml:space="preserve"> that the first movers in regulated areas reap disproportionate benefits from innovation, supplier-relationship capital, and the reputation-building that occurs with carbon-conscious buyers (</w:t>
      </w:r>
      <w:proofErr w:type="spellStart"/>
      <w:r w:rsidRPr="00D06ACD">
        <w:rPr>
          <w:sz w:val="24"/>
          <w:szCs w:val="24"/>
        </w:rPr>
        <w:t>Ambec</w:t>
      </w:r>
      <w:proofErr w:type="spellEnd"/>
      <w:r w:rsidRPr="00D06ACD">
        <w:rPr>
          <w:sz w:val="24"/>
          <w:szCs w:val="24"/>
        </w:rPr>
        <w:t xml:space="preserve"> et al., 2013; Bird and Park, 2016). A more recent practitioner-focused study by Boston Consulting Group (2024) and McKinsey and Company (2023) is closer to the Porter perspective, and sees CBAM as a strategic moment, not a regulatory tax. Carbon regulation is framed in the UK Government's Industrial Decarbonisation Strategy (BEIS, 2021) as an opportunity for industry and the GBP 1.25 billion Tata Steel Port Talbot transition is included as a representative example in this </w:t>
      </w:r>
      <w:r w:rsidRPr="00D06ACD">
        <w:rPr>
          <w:sz w:val="24"/>
          <w:szCs w:val="24"/>
        </w:rPr>
        <w:lastRenderedPageBreak/>
        <w:t>document, along with the wider green steel supply chain, as a potential source of future competitive advantage for construction buyers who are willing to enter long-term offtake agreements with low-carbon UK producers.</w:t>
      </w:r>
    </w:p>
    <w:p w14:paraId="1341860D" w14:textId="53E97471" w:rsidR="00C15796" w:rsidRPr="00D06ACD" w:rsidRDefault="00C15796" w:rsidP="00D06ACD">
      <w:pPr>
        <w:spacing w:line="360" w:lineRule="auto"/>
        <w:jc w:val="both"/>
        <w:rPr>
          <w:sz w:val="24"/>
          <w:szCs w:val="24"/>
        </w:rPr>
      </w:pPr>
      <w:r w:rsidRPr="00D06ACD">
        <w:rPr>
          <w:sz w:val="24"/>
          <w:szCs w:val="24"/>
        </w:rPr>
        <w:t xml:space="preserve">The dissertation does not aim to settle this </w:t>
      </w:r>
      <w:r w:rsidR="00D52247" w:rsidRPr="00D06ACD">
        <w:rPr>
          <w:sz w:val="24"/>
          <w:szCs w:val="24"/>
        </w:rPr>
        <w:t>debate but</w:t>
      </w:r>
      <w:r w:rsidRPr="00D06ACD">
        <w:rPr>
          <w:sz w:val="24"/>
          <w:szCs w:val="24"/>
        </w:rPr>
        <w:t xml:space="preserve"> makes it a key lens for the procurement leader to make it a clear part of his CBAM strategy. The way companies manage to balance the compliance-opportunity conundrum will significantly influence the strategic transformation from cost-efficient to carbon-efficient (RQ2) that will be discussed.</w:t>
      </w:r>
    </w:p>
    <w:p w14:paraId="1AA8B9A7" w14:textId="77777777" w:rsidR="003A7791" w:rsidRPr="00D06ACD" w:rsidRDefault="003A7791" w:rsidP="00D06ACD">
      <w:pPr>
        <w:pStyle w:val="Heading2"/>
        <w:spacing w:line="360" w:lineRule="auto"/>
        <w:jc w:val="both"/>
        <w:rPr>
          <w:rFonts w:cs="Times New Roman"/>
          <w:szCs w:val="24"/>
        </w:rPr>
      </w:pPr>
      <w:bookmarkStart w:id="35" w:name="_Toc231599684"/>
      <w:r w:rsidRPr="00D06ACD">
        <w:rPr>
          <w:rFonts w:cs="Times New Roman"/>
          <w:szCs w:val="24"/>
        </w:rPr>
        <w:t>Theme 4: Research Gaps</w:t>
      </w:r>
      <w:bookmarkEnd w:id="35"/>
    </w:p>
    <w:p w14:paraId="55E6EB65" w14:textId="77777777" w:rsidR="003A7791" w:rsidRPr="00D06ACD" w:rsidRDefault="003A7791" w:rsidP="00D06ACD">
      <w:pPr>
        <w:pStyle w:val="Heading3"/>
        <w:spacing w:line="360" w:lineRule="auto"/>
        <w:jc w:val="both"/>
        <w:rPr>
          <w:rFonts w:cs="Times New Roman"/>
        </w:rPr>
      </w:pPr>
      <w:bookmarkStart w:id="36" w:name="_Toc231599685"/>
      <w:r w:rsidRPr="00D06ACD">
        <w:rPr>
          <w:rFonts w:cs="Times New Roman"/>
        </w:rPr>
        <w:t>What Previous Studies Did Not Address</w:t>
      </w:r>
      <w:bookmarkEnd w:id="36"/>
    </w:p>
    <w:p w14:paraId="70DC1D76" w14:textId="77777777" w:rsidR="00087B14" w:rsidRPr="00D06ACD" w:rsidRDefault="00087B14" w:rsidP="00D06ACD">
      <w:pPr>
        <w:spacing w:before="120" w:after="120" w:line="360" w:lineRule="auto"/>
        <w:jc w:val="both"/>
        <w:rPr>
          <w:sz w:val="24"/>
          <w:szCs w:val="24"/>
        </w:rPr>
      </w:pPr>
      <w:r w:rsidRPr="00D06ACD">
        <w:rPr>
          <w:sz w:val="24"/>
          <w:szCs w:val="24"/>
        </w:rPr>
        <w:t>The themes that have been covered above have outlined what the literature has identified. This theme clearly states what it does not, the types of restrictions or variables that are not accounted for that call for the current study. The review reveals three main gaps.</w:t>
      </w:r>
    </w:p>
    <w:p w14:paraId="476323FD" w14:textId="77777777" w:rsidR="00087B14" w:rsidRPr="00D06ACD" w:rsidRDefault="00087B14" w:rsidP="00D06ACD">
      <w:pPr>
        <w:spacing w:before="120" w:after="120" w:line="360" w:lineRule="auto"/>
        <w:jc w:val="both"/>
        <w:rPr>
          <w:sz w:val="24"/>
          <w:szCs w:val="24"/>
        </w:rPr>
      </w:pPr>
      <w:r w:rsidRPr="00D06ACD">
        <w:rPr>
          <w:sz w:val="24"/>
          <w:szCs w:val="24"/>
        </w:rPr>
        <w:t>Second, the literature on CBAM and environmental economics has explored the macroeconomic and sectoral effects of CBAM, both using CGE and partial-equilibrium methods (Zakeri et al., 2015; Mehling et al., 2019; Branger and Quirion, 2014), but not at the level of individual construction buyers, where one could examine how they are preparing for or reacting to the cost increases imposed by CBAM. This literature does not include the cost, carbon intensity, supply security, or compliance risk considerations that are part of all procurement decision making processes of UK construction MNEs.</w:t>
      </w:r>
    </w:p>
    <w:p w14:paraId="41687EF2" w14:textId="77777777" w:rsidR="00087B14" w:rsidRPr="00D06ACD" w:rsidRDefault="00087B14" w:rsidP="00D06ACD">
      <w:pPr>
        <w:spacing w:before="120" w:after="120" w:line="360" w:lineRule="auto"/>
        <w:jc w:val="both"/>
        <w:rPr>
          <w:sz w:val="24"/>
          <w:szCs w:val="24"/>
        </w:rPr>
      </w:pPr>
      <w:r w:rsidRPr="00D06ACD">
        <w:rPr>
          <w:sz w:val="24"/>
          <w:szCs w:val="24"/>
        </w:rPr>
        <w:t>Second, the literature on sustainable supply chain management has tended to focus on green procurement (Walker and Brammer, 2012; Paulraj, 2011) and carbon-aware supplier selection (</w:t>
      </w:r>
      <w:proofErr w:type="spellStart"/>
      <w:r w:rsidRPr="00D06ACD">
        <w:rPr>
          <w:sz w:val="24"/>
          <w:szCs w:val="24"/>
        </w:rPr>
        <w:t>Schaltegger</w:t>
      </w:r>
      <w:proofErr w:type="spellEnd"/>
      <w:r w:rsidRPr="00D06ACD">
        <w:rPr>
          <w:sz w:val="24"/>
          <w:szCs w:val="24"/>
        </w:rPr>
        <w:t xml:space="preserve"> and Burritt, 2014) in the context of voluntary corporate sustainability, rather than in relation to the specific regulatory shock of the mandatory border carbon adjustment. This is a major constraint: the knowledge of corporate reactions to voluntary sustainability calls </w:t>
      </w:r>
      <w:proofErr w:type="spellStart"/>
      <w:r w:rsidRPr="00D06ACD">
        <w:rPr>
          <w:sz w:val="24"/>
          <w:szCs w:val="24"/>
        </w:rPr>
        <w:t>can not</w:t>
      </w:r>
      <w:proofErr w:type="spellEnd"/>
      <w:r w:rsidRPr="00D06ACD">
        <w:rPr>
          <w:sz w:val="24"/>
          <w:szCs w:val="24"/>
        </w:rPr>
        <w:t xml:space="preserve"> be easily applied to a setting where carbon is a regulated, audited, and costed procurement specification.</w:t>
      </w:r>
    </w:p>
    <w:p w14:paraId="60DAE22E" w14:textId="77777777" w:rsidR="00087B14" w:rsidRPr="00D06ACD" w:rsidRDefault="00087B14" w:rsidP="00D06ACD">
      <w:pPr>
        <w:spacing w:before="120" w:after="120" w:line="360" w:lineRule="auto"/>
        <w:jc w:val="both"/>
        <w:rPr>
          <w:sz w:val="24"/>
          <w:szCs w:val="24"/>
        </w:rPr>
      </w:pPr>
      <w:r w:rsidRPr="00D06ACD">
        <w:rPr>
          <w:sz w:val="24"/>
          <w:szCs w:val="24"/>
        </w:rPr>
        <w:t xml:space="preserve">Third, research in the construction management literature has considered embodied carbon and low carbon alternatives to materials (Lehne and Preston, 2018; </w:t>
      </w:r>
      <w:proofErr w:type="spellStart"/>
      <w:r w:rsidRPr="00D06ACD">
        <w:rPr>
          <w:sz w:val="24"/>
          <w:szCs w:val="24"/>
        </w:rPr>
        <w:t>Rootzén</w:t>
      </w:r>
      <w:proofErr w:type="spellEnd"/>
      <w:r w:rsidRPr="00D06ACD">
        <w:rPr>
          <w:sz w:val="24"/>
          <w:szCs w:val="24"/>
        </w:rPr>
        <w:t xml:space="preserve"> and Johnsson, 2017; De Wolf, Pomponi and </w:t>
      </w:r>
      <w:proofErr w:type="spellStart"/>
      <w:r w:rsidRPr="00D06ACD">
        <w:rPr>
          <w:sz w:val="24"/>
          <w:szCs w:val="24"/>
        </w:rPr>
        <w:t>Moncaster</w:t>
      </w:r>
      <w:proofErr w:type="spellEnd"/>
      <w:r w:rsidRPr="00D06ACD">
        <w:rPr>
          <w:sz w:val="24"/>
          <w:szCs w:val="24"/>
        </w:rPr>
        <w:t xml:space="preserve">, 2017) but not as an explicit and immediate force influencing procurement. The UK Green Building Council (2023) reported that less than 12% of the construction industry's Tier 1 contractors were able to estimate the carbon </w:t>
      </w:r>
      <w:r w:rsidRPr="00D06ACD">
        <w:rPr>
          <w:sz w:val="24"/>
          <w:szCs w:val="24"/>
        </w:rPr>
        <w:lastRenderedPageBreak/>
        <w:t>intensity of materials and products they use that are imported from outside the UK. (This capability gap has not been studied in the academic literature and is essential for CBAM readiness.)</w:t>
      </w:r>
    </w:p>
    <w:p w14:paraId="4823D780" w14:textId="77777777" w:rsidR="00087B14" w:rsidRPr="00D06ACD" w:rsidRDefault="00087B14" w:rsidP="00D06ACD">
      <w:pPr>
        <w:spacing w:before="120" w:after="120" w:line="360" w:lineRule="auto"/>
        <w:jc w:val="both"/>
        <w:rPr>
          <w:sz w:val="24"/>
          <w:szCs w:val="24"/>
        </w:rPr>
      </w:pPr>
      <w:r w:rsidRPr="00D06ACD">
        <w:rPr>
          <w:sz w:val="24"/>
          <w:szCs w:val="24"/>
        </w:rPr>
        <w:t xml:space="preserve">The embodied carbon in construction materials was estimated to be 5.4 gigatons of CO₂ in 2020 by Durgam et al. (2025) and regulation and stakeholder engagement are crucial to decarbonisation, but so far there is no research on CO₂ embedded in procurement. While UK CBAM may prompt UK construction MNEs to report changes, it is argued that it will also lead to real emissions reductions at the firm level, as </w:t>
      </w:r>
      <w:proofErr w:type="spellStart"/>
      <w:r w:rsidRPr="00D06ACD">
        <w:rPr>
          <w:sz w:val="24"/>
          <w:szCs w:val="24"/>
        </w:rPr>
        <w:t>Ramadorai</w:t>
      </w:r>
      <w:proofErr w:type="spellEnd"/>
      <w:r w:rsidRPr="00D06ACD">
        <w:rPr>
          <w:sz w:val="24"/>
          <w:szCs w:val="24"/>
        </w:rPr>
        <w:t xml:space="preserve"> and Zeni (2024) showed. However, how these reductions will be achieved is not yet explored in the context of construction MNEs. Various Authors (2023) found that regulatory pressure is the leading motivation for carbon disclosure along the supply chain, with companies with robust sustainability capabilities making better disclosures, which will be a huge stimulator for importers in the UK who will be impacted by CBAM. The existing literature has not yet produced a study that combines these three literatures to examine the reconfiguration of the international supply chains of the UK construction MNEs in direct response to the UK CBAM. Specific questions regarding the balance of cost, carbon intensity, regulatory compliance and domestic capacity under CBAM have not been studied in the peer-reviewed literature in a systematic way. Moreover, there is limited existing research on the UK-specific context. Although a number of studies have been conducted on the EU CBAM (European Commission, 2023; Boston Consulting Group, 2024), the CBAM in the UK is set to differ from the EU CBAM in terms of its product scope, its relationship with the UK ETS not the EU ETS, and the UK construction supply chain's greater reliance on imported steel and aluminium. The results of EU studies cannot be directly applied to the UK context as there are various contextual differences (Green Alliance, 2024).</w:t>
      </w:r>
    </w:p>
    <w:p w14:paraId="220F2CB5" w14:textId="0DCA16D7" w:rsidR="00087B14" w:rsidRPr="00D06ACD" w:rsidRDefault="00087B14" w:rsidP="00D52247">
      <w:pPr>
        <w:pStyle w:val="Heading2"/>
      </w:pPr>
      <w:bookmarkStart w:id="37" w:name="_Toc231599686"/>
      <w:r w:rsidRPr="00D06ACD">
        <w:t>Conclusion:</w:t>
      </w:r>
      <w:bookmarkEnd w:id="37"/>
    </w:p>
    <w:p w14:paraId="4DA4C2F2" w14:textId="3B32E21D" w:rsidR="003A7791" w:rsidRPr="00D06ACD" w:rsidRDefault="00087B14" w:rsidP="00D06ACD">
      <w:pPr>
        <w:spacing w:before="120" w:after="120" w:line="360" w:lineRule="auto"/>
        <w:jc w:val="both"/>
        <w:rPr>
          <w:sz w:val="24"/>
          <w:szCs w:val="24"/>
        </w:rPr>
      </w:pPr>
      <w:r w:rsidRPr="00D06ACD">
        <w:rPr>
          <w:sz w:val="24"/>
          <w:szCs w:val="24"/>
        </w:rPr>
        <w:t xml:space="preserve">Overall, the chapter has offered a systematic thematic review of the literature, synthesised by four themes: theoretical foundations, empirical findings, new debates and research gaps. The review confirms that CBAM will create material and quantifiable cost surcharges for the major materials used in the UK construction sector, that carbon-efficiency considerations will come to dominate the dominant cost-efficiency procurement logic, and that an early supplier relationship will become more important because of a supply-side constraint on domestic low-carbon capacity, while also highlighting a cluster of significant research gaps, especially at the firm level and in the UK-specific context, that have hitherto </w:t>
      </w:r>
      <w:r w:rsidRPr="00D06ACD">
        <w:rPr>
          <w:sz w:val="24"/>
          <w:szCs w:val="24"/>
        </w:rPr>
        <w:lastRenderedPageBreak/>
        <w:t xml:space="preserve">not been discussed in the literature. The findings are then summarised and consolidated in Chapter Four, </w:t>
      </w:r>
      <w:proofErr w:type="gramStart"/>
      <w:r w:rsidRPr="00D06ACD">
        <w:rPr>
          <w:sz w:val="24"/>
          <w:szCs w:val="24"/>
        </w:rPr>
        <w:t>in order to</w:t>
      </w:r>
      <w:proofErr w:type="gramEnd"/>
      <w:r w:rsidRPr="00D06ACD">
        <w:rPr>
          <w:sz w:val="24"/>
          <w:szCs w:val="24"/>
        </w:rPr>
        <w:t xml:space="preserve"> directly address the three research questions, to propose the Carbon-Adjusted Procurement (CAP) framework and to identify the theoretical and practical implications of the review.</w:t>
      </w:r>
    </w:p>
    <w:p w14:paraId="50FC64D1" w14:textId="77777777" w:rsidR="003A7791" w:rsidRPr="00D06ACD" w:rsidRDefault="003A7791" w:rsidP="00D06ACD">
      <w:pPr>
        <w:spacing w:before="120" w:after="120" w:line="360" w:lineRule="auto"/>
        <w:jc w:val="both"/>
        <w:rPr>
          <w:sz w:val="24"/>
          <w:szCs w:val="24"/>
        </w:rPr>
      </w:pPr>
    </w:p>
    <w:p w14:paraId="44EAF801" w14:textId="77777777" w:rsidR="003A7791" w:rsidRPr="00D06ACD" w:rsidRDefault="003A7791" w:rsidP="00D06ACD">
      <w:pPr>
        <w:spacing w:before="120" w:after="120" w:line="360" w:lineRule="auto"/>
        <w:jc w:val="both"/>
        <w:rPr>
          <w:sz w:val="24"/>
          <w:szCs w:val="24"/>
        </w:rPr>
      </w:pPr>
    </w:p>
    <w:p w14:paraId="3EA787CB" w14:textId="77777777" w:rsidR="003A7791" w:rsidRPr="00D06ACD" w:rsidRDefault="003A7791" w:rsidP="00D06ACD">
      <w:pPr>
        <w:spacing w:before="120" w:after="120" w:line="360" w:lineRule="auto"/>
        <w:jc w:val="both"/>
        <w:rPr>
          <w:sz w:val="24"/>
          <w:szCs w:val="24"/>
        </w:rPr>
      </w:pPr>
    </w:p>
    <w:p w14:paraId="5E92C49E" w14:textId="77777777" w:rsidR="003A7791" w:rsidRPr="00D06ACD" w:rsidRDefault="003A7791" w:rsidP="00D06ACD">
      <w:pPr>
        <w:spacing w:before="120" w:after="120" w:line="360" w:lineRule="auto"/>
        <w:jc w:val="both"/>
        <w:rPr>
          <w:sz w:val="24"/>
          <w:szCs w:val="24"/>
        </w:rPr>
      </w:pPr>
    </w:p>
    <w:p w14:paraId="4CC1829E" w14:textId="77777777" w:rsidR="003A7791" w:rsidRPr="00D06ACD" w:rsidRDefault="003A7791" w:rsidP="00D06ACD">
      <w:pPr>
        <w:spacing w:before="120" w:after="120" w:line="360" w:lineRule="auto"/>
        <w:jc w:val="both"/>
        <w:rPr>
          <w:sz w:val="24"/>
          <w:szCs w:val="24"/>
        </w:rPr>
      </w:pPr>
    </w:p>
    <w:p w14:paraId="77BC09C9" w14:textId="77777777" w:rsidR="003A7791" w:rsidRPr="00D06ACD" w:rsidRDefault="003A7791" w:rsidP="00D06ACD">
      <w:pPr>
        <w:spacing w:before="120" w:after="120" w:line="360" w:lineRule="auto"/>
        <w:jc w:val="both"/>
        <w:rPr>
          <w:sz w:val="24"/>
          <w:szCs w:val="24"/>
        </w:rPr>
      </w:pPr>
    </w:p>
    <w:p w14:paraId="514B7227" w14:textId="77777777" w:rsidR="003A7791" w:rsidRDefault="003A7791" w:rsidP="00D06ACD">
      <w:pPr>
        <w:spacing w:before="120" w:after="120" w:line="360" w:lineRule="auto"/>
        <w:jc w:val="both"/>
        <w:rPr>
          <w:sz w:val="24"/>
          <w:szCs w:val="24"/>
        </w:rPr>
      </w:pPr>
    </w:p>
    <w:p w14:paraId="05EDC364" w14:textId="77777777" w:rsidR="00D52247" w:rsidRDefault="00D52247" w:rsidP="00D06ACD">
      <w:pPr>
        <w:spacing w:before="120" w:after="120" w:line="360" w:lineRule="auto"/>
        <w:jc w:val="both"/>
        <w:rPr>
          <w:sz w:val="24"/>
          <w:szCs w:val="24"/>
        </w:rPr>
      </w:pPr>
    </w:p>
    <w:p w14:paraId="404C0251" w14:textId="77777777" w:rsidR="00D52247" w:rsidRDefault="00D52247" w:rsidP="00D06ACD">
      <w:pPr>
        <w:spacing w:before="120" w:after="120" w:line="360" w:lineRule="auto"/>
        <w:jc w:val="both"/>
        <w:rPr>
          <w:sz w:val="24"/>
          <w:szCs w:val="24"/>
        </w:rPr>
      </w:pPr>
    </w:p>
    <w:p w14:paraId="3D6819D4" w14:textId="77777777" w:rsidR="00D52247" w:rsidRDefault="00D52247" w:rsidP="00D06ACD">
      <w:pPr>
        <w:spacing w:before="120" w:after="120" w:line="360" w:lineRule="auto"/>
        <w:jc w:val="both"/>
        <w:rPr>
          <w:sz w:val="24"/>
          <w:szCs w:val="24"/>
        </w:rPr>
      </w:pPr>
    </w:p>
    <w:p w14:paraId="4FDA0352" w14:textId="77777777" w:rsidR="00D52247" w:rsidRDefault="00D52247" w:rsidP="00D06ACD">
      <w:pPr>
        <w:spacing w:before="120" w:after="120" w:line="360" w:lineRule="auto"/>
        <w:jc w:val="both"/>
        <w:rPr>
          <w:sz w:val="24"/>
          <w:szCs w:val="24"/>
        </w:rPr>
      </w:pPr>
    </w:p>
    <w:p w14:paraId="10DF0F8B" w14:textId="77777777" w:rsidR="00D52247" w:rsidRDefault="00D52247" w:rsidP="00D06ACD">
      <w:pPr>
        <w:spacing w:before="120" w:after="120" w:line="360" w:lineRule="auto"/>
        <w:jc w:val="both"/>
        <w:rPr>
          <w:sz w:val="24"/>
          <w:szCs w:val="24"/>
        </w:rPr>
      </w:pPr>
    </w:p>
    <w:p w14:paraId="112F56A5" w14:textId="77777777" w:rsidR="00D52247" w:rsidRDefault="00D52247" w:rsidP="00D06ACD">
      <w:pPr>
        <w:spacing w:before="120" w:after="120" w:line="360" w:lineRule="auto"/>
        <w:jc w:val="both"/>
        <w:rPr>
          <w:sz w:val="24"/>
          <w:szCs w:val="24"/>
        </w:rPr>
      </w:pPr>
    </w:p>
    <w:p w14:paraId="236618B2" w14:textId="77777777" w:rsidR="00D52247" w:rsidRDefault="00D52247" w:rsidP="00D06ACD">
      <w:pPr>
        <w:spacing w:before="120" w:after="120" w:line="360" w:lineRule="auto"/>
        <w:jc w:val="both"/>
        <w:rPr>
          <w:sz w:val="24"/>
          <w:szCs w:val="24"/>
        </w:rPr>
      </w:pPr>
    </w:p>
    <w:p w14:paraId="678BC031" w14:textId="77777777" w:rsidR="00D52247" w:rsidRDefault="00D52247" w:rsidP="00D06ACD">
      <w:pPr>
        <w:spacing w:before="120" w:after="120" w:line="360" w:lineRule="auto"/>
        <w:jc w:val="both"/>
        <w:rPr>
          <w:sz w:val="24"/>
          <w:szCs w:val="24"/>
        </w:rPr>
      </w:pPr>
    </w:p>
    <w:p w14:paraId="2C0C9D4D" w14:textId="77777777" w:rsidR="00D52247" w:rsidRDefault="00D52247" w:rsidP="00D06ACD">
      <w:pPr>
        <w:spacing w:before="120" w:after="120" w:line="360" w:lineRule="auto"/>
        <w:jc w:val="both"/>
        <w:rPr>
          <w:sz w:val="24"/>
          <w:szCs w:val="24"/>
        </w:rPr>
      </w:pPr>
    </w:p>
    <w:p w14:paraId="1828D4A7" w14:textId="77777777" w:rsidR="00D52247" w:rsidRDefault="00D52247" w:rsidP="00D06ACD">
      <w:pPr>
        <w:spacing w:before="120" w:after="120" w:line="360" w:lineRule="auto"/>
        <w:jc w:val="both"/>
        <w:rPr>
          <w:sz w:val="24"/>
          <w:szCs w:val="24"/>
        </w:rPr>
      </w:pPr>
    </w:p>
    <w:p w14:paraId="5E5C306A" w14:textId="77777777" w:rsidR="00D52247" w:rsidRDefault="00D52247" w:rsidP="00D06ACD">
      <w:pPr>
        <w:spacing w:before="120" w:after="120" w:line="360" w:lineRule="auto"/>
        <w:jc w:val="both"/>
        <w:rPr>
          <w:sz w:val="24"/>
          <w:szCs w:val="24"/>
        </w:rPr>
      </w:pPr>
    </w:p>
    <w:p w14:paraId="3357698D" w14:textId="77777777" w:rsidR="00D52247" w:rsidRDefault="00D52247" w:rsidP="00D06ACD">
      <w:pPr>
        <w:spacing w:before="120" w:after="120" w:line="360" w:lineRule="auto"/>
        <w:jc w:val="both"/>
        <w:rPr>
          <w:sz w:val="24"/>
          <w:szCs w:val="24"/>
        </w:rPr>
      </w:pPr>
    </w:p>
    <w:p w14:paraId="2D8E3CFE" w14:textId="77777777" w:rsidR="00D52247" w:rsidRDefault="00D52247" w:rsidP="00D06ACD">
      <w:pPr>
        <w:spacing w:before="120" w:after="120" w:line="360" w:lineRule="auto"/>
        <w:jc w:val="both"/>
        <w:rPr>
          <w:sz w:val="24"/>
          <w:szCs w:val="24"/>
        </w:rPr>
      </w:pPr>
    </w:p>
    <w:p w14:paraId="7B7E07A7" w14:textId="77777777" w:rsidR="00D52247" w:rsidRPr="00D06ACD" w:rsidRDefault="00D52247" w:rsidP="00D06ACD">
      <w:pPr>
        <w:spacing w:before="120" w:after="120" w:line="360" w:lineRule="auto"/>
        <w:jc w:val="both"/>
        <w:rPr>
          <w:sz w:val="24"/>
          <w:szCs w:val="24"/>
        </w:rPr>
      </w:pPr>
    </w:p>
    <w:p w14:paraId="3839978E" w14:textId="77777777" w:rsidR="003A7791" w:rsidRPr="00D06ACD" w:rsidRDefault="003A7791" w:rsidP="00D06ACD">
      <w:pPr>
        <w:spacing w:before="120" w:after="120" w:line="360" w:lineRule="auto"/>
        <w:jc w:val="both"/>
        <w:rPr>
          <w:sz w:val="24"/>
          <w:szCs w:val="24"/>
        </w:rPr>
      </w:pPr>
    </w:p>
    <w:p w14:paraId="00AD1C0F" w14:textId="77777777" w:rsidR="003A7791" w:rsidRPr="00D06ACD" w:rsidRDefault="003A7791" w:rsidP="00D06ACD">
      <w:pPr>
        <w:spacing w:before="120" w:after="120" w:line="360" w:lineRule="auto"/>
        <w:jc w:val="both"/>
        <w:rPr>
          <w:sz w:val="24"/>
          <w:szCs w:val="24"/>
        </w:rPr>
      </w:pPr>
    </w:p>
    <w:p w14:paraId="2AC680CE" w14:textId="77777777" w:rsidR="003A7791" w:rsidRPr="00D06ACD" w:rsidRDefault="003A7791" w:rsidP="00D52247">
      <w:pPr>
        <w:pStyle w:val="Heading1"/>
      </w:pPr>
      <w:bookmarkStart w:id="38" w:name="_Toc231599687"/>
      <w:r w:rsidRPr="00D52247">
        <w:lastRenderedPageBreak/>
        <w:t>Chapter</w:t>
      </w:r>
      <w:r w:rsidRPr="00D06ACD">
        <w:t xml:space="preserve"> Four: Discussion</w:t>
      </w:r>
      <w:bookmarkEnd w:id="38"/>
    </w:p>
    <w:p w14:paraId="1C4821FA" w14:textId="77777777" w:rsidR="003A7791" w:rsidRPr="00D06ACD" w:rsidRDefault="003A7791" w:rsidP="00D06ACD">
      <w:pPr>
        <w:pStyle w:val="Heading2"/>
        <w:spacing w:line="360" w:lineRule="auto"/>
        <w:jc w:val="both"/>
        <w:rPr>
          <w:rFonts w:cs="Times New Roman"/>
          <w:szCs w:val="24"/>
        </w:rPr>
      </w:pPr>
      <w:bookmarkStart w:id="39" w:name="_Toc231599688"/>
      <w:r w:rsidRPr="00D06ACD">
        <w:rPr>
          <w:rFonts w:cs="Times New Roman"/>
          <w:szCs w:val="24"/>
        </w:rPr>
        <w:t>Introduction</w:t>
      </w:r>
      <w:bookmarkEnd w:id="39"/>
    </w:p>
    <w:p w14:paraId="36E5C36C" w14:textId="7A593D6D" w:rsidR="00087B14" w:rsidRPr="00D06ACD" w:rsidRDefault="00087B14" w:rsidP="00D06ACD">
      <w:pPr>
        <w:spacing w:line="360" w:lineRule="auto"/>
        <w:jc w:val="both"/>
        <w:rPr>
          <w:sz w:val="24"/>
          <w:szCs w:val="24"/>
        </w:rPr>
      </w:pPr>
      <w:r w:rsidRPr="00D06ACD">
        <w:rPr>
          <w:sz w:val="24"/>
          <w:szCs w:val="24"/>
        </w:rPr>
        <w:t>The Extended Literature Review results are summarised and synthesised in this chapter, which offers direct, integrated answers to the three research questions that have informed this dissertation. It is an extension of thematic analysis outlined in Chapter Three, which goes beyond description and mapping of literature to critical interpretation and reflection on the literature. As per the Extended Literature Review methodology, the Discussion does not restate the thematic content but builds upon it: resolving the main tensions of the literature, assessing the relevance and limitations of the four theoretical frameworks in our study's context of CBAM-construction procurement, and providing an original framework of Carbon-Adjusted Procurement (CAP) as our study's conceptual contribution. The chapter then walks through the gaps that have been addressed by this synthesis and gaps that have yet to be explored.</w:t>
      </w:r>
    </w:p>
    <w:p w14:paraId="03445802" w14:textId="77777777" w:rsidR="003A7791" w:rsidRPr="00D06ACD" w:rsidRDefault="003A7791" w:rsidP="00D06ACD">
      <w:pPr>
        <w:pStyle w:val="Heading2"/>
        <w:spacing w:line="360" w:lineRule="auto"/>
        <w:jc w:val="both"/>
        <w:rPr>
          <w:rFonts w:cs="Times New Roman"/>
          <w:szCs w:val="24"/>
        </w:rPr>
      </w:pPr>
      <w:bookmarkStart w:id="40" w:name="_Toc231599689"/>
      <w:r w:rsidRPr="00D06ACD">
        <w:rPr>
          <w:rFonts w:cs="Times New Roman"/>
          <w:szCs w:val="24"/>
        </w:rPr>
        <w:t>Integration of Findings: Answering the Research Questions</w:t>
      </w:r>
      <w:bookmarkEnd w:id="40"/>
    </w:p>
    <w:p w14:paraId="6FF0FC8C" w14:textId="77777777" w:rsidR="003A7791" w:rsidRPr="00D06ACD" w:rsidRDefault="003A7791" w:rsidP="00D06ACD">
      <w:pPr>
        <w:pStyle w:val="Heading3"/>
        <w:spacing w:line="360" w:lineRule="auto"/>
        <w:jc w:val="both"/>
        <w:rPr>
          <w:rFonts w:cs="Times New Roman"/>
        </w:rPr>
      </w:pPr>
      <w:bookmarkStart w:id="41" w:name="_Toc231599690"/>
      <w:r w:rsidRPr="00D06ACD">
        <w:rPr>
          <w:rFonts w:cs="Times New Roman"/>
        </w:rPr>
        <w:t>RQ1: What Are the Projected Cost Implications of UK CBAM for Construction MNEs Importing High-Emission Materials?</w:t>
      </w:r>
      <w:bookmarkEnd w:id="41"/>
    </w:p>
    <w:p w14:paraId="64ECF863" w14:textId="77777777" w:rsidR="00087B14" w:rsidRPr="00D06ACD" w:rsidRDefault="00087B14" w:rsidP="00D06ACD">
      <w:pPr>
        <w:spacing w:line="360" w:lineRule="auto"/>
        <w:jc w:val="both"/>
        <w:rPr>
          <w:sz w:val="24"/>
          <w:szCs w:val="24"/>
        </w:rPr>
      </w:pPr>
      <w:r w:rsidRPr="00D06ACD">
        <w:rPr>
          <w:sz w:val="24"/>
          <w:szCs w:val="24"/>
        </w:rPr>
        <w:t>The answer to RQ1 is clear and important from economic perspectives: the UK CBAM will place material cost surcharges on the four major construction inputs (steel, aluminium, cement and glass) based on the carbon intensity of the construction material supply chain and the country of origin. The estimates were combined from Carbon Tracker (2024), Vivid Economics (2022), and the RICS (2023), which are surcharges on landed prices, ranging from 8–15% for imported steel, 10–18% for aluminium, 5–12% for cement, and 6–10% for glass. Project-level, RICS (2023) reports that these material-level surcharges equate to 2–4% of overall construction costs for commercial schemes with a high steel content and 1–2% for those with a high concrete content, which could offset a typical UK contractor's 1.5–3.5% net profit margin (Deloitte, 2024).</w:t>
      </w:r>
    </w:p>
    <w:p w14:paraId="7201CE05" w14:textId="77777777" w:rsidR="00087B14" w:rsidRPr="00D06ACD" w:rsidRDefault="00087B14" w:rsidP="00D06ACD">
      <w:pPr>
        <w:spacing w:line="360" w:lineRule="auto"/>
        <w:jc w:val="both"/>
        <w:rPr>
          <w:sz w:val="24"/>
          <w:szCs w:val="24"/>
        </w:rPr>
      </w:pPr>
      <w:r w:rsidRPr="00D06ACD">
        <w:rPr>
          <w:sz w:val="24"/>
          <w:szCs w:val="24"/>
        </w:rPr>
        <w:t xml:space="preserve">OECD (2025) estimated that the EU CBAM would generate EUR 14.7 billion of revenue per year at 2024 ETS prices, which would be borne primarily by importers of the sectors covered by the CBAM, and would also have a significant impact on other sectors of the supply chain, such as downstream construction activities. </w:t>
      </w:r>
      <w:proofErr w:type="spellStart"/>
      <w:r w:rsidRPr="00D06ACD">
        <w:rPr>
          <w:sz w:val="24"/>
          <w:szCs w:val="24"/>
        </w:rPr>
        <w:t>Dechezleprêtre</w:t>
      </w:r>
      <w:proofErr w:type="spellEnd"/>
      <w:r w:rsidRPr="00D06ACD">
        <w:rPr>
          <w:sz w:val="24"/>
          <w:szCs w:val="24"/>
        </w:rPr>
        <w:t xml:space="preserve"> et al. (2025) found that around 75% of the costs of the early CBAM will come from importers of iron and steel, and the cost propagation along the supply chain will not just be limited to targeted sectors to downstream construction activities. Celine and Dr. </w:t>
      </w:r>
      <w:proofErr w:type="spellStart"/>
      <w:r w:rsidRPr="00D06ACD">
        <w:rPr>
          <w:sz w:val="24"/>
          <w:szCs w:val="24"/>
        </w:rPr>
        <w:t>Fosfuri</w:t>
      </w:r>
      <w:proofErr w:type="spellEnd"/>
      <w:r w:rsidRPr="00D06ACD">
        <w:rPr>
          <w:sz w:val="24"/>
          <w:szCs w:val="24"/>
        </w:rPr>
        <w:t xml:space="preserve"> (2024) also </w:t>
      </w:r>
      <w:r w:rsidRPr="00D06ACD">
        <w:rPr>
          <w:sz w:val="24"/>
          <w:szCs w:val="24"/>
        </w:rPr>
        <w:lastRenderedPageBreak/>
        <w:t xml:space="preserve">determined that carbon pricing dramatically changes the sourcing, supplier relations and cost structures of supply chain levels, and that early investment in carbon reduction provides competitive benefits. However, what the literature also reveals is there is significant variation based on geographic sourcing and production technology with these headline costs. The highest carbon dioxide emission surcharges will be levied on the most exposed configuration: blast-furnace steel sourced from China or Turkey, where the UK is the two biggest suppliers of steel (Mehling et al., 2019). In contrast, steel produced by EU Electric Arc Furnace (EAF) producers may be eligible for a partial CBAM credit based on the carbon price already paid by EU producers, which would mean that the UK CBAM carbon price would be even lower. An important aspect of this source and route specificity of cost impact is its finding that cost exposure under CBAM is not evenly </w:t>
      </w:r>
      <w:proofErr w:type="gramStart"/>
      <w:r w:rsidRPr="00D06ACD">
        <w:rPr>
          <w:sz w:val="24"/>
          <w:szCs w:val="24"/>
        </w:rPr>
        <w:t>distributed, but</w:t>
      </w:r>
      <w:proofErr w:type="gramEnd"/>
      <w:r w:rsidRPr="00D06ACD">
        <w:rPr>
          <w:sz w:val="24"/>
          <w:szCs w:val="24"/>
        </w:rPr>
        <w:t xml:space="preserve"> rather is very differentiated with respect to the choice of suppliers that MNEs engage with and from whom.</w:t>
      </w:r>
    </w:p>
    <w:p w14:paraId="4A4990C6" w14:textId="77777777" w:rsidR="00087B14" w:rsidRPr="00D06ACD" w:rsidRDefault="00087B14" w:rsidP="00D06ACD">
      <w:pPr>
        <w:spacing w:line="360" w:lineRule="auto"/>
        <w:jc w:val="both"/>
        <w:rPr>
          <w:sz w:val="24"/>
          <w:szCs w:val="24"/>
        </w:rPr>
      </w:pPr>
      <w:r w:rsidRPr="00D06ACD">
        <w:rPr>
          <w:sz w:val="24"/>
          <w:szCs w:val="24"/>
        </w:rPr>
        <w:t xml:space="preserve">An important complementary lens here is the Transaction Cost Economics (TCE) framework. The price of the good is not the only cost involved with a transaction; as Williamson (2008) and Grover and Malhotra (2003) noted, the cost of the good also includes the costs of verification, monitoring and contractual adjustment. The embedded-carbon verification burden adds a new level of transaction cost for the MNEs, as they are required to put in place their own supplier auditing, third-party emissions verification and compliance reporting infrastructure </w:t>
      </w:r>
      <w:proofErr w:type="gramStart"/>
      <w:r w:rsidRPr="00D06ACD">
        <w:rPr>
          <w:sz w:val="24"/>
          <w:szCs w:val="24"/>
        </w:rPr>
        <w:t>in order to</w:t>
      </w:r>
      <w:proofErr w:type="gramEnd"/>
      <w:r w:rsidRPr="00D06ACD">
        <w:rPr>
          <w:sz w:val="24"/>
          <w:szCs w:val="24"/>
        </w:rPr>
        <w:t xml:space="preserve"> comply with CBAM. For a large construction MNE in the UK, McKinsey and Company (2023) estimated the total annual compliance administrative cost of CBAM at GBP 500,000-1.2 million, which depends on the complexity of the supply chain. This administrative cost impact, something captured only by TCE, represents a significant added extra cost burden on UK construction MNEs that needs to be included in any holistic appraisal of the total cost impact of CBAM.</w:t>
      </w:r>
    </w:p>
    <w:p w14:paraId="50556D96" w14:textId="0343D89F" w:rsidR="00087B14" w:rsidRPr="00D06ACD" w:rsidRDefault="00087B14" w:rsidP="00D06ACD">
      <w:pPr>
        <w:spacing w:line="360" w:lineRule="auto"/>
        <w:jc w:val="both"/>
        <w:rPr>
          <w:sz w:val="24"/>
          <w:szCs w:val="24"/>
        </w:rPr>
      </w:pPr>
      <w:r w:rsidRPr="00D06ACD">
        <w:rPr>
          <w:sz w:val="24"/>
          <w:szCs w:val="24"/>
        </w:rPr>
        <w:t xml:space="preserve">One of the interesting issues that has been debated in the literature is the issue of cost pass-through. In the same way, the carbon-cost pass-through rates in comparable regulated industries were identified as ranging from 70 to 80%, meaning that prices for the material will likely be passed on to the end user, and not shouldered by the material supplier. (Fowlie, Reguant and Ryan 2016) The discovery contradicts a prevalent early practitioners' observation that suppliers would be held responsible for the main burden. The answer to RQ1 is likely and significant, rather than optional or marginal, cost pass-through to UK construction MNEs. Those procurement managers who only see the negotiating power </w:t>
      </w:r>
      <w:proofErr w:type="gramStart"/>
      <w:r w:rsidRPr="00D06ACD">
        <w:rPr>
          <w:sz w:val="24"/>
          <w:szCs w:val="24"/>
        </w:rPr>
        <w:t>as a means to</w:t>
      </w:r>
      <w:proofErr w:type="gramEnd"/>
      <w:r w:rsidRPr="00D06ACD">
        <w:rPr>
          <w:sz w:val="24"/>
          <w:szCs w:val="24"/>
        </w:rPr>
        <w:t xml:space="preserve"> protect themselves from CBAM costs will likely be disappointed; the carbon </w:t>
      </w:r>
      <w:r w:rsidRPr="00D06ACD">
        <w:rPr>
          <w:sz w:val="24"/>
          <w:szCs w:val="24"/>
        </w:rPr>
        <w:lastRenderedPageBreak/>
        <w:t>surcharge is a structural element, meaning that mainly commercial negotiation is allowed to lower the surcharge.</w:t>
      </w:r>
    </w:p>
    <w:p w14:paraId="3C0B942C" w14:textId="77777777" w:rsidR="003A7791" w:rsidRPr="00D06ACD" w:rsidRDefault="003A7791" w:rsidP="00D06ACD">
      <w:pPr>
        <w:pStyle w:val="Heading3"/>
        <w:spacing w:line="360" w:lineRule="auto"/>
        <w:jc w:val="both"/>
        <w:rPr>
          <w:rFonts w:cs="Times New Roman"/>
        </w:rPr>
      </w:pPr>
      <w:bookmarkStart w:id="42" w:name="_Toc231599691"/>
      <w:r w:rsidRPr="00D06ACD">
        <w:rPr>
          <w:rFonts w:cs="Times New Roman"/>
        </w:rPr>
        <w:t>RQ2: How Is UK CBAM Driving a Strategic Shift from Cost-Efficiency to Carbon-Efficiency in Procurement?</w:t>
      </w:r>
      <w:bookmarkEnd w:id="42"/>
    </w:p>
    <w:p w14:paraId="7BB95C7E" w14:textId="77777777" w:rsidR="00087B14" w:rsidRPr="00D06ACD" w:rsidRDefault="00087B14" w:rsidP="00D06ACD">
      <w:pPr>
        <w:spacing w:line="360" w:lineRule="auto"/>
        <w:jc w:val="both"/>
        <w:rPr>
          <w:sz w:val="24"/>
          <w:szCs w:val="24"/>
        </w:rPr>
      </w:pPr>
      <w:r w:rsidRPr="00D06ACD">
        <w:rPr>
          <w:sz w:val="24"/>
          <w:szCs w:val="24"/>
        </w:rPr>
        <w:t xml:space="preserve">There is convergent evidence in the literature that CBAM is driving a fundamental change in procurement logic of UK construction MNEs, however the rate and extent of such a change is disputed. The traditional passing of the procurement baton in construction in the UK has been based on cost efficiency, expressed as competitive tendering, sourcing from a wide range of locations around the world and selection of the lowest landed price (Meehan and Bryde, 2011). CBAM's impact on this logic is at its core; it makes embedded carbon a financial obligation that is </w:t>
      </w:r>
      <w:proofErr w:type="gramStart"/>
      <w:r w:rsidRPr="00D06ACD">
        <w:rPr>
          <w:sz w:val="24"/>
          <w:szCs w:val="24"/>
        </w:rPr>
        <w:t>audited, and</w:t>
      </w:r>
      <w:proofErr w:type="gramEnd"/>
      <w:r w:rsidRPr="00D06ACD">
        <w:rPr>
          <w:sz w:val="24"/>
          <w:szCs w:val="24"/>
        </w:rPr>
        <w:t xml:space="preserve"> thus turns carbon intensity from an externality into a procurement factor. With the CBAM surcharge applied, an offer with a lower unit price but higher embedded carbon content might end up costing more per unit than a higher price per unit offer with lower carbon </w:t>
      </w:r>
      <w:proofErr w:type="spellStart"/>
      <w:r w:rsidRPr="00D06ACD">
        <w:rPr>
          <w:sz w:val="24"/>
          <w:szCs w:val="24"/>
        </w:rPr>
        <w:t>content.After</w:t>
      </w:r>
      <w:proofErr w:type="spellEnd"/>
      <w:r w:rsidRPr="00D06ACD">
        <w:rPr>
          <w:sz w:val="24"/>
          <w:szCs w:val="24"/>
        </w:rPr>
        <w:t xml:space="preserve"> applying the CBAM surcharge, a low unit price supplier with a high embedded carbon content can now have a higher total landed cost than a higher price supplier with a lower embedded carbon content. This is what is known as a cost arithmetic inversion and is the way in which carbon-efficiency becomes a consideration in the procurement process.</w:t>
      </w:r>
    </w:p>
    <w:p w14:paraId="111E5A6B" w14:textId="77777777" w:rsidR="00087B14" w:rsidRPr="00D06ACD" w:rsidRDefault="00087B14" w:rsidP="00D06ACD">
      <w:pPr>
        <w:spacing w:line="360" w:lineRule="auto"/>
        <w:jc w:val="both"/>
        <w:rPr>
          <w:sz w:val="24"/>
          <w:szCs w:val="24"/>
        </w:rPr>
      </w:pPr>
      <w:r w:rsidRPr="00D06ACD">
        <w:rPr>
          <w:sz w:val="24"/>
          <w:szCs w:val="24"/>
        </w:rPr>
        <w:t xml:space="preserve">The institutional theory provides the strongest tool for understanding how this change comes about. Coercive, normative and mimetic pressures are the three ways in which institutional environments influence organizational </w:t>
      </w:r>
      <w:proofErr w:type="spellStart"/>
      <w:r w:rsidRPr="00D06ACD">
        <w:rPr>
          <w:sz w:val="24"/>
          <w:szCs w:val="24"/>
        </w:rPr>
        <w:t>behavior</w:t>
      </w:r>
      <w:proofErr w:type="spellEnd"/>
      <w:r w:rsidRPr="00D06ACD">
        <w:rPr>
          <w:sz w:val="24"/>
          <w:szCs w:val="24"/>
        </w:rPr>
        <w:t xml:space="preserve"> (DiMaggio and Powell, 1983). The pressure is very real with CBAM, it means no compliance means not only a blow to reputation and pride, but also legal obligations as well as monetary penalties. The empirical findings of Delmas and Toffel (2008) support the fact that coercive pressures can lead to deeper and quicker organisational adaptation than normative or mimetic pressures as the costs of not adapting are real and immediate. This means that CBAM will accelerate and facilitate the reorganisation of procurement in a more comprehensive way than sustainability initiatives by the companies themselves or by imitation from competitors. Empirical evidence of this thesis of rapid adaptation comes from the BCG survey, which indicated that 62% of EU importers had started to reassess supplier portfolios in the first year of the EU CBAM transitional phase (BCG, 2024), in a regulatory environment highly </w:t>
      </w:r>
      <w:proofErr w:type="gramStart"/>
      <w:r w:rsidRPr="00D06ACD">
        <w:rPr>
          <w:sz w:val="24"/>
          <w:szCs w:val="24"/>
        </w:rPr>
        <w:t>similar to</w:t>
      </w:r>
      <w:proofErr w:type="gramEnd"/>
      <w:r w:rsidRPr="00D06ACD">
        <w:rPr>
          <w:sz w:val="24"/>
          <w:szCs w:val="24"/>
        </w:rPr>
        <w:t xml:space="preserve"> the EU CBAM.</w:t>
      </w:r>
    </w:p>
    <w:p w14:paraId="547F6C19" w14:textId="77777777" w:rsidR="00087B14" w:rsidRPr="00D06ACD" w:rsidRDefault="00087B14" w:rsidP="00D06ACD">
      <w:pPr>
        <w:spacing w:line="360" w:lineRule="auto"/>
        <w:jc w:val="both"/>
        <w:rPr>
          <w:sz w:val="24"/>
          <w:szCs w:val="24"/>
        </w:rPr>
      </w:pPr>
      <w:r w:rsidRPr="00D06ACD">
        <w:rPr>
          <w:sz w:val="24"/>
          <w:szCs w:val="24"/>
        </w:rPr>
        <w:lastRenderedPageBreak/>
        <w:t>The Porter Hypothesis adds a layer of positivity to the transition to greater regulatory compliance: that the compliance itself can be a value proposition and not just a cost. Porter and van der Linde (1995) and Bird and Park (2016) suggested that the early adopters of the regulation would gain first mover advantages, through aspects of supplier lock-in, innovation and reputational positioning of the firm with the environmentally demanding customer. For the UK construction sector, this means a clear strategic opportunity: MNEs who sign long-term offtakes with UK green steel producers before CBAM comes into effect will be protected from future cost volatility, and will be able to provide clearly low carbon BOMs to public sector customers who are implementing the Greening Government Commitments (DEFRA, 2023).</w:t>
      </w:r>
    </w:p>
    <w:p w14:paraId="066FC6A4" w14:textId="3762E1E2" w:rsidR="00087B14" w:rsidRPr="00D06ACD" w:rsidRDefault="00087B14" w:rsidP="00D06ACD">
      <w:pPr>
        <w:spacing w:line="360" w:lineRule="auto"/>
        <w:jc w:val="both"/>
        <w:rPr>
          <w:sz w:val="24"/>
          <w:szCs w:val="24"/>
        </w:rPr>
      </w:pPr>
      <w:r w:rsidRPr="00D06ACD">
        <w:rPr>
          <w:sz w:val="24"/>
          <w:szCs w:val="24"/>
        </w:rPr>
        <w:t xml:space="preserve">The point at which the strategic transition becomes critical as identified in the literature is that of the depth of the strategic transition, relative to the limitations of the structural characteristics of the construction sector in the UK. The UK construction sector is very fragmented, with the top 10 contractors making up less than 15% of the revenue generated in the sector, and is also dominated by adversarial contractual relationships (Latham, 1994; Egan, 1998) which are unlikely to provide the necessary long-term supplier partnerships needed for carbon-efficiency </w:t>
      </w:r>
      <w:proofErr w:type="spellStart"/>
      <w:r w:rsidRPr="00D06ACD">
        <w:rPr>
          <w:sz w:val="24"/>
          <w:szCs w:val="24"/>
        </w:rPr>
        <w:t>strategies.The</w:t>
      </w:r>
      <w:proofErr w:type="spellEnd"/>
      <w:r w:rsidRPr="00D06ACD">
        <w:rPr>
          <w:sz w:val="24"/>
          <w:szCs w:val="24"/>
        </w:rPr>
        <w:t xml:space="preserve"> sector review from Meehan and Bryde (2011) and the Deloitte (2024) sector review both point to the fact that the UK construction market is highly fragmented with less than 15% of sector revenue coming from the top 10 contractors and characterised by adversarial contractual relationships (Latham, 1994; Egan, 1998) that are not conducive to the longer-term supplier partnerships needed for carbon-efficiency strategies. While effective green procurement needs to have, embedded carbon disclosure clauses and carbon-price escalation mechanisms, Walker and Brammer (2012) noted, the evidence from the NEC4 survey carried out by Thomas Telford (2023) showed that even for optional clauses on carbon-reporting, uptake is still very low among UK construction MNEs. The most important result of this study for RQ2, the transition from cost-efficiency to carbon-efficiency, is evidenced in the absence of such a transition in the contract and governance systems in which UK MNEs operate their supply chains.</w:t>
      </w:r>
    </w:p>
    <w:p w14:paraId="3E5BF820" w14:textId="77777777" w:rsidR="003A7791" w:rsidRPr="00D06ACD" w:rsidRDefault="003A7791" w:rsidP="00D06ACD">
      <w:pPr>
        <w:pStyle w:val="Heading3"/>
        <w:spacing w:line="360" w:lineRule="auto"/>
        <w:jc w:val="both"/>
        <w:rPr>
          <w:rFonts w:cs="Times New Roman"/>
        </w:rPr>
      </w:pPr>
      <w:bookmarkStart w:id="43" w:name="_Toc231599692"/>
      <w:r w:rsidRPr="00D06ACD">
        <w:rPr>
          <w:rFonts w:cs="Times New Roman"/>
        </w:rPr>
        <w:t>RQ3: How Does CBAM Influence Sourcing Decisions Between International Suppliers and Domestic Low-Carbon Producers?</w:t>
      </w:r>
      <w:bookmarkEnd w:id="43"/>
    </w:p>
    <w:p w14:paraId="671D5366" w14:textId="77777777" w:rsidR="00087B14" w:rsidRPr="00D06ACD" w:rsidRDefault="00087B14" w:rsidP="00D06ACD">
      <w:pPr>
        <w:spacing w:line="360" w:lineRule="auto"/>
        <w:jc w:val="both"/>
        <w:rPr>
          <w:sz w:val="24"/>
          <w:szCs w:val="24"/>
        </w:rPr>
      </w:pPr>
      <w:r w:rsidRPr="00D06ACD">
        <w:rPr>
          <w:sz w:val="24"/>
          <w:szCs w:val="24"/>
        </w:rPr>
        <w:t xml:space="preserve">In RQ3, organisations address high and/or unreliable costs of critical resource dependencies by diversifying, buffering and bridging. In the construction industry in the UK, CBAM directly impacts all three mechanisms: diversifying to local suppliers because of higher </w:t>
      </w:r>
      <w:r w:rsidRPr="00D06ACD">
        <w:rPr>
          <w:sz w:val="24"/>
          <w:szCs w:val="24"/>
        </w:rPr>
        <w:lastRenderedPageBreak/>
        <w:t>costs of importing materials; buffering against supply uncertainty by sourcing from multiple suppliers; and establishing strategic partnerships with confirmed low-carbon suppliers.</w:t>
      </w:r>
    </w:p>
    <w:p w14:paraId="6B156684" w14:textId="77777777" w:rsidR="00087B14" w:rsidRPr="00D06ACD" w:rsidRDefault="00087B14" w:rsidP="00D06ACD">
      <w:pPr>
        <w:spacing w:line="360" w:lineRule="auto"/>
        <w:jc w:val="both"/>
        <w:rPr>
          <w:sz w:val="24"/>
          <w:szCs w:val="24"/>
        </w:rPr>
      </w:pPr>
      <w:proofErr w:type="spellStart"/>
      <w:r w:rsidRPr="00D06ACD">
        <w:rPr>
          <w:sz w:val="24"/>
          <w:szCs w:val="24"/>
        </w:rPr>
        <w:t>Kadefors</w:t>
      </w:r>
      <w:proofErr w:type="spellEnd"/>
      <w:r w:rsidRPr="00D06ACD">
        <w:rPr>
          <w:sz w:val="24"/>
          <w:szCs w:val="24"/>
        </w:rPr>
        <w:t xml:space="preserve"> et al. (2021) demonstrated internationally best practice examples from Sweden, Norway and the Netherlands that </w:t>
      </w:r>
      <w:proofErr w:type="gramStart"/>
      <w:r w:rsidRPr="00D06ACD">
        <w:rPr>
          <w:sz w:val="24"/>
          <w:szCs w:val="24"/>
        </w:rPr>
        <w:t>performance based</w:t>
      </w:r>
      <w:proofErr w:type="gramEnd"/>
      <w:r w:rsidRPr="00D06ACD">
        <w:rPr>
          <w:sz w:val="24"/>
          <w:szCs w:val="24"/>
        </w:rPr>
        <w:t xml:space="preserve"> procurement, with 15-30% carbon reduction targets from contractors, is the most effective way to speed up low carbon material sourcing, a model that is being followed by the UK through newly emerging CBAM and embodied emissions reporting requirements. Various Authors (2025) has found that countries that are highly vulnerable to climate impacts and have robust institutional frameworks are most receptive to implementing embodied carbon policies, while trade linkages and economic competitiveness represent key secondary drivers—suggesting that UK CBAM will drive an increase in embodied carbon policy implementation among UK trading partners, which will create a positive feedback loop for the implementation of embodied carbon policies. A fundamental supply-side constraint that is identified in the literature which complicates the sourcing shift is that domestic low carbon production capacity will not be able to meet the total demand of UK construction MNEs in the immediate transitional window (post-2027) if they were to reshore all the sourcing that is impacted by CBAM at once. However, according to Green Alliance (2024) those announced investments in EAF at Port Talbot and Scunthorpe, if fully operational, will provide around 3–4 million tonnes of green steel per year, with around 8–10 million tonnes required by the UK construction industry. Sourcing localisation will be a partial and transitional solution to CBAM exposure, as 4–7 million tonnes of the residual will have to come from international markets.</w:t>
      </w:r>
    </w:p>
    <w:p w14:paraId="2F0AB676" w14:textId="77777777" w:rsidR="00087B14" w:rsidRPr="00D06ACD" w:rsidRDefault="00087B14" w:rsidP="00D06ACD">
      <w:pPr>
        <w:spacing w:line="360" w:lineRule="auto"/>
        <w:jc w:val="both"/>
        <w:rPr>
          <w:sz w:val="24"/>
          <w:szCs w:val="24"/>
        </w:rPr>
      </w:pPr>
      <w:r w:rsidRPr="00D06ACD">
        <w:rPr>
          <w:sz w:val="24"/>
          <w:szCs w:val="24"/>
        </w:rPr>
        <w:t xml:space="preserve">This is a supply-side constraint which creates a strategic differentiation dynamic, as recorded in the Porter Hypothesis literature. The early movers who </w:t>
      </w:r>
      <w:proofErr w:type="gramStart"/>
      <w:r w:rsidRPr="00D06ACD">
        <w:rPr>
          <w:sz w:val="24"/>
          <w:szCs w:val="24"/>
        </w:rPr>
        <w:t>are able to</w:t>
      </w:r>
      <w:proofErr w:type="gramEnd"/>
      <w:r w:rsidRPr="00D06ACD">
        <w:rPr>
          <w:sz w:val="24"/>
          <w:szCs w:val="24"/>
        </w:rPr>
        <w:t xml:space="preserve"> strike long-term offtake deals with the domestic green steel producers before the full production scale is reached will be able to have access to a limited resource, verified low carbon domestic steel, which the late movers will not have the opportunity to access at the same terms. This gives First Movers an advantage structure as described by </w:t>
      </w:r>
      <w:proofErr w:type="spellStart"/>
      <w:r w:rsidRPr="00D06ACD">
        <w:rPr>
          <w:sz w:val="24"/>
          <w:szCs w:val="24"/>
        </w:rPr>
        <w:t>Ambec</w:t>
      </w:r>
      <w:proofErr w:type="spellEnd"/>
      <w:r w:rsidRPr="00D06ACD">
        <w:rPr>
          <w:sz w:val="24"/>
          <w:szCs w:val="24"/>
        </w:rPr>
        <w:t xml:space="preserve"> et al. (2013) and Bird and Park (2016) as a function of the Porter Hypothesis. The message for RQ3 is that the sourcing shift from international to domestic is not just a shift, it is a competitive market for which domestic low carbon capacity will compete and will be subjected to first </w:t>
      </w:r>
      <w:proofErr w:type="gramStart"/>
      <w:r w:rsidRPr="00D06ACD">
        <w:rPr>
          <w:sz w:val="24"/>
          <w:szCs w:val="24"/>
        </w:rPr>
        <w:t>movers</w:t>
      </w:r>
      <w:proofErr w:type="gramEnd"/>
      <w:r w:rsidRPr="00D06ACD">
        <w:rPr>
          <w:sz w:val="24"/>
          <w:szCs w:val="24"/>
        </w:rPr>
        <w:t xml:space="preserve"> advantage to those MNEs who make the initial investment.</w:t>
      </w:r>
    </w:p>
    <w:p w14:paraId="0667FEFF" w14:textId="4906A4E8" w:rsidR="00087B14" w:rsidRPr="00D06ACD" w:rsidRDefault="00087B14" w:rsidP="00D06ACD">
      <w:pPr>
        <w:spacing w:line="360" w:lineRule="auto"/>
        <w:jc w:val="both"/>
        <w:rPr>
          <w:sz w:val="24"/>
          <w:szCs w:val="24"/>
        </w:rPr>
      </w:pPr>
      <w:r w:rsidRPr="00D06ACD">
        <w:rPr>
          <w:sz w:val="24"/>
          <w:szCs w:val="24"/>
        </w:rPr>
        <w:lastRenderedPageBreak/>
        <w:t>The Scandinavian study by Zakeri et al. (2015) has identified that carbon pricing policies can increase uptake of low carbon concrete alternatives by 15-20% after five years, which is a precedent, however there are significant differences in the UK context. The UK construction industry is already more dependent on imported steel and aluminium than the industry in the EU (60% and 80% of the industry uses the former, while the latter are lower) and the sourcing change will therefore need to be managed across a more diverse supply base with a higher exposure level. Moreover, the availability of free allowances for the expiry dates in the UK Emissions Trading Scheme (ETS) will add to the cost pressures for import dependent MNEs, which is a unique aspect of the UK that cannot be directly replicated in the EU CBAM, so the same needs to be applied with some context.</w:t>
      </w:r>
    </w:p>
    <w:p w14:paraId="2B8115FA" w14:textId="77777777" w:rsidR="003A7791" w:rsidRPr="00D06ACD" w:rsidRDefault="003A7791" w:rsidP="00D06ACD">
      <w:pPr>
        <w:pStyle w:val="Heading2"/>
        <w:spacing w:line="360" w:lineRule="auto"/>
        <w:jc w:val="both"/>
        <w:rPr>
          <w:rFonts w:cs="Times New Roman"/>
          <w:szCs w:val="24"/>
        </w:rPr>
      </w:pPr>
      <w:bookmarkStart w:id="44" w:name="_Toc231599693"/>
      <w:r w:rsidRPr="00D06ACD">
        <w:rPr>
          <w:rFonts w:cs="Times New Roman"/>
          <w:szCs w:val="24"/>
        </w:rPr>
        <w:t>Comparison Between Studies: Where the Literature Agrees and Diverges</w:t>
      </w:r>
      <w:bookmarkEnd w:id="44"/>
    </w:p>
    <w:p w14:paraId="3E176384" w14:textId="77777777" w:rsidR="00087B14" w:rsidRPr="00D06ACD" w:rsidRDefault="00087B14" w:rsidP="00D06ACD">
      <w:pPr>
        <w:spacing w:line="360" w:lineRule="auto"/>
        <w:jc w:val="both"/>
        <w:rPr>
          <w:sz w:val="24"/>
          <w:szCs w:val="24"/>
        </w:rPr>
      </w:pPr>
      <w:r w:rsidRPr="00D06ACD">
        <w:rPr>
          <w:sz w:val="24"/>
          <w:szCs w:val="24"/>
        </w:rPr>
        <w:t>The literature shows a high consensus level on some basic aspects and some interesting differences on other aspects. The carbon-pricing economics literature (Reins et al., 2019; Zakeri et al., 2015; Branger and Quirion, 2014) and the construction management literature (</w:t>
      </w:r>
      <w:proofErr w:type="spellStart"/>
      <w:r w:rsidRPr="00D06ACD">
        <w:rPr>
          <w:sz w:val="24"/>
          <w:szCs w:val="24"/>
        </w:rPr>
        <w:t>Rootzén</w:t>
      </w:r>
      <w:proofErr w:type="spellEnd"/>
      <w:r w:rsidRPr="00D06ACD">
        <w:rPr>
          <w:sz w:val="24"/>
          <w:szCs w:val="24"/>
        </w:rPr>
        <w:t xml:space="preserve"> and Johnsson, 2017; Lehne and Preston, 2018) agree that the impact of carbon pricing is to make the production of carbon-intensive materials more expensive, the cost of which will be felt by the consumers. The range of estimates (8-18% by the type of material and country of origin) does not indicate methodological </w:t>
      </w:r>
      <w:proofErr w:type="gramStart"/>
      <w:r w:rsidRPr="00D06ACD">
        <w:rPr>
          <w:sz w:val="24"/>
          <w:szCs w:val="24"/>
        </w:rPr>
        <w:t>differences, but</w:t>
      </w:r>
      <w:proofErr w:type="gramEnd"/>
      <w:r w:rsidRPr="00D06ACD">
        <w:rPr>
          <w:sz w:val="24"/>
          <w:szCs w:val="24"/>
        </w:rPr>
        <w:t xml:space="preserve"> </w:t>
      </w:r>
      <w:proofErr w:type="gramStart"/>
      <w:r w:rsidRPr="00D06ACD">
        <w:rPr>
          <w:sz w:val="24"/>
          <w:szCs w:val="24"/>
        </w:rPr>
        <w:t>is a reflection of</w:t>
      </w:r>
      <w:proofErr w:type="gramEnd"/>
      <w:r w:rsidRPr="00D06ACD">
        <w:rPr>
          <w:sz w:val="24"/>
          <w:szCs w:val="24"/>
        </w:rPr>
        <w:t xml:space="preserve"> the real differences in the carbon intensity of the production pathway of materials.</w:t>
      </w:r>
    </w:p>
    <w:p w14:paraId="2251A6A8" w14:textId="77777777" w:rsidR="00087B14" w:rsidRPr="00D06ACD" w:rsidRDefault="00087B14" w:rsidP="00D06ACD">
      <w:pPr>
        <w:spacing w:line="360" w:lineRule="auto"/>
        <w:jc w:val="both"/>
        <w:rPr>
          <w:sz w:val="24"/>
          <w:szCs w:val="24"/>
        </w:rPr>
      </w:pPr>
      <w:r w:rsidRPr="00D06ACD">
        <w:rPr>
          <w:sz w:val="24"/>
          <w:szCs w:val="24"/>
        </w:rPr>
        <w:t xml:space="preserve">The main areas of difference are the speed and nature of strategic adaptation. The Porter Hypothesis tradition (Porter and van der Linde, 1995; </w:t>
      </w:r>
      <w:proofErr w:type="spellStart"/>
      <w:r w:rsidRPr="00D06ACD">
        <w:rPr>
          <w:sz w:val="24"/>
          <w:szCs w:val="24"/>
        </w:rPr>
        <w:t>Ambec</w:t>
      </w:r>
      <w:proofErr w:type="spellEnd"/>
      <w:r w:rsidRPr="00D06ACD">
        <w:rPr>
          <w:sz w:val="24"/>
          <w:szCs w:val="24"/>
        </w:rPr>
        <w:t xml:space="preserve"> et al., 2013; Bird and Park, 2016) and the practitioner literature of BCG (2023, 2024) predict </w:t>
      </w:r>
      <w:proofErr w:type="gramStart"/>
      <w:r w:rsidRPr="00D06ACD">
        <w:rPr>
          <w:sz w:val="24"/>
          <w:szCs w:val="24"/>
        </w:rPr>
        <w:t>fairly rapid</w:t>
      </w:r>
      <w:proofErr w:type="gramEnd"/>
      <w:r w:rsidRPr="00D06ACD">
        <w:rPr>
          <w:sz w:val="24"/>
          <w:szCs w:val="24"/>
        </w:rPr>
        <w:t xml:space="preserve"> and innovation-driven adaptation with some people gaining a competitive advantage by being first. The Institutional Theory tradition (Delmas and Toffel, 2008; DiMaggio and Powell, 1983) and construction-sector specialists (Meehan and Bryde, 2011; Dainty, Millett and Briscoe, 2001) are more conservative, arguing that in the construction industry — characterised by fragmentation, adversarial contracting, and limited supplier visibility — the compliance-burden framing is more relevant than the competitive-opportunity framing for many UK MNEs. This dissertation argues that whilst both framing is empirically valid, it is found that larger and more sophisticated MNEs with dedicated procurement sustainability functions are more likely to benefit from Porter Hypothesis first-mover advantages, with smaller contractors more likely to perceive CBAM as a cost burden, and lacking the internal capacity to turn compliance into a competitive edge.</w:t>
      </w:r>
    </w:p>
    <w:p w14:paraId="31733D7E" w14:textId="77777777" w:rsidR="00087B14" w:rsidRPr="00D06ACD" w:rsidRDefault="00087B14" w:rsidP="00D06ACD">
      <w:pPr>
        <w:spacing w:line="360" w:lineRule="auto"/>
        <w:jc w:val="both"/>
        <w:rPr>
          <w:sz w:val="24"/>
          <w:szCs w:val="24"/>
        </w:rPr>
      </w:pPr>
      <w:r w:rsidRPr="00D06ACD">
        <w:rPr>
          <w:sz w:val="24"/>
          <w:szCs w:val="24"/>
        </w:rPr>
        <w:lastRenderedPageBreak/>
        <w:t xml:space="preserve">Another difference relates to the longevity of CBAM itself, as it is only as lawful as the regulations that define its eligibility and application. Hillman (2013) and Cosbey et al. (2019) noted WTO compatibility issues that have the potential to be contested or adjusted in the WTO framework of international trade disputes. Mehling et al. (2019) offered a </w:t>
      </w:r>
      <w:proofErr w:type="gramStart"/>
      <w:r w:rsidRPr="00D06ACD">
        <w:rPr>
          <w:sz w:val="24"/>
          <w:szCs w:val="24"/>
        </w:rPr>
        <w:t>more rosy</w:t>
      </w:r>
      <w:proofErr w:type="gramEnd"/>
      <w:r w:rsidRPr="00D06ACD">
        <w:rPr>
          <w:sz w:val="24"/>
          <w:szCs w:val="24"/>
        </w:rPr>
        <w:t xml:space="preserve"> legal opinion, contending that a properly drafted CBAM would meet the GATT Article XX conditions. Empirical evidence from the post-2023 phase of the EU CBAM is found in the lack of formal WTO complaints by key trading partners so far, giving credence to the position of Mehling et al. and suggesting the risk of legal durability is real, but less severe than the more pessimistic estimates suggested. For procurement strategy purposes, this dissertation agrees with the prevailing view since 2023 that CBAM's political longevity and stability is sufficient to warrant full strategic adaptation, albeit some legal parameters are yet to be determined.</w:t>
      </w:r>
    </w:p>
    <w:p w14:paraId="2D0AE909" w14:textId="12089073" w:rsidR="00087B14" w:rsidRPr="00D06ACD" w:rsidRDefault="00087B14" w:rsidP="00876E72">
      <w:pPr>
        <w:pStyle w:val="Heading2"/>
      </w:pPr>
      <w:bookmarkStart w:id="45" w:name="_Toc231599694"/>
      <w:r w:rsidRPr="00D06ACD">
        <w:t>Theoretical implications</w:t>
      </w:r>
      <w:r w:rsidR="00876E72">
        <w:t>:</w:t>
      </w:r>
      <w:bookmarkEnd w:id="45"/>
    </w:p>
    <w:p w14:paraId="169AC514" w14:textId="1B72961E" w:rsidR="00087B14" w:rsidRPr="00D06ACD" w:rsidRDefault="00087B14" w:rsidP="00D06ACD">
      <w:pPr>
        <w:spacing w:line="360" w:lineRule="auto"/>
        <w:jc w:val="both"/>
        <w:rPr>
          <w:sz w:val="24"/>
          <w:szCs w:val="24"/>
        </w:rPr>
      </w:pPr>
      <w:r w:rsidRPr="00D06ACD">
        <w:rPr>
          <w:sz w:val="24"/>
          <w:szCs w:val="24"/>
        </w:rPr>
        <w:t xml:space="preserve">Combining findings from the four theories highlights potential strengths in each theoretical lens and the need to consider multiple lenses to understand the CBAM-procurement context. The compliance-cost aspect is most effectively captured by Transaction Cost </w:t>
      </w:r>
      <w:r w:rsidR="00D52247" w:rsidRPr="00D06ACD">
        <w:rPr>
          <w:sz w:val="24"/>
          <w:szCs w:val="24"/>
        </w:rPr>
        <w:t>Economics but</w:t>
      </w:r>
      <w:r w:rsidRPr="00D06ACD">
        <w:rPr>
          <w:sz w:val="24"/>
          <w:szCs w:val="24"/>
        </w:rPr>
        <w:t xml:space="preserve"> is not the reason why firms may choose to invest in carbon efficient procurement </w:t>
      </w:r>
      <w:proofErr w:type="gramStart"/>
      <w:r w:rsidRPr="00D06ACD">
        <w:rPr>
          <w:sz w:val="24"/>
          <w:szCs w:val="24"/>
        </w:rPr>
        <w:t>in excess of</w:t>
      </w:r>
      <w:proofErr w:type="gramEnd"/>
      <w:r w:rsidRPr="00D06ACD">
        <w:rPr>
          <w:sz w:val="24"/>
          <w:szCs w:val="24"/>
        </w:rPr>
        <w:t xml:space="preserve"> compliance. The Porter Hypothesis provides a rational basis for first-mover </w:t>
      </w:r>
      <w:r w:rsidR="00D52247" w:rsidRPr="00D06ACD">
        <w:rPr>
          <w:sz w:val="24"/>
          <w:szCs w:val="24"/>
        </w:rPr>
        <w:t>proactivity but</w:t>
      </w:r>
      <w:r w:rsidRPr="00D06ACD">
        <w:rPr>
          <w:sz w:val="24"/>
          <w:szCs w:val="24"/>
        </w:rPr>
        <w:t xml:space="preserve"> is not very explanatory for the bulk of the market where compliance is the main reason rather than the competitive advantage. Institutional Theory describes how, and how quickly, mandatory adaptation </w:t>
      </w:r>
      <w:proofErr w:type="gramStart"/>
      <w:r w:rsidRPr="00D06ACD">
        <w:rPr>
          <w:sz w:val="24"/>
          <w:szCs w:val="24"/>
        </w:rPr>
        <w:t>occurs, but</w:t>
      </w:r>
      <w:proofErr w:type="gramEnd"/>
      <w:r w:rsidRPr="00D06ACD">
        <w:rPr>
          <w:sz w:val="24"/>
          <w:szCs w:val="24"/>
        </w:rPr>
        <w:t xml:space="preserve"> does not distinguish between enough-</w:t>
      </w:r>
      <w:proofErr w:type="spellStart"/>
      <w:r w:rsidRPr="00D06ACD">
        <w:rPr>
          <w:sz w:val="24"/>
          <w:szCs w:val="24"/>
        </w:rPr>
        <w:t>domand</w:t>
      </w:r>
      <w:proofErr w:type="spellEnd"/>
      <w:r w:rsidRPr="00D06ACD">
        <w:rPr>
          <w:sz w:val="24"/>
          <w:szCs w:val="24"/>
        </w:rPr>
        <w:t xml:space="preserve"> and value-enhancing compliance strategies. The sourcing-shift logic most clearly fits in the context of Resource Dependence Theory, but not the innovation and contract-redesign aspects of adaptation.</w:t>
      </w:r>
    </w:p>
    <w:p w14:paraId="43CDCE19" w14:textId="4A875CB1" w:rsidR="00087B14" w:rsidRPr="00D06ACD" w:rsidRDefault="00087B14" w:rsidP="00D06ACD">
      <w:pPr>
        <w:spacing w:line="360" w:lineRule="auto"/>
        <w:jc w:val="both"/>
        <w:rPr>
          <w:sz w:val="24"/>
          <w:szCs w:val="24"/>
        </w:rPr>
      </w:pPr>
      <w:r w:rsidRPr="00D06ACD">
        <w:rPr>
          <w:sz w:val="24"/>
          <w:szCs w:val="24"/>
        </w:rPr>
        <w:t>This multi-framework inadequacy is a theoretical contribution of the present study as it shows that CBAM-driven procurement transformation is a multi-dimensional phenomenon, which cannot be adequately explained from any one of the existing theories. The theoretical implication is that future scholarship on CBAM and procurement needs to be based on an explicit integrative theoretical architecture, rather than a single framework approach, as this dissertation has been through its lens of TCE, Porter Hypothesis, Institutional Theory, and Resource Dependence Theory. This is in line with the argument of the strategic management literature that suggests pluralist theory approaches are needed for more complex regulatory shocks (Hillman, Withers and Collins, 2009; Rindfleisch and Heide, 1997).</w:t>
      </w:r>
    </w:p>
    <w:p w14:paraId="69E49F93" w14:textId="77777777" w:rsidR="003A7791" w:rsidRPr="00D06ACD" w:rsidRDefault="003A7791" w:rsidP="00D06ACD">
      <w:pPr>
        <w:pStyle w:val="Heading2"/>
        <w:spacing w:line="360" w:lineRule="auto"/>
        <w:jc w:val="both"/>
        <w:rPr>
          <w:rFonts w:cs="Times New Roman"/>
          <w:szCs w:val="24"/>
        </w:rPr>
      </w:pPr>
      <w:bookmarkStart w:id="46" w:name="_Toc231599695"/>
      <w:r w:rsidRPr="00D06ACD">
        <w:rPr>
          <w:rFonts w:cs="Times New Roman"/>
          <w:szCs w:val="24"/>
        </w:rPr>
        <w:lastRenderedPageBreak/>
        <w:t>The Carbon-Adjusted Procurement (CAP) Framework: A Proposed Conceptual Contribution</w:t>
      </w:r>
      <w:bookmarkEnd w:id="46"/>
    </w:p>
    <w:p w14:paraId="533F8661" w14:textId="77777777" w:rsidR="00087B14" w:rsidRPr="00D06ACD" w:rsidRDefault="00087B14" w:rsidP="00D06ACD">
      <w:pPr>
        <w:spacing w:line="360" w:lineRule="auto"/>
        <w:jc w:val="both"/>
        <w:rPr>
          <w:sz w:val="24"/>
          <w:szCs w:val="24"/>
        </w:rPr>
      </w:pPr>
      <w:r w:rsidRPr="00D06ACD">
        <w:rPr>
          <w:sz w:val="24"/>
          <w:szCs w:val="24"/>
        </w:rPr>
        <w:t>The principal contribution of this dissertation relates to the empirical results and theoretical discussion, which are combined to form a coherent decision-making framework for UK construction MNEs operating in the CBAM context, referred to as the Carbon-Adjusted Procurement (CAP) framework. The CAP framework consists of four dimensions of procurement, known as the Four Cs: Cost, Carbon, Compliance and Capacity. Each dimension focuses on different considerations that are brought into the procurement calculus simultaneously under CBAM, and the CBAM framework calls out that no sustainable CBAM procurement strategy can optimise any single C without compromising the other Cs.</w:t>
      </w:r>
    </w:p>
    <w:p w14:paraId="47130863" w14:textId="77777777" w:rsidR="00087B14" w:rsidRPr="00D06ACD" w:rsidRDefault="00087B14" w:rsidP="00D06ACD">
      <w:pPr>
        <w:spacing w:line="360" w:lineRule="auto"/>
        <w:jc w:val="both"/>
        <w:rPr>
          <w:sz w:val="24"/>
          <w:szCs w:val="24"/>
        </w:rPr>
      </w:pPr>
      <w:r w:rsidRPr="00D06ACD">
        <w:rPr>
          <w:sz w:val="24"/>
          <w:szCs w:val="24"/>
        </w:rPr>
        <w:t>Cost is the first dimension, meaning the total landed cost of a material, including the CBAM surcharge, supplier verification costs and costs of contract administration. This dimension is beyond the commonly used unit price comparison in competitive tendering to include the entire regulatory cost stack introduced in the CBAM, as TCE emphasizes on total transaction costs (Williamson, 2008; Grover and Malhotra, 2003). A procurement manager under CAP should be able to determine the total CBAM adjusted landed cost, and not the quoted unit price, as the key element to be used in supplier evaluation.</w:t>
      </w:r>
    </w:p>
    <w:p w14:paraId="40358CF1" w14:textId="77777777" w:rsidR="00087B14" w:rsidRPr="00D06ACD" w:rsidRDefault="00087B14" w:rsidP="00D06ACD">
      <w:pPr>
        <w:spacing w:line="360" w:lineRule="auto"/>
        <w:jc w:val="both"/>
        <w:rPr>
          <w:sz w:val="24"/>
          <w:szCs w:val="24"/>
        </w:rPr>
      </w:pPr>
      <w:r w:rsidRPr="00D06ACD">
        <w:rPr>
          <w:sz w:val="24"/>
          <w:szCs w:val="24"/>
        </w:rPr>
        <w:t xml:space="preserve">Second dimension is Carbon, which translates to the embedded carbon intensity of the material supplied from a particular source, in kg of </w:t>
      </w:r>
      <w:proofErr w:type="spellStart"/>
      <w:r w:rsidRPr="00D06ACD">
        <w:rPr>
          <w:sz w:val="24"/>
          <w:szCs w:val="24"/>
        </w:rPr>
        <w:t>CO₂e</w:t>
      </w:r>
      <w:proofErr w:type="spellEnd"/>
      <w:r w:rsidRPr="00D06ACD">
        <w:rPr>
          <w:sz w:val="24"/>
          <w:szCs w:val="24"/>
        </w:rPr>
        <w:t xml:space="preserve"> per tonne of material. This is the variable whereupon CBAM liabilities are directly calculated and the main technical input that makes the difference between a high- and low-exposure procurement decision. The CAP framework mandates that the carbon intensity of all strategic suppliers be measured, verified and kept up to date, as proposed in embedded-carbon measurement frameworks by Pomponi and </w:t>
      </w:r>
      <w:proofErr w:type="spellStart"/>
      <w:r w:rsidRPr="00D06ACD">
        <w:rPr>
          <w:sz w:val="24"/>
          <w:szCs w:val="24"/>
        </w:rPr>
        <w:t>Moncaster</w:t>
      </w:r>
      <w:proofErr w:type="spellEnd"/>
      <w:r w:rsidRPr="00D06ACD">
        <w:rPr>
          <w:sz w:val="24"/>
          <w:szCs w:val="24"/>
        </w:rPr>
        <w:t xml:space="preserve">, 2016 and De Wolf, Pomponi and </w:t>
      </w:r>
      <w:proofErr w:type="spellStart"/>
      <w:r w:rsidRPr="00D06ACD">
        <w:rPr>
          <w:sz w:val="24"/>
          <w:szCs w:val="24"/>
        </w:rPr>
        <w:t>Moncaster</w:t>
      </w:r>
      <w:proofErr w:type="spellEnd"/>
      <w:r w:rsidRPr="00D06ACD">
        <w:rPr>
          <w:sz w:val="24"/>
          <w:szCs w:val="24"/>
        </w:rPr>
        <w:t>, 2017. The cost calculation in the first dimension is impossible without accurate carbon intensity data, so Carbon is a standalone procurement criterion and the data base for all other dimensions.</w:t>
      </w:r>
    </w:p>
    <w:p w14:paraId="616CBE42" w14:textId="77777777" w:rsidR="00087B14" w:rsidRPr="00D06ACD" w:rsidRDefault="00087B14" w:rsidP="00D06ACD">
      <w:pPr>
        <w:spacing w:line="360" w:lineRule="auto"/>
        <w:jc w:val="both"/>
        <w:rPr>
          <w:sz w:val="24"/>
          <w:szCs w:val="24"/>
        </w:rPr>
      </w:pPr>
      <w:r w:rsidRPr="00D06ACD">
        <w:rPr>
          <w:sz w:val="24"/>
          <w:szCs w:val="24"/>
        </w:rPr>
        <w:t xml:space="preserve">Compliance is the third dimension, which CBAM adds to procurement governance, namely the regulatory risk management function. This includes accuracy and auditability of embedded-carbon declarations, legal documentation of country-of-origin carbon pricing credits, and internal control systems to support CBAM compliance to HMRC. This dimension rests on the Institutional Theory which DiMaggio and Powell (1983) and Scott (2013) have advanced, namely the necessity for organisations to build new compliance structures and routines, which have little apparent direct productive role, but have high </w:t>
      </w:r>
      <w:r w:rsidRPr="00D06ACD">
        <w:rPr>
          <w:sz w:val="24"/>
          <w:szCs w:val="24"/>
        </w:rPr>
        <w:lastRenderedPageBreak/>
        <w:t>penalty costs if missing. The CAP framework moves a Compliance team from the back office to a strategic procurement design criterion: Contract designs, supplier selection processes and information systems need to be designed from the beginning to support CBAM compliance at scale.</w:t>
      </w:r>
    </w:p>
    <w:p w14:paraId="23CBD979" w14:textId="1EB4C39B" w:rsidR="00087B14" w:rsidRPr="00D06ACD" w:rsidRDefault="00087B14" w:rsidP="00D06ACD">
      <w:pPr>
        <w:spacing w:line="360" w:lineRule="auto"/>
        <w:jc w:val="both"/>
        <w:rPr>
          <w:sz w:val="24"/>
          <w:szCs w:val="24"/>
        </w:rPr>
      </w:pPr>
      <w:r w:rsidRPr="00D06ACD">
        <w:rPr>
          <w:sz w:val="24"/>
          <w:szCs w:val="24"/>
        </w:rPr>
        <w:t>The fourth dimension, Capacity, is the volume, specification and timeliness of low carbon supply availability and reliability needed for the MNE's project pipeline. The Green Alliance (2024) supply-gap analysis identified that domestic green steel capacity will be underwhelming during the transition, due to the physical constraints of low carbon supply, and therefore supply strategies must consider these constraints. This is a very significant dependency management issue under Resource Dependence Theory (Hillman</w:t>
      </w:r>
      <w:r w:rsidR="00876E72">
        <w:rPr>
          <w:sz w:val="24"/>
          <w:szCs w:val="24"/>
        </w:rPr>
        <w:t xml:space="preserve"> et al., </w:t>
      </w:r>
      <w:r w:rsidRPr="00D06ACD">
        <w:rPr>
          <w:sz w:val="24"/>
          <w:szCs w:val="24"/>
        </w:rPr>
        <w:t>2009) – when implementation of CBAM increases, MNEs will have to compete with other buyers for limited capacity in seller's market and will not be able to secure long-term supply contracts with credible low carbon producers. Thus, the strategic importance of initial involvement of the supply chain and the danger of late adaptation is highlighted by the Capacity dimension.</w:t>
      </w:r>
    </w:p>
    <w:p w14:paraId="5E62B539" w14:textId="77777777" w:rsidR="00087B14" w:rsidRPr="00D06ACD" w:rsidRDefault="00087B14" w:rsidP="00D06ACD">
      <w:pPr>
        <w:spacing w:line="360" w:lineRule="auto"/>
        <w:jc w:val="both"/>
        <w:rPr>
          <w:sz w:val="24"/>
          <w:szCs w:val="24"/>
        </w:rPr>
      </w:pPr>
      <w:r w:rsidRPr="00D06ACD">
        <w:rPr>
          <w:sz w:val="24"/>
          <w:szCs w:val="24"/>
        </w:rPr>
        <w:t xml:space="preserve">The CAP framework is based on practitioner evidence from One Click LCA (2024) and Tunley Environmental (2024) (which both reported a need for supply chain transparency and EPD as key to comply with CBAM) and from PwC (2023) (which provided a practitioner framework for transitioning to green material procurement in large construction projects). Various Authors (2024) found that there is increasing pressure from companies on MNCs to take greater control over the sustainability of their suppliers in their multi-tiers supply chains, and that regulatory policies such as carbon pricing extend MNCs’ de facto responsibilities for upstream emissions. Four strategic procurement responses, which are the main adaptive mechanisms found in the literature, are implemented using the CAP </w:t>
      </w:r>
      <w:proofErr w:type="spellStart"/>
      <w:proofErr w:type="gramStart"/>
      <w:r w:rsidRPr="00D06ACD">
        <w:rPr>
          <w:sz w:val="24"/>
          <w:szCs w:val="24"/>
        </w:rPr>
        <w:t>framework.The</w:t>
      </w:r>
      <w:proofErr w:type="spellEnd"/>
      <w:proofErr w:type="gramEnd"/>
      <w:r w:rsidRPr="00D06ACD">
        <w:rPr>
          <w:sz w:val="24"/>
          <w:szCs w:val="24"/>
        </w:rPr>
        <w:t xml:space="preserve"> CAP framework is implemented via four strategic procurement responses, which are identified as the principal adaptive mechanisms of the UK construction MNEs in the literature. First, supplier substitution is a process of continually meeting the Four C criteria to reassess the existing supplier </w:t>
      </w:r>
      <w:proofErr w:type="gramStart"/>
      <w:r w:rsidRPr="00D06ACD">
        <w:rPr>
          <w:sz w:val="24"/>
          <w:szCs w:val="24"/>
        </w:rPr>
        <w:t>roster, and</w:t>
      </w:r>
      <w:proofErr w:type="gramEnd"/>
      <w:r w:rsidRPr="00D06ACD">
        <w:rPr>
          <w:sz w:val="24"/>
          <w:szCs w:val="24"/>
        </w:rPr>
        <w:t xml:space="preserve"> allocating increasing volumes from high carbon international suppliers to low carbon domestic or international suppliers. Second, contract redesign is carried out through embedding carbon-disclosure clauses, carbon embedded benchmarks, and CBAM cost escalation clauses in new and renegotiated contracts, as per Thomas Telford's (2023) recommendations under NEC4 and Walker and Brammer (2012) green procurement design principles. Thirdly, sourcing localisation includes the active building of partnerships with local low carbon material </w:t>
      </w:r>
      <w:r w:rsidRPr="00D06ACD">
        <w:rPr>
          <w:sz w:val="24"/>
          <w:szCs w:val="24"/>
        </w:rPr>
        <w:lastRenderedPageBreak/>
        <w:t xml:space="preserve">providers, not the maximisation of unit prices but instead shifting the focus to supply security and carbon verification. Fourth, material and design substitution will include bringing in the design teams to complete value engineering exercises, based on the evidence of structural optimisation from Allwood et al (2016) and evidence of engineered timber substitution from De Wolf, Pomponi and </w:t>
      </w:r>
      <w:proofErr w:type="spellStart"/>
      <w:r w:rsidRPr="00D06ACD">
        <w:rPr>
          <w:sz w:val="24"/>
          <w:szCs w:val="24"/>
        </w:rPr>
        <w:t>Moncaster</w:t>
      </w:r>
      <w:proofErr w:type="spellEnd"/>
      <w:r w:rsidRPr="00D06ACD">
        <w:rPr>
          <w:sz w:val="24"/>
          <w:szCs w:val="24"/>
        </w:rPr>
        <w:t xml:space="preserve"> (2017).</w:t>
      </w:r>
    </w:p>
    <w:p w14:paraId="3D8D7D28" w14:textId="0BCF2360" w:rsidR="00087B14" w:rsidRPr="00D06ACD" w:rsidRDefault="00087B14" w:rsidP="00D06ACD">
      <w:pPr>
        <w:spacing w:line="360" w:lineRule="auto"/>
        <w:jc w:val="both"/>
        <w:rPr>
          <w:sz w:val="24"/>
          <w:szCs w:val="24"/>
        </w:rPr>
      </w:pPr>
      <w:r w:rsidRPr="00D06ACD">
        <w:rPr>
          <w:sz w:val="24"/>
          <w:szCs w:val="24"/>
        </w:rPr>
        <w:t xml:space="preserve">The CAP framework makes two theoretical advances on existing procurement models. It takes regulatory compliance as a first order consideration during the procurement design process, rather than a second order one, because of how CBAM has shifted carbon from an external environmental measure to an internal financial burden. It reflects the interplay of the four dimensions; changes to the Carbon dimension will impact the calculation of Cost, which will impact the choices of Capacity, which will impact the calculation of Compliance exposure, and so on, that linear procurement models cannot model. This interdependency is the theoretical innovation of the framework, and is what makes it stand out from previous systems of green procurement, which only consider environmental performance as one of several criteria to be applied to the procurement system as a whole (Paulraj, 2011; Walker and Brammer, 2012; </w:t>
      </w:r>
      <w:proofErr w:type="spellStart"/>
      <w:r w:rsidRPr="00D06ACD">
        <w:rPr>
          <w:sz w:val="24"/>
          <w:szCs w:val="24"/>
        </w:rPr>
        <w:t>Schaltegger</w:t>
      </w:r>
      <w:proofErr w:type="spellEnd"/>
      <w:r w:rsidRPr="00D06ACD">
        <w:rPr>
          <w:sz w:val="24"/>
          <w:szCs w:val="24"/>
        </w:rPr>
        <w:t xml:space="preserve"> and Burritt, 2014).</w:t>
      </w:r>
    </w:p>
    <w:p w14:paraId="65B3D278" w14:textId="77777777" w:rsidR="003A7791" w:rsidRPr="00D06ACD" w:rsidRDefault="003A7791" w:rsidP="00D06ACD">
      <w:pPr>
        <w:pStyle w:val="Heading2"/>
        <w:spacing w:line="360" w:lineRule="auto"/>
        <w:jc w:val="both"/>
        <w:rPr>
          <w:rFonts w:cs="Times New Roman"/>
          <w:szCs w:val="24"/>
        </w:rPr>
      </w:pPr>
      <w:bookmarkStart w:id="47" w:name="_Toc231599696"/>
      <w:r w:rsidRPr="00D06ACD">
        <w:rPr>
          <w:rFonts w:cs="Times New Roman"/>
          <w:szCs w:val="24"/>
        </w:rPr>
        <w:t>Identification of Gaps Filled and Gaps Remaining</w:t>
      </w:r>
      <w:bookmarkEnd w:id="47"/>
    </w:p>
    <w:p w14:paraId="3C316A9E" w14:textId="77777777" w:rsidR="00087B14" w:rsidRPr="00D06ACD" w:rsidRDefault="00087B14" w:rsidP="00D06ACD">
      <w:pPr>
        <w:spacing w:before="120" w:after="120" w:line="360" w:lineRule="auto"/>
        <w:jc w:val="both"/>
        <w:rPr>
          <w:sz w:val="24"/>
          <w:szCs w:val="24"/>
        </w:rPr>
      </w:pPr>
      <w:r w:rsidRPr="00D06ACD">
        <w:rPr>
          <w:sz w:val="24"/>
          <w:szCs w:val="24"/>
        </w:rPr>
        <w:t>This dissertation has tackled three of the main gaps, identified in Chapter Three. It has created a step change in this integration, bringing together for the first time the carbon pricing economics, sustainable supply chain and construction management literatures in a cohesive way to be applied, in the UK CBAM context. It has surged to close the sector to firm level gap by interpreting sector level cost model into implications to the procurement level of a project and company. It has also filled the UK-specificity gap by considering the specific characteristics of the UK construction supply chain, which differ from the EU products and contexts covered in most existing literature, including its greater reliance on imports, the interaction between the UK ETS free-allowance phase-out and the construction supply chain, and the unique trajectory of domestic capacity.</w:t>
      </w:r>
    </w:p>
    <w:p w14:paraId="4ED3F3BC" w14:textId="77777777" w:rsidR="00087B14" w:rsidRPr="00D06ACD" w:rsidRDefault="00087B14" w:rsidP="00D06ACD">
      <w:pPr>
        <w:spacing w:before="120" w:after="120" w:line="360" w:lineRule="auto"/>
        <w:jc w:val="both"/>
        <w:rPr>
          <w:sz w:val="24"/>
          <w:szCs w:val="24"/>
        </w:rPr>
      </w:pPr>
      <w:r w:rsidRPr="00D06ACD">
        <w:rPr>
          <w:sz w:val="24"/>
          <w:szCs w:val="24"/>
        </w:rPr>
        <w:t xml:space="preserve">There are two major open space deficits. The first, however, is that the literature searched for this dissertation does not contain primary firm-level data and thus the results presented in this dissertation are inferences based on this literature and not based on observations of the procurement manager decision-making. A stark example of the difficulty of quantifying embedded carbon of imported materials, even for Tier 1 contractors, is the finding by the UK Green Building Council (2023) that fewer than 12% were able to do so. </w:t>
      </w:r>
      <w:proofErr w:type="gramStart"/>
      <w:r w:rsidRPr="00D06ACD">
        <w:rPr>
          <w:sz w:val="24"/>
          <w:szCs w:val="24"/>
        </w:rPr>
        <w:t>In order to</w:t>
      </w:r>
      <w:proofErr w:type="gramEnd"/>
      <w:r w:rsidRPr="00D06ACD">
        <w:rPr>
          <w:sz w:val="24"/>
          <w:szCs w:val="24"/>
        </w:rPr>
        <w:t xml:space="preserve"> </w:t>
      </w:r>
      <w:r w:rsidRPr="00D06ACD">
        <w:rPr>
          <w:sz w:val="24"/>
          <w:szCs w:val="24"/>
        </w:rPr>
        <w:lastRenderedPageBreak/>
        <w:t xml:space="preserve">understand how procurement managers are </w:t>
      </w:r>
      <w:proofErr w:type="gramStart"/>
      <w:r w:rsidRPr="00D06ACD">
        <w:rPr>
          <w:sz w:val="24"/>
          <w:szCs w:val="24"/>
        </w:rPr>
        <w:t>actually incorporating</w:t>
      </w:r>
      <w:proofErr w:type="gramEnd"/>
      <w:r w:rsidRPr="00D06ACD">
        <w:rPr>
          <w:sz w:val="24"/>
          <w:szCs w:val="24"/>
        </w:rPr>
        <w:t xml:space="preserve"> carbon into the process, the author needs to conduct qualitative primary research (case studies, in-depth interviews), which is beyond the scope of an Extended Literature Review. Second, there is no empirical evidence to date on the actual cost transmitting rates, the supplier response and the volumes of sourcing shift of construction in the UK post-2027.Secondly, there is no empirical evidence yet on the actual cost transmitting rates, the supplier response and the volumes of sourcing shift in the UK post-2027 in the construction context. This proposed CAP framework is thus necessarily prospective; once the mechanism is in place, it will need to be tested in </w:t>
      </w:r>
      <w:proofErr w:type="gramStart"/>
      <w:r w:rsidRPr="00D06ACD">
        <w:rPr>
          <w:sz w:val="24"/>
          <w:szCs w:val="24"/>
        </w:rPr>
        <w:t>practice</w:t>
      </w:r>
      <w:proofErr w:type="gramEnd"/>
      <w:r w:rsidRPr="00D06ACD">
        <w:rPr>
          <w:sz w:val="24"/>
          <w:szCs w:val="24"/>
        </w:rPr>
        <w:t xml:space="preserve"> and its parameters may need to be tweaked based on how it is implemented in practice.</w:t>
      </w:r>
    </w:p>
    <w:p w14:paraId="343A3FF3" w14:textId="34DB2555" w:rsidR="00087B14" w:rsidRPr="00D06ACD" w:rsidRDefault="00087B14" w:rsidP="00876E72">
      <w:pPr>
        <w:pStyle w:val="Heading2"/>
      </w:pPr>
      <w:bookmarkStart w:id="48" w:name="_Toc231599697"/>
      <w:r w:rsidRPr="00D06ACD">
        <w:t>Conclusion:</w:t>
      </w:r>
      <w:bookmarkEnd w:id="48"/>
    </w:p>
    <w:p w14:paraId="06FA8A9F" w14:textId="39B42026" w:rsidR="003A7791" w:rsidRDefault="00087B14" w:rsidP="00D06ACD">
      <w:pPr>
        <w:spacing w:before="120" w:after="120" w:line="360" w:lineRule="auto"/>
        <w:jc w:val="both"/>
        <w:rPr>
          <w:sz w:val="24"/>
          <w:szCs w:val="24"/>
        </w:rPr>
      </w:pPr>
      <w:r w:rsidRPr="00D06ACD">
        <w:rPr>
          <w:sz w:val="24"/>
          <w:szCs w:val="24"/>
        </w:rPr>
        <w:t>Finally, this chapter has presented direct evidence-based response to the three research questions, which are the driving force of this dissertation, revealing that UK CBAM will impose significant and inevitable cost surcharges on procurement of construction materials, will trigger a substantial change in the construction material procurement logic from cost-efficient to carbon-efficient, and will give rise to a competitive differentiation dynamic, where early adopters of UK CBAM towards domestic low-carbon suppliers will secure long-lasting strategic gains. This dissertation's major contribution is the Carbon-Adjusted Procurement (CAP) framework, which has been organized around the Four Cs of Cost, Carbon, Compliance and Capacity, and provides an analytical architecture for the UK construction MNEs to comprehensively assess the CBAM landscape in a strategic way, not a reactive way. The results of these analyses will be elaborated in the following chapters into specific theoretical, managerial, and policy implications in Chapter Five, as well as a synthesis and suggestions for further research in Chapter Six.</w:t>
      </w:r>
    </w:p>
    <w:p w14:paraId="6D6DADCD" w14:textId="77777777" w:rsidR="00876E72" w:rsidRDefault="00876E72" w:rsidP="00D06ACD">
      <w:pPr>
        <w:spacing w:before="120" w:after="120" w:line="360" w:lineRule="auto"/>
        <w:jc w:val="both"/>
        <w:rPr>
          <w:sz w:val="24"/>
          <w:szCs w:val="24"/>
        </w:rPr>
      </w:pPr>
    </w:p>
    <w:p w14:paraId="6EB2A5A5" w14:textId="77777777" w:rsidR="00876E72" w:rsidRDefault="00876E72" w:rsidP="00D06ACD">
      <w:pPr>
        <w:spacing w:before="120" w:after="120" w:line="360" w:lineRule="auto"/>
        <w:jc w:val="both"/>
        <w:rPr>
          <w:sz w:val="24"/>
          <w:szCs w:val="24"/>
        </w:rPr>
      </w:pPr>
    </w:p>
    <w:p w14:paraId="76080F32" w14:textId="77777777" w:rsidR="00876E72" w:rsidRDefault="00876E72" w:rsidP="00D06ACD">
      <w:pPr>
        <w:spacing w:before="120" w:after="120" w:line="360" w:lineRule="auto"/>
        <w:jc w:val="both"/>
        <w:rPr>
          <w:sz w:val="24"/>
          <w:szCs w:val="24"/>
        </w:rPr>
      </w:pPr>
    </w:p>
    <w:p w14:paraId="4951BB61" w14:textId="77777777" w:rsidR="00876E72" w:rsidRDefault="00876E72" w:rsidP="00D06ACD">
      <w:pPr>
        <w:spacing w:before="120" w:after="120" w:line="360" w:lineRule="auto"/>
        <w:jc w:val="both"/>
        <w:rPr>
          <w:sz w:val="24"/>
          <w:szCs w:val="24"/>
        </w:rPr>
      </w:pPr>
    </w:p>
    <w:p w14:paraId="7C734CFC" w14:textId="77777777" w:rsidR="00876E72" w:rsidRPr="00D06ACD" w:rsidRDefault="00876E72" w:rsidP="00D06ACD">
      <w:pPr>
        <w:spacing w:before="120" w:after="120" w:line="360" w:lineRule="auto"/>
        <w:jc w:val="both"/>
        <w:rPr>
          <w:sz w:val="24"/>
          <w:szCs w:val="24"/>
        </w:rPr>
      </w:pPr>
    </w:p>
    <w:p w14:paraId="54A4B1A1" w14:textId="77777777" w:rsidR="003A7791" w:rsidRPr="00D06ACD" w:rsidRDefault="003A7791" w:rsidP="00D06ACD">
      <w:pPr>
        <w:spacing w:before="120" w:after="120" w:line="360" w:lineRule="auto"/>
        <w:jc w:val="both"/>
        <w:rPr>
          <w:sz w:val="24"/>
          <w:szCs w:val="24"/>
        </w:rPr>
      </w:pPr>
    </w:p>
    <w:p w14:paraId="3545E4EA" w14:textId="77777777" w:rsidR="003A7791" w:rsidRPr="00D06ACD" w:rsidRDefault="003A7791" w:rsidP="00876E72">
      <w:pPr>
        <w:pStyle w:val="Heading1"/>
      </w:pPr>
      <w:bookmarkStart w:id="49" w:name="_Toc231599698"/>
      <w:r w:rsidRPr="00D06ACD">
        <w:lastRenderedPageBreak/>
        <w:t xml:space="preserve">Chapter Five: </w:t>
      </w:r>
      <w:r w:rsidRPr="00876E72">
        <w:t>Implications</w:t>
      </w:r>
      <w:bookmarkEnd w:id="49"/>
    </w:p>
    <w:p w14:paraId="556BB2C8" w14:textId="77777777" w:rsidR="003A7791" w:rsidRPr="00D06ACD" w:rsidRDefault="003A7791" w:rsidP="00D06ACD">
      <w:pPr>
        <w:pStyle w:val="Heading2"/>
        <w:spacing w:line="360" w:lineRule="auto"/>
        <w:jc w:val="both"/>
        <w:rPr>
          <w:rFonts w:cs="Times New Roman"/>
          <w:szCs w:val="24"/>
        </w:rPr>
      </w:pPr>
      <w:bookmarkStart w:id="50" w:name="_Toc231599699"/>
      <w:r w:rsidRPr="00D06ACD">
        <w:rPr>
          <w:rFonts w:cs="Times New Roman"/>
          <w:szCs w:val="24"/>
        </w:rPr>
        <w:t>Introduction</w:t>
      </w:r>
      <w:bookmarkEnd w:id="50"/>
    </w:p>
    <w:p w14:paraId="421825E8" w14:textId="3879F49E" w:rsidR="00D06ACD" w:rsidRPr="00D06ACD" w:rsidRDefault="00D06ACD" w:rsidP="00D06ACD">
      <w:pPr>
        <w:spacing w:line="360" w:lineRule="auto"/>
        <w:jc w:val="both"/>
        <w:rPr>
          <w:sz w:val="24"/>
          <w:szCs w:val="24"/>
        </w:rPr>
      </w:pPr>
      <w:r w:rsidRPr="00D06ACD">
        <w:rPr>
          <w:sz w:val="24"/>
          <w:szCs w:val="24"/>
        </w:rPr>
        <w:t xml:space="preserve">The findings and synthesis of the Extended Literature Review are translated into implications for three different audiences: the academic research community, construction procurement practitioners, and policy makers. It builds on the Carbon-Adjusted Procurement (CAP) framework outlined in Chapter Four from an analytical description to a prescriptive approach, exploring what scholars, managers and regulators should do differently </w:t>
      </w:r>
      <w:proofErr w:type="gramStart"/>
      <w:r w:rsidRPr="00D06ACD">
        <w:rPr>
          <w:sz w:val="24"/>
          <w:szCs w:val="24"/>
        </w:rPr>
        <w:t>as a result of</w:t>
      </w:r>
      <w:proofErr w:type="gramEnd"/>
      <w:r w:rsidRPr="00D06ACD">
        <w:rPr>
          <w:sz w:val="24"/>
          <w:szCs w:val="24"/>
        </w:rPr>
        <w:t xml:space="preserve"> this study. The chapter is organized into three lenses: Theoretical implications, Practical and managerial implications, and Research implications - future inquiries.</w:t>
      </w:r>
    </w:p>
    <w:p w14:paraId="39F201DB" w14:textId="77777777" w:rsidR="003A7791" w:rsidRPr="00D06ACD" w:rsidRDefault="003A7791" w:rsidP="00D06ACD">
      <w:pPr>
        <w:pStyle w:val="Heading2"/>
        <w:spacing w:line="360" w:lineRule="auto"/>
        <w:jc w:val="both"/>
        <w:rPr>
          <w:rFonts w:cs="Times New Roman"/>
          <w:szCs w:val="24"/>
        </w:rPr>
      </w:pPr>
      <w:bookmarkStart w:id="51" w:name="_Toc231599700"/>
      <w:r w:rsidRPr="00D06ACD">
        <w:rPr>
          <w:rFonts w:cs="Times New Roman"/>
          <w:szCs w:val="24"/>
        </w:rPr>
        <w:t>Theoretical Implications</w:t>
      </w:r>
      <w:bookmarkEnd w:id="51"/>
    </w:p>
    <w:p w14:paraId="143E0D32" w14:textId="77777777" w:rsidR="003A7791" w:rsidRPr="00D06ACD" w:rsidRDefault="003A7791" w:rsidP="00D06ACD">
      <w:pPr>
        <w:pStyle w:val="Heading3"/>
        <w:spacing w:line="360" w:lineRule="auto"/>
        <w:jc w:val="both"/>
        <w:rPr>
          <w:rFonts w:cs="Times New Roman"/>
        </w:rPr>
      </w:pPr>
      <w:bookmarkStart w:id="52" w:name="_Toc231599701"/>
      <w:r w:rsidRPr="00D06ACD">
        <w:rPr>
          <w:rFonts w:cs="Times New Roman"/>
        </w:rPr>
        <w:t>Advancing the Multi-Framework Approach to Regulatory Procurement Research</w:t>
      </w:r>
      <w:bookmarkEnd w:id="52"/>
    </w:p>
    <w:p w14:paraId="4071B206" w14:textId="2A17543F" w:rsidR="00D06ACD" w:rsidRDefault="00D06ACD" w:rsidP="00D06ACD">
      <w:pPr>
        <w:spacing w:line="360" w:lineRule="auto"/>
        <w:jc w:val="both"/>
        <w:rPr>
          <w:sz w:val="24"/>
          <w:szCs w:val="24"/>
        </w:rPr>
      </w:pPr>
      <w:r w:rsidRPr="00D06ACD">
        <w:rPr>
          <w:sz w:val="24"/>
          <w:szCs w:val="24"/>
        </w:rPr>
        <w:t>The most important theoretical contribution of this dissertation is that no one single theoretical approach is sufficient to understand the CBAM driven procurement transformation. The combination of the Transaction Cost Economics (Williamson, 2008), the Porter Hypothesis (Porter and van der Linde, 1995), Institutional Theory (DiMaggio and Powell, 1983) and Resource Dependence Theory (RDT) (Pfeffer and Salancik, 1978) produces a truly multi-faceted phenomenon that needs a pluralist theoretical treatment. It is a step in the continuing discussion of the strategic management literature (Hillman, Withers and Collins, 2009; Rindfleisch and Heide, 1997) which holds that complex regulatory shocks can only be explained from multiple perspectives.</w:t>
      </w:r>
    </w:p>
    <w:p w14:paraId="64C77136" w14:textId="77777777" w:rsidR="00D06ACD" w:rsidRPr="00D06ACD" w:rsidRDefault="00D06ACD" w:rsidP="00D06ACD">
      <w:pPr>
        <w:spacing w:line="360" w:lineRule="auto"/>
        <w:jc w:val="both"/>
        <w:rPr>
          <w:sz w:val="24"/>
          <w:szCs w:val="24"/>
        </w:rPr>
      </w:pPr>
      <w:r w:rsidRPr="00D06ACD">
        <w:rPr>
          <w:sz w:val="24"/>
          <w:szCs w:val="24"/>
        </w:rPr>
        <w:t>Theoretical frameworks need to be explicitly integrative from the beginning in future studies on regulatory shocks in a supply chain context. The CAP framework's Four Cs – Cost, Carbon, Compliance, and Capacity – offer a replicable structure that is potentially applicable to similar regulatory interventions outside of CBAM, like Scope 3 emissions reporting, deforestation due diligence regulations and conflict mineral disclosure requirements. The theoretical implication is that procurement strategy under coercive environmental regulation is not just a cost-management or a competitive-opportunity problem, as has previously been suggested, but a dynamic synergy of all four of the above.</w:t>
      </w:r>
    </w:p>
    <w:p w14:paraId="524F0712" w14:textId="16574016" w:rsidR="00D06ACD" w:rsidRPr="00D06ACD" w:rsidRDefault="00D06ACD" w:rsidP="00876E72">
      <w:pPr>
        <w:pStyle w:val="Heading3"/>
      </w:pPr>
      <w:bookmarkStart w:id="53" w:name="_Toc231599702"/>
      <w:r w:rsidRPr="00D06ACD">
        <w:t>Development of Institutional Theory in the Context of Construction Procurement</w:t>
      </w:r>
      <w:bookmarkEnd w:id="53"/>
    </w:p>
    <w:p w14:paraId="3CCF314E" w14:textId="77777777" w:rsidR="00D06ACD" w:rsidRPr="00D06ACD" w:rsidRDefault="00D06ACD" w:rsidP="00D06ACD">
      <w:pPr>
        <w:spacing w:line="360" w:lineRule="auto"/>
        <w:jc w:val="both"/>
        <w:rPr>
          <w:sz w:val="24"/>
          <w:szCs w:val="24"/>
        </w:rPr>
      </w:pPr>
      <w:r w:rsidRPr="00D06ACD">
        <w:rPr>
          <w:sz w:val="24"/>
          <w:szCs w:val="24"/>
        </w:rPr>
        <w:t xml:space="preserve">According to the Institutional Theory (DiMaggio and Powell 1983; Scott 2013), which posits that there is a strong tendency to adapt an organisation quickly and in-depth if it is under coercive regulatory pressure. The dissertation builds on that forecast regarding the </w:t>
      </w:r>
      <w:r w:rsidRPr="00D06ACD">
        <w:rPr>
          <w:sz w:val="24"/>
          <w:szCs w:val="24"/>
        </w:rPr>
        <w:lastRenderedPageBreak/>
        <w:t xml:space="preserve">UK construction industry by showing that where there </w:t>
      </w:r>
      <w:proofErr w:type="gramStart"/>
      <w:r w:rsidRPr="00D06ACD">
        <w:rPr>
          <w:sz w:val="24"/>
          <w:szCs w:val="24"/>
        </w:rPr>
        <w:t>is</w:t>
      </w:r>
      <w:proofErr w:type="gramEnd"/>
      <w:r w:rsidRPr="00D06ACD">
        <w:rPr>
          <w:sz w:val="24"/>
          <w:szCs w:val="24"/>
        </w:rPr>
        <w:t xml:space="preserve"> strong coercive pressure, market fragmentation, adversarial contracting culture, and lack of supplier visibility can be significant constraints on adaptation. Future institutional analysis of procurement in relation-intensive industries that are fragmented should explicitly include these structural mediating variables. The theoretical suggestion is that coercive isomorphism (Delmas and Toffel, 2008) does not necessarily occur but depends on the relational and governance structures of the industry.</w:t>
      </w:r>
    </w:p>
    <w:p w14:paraId="73A34929" w14:textId="298C0508" w:rsidR="00D06ACD" w:rsidRPr="00D06ACD" w:rsidRDefault="00D06ACD" w:rsidP="00876E72">
      <w:pPr>
        <w:pStyle w:val="Heading3"/>
      </w:pPr>
      <w:r w:rsidRPr="00D06ACD">
        <w:t xml:space="preserve"> </w:t>
      </w:r>
      <w:bookmarkStart w:id="54" w:name="_Toc231599703"/>
      <w:r w:rsidRPr="00D06ACD">
        <w:t>The Carbon-Adjusted Procurement Framework as a New Theoretical Lens</w:t>
      </w:r>
      <w:bookmarkEnd w:id="54"/>
    </w:p>
    <w:p w14:paraId="6E47A44B" w14:textId="37520A04" w:rsidR="00D06ACD" w:rsidRPr="00D06ACD" w:rsidRDefault="00D06ACD" w:rsidP="00D06ACD">
      <w:pPr>
        <w:spacing w:line="360" w:lineRule="auto"/>
        <w:jc w:val="both"/>
        <w:rPr>
          <w:sz w:val="24"/>
          <w:szCs w:val="24"/>
        </w:rPr>
      </w:pPr>
      <w:r w:rsidRPr="00D06ACD">
        <w:rPr>
          <w:sz w:val="24"/>
          <w:szCs w:val="24"/>
        </w:rPr>
        <w:t xml:space="preserve">This dissertation introduces the CAP framework, which extends the concept of green procurement models, such as Paulraj (2011), Walker and Brammer (2012), and </w:t>
      </w:r>
      <w:proofErr w:type="spellStart"/>
      <w:r w:rsidRPr="00D06ACD">
        <w:rPr>
          <w:sz w:val="24"/>
          <w:szCs w:val="24"/>
        </w:rPr>
        <w:t>Schaltegger</w:t>
      </w:r>
      <w:proofErr w:type="spellEnd"/>
      <w:r w:rsidRPr="00D06ACD">
        <w:rPr>
          <w:sz w:val="24"/>
          <w:szCs w:val="24"/>
        </w:rPr>
        <w:t xml:space="preserve"> and Burritt (2014) by making regulatory compliance a first-order design criterion, instead of a secondary risk factor. While previous approaches considered the environmental dimension as one of the several ones, the CAP framework makes the Carbon dimension a separate procurement criterion </w:t>
      </w:r>
      <w:proofErr w:type="gramStart"/>
      <w:r w:rsidRPr="00D06ACD">
        <w:rPr>
          <w:sz w:val="24"/>
          <w:szCs w:val="24"/>
        </w:rPr>
        <w:t>and also</w:t>
      </w:r>
      <w:proofErr w:type="gramEnd"/>
      <w:r w:rsidRPr="00D06ACD">
        <w:rPr>
          <w:sz w:val="24"/>
          <w:szCs w:val="24"/>
        </w:rPr>
        <w:t xml:space="preserve"> a data base for the other dimensions. This shift in the structure of carbon, which CBAM has </w:t>
      </w:r>
      <w:proofErr w:type="gramStart"/>
      <w:r w:rsidRPr="00D06ACD">
        <w:rPr>
          <w:sz w:val="24"/>
          <w:szCs w:val="24"/>
        </w:rPr>
        <w:t>effected</w:t>
      </w:r>
      <w:proofErr w:type="gramEnd"/>
      <w:r w:rsidRPr="00D06ACD">
        <w:rPr>
          <w:sz w:val="24"/>
          <w:szCs w:val="24"/>
        </w:rPr>
        <w:t>, is a change from the metric of an external factor of the environment to the internal financial burden, which existing green procurement theory has not yet fully captured. The CAP framework should be empirically tested and refined by future scholars on various material categories, and in various supply chain configurations.</w:t>
      </w:r>
    </w:p>
    <w:p w14:paraId="748992D9" w14:textId="77777777" w:rsidR="003A7791" w:rsidRPr="00D06ACD" w:rsidRDefault="003A7791" w:rsidP="00D06ACD">
      <w:pPr>
        <w:pStyle w:val="Heading2"/>
        <w:spacing w:line="360" w:lineRule="auto"/>
        <w:jc w:val="both"/>
        <w:rPr>
          <w:rFonts w:cs="Times New Roman"/>
          <w:szCs w:val="24"/>
        </w:rPr>
      </w:pPr>
      <w:bookmarkStart w:id="55" w:name="_Toc231599704"/>
      <w:r w:rsidRPr="00D06ACD">
        <w:rPr>
          <w:rFonts w:cs="Times New Roman"/>
          <w:szCs w:val="24"/>
        </w:rPr>
        <w:t>Practical and Managerial Implications</w:t>
      </w:r>
      <w:bookmarkEnd w:id="55"/>
    </w:p>
    <w:p w14:paraId="5CD38FA2" w14:textId="77777777" w:rsidR="003A7791" w:rsidRPr="00D06ACD" w:rsidRDefault="003A7791" w:rsidP="00D06ACD">
      <w:pPr>
        <w:pStyle w:val="Heading3"/>
        <w:spacing w:line="360" w:lineRule="auto"/>
        <w:jc w:val="both"/>
        <w:rPr>
          <w:rFonts w:cs="Times New Roman"/>
        </w:rPr>
      </w:pPr>
      <w:bookmarkStart w:id="56" w:name="_Toc231599705"/>
      <w:r w:rsidRPr="00D06ACD">
        <w:rPr>
          <w:rFonts w:cs="Times New Roman"/>
        </w:rPr>
        <w:t>Strategic Recommendations for UK Construction MNEs</w:t>
      </w:r>
      <w:bookmarkEnd w:id="56"/>
    </w:p>
    <w:p w14:paraId="034FEBF0" w14:textId="77777777" w:rsidR="00D06ACD" w:rsidRPr="00D06ACD" w:rsidRDefault="00D06ACD" w:rsidP="00D06ACD">
      <w:pPr>
        <w:spacing w:line="360" w:lineRule="auto"/>
        <w:jc w:val="both"/>
        <w:rPr>
          <w:sz w:val="24"/>
          <w:szCs w:val="24"/>
        </w:rPr>
      </w:pPr>
      <w:r w:rsidRPr="00D06ACD">
        <w:rPr>
          <w:sz w:val="24"/>
          <w:szCs w:val="24"/>
        </w:rPr>
        <w:t xml:space="preserve">To align with the first steps for UK CBAM that are due until 1 January 2027, managers of construction MNEs should focus on three actions that need to be undertaken now. They should then carry out a full exposure assessment of their existing supply chain, establish the embedded carbon intensity of all steel, aluminium, cement and glass inputs by their country of origin and route of manufacture. This diagnostic step is even more necessary given that the UK Green Building Council (2023) report that less than 12% of Tier 1 contractors </w:t>
      </w:r>
      <w:proofErr w:type="gramStart"/>
      <w:r w:rsidRPr="00D06ACD">
        <w:rPr>
          <w:sz w:val="24"/>
          <w:szCs w:val="24"/>
        </w:rPr>
        <w:t>are able to</w:t>
      </w:r>
      <w:proofErr w:type="gramEnd"/>
      <w:r w:rsidRPr="00D06ACD">
        <w:rPr>
          <w:sz w:val="24"/>
          <w:szCs w:val="24"/>
        </w:rPr>
        <w:t xml:space="preserve"> accurately estimate the carbon embedded in materials that they import. Accurate carbon intensity data is an essential element to be able to work out what the MNE liability for the CBAM is, what could be done about it and what the supplier substitution strategies identified in Chapter Three could mean for the MNEs in practice.</w:t>
      </w:r>
    </w:p>
    <w:p w14:paraId="2C1B05FE" w14:textId="77777777" w:rsidR="00D06ACD" w:rsidRPr="00D06ACD" w:rsidRDefault="00D06ACD" w:rsidP="00D06ACD">
      <w:pPr>
        <w:spacing w:line="360" w:lineRule="auto"/>
        <w:jc w:val="both"/>
        <w:rPr>
          <w:sz w:val="24"/>
          <w:szCs w:val="24"/>
        </w:rPr>
      </w:pPr>
      <w:r w:rsidRPr="00D06ACD">
        <w:rPr>
          <w:sz w:val="24"/>
          <w:szCs w:val="24"/>
        </w:rPr>
        <w:t xml:space="preserve">Second, procurement managers should immediately start to build long-term supply relationships with domestic green steel producers, especially those moving to electric arc furnace (EAF) technology at Tata Steel Port Talbot or British Steel Scunthorpe. The Green </w:t>
      </w:r>
      <w:r w:rsidRPr="00D06ACD">
        <w:rPr>
          <w:sz w:val="24"/>
          <w:szCs w:val="24"/>
        </w:rPr>
        <w:lastRenderedPageBreak/>
        <w:t>Alliance (2024) supply-gap analysis shows that post-2027 transition periods will be marked by a lack of domestic green steel capacity, which will not be able to meet overall UK construction demand. Of those MNEs that can make a commitment to offtake agreements before 2026, this will provide them with a competitive advantage as they are protected from the volatility of carbon costs and are able to secure carbon pricing commitments to meet their public sector embodied carbon needs. Managers are advised to focus on relational contracting rather than competitive tendering whenever CBAM exposure for the material is high, as the TCE framework predicts that regulatory uncertainty premiums render relational governance to be a more economic option than spot-market purchasing.</w:t>
      </w:r>
    </w:p>
    <w:p w14:paraId="23C1B6C5" w14:textId="77777777" w:rsidR="00D06ACD" w:rsidRPr="00D06ACD" w:rsidRDefault="00D06ACD" w:rsidP="00D06ACD">
      <w:pPr>
        <w:spacing w:line="360" w:lineRule="auto"/>
        <w:jc w:val="both"/>
        <w:rPr>
          <w:sz w:val="24"/>
          <w:szCs w:val="24"/>
        </w:rPr>
      </w:pPr>
      <w:r w:rsidRPr="00D06ACD">
        <w:rPr>
          <w:sz w:val="24"/>
          <w:szCs w:val="24"/>
        </w:rPr>
        <w:t>Thirdly, procurement directors should change the current standard procurement contracts to include contractual provisions that apply to the CBAM, such as all strategic suppliers are required to submit Environmental Product Declaration (EPD) periodic declaration, contractual thresholds including the embedded-carbon benchmark, and contractual provisions for cost escalation that clearly shift the responsibility for regulatory costs from buyer to supplier. The contractual design principles for these adaptations are provided by Walker &amp; Brammer (2012) and NEC4 guidance (Thomas Telford, 2023). The important thing to note is that the clauses will be incorporated into the structure of MNEs that have done so already before the CBAM enters into force, allowing them to be structurally better prepared than others that try to comply at the last minute.</w:t>
      </w:r>
    </w:p>
    <w:p w14:paraId="598D77B6" w14:textId="464E9A2E" w:rsidR="00D06ACD" w:rsidRPr="00D06ACD" w:rsidRDefault="00D06ACD" w:rsidP="00876E72">
      <w:pPr>
        <w:pStyle w:val="Heading3"/>
      </w:pPr>
      <w:bookmarkStart w:id="57" w:name="_Toc231599706"/>
      <w:r w:rsidRPr="00D06ACD">
        <w:t>Policy and Industry implications</w:t>
      </w:r>
      <w:bookmarkEnd w:id="57"/>
    </w:p>
    <w:p w14:paraId="23365A49" w14:textId="77777777" w:rsidR="00D06ACD" w:rsidRPr="00D06ACD" w:rsidRDefault="00D06ACD" w:rsidP="00D06ACD">
      <w:pPr>
        <w:spacing w:line="360" w:lineRule="auto"/>
        <w:jc w:val="both"/>
        <w:rPr>
          <w:sz w:val="24"/>
          <w:szCs w:val="24"/>
        </w:rPr>
      </w:pPr>
      <w:r w:rsidRPr="00D06ACD">
        <w:rPr>
          <w:sz w:val="24"/>
          <w:szCs w:val="24"/>
        </w:rPr>
        <w:t>This study recommends that the design of the accompanying support measure needs to be changed for the CBAM for policymakers. The supply-side gap between the expected volume of green steel coming from the UK and the overall construction sector demand (Green Alliance, 2024) suggests that without demand stimulation measures, the CBAM will disproportionately affect smaller construction companies that are not built up for long-term procurement relationships with domestic providers. HM Treasury and DESNZ should look at an embodied carbon reporting requirement for all public construction contracts over a specific value, which would create a demand signal to help drive up the uptake of EPD throughout the supply chain. Such a measure would be supported by the Greening Government Commitments (DEFRA, 2023) which set out a policy framework and Sugar et al. (2022) have identified that net-zero criteria could be incorporated into existing procurement legislation without primary legislation.</w:t>
      </w:r>
    </w:p>
    <w:p w14:paraId="10793AA0" w14:textId="77325BD6" w:rsidR="00D06ACD" w:rsidRPr="00D06ACD" w:rsidRDefault="00D06ACD" w:rsidP="00D06ACD">
      <w:pPr>
        <w:spacing w:line="360" w:lineRule="auto"/>
        <w:jc w:val="both"/>
        <w:rPr>
          <w:sz w:val="24"/>
          <w:szCs w:val="24"/>
        </w:rPr>
      </w:pPr>
      <w:r w:rsidRPr="00D06ACD">
        <w:rPr>
          <w:sz w:val="24"/>
          <w:szCs w:val="24"/>
        </w:rPr>
        <w:t xml:space="preserve">Industry groups, such as the Construction Leadership Council, the RICS and UK Green Building Council, should create standardised CBAM readiness toolkits that will allow </w:t>
      </w:r>
      <w:r w:rsidRPr="00D06ACD">
        <w:rPr>
          <w:sz w:val="24"/>
          <w:szCs w:val="24"/>
        </w:rPr>
        <w:lastRenderedPageBreak/>
        <w:t>smaller contractors to swiftly carry out supplier carbon audits – which is currently only possible for the largest MNEs through bespoke consulting services. A common EPD repository for UK registered construction material suppliers would have the effect of spreading the compliance infrastructure cost across the building industry instead of having the burden of this cost on each individual supplier.</w:t>
      </w:r>
    </w:p>
    <w:p w14:paraId="0983B7A2" w14:textId="77777777" w:rsidR="003A7791" w:rsidRPr="00D06ACD" w:rsidRDefault="003A7791" w:rsidP="00D06ACD">
      <w:pPr>
        <w:pStyle w:val="Heading2"/>
        <w:spacing w:line="360" w:lineRule="auto"/>
        <w:jc w:val="both"/>
        <w:rPr>
          <w:rFonts w:cs="Times New Roman"/>
          <w:szCs w:val="24"/>
        </w:rPr>
      </w:pPr>
      <w:bookmarkStart w:id="58" w:name="_Toc231599707"/>
      <w:r w:rsidRPr="00D06ACD">
        <w:rPr>
          <w:rFonts w:cs="Times New Roman"/>
          <w:szCs w:val="24"/>
        </w:rPr>
        <w:t>Research Implications and Future Directions</w:t>
      </w:r>
      <w:bookmarkEnd w:id="58"/>
    </w:p>
    <w:p w14:paraId="5A38549B" w14:textId="77777777" w:rsidR="00D06ACD" w:rsidRPr="00D06ACD" w:rsidRDefault="00D06ACD" w:rsidP="00D06ACD">
      <w:pPr>
        <w:spacing w:line="360" w:lineRule="auto"/>
        <w:jc w:val="both"/>
        <w:rPr>
          <w:sz w:val="24"/>
          <w:szCs w:val="24"/>
        </w:rPr>
      </w:pPr>
      <w:r w:rsidRPr="00D06ACD">
        <w:rPr>
          <w:sz w:val="24"/>
          <w:szCs w:val="24"/>
        </w:rPr>
        <w:t xml:space="preserve">This research has some implications for further investigation. There is a need for qualitative primary research, in-depth interviews and case studies with UK construction procurement managers to explore the cognitive and organisational processes involved in integrating CBAM into the supplier selection decision-making process. The present review cannot reveal how the procurement manager is </w:t>
      </w:r>
      <w:proofErr w:type="gramStart"/>
      <w:r w:rsidRPr="00D06ACD">
        <w:rPr>
          <w:sz w:val="24"/>
          <w:szCs w:val="24"/>
        </w:rPr>
        <w:t>actually handling</w:t>
      </w:r>
      <w:proofErr w:type="gramEnd"/>
      <w:r w:rsidRPr="00D06ACD">
        <w:rPr>
          <w:sz w:val="24"/>
          <w:szCs w:val="24"/>
        </w:rPr>
        <w:t xml:space="preserve"> carbon information, how they are dealing with supply chain relationships, or how they are distributing the burden of compliance of the CBAM within the organisation. The exploratory qualitative research carried out from 2026-2028 (which corresponds to the first operational period of CBAM) would be of great value for capturing real time adaptation behaviour.</w:t>
      </w:r>
    </w:p>
    <w:p w14:paraId="3E12B392" w14:textId="77777777" w:rsidR="00D06ACD" w:rsidRPr="00D06ACD" w:rsidRDefault="00D06ACD" w:rsidP="00D06ACD">
      <w:pPr>
        <w:spacing w:line="360" w:lineRule="auto"/>
        <w:jc w:val="both"/>
        <w:rPr>
          <w:sz w:val="24"/>
          <w:szCs w:val="24"/>
        </w:rPr>
      </w:pPr>
      <w:r w:rsidRPr="00D06ACD">
        <w:rPr>
          <w:sz w:val="24"/>
          <w:szCs w:val="24"/>
        </w:rPr>
        <w:t>Second, it would be possible to validate and calibrate the CAP framework through empirical research based on a longitudinal study of the actual shifts in sourcing-geography, the rate of supplier substitution and the rate of CBAM cost pass-through for construction projects undertaken in the UK. The BCG (2024) survey of EU importers under the EU CBAM offers a methodological template which could be applicable in the UK context after the EU CBAM becomes operational. Third, comparative research could be conducted on how the construction MNEs in other jurisdictions, or countries, affected by CBAM (in particular Germany, France and Netherlands, where the green construction market is larger) are adapting their procurement processes, which would help to enrich the theoretical picture and would enable to see if the UK's higher reliance on imports creates unique adaptation challenges or opportunities.</w:t>
      </w:r>
    </w:p>
    <w:p w14:paraId="6E7FCC24" w14:textId="020BB27B" w:rsidR="00D06ACD" w:rsidRPr="00D06ACD" w:rsidRDefault="00D06ACD" w:rsidP="00876E72">
      <w:pPr>
        <w:pStyle w:val="Heading2"/>
      </w:pPr>
      <w:bookmarkStart w:id="59" w:name="_Toc231599708"/>
      <w:r w:rsidRPr="00D06ACD">
        <w:t>Conclusion:</w:t>
      </w:r>
      <w:bookmarkEnd w:id="59"/>
    </w:p>
    <w:p w14:paraId="32FA2556" w14:textId="37C774B1" w:rsidR="003A7791" w:rsidRPr="00D06ACD" w:rsidRDefault="00D06ACD" w:rsidP="00D06ACD">
      <w:pPr>
        <w:spacing w:line="360" w:lineRule="auto"/>
        <w:jc w:val="both"/>
        <w:rPr>
          <w:sz w:val="24"/>
          <w:szCs w:val="24"/>
        </w:rPr>
      </w:pPr>
      <w:r w:rsidRPr="00D06ACD">
        <w:rPr>
          <w:sz w:val="24"/>
          <w:szCs w:val="24"/>
        </w:rPr>
        <w:t xml:space="preserve">To summarize, this chapter has converted the analytical results of the dissertation to prescriptive advice at three levels. It has argued for an integrative multi-framework approach, and for a new conceptual framework, the CAP, in the future, facing the regulatory pressure in procurement. In a practical way it has recommended the UK construction MNEs to do immediate carbon exposure audit, early offtake agreements with domestic green steel producers and redesign of supply contracts with the inclusion of clauses for the CBAM. It has called for mandatory reporting on embodied carbon of public </w:t>
      </w:r>
      <w:r w:rsidRPr="00D06ACD">
        <w:rPr>
          <w:sz w:val="24"/>
          <w:szCs w:val="24"/>
        </w:rPr>
        <w:lastRenderedPageBreak/>
        <w:t xml:space="preserve">contracts and industry-wide infrastructure investment for EPDs </w:t>
      </w:r>
      <w:proofErr w:type="gramStart"/>
      <w:r w:rsidRPr="00D06ACD">
        <w:rPr>
          <w:sz w:val="24"/>
          <w:szCs w:val="24"/>
        </w:rPr>
        <w:t>in order to</w:t>
      </w:r>
      <w:proofErr w:type="gramEnd"/>
      <w:r w:rsidRPr="00D06ACD">
        <w:rPr>
          <w:sz w:val="24"/>
          <w:szCs w:val="24"/>
        </w:rPr>
        <w:t xml:space="preserve"> spread out the cost of compliance. Chapters 6 summarizes the entire dissertation and offers suggestions for future studies, recognizing of course the scope of the research limitations.</w:t>
      </w:r>
      <w:r w:rsidR="003A7791" w:rsidRPr="00D06ACD">
        <w:rPr>
          <w:sz w:val="24"/>
          <w:szCs w:val="24"/>
        </w:rPr>
        <w:br w:type="page"/>
      </w:r>
    </w:p>
    <w:p w14:paraId="417723BE" w14:textId="77777777" w:rsidR="003A7791" w:rsidRPr="00D06ACD" w:rsidRDefault="003A7791" w:rsidP="00876E72">
      <w:pPr>
        <w:pStyle w:val="Heading1"/>
      </w:pPr>
      <w:bookmarkStart w:id="60" w:name="_Toc231599709"/>
      <w:r w:rsidRPr="00D06ACD">
        <w:lastRenderedPageBreak/>
        <w:t>Chapter Six: Conclusion</w:t>
      </w:r>
      <w:bookmarkEnd w:id="60"/>
    </w:p>
    <w:p w14:paraId="12A2FF27" w14:textId="77777777" w:rsidR="003A7791" w:rsidRPr="00D06ACD" w:rsidRDefault="003A7791" w:rsidP="00D06ACD">
      <w:pPr>
        <w:pStyle w:val="Heading2"/>
        <w:spacing w:line="360" w:lineRule="auto"/>
        <w:jc w:val="both"/>
        <w:rPr>
          <w:rFonts w:cs="Times New Roman"/>
          <w:szCs w:val="24"/>
        </w:rPr>
      </w:pPr>
      <w:bookmarkStart w:id="61" w:name="_Toc231599710"/>
      <w:r w:rsidRPr="00D06ACD">
        <w:rPr>
          <w:rFonts w:cs="Times New Roman"/>
          <w:szCs w:val="24"/>
        </w:rPr>
        <w:t>Introduction</w:t>
      </w:r>
      <w:bookmarkEnd w:id="61"/>
    </w:p>
    <w:p w14:paraId="25FD8C6F" w14:textId="53223913" w:rsidR="00D06ACD" w:rsidRPr="00D06ACD" w:rsidRDefault="00D06ACD" w:rsidP="00D06ACD">
      <w:pPr>
        <w:spacing w:line="360" w:lineRule="auto"/>
        <w:jc w:val="both"/>
        <w:rPr>
          <w:sz w:val="24"/>
          <w:szCs w:val="24"/>
        </w:rPr>
      </w:pPr>
      <w:r w:rsidRPr="00D06ACD">
        <w:rPr>
          <w:sz w:val="24"/>
          <w:szCs w:val="24"/>
        </w:rPr>
        <w:t xml:space="preserve">In this final chapter, this dissertation brings together </w:t>
      </w:r>
      <w:proofErr w:type="gramStart"/>
      <w:r w:rsidRPr="00D06ACD">
        <w:rPr>
          <w:sz w:val="24"/>
          <w:szCs w:val="24"/>
        </w:rPr>
        <w:t>all of</w:t>
      </w:r>
      <w:proofErr w:type="gramEnd"/>
      <w:r w:rsidRPr="00D06ACD">
        <w:rPr>
          <w:sz w:val="24"/>
          <w:szCs w:val="24"/>
        </w:rPr>
        <w:t xml:space="preserve"> the parts, restates the three research questions that have guided the Extended Literature Review presented in Chapter Three and summarises the most important findings from Chapter Three and Chapter Four, and the dissertation contributions to the academic literature and management practice. It provides an appreciation for the inherent constraints of an Extended Literature Review methodology, outlines what the CAP framework can and cannot claim, and signals the most important directions for future empirical research. The chapter concludes with a general comment on the overall implications of the UK CBAM for construction sector and international procurement research.</w:t>
      </w:r>
    </w:p>
    <w:p w14:paraId="69AD4E07" w14:textId="77777777" w:rsidR="003A7791" w:rsidRPr="00D06ACD" w:rsidRDefault="003A7791" w:rsidP="00D06ACD">
      <w:pPr>
        <w:pStyle w:val="Heading2"/>
        <w:spacing w:line="360" w:lineRule="auto"/>
        <w:jc w:val="both"/>
        <w:rPr>
          <w:rFonts w:cs="Times New Roman"/>
          <w:szCs w:val="24"/>
        </w:rPr>
      </w:pPr>
      <w:bookmarkStart w:id="62" w:name="_Toc231599711"/>
      <w:r w:rsidRPr="00D06ACD">
        <w:rPr>
          <w:rFonts w:cs="Times New Roman"/>
          <w:szCs w:val="24"/>
        </w:rPr>
        <w:t>Answering the Research Questions</w:t>
      </w:r>
      <w:bookmarkEnd w:id="62"/>
    </w:p>
    <w:p w14:paraId="389747EC" w14:textId="77777777" w:rsidR="003A7791" w:rsidRPr="00D06ACD" w:rsidRDefault="003A7791" w:rsidP="00D06ACD">
      <w:pPr>
        <w:pStyle w:val="Heading3"/>
        <w:spacing w:line="360" w:lineRule="auto"/>
        <w:jc w:val="both"/>
        <w:rPr>
          <w:rFonts w:cs="Times New Roman"/>
        </w:rPr>
      </w:pPr>
      <w:bookmarkStart w:id="63" w:name="_Toc231599712"/>
      <w:r w:rsidRPr="00D06ACD">
        <w:rPr>
          <w:rFonts w:cs="Times New Roman"/>
        </w:rPr>
        <w:t>RQ1: What Are the Projected Cost Implications of UK CBAM for Construction MNEs Importing High-Emission Materials?</w:t>
      </w:r>
      <w:bookmarkEnd w:id="63"/>
    </w:p>
    <w:p w14:paraId="0C464B10" w14:textId="77777777" w:rsidR="00D06ACD" w:rsidRPr="00D06ACD" w:rsidRDefault="00D06ACD" w:rsidP="00D06ACD">
      <w:pPr>
        <w:spacing w:line="360" w:lineRule="auto"/>
        <w:jc w:val="both"/>
        <w:rPr>
          <w:sz w:val="24"/>
          <w:szCs w:val="24"/>
        </w:rPr>
      </w:pPr>
      <w:r w:rsidRPr="00D06ACD">
        <w:rPr>
          <w:sz w:val="24"/>
          <w:szCs w:val="24"/>
        </w:rPr>
        <w:t>The findings outlined in Chapters Three and Four all point to a single, strong and financially relevant conclusion. The material surcharges will apply to the four main building materials; 8-15% for imported steel, 10-18% for aluminium, 5-12% for cement and 6-10% for glass (Carbon Tracker, 2024; Vivid Economics, 2022). On a project level, RICS (2023) estimates that these material surcharges will add a further 2–4% to overall construction costs for steel-intensive commercial buildings and 1–2% to overall construction costs for residential schemes, which may offset a UK contractor's typical net profit margin of 1.5–3.5% (Deloitte, 2024). Importantly, these direct surcharges are further exacerbated by the embedded-carbon verification infrastructure which CBAM will need, and by the administrative compliance costs estimated at GBP 500,000 – 1.2 million per year per large MNE (McKinsey and Company, 2023). RQ1 is, therefore, clear: CBAM will bring significant, unavoidable and multi-layered cost increases to the UK construction MNEs that do not adapt proactively their procurement strategies.</w:t>
      </w:r>
    </w:p>
    <w:p w14:paraId="7FBA5B95" w14:textId="5B07C139" w:rsidR="00D06ACD" w:rsidRPr="00D06ACD" w:rsidRDefault="00D06ACD" w:rsidP="00876E72">
      <w:pPr>
        <w:pStyle w:val="Heading2"/>
      </w:pPr>
      <w:bookmarkStart w:id="64" w:name="_Toc231599713"/>
      <w:r w:rsidRPr="00D06ACD">
        <w:t>RQ2: What is driving a strategic change in UK CBAM procurement from cost-efficient to carbon-efficient?</w:t>
      </w:r>
      <w:bookmarkEnd w:id="64"/>
    </w:p>
    <w:p w14:paraId="2B585ADE" w14:textId="77777777" w:rsidR="00D06ACD" w:rsidRPr="00D06ACD" w:rsidRDefault="00D06ACD" w:rsidP="00D06ACD">
      <w:pPr>
        <w:spacing w:line="360" w:lineRule="auto"/>
        <w:jc w:val="both"/>
        <w:rPr>
          <w:sz w:val="24"/>
          <w:szCs w:val="24"/>
        </w:rPr>
      </w:pPr>
      <w:r w:rsidRPr="00D06ACD">
        <w:rPr>
          <w:sz w:val="24"/>
          <w:szCs w:val="24"/>
        </w:rPr>
        <w:t xml:space="preserve">CBAM changes the cost-efficiency paradigm of UK construction procurement by making embedded carbon an easily auditable, measurable and financially significant procurement specification. The mechanism is simple: a supplier with a lower unit price but higher embedded carbon content can </w:t>
      </w:r>
      <w:proofErr w:type="gramStart"/>
      <w:r w:rsidRPr="00D06ACD">
        <w:rPr>
          <w:sz w:val="24"/>
          <w:szCs w:val="24"/>
        </w:rPr>
        <w:t>costs</w:t>
      </w:r>
      <w:proofErr w:type="gramEnd"/>
      <w:r w:rsidRPr="00D06ACD">
        <w:rPr>
          <w:sz w:val="24"/>
          <w:szCs w:val="24"/>
        </w:rPr>
        <w:t xml:space="preserve"> the more per unit of actual product, after adding the CBAM surcharge, while lowering the price of the actual product. Institutional Theory </w:t>
      </w:r>
      <w:r w:rsidRPr="00D06ACD">
        <w:rPr>
          <w:sz w:val="24"/>
          <w:szCs w:val="24"/>
        </w:rPr>
        <w:lastRenderedPageBreak/>
        <w:t>(DiMaggio and Powell, 1983; Delmas and Toffel, 2008) states that coercive pressures are the strongest motivators for institutional change, with CBAM being a prime example of such pressures, which can drive greater and faster adaptation than the other pressures. Empirically, the BCG (2024) survey result that 62% of EU importers started to reassess their supplier portfolios within the first year of the EU CBAM transitional phase supports this swift adaptation theory in a similar context. The change is however hampered by the structural features of the UK construction industry: fragmented markets, an adversarial culture of contracting and limited supplier visibility (Meehan and Bryde, 2011; Latham, 1994). The solution to RQ2 is a genuine strategic shift, which will be different in pace and degree across various company sizes and sophistication of procurement.</w:t>
      </w:r>
    </w:p>
    <w:p w14:paraId="77A2B450" w14:textId="5983010A" w:rsidR="00D06ACD" w:rsidRPr="00D06ACD" w:rsidRDefault="00D06ACD" w:rsidP="00876E72">
      <w:pPr>
        <w:pStyle w:val="Heading2"/>
      </w:pPr>
      <w:bookmarkStart w:id="65" w:name="_Toc231599714"/>
      <w:r w:rsidRPr="00D06ACD">
        <w:t>RQ3: How Does CBAM Influence Sourcing Decisions Between International Suppliers and Domestic Low-Carbon Producers?</w:t>
      </w:r>
      <w:bookmarkEnd w:id="65"/>
    </w:p>
    <w:p w14:paraId="64637787" w14:textId="37EC4DB6" w:rsidR="00D06ACD" w:rsidRPr="00D06ACD" w:rsidRDefault="00D06ACD" w:rsidP="00D06ACD">
      <w:pPr>
        <w:spacing w:line="360" w:lineRule="auto"/>
        <w:jc w:val="both"/>
        <w:rPr>
          <w:sz w:val="24"/>
          <w:szCs w:val="24"/>
        </w:rPr>
      </w:pPr>
      <w:r w:rsidRPr="00D06ACD">
        <w:rPr>
          <w:sz w:val="24"/>
          <w:szCs w:val="24"/>
        </w:rPr>
        <w:t xml:space="preserve">The sourcing-shift logic best captures Resource Dependence Theory: CBAM increases the cost of, and strategic risk in, relying on high-carbon international imports, and encourages the diversification to domestic low-carbon options. A problem with the supply side, however, complicates this logic, as a recent study by Green Alliance (2024) indicates that total domestic green steel capacity (including the Port Talbot and Scunthorpe EAF transitions) will only provide around 3–4 million tonnes per year, to meet the total UK construction demand of 8–10 million tonnes per year. This scarcity results in a first-mover advantage (FMA), with the ability of MNEs to lock in long-term agreements for domestic offtake before 2027 providing them with an early-mover advantage in access to verified low-carbon supply that late movers will not be able to mimic. The response to RQ3 is thus complex: CBAM offers incentives for sourcing </w:t>
      </w:r>
      <w:proofErr w:type="gramStart"/>
      <w:r w:rsidRPr="00D06ACD">
        <w:rPr>
          <w:sz w:val="24"/>
          <w:szCs w:val="24"/>
        </w:rPr>
        <w:t>localisation,</w:t>
      </w:r>
      <w:proofErr w:type="gramEnd"/>
      <w:r w:rsidRPr="00D06ACD">
        <w:rPr>
          <w:sz w:val="24"/>
          <w:szCs w:val="24"/>
        </w:rPr>
        <w:t xml:space="preserve"> however, the supply gap implies that localisation is not a universal solution that will be available to all firms at the same time, but a partial and competitive strategy.</w:t>
      </w:r>
    </w:p>
    <w:p w14:paraId="1510057A" w14:textId="77777777" w:rsidR="003A7791" w:rsidRPr="00D06ACD" w:rsidRDefault="003A7791" w:rsidP="00D06ACD">
      <w:pPr>
        <w:pStyle w:val="Heading2"/>
        <w:spacing w:line="360" w:lineRule="auto"/>
        <w:jc w:val="both"/>
        <w:rPr>
          <w:rFonts w:cs="Times New Roman"/>
          <w:szCs w:val="24"/>
        </w:rPr>
      </w:pPr>
      <w:bookmarkStart w:id="66" w:name="_Toc231599715"/>
      <w:r w:rsidRPr="00D06ACD">
        <w:rPr>
          <w:rFonts w:cs="Times New Roman"/>
          <w:szCs w:val="24"/>
        </w:rPr>
        <w:t>Highlights of Contributions</w:t>
      </w:r>
      <w:bookmarkEnd w:id="66"/>
    </w:p>
    <w:p w14:paraId="206C15CE" w14:textId="77777777" w:rsidR="00D06ACD" w:rsidRPr="00D06ACD" w:rsidRDefault="00D06ACD" w:rsidP="00D06ACD">
      <w:pPr>
        <w:spacing w:line="360" w:lineRule="auto"/>
        <w:jc w:val="both"/>
        <w:rPr>
          <w:sz w:val="24"/>
          <w:szCs w:val="24"/>
        </w:rPr>
      </w:pPr>
      <w:r w:rsidRPr="00D06ACD">
        <w:rPr>
          <w:sz w:val="24"/>
          <w:szCs w:val="24"/>
        </w:rPr>
        <w:t xml:space="preserve">This dissertation has three chief contributions to the literature. First, it is the first research to combine the three previously disparate streams of literature (carbon pricing economics, sustainable supply chain management and construction management) and integrate them into a single analytical consideration of the implications of UK CBAM for procurement. Second, it offers a novel concept: the Carbon-Adjusted Procurement (CAP) framework, which is an integrated decision-making model that is organized around the Four Cs of Cost, Carbon, Compliance and Capacity that extends current green procurement frameworks by putting carbon at the centre of the whole procurement system, and not just as one of several </w:t>
      </w:r>
      <w:r w:rsidRPr="00D06ACD">
        <w:rPr>
          <w:sz w:val="24"/>
          <w:szCs w:val="24"/>
        </w:rPr>
        <w:lastRenderedPageBreak/>
        <w:t>criteria. Third, it addresses the UK-specificity gap in the current literature by identifying the unique features of the UK context (UK is more dependent on imports, the UK ETS free-allowance phase-out interaction, and the unique UK domestic trajectory of capacity development) that limit the applicability of EU CBAM findings in the UK context.</w:t>
      </w:r>
    </w:p>
    <w:p w14:paraId="6D8D53FA" w14:textId="4FCC99AD" w:rsidR="00D06ACD" w:rsidRPr="00D06ACD" w:rsidRDefault="00D06ACD" w:rsidP="00876E72">
      <w:pPr>
        <w:pStyle w:val="Heading2"/>
      </w:pPr>
      <w:bookmarkStart w:id="67" w:name="_Toc231599716"/>
      <w:r w:rsidRPr="00D06ACD">
        <w:t>Limitations of the Study</w:t>
      </w:r>
      <w:bookmarkEnd w:id="67"/>
    </w:p>
    <w:p w14:paraId="61DB9D59" w14:textId="77777777" w:rsidR="00D06ACD" w:rsidRPr="00D06ACD" w:rsidRDefault="00D06ACD" w:rsidP="00D06ACD">
      <w:pPr>
        <w:spacing w:line="360" w:lineRule="auto"/>
        <w:jc w:val="both"/>
        <w:rPr>
          <w:sz w:val="24"/>
          <w:szCs w:val="24"/>
        </w:rPr>
      </w:pPr>
      <w:r w:rsidRPr="00D06ACD">
        <w:rPr>
          <w:sz w:val="24"/>
          <w:szCs w:val="24"/>
        </w:rPr>
        <w:t xml:space="preserve">The results of this dissertation are bound by three major constraints which need to be </w:t>
      </w:r>
      <w:proofErr w:type="gramStart"/>
      <w:r w:rsidRPr="00D06ACD">
        <w:rPr>
          <w:sz w:val="24"/>
          <w:szCs w:val="24"/>
        </w:rPr>
        <w:t>taken into account</w:t>
      </w:r>
      <w:proofErr w:type="gramEnd"/>
      <w:r w:rsidRPr="00D06ACD">
        <w:rPr>
          <w:sz w:val="24"/>
          <w:szCs w:val="24"/>
        </w:rPr>
        <w:t xml:space="preserve"> when interpreting the conclusions. First, as an Extended Literature Review, the study does not involve direct observation or measurement of construction MNEs' procurement decision-making in the UK but rather draws on secondary sources – those that have been documented by other scholars and practitioners. The inference of how the cognitive, relational and organisational processes are </w:t>
      </w:r>
      <w:proofErr w:type="gramStart"/>
      <w:r w:rsidRPr="00D06ACD">
        <w:rPr>
          <w:sz w:val="24"/>
          <w:szCs w:val="24"/>
        </w:rPr>
        <w:t>actually involved</w:t>
      </w:r>
      <w:proofErr w:type="gramEnd"/>
      <w:r w:rsidRPr="00D06ACD">
        <w:rPr>
          <w:sz w:val="24"/>
          <w:szCs w:val="24"/>
        </w:rPr>
        <w:t xml:space="preserve"> in the integrating of carbon into supplier selection decisions when procurement managers is not empirically proven. This reduces the potential for drawing strong conclusions about firm level behavioural change speed or process.</w:t>
      </w:r>
    </w:p>
    <w:p w14:paraId="41303F2A" w14:textId="77777777" w:rsidR="00D06ACD" w:rsidRPr="00D06ACD" w:rsidRDefault="00D06ACD" w:rsidP="00D06ACD">
      <w:pPr>
        <w:spacing w:line="360" w:lineRule="auto"/>
        <w:jc w:val="both"/>
        <w:rPr>
          <w:sz w:val="24"/>
          <w:szCs w:val="24"/>
        </w:rPr>
      </w:pPr>
      <w:r w:rsidRPr="00D06ACD">
        <w:rPr>
          <w:sz w:val="24"/>
          <w:szCs w:val="24"/>
        </w:rPr>
        <w:t xml:space="preserve">Second, the UK CBAM does not come into force until 1 January 2027, making it difficult to gather any evidence about the reality of adapting to the CBAM at the firm </w:t>
      </w:r>
      <w:proofErr w:type="spellStart"/>
      <w:r w:rsidRPr="00D06ACD">
        <w:rPr>
          <w:sz w:val="24"/>
          <w:szCs w:val="24"/>
        </w:rPr>
        <w:t>level.Second</w:t>
      </w:r>
      <w:proofErr w:type="spellEnd"/>
      <w:r w:rsidRPr="00D06ACD">
        <w:rPr>
          <w:sz w:val="24"/>
          <w:szCs w:val="24"/>
        </w:rPr>
        <w:t xml:space="preserve">, the CBAM for the UK does not take effect until 1 January 2027, which makes it challenging to collect any experience from the firms' adaptation efforts. Modelling, analogizing from the EU CBAM experience and expert assessment are used to synthesize cost estimates, supply-gap projections and strategic predictions in this review, instead of real live UK CBAM outcome data. The CAP framework is thus prospective – it is a framework that will need to be empirically tested and possibly optimized when actual CBAM data of implementation become available. Thirdly, the review is geographically limited (UK and EU) and </w:t>
      </w:r>
      <w:proofErr w:type="spellStart"/>
      <w:r w:rsidRPr="00D06ACD">
        <w:rPr>
          <w:sz w:val="24"/>
          <w:szCs w:val="24"/>
        </w:rPr>
        <w:t>sectorally</w:t>
      </w:r>
      <w:proofErr w:type="spellEnd"/>
      <w:r w:rsidRPr="00D06ACD">
        <w:rPr>
          <w:sz w:val="24"/>
          <w:szCs w:val="24"/>
        </w:rPr>
        <w:t xml:space="preserve"> (large construction MNEs) and materially (steel, aluminium, cement, glass). The results of the study may not be easily </w:t>
      </w:r>
      <w:proofErr w:type="spellStart"/>
      <w:r w:rsidRPr="00D06ACD">
        <w:rPr>
          <w:sz w:val="24"/>
          <w:szCs w:val="24"/>
        </w:rPr>
        <w:t>extrapolable</w:t>
      </w:r>
      <w:proofErr w:type="spellEnd"/>
      <w:r w:rsidRPr="00D06ACD">
        <w:rPr>
          <w:sz w:val="24"/>
          <w:szCs w:val="24"/>
        </w:rPr>
        <w:t xml:space="preserve"> to SMEs, other regulated industries, or other materials covered by CBAM but not discussed in this study.</w:t>
      </w:r>
    </w:p>
    <w:p w14:paraId="72F4144F" w14:textId="42967EB9" w:rsidR="00D06ACD" w:rsidRPr="00D06ACD" w:rsidRDefault="00D06ACD" w:rsidP="00876E72">
      <w:pPr>
        <w:pStyle w:val="Heading2"/>
      </w:pPr>
      <w:bookmarkStart w:id="68" w:name="_Toc231599717"/>
      <w:r w:rsidRPr="00D06ACD">
        <w:t>Final Recommendations and Future Research</w:t>
      </w:r>
      <w:bookmarkEnd w:id="68"/>
    </w:p>
    <w:p w14:paraId="18BC03AD" w14:textId="2926765C" w:rsidR="00D06ACD" w:rsidRPr="00D06ACD" w:rsidRDefault="00D06ACD" w:rsidP="00D06ACD">
      <w:pPr>
        <w:spacing w:line="360" w:lineRule="auto"/>
        <w:jc w:val="both"/>
        <w:rPr>
          <w:sz w:val="24"/>
          <w:szCs w:val="24"/>
        </w:rPr>
      </w:pPr>
      <w:r w:rsidRPr="00D06ACD">
        <w:rPr>
          <w:sz w:val="24"/>
          <w:szCs w:val="24"/>
        </w:rPr>
        <w:t xml:space="preserve">To conclude this study, three specific directions for future research in the academic community are suggested based on the gaps identified in Chapter Four and the research implications outlined in Chapter Five. Longitudinal qualitative studies following the introduction of UK construction procurement managers' experiences of integrating the Four C aspects of the CAP framework over the first years of operation of CBAM (2027–2029) should be pursued by future scholars. They should also be developing quantitative research to measure actual carbon-cost pass-through, supplier substitution amounts and geography </w:t>
      </w:r>
      <w:r w:rsidRPr="00D06ACD">
        <w:rPr>
          <w:sz w:val="24"/>
          <w:szCs w:val="24"/>
        </w:rPr>
        <w:lastRenderedPageBreak/>
        <w:t>shifts of sourcing in the UK construction supply chain post-2027 to test out whether the cost arithmetic inversions predicted in the CAP framework come to pass. Finally, comparative research that looks at the implications for CBAM in more than one context—the EU and the UK</w:t>
      </w:r>
      <w:r w:rsidR="00876E72">
        <w:rPr>
          <w:sz w:val="24"/>
          <w:szCs w:val="24"/>
        </w:rPr>
        <w:t xml:space="preserve">, </w:t>
      </w:r>
      <w:r w:rsidRPr="00D06ACD">
        <w:rPr>
          <w:sz w:val="24"/>
          <w:szCs w:val="24"/>
        </w:rPr>
        <w:t>at once, with the EU CBAM following a more advanced implementation timeline, as a natural experiment, is likely to make a major contribution to theoretical understanding of how BCA affects the geography of global value chains.</w:t>
      </w:r>
    </w:p>
    <w:p w14:paraId="7FE5C9C1" w14:textId="34944B94" w:rsidR="00D06ACD" w:rsidRPr="00D06ACD" w:rsidRDefault="00D06ACD" w:rsidP="00876E72">
      <w:pPr>
        <w:pStyle w:val="Heading2"/>
      </w:pPr>
      <w:bookmarkStart w:id="69" w:name="_Toc231599718"/>
      <w:r w:rsidRPr="00D06ACD">
        <w:t>Closing Statement</w:t>
      </w:r>
      <w:bookmarkEnd w:id="69"/>
    </w:p>
    <w:p w14:paraId="0EC20172" w14:textId="2D79DD03" w:rsidR="003A7791" w:rsidRPr="003A7791" w:rsidRDefault="00D06ACD" w:rsidP="00D06ACD">
      <w:pPr>
        <w:spacing w:line="360" w:lineRule="auto"/>
        <w:jc w:val="both"/>
        <w:rPr>
          <w:sz w:val="24"/>
          <w:szCs w:val="24"/>
        </w:rPr>
      </w:pPr>
      <w:r w:rsidRPr="00D06ACD">
        <w:rPr>
          <w:sz w:val="24"/>
          <w:szCs w:val="24"/>
        </w:rPr>
        <w:t xml:space="preserve">The UK Carbon Border Adjustment Mechanism (CBAM) is one of the most significant measures affecting a construction procurement in recent years in the UK. The CBAM introduces a new economic principle: embedded carbon costs are legally binding and become a financial burden for companies importing </w:t>
      </w:r>
      <w:proofErr w:type="spellStart"/>
      <w:proofErr w:type="gramStart"/>
      <w:r w:rsidRPr="00D06ACD">
        <w:rPr>
          <w:sz w:val="24"/>
          <w:szCs w:val="24"/>
        </w:rPr>
        <w:t>materials.CBAM</w:t>
      </w:r>
      <w:proofErr w:type="spellEnd"/>
      <w:proofErr w:type="gramEnd"/>
      <w:r w:rsidRPr="00D06ACD">
        <w:rPr>
          <w:sz w:val="24"/>
          <w:szCs w:val="24"/>
        </w:rPr>
        <w:t xml:space="preserve"> introduces a new factor in the economics: embedded carbon costs are a legally binding financial liability imposed on companies that import materials. First those construction MNEs who take the lead in auditing their carbon footprint, rewriting their supply contracts and committing to domestic green material relationships before they are fully used will not only achieve compliance, </w:t>
      </w:r>
      <w:proofErr w:type="gramStart"/>
      <w:r w:rsidRPr="00D06ACD">
        <w:rPr>
          <w:sz w:val="24"/>
          <w:szCs w:val="24"/>
        </w:rPr>
        <w:t>they</w:t>
      </w:r>
      <w:proofErr w:type="gramEnd"/>
      <w:r w:rsidRPr="00D06ACD">
        <w:rPr>
          <w:sz w:val="24"/>
          <w:szCs w:val="24"/>
        </w:rPr>
        <w:t xml:space="preserve"> will also be the first to succeed. They will be at the forefront of a carbon efficient supply chain that ultimately all UK built environment will have to live in. This dissertation, comprising 15,000 words, has tried to prove, with scholarly authority, the need for that repositioning, what it entails and in what manner theory in the literature can aid in that. Knowing that it is not </w:t>
      </w:r>
      <w:proofErr w:type="gramStart"/>
      <w:r w:rsidRPr="00D06ACD">
        <w:rPr>
          <w:sz w:val="24"/>
          <w:szCs w:val="24"/>
        </w:rPr>
        <w:t>hypothetical, but</w:t>
      </w:r>
      <w:proofErr w:type="gramEnd"/>
      <w:r w:rsidRPr="00D06ACD">
        <w:rPr>
          <w:sz w:val="24"/>
          <w:szCs w:val="24"/>
        </w:rPr>
        <w:t xml:space="preserve"> is a job that </w:t>
      </w:r>
      <w:proofErr w:type="gramStart"/>
      <w:r w:rsidRPr="00D06ACD">
        <w:rPr>
          <w:sz w:val="24"/>
          <w:szCs w:val="24"/>
        </w:rPr>
        <w:t>has to</w:t>
      </w:r>
      <w:proofErr w:type="gramEnd"/>
      <w:r w:rsidRPr="00D06ACD">
        <w:rPr>
          <w:sz w:val="24"/>
          <w:szCs w:val="24"/>
        </w:rPr>
        <w:t xml:space="preserve"> get done – and soon – with 1 January 2027 looming, makes the practical implications of getting this right as important as the academic implications.</w:t>
      </w:r>
      <w:r w:rsidR="003A7791" w:rsidRPr="003A7791">
        <w:rPr>
          <w:sz w:val="24"/>
          <w:szCs w:val="24"/>
        </w:rPr>
        <w:br w:type="page"/>
      </w:r>
    </w:p>
    <w:p w14:paraId="43BE3566" w14:textId="77777777" w:rsidR="003A7791" w:rsidRPr="003A7791" w:rsidRDefault="003A7791" w:rsidP="003A7791">
      <w:pPr>
        <w:pStyle w:val="Heading1"/>
      </w:pPr>
      <w:bookmarkStart w:id="70" w:name="_Toc231599719"/>
      <w:r w:rsidRPr="003A7791">
        <w:lastRenderedPageBreak/>
        <w:t>References</w:t>
      </w:r>
      <w:bookmarkEnd w:id="70"/>
    </w:p>
    <w:p w14:paraId="33E50EDB"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Allwood, J., Dunant, C., Lupton, R. and </w:t>
      </w:r>
      <w:proofErr w:type="spellStart"/>
      <w:r w:rsidRPr="003A7791">
        <w:rPr>
          <w:rFonts w:eastAsia="SimSun"/>
          <w:color w:val="222222"/>
          <w:sz w:val="24"/>
          <w:szCs w:val="24"/>
          <w:shd w:val="clear" w:color="auto" w:fill="FFFFFF"/>
        </w:rPr>
        <w:t>Serrenho</w:t>
      </w:r>
      <w:proofErr w:type="spellEnd"/>
      <w:r w:rsidRPr="003A7791">
        <w:rPr>
          <w:rFonts w:eastAsia="SimSun"/>
          <w:color w:val="222222"/>
          <w:sz w:val="24"/>
          <w:szCs w:val="24"/>
          <w:shd w:val="clear" w:color="auto" w:fill="FFFFFF"/>
        </w:rPr>
        <w:t>, A., 2019. Steel Arising: Opportunities for the UK in a transforming global steel industry.</w:t>
      </w:r>
    </w:p>
    <w:p w14:paraId="7577C571"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Allwood, J.M., 2016. Sustainable materials. </w:t>
      </w:r>
      <w:r w:rsidRPr="003A7791">
        <w:rPr>
          <w:rFonts w:eastAsia="SimSun"/>
          <w:i/>
          <w:iCs/>
          <w:color w:val="222222"/>
          <w:sz w:val="24"/>
          <w:szCs w:val="24"/>
          <w:shd w:val="clear" w:color="auto" w:fill="FFFFFF"/>
        </w:rPr>
        <w:t>Nature Reviews Materials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w:t>
      </w:r>
      <w:r w:rsidRPr="003A7791">
        <w:rPr>
          <w:rFonts w:eastAsia="SimSun"/>
          <w:color w:val="222222"/>
          <w:sz w:val="24"/>
          <w:szCs w:val="24"/>
          <w:shd w:val="clear" w:color="auto" w:fill="FFFFFF"/>
        </w:rPr>
        <w:t>(1), pp.1-2.</w:t>
      </w:r>
    </w:p>
    <w:p w14:paraId="0EDE70BF"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Ambec</w:t>
      </w:r>
      <w:proofErr w:type="spellEnd"/>
      <w:r w:rsidRPr="003A7791">
        <w:rPr>
          <w:rFonts w:eastAsia="SimSun"/>
          <w:color w:val="222222"/>
          <w:sz w:val="24"/>
          <w:szCs w:val="24"/>
          <w:shd w:val="clear" w:color="auto" w:fill="FFFFFF"/>
        </w:rPr>
        <w:t xml:space="preserve">, S., Cohen, M.A., Elgie, S. and Lanoie, P., 2013. The Porter hypothesis at 20: can environmental regulation enhance innovation and </w:t>
      </w:r>
      <w:proofErr w:type="gramStart"/>
      <w:r w:rsidRPr="003A7791">
        <w:rPr>
          <w:rFonts w:eastAsia="SimSun"/>
          <w:color w:val="222222"/>
          <w:sz w:val="24"/>
          <w:szCs w:val="24"/>
          <w:shd w:val="clear" w:color="auto" w:fill="FFFFFF"/>
        </w:rPr>
        <w:t>competitiveness?.</w:t>
      </w:r>
      <w:proofErr w:type="gramEnd"/>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Review of environmental economics and policy</w:t>
      </w:r>
      <w:r w:rsidRPr="003A7791">
        <w:rPr>
          <w:rFonts w:eastAsia="SimSun"/>
          <w:color w:val="222222"/>
          <w:sz w:val="24"/>
          <w:szCs w:val="24"/>
          <w:shd w:val="clear" w:color="auto" w:fill="FFFFFF"/>
        </w:rPr>
        <w:t>.</w:t>
      </w:r>
    </w:p>
    <w:p w14:paraId="06980A0F"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Arogundade</w:t>
      </w:r>
      <w:proofErr w:type="spellEnd"/>
      <w:r w:rsidRPr="003A7791">
        <w:rPr>
          <w:rFonts w:eastAsia="SimSun"/>
          <w:color w:val="222222"/>
          <w:sz w:val="24"/>
          <w:szCs w:val="24"/>
          <w:shd w:val="clear" w:color="auto" w:fill="FFFFFF"/>
        </w:rPr>
        <w:t>, S., Dulaimi, M. and Ajayi, S., 2024. Exploring the challenges impeding construction process carbon reduction in the UK. </w:t>
      </w:r>
      <w:r w:rsidRPr="003A7791">
        <w:rPr>
          <w:rFonts w:eastAsia="SimSun"/>
          <w:i/>
          <w:iCs/>
          <w:color w:val="222222"/>
          <w:sz w:val="24"/>
          <w:szCs w:val="24"/>
          <w:shd w:val="clear" w:color="auto" w:fill="FFFFFF"/>
        </w:rPr>
        <w:t>International Journal of Construction Management</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24</w:t>
      </w:r>
      <w:r w:rsidRPr="003A7791">
        <w:rPr>
          <w:rFonts w:eastAsia="SimSun"/>
          <w:color w:val="222222"/>
          <w:sz w:val="24"/>
          <w:szCs w:val="24"/>
          <w:shd w:val="clear" w:color="auto" w:fill="FFFFFF"/>
        </w:rPr>
        <w:t>(4), pp.422-431.</w:t>
      </w:r>
    </w:p>
    <w:p w14:paraId="11C69D8B" w14:textId="77777777" w:rsidR="00876E72" w:rsidRPr="003A7791" w:rsidRDefault="00876E72" w:rsidP="003A7791">
      <w:pPr>
        <w:spacing w:before="120" w:after="120" w:line="360" w:lineRule="auto"/>
        <w:ind w:left="720" w:hanging="720"/>
        <w:rPr>
          <w:sz w:val="24"/>
          <w:szCs w:val="24"/>
        </w:rPr>
      </w:pPr>
      <w:r w:rsidRPr="003A7791">
        <w:rPr>
          <w:sz w:val="24"/>
          <w:szCs w:val="24"/>
        </w:rPr>
        <w:t>BEIS (2021) Industrial decarbonisation strategy. London: Department for Business, Energy and Industrial Strategy.</w:t>
      </w:r>
      <w:r w:rsidRPr="003A7791">
        <w:rPr>
          <w:sz w:val="24"/>
          <w:szCs w:val="24"/>
          <w:lang w:val="en-US"/>
        </w:rPr>
        <w:t xml:space="preserve"> </w:t>
      </w:r>
      <w:hyperlink r:id="rId10" w:history="1">
        <w:r w:rsidRPr="003A7791">
          <w:rPr>
            <w:rStyle w:val="Hyperlink"/>
            <w:sz w:val="24"/>
            <w:szCs w:val="24"/>
            <w:lang w:val="en-US"/>
          </w:rPr>
          <w:t>https://assets.publishing.service.gov.uk/media/6051cd04e90e07527f645f1e/Industrial_Decarbonisation_Strategy_March_2021.pdf</w:t>
        </w:r>
      </w:hyperlink>
      <w:r w:rsidRPr="003A7791">
        <w:rPr>
          <w:sz w:val="24"/>
          <w:szCs w:val="24"/>
          <w:lang w:val="en-US"/>
        </w:rPr>
        <w:t xml:space="preserve"> </w:t>
      </w:r>
    </w:p>
    <w:p w14:paraId="0B96AAE7" w14:textId="77777777" w:rsidR="00876E72" w:rsidRPr="003A7791" w:rsidRDefault="00876E72" w:rsidP="003A7791">
      <w:pPr>
        <w:spacing w:before="120" w:after="120" w:line="360" w:lineRule="auto"/>
        <w:ind w:left="720" w:hanging="720"/>
        <w:rPr>
          <w:sz w:val="24"/>
          <w:szCs w:val="24"/>
        </w:rPr>
      </w:pPr>
      <w:r w:rsidRPr="003A7791">
        <w:rPr>
          <w:sz w:val="24"/>
          <w:szCs w:val="24"/>
        </w:rPr>
        <w:t>BEIS (2023) UK construction sector material flows. London: Department for Business, Energy and Industrial Strategy.</w:t>
      </w:r>
      <w:r w:rsidRPr="003A7791">
        <w:rPr>
          <w:sz w:val="24"/>
          <w:szCs w:val="24"/>
          <w:lang w:val="en-US"/>
        </w:rPr>
        <w:t xml:space="preserve"> </w:t>
      </w:r>
      <w:hyperlink r:id="rId11" w:history="1">
        <w:r w:rsidRPr="003A7791">
          <w:rPr>
            <w:rStyle w:val="Hyperlink"/>
            <w:sz w:val="24"/>
            <w:szCs w:val="24"/>
            <w:lang w:val="en-US"/>
          </w:rPr>
          <w:t>https://assets.publishing.service.gov.uk/media/63e13a4ad3bf7f172b673738/23-cs2-_Construction_Building_Materials_-_Commentary_January_2023.pdf</w:t>
        </w:r>
      </w:hyperlink>
      <w:r w:rsidRPr="003A7791">
        <w:rPr>
          <w:sz w:val="24"/>
          <w:szCs w:val="24"/>
          <w:lang w:val="en-US"/>
        </w:rPr>
        <w:t xml:space="preserve"> </w:t>
      </w:r>
    </w:p>
    <w:p w14:paraId="2E270562"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Bellora, C. and </w:t>
      </w:r>
      <w:proofErr w:type="spellStart"/>
      <w:r w:rsidRPr="003A7791">
        <w:rPr>
          <w:rFonts w:eastAsia="SimSun"/>
          <w:color w:val="222222"/>
          <w:sz w:val="24"/>
          <w:szCs w:val="24"/>
          <w:shd w:val="clear" w:color="auto" w:fill="FFFFFF"/>
        </w:rPr>
        <w:t>Fontagné</w:t>
      </w:r>
      <w:proofErr w:type="spellEnd"/>
      <w:r w:rsidRPr="003A7791">
        <w:rPr>
          <w:rFonts w:eastAsia="SimSun"/>
          <w:color w:val="222222"/>
          <w:sz w:val="24"/>
          <w:szCs w:val="24"/>
          <w:shd w:val="clear" w:color="auto" w:fill="FFFFFF"/>
        </w:rPr>
        <w:t>, L., 2023. EU in search of a Carbon Border Adjustment Mechanism. </w:t>
      </w:r>
      <w:r w:rsidRPr="003A7791">
        <w:rPr>
          <w:rFonts w:eastAsia="SimSun"/>
          <w:i/>
          <w:iCs/>
          <w:color w:val="222222"/>
          <w:sz w:val="24"/>
          <w:szCs w:val="24"/>
          <w:shd w:val="clear" w:color="auto" w:fill="FFFFFF"/>
        </w:rPr>
        <w:t>Energy Economics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123</w:t>
      </w:r>
      <w:r w:rsidRPr="003A7791">
        <w:rPr>
          <w:rFonts w:eastAsia="SimSun"/>
          <w:color w:val="222222"/>
          <w:sz w:val="24"/>
          <w:szCs w:val="24"/>
          <w:shd w:val="clear" w:color="auto" w:fill="FFFFFF"/>
        </w:rPr>
        <w:t>, p.106673.</w:t>
      </w:r>
    </w:p>
    <w:p w14:paraId="2A06538D"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Bird, R.C. and Park, S.K., 2016. Turning corporate compliance into competitive advantage. </w:t>
      </w:r>
      <w:r w:rsidRPr="003A7791">
        <w:rPr>
          <w:rFonts w:eastAsia="SimSun"/>
          <w:i/>
          <w:iCs/>
          <w:color w:val="222222"/>
          <w:sz w:val="24"/>
          <w:szCs w:val="24"/>
          <w:shd w:val="clear" w:color="auto" w:fill="FFFFFF"/>
        </w:rPr>
        <w:t>U. Pa. J. Bus. L.</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19</w:t>
      </w:r>
      <w:r w:rsidRPr="003A7791">
        <w:rPr>
          <w:rFonts w:eastAsia="SimSun"/>
          <w:color w:val="222222"/>
          <w:sz w:val="24"/>
          <w:szCs w:val="24"/>
          <w:shd w:val="clear" w:color="auto" w:fill="FFFFFF"/>
        </w:rPr>
        <w:t>, p.285.</w:t>
      </w:r>
    </w:p>
    <w:p w14:paraId="4FBFFE9F" w14:textId="77777777" w:rsidR="00876E72" w:rsidRPr="003A7791" w:rsidRDefault="00876E72" w:rsidP="003A7791">
      <w:pPr>
        <w:spacing w:before="120" w:after="120" w:line="360" w:lineRule="auto"/>
        <w:ind w:left="720" w:hanging="720"/>
        <w:rPr>
          <w:sz w:val="24"/>
          <w:szCs w:val="24"/>
        </w:rPr>
      </w:pPr>
      <w:r w:rsidRPr="003A7791">
        <w:rPr>
          <w:sz w:val="24"/>
          <w:szCs w:val="24"/>
        </w:rPr>
        <w:t>Boston Consulting Group (2024) CBAM one year on: how EU importers are responding. Brussels: BCG.</w:t>
      </w:r>
      <w:r w:rsidRPr="003A7791">
        <w:rPr>
          <w:sz w:val="24"/>
          <w:szCs w:val="24"/>
          <w:lang w:val="en-US"/>
        </w:rPr>
        <w:t xml:space="preserve"> </w:t>
      </w:r>
      <w:hyperlink r:id="rId12" w:history="1">
        <w:r w:rsidRPr="003A7791">
          <w:rPr>
            <w:rStyle w:val="Hyperlink"/>
            <w:sz w:val="24"/>
            <w:szCs w:val="24"/>
            <w:lang w:val="en-US"/>
          </w:rPr>
          <w:t>https://www.bcg.com/publications/2023/how-cbam-will-reshape-the-global-trading-system</w:t>
        </w:r>
      </w:hyperlink>
      <w:r w:rsidRPr="003A7791">
        <w:rPr>
          <w:sz w:val="24"/>
          <w:szCs w:val="24"/>
          <w:lang w:val="en-US"/>
        </w:rPr>
        <w:t xml:space="preserve"> </w:t>
      </w:r>
    </w:p>
    <w:p w14:paraId="1397EEA9"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Branger, F. and Quirion, P., 2014. Would border carbon adjustments prevent carbon leakage and heavy industry competitiveness losses? Insights from a meta-analysis of recent economic studies. </w:t>
      </w:r>
      <w:r w:rsidRPr="003A7791">
        <w:rPr>
          <w:rFonts w:eastAsia="SimSun"/>
          <w:i/>
          <w:iCs/>
          <w:color w:val="222222"/>
          <w:sz w:val="24"/>
          <w:szCs w:val="24"/>
          <w:shd w:val="clear" w:color="auto" w:fill="FFFFFF"/>
        </w:rPr>
        <w:t>Ecological Economics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99</w:t>
      </w:r>
      <w:r w:rsidRPr="003A7791">
        <w:rPr>
          <w:rFonts w:eastAsia="SimSun"/>
          <w:color w:val="222222"/>
          <w:sz w:val="24"/>
          <w:szCs w:val="24"/>
          <w:shd w:val="clear" w:color="auto" w:fill="FFFFFF"/>
        </w:rPr>
        <w:t>, pp.29-39.</w:t>
      </w:r>
    </w:p>
    <w:p w14:paraId="46AB7527"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Braun, V. and Clarke, V., 2006. Using thematic analysis in psychology. </w:t>
      </w:r>
      <w:r w:rsidRPr="003A7791">
        <w:rPr>
          <w:rFonts w:eastAsia="SimSun"/>
          <w:i/>
          <w:iCs/>
          <w:color w:val="222222"/>
          <w:sz w:val="24"/>
          <w:szCs w:val="24"/>
          <w:shd w:val="clear" w:color="auto" w:fill="FFFFFF"/>
        </w:rPr>
        <w:t>Qualitative research in psychology</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3</w:t>
      </w:r>
      <w:r w:rsidRPr="003A7791">
        <w:rPr>
          <w:rFonts w:eastAsia="SimSun"/>
          <w:color w:val="222222"/>
          <w:sz w:val="24"/>
          <w:szCs w:val="24"/>
          <w:shd w:val="clear" w:color="auto" w:fill="FFFFFF"/>
        </w:rPr>
        <w:t>(2), pp.77-101.</w:t>
      </w:r>
    </w:p>
    <w:p w14:paraId="3ABA3601"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lastRenderedPageBreak/>
        <w:t xml:space="preserve">Bryman, A. and Bell, E., 2015. Business Research Methods, 4th </w:t>
      </w:r>
      <w:proofErr w:type="spellStart"/>
      <w:r w:rsidRPr="003A7791">
        <w:rPr>
          <w:rFonts w:eastAsia="SimSun"/>
          <w:color w:val="222222"/>
          <w:sz w:val="24"/>
          <w:szCs w:val="24"/>
          <w:shd w:val="clear" w:color="auto" w:fill="FFFFFF"/>
        </w:rPr>
        <w:t>Edn</w:t>
      </w:r>
      <w:proofErr w:type="spellEnd"/>
      <w:r w:rsidRPr="003A7791">
        <w:rPr>
          <w:rFonts w:eastAsia="SimSun"/>
          <w:color w:val="222222"/>
          <w:sz w:val="24"/>
          <w:szCs w:val="24"/>
          <w:shd w:val="clear" w:color="auto" w:fill="FFFFFF"/>
        </w:rPr>
        <w:t xml:space="preserve"> Oxford: Oxford University </w:t>
      </w:r>
      <w:proofErr w:type="gramStart"/>
      <w:r w:rsidRPr="003A7791">
        <w:rPr>
          <w:rFonts w:eastAsia="SimSun"/>
          <w:color w:val="222222"/>
          <w:sz w:val="24"/>
          <w:szCs w:val="24"/>
          <w:shd w:val="clear" w:color="auto" w:fill="FFFFFF"/>
        </w:rPr>
        <w:t>Press.[</w:t>
      </w:r>
      <w:proofErr w:type="gramEnd"/>
      <w:r w:rsidRPr="003A7791">
        <w:rPr>
          <w:rFonts w:eastAsia="SimSun"/>
          <w:color w:val="222222"/>
          <w:sz w:val="24"/>
          <w:szCs w:val="24"/>
          <w:shd w:val="clear" w:color="auto" w:fill="FFFFFF"/>
        </w:rPr>
        <w:t>Google Scholar].</w:t>
      </w:r>
    </w:p>
    <w:p w14:paraId="14B6A03A" w14:textId="77777777" w:rsidR="00876E72" w:rsidRPr="003A7791" w:rsidRDefault="00876E72" w:rsidP="003A7791">
      <w:pPr>
        <w:spacing w:before="120" w:after="120" w:line="360" w:lineRule="auto"/>
        <w:ind w:left="720" w:hanging="720"/>
        <w:rPr>
          <w:sz w:val="24"/>
          <w:szCs w:val="24"/>
        </w:rPr>
      </w:pPr>
      <w:r w:rsidRPr="003A7791">
        <w:rPr>
          <w:sz w:val="24"/>
          <w:szCs w:val="24"/>
        </w:rPr>
        <w:t>Carbon Tracker (2024) UK CBAM: cost implications for carbon-intensive importers. London: Carbon Tracker Initiative.</w:t>
      </w:r>
      <w:r w:rsidRPr="003A7791">
        <w:rPr>
          <w:sz w:val="24"/>
          <w:szCs w:val="24"/>
          <w:lang w:val="en-US"/>
        </w:rPr>
        <w:t xml:space="preserve"> </w:t>
      </w:r>
      <w:hyperlink r:id="rId13" w:history="1">
        <w:r w:rsidRPr="003A7791">
          <w:rPr>
            <w:rStyle w:val="Hyperlink"/>
            <w:sz w:val="24"/>
            <w:szCs w:val="24"/>
            <w:lang w:val="en-US"/>
          </w:rPr>
          <w:t>https://carbontracker.org/</w:t>
        </w:r>
      </w:hyperlink>
      <w:r w:rsidRPr="003A7791">
        <w:rPr>
          <w:sz w:val="24"/>
          <w:szCs w:val="24"/>
          <w:lang w:val="en-US"/>
        </w:rPr>
        <w:t xml:space="preserve"> </w:t>
      </w:r>
    </w:p>
    <w:p w14:paraId="3D2D9F12"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Colicchia</w:t>
      </w:r>
      <w:proofErr w:type="spellEnd"/>
      <w:r w:rsidRPr="003A7791">
        <w:rPr>
          <w:rFonts w:eastAsia="SimSun"/>
          <w:color w:val="222222"/>
          <w:sz w:val="24"/>
          <w:szCs w:val="24"/>
          <w:shd w:val="clear" w:color="auto" w:fill="FFFFFF"/>
        </w:rPr>
        <w:t xml:space="preserve">, C., </w:t>
      </w:r>
      <w:proofErr w:type="spellStart"/>
      <w:r w:rsidRPr="003A7791">
        <w:rPr>
          <w:rFonts w:eastAsia="SimSun"/>
          <w:color w:val="222222"/>
          <w:sz w:val="24"/>
          <w:szCs w:val="24"/>
          <w:shd w:val="clear" w:color="auto" w:fill="FFFFFF"/>
        </w:rPr>
        <w:t>Creazza</w:t>
      </w:r>
      <w:proofErr w:type="spellEnd"/>
      <w:r w:rsidRPr="003A7791">
        <w:rPr>
          <w:rFonts w:eastAsia="SimSun"/>
          <w:color w:val="222222"/>
          <w:sz w:val="24"/>
          <w:szCs w:val="24"/>
          <w:shd w:val="clear" w:color="auto" w:fill="FFFFFF"/>
        </w:rPr>
        <w:t xml:space="preserve">, A. and </w:t>
      </w:r>
      <w:proofErr w:type="spellStart"/>
      <w:r w:rsidRPr="003A7791">
        <w:rPr>
          <w:rFonts w:eastAsia="SimSun"/>
          <w:color w:val="222222"/>
          <w:sz w:val="24"/>
          <w:szCs w:val="24"/>
          <w:shd w:val="clear" w:color="auto" w:fill="FFFFFF"/>
        </w:rPr>
        <w:t>Menachof</w:t>
      </w:r>
      <w:proofErr w:type="spellEnd"/>
      <w:r w:rsidRPr="003A7791">
        <w:rPr>
          <w:rFonts w:eastAsia="SimSun"/>
          <w:color w:val="222222"/>
          <w:sz w:val="24"/>
          <w:szCs w:val="24"/>
          <w:shd w:val="clear" w:color="auto" w:fill="FFFFFF"/>
        </w:rPr>
        <w:t>, D.A., 2019. Managing cyber and information risks in supply chains: insights from an exploratory analysis. </w:t>
      </w:r>
      <w:r w:rsidRPr="003A7791">
        <w:rPr>
          <w:rFonts w:eastAsia="SimSun"/>
          <w:i/>
          <w:iCs/>
          <w:color w:val="222222"/>
          <w:sz w:val="24"/>
          <w:szCs w:val="24"/>
          <w:shd w:val="clear" w:color="auto" w:fill="FFFFFF"/>
        </w:rPr>
        <w:t>Supply Chain Management: An International Journal</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24</w:t>
      </w:r>
      <w:r w:rsidRPr="003A7791">
        <w:rPr>
          <w:rFonts w:eastAsia="SimSun"/>
          <w:color w:val="222222"/>
          <w:sz w:val="24"/>
          <w:szCs w:val="24"/>
          <w:shd w:val="clear" w:color="auto" w:fill="FFFFFF"/>
        </w:rPr>
        <w:t>(2), pp.215-240.</w:t>
      </w:r>
    </w:p>
    <w:p w14:paraId="1A3C52C1" w14:textId="77777777" w:rsidR="00876E72" w:rsidRPr="003A7791" w:rsidRDefault="00876E72" w:rsidP="003A7791">
      <w:pPr>
        <w:spacing w:before="120" w:after="120" w:line="360" w:lineRule="auto"/>
        <w:ind w:left="720" w:hanging="720"/>
        <w:rPr>
          <w:sz w:val="24"/>
          <w:szCs w:val="24"/>
        </w:rPr>
      </w:pPr>
      <w:r w:rsidRPr="003A7791">
        <w:rPr>
          <w:sz w:val="24"/>
          <w:szCs w:val="24"/>
        </w:rPr>
        <w:t>Construction Leadership Council (2023) UK construction materials supply chain review. London: CLC.</w:t>
      </w:r>
      <w:r w:rsidRPr="003A7791">
        <w:rPr>
          <w:sz w:val="24"/>
          <w:szCs w:val="24"/>
          <w:lang w:val="en-US"/>
        </w:rPr>
        <w:t xml:space="preserve"> </w:t>
      </w:r>
      <w:hyperlink r:id="rId14" w:history="1">
        <w:r w:rsidRPr="003A7791">
          <w:rPr>
            <w:rStyle w:val="Hyperlink"/>
            <w:sz w:val="24"/>
            <w:szCs w:val="24"/>
            <w:lang w:val="en-US"/>
          </w:rPr>
          <w:t>https://www.constructionleadershipcouncil.co.uk/wp-content/uploads/2024/03/CLC-Bi_Annual-Review_V3a.pdf</w:t>
        </w:r>
      </w:hyperlink>
      <w:r w:rsidRPr="003A7791">
        <w:rPr>
          <w:sz w:val="24"/>
          <w:szCs w:val="24"/>
          <w:lang w:val="en-US"/>
        </w:rPr>
        <w:t xml:space="preserve"> </w:t>
      </w:r>
    </w:p>
    <w:p w14:paraId="173F6818"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Cosbey, A., Droege, S., Fischer, C. and Munnings, C., 2019. Developing guidance for implementing border carbon adjustments: lessons, cautions, and research needs from the literature. </w:t>
      </w:r>
      <w:r w:rsidRPr="003A7791">
        <w:rPr>
          <w:rFonts w:eastAsia="SimSun"/>
          <w:i/>
          <w:iCs/>
          <w:color w:val="222222"/>
          <w:sz w:val="24"/>
          <w:szCs w:val="24"/>
          <w:shd w:val="clear" w:color="auto" w:fill="FFFFFF"/>
        </w:rPr>
        <w:t>Review of Environmental Economics and Policy</w:t>
      </w:r>
      <w:r w:rsidRPr="003A7791">
        <w:rPr>
          <w:rFonts w:eastAsia="SimSun"/>
          <w:color w:val="222222"/>
          <w:sz w:val="24"/>
          <w:szCs w:val="24"/>
          <w:shd w:val="clear" w:color="auto" w:fill="FFFFFF"/>
        </w:rPr>
        <w:t>.</w:t>
      </w:r>
    </w:p>
    <w:p w14:paraId="76891A1C"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Dainty, A.R., Millett, S.J. and Briscoe, G.H., 2001. New perspectives on construction supply chain integration. </w:t>
      </w:r>
      <w:r w:rsidRPr="003A7791">
        <w:rPr>
          <w:rFonts w:eastAsia="SimSun"/>
          <w:i/>
          <w:iCs/>
          <w:color w:val="222222"/>
          <w:sz w:val="24"/>
          <w:szCs w:val="24"/>
          <w:shd w:val="clear" w:color="auto" w:fill="FFFFFF"/>
        </w:rPr>
        <w:t>Supply chain management: An international journal</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6</w:t>
      </w:r>
      <w:r w:rsidRPr="003A7791">
        <w:rPr>
          <w:rFonts w:eastAsia="SimSun"/>
          <w:color w:val="222222"/>
          <w:sz w:val="24"/>
          <w:szCs w:val="24"/>
          <w:shd w:val="clear" w:color="auto" w:fill="FFFFFF"/>
        </w:rPr>
        <w:t>(4), pp.163-173.</w:t>
      </w:r>
    </w:p>
    <w:p w14:paraId="04BBA9A0"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De Wolf, C., Pomponi, F. and </w:t>
      </w:r>
      <w:proofErr w:type="spellStart"/>
      <w:r w:rsidRPr="003A7791">
        <w:rPr>
          <w:rFonts w:eastAsia="SimSun"/>
          <w:color w:val="222222"/>
          <w:sz w:val="24"/>
          <w:szCs w:val="24"/>
          <w:shd w:val="clear" w:color="auto" w:fill="FFFFFF"/>
        </w:rPr>
        <w:t>Moncaster</w:t>
      </w:r>
      <w:proofErr w:type="spellEnd"/>
      <w:r w:rsidRPr="003A7791">
        <w:rPr>
          <w:rFonts w:eastAsia="SimSun"/>
          <w:color w:val="222222"/>
          <w:sz w:val="24"/>
          <w:szCs w:val="24"/>
          <w:shd w:val="clear" w:color="auto" w:fill="FFFFFF"/>
        </w:rPr>
        <w:t>, A., 2017. Measuring embodied carbon dioxide equivalent of buildings: A review and critique of current industry practice. </w:t>
      </w:r>
      <w:r w:rsidRPr="003A7791">
        <w:rPr>
          <w:rFonts w:eastAsia="SimSun"/>
          <w:i/>
          <w:iCs/>
          <w:color w:val="222222"/>
          <w:sz w:val="24"/>
          <w:szCs w:val="24"/>
          <w:shd w:val="clear" w:color="auto" w:fill="FFFFFF"/>
        </w:rPr>
        <w:t>Energy and buildings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140</w:t>
      </w:r>
      <w:r w:rsidRPr="003A7791">
        <w:rPr>
          <w:rFonts w:eastAsia="SimSun"/>
          <w:color w:val="222222"/>
          <w:sz w:val="24"/>
          <w:szCs w:val="24"/>
          <w:shd w:val="clear" w:color="auto" w:fill="FFFFFF"/>
        </w:rPr>
        <w:t>, pp.68-80.</w:t>
      </w:r>
    </w:p>
    <w:p w14:paraId="2E66FF92"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Dechezleprêtre</w:t>
      </w:r>
      <w:proofErr w:type="spellEnd"/>
      <w:r w:rsidRPr="003A7791">
        <w:rPr>
          <w:rFonts w:eastAsia="SimSun"/>
          <w:color w:val="222222"/>
          <w:sz w:val="24"/>
          <w:szCs w:val="24"/>
          <w:shd w:val="clear" w:color="auto" w:fill="FFFFFF"/>
        </w:rPr>
        <w:t xml:space="preserve">, A., </w:t>
      </w:r>
      <w:proofErr w:type="spellStart"/>
      <w:r w:rsidRPr="003A7791">
        <w:rPr>
          <w:rFonts w:eastAsia="SimSun"/>
          <w:color w:val="222222"/>
          <w:sz w:val="24"/>
          <w:szCs w:val="24"/>
          <w:shd w:val="clear" w:color="auto" w:fill="FFFFFF"/>
        </w:rPr>
        <w:t>Haramboure</w:t>
      </w:r>
      <w:proofErr w:type="spellEnd"/>
      <w:r w:rsidRPr="003A7791">
        <w:rPr>
          <w:rFonts w:eastAsia="SimSun"/>
          <w:color w:val="222222"/>
          <w:sz w:val="24"/>
          <w:szCs w:val="24"/>
          <w:shd w:val="clear" w:color="auto" w:fill="FFFFFF"/>
        </w:rPr>
        <w:t>, A., Kögel, C., Lalanne, G. and Yamano, N., 2025. Carbon Border Adjustments: The potential effects of the EU CBAM along the supply chain. </w:t>
      </w:r>
      <w:r w:rsidRPr="003A7791">
        <w:rPr>
          <w:rFonts w:eastAsia="SimSun"/>
          <w:i/>
          <w:iCs/>
          <w:color w:val="222222"/>
          <w:sz w:val="24"/>
          <w:szCs w:val="24"/>
          <w:shd w:val="clear" w:color="auto" w:fill="FFFFFF"/>
        </w:rPr>
        <w:t>OECD Science, Technology and Industry Working Papers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2025</w:t>
      </w:r>
      <w:r w:rsidRPr="003A7791">
        <w:rPr>
          <w:rFonts w:eastAsia="SimSun"/>
          <w:color w:val="222222"/>
          <w:sz w:val="24"/>
          <w:szCs w:val="24"/>
          <w:shd w:val="clear" w:color="auto" w:fill="FFFFFF"/>
        </w:rPr>
        <w:t>(02).</w:t>
      </w:r>
    </w:p>
    <w:p w14:paraId="40675077" w14:textId="77777777" w:rsidR="00876E72" w:rsidRPr="003A7791" w:rsidRDefault="00876E72" w:rsidP="003A7791">
      <w:pPr>
        <w:spacing w:before="120" w:after="120" w:line="360" w:lineRule="auto"/>
        <w:ind w:left="720" w:hanging="720"/>
        <w:rPr>
          <w:sz w:val="24"/>
          <w:szCs w:val="24"/>
        </w:rPr>
      </w:pPr>
      <w:r w:rsidRPr="003A7791">
        <w:rPr>
          <w:sz w:val="24"/>
          <w:szCs w:val="24"/>
        </w:rPr>
        <w:t>DEFRA (2023) Greening government commitments 2021–2025. London: Department for Environment, Food and Rural Affairs.</w:t>
      </w:r>
      <w:r w:rsidRPr="003A7791">
        <w:rPr>
          <w:sz w:val="24"/>
          <w:szCs w:val="24"/>
          <w:lang w:val="en-US"/>
        </w:rPr>
        <w:t xml:space="preserve"> </w:t>
      </w:r>
      <w:hyperlink r:id="rId15" w:history="1">
        <w:r w:rsidRPr="003A7791">
          <w:rPr>
            <w:rStyle w:val="Hyperlink"/>
            <w:sz w:val="24"/>
            <w:szCs w:val="24"/>
            <w:lang w:val="en-US"/>
          </w:rPr>
          <w:t>https://www.gov.uk/government/publications/greening-government-commitments-2021-to-2025/greening-government-commitments-2021-to-2025</w:t>
        </w:r>
      </w:hyperlink>
      <w:r w:rsidRPr="003A7791">
        <w:rPr>
          <w:sz w:val="24"/>
          <w:szCs w:val="24"/>
          <w:lang w:val="en-US"/>
        </w:rPr>
        <w:t xml:space="preserve"> </w:t>
      </w:r>
    </w:p>
    <w:p w14:paraId="5686C98F"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Delmas, M.A. and Toffel, M.W., 2008. Organizational responses to environmental demands: Opening the black box. </w:t>
      </w:r>
      <w:r w:rsidRPr="003A7791">
        <w:rPr>
          <w:rFonts w:eastAsia="SimSun"/>
          <w:i/>
          <w:iCs/>
          <w:color w:val="222222"/>
          <w:sz w:val="24"/>
          <w:szCs w:val="24"/>
          <w:shd w:val="clear" w:color="auto" w:fill="FFFFFF"/>
        </w:rPr>
        <w:t>Strategic management journal</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29</w:t>
      </w:r>
      <w:r w:rsidRPr="003A7791">
        <w:rPr>
          <w:rFonts w:eastAsia="SimSun"/>
          <w:color w:val="222222"/>
          <w:sz w:val="24"/>
          <w:szCs w:val="24"/>
          <w:shd w:val="clear" w:color="auto" w:fill="FFFFFF"/>
        </w:rPr>
        <w:t>(10), pp.1027-1055.</w:t>
      </w:r>
    </w:p>
    <w:p w14:paraId="0BEF551C" w14:textId="77777777" w:rsidR="00876E72" w:rsidRPr="003A7791" w:rsidRDefault="00876E72" w:rsidP="003A7791">
      <w:pPr>
        <w:spacing w:before="120" w:after="120" w:line="360" w:lineRule="auto"/>
        <w:ind w:left="720" w:hanging="720"/>
        <w:rPr>
          <w:sz w:val="24"/>
          <w:szCs w:val="24"/>
        </w:rPr>
      </w:pPr>
      <w:r w:rsidRPr="003A7791">
        <w:rPr>
          <w:sz w:val="24"/>
          <w:szCs w:val="24"/>
        </w:rPr>
        <w:lastRenderedPageBreak/>
        <w:t>Deloitte (2024) Decarbonising steel through supply chain collaboration. London: Deloitte.</w:t>
      </w:r>
      <w:r w:rsidRPr="003A7791">
        <w:rPr>
          <w:sz w:val="24"/>
          <w:szCs w:val="24"/>
          <w:lang w:val="en-US"/>
        </w:rPr>
        <w:t xml:space="preserve"> </w:t>
      </w:r>
      <w:hyperlink r:id="rId16" w:history="1">
        <w:r w:rsidRPr="003A7791">
          <w:rPr>
            <w:rStyle w:val="Hyperlink"/>
            <w:sz w:val="24"/>
            <w:szCs w:val="24"/>
            <w:lang w:val="en-US"/>
          </w:rPr>
          <w:t>https://www.deloitte.com/global/en/industries/energy/perspectives/decarbonizing-the-steel-value-chain.html</w:t>
        </w:r>
      </w:hyperlink>
      <w:r w:rsidRPr="003A7791">
        <w:rPr>
          <w:sz w:val="24"/>
          <w:szCs w:val="24"/>
          <w:lang w:val="en-US"/>
        </w:rPr>
        <w:t xml:space="preserve"> </w:t>
      </w:r>
    </w:p>
    <w:p w14:paraId="77A0C4B2" w14:textId="77777777" w:rsidR="00876E72" w:rsidRPr="003A7791" w:rsidRDefault="00876E72" w:rsidP="003A7791">
      <w:pPr>
        <w:spacing w:before="120" w:after="120" w:line="360" w:lineRule="auto"/>
        <w:ind w:left="720" w:hanging="720"/>
        <w:rPr>
          <w:sz w:val="24"/>
          <w:szCs w:val="24"/>
        </w:rPr>
      </w:pPr>
      <w:r w:rsidRPr="003A7791">
        <w:rPr>
          <w:sz w:val="24"/>
          <w:szCs w:val="24"/>
        </w:rPr>
        <w:t>Deloitte (2024) UK construction industry financial performance review 2024. London: Deloitte.</w:t>
      </w:r>
      <w:r w:rsidRPr="003A7791">
        <w:rPr>
          <w:sz w:val="24"/>
          <w:szCs w:val="24"/>
          <w:lang w:val="en-US"/>
        </w:rPr>
        <w:t xml:space="preserve"> </w:t>
      </w:r>
      <w:hyperlink r:id="rId17" w:history="1">
        <w:r w:rsidRPr="003A7791">
          <w:rPr>
            <w:rStyle w:val="Hyperlink"/>
            <w:sz w:val="24"/>
            <w:szCs w:val="24"/>
            <w:lang w:val="en-US"/>
          </w:rPr>
          <w:t>https://www.deloitte.com/uk/en/about/governance/annual-review-2024.html</w:t>
        </w:r>
      </w:hyperlink>
      <w:r w:rsidRPr="003A7791">
        <w:rPr>
          <w:sz w:val="24"/>
          <w:szCs w:val="24"/>
          <w:lang w:val="en-US"/>
        </w:rPr>
        <w:t xml:space="preserve"> </w:t>
      </w:r>
    </w:p>
    <w:p w14:paraId="6DA6E356" w14:textId="77777777" w:rsidR="00876E72" w:rsidRPr="003A7791" w:rsidRDefault="00876E72" w:rsidP="003A7791">
      <w:pPr>
        <w:spacing w:before="120" w:after="120" w:line="360" w:lineRule="auto"/>
        <w:ind w:left="720" w:hanging="720"/>
        <w:rPr>
          <w:sz w:val="24"/>
          <w:szCs w:val="24"/>
        </w:rPr>
      </w:pPr>
      <w:r w:rsidRPr="003A7791">
        <w:rPr>
          <w:sz w:val="24"/>
          <w:szCs w:val="24"/>
        </w:rPr>
        <w:t>DESNZ (2024) UK ETS market report Q4 2024. London: Department for Energy Security and Net Zero.</w:t>
      </w:r>
      <w:r w:rsidRPr="003A7791">
        <w:rPr>
          <w:sz w:val="24"/>
          <w:szCs w:val="24"/>
          <w:lang w:val="en-US"/>
        </w:rPr>
        <w:t xml:space="preserve"> </w:t>
      </w:r>
      <w:hyperlink r:id="rId18" w:history="1">
        <w:r w:rsidRPr="003A7791">
          <w:rPr>
            <w:rStyle w:val="Hyperlink"/>
            <w:sz w:val="24"/>
            <w:szCs w:val="24"/>
            <w:lang w:val="en-US"/>
          </w:rPr>
          <w:t>https://assets.publishing.service.gov.uk/media/68c449597596dbfa052bff4a/desnz-annual-report-and-accounts-2024-2025-print-ready.pdf</w:t>
        </w:r>
      </w:hyperlink>
      <w:r w:rsidRPr="003A7791">
        <w:rPr>
          <w:sz w:val="24"/>
          <w:szCs w:val="24"/>
          <w:lang w:val="en-US"/>
        </w:rPr>
        <w:t xml:space="preserve"> </w:t>
      </w:r>
    </w:p>
    <w:p w14:paraId="366C520E"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DiMaggio, P.J. and Powell, W.W., 1983. The iron cage revisited: Institutional isomorphism and collective rationality in organizational fields. </w:t>
      </w:r>
      <w:r w:rsidRPr="003A7791">
        <w:rPr>
          <w:rFonts w:eastAsia="SimSun"/>
          <w:i/>
          <w:iCs/>
          <w:color w:val="222222"/>
          <w:sz w:val="24"/>
          <w:szCs w:val="24"/>
          <w:shd w:val="clear" w:color="auto" w:fill="FFFFFF"/>
        </w:rPr>
        <w:t>American sociological review</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48</w:t>
      </w:r>
      <w:r w:rsidRPr="003A7791">
        <w:rPr>
          <w:rFonts w:eastAsia="SimSun"/>
          <w:color w:val="222222"/>
          <w:sz w:val="24"/>
          <w:szCs w:val="24"/>
          <w:shd w:val="clear" w:color="auto" w:fill="FFFFFF"/>
        </w:rPr>
        <w:t>(2), pp.147-160.</w:t>
      </w:r>
    </w:p>
    <w:p w14:paraId="7494A7A4" w14:textId="77777777" w:rsidR="00876E72" w:rsidRPr="003A7791" w:rsidRDefault="00876E72" w:rsidP="003A7791">
      <w:pPr>
        <w:spacing w:before="120" w:after="120" w:line="360" w:lineRule="auto"/>
        <w:ind w:left="720" w:hanging="720"/>
        <w:rPr>
          <w:sz w:val="24"/>
          <w:szCs w:val="24"/>
        </w:rPr>
      </w:pPr>
      <w:r w:rsidRPr="003A7791">
        <w:rPr>
          <w:rFonts w:eastAsia="SimSun"/>
          <w:color w:val="222222"/>
          <w:sz w:val="24"/>
          <w:szCs w:val="24"/>
          <w:shd w:val="clear" w:color="auto" w:fill="FFFFFF"/>
        </w:rPr>
        <w:t>Durgam, H.K.R. and Ramani, P.V., 2025. Green construction supply chain: Reviewing advancements, obstacles, and possibilities. </w:t>
      </w:r>
      <w:r w:rsidRPr="003A7791">
        <w:rPr>
          <w:rFonts w:eastAsia="SimSun"/>
          <w:i/>
          <w:iCs/>
          <w:color w:val="222222"/>
          <w:sz w:val="24"/>
          <w:szCs w:val="24"/>
          <w:shd w:val="clear" w:color="auto" w:fill="FFFFFF"/>
        </w:rPr>
        <w:t>Cleaner Logistics and Supply Chain</w:t>
      </w:r>
      <w:r w:rsidRPr="003A7791">
        <w:rPr>
          <w:rFonts w:eastAsia="SimSun"/>
          <w:color w:val="222222"/>
          <w:sz w:val="24"/>
          <w:szCs w:val="24"/>
          <w:shd w:val="clear" w:color="auto" w:fill="FFFFFF"/>
        </w:rPr>
        <w:t>, p.100259.</w:t>
      </w:r>
      <w:r w:rsidRPr="003A7791">
        <w:rPr>
          <w:sz w:val="24"/>
          <w:szCs w:val="24"/>
        </w:rPr>
        <w:t>Clausing, K., Hsiang, S. and Rapson, D. (2024) The global effects of carbon border adjustment mechanisms. Working Paper. Washington, DC.</w:t>
      </w:r>
    </w:p>
    <w:p w14:paraId="05F04680" w14:textId="77777777" w:rsidR="00876E72" w:rsidRPr="003A7791" w:rsidRDefault="00876E72" w:rsidP="003A7791">
      <w:pPr>
        <w:spacing w:before="120" w:after="120" w:line="360" w:lineRule="auto"/>
        <w:ind w:left="720" w:hanging="720"/>
        <w:rPr>
          <w:sz w:val="24"/>
          <w:szCs w:val="24"/>
        </w:rPr>
      </w:pPr>
      <w:r w:rsidRPr="003A7791">
        <w:rPr>
          <w:sz w:val="24"/>
          <w:szCs w:val="24"/>
        </w:rPr>
        <w:t>E3G (2024) Growing clean steel in the UK. London: E3G.</w:t>
      </w:r>
      <w:r w:rsidRPr="003A7791">
        <w:rPr>
          <w:sz w:val="24"/>
          <w:szCs w:val="24"/>
          <w:lang w:val="en-US"/>
        </w:rPr>
        <w:t xml:space="preserve">  </w:t>
      </w:r>
      <w:hyperlink r:id="rId19" w:history="1">
        <w:r w:rsidRPr="003A7791">
          <w:rPr>
            <w:rStyle w:val="Hyperlink"/>
            <w:sz w:val="24"/>
            <w:szCs w:val="24"/>
            <w:lang w:val="en-US"/>
          </w:rPr>
          <w:t>https://www.e3g.org/publications/growing-clean-steel-in-the-uk/</w:t>
        </w:r>
      </w:hyperlink>
      <w:r w:rsidRPr="003A7791">
        <w:rPr>
          <w:sz w:val="24"/>
          <w:szCs w:val="24"/>
          <w:lang w:val="en-US"/>
        </w:rPr>
        <w:t xml:space="preserve"> </w:t>
      </w:r>
    </w:p>
    <w:p w14:paraId="6DCD6328"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Egan, J., 1998. Department of the Environment, Transport and the Regions. </w:t>
      </w:r>
      <w:r w:rsidRPr="003A7791">
        <w:rPr>
          <w:rFonts w:eastAsia="SimSun"/>
          <w:i/>
          <w:iCs/>
          <w:color w:val="222222"/>
          <w:sz w:val="24"/>
          <w:szCs w:val="24"/>
          <w:shd w:val="clear" w:color="auto" w:fill="FFFFFF"/>
        </w:rPr>
        <w:t>Rethinking Construction</w:t>
      </w:r>
      <w:r w:rsidRPr="003A7791">
        <w:rPr>
          <w:rFonts w:eastAsia="SimSun"/>
          <w:color w:val="222222"/>
          <w:sz w:val="24"/>
          <w:szCs w:val="24"/>
          <w:shd w:val="clear" w:color="auto" w:fill="FFFFFF"/>
        </w:rPr>
        <w:t>.</w:t>
      </w:r>
    </w:p>
    <w:p w14:paraId="7B61DA62" w14:textId="77777777" w:rsidR="00876E72" w:rsidRPr="003A7791" w:rsidRDefault="00876E72" w:rsidP="003A7791">
      <w:pPr>
        <w:spacing w:before="120" w:after="120" w:line="360" w:lineRule="auto"/>
        <w:ind w:left="720" w:hanging="720"/>
        <w:rPr>
          <w:sz w:val="24"/>
          <w:szCs w:val="24"/>
        </w:rPr>
      </w:pPr>
      <w:r w:rsidRPr="003A7791">
        <w:rPr>
          <w:sz w:val="24"/>
          <w:szCs w:val="24"/>
        </w:rPr>
        <w:t>European Commission (2023) Carbon Border Adjustment Mechanism. Brussels: European Commission.</w:t>
      </w:r>
      <w:r w:rsidRPr="003A7791">
        <w:rPr>
          <w:sz w:val="24"/>
          <w:szCs w:val="24"/>
          <w:lang w:val="en-US"/>
        </w:rPr>
        <w:t xml:space="preserve"> </w:t>
      </w:r>
      <w:hyperlink r:id="rId20" w:history="1">
        <w:r w:rsidRPr="003A7791">
          <w:rPr>
            <w:rStyle w:val="Hyperlink"/>
            <w:sz w:val="24"/>
            <w:szCs w:val="24"/>
            <w:lang w:val="en-US"/>
          </w:rPr>
          <w:t>https://taxation-customs.ec.europa.eu/carbon-border-adjustment-mechanism_en</w:t>
        </w:r>
      </w:hyperlink>
      <w:r w:rsidRPr="003A7791">
        <w:rPr>
          <w:sz w:val="24"/>
          <w:szCs w:val="24"/>
          <w:lang w:val="en-US"/>
        </w:rPr>
        <w:t xml:space="preserve"> </w:t>
      </w:r>
    </w:p>
    <w:p w14:paraId="7403CE52" w14:textId="77777777" w:rsidR="00876E72" w:rsidRPr="003A7791" w:rsidRDefault="00876E72" w:rsidP="003A7791">
      <w:pPr>
        <w:spacing w:before="120" w:after="120" w:line="360" w:lineRule="auto"/>
        <w:ind w:left="720" w:hanging="720"/>
        <w:rPr>
          <w:sz w:val="24"/>
          <w:szCs w:val="24"/>
        </w:rPr>
      </w:pPr>
      <w:r w:rsidRPr="003A7791">
        <w:rPr>
          <w:sz w:val="24"/>
          <w:szCs w:val="24"/>
        </w:rPr>
        <w:t>European Parliament Research Service (2020) Economic assessment of carbon leakage and carbon border adjustment. Brussels: European Parliament.</w:t>
      </w:r>
      <w:r w:rsidRPr="003A7791">
        <w:rPr>
          <w:sz w:val="24"/>
          <w:szCs w:val="24"/>
          <w:lang w:val="en-US"/>
        </w:rPr>
        <w:t xml:space="preserve"> </w:t>
      </w:r>
      <w:hyperlink r:id="rId21" w:history="1">
        <w:r w:rsidRPr="003A7791">
          <w:rPr>
            <w:rStyle w:val="Hyperlink"/>
            <w:sz w:val="24"/>
            <w:szCs w:val="24"/>
            <w:lang w:val="en-US"/>
          </w:rPr>
          <w:t>https://www.europarl.europa.eu/RegData/etudes/BRIE/2020/603501/EXPO_BRI(2020)603501_EN.pdf</w:t>
        </w:r>
      </w:hyperlink>
      <w:r w:rsidRPr="003A7791">
        <w:rPr>
          <w:sz w:val="24"/>
          <w:szCs w:val="24"/>
          <w:lang w:val="en-US"/>
        </w:rPr>
        <w:t xml:space="preserve"> </w:t>
      </w:r>
    </w:p>
    <w:p w14:paraId="510F0F35" w14:textId="77777777" w:rsidR="00876E72" w:rsidRPr="003A7791" w:rsidRDefault="00876E72" w:rsidP="003A7791">
      <w:pPr>
        <w:spacing w:before="120" w:after="120" w:line="360" w:lineRule="auto"/>
        <w:ind w:left="720" w:hanging="720"/>
        <w:rPr>
          <w:sz w:val="24"/>
          <w:szCs w:val="24"/>
        </w:rPr>
      </w:pPr>
      <w:r w:rsidRPr="003A7791">
        <w:rPr>
          <w:sz w:val="24"/>
          <w:szCs w:val="24"/>
        </w:rPr>
        <w:t>European Parliament Research Service (Kramer, E.) (2022) Carbon border adjustment mechanism: EPRS legislative briefing. Brussels: European Parliament.</w:t>
      </w:r>
      <w:r w:rsidRPr="003A7791">
        <w:rPr>
          <w:sz w:val="24"/>
          <w:szCs w:val="24"/>
          <w:lang w:val="en-US"/>
        </w:rPr>
        <w:t xml:space="preserve"> </w:t>
      </w:r>
      <w:hyperlink r:id="rId22" w:history="1">
        <w:r w:rsidRPr="003A7791">
          <w:rPr>
            <w:rStyle w:val="Hyperlink"/>
            <w:sz w:val="24"/>
            <w:szCs w:val="24"/>
            <w:lang w:val="en-US"/>
          </w:rPr>
          <w:t>https://www.europarl.europa.eu/RegData/etudes/ATAG/2022/729462/EPRS_ATA(2022)729462_EN.pdf</w:t>
        </w:r>
      </w:hyperlink>
      <w:r w:rsidRPr="003A7791">
        <w:rPr>
          <w:sz w:val="24"/>
          <w:szCs w:val="24"/>
          <w:lang w:val="en-US"/>
        </w:rPr>
        <w:t xml:space="preserve"> </w:t>
      </w:r>
    </w:p>
    <w:p w14:paraId="49C741FD"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Fowlie, M., Reguant, M. and Ryan, S.P., 2016. Market-based emissions regulation and industry dynamics. </w:t>
      </w:r>
      <w:r w:rsidRPr="003A7791">
        <w:rPr>
          <w:rFonts w:eastAsia="SimSun"/>
          <w:i/>
          <w:iCs/>
          <w:color w:val="222222"/>
          <w:sz w:val="24"/>
          <w:szCs w:val="24"/>
          <w:shd w:val="clear" w:color="auto" w:fill="FFFFFF"/>
        </w:rPr>
        <w:t>Journal of Political Economy</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124</w:t>
      </w:r>
      <w:r w:rsidRPr="003A7791">
        <w:rPr>
          <w:rFonts w:eastAsia="SimSun"/>
          <w:color w:val="222222"/>
          <w:sz w:val="24"/>
          <w:szCs w:val="24"/>
          <w:shd w:val="clear" w:color="auto" w:fill="FFFFFF"/>
        </w:rPr>
        <w:t>(1), pp.249-302.</w:t>
      </w:r>
    </w:p>
    <w:p w14:paraId="7C3B69AA" w14:textId="77777777" w:rsidR="00876E72" w:rsidRPr="003A7791" w:rsidRDefault="00876E72" w:rsidP="003A7791">
      <w:pPr>
        <w:spacing w:before="120" w:after="120" w:line="360" w:lineRule="auto"/>
        <w:ind w:left="720" w:hanging="720"/>
        <w:rPr>
          <w:sz w:val="24"/>
          <w:szCs w:val="24"/>
        </w:rPr>
      </w:pPr>
      <w:r w:rsidRPr="003A7791">
        <w:rPr>
          <w:sz w:val="24"/>
          <w:szCs w:val="24"/>
        </w:rPr>
        <w:t>Green Alliance (2023) A brighter future for UK steel. London: Green Alliance.</w:t>
      </w:r>
      <w:r w:rsidRPr="003A7791">
        <w:rPr>
          <w:sz w:val="24"/>
          <w:szCs w:val="24"/>
          <w:lang w:val="en-US"/>
        </w:rPr>
        <w:t xml:space="preserve"> </w:t>
      </w:r>
      <w:hyperlink r:id="rId23" w:history="1">
        <w:r w:rsidRPr="003A7791">
          <w:rPr>
            <w:rStyle w:val="Hyperlink"/>
            <w:sz w:val="24"/>
            <w:szCs w:val="24"/>
            <w:lang w:val="en-US"/>
          </w:rPr>
          <w:t>https://green-alliance.org.uk/wp-content/uploads/2023/08/A-brighter-future-for-UK-steel.pdf</w:t>
        </w:r>
      </w:hyperlink>
      <w:r w:rsidRPr="003A7791">
        <w:rPr>
          <w:sz w:val="24"/>
          <w:szCs w:val="24"/>
          <w:lang w:val="en-US"/>
        </w:rPr>
        <w:t xml:space="preserve"> </w:t>
      </w:r>
    </w:p>
    <w:p w14:paraId="0E518809" w14:textId="77777777" w:rsidR="00876E72" w:rsidRPr="003A7791" w:rsidRDefault="00876E72" w:rsidP="003A7791">
      <w:pPr>
        <w:spacing w:before="120" w:after="120" w:line="360" w:lineRule="auto"/>
        <w:ind w:left="720" w:hanging="720"/>
        <w:rPr>
          <w:sz w:val="24"/>
          <w:szCs w:val="24"/>
        </w:rPr>
      </w:pPr>
      <w:r w:rsidRPr="003A7791">
        <w:rPr>
          <w:sz w:val="24"/>
          <w:szCs w:val="24"/>
        </w:rPr>
        <w:t>Green Alliance (2024) Bridging the green materials gap: UK supply chain readiness for CBAM. London: Green Alliance.</w:t>
      </w:r>
      <w:r w:rsidRPr="003A7791">
        <w:rPr>
          <w:sz w:val="24"/>
          <w:szCs w:val="24"/>
          <w:lang w:val="en-US"/>
        </w:rPr>
        <w:t xml:space="preserve"> </w:t>
      </w:r>
      <w:hyperlink r:id="rId24" w:history="1">
        <w:r w:rsidRPr="003A7791">
          <w:rPr>
            <w:rStyle w:val="Hyperlink"/>
            <w:sz w:val="24"/>
            <w:szCs w:val="24"/>
            <w:lang w:val="en-US"/>
          </w:rPr>
          <w:t>https://green-alliance.org.uk/</w:t>
        </w:r>
      </w:hyperlink>
      <w:r w:rsidRPr="003A7791">
        <w:rPr>
          <w:sz w:val="24"/>
          <w:szCs w:val="24"/>
          <w:lang w:val="en-US"/>
        </w:rPr>
        <w:t xml:space="preserve"> </w:t>
      </w:r>
    </w:p>
    <w:p w14:paraId="68DC7CAF"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Grover, V. and Malhotra, M.K., 2003. Transaction cost framework in operations and supply chain management research: theory and measurement. </w:t>
      </w:r>
      <w:r w:rsidRPr="003A7791">
        <w:rPr>
          <w:rFonts w:eastAsia="SimSun"/>
          <w:i/>
          <w:iCs/>
          <w:color w:val="222222"/>
          <w:sz w:val="24"/>
          <w:szCs w:val="24"/>
          <w:shd w:val="clear" w:color="auto" w:fill="FFFFFF"/>
        </w:rPr>
        <w:t>Journal of Operations management</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21</w:t>
      </w:r>
      <w:r w:rsidRPr="003A7791">
        <w:rPr>
          <w:rFonts w:eastAsia="SimSun"/>
          <w:color w:val="222222"/>
          <w:sz w:val="24"/>
          <w:szCs w:val="24"/>
          <w:shd w:val="clear" w:color="auto" w:fill="FFFFFF"/>
        </w:rPr>
        <w:t>(4), pp.457-473.</w:t>
      </w:r>
    </w:p>
    <w:p w14:paraId="6DA84759"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Helm, D., 2013. The Carbon Crunch: How We’re Getting Climate Change Wrong—and How to Fix It.</w:t>
      </w:r>
    </w:p>
    <w:p w14:paraId="6BC6123F"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Hillman, A.J., Withers, M.C. and Collins, B.J., 2009. Resource dependence theory: A review. </w:t>
      </w:r>
      <w:r w:rsidRPr="003A7791">
        <w:rPr>
          <w:rFonts w:eastAsia="SimSun"/>
          <w:i/>
          <w:iCs/>
          <w:color w:val="222222"/>
          <w:sz w:val="24"/>
          <w:szCs w:val="24"/>
          <w:shd w:val="clear" w:color="auto" w:fill="FFFFFF"/>
        </w:rPr>
        <w:t>Journal of management</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35</w:t>
      </w:r>
      <w:r w:rsidRPr="003A7791">
        <w:rPr>
          <w:rFonts w:eastAsia="SimSun"/>
          <w:color w:val="222222"/>
          <w:sz w:val="24"/>
          <w:szCs w:val="24"/>
          <w:shd w:val="clear" w:color="auto" w:fill="FFFFFF"/>
        </w:rPr>
        <w:t>(6), pp.1404-1427.</w:t>
      </w:r>
    </w:p>
    <w:p w14:paraId="28B6F0E7"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Hillman, J.A., 2013. Changing climate for carbon taxes: who’s afraid of the </w:t>
      </w:r>
      <w:proofErr w:type="gramStart"/>
      <w:r w:rsidRPr="003A7791">
        <w:rPr>
          <w:rFonts w:eastAsia="SimSun"/>
          <w:color w:val="222222"/>
          <w:sz w:val="24"/>
          <w:szCs w:val="24"/>
          <w:shd w:val="clear" w:color="auto" w:fill="FFFFFF"/>
        </w:rPr>
        <w:t>WTO?.</w:t>
      </w:r>
      <w:proofErr w:type="gramEnd"/>
    </w:p>
    <w:p w14:paraId="0D4484B2" w14:textId="77777777" w:rsidR="00876E72" w:rsidRPr="003A7791" w:rsidRDefault="00876E72" w:rsidP="003A7791">
      <w:pPr>
        <w:spacing w:before="120" w:after="120" w:line="360" w:lineRule="auto"/>
        <w:ind w:left="720" w:hanging="720"/>
        <w:rPr>
          <w:sz w:val="24"/>
          <w:szCs w:val="24"/>
        </w:rPr>
      </w:pPr>
      <w:r w:rsidRPr="003A7791">
        <w:rPr>
          <w:sz w:val="24"/>
          <w:szCs w:val="24"/>
        </w:rPr>
        <w:t>HM Government (2025) Finance Act 2025: UK CBAM enabling legislation. London: HMRC.</w:t>
      </w:r>
      <w:r w:rsidRPr="003A7791">
        <w:rPr>
          <w:sz w:val="24"/>
          <w:szCs w:val="24"/>
          <w:lang w:val="en-US"/>
        </w:rPr>
        <w:t xml:space="preserve"> </w:t>
      </w:r>
      <w:hyperlink r:id="rId25" w:history="1">
        <w:r w:rsidRPr="003A7791">
          <w:rPr>
            <w:rStyle w:val="Hyperlink"/>
            <w:sz w:val="24"/>
            <w:szCs w:val="24"/>
            <w:lang w:val="en-US"/>
          </w:rPr>
          <w:t>https://www.gov.uk/government/publications/introduction-of-carbon-border-adjustment-mechanism/carbon-border-adjustment-mechanism</w:t>
        </w:r>
      </w:hyperlink>
      <w:r w:rsidRPr="003A7791">
        <w:rPr>
          <w:sz w:val="24"/>
          <w:szCs w:val="24"/>
          <w:lang w:val="en-US"/>
        </w:rPr>
        <w:t xml:space="preserve"> </w:t>
      </w:r>
    </w:p>
    <w:p w14:paraId="18A34BAD" w14:textId="77777777" w:rsidR="00876E72" w:rsidRPr="003A7791" w:rsidRDefault="00876E72" w:rsidP="003A7791">
      <w:pPr>
        <w:spacing w:before="120" w:after="120" w:line="360" w:lineRule="auto"/>
        <w:ind w:left="720" w:hanging="720"/>
        <w:rPr>
          <w:sz w:val="24"/>
          <w:szCs w:val="24"/>
        </w:rPr>
      </w:pPr>
      <w:r w:rsidRPr="003A7791">
        <w:rPr>
          <w:sz w:val="24"/>
          <w:szCs w:val="24"/>
        </w:rPr>
        <w:t>HM Treasury (2024) UK Carbon Border Adjustment Mechanism: policy design. London: HM Treasury.</w:t>
      </w:r>
      <w:r w:rsidRPr="003A7791">
        <w:rPr>
          <w:sz w:val="24"/>
          <w:szCs w:val="24"/>
          <w:lang w:val="en-US"/>
        </w:rPr>
        <w:t xml:space="preserve"> </w:t>
      </w:r>
      <w:hyperlink r:id="rId26" w:history="1">
        <w:r w:rsidRPr="003A7791">
          <w:rPr>
            <w:rStyle w:val="Hyperlink"/>
            <w:sz w:val="24"/>
            <w:szCs w:val="24"/>
            <w:lang w:val="en-US"/>
          </w:rPr>
          <w:t>https://www.gov.uk/government/publications/introduction-of-carbon-border-adjustment-mechanism/carbon-border-adjustment-mechanism</w:t>
        </w:r>
      </w:hyperlink>
      <w:r w:rsidRPr="003A7791">
        <w:rPr>
          <w:sz w:val="24"/>
          <w:szCs w:val="24"/>
          <w:lang w:val="en-US"/>
        </w:rPr>
        <w:t xml:space="preserve"> </w:t>
      </w:r>
    </w:p>
    <w:p w14:paraId="4B9AE95D" w14:textId="77777777" w:rsidR="00876E72" w:rsidRPr="003A7791" w:rsidRDefault="00876E72" w:rsidP="003A7791">
      <w:pPr>
        <w:spacing w:before="120" w:after="120" w:line="360" w:lineRule="auto"/>
        <w:ind w:left="720" w:hanging="720"/>
        <w:rPr>
          <w:sz w:val="24"/>
          <w:szCs w:val="24"/>
        </w:rPr>
      </w:pPr>
      <w:r w:rsidRPr="003A7791">
        <w:rPr>
          <w:sz w:val="24"/>
          <w:szCs w:val="24"/>
        </w:rPr>
        <w:t>House of Commons Library (2024) UK steel industry: statistics and policy. London: House of Commons Library.</w:t>
      </w:r>
      <w:r w:rsidRPr="003A7791">
        <w:rPr>
          <w:sz w:val="24"/>
          <w:szCs w:val="24"/>
          <w:lang w:val="en-US"/>
        </w:rPr>
        <w:t xml:space="preserve"> </w:t>
      </w:r>
      <w:hyperlink r:id="rId27" w:history="1">
        <w:r w:rsidRPr="003A7791">
          <w:rPr>
            <w:rStyle w:val="Hyperlink"/>
            <w:sz w:val="24"/>
            <w:szCs w:val="24"/>
            <w:lang w:val="en-US"/>
          </w:rPr>
          <w:t>https://commonslibrary.parliament.uk/research-briefings/cbp-7317/</w:t>
        </w:r>
      </w:hyperlink>
      <w:r w:rsidRPr="003A7791">
        <w:rPr>
          <w:sz w:val="24"/>
          <w:szCs w:val="24"/>
          <w:lang w:val="en-US"/>
        </w:rPr>
        <w:t xml:space="preserve"> </w:t>
      </w:r>
    </w:p>
    <w:p w14:paraId="10F7737F"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Jordan, N., Domenech </w:t>
      </w:r>
      <w:proofErr w:type="spellStart"/>
      <w:r w:rsidRPr="003A7791">
        <w:rPr>
          <w:rFonts w:eastAsia="SimSun"/>
          <w:color w:val="222222"/>
          <w:sz w:val="24"/>
          <w:szCs w:val="24"/>
          <w:shd w:val="clear" w:color="auto" w:fill="FFFFFF"/>
        </w:rPr>
        <w:t>Aparisi</w:t>
      </w:r>
      <w:proofErr w:type="spellEnd"/>
      <w:r w:rsidRPr="003A7791">
        <w:rPr>
          <w:rFonts w:eastAsia="SimSun"/>
          <w:color w:val="222222"/>
          <w:sz w:val="24"/>
          <w:szCs w:val="24"/>
          <w:shd w:val="clear" w:color="auto" w:fill="FFFFFF"/>
        </w:rPr>
        <w:t>, T., Watson, J., Butnar, I. and Van Der Valk, R., 2023. Addressing carbon leakage risk to support decarbonisation: Response from UCL Institute for Sustainable Resources.</w:t>
      </w:r>
    </w:p>
    <w:p w14:paraId="00169965"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lastRenderedPageBreak/>
        <w:t>Kadefors</w:t>
      </w:r>
      <w:proofErr w:type="spellEnd"/>
      <w:r w:rsidRPr="003A7791">
        <w:rPr>
          <w:rFonts w:eastAsia="SimSun"/>
          <w:color w:val="222222"/>
          <w:sz w:val="24"/>
          <w:szCs w:val="24"/>
          <w:shd w:val="clear" w:color="auto" w:fill="FFFFFF"/>
        </w:rPr>
        <w:t xml:space="preserve">, A., </w:t>
      </w:r>
      <w:proofErr w:type="spellStart"/>
      <w:r w:rsidRPr="003A7791">
        <w:rPr>
          <w:rFonts w:eastAsia="SimSun"/>
          <w:color w:val="222222"/>
          <w:sz w:val="24"/>
          <w:szCs w:val="24"/>
          <w:shd w:val="clear" w:color="auto" w:fill="FFFFFF"/>
        </w:rPr>
        <w:t>Lingegård</w:t>
      </w:r>
      <w:proofErr w:type="spellEnd"/>
      <w:r w:rsidRPr="003A7791">
        <w:rPr>
          <w:rFonts w:eastAsia="SimSun"/>
          <w:color w:val="222222"/>
          <w:sz w:val="24"/>
          <w:szCs w:val="24"/>
          <w:shd w:val="clear" w:color="auto" w:fill="FFFFFF"/>
        </w:rPr>
        <w:t xml:space="preserve">, S., </w:t>
      </w:r>
      <w:proofErr w:type="spellStart"/>
      <w:r w:rsidRPr="003A7791">
        <w:rPr>
          <w:rFonts w:eastAsia="SimSun"/>
          <w:color w:val="222222"/>
          <w:sz w:val="24"/>
          <w:szCs w:val="24"/>
          <w:shd w:val="clear" w:color="auto" w:fill="FFFFFF"/>
        </w:rPr>
        <w:t>Uppenberg</w:t>
      </w:r>
      <w:proofErr w:type="spellEnd"/>
      <w:r w:rsidRPr="003A7791">
        <w:rPr>
          <w:rFonts w:eastAsia="SimSun"/>
          <w:color w:val="222222"/>
          <w:sz w:val="24"/>
          <w:szCs w:val="24"/>
          <w:shd w:val="clear" w:color="auto" w:fill="FFFFFF"/>
        </w:rPr>
        <w:t>, S., Alkan-Olsson, J. and Balian, D., 2021. Designing and implementing procurement requirements for carbon reduction in infrastructure construction–international overview and experiences. </w:t>
      </w:r>
      <w:r w:rsidRPr="003A7791">
        <w:rPr>
          <w:rFonts w:eastAsia="SimSun"/>
          <w:i/>
          <w:iCs/>
          <w:color w:val="222222"/>
          <w:sz w:val="24"/>
          <w:szCs w:val="24"/>
          <w:shd w:val="clear" w:color="auto" w:fill="FFFFFF"/>
        </w:rPr>
        <w:t>Journal of Environmental Planning and Management</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64</w:t>
      </w:r>
      <w:r w:rsidRPr="003A7791">
        <w:rPr>
          <w:rFonts w:eastAsia="SimSun"/>
          <w:color w:val="222222"/>
          <w:sz w:val="24"/>
          <w:szCs w:val="24"/>
          <w:shd w:val="clear" w:color="auto" w:fill="FFFFFF"/>
        </w:rPr>
        <w:t>(4), pp.611-634.</w:t>
      </w:r>
    </w:p>
    <w:p w14:paraId="7E076B63"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Latham, M., 1994. Constructing the team: the final report of the joint government/industry review of procurement and contractual arrangements in the UK construction industry. </w:t>
      </w:r>
      <w:r w:rsidRPr="003A7791">
        <w:rPr>
          <w:rFonts w:eastAsia="SimSun"/>
          <w:i/>
          <w:iCs/>
          <w:color w:val="222222"/>
          <w:sz w:val="24"/>
          <w:szCs w:val="24"/>
          <w:shd w:val="clear" w:color="auto" w:fill="FFFFFF"/>
        </w:rPr>
        <w:t>Her Majesty’s Stationary Office (HMSO), London</w:t>
      </w:r>
      <w:r w:rsidRPr="003A7791">
        <w:rPr>
          <w:rFonts w:eastAsia="SimSun"/>
          <w:color w:val="222222"/>
          <w:sz w:val="24"/>
          <w:szCs w:val="24"/>
          <w:shd w:val="clear" w:color="auto" w:fill="FFFFFF"/>
        </w:rPr>
        <w:t>.</w:t>
      </w:r>
    </w:p>
    <w:p w14:paraId="7DAFC1E7"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Lehne, J. and Preston, F., 2018. Making concrete change. </w:t>
      </w:r>
      <w:r w:rsidRPr="003A7791">
        <w:rPr>
          <w:rFonts w:eastAsia="SimSun"/>
          <w:i/>
          <w:iCs/>
          <w:color w:val="222222"/>
          <w:sz w:val="24"/>
          <w:szCs w:val="24"/>
          <w:shd w:val="clear" w:color="auto" w:fill="FFFFFF"/>
        </w:rPr>
        <w:t>Innovation in low-carbon cement and concrete</w:t>
      </w:r>
      <w:r w:rsidRPr="003A7791">
        <w:rPr>
          <w:rFonts w:eastAsia="SimSun"/>
          <w:color w:val="222222"/>
          <w:sz w:val="24"/>
          <w:szCs w:val="24"/>
          <w:shd w:val="clear" w:color="auto" w:fill="FFFFFF"/>
        </w:rPr>
        <w:t>, pp.1-66.</w:t>
      </w:r>
    </w:p>
    <w:p w14:paraId="5AAEBC05" w14:textId="77777777" w:rsidR="00876E72" w:rsidRPr="003A7791" w:rsidRDefault="00876E72" w:rsidP="003A7791">
      <w:pPr>
        <w:spacing w:before="120" w:after="120" w:line="360" w:lineRule="auto"/>
        <w:ind w:left="720" w:hanging="720"/>
        <w:rPr>
          <w:sz w:val="24"/>
          <w:szCs w:val="24"/>
        </w:rPr>
      </w:pPr>
      <w:r w:rsidRPr="003A7791">
        <w:rPr>
          <w:sz w:val="24"/>
          <w:szCs w:val="24"/>
        </w:rPr>
        <w:t>McKinsey and Company (2023) Decarbonising UK construction: the cost of transition. London: McKinsey.</w:t>
      </w:r>
      <w:r w:rsidRPr="003A7791">
        <w:rPr>
          <w:sz w:val="24"/>
          <w:szCs w:val="24"/>
          <w:lang w:val="en-US"/>
        </w:rPr>
        <w:t xml:space="preserve">  </w:t>
      </w:r>
      <w:hyperlink r:id="rId28" w:history="1">
        <w:r w:rsidRPr="003A7791">
          <w:rPr>
            <w:rStyle w:val="Hyperlink"/>
            <w:sz w:val="24"/>
            <w:szCs w:val="24"/>
            <w:lang w:val="en-US"/>
          </w:rPr>
          <w:t>https://www.mckinsey.com/capabilities/sustainability/our-insights/the-net-zero-transition-what-it-would-cost-what-it-could-bring</w:t>
        </w:r>
      </w:hyperlink>
      <w:r w:rsidRPr="003A7791">
        <w:rPr>
          <w:sz w:val="24"/>
          <w:szCs w:val="24"/>
          <w:lang w:val="en-US"/>
        </w:rPr>
        <w:t xml:space="preserve"> </w:t>
      </w:r>
    </w:p>
    <w:p w14:paraId="7C6FE474"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Meehan, J. and Bryde, D., 2011. Sustainable procurement practice. </w:t>
      </w:r>
      <w:r w:rsidRPr="003A7791">
        <w:rPr>
          <w:rFonts w:eastAsia="SimSun"/>
          <w:i/>
          <w:iCs/>
          <w:color w:val="222222"/>
          <w:sz w:val="24"/>
          <w:szCs w:val="24"/>
          <w:shd w:val="clear" w:color="auto" w:fill="FFFFFF"/>
        </w:rPr>
        <w:t>Business strategy and the environment</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20</w:t>
      </w:r>
      <w:r w:rsidRPr="003A7791">
        <w:rPr>
          <w:rFonts w:eastAsia="SimSun"/>
          <w:color w:val="222222"/>
          <w:sz w:val="24"/>
          <w:szCs w:val="24"/>
          <w:shd w:val="clear" w:color="auto" w:fill="FFFFFF"/>
        </w:rPr>
        <w:t>(2), pp.94-106.</w:t>
      </w:r>
    </w:p>
    <w:p w14:paraId="6B9C31C5"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Mehling, M.A., Van Asselt, H., Das, K., Droege, S. and </w:t>
      </w:r>
      <w:proofErr w:type="spellStart"/>
      <w:r w:rsidRPr="003A7791">
        <w:rPr>
          <w:rFonts w:eastAsia="SimSun"/>
          <w:color w:val="222222"/>
          <w:sz w:val="24"/>
          <w:szCs w:val="24"/>
          <w:shd w:val="clear" w:color="auto" w:fill="FFFFFF"/>
        </w:rPr>
        <w:t>Verkuijl</w:t>
      </w:r>
      <w:proofErr w:type="spellEnd"/>
      <w:r w:rsidRPr="003A7791">
        <w:rPr>
          <w:rFonts w:eastAsia="SimSun"/>
          <w:color w:val="222222"/>
          <w:sz w:val="24"/>
          <w:szCs w:val="24"/>
          <w:shd w:val="clear" w:color="auto" w:fill="FFFFFF"/>
        </w:rPr>
        <w:t>, C., 2019. Designing border carbon adjustments for enhanced climate action. </w:t>
      </w:r>
      <w:r w:rsidRPr="003A7791">
        <w:rPr>
          <w:rFonts w:eastAsia="SimSun"/>
          <w:i/>
          <w:iCs/>
          <w:color w:val="222222"/>
          <w:sz w:val="24"/>
          <w:szCs w:val="24"/>
          <w:shd w:val="clear" w:color="auto" w:fill="FFFFFF"/>
        </w:rPr>
        <w:t>American Journal of International Law</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113</w:t>
      </w:r>
      <w:r w:rsidRPr="003A7791">
        <w:rPr>
          <w:rFonts w:eastAsia="SimSun"/>
          <w:color w:val="222222"/>
          <w:sz w:val="24"/>
          <w:szCs w:val="24"/>
          <w:shd w:val="clear" w:color="auto" w:fill="FFFFFF"/>
        </w:rPr>
        <w:t>(3), pp.433-481.</w:t>
      </w:r>
    </w:p>
    <w:p w14:paraId="622E47AD"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Moher, D., Liberati, A., Tetzlaff, J. and Altman, D.G., 2009. Preferred reporting items for systematic reviews and meta-analyses: the PRISMA statement. </w:t>
      </w:r>
      <w:proofErr w:type="spellStart"/>
      <w:r w:rsidRPr="003A7791">
        <w:rPr>
          <w:rFonts w:eastAsia="SimSun"/>
          <w:i/>
          <w:iCs/>
          <w:color w:val="222222"/>
          <w:sz w:val="24"/>
          <w:szCs w:val="24"/>
          <w:shd w:val="clear" w:color="auto" w:fill="FFFFFF"/>
        </w:rPr>
        <w:t>Bmj</w:t>
      </w:r>
      <w:proofErr w:type="spellEnd"/>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339</w:t>
      </w:r>
      <w:r w:rsidRPr="003A7791">
        <w:rPr>
          <w:rFonts w:eastAsia="SimSun"/>
          <w:color w:val="222222"/>
          <w:sz w:val="24"/>
          <w:szCs w:val="24"/>
          <w:shd w:val="clear" w:color="auto" w:fill="FFFFFF"/>
        </w:rPr>
        <w:t>.</w:t>
      </w:r>
    </w:p>
    <w:p w14:paraId="2480B475" w14:textId="77777777" w:rsidR="00876E72" w:rsidRPr="003A7791" w:rsidRDefault="00876E72" w:rsidP="003A7791">
      <w:pPr>
        <w:spacing w:before="120" w:after="120" w:line="360" w:lineRule="auto"/>
        <w:ind w:left="720" w:hanging="720"/>
        <w:rPr>
          <w:sz w:val="24"/>
          <w:szCs w:val="24"/>
        </w:rPr>
      </w:pPr>
      <w:proofErr w:type="spellStart"/>
      <w:r w:rsidRPr="003A7791">
        <w:rPr>
          <w:sz w:val="24"/>
          <w:szCs w:val="24"/>
        </w:rPr>
        <w:t>NewClimate</w:t>
      </w:r>
      <w:proofErr w:type="spellEnd"/>
      <w:r w:rsidRPr="003A7791">
        <w:rPr>
          <w:sz w:val="24"/>
          <w:szCs w:val="24"/>
        </w:rPr>
        <w:t xml:space="preserve"> Institute (2022) Decarbonisation in the global steel sector: tracking corporate roadmaps. Cologne: </w:t>
      </w:r>
      <w:proofErr w:type="spellStart"/>
      <w:r w:rsidRPr="003A7791">
        <w:rPr>
          <w:sz w:val="24"/>
          <w:szCs w:val="24"/>
        </w:rPr>
        <w:t>NewClimate</w:t>
      </w:r>
      <w:proofErr w:type="spellEnd"/>
      <w:r w:rsidRPr="003A7791">
        <w:rPr>
          <w:sz w:val="24"/>
          <w:szCs w:val="24"/>
        </w:rPr>
        <w:t xml:space="preserve"> Institute.</w:t>
      </w:r>
      <w:r w:rsidRPr="003A7791">
        <w:rPr>
          <w:sz w:val="24"/>
          <w:szCs w:val="24"/>
          <w:lang w:val="en-US"/>
        </w:rPr>
        <w:t xml:space="preserve"> </w:t>
      </w:r>
      <w:hyperlink r:id="rId29" w:history="1">
        <w:r w:rsidRPr="003A7791">
          <w:rPr>
            <w:rStyle w:val="Hyperlink"/>
            <w:sz w:val="24"/>
            <w:szCs w:val="24"/>
            <w:lang w:val="en-US"/>
          </w:rPr>
          <w:t>https://newclimate.org/sites/default/files/2023-01/steel_sector_05_12.pdf</w:t>
        </w:r>
      </w:hyperlink>
      <w:r w:rsidRPr="003A7791">
        <w:rPr>
          <w:sz w:val="24"/>
          <w:szCs w:val="24"/>
          <w:lang w:val="en-US"/>
        </w:rPr>
        <w:t xml:space="preserve"> </w:t>
      </w:r>
    </w:p>
    <w:p w14:paraId="7897A299" w14:textId="77777777" w:rsidR="00876E72" w:rsidRPr="003A7791" w:rsidRDefault="00876E72" w:rsidP="003A7791">
      <w:pPr>
        <w:spacing w:before="120" w:after="120" w:line="360" w:lineRule="auto"/>
        <w:ind w:left="720" w:hanging="720"/>
        <w:rPr>
          <w:sz w:val="24"/>
          <w:szCs w:val="24"/>
        </w:rPr>
      </w:pPr>
      <w:r w:rsidRPr="003A7791">
        <w:rPr>
          <w:sz w:val="24"/>
          <w:szCs w:val="24"/>
        </w:rPr>
        <w:t>Norton Rose Fulbright (2025) UK carbon border adjustment mechanism: how will it work? London: Norton Rose Fulbright.</w:t>
      </w:r>
      <w:r w:rsidRPr="003A7791">
        <w:rPr>
          <w:sz w:val="24"/>
          <w:szCs w:val="24"/>
          <w:lang w:val="en-US"/>
        </w:rPr>
        <w:t xml:space="preserve"> </w:t>
      </w:r>
      <w:hyperlink r:id="rId30" w:history="1">
        <w:r w:rsidRPr="003A7791">
          <w:rPr>
            <w:rStyle w:val="Hyperlink"/>
            <w:sz w:val="24"/>
            <w:szCs w:val="24"/>
            <w:lang w:val="en-US"/>
          </w:rPr>
          <w:t>https://www.nortonrosefulbright.com/en/knowledge/publications/a3a42bda/uk-carbon-border-adjustment-mechanism</w:t>
        </w:r>
      </w:hyperlink>
      <w:r w:rsidRPr="003A7791">
        <w:rPr>
          <w:sz w:val="24"/>
          <w:szCs w:val="24"/>
          <w:lang w:val="en-US"/>
        </w:rPr>
        <w:t xml:space="preserve"> </w:t>
      </w:r>
    </w:p>
    <w:p w14:paraId="6C45CD54" w14:textId="77777777" w:rsidR="00876E72" w:rsidRPr="003A7791" w:rsidRDefault="00876E72" w:rsidP="003A7791">
      <w:pPr>
        <w:spacing w:before="120" w:after="120" w:line="360" w:lineRule="auto"/>
        <w:ind w:left="720" w:hanging="720"/>
        <w:rPr>
          <w:sz w:val="24"/>
          <w:szCs w:val="24"/>
        </w:rPr>
      </w:pPr>
      <w:r w:rsidRPr="003A7791">
        <w:rPr>
          <w:sz w:val="24"/>
          <w:szCs w:val="24"/>
        </w:rPr>
        <w:t>OECD (2025) What to expect from the EU carbon border adjustment mechanism. OECD Science, Technology and Industry Working Paper. Paris: OECD.</w:t>
      </w:r>
      <w:r w:rsidRPr="003A7791">
        <w:rPr>
          <w:sz w:val="24"/>
          <w:szCs w:val="24"/>
          <w:lang w:val="en-US"/>
        </w:rPr>
        <w:t xml:space="preserve">  </w:t>
      </w:r>
      <w:hyperlink r:id="rId31" w:history="1">
        <w:r w:rsidRPr="003A7791">
          <w:rPr>
            <w:rStyle w:val="Hyperlink"/>
            <w:sz w:val="24"/>
            <w:szCs w:val="24"/>
            <w:lang w:val="en-US"/>
          </w:rPr>
          <w:t>https://www.oecd.org/en/publications/what-to-expect-from-the-eu-carbon-border-adjustment-mechanism_719d2ff9-en.html</w:t>
        </w:r>
      </w:hyperlink>
      <w:r w:rsidRPr="003A7791">
        <w:rPr>
          <w:sz w:val="24"/>
          <w:szCs w:val="24"/>
          <w:lang w:val="en-US"/>
        </w:rPr>
        <w:t xml:space="preserve"> </w:t>
      </w:r>
    </w:p>
    <w:p w14:paraId="4CE2F232" w14:textId="77777777" w:rsidR="00876E72" w:rsidRPr="003A7791" w:rsidRDefault="00876E72" w:rsidP="003A7791">
      <w:pPr>
        <w:spacing w:before="120" w:after="120" w:line="360" w:lineRule="auto"/>
        <w:ind w:left="720" w:hanging="720"/>
        <w:rPr>
          <w:sz w:val="24"/>
          <w:szCs w:val="24"/>
        </w:rPr>
      </w:pPr>
      <w:r w:rsidRPr="003A7791">
        <w:rPr>
          <w:sz w:val="24"/>
          <w:szCs w:val="24"/>
        </w:rPr>
        <w:lastRenderedPageBreak/>
        <w:t>One Click LCA (2024) UK carbon border adjustment mechanism: 2024 updated guide for construction professionals. Helsinki: One Click LCA.</w:t>
      </w:r>
      <w:r w:rsidRPr="003A7791">
        <w:rPr>
          <w:sz w:val="24"/>
          <w:szCs w:val="24"/>
          <w:lang w:val="en-US"/>
        </w:rPr>
        <w:t xml:space="preserve"> </w:t>
      </w:r>
      <w:hyperlink r:id="rId32" w:history="1">
        <w:r w:rsidRPr="003A7791">
          <w:rPr>
            <w:rStyle w:val="Hyperlink"/>
            <w:sz w:val="24"/>
            <w:szCs w:val="24"/>
            <w:lang w:val="en-US"/>
          </w:rPr>
          <w:t>https://oneclicklca.com/en/resources/articles/uk-cbam-updated-guide-for-professionals</w:t>
        </w:r>
      </w:hyperlink>
      <w:r w:rsidRPr="003A7791">
        <w:rPr>
          <w:sz w:val="24"/>
          <w:szCs w:val="24"/>
          <w:lang w:val="en-US"/>
        </w:rPr>
        <w:t xml:space="preserve"> </w:t>
      </w:r>
    </w:p>
    <w:p w14:paraId="39724A8C" w14:textId="77777777" w:rsidR="00876E72" w:rsidRPr="003A7791" w:rsidRDefault="00876E72" w:rsidP="003A7791">
      <w:pPr>
        <w:spacing w:before="120" w:after="120" w:line="360" w:lineRule="auto"/>
        <w:ind w:left="720" w:hanging="720"/>
        <w:rPr>
          <w:sz w:val="24"/>
          <w:szCs w:val="24"/>
        </w:rPr>
      </w:pPr>
      <w:r w:rsidRPr="003A7791">
        <w:rPr>
          <w:sz w:val="24"/>
          <w:szCs w:val="24"/>
        </w:rPr>
        <w:t>ONS (2024) Construction statistics, Great Britain: 2024. London: Office for National Statistics.</w:t>
      </w:r>
      <w:r w:rsidRPr="003A7791">
        <w:rPr>
          <w:sz w:val="24"/>
          <w:szCs w:val="24"/>
          <w:lang w:val="en-US"/>
        </w:rPr>
        <w:t xml:space="preserve"> </w:t>
      </w:r>
      <w:hyperlink r:id="rId33" w:history="1">
        <w:r w:rsidRPr="003A7791">
          <w:rPr>
            <w:rStyle w:val="Hyperlink"/>
            <w:sz w:val="24"/>
            <w:szCs w:val="24"/>
            <w:lang w:val="en-US"/>
          </w:rPr>
          <w:t>https://www.ons.gov.uk/releases/constructionstatisticsgreatbritain2024</w:t>
        </w:r>
      </w:hyperlink>
      <w:r w:rsidRPr="003A7791">
        <w:rPr>
          <w:sz w:val="24"/>
          <w:szCs w:val="24"/>
          <w:lang w:val="en-US"/>
        </w:rPr>
        <w:t xml:space="preserve"> </w:t>
      </w:r>
    </w:p>
    <w:p w14:paraId="70A2A34A"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Paulraj, A., 2011. Understanding the relationships between internal resources and capabilities, sustainable supply management and organizational sustainability. </w:t>
      </w:r>
      <w:r w:rsidRPr="003A7791">
        <w:rPr>
          <w:rFonts w:eastAsia="SimSun"/>
          <w:i/>
          <w:iCs/>
          <w:color w:val="222222"/>
          <w:sz w:val="24"/>
          <w:szCs w:val="24"/>
          <w:shd w:val="clear" w:color="auto" w:fill="FFFFFF"/>
        </w:rPr>
        <w:t>Journal of Supply Chain Management</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47</w:t>
      </w:r>
      <w:r w:rsidRPr="003A7791">
        <w:rPr>
          <w:rFonts w:eastAsia="SimSun"/>
          <w:color w:val="222222"/>
          <w:sz w:val="24"/>
          <w:szCs w:val="24"/>
          <w:shd w:val="clear" w:color="auto" w:fill="FFFFFF"/>
        </w:rPr>
        <w:t>(1), pp.19-37.</w:t>
      </w:r>
    </w:p>
    <w:p w14:paraId="2A5F4432" w14:textId="77777777" w:rsidR="00876E72" w:rsidRPr="003A7791" w:rsidRDefault="00876E72" w:rsidP="003A7791">
      <w:pPr>
        <w:spacing w:before="120" w:after="120" w:line="360" w:lineRule="auto"/>
        <w:ind w:left="720" w:hanging="720"/>
        <w:rPr>
          <w:sz w:val="24"/>
          <w:szCs w:val="24"/>
        </w:rPr>
      </w:pPr>
      <w:r w:rsidRPr="003A7791">
        <w:rPr>
          <w:rFonts w:eastAsia="SimSun"/>
          <w:color w:val="222222"/>
          <w:sz w:val="24"/>
          <w:szCs w:val="24"/>
          <w:shd w:val="clear" w:color="auto" w:fill="FFFFFF"/>
        </w:rPr>
        <w:t xml:space="preserve">Pfeffer, J. and </w:t>
      </w:r>
      <w:proofErr w:type="spellStart"/>
      <w:r w:rsidRPr="003A7791">
        <w:rPr>
          <w:rFonts w:eastAsia="SimSun"/>
          <w:color w:val="222222"/>
          <w:sz w:val="24"/>
          <w:szCs w:val="24"/>
          <w:shd w:val="clear" w:color="auto" w:fill="FFFFFF"/>
        </w:rPr>
        <w:t>Salancik</w:t>
      </w:r>
      <w:proofErr w:type="spellEnd"/>
      <w:r w:rsidRPr="003A7791">
        <w:rPr>
          <w:rFonts w:eastAsia="SimSun"/>
          <w:color w:val="222222"/>
          <w:sz w:val="24"/>
          <w:szCs w:val="24"/>
          <w:shd w:val="clear" w:color="auto" w:fill="FFFFFF"/>
        </w:rPr>
        <w:t>, G., 2015. External control of organizations—Resource dependence perspective. In </w:t>
      </w:r>
      <w:r w:rsidRPr="003A7791">
        <w:rPr>
          <w:rFonts w:eastAsia="SimSun"/>
          <w:i/>
          <w:iCs/>
          <w:color w:val="222222"/>
          <w:sz w:val="24"/>
          <w:szCs w:val="24"/>
          <w:shd w:val="clear" w:color="auto" w:fill="FFFFFF"/>
        </w:rPr>
        <w:t xml:space="preserve">Organizational </w:t>
      </w:r>
      <w:proofErr w:type="spellStart"/>
      <w:r w:rsidRPr="003A7791">
        <w:rPr>
          <w:rFonts w:eastAsia="SimSun"/>
          <w:i/>
          <w:iCs/>
          <w:color w:val="222222"/>
          <w:sz w:val="24"/>
          <w:szCs w:val="24"/>
          <w:shd w:val="clear" w:color="auto" w:fill="FFFFFF"/>
        </w:rPr>
        <w:t>behavior</w:t>
      </w:r>
      <w:proofErr w:type="spellEnd"/>
      <w:r w:rsidRPr="003A7791">
        <w:rPr>
          <w:rFonts w:eastAsia="SimSun"/>
          <w:i/>
          <w:iCs/>
          <w:color w:val="222222"/>
          <w:sz w:val="24"/>
          <w:szCs w:val="24"/>
          <w:shd w:val="clear" w:color="auto" w:fill="FFFFFF"/>
        </w:rPr>
        <w:t xml:space="preserve"> 2</w:t>
      </w:r>
      <w:r w:rsidRPr="003A7791">
        <w:rPr>
          <w:rFonts w:eastAsia="SimSun"/>
          <w:color w:val="222222"/>
          <w:sz w:val="24"/>
          <w:szCs w:val="24"/>
          <w:shd w:val="clear" w:color="auto" w:fill="FFFFFF"/>
        </w:rPr>
        <w:t xml:space="preserve"> (pp. 355-370). </w:t>
      </w:r>
      <w:proofErr w:type="spellStart"/>
      <w:r w:rsidRPr="003A7791">
        <w:rPr>
          <w:rFonts w:eastAsia="SimSun"/>
          <w:color w:val="222222"/>
          <w:sz w:val="24"/>
          <w:szCs w:val="24"/>
          <w:shd w:val="clear" w:color="auto" w:fill="FFFFFF"/>
        </w:rPr>
        <w:t>Routledge.</w:t>
      </w:r>
      <w:r w:rsidRPr="003A7791">
        <w:rPr>
          <w:sz w:val="24"/>
          <w:szCs w:val="24"/>
        </w:rPr>
        <w:t>Pomponi</w:t>
      </w:r>
      <w:proofErr w:type="spellEnd"/>
      <w:r w:rsidRPr="003A7791">
        <w:rPr>
          <w:sz w:val="24"/>
          <w:szCs w:val="24"/>
        </w:rPr>
        <w:t xml:space="preserve">, F. and </w:t>
      </w:r>
      <w:proofErr w:type="spellStart"/>
      <w:r w:rsidRPr="003A7791">
        <w:rPr>
          <w:sz w:val="24"/>
          <w:szCs w:val="24"/>
        </w:rPr>
        <w:t>Moncaster</w:t>
      </w:r>
      <w:proofErr w:type="spellEnd"/>
      <w:r w:rsidRPr="003A7791">
        <w:rPr>
          <w:sz w:val="24"/>
          <w:szCs w:val="24"/>
        </w:rPr>
        <w:t>, A. (2016) 'Embodied carbon mitigation and reduction in the built environment', Journal of Cleaner Production, 140, pp. 2050–2065.</w:t>
      </w:r>
    </w:p>
    <w:p w14:paraId="23C804D0"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Porter, M.E. and Linde, C.V.D., 1995. Toward a new conception of the environment-competitiveness relationship. </w:t>
      </w:r>
      <w:r w:rsidRPr="003A7791">
        <w:rPr>
          <w:rFonts w:eastAsia="SimSun"/>
          <w:i/>
          <w:iCs/>
          <w:color w:val="222222"/>
          <w:sz w:val="24"/>
          <w:szCs w:val="24"/>
          <w:shd w:val="clear" w:color="auto" w:fill="FFFFFF"/>
        </w:rPr>
        <w:t>Journal of economic perspectives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9</w:t>
      </w:r>
      <w:r w:rsidRPr="003A7791">
        <w:rPr>
          <w:rFonts w:eastAsia="SimSun"/>
          <w:color w:val="222222"/>
          <w:sz w:val="24"/>
          <w:szCs w:val="24"/>
          <w:shd w:val="clear" w:color="auto" w:fill="FFFFFF"/>
        </w:rPr>
        <w:t>(4), pp.97-118.</w:t>
      </w:r>
    </w:p>
    <w:p w14:paraId="4B6D6073"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Porter, M.E. and Linde, C.V.D., 1995. Toward a new conception of the environment-competitiveness relationship. </w:t>
      </w:r>
      <w:r w:rsidRPr="003A7791">
        <w:rPr>
          <w:rFonts w:eastAsia="SimSun"/>
          <w:i/>
          <w:iCs/>
          <w:color w:val="222222"/>
          <w:sz w:val="24"/>
          <w:szCs w:val="24"/>
          <w:shd w:val="clear" w:color="auto" w:fill="FFFFFF"/>
        </w:rPr>
        <w:t>Journal of economic perspectives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9</w:t>
      </w:r>
      <w:r w:rsidRPr="003A7791">
        <w:rPr>
          <w:rFonts w:eastAsia="SimSun"/>
          <w:color w:val="222222"/>
          <w:sz w:val="24"/>
          <w:szCs w:val="24"/>
          <w:shd w:val="clear" w:color="auto" w:fill="FFFFFF"/>
        </w:rPr>
        <w:t>(4), pp.97-118.</w:t>
      </w:r>
    </w:p>
    <w:p w14:paraId="3E1A0128" w14:textId="77777777" w:rsidR="00876E72" w:rsidRPr="003A7791" w:rsidRDefault="00876E72" w:rsidP="003A7791">
      <w:pPr>
        <w:spacing w:before="120" w:after="120" w:line="360" w:lineRule="auto"/>
        <w:ind w:left="720" w:hanging="720"/>
        <w:rPr>
          <w:sz w:val="24"/>
          <w:szCs w:val="24"/>
        </w:rPr>
      </w:pPr>
      <w:r w:rsidRPr="003A7791">
        <w:rPr>
          <w:sz w:val="24"/>
          <w:szCs w:val="24"/>
        </w:rPr>
        <w:t>PwC (2023) Sustainable by design: a blueprint for sourcing green building materials. London: PwC.</w:t>
      </w:r>
      <w:r w:rsidRPr="003A7791">
        <w:rPr>
          <w:sz w:val="24"/>
          <w:szCs w:val="24"/>
          <w:lang w:val="en-US"/>
        </w:rPr>
        <w:t xml:space="preserve"> </w:t>
      </w:r>
      <w:hyperlink r:id="rId34" w:history="1">
        <w:r w:rsidRPr="003A7791">
          <w:rPr>
            <w:rStyle w:val="Hyperlink"/>
            <w:sz w:val="24"/>
            <w:szCs w:val="24"/>
            <w:lang w:val="en-US"/>
          </w:rPr>
          <w:t>https://www.pwc.com/gx/en/issues/business-model-reinvention/how-we-fuel-and-power/sustainable-energy-infrastructure/blueprint-for-sourcing-green-building-materials.html</w:t>
        </w:r>
      </w:hyperlink>
      <w:r w:rsidRPr="003A7791">
        <w:rPr>
          <w:sz w:val="24"/>
          <w:szCs w:val="24"/>
          <w:lang w:val="en-US"/>
        </w:rPr>
        <w:t xml:space="preserve"> </w:t>
      </w:r>
    </w:p>
    <w:p w14:paraId="06AB2C28"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Ramadorai</w:t>
      </w:r>
      <w:proofErr w:type="spellEnd"/>
      <w:r w:rsidRPr="003A7791">
        <w:rPr>
          <w:rFonts w:eastAsia="SimSun"/>
          <w:color w:val="222222"/>
          <w:sz w:val="24"/>
          <w:szCs w:val="24"/>
          <w:shd w:val="clear" w:color="auto" w:fill="FFFFFF"/>
        </w:rPr>
        <w:t>, T. and Zeni, F., 2024. Climate regulation and emissions abatement: Theory and evidence from firms’ disclosures. </w:t>
      </w:r>
      <w:r w:rsidRPr="003A7791">
        <w:rPr>
          <w:rFonts w:eastAsia="SimSun"/>
          <w:i/>
          <w:iCs/>
          <w:color w:val="222222"/>
          <w:sz w:val="24"/>
          <w:szCs w:val="24"/>
          <w:shd w:val="clear" w:color="auto" w:fill="FFFFFF"/>
        </w:rPr>
        <w:t>Management Science</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70</w:t>
      </w:r>
      <w:r w:rsidRPr="003A7791">
        <w:rPr>
          <w:rFonts w:eastAsia="SimSun"/>
          <w:color w:val="222222"/>
          <w:sz w:val="24"/>
          <w:szCs w:val="24"/>
          <w:shd w:val="clear" w:color="auto" w:fill="FFFFFF"/>
        </w:rPr>
        <w:t>(12), pp.8366-8385.</w:t>
      </w:r>
    </w:p>
    <w:p w14:paraId="6FC9BF17" w14:textId="77777777" w:rsidR="00876E72" w:rsidRPr="003A7791" w:rsidRDefault="00876E72" w:rsidP="003A7791">
      <w:pPr>
        <w:spacing w:before="120" w:after="120" w:line="360" w:lineRule="auto"/>
        <w:ind w:left="720" w:hanging="720"/>
        <w:rPr>
          <w:sz w:val="24"/>
          <w:szCs w:val="24"/>
        </w:rPr>
      </w:pPr>
      <w:r w:rsidRPr="003A7791">
        <w:rPr>
          <w:sz w:val="24"/>
          <w:szCs w:val="24"/>
        </w:rPr>
        <w:t>RICS (2023) Building cost implications of carbon border adjustments. London: Royal Institution of Chartered Surveyors.</w:t>
      </w:r>
      <w:r w:rsidRPr="003A7791">
        <w:rPr>
          <w:sz w:val="24"/>
          <w:szCs w:val="24"/>
          <w:lang w:val="en-US"/>
        </w:rPr>
        <w:t xml:space="preserve"> </w:t>
      </w:r>
      <w:hyperlink r:id="rId35" w:history="1">
        <w:r w:rsidRPr="003A7791">
          <w:rPr>
            <w:rStyle w:val="Hyperlink"/>
            <w:sz w:val="24"/>
            <w:szCs w:val="24"/>
            <w:lang w:val="en-US"/>
          </w:rPr>
          <w:t>https://www.rics.org/content/dam/ricsglobal/documents/reports/rics-sustainability-report-2023-final.pdf</w:t>
        </w:r>
      </w:hyperlink>
      <w:r w:rsidRPr="003A7791">
        <w:rPr>
          <w:sz w:val="24"/>
          <w:szCs w:val="24"/>
          <w:lang w:val="en-US"/>
        </w:rPr>
        <w:t xml:space="preserve"> </w:t>
      </w:r>
    </w:p>
    <w:p w14:paraId="29B4B6EA" w14:textId="77777777" w:rsidR="00876E72" w:rsidRPr="003A7791" w:rsidRDefault="00876E72" w:rsidP="003A7791">
      <w:pPr>
        <w:spacing w:before="120" w:after="120" w:line="360" w:lineRule="auto"/>
        <w:ind w:left="720" w:hanging="720"/>
        <w:rPr>
          <w:sz w:val="24"/>
          <w:szCs w:val="24"/>
        </w:rPr>
      </w:pPr>
      <w:r w:rsidRPr="003A7791">
        <w:rPr>
          <w:rFonts w:eastAsia="SimSun"/>
          <w:color w:val="222222"/>
          <w:sz w:val="24"/>
          <w:szCs w:val="24"/>
          <w:shd w:val="clear" w:color="auto" w:fill="FFFFFF"/>
        </w:rPr>
        <w:lastRenderedPageBreak/>
        <w:t>Rindfleisch, A. and Heide, J.B., 1997. Transaction cost analysis: past, present, and future applications. </w:t>
      </w:r>
      <w:r w:rsidRPr="003A7791">
        <w:rPr>
          <w:rFonts w:eastAsia="SimSun"/>
          <w:i/>
          <w:iCs/>
          <w:color w:val="222222"/>
          <w:sz w:val="24"/>
          <w:szCs w:val="24"/>
          <w:shd w:val="clear" w:color="auto" w:fill="FFFFFF"/>
        </w:rPr>
        <w:t>Journal of marketing</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61</w:t>
      </w:r>
      <w:r w:rsidRPr="003A7791">
        <w:rPr>
          <w:rFonts w:eastAsia="SimSun"/>
          <w:color w:val="222222"/>
          <w:sz w:val="24"/>
          <w:szCs w:val="24"/>
          <w:shd w:val="clear" w:color="auto" w:fill="FFFFFF"/>
        </w:rPr>
        <w:t>(4), pp.30-</w:t>
      </w:r>
      <w:proofErr w:type="gramStart"/>
      <w:r w:rsidRPr="003A7791">
        <w:rPr>
          <w:rFonts w:eastAsia="SimSun"/>
          <w:color w:val="222222"/>
          <w:sz w:val="24"/>
          <w:szCs w:val="24"/>
          <w:shd w:val="clear" w:color="auto" w:fill="FFFFFF"/>
        </w:rPr>
        <w:t>54.</w:t>
      </w:r>
      <w:r w:rsidRPr="003A7791">
        <w:rPr>
          <w:sz w:val="24"/>
          <w:szCs w:val="24"/>
        </w:rPr>
        <w:t>Rootzén</w:t>
      </w:r>
      <w:proofErr w:type="gramEnd"/>
      <w:r w:rsidRPr="003A7791">
        <w:rPr>
          <w:sz w:val="24"/>
          <w:szCs w:val="24"/>
        </w:rPr>
        <w:t>, J. and Johnsson, F. (2017) 'Paying the full price of steel', Energy Policy, 98, pp. 459–466.</w:t>
      </w:r>
    </w:p>
    <w:p w14:paraId="14D9F5AB"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Santikarn</w:t>
      </w:r>
      <w:proofErr w:type="spellEnd"/>
      <w:r w:rsidRPr="003A7791">
        <w:rPr>
          <w:rFonts w:eastAsia="SimSun"/>
          <w:color w:val="222222"/>
          <w:sz w:val="24"/>
          <w:szCs w:val="24"/>
          <w:shd w:val="clear" w:color="auto" w:fill="FFFFFF"/>
        </w:rPr>
        <w:t xml:space="preserve">, M., </w:t>
      </w:r>
      <w:proofErr w:type="spellStart"/>
      <w:r w:rsidRPr="003A7791">
        <w:rPr>
          <w:rFonts w:eastAsia="SimSun"/>
          <w:color w:val="222222"/>
          <w:sz w:val="24"/>
          <w:szCs w:val="24"/>
          <w:shd w:val="clear" w:color="auto" w:fill="FFFFFF"/>
        </w:rPr>
        <w:t>Churie</w:t>
      </w:r>
      <w:proofErr w:type="spellEnd"/>
      <w:r w:rsidRPr="003A7791">
        <w:rPr>
          <w:rFonts w:eastAsia="SimSun"/>
          <w:color w:val="222222"/>
          <w:sz w:val="24"/>
          <w:szCs w:val="24"/>
          <w:shd w:val="clear" w:color="auto" w:fill="FFFFFF"/>
        </w:rPr>
        <w:t xml:space="preserve"> Kallhauge, A.N., </w:t>
      </w:r>
      <w:proofErr w:type="spellStart"/>
      <w:r w:rsidRPr="003A7791">
        <w:rPr>
          <w:rFonts w:eastAsia="SimSun"/>
          <w:color w:val="222222"/>
          <w:sz w:val="24"/>
          <w:szCs w:val="24"/>
          <w:shd w:val="clear" w:color="auto" w:fill="FFFFFF"/>
        </w:rPr>
        <w:t>Bozcaga</w:t>
      </w:r>
      <w:proofErr w:type="spellEnd"/>
      <w:r w:rsidRPr="003A7791">
        <w:rPr>
          <w:rFonts w:eastAsia="SimSun"/>
          <w:color w:val="222222"/>
          <w:sz w:val="24"/>
          <w:szCs w:val="24"/>
          <w:shd w:val="clear" w:color="auto" w:fill="FFFFFF"/>
        </w:rPr>
        <w:t xml:space="preserve">, M.O., Sattler, L., </w:t>
      </w:r>
      <w:proofErr w:type="spellStart"/>
      <w:r w:rsidRPr="003A7791">
        <w:rPr>
          <w:rFonts w:eastAsia="SimSun"/>
          <w:color w:val="222222"/>
          <w:sz w:val="24"/>
          <w:szCs w:val="24"/>
          <w:shd w:val="clear" w:color="auto" w:fill="FFFFFF"/>
        </w:rPr>
        <w:t>Mccormick</w:t>
      </w:r>
      <w:proofErr w:type="spellEnd"/>
      <w:r w:rsidRPr="003A7791">
        <w:rPr>
          <w:rFonts w:eastAsia="SimSun"/>
          <w:color w:val="222222"/>
          <w:sz w:val="24"/>
          <w:szCs w:val="24"/>
          <w:shd w:val="clear" w:color="auto" w:fill="FFFFFF"/>
        </w:rPr>
        <w:t xml:space="preserve">, M.S., Ferran Torres, A., Conway, D., </w:t>
      </w:r>
      <w:proofErr w:type="spellStart"/>
      <w:r w:rsidRPr="003A7791">
        <w:rPr>
          <w:rFonts w:eastAsia="SimSun"/>
          <w:color w:val="222222"/>
          <w:sz w:val="24"/>
          <w:szCs w:val="24"/>
          <w:shd w:val="clear" w:color="auto" w:fill="FFFFFF"/>
        </w:rPr>
        <w:t>Mongendre</w:t>
      </w:r>
      <w:proofErr w:type="spellEnd"/>
      <w:r w:rsidRPr="003A7791">
        <w:rPr>
          <w:rFonts w:eastAsia="SimSun"/>
          <w:color w:val="222222"/>
          <w:sz w:val="24"/>
          <w:szCs w:val="24"/>
          <w:shd w:val="clear" w:color="auto" w:fill="FFFFFF"/>
        </w:rPr>
        <w:t>, L., Inclan, C., Mikolajczyk, S. and Gilde, L.T., 2021. State and trends of carbon pricing 2021.</w:t>
      </w:r>
    </w:p>
    <w:p w14:paraId="08B25F9D"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Saunders, M., 2009. Research methods for business students. </w:t>
      </w:r>
      <w:r w:rsidRPr="003A7791">
        <w:rPr>
          <w:rFonts w:eastAsia="SimSun"/>
          <w:i/>
          <w:iCs/>
          <w:color w:val="222222"/>
          <w:sz w:val="24"/>
          <w:szCs w:val="24"/>
          <w:shd w:val="clear" w:color="auto" w:fill="FFFFFF"/>
        </w:rPr>
        <w:t>Person Education Limited</w:t>
      </w:r>
      <w:r w:rsidRPr="003A7791">
        <w:rPr>
          <w:rFonts w:eastAsia="SimSun"/>
          <w:color w:val="222222"/>
          <w:sz w:val="24"/>
          <w:szCs w:val="24"/>
          <w:shd w:val="clear" w:color="auto" w:fill="FFFFFF"/>
        </w:rPr>
        <w:t>.</w:t>
      </w:r>
    </w:p>
    <w:p w14:paraId="3E0AD03E"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Schaltegger, S., Roger Burritt, D., </w:t>
      </w:r>
      <w:proofErr w:type="spellStart"/>
      <w:r w:rsidRPr="003A7791">
        <w:rPr>
          <w:rFonts w:eastAsia="SimSun"/>
          <w:color w:val="222222"/>
          <w:sz w:val="24"/>
          <w:szCs w:val="24"/>
          <w:shd w:val="clear" w:color="auto" w:fill="FFFFFF"/>
        </w:rPr>
        <w:t>Schaltegger</w:t>
      </w:r>
      <w:proofErr w:type="spellEnd"/>
      <w:r w:rsidRPr="003A7791">
        <w:rPr>
          <w:rFonts w:eastAsia="SimSun"/>
          <w:color w:val="222222"/>
          <w:sz w:val="24"/>
          <w:szCs w:val="24"/>
          <w:shd w:val="clear" w:color="auto" w:fill="FFFFFF"/>
        </w:rPr>
        <w:t xml:space="preserve">, S. and Burritt, R., 2014. Measuring and managing sustainability performance of supply </w:t>
      </w:r>
      <w:proofErr w:type="spellStart"/>
      <w:r w:rsidRPr="003A7791">
        <w:rPr>
          <w:rFonts w:eastAsia="SimSun"/>
          <w:color w:val="222222"/>
          <w:sz w:val="24"/>
          <w:szCs w:val="24"/>
          <w:shd w:val="clear" w:color="auto" w:fill="FFFFFF"/>
        </w:rPr>
        <w:t>chainsReview</w:t>
      </w:r>
      <w:proofErr w:type="spellEnd"/>
      <w:r w:rsidRPr="003A7791">
        <w:rPr>
          <w:rFonts w:eastAsia="SimSun"/>
          <w:color w:val="222222"/>
          <w:sz w:val="24"/>
          <w:szCs w:val="24"/>
          <w:shd w:val="clear" w:color="auto" w:fill="FFFFFF"/>
        </w:rPr>
        <w:t xml:space="preserve"> and sustainability supply chain management framework. </w:t>
      </w:r>
      <w:r w:rsidRPr="003A7791">
        <w:rPr>
          <w:rFonts w:eastAsia="SimSun"/>
          <w:i/>
          <w:iCs/>
          <w:color w:val="222222"/>
          <w:sz w:val="24"/>
          <w:szCs w:val="24"/>
          <w:shd w:val="clear" w:color="auto" w:fill="FFFFFF"/>
        </w:rPr>
        <w:t>Supply Chain Management: An International Journal</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19</w:t>
      </w:r>
      <w:r w:rsidRPr="003A7791">
        <w:rPr>
          <w:rFonts w:eastAsia="SimSun"/>
          <w:color w:val="222222"/>
          <w:sz w:val="24"/>
          <w:szCs w:val="24"/>
          <w:shd w:val="clear" w:color="auto" w:fill="FFFFFF"/>
        </w:rPr>
        <w:t>(3), pp.232-241.</w:t>
      </w:r>
    </w:p>
    <w:p w14:paraId="3FE3BBEE"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Scott, W.R., 2013. </w:t>
      </w:r>
      <w:r w:rsidRPr="003A7791">
        <w:rPr>
          <w:rFonts w:eastAsia="SimSun"/>
          <w:i/>
          <w:iCs/>
          <w:color w:val="222222"/>
          <w:sz w:val="24"/>
          <w:szCs w:val="24"/>
          <w:shd w:val="clear" w:color="auto" w:fill="FFFFFF"/>
        </w:rPr>
        <w:t>Institutions and organizations: Ideas, interests, and identities</w:t>
      </w:r>
      <w:r w:rsidRPr="003A7791">
        <w:rPr>
          <w:rFonts w:eastAsia="SimSun"/>
          <w:color w:val="222222"/>
          <w:sz w:val="24"/>
          <w:szCs w:val="24"/>
          <w:shd w:val="clear" w:color="auto" w:fill="FFFFFF"/>
        </w:rPr>
        <w:t>. Sage publications.</w:t>
      </w:r>
    </w:p>
    <w:p w14:paraId="1EAD7866"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Shee</w:t>
      </w:r>
      <w:proofErr w:type="spellEnd"/>
      <w:r w:rsidRPr="003A7791">
        <w:rPr>
          <w:rFonts w:eastAsia="SimSun"/>
          <w:color w:val="222222"/>
          <w:sz w:val="24"/>
          <w:szCs w:val="24"/>
          <w:shd w:val="clear" w:color="auto" w:fill="FFFFFF"/>
        </w:rPr>
        <w:t xml:space="preserve"> Weng, L., 2025. The EU's carbon border adjustment mechanism (CBAM): balancing climate action and global trade. </w:t>
      </w:r>
      <w:r w:rsidRPr="003A7791">
        <w:rPr>
          <w:rFonts w:eastAsia="SimSun"/>
          <w:i/>
          <w:iCs/>
          <w:color w:val="222222"/>
          <w:sz w:val="24"/>
          <w:szCs w:val="24"/>
          <w:shd w:val="clear" w:color="auto" w:fill="FFFFFF"/>
        </w:rPr>
        <w:t>The EU's Carbon Border Adjustment Mechanism (CBAM): Balancing Climate Action and Global Trade (March 01, 2025)</w:t>
      </w:r>
      <w:r w:rsidRPr="003A7791">
        <w:rPr>
          <w:rFonts w:eastAsia="SimSun"/>
          <w:color w:val="222222"/>
          <w:sz w:val="24"/>
          <w:szCs w:val="24"/>
          <w:shd w:val="clear" w:color="auto" w:fill="FFFFFF"/>
        </w:rPr>
        <w:t>.</w:t>
      </w:r>
    </w:p>
    <w:p w14:paraId="7FF099D9"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proofErr w:type="spellStart"/>
      <w:r w:rsidRPr="003A7791">
        <w:rPr>
          <w:rFonts w:eastAsia="SimSun"/>
          <w:color w:val="222222"/>
          <w:sz w:val="24"/>
          <w:szCs w:val="24"/>
          <w:shd w:val="clear" w:color="auto" w:fill="FFFFFF"/>
        </w:rPr>
        <w:t>Shee</w:t>
      </w:r>
      <w:proofErr w:type="spellEnd"/>
      <w:r w:rsidRPr="003A7791">
        <w:rPr>
          <w:rFonts w:eastAsia="SimSun"/>
          <w:color w:val="222222"/>
          <w:sz w:val="24"/>
          <w:szCs w:val="24"/>
          <w:shd w:val="clear" w:color="auto" w:fill="FFFFFF"/>
        </w:rPr>
        <w:t xml:space="preserve"> Weng, L., 2025. The EU's carbon border adjustment mechanism (CBAM): balancing climate action and global trade. </w:t>
      </w:r>
      <w:r w:rsidRPr="003A7791">
        <w:rPr>
          <w:rFonts w:eastAsia="SimSun"/>
          <w:i/>
          <w:iCs/>
          <w:color w:val="222222"/>
          <w:sz w:val="24"/>
          <w:szCs w:val="24"/>
          <w:shd w:val="clear" w:color="auto" w:fill="FFFFFF"/>
        </w:rPr>
        <w:t>The EU's Carbon Border Adjustment Mechanism (CBAM): Balancing Climate Action and Global Trade (March 01, 2025)</w:t>
      </w:r>
      <w:r w:rsidRPr="003A7791">
        <w:rPr>
          <w:rFonts w:eastAsia="SimSun"/>
          <w:color w:val="222222"/>
          <w:sz w:val="24"/>
          <w:szCs w:val="24"/>
          <w:shd w:val="clear" w:color="auto" w:fill="FFFFFF"/>
        </w:rPr>
        <w:t>.</w:t>
      </w:r>
    </w:p>
    <w:p w14:paraId="4C4B0DE5"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Snyder, H., 2019. Literature review as a research methodology: An overview and guidelines. </w:t>
      </w:r>
      <w:r w:rsidRPr="003A7791">
        <w:rPr>
          <w:rFonts w:eastAsia="SimSun"/>
          <w:i/>
          <w:iCs/>
          <w:color w:val="222222"/>
          <w:sz w:val="24"/>
          <w:szCs w:val="24"/>
          <w:shd w:val="clear" w:color="auto" w:fill="FFFFFF"/>
        </w:rPr>
        <w:t>Journal of business research</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104</w:t>
      </w:r>
      <w:r w:rsidRPr="003A7791">
        <w:rPr>
          <w:rFonts w:eastAsia="SimSun"/>
          <w:color w:val="222222"/>
          <w:sz w:val="24"/>
          <w:szCs w:val="24"/>
          <w:shd w:val="clear" w:color="auto" w:fill="FFFFFF"/>
        </w:rPr>
        <w:t>, pp.333-339.</w:t>
      </w:r>
    </w:p>
    <w:p w14:paraId="7660F1F7"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Sugar, K., Mose, T.M., Nolden, C., Davis, M., Eyre, N., Sanchez-</w:t>
      </w:r>
      <w:proofErr w:type="spellStart"/>
      <w:r w:rsidRPr="003A7791">
        <w:rPr>
          <w:rFonts w:eastAsia="SimSun"/>
          <w:color w:val="222222"/>
          <w:sz w:val="24"/>
          <w:szCs w:val="24"/>
          <w:shd w:val="clear" w:color="auto" w:fill="FFFFFF"/>
        </w:rPr>
        <w:t>Graells</w:t>
      </w:r>
      <w:proofErr w:type="spellEnd"/>
      <w:r w:rsidRPr="003A7791">
        <w:rPr>
          <w:rFonts w:eastAsia="SimSun"/>
          <w:color w:val="222222"/>
          <w:sz w:val="24"/>
          <w:szCs w:val="24"/>
          <w:shd w:val="clear" w:color="auto" w:fill="FFFFFF"/>
        </w:rPr>
        <w:t>, A. and Van der Horst, D., 2022. Local decarbonisation opportunities and barriers: UK public procurement legislation. </w:t>
      </w:r>
      <w:r w:rsidRPr="003A7791">
        <w:rPr>
          <w:rFonts w:eastAsia="SimSun"/>
          <w:i/>
          <w:iCs/>
          <w:color w:val="222222"/>
          <w:sz w:val="24"/>
          <w:szCs w:val="24"/>
          <w:shd w:val="clear" w:color="auto" w:fill="FFFFFF"/>
        </w:rPr>
        <w:t>Buildings and Cities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3</w:t>
      </w:r>
      <w:r w:rsidRPr="003A7791">
        <w:rPr>
          <w:rFonts w:eastAsia="SimSun"/>
          <w:color w:val="222222"/>
          <w:sz w:val="24"/>
          <w:szCs w:val="24"/>
          <w:shd w:val="clear" w:color="auto" w:fill="FFFFFF"/>
        </w:rPr>
        <w:t>(1), pp.895-911.</w:t>
      </w:r>
    </w:p>
    <w:p w14:paraId="002F8087" w14:textId="77777777" w:rsidR="00876E72" w:rsidRPr="003A7791" w:rsidRDefault="00876E72" w:rsidP="003A7791">
      <w:pPr>
        <w:spacing w:before="120" w:after="120" w:line="360" w:lineRule="auto"/>
        <w:ind w:left="720" w:hanging="720"/>
        <w:rPr>
          <w:sz w:val="24"/>
          <w:szCs w:val="24"/>
        </w:rPr>
      </w:pPr>
      <w:r w:rsidRPr="003A7791">
        <w:rPr>
          <w:sz w:val="24"/>
          <w:szCs w:val="24"/>
        </w:rPr>
        <w:t>Tata Steel (2023) Port Talbot transition to electric arc furnace steelmaking: announcement. Mumbai: Tata Steel.</w:t>
      </w:r>
      <w:r w:rsidRPr="003A7791">
        <w:rPr>
          <w:sz w:val="24"/>
          <w:szCs w:val="24"/>
          <w:lang w:val="en-US"/>
        </w:rPr>
        <w:t xml:space="preserve"> </w:t>
      </w:r>
      <w:hyperlink r:id="rId36" w:history="1">
        <w:r w:rsidRPr="003A7791">
          <w:rPr>
            <w:rStyle w:val="Hyperlink"/>
            <w:sz w:val="24"/>
            <w:szCs w:val="24"/>
            <w:lang w:val="en-US"/>
          </w:rPr>
          <w:t>https://www.tatasteel.com/newsroom/press-releases/india/2025/tata-group-chairman-n-chandrasekaran-marks-groundbreaking-of-new-electric-arc-furnace-at-port-talbot/</w:t>
        </w:r>
      </w:hyperlink>
      <w:r w:rsidRPr="003A7791">
        <w:rPr>
          <w:sz w:val="24"/>
          <w:szCs w:val="24"/>
          <w:lang w:val="en-US"/>
        </w:rPr>
        <w:t xml:space="preserve"> </w:t>
      </w:r>
    </w:p>
    <w:p w14:paraId="39626ED2" w14:textId="77777777" w:rsidR="00876E72" w:rsidRPr="003A7791" w:rsidRDefault="00876E72" w:rsidP="003A7791">
      <w:pPr>
        <w:spacing w:before="120" w:after="120" w:line="360" w:lineRule="auto"/>
        <w:ind w:left="720" w:hanging="720"/>
        <w:rPr>
          <w:sz w:val="24"/>
          <w:szCs w:val="24"/>
        </w:rPr>
      </w:pPr>
      <w:r w:rsidRPr="003A7791">
        <w:rPr>
          <w:sz w:val="24"/>
          <w:szCs w:val="24"/>
        </w:rPr>
        <w:lastRenderedPageBreak/>
        <w:t>Thomas Telford (2023) NEC4 secondary option clauses: carbon reporting guidance. London: Thomas Telford.</w:t>
      </w:r>
      <w:r w:rsidRPr="003A7791">
        <w:rPr>
          <w:sz w:val="24"/>
          <w:szCs w:val="24"/>
          <w:lang w:val="en-US"/>
        </w:rPr>
        <w:t xml:space="preserve"> </w:t>
      </w:r>
      <w:hyperlink r:id="rId37" w:history="1">
        <w:r w:rsidRPr="003A7791">
          <w:rPr>
            <w:rStyle w:val="Hyperlink"/>
            <w:sz w:val="24"/>
            <w:szCs w:val="24"/>
            <w:lang w:val="en-US"/>
          </w:rPr>
          <w:t>https://www.neccontract.com/getmedia/927fb0b0-eab4-406d-895e-7e3f14b4627a/NEC4_FAC-1-Guidance-Notes.pdf?ext=.pdf&amp;srsltid=AfmBOooPY12qgJG6qIlTzuIkrdkDlwLBVVerYCxOMHjLMtf3-VH0gufE</w:t>
        </w:r>
      </w:hyperlink>
      <w:r w:rsidRPr="003A7791">
        <w:rPr>
          <w:sz w:val="24"/>
          <w:szCs w:val="24"/>
          <w:lang w:val="en-US"/>
        </w:rPr>
        <w:t xml:space="preserve"> </w:t>
      </w:r>
    </w:p>
    <w:p w14:paraId="1042357A"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Torraco, R.J., 2016. Writing integrative literature reviews: Using the past and present to explore the future. </w:t>
      </w:r>
      <w:r w:rsidRPr="003A7791">
        <w:rPr>
          <w:rFonts w:eastAsia="SimSun"/>
          <w:i/>
          <w:iCs/>
          <w:color w:val="222222"/>
          <w:sz w:val="24"/>
          <w:szCs w:val="24"/>
          <w:shd w:val="clear" w:color="auto" w:fill="FFFFFF"/>
        </w:rPr>
        <w:t>Human resource development review</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15</w:t>
      </w:r>
      <w:r w:rsidRPr="003A7791">
        <w:rPr>
          <w:rFonts w:eastAsia="SimSun"/>
          <w:color w:val="222222"/>
          <w:sz w:val="24"/>
          <w:szCs w:val="24"/>
          <w:shd w:val="clear" w:color="auto" w:fill="FFFFFF"/>
        </w:rPr>
        <w:t>(4), pp.404-428.</w:t>
      </w:r>
    </w:p>
    <w:p w14:paraId="570A3A3F" w14:textId="77777777" w:rsidR="00876E72" w:rsidRPr="003A7791" w:rsidRDefault="00876E72" w:rsidP="003A7791">
      <w:pPr>
        <w:spacing w:before="120" w:after="120" w:line="360" w:lineRule="auto"/>
        <w:ind w:left="720" w:hanging="720"/>
        <w:rPr>
          <w:sz w:val="24"/>
          <w:szCs w:val="24"/>
        </w:rPr>
      </w:pPr>
      <w:r w:rsidRPr="003A7791">
        <w:rPr>
          <w:sz w:val="24"/>
          <w:szCs w:val="24"/>
        </w:rPr>
        <w:t>Tunley Environmental (2024) CBAM implementation in supply chain. London: Tunley Environmental.</w:t>
      </w:r>
      <w:r w:rsidRPr="003A7791">
        <w:rPr>
          <w:sz w:val="24"/>
          <w:szCs w:val="24"/>
          <w:lang w:val="en-US"/>
        </w:rPr>
        <w:t xml:space="preserve"> </w:t>
      </w:r>
      <w:hyperlink r:id="rId38" w:history="1">
        <w:r w:rsidRPr="003A7791">
          <w:rPr>
            <w:rStyle w:val="Hyperlink"/>
            <w:sz w:val="24"/>
            <w:szCs w:val="24"/>
            <w:lang w:val="en-US"/>
          </w:rPr>
          <w:t>https://www.tunley-environmental.com/en/insights/cbam-implementation-in-supply-chain</w:t>
        </w:r>
      </w:hyperlink>
      <w:r w:rsidRPr="003A7791">
        <w:rPr>
          <w:sz w:val="24"/>
          <w:szCs w:val="24"/>
          <w:lang w:val="en-US"/>
        </w:rPr>
        <w:t xml:space="preserve"> </w:t>
      </w:r>
    </w:p>
    <w:p w14:paraId="3E69742E" w14:textId="77777777" w:rsidR="00876E72" w:rsidRPr="003A7791" w:rsidRDefault="00876E72" w:rsidP="003A7791">
      <w:pPr>
        <w:spacing w:before="120" w:after="120" w:line="360" w:lineRule="auto"/>
        <w:ind w:left="720" w:hanging="720"/>
        <w:rPr>
          <w:sz w:val="24"/>
          <w:szCs w:val="24"/>
        </w:rPr>
      </w:pPr>
      <w:r w:rsidRPr="003A7791">
        <w:rPr>
          <w:sz w:val="24"/>
          <w:szCs w:val="24"/>
        </w:rPr>
        <w:t>UK Department for Energy Security and Net Zero (2025) A policy framework to grow the market for low carbon industrial products. London: DESNZ.</w:t>
      </w:r>
      <w:r w:rsidRPr="003A7791">
        <w:rPr>
          <w:sz w:val="24"/>
          <w:szCs w:val="24"/>
          <w:lang w:val="en-US"/>
        </w:rPr>
        <w:t xml:space="preserve"> </w:t>
      </w:r>
      <w:hyperlink r:id="rId39" w:history="1">
        <w:r w:rsidRPr="003A7791">
          <w:rPr>
            <w:rStyle w:val="Hyperlink"/>
            <w:sz w:val="24"/>
            <w:szCs w:val="24"/>
            <w:lang w:val="en-US"/>
          </w:rPr>
          <w:t>https://www.gov.uk/government/consultations/growing-the-market-for-low-carbon-industrial-products-policy-framework/outcome/a-policy-framework-to-grow-the-market-for-low-carbon-industrial-products-government-response-factsheet</w:t>
        </w:r>
      </w:hyperlink>
      <w:r w:rsidRPr="003A7791">
        <w:rPr>
          <w:sz w:val="24"/>
          <w:szCs w:val="24"/>
          <w:lang w:val="en-US"/>
        </w:rPr>
        <w:t xml:space="preserve"> </w:t>
      </w:r>
    </w:p>
    <w:p w14:paraId="6E9AD4C3" w14:textId="77777777" w:rsidR="00876E72" w:rsidRPr="003A7791" w:rsidRDefault="00876E72" w:rsidP="003A7791">
      <w:pPr>
        <w:spacing w:before="120" w:after="120" w:line="360" w:lineRule="auto"/>
        <w:ind w:left="720" w:hanging="720"/>
        <w:rPr>
          <w:sz w:val="24"/>
          <w:szCs w:val="24"/>
        </w:rPr>
      </w:pPr>
      <w:r w:rsidRPr="003A7791">
        <w:rPr>
          <w:sz w:val="24"/>
          <w:szCs w:val="24"/>
        </w:rPr>
        <w:t>UK Government (2023) Steel public procurement 2023. London: HMRC.</w:t>
      </w:r>
      <w:r w:rsidRPr="003A7791">
        <w:rPr>
          <w:sz w:val="24"/>
          <w:szCs w:val="24"/>
          <w:lang w:val="en-US"/>
        </w:rPr>
        <w:t xml:space="preserve"> </w:t>
      </w:r>
      <w:hyperlink r:id="rId40" w:history="1">
        <w:r w:rsidRPr="003A7791">
          <w:rPr>
            <w:rStyle w:val="Hyperlink"/>
            <w:sz w:val="24"/>
            <w:szCs w:val="24"/>
            <w:lang w:val="en-US"/>
          </w:rPr>
          <w:t>https://www.gov.uk/government/publications/steel-public-procurement-2023</w:t>
        </w:r>
      </w:hyperlink>
      <w:r w:rsidRPr="003A7791">
        <w:rPr>
          <w:sz w:val="24"/>
          <w:szCs w:val="24"/>
          <w:lang w:val="en-US"/>
        </w:rPr>
        <w:t xml:space="preserve"> </w:t>
      </w:r>
    </w:p>
    <w:p w14:paraId="44E124B1" w14:textId="77777777" w:rsidR="00876E72" w:rsidRPr="003A7791" w:rsidRDefault="00876E72" w:rsidP="003A7791">
      <w:pPr>
        <w:spacing w:before="120" w:after="120" w:line="360" w:lineRule="auto"/>
        <w:ind w:left="720" w:hanging="720"/>
        <w:rPr>
          <w:sz w:val="24"/>
          <w:szCs w:val="24"/>
        </w:rPr>
      </w:pPr>
      <w:r w:rsidRPr="003A7791">
        <w:rPr>
          <w:sz w:val="24"/>
          <w:szCs w:val="24"/>
        </w:rPr>
        <w:t>UK Government (2025) Carbon border adjustment mechanism: policy factsheet. London: HM Treasury.</w:t>
      </w:r>
      <w:r w:rsidRPr="003A7791">
        <w:rPr>
          <w:sz w:val="24"/>
          <w:szCs w:val="24"/>
          <w:lang w:val="en-US"/>
        </w:rPr>
        <w:t xml:space="preserve"> </w:t>
      </w:r>
      <w:hyperlink r:id="rId41" w:history="1">
        <w:r w:rsidRPr="003A7791">
          <w:rPr>
            <w:rStyle w:val="Hyperlink"/>
            <w:sz w:val="24"/>
            <w:szCs w:val="24"/>
            <w:lang w:val="en-US"/>
          </w:rPr>
          <w:t>https://www.gov.uk/government/publications/factsheet-carbon-border-adjustment-mechanism-cbam/factsheet-carbon-border-adjustment-mechanism</w:t>
        </w:r>
      </w:hyperlink>
      <w:r w:rsidRPr="003A7791">
        <w:rPr>
          <w:sz w:val="24"/>
          <w:szCs w:val="24"/>
          <w:lang w:val="en-US"/>
        </w:rPr>
        <w:t xml:space="preserve"> </w:t>
      </w:r>
    </w:p>
    <w:p w14:paraId="0C496ADA" w14:textId="77777777" w:rsidR="00876E72" w:rsidRPr="003A7791" w:rsidRDefault="00876E72" w:rsidP="003A7791">
      <w:pPr>
        <w:spacing w:before="120" w:after="120" w:line="360" w:lineRule="auto"/>
        <w:ind w:left="720" w:hanging="720"/>
        <w:rPr>
          <w:sz w:val="24"/>
          <w:szCs w:val="24"/>
        </w:rPr>
      </w:pPr>
      <w:r w:rsidRPr="003A7791">
        <w:rPr>
          <w:sz w:val="24"/>
          <w:szCs w:val="24"/>
        </w:rPr>
        <w:t>UK Government (2025) The steel strategy: the plan for steel. London: HM Government.</w:t>
      </w:r>
      <w:r w:rsidRPr="003A7791">
        <w:rPr>
          <w:sz w:val="24"/>
          <w:szCs w:val="24"/>
          <w:lang w:val="en-US"/>
        </w:rPr>
        <w:t xml:space="preserve"> </w:t>
      </w:r>
      <w:hyperlink r:id="rId42" w:history="1">
        <w:r w:rsidRPr="003A7791">
          <w:rPr>
            <w:rStyle w:val="Hyperlink"/>
            <w:sz w:val="24"/>
            <w:szCs w:val="24"/>
            <w:lang w:val="en-US"/>
          </w:rPr>
          <w:t>https://www.gov.uk/government/consultations/input-into-the-steel-strategy/the-steel-strategy-the-plan-for-steel</w:t>
        </w:r>
      </w:hyperlink>
      <w:r w:rsidRPr="003A7791">
        <w:rPr>
          <w:sz w:val="24"/>
          <w:szCs w:val="24"/>
          <w:lang w:val="en-US"/>
        </w:rPr>
        <w:t xml:space="preserve"> </w:t>
      </w:r>
    </w:p>
    <w:p w14:paraId="7794EAC9" w14:textId="77777777" w:rsidR="00876E72" w:rsidRPr="003A7791" w:rsidRDefault="00876E72" w:rsidP="003A7791">
      <w:pPr>
        <w:spacing w:before="120" w:after="120" w:line="360" w:lineRule="auto"/>
        <w:ind w:left="720" w:hanging="720"/>
        <w:rPr>
          <w:sz w:val="24"/>
          <w:szCs w:val="24"/>
        </w:rPr>
      </w:pPr>
      <w:r w:rsidRPr="003A7791">
        <w:rPr>
          <w:sz w:val="24"/>
          <w:szCs w:val="24"/>
        </w:rPr>
        <w:t>UK Government / IDDI (2022) Green Public Procurement Pledge and IDDI membership. London: UK Government / COP28.</w:t>
      </w:r>
      <w:r w:rsidRPr="003A7791">
        <w:rPr>
          <w:sz w:val="24"/>
          <w:szCs w:val="24"/>
          <w:lang w:val="en-US"/>
        </w:rPr>
        <w:t xml:space="preserve"> </w:t>
      </w:r>
      <w:hyperlink r:id="rId43" w:history="1">
        <w:r w:rsidRPr="003A7791">
          <w:rPr>
            <w:rStyle w:val="Hyperlink"/>
            <w:sz w:val="24"/>
            <w:szCs w:val="24"/>
            <w:lang w:val="en-US"/>
          </w:rPr>
          <w:t>https://decarbonization.unido.org/projects/iddi/</w:t>
        </w:r>
      </w:hyperlink>
      <w:r w:rsidRPr="003A7791">
        <w:rPr>
          <w:sz w:val="24"/>
          <w:szCs w:val="24"/>
          <w:lang w:val="en-US"/>
        </w:rPr>
        <w:t xml:space="preserve"> </w:t>
      </w:r>
    </w:p>
    <w:p w14:paraId="270006B3" w14:textId="77777777" w:rsidR="00876E72" w:rsidRPr="003A7791" w:rsidRDefault="00876E72" w:rsidP="003A7791">
      <w:pPr>
        <w:spacing w:before="120" w:after="120" w:line="360" w:lineRule="auto"/>
        <w:ind w:left="720" w:hanging="720"/>
        <w:rPr>
          <w:sz w:val="24"/>
          <w:szCs w:val="24"/>
        </w:rPr>
      </w:pPr>
      <w:r w:rsidRPr="003A7791">
        <w:rPr>
          <w:sz w:val="24"/>
          <w:szCs w:val="24"/>
        </w:rPr>
        <w:t>UK Green Building Council (2023) Net zero carbon buildings: supply chain readiness assessment. London: UKGBC.</w:t>
      </w:r>
      <w:r w:rsidRPr="003A7791">
        <w:rPr>
          <w:sz w:val="24"/>
          <w:szCs w:val="24"/>
          <w:lang w:val="en-US"/>
        </w:rPr>
        <w:t xml:space="preserve"> </w:t>
      </w:r>
      <w:hyperlink r:id="rId44" w:history="1">
        <w:r w:rsidRPr="003A7791">
          <w:rPr>
            <w:rStyle w:val="Hyperlink"/>
            <w:sz w:val="24"/>
            <w:szCs w:val="24"/>
            <w:lang w:val="en-US"/>
          </w:rPr>
          <w:t>https://ukgbc.org/resources/net-zero-carbon-buildings-framework/</w:t>
        </w:r>
      </w:hyperlink>
      <w:r w:rsidRPr="003A7791">
        <w:rPr>
          <w:sz w:val="24"/>
          <w:szCs w:val="24"/>
          <w:lang w:val="en-US"/>
        </w:rPr>
        <w:t xml:space="preserve"> </w:t>
      </w:r>
    </w:p>
    <w:p w14:paraId="470DC73C" w14:textId="77777777" w:rsidR="00876E72" w:rsidRPr="003A7791" w:rsidRDefault="00876E72" w:rsidP="003A7791">
      <w:pPr>
        <w:spacing w:before="120" w:after="120" w:line="360" w:lineRule="auto"/>
        <w:ind w:left="720" w:hanging="720"/>
        <w:rPr>
          <w:sz w:val="24"/>
          <w:szCs w:val="24"/>
        </w:rPr>
      </w:pPr>
      <w:r w:rsidRPr="003A7791">
        <w:rPr>
          <w:sz w:val="24"/>
          <w:szCs w:val="24"/>
        </w:rPr>
        <w:lastRenderedPageBreak/>
        <w:t>Various Authors (2022) ‘A framework for specifying low-carbon construction materials in government procurement’, Journal of Cleaner Production, 331, 129835.</w:t>
      </w:r>
      <w:r w:rsidRPr="003A7791">
        <w:rPr>
          <w:sz w:val="24"/>
          <w:szCs w:val="24"/>
          <w:lang w:val="en-US"/>
        </w:rPr>
        <w:t xml:space="preserve"> </w:t>
      </w:r>
      <w:hyperlink r:id="rId45" w:history="1">
        <w:r w:rsidRPr="003A7791">
          <w:rPr>
            <w:rStyle w:val="Hyperlink"/>
            <w:sz w:val="24"/>
            <w:szCs w:val="24"/>
            <w:lang w:val="en-US"/>
          </w:rPr>
          <w:t>https://www.researchgate.net/publication/358910285_A_framework_for_specifying_low-carbon_construction_materials_in_government_procurement_A_case_study_for_concrete_in_a_new_building_investment</w:t>
        </w:r>
      </w:hyperlink>
      <w:r w:rsidRPr="003A7791">
        <w:rPr>
          <w:sz w:val="24"/>
          <w:szCs w:val="24"/>
          <w:lang w:val="en-US"/>
        </w:rPr>
        <w:t xml:space="preserve"> </w:t>
      </w:r>
    </w:p>
    <w:p w14:paraId="76A12A33"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(2022) ‘Competitive dynamics in carbon-regulated supply chains: carbon price thresholds and sourcing shifts’, International Journal of Production Economics, 250, 108694.</w:t>
      </w:r>
      <w:r w:rsidRPr="003A7791">
        <w:rPr>
          <w:sz w:val="24"/>
          <w:szCs w:val="24"/>
          <w:lang w:val="en-US"/>
        </w:rPr>
        <w:t xml:space="preserve"> </w:t>
      </w:r>
      <w:hyperlink r:id="rId46" w:history="1">
        <w:r w:rsidRPr="003A7791">
          <w:rPr>
            <w:rStyle w:val="Hyperlink"/>
            <w:sz w:val="24"/>
            <w:szCs w:val="24"/>
            <w:lang w:val="en-US"/>
          </w:rPr>
          <w:t>https://papers.ssrn.com/sol3/papers.cfm?abstract_id=5672431</w:t>
        </w:r>
      </w:hyperlink>
      <w:r w:rsidRPr="003A7791">
        <w:rPr>
          <w:sz w:val="24"/>
          <w:szCs w:val="24"/>
          <w:lang w:val="en-US"/>
        </w:rPr>
        <w:t xml:space="preserve"> </w:t>
      </w:r>
    </w:p>
    <w:p w14:paraId="1FDCEBD4"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(2023) ‘Carbon emission reporting and disclosure in supply chains: the role of regulatory pressure and firm capabilities’, Journal of Cleaner Production, 417, 137988.</w:t>
      </w:r>
      <w:r w:rsidRPr="003A7791">
        <w:rPr>
          <w:sz w:val="24"/>
          <w:szCs w:val="24"/>
          <w:lang w:val="en-US"/>
        </w:rPr>
        <w:t xml:space="preserve"> </w:t>
      </w:r>
      <w:hyperlink r:id="rId47" w:history="1">
        <w:r w:rsidRPr="003A7791">
          <w:rPr>
            <w:rStyle w:val="Hyperlink"/>
            <w:sz w:val="24"/>
            <w:szCs w:val="24"/>
            <w:lang w:val="en-US"/>
          </w:rPr>
          <w:t>https://nblformosapublisher.org/index.php/ijbae/article/view/568/975</w:t>
        </w:r>
      </w:hyperlink>
      <w:r w:rsidRPr="003A7791">
        <w:rPr>
          <w:sz w:val="24"/>
          <w:szCs w:val="24"/>
          <w:lang w:val="en-US"/>
        </w:rPr>
        <w:t xml:space="preserve"> </w:t>
      </w:r>
    </w:p>
    <w:p w14:paraId="794FDCE2"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(2023) ‘The economics of border carbon adjustment: rationale and impacts of compensating for carbon at the border’, Annual Review of Economics, 16, pp. 595–622.</w:t>
      </w:r>
      <w:r w:rsidRPr="003A7791">
        <w:rPr>
          <w:sz w:val="24"/>
          <w:szCs w:val="24"/>
          <w:lang w:val="en-US"/>
        </w:rPr>
        <w:t xml:space="preserve"> </w:t>
      </w:r>
      <w:hyperlink r:id="rId48" w:history="1">
        <w:r w:rsidRPr="003A7791">
          <w:rPr>
            <w:rStyle w:val="Hyperlink"/>
            <w:sz w:val="24"/>
            <w:szCs w:val="24"/>
            <w:lang w:val="en-US"/>
          </w:rPr>
          <w:t>https://ideas.repec.org/a/anr/reveco/v15y2023p389-424.html</w:t>
        </w:r>
      </w:hyperlink>
      <w:r w:rsidRPr="003A7791">
        <w:rPr>
          <w:sz w:val="24"/>
          <w:szCs w:val="24"/>
          <w:lang w:val="en-US"/>
        </w:rPr>
        <w:t xml:space="preserve"> </w:t>
      </w:r>
    </w:p>
    <w:p w14:paraId="07D9C523"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(2024) ‘Carbon border adjustment mechanism and supply chain decarbonization strategies: a systematic literature review’, Highlights in Business, Economics and Management, 24, pp. 1–18.</w:t>
      </w:r>
      <w:r w:rsidRPr="003A7791">
        <w:rPr>
          <w:sz w:val="24"/>
          <w:szCs w:val="24"/>
          <w:lang w:val="en-US"/>
        </w:rPr>
        <w:t xml:space="preserve"> </w:t>
      </w:r>
      <w:hyperlink r:id="rId49" w:history="1">
        <w:r w:rsidRPr="003A7791">
          <w:rPr>
            <w:rStyle w:val="Hyperlink"/>
            <w:sz w:val="24"/>
            <w:szCs w:val="24"/>
            <w:lang w:val="en-US"/>
          </w:rPr>
          <w:t>https://hbem.org/index.php/OJS/article/view/656</w:t>
        </w:r>
      </w:hyperlink>
      <w:r w:rsidRPr="003A7791">
        <w:rPr>
          <w:sz w:val="24"/>
          <w:szCs w:val="24"/>
          <w:lang w:val="en-US"/>
        </w:rPr>
        <w:t xml:space="preserve"> </w:t>
      </w:r>
    </w:p>
    <w:p w14:paraId="486C8D15"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(2024) ‘Carbon border adjustment mechanism: supply chain implications for UK importers’, Supply Chain Management: An International Journal, 29(3), pp. 1–20.</w:t>
      </w:r>
      <w:r w:rsidRPr="003A7791">
        <w:rPr>
          <w:sz w:val="24"/>
          <w:szCs w:val="24"/>
          <w:lang w:val="en-US"/>
        </w:rPr>
        <w:t xml:space="preserve"> </w:t>
      </w:r>
      <w:hyperlink r:id="rId50" w:history="1">
        <w:r w:rsidRPr="003A7791">
          <w:rPr>
            <w:rStyle w:val="Hyperlink"/>
            <w:sz w:val="24"/>
            <w:szCs w:val="24"/>
            <w:lang w:val="en-US"/>
          </w:rPr>
          <w:t>https://www.sciencedirect.com/science/article/pii/S2405844024070075</w:t>
        </w:r>
      </w:hyperlink>
      <w:r w:rsidRPr="003A7791">
        <w:rPr>
          <w:sz w:val="24"/>
          <w:szCs w:val="24"/>
          <w:lang w:val="en-US"/>
        </w:rPr>
        <w:t xml:space="preserve"> </w:t>
      </w:r>
    </w:p>
    <w:p w14:paraId="076D2F68"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(2024) ‘Impact of CBAM on stock market value of high-polluting firms: the role of supply chain risk management and internationalisation capabilities’, Transportation Research Part E: Logistics and Transportation Review, 184, 103478.</w:t>
      </w:r>
      <w:r w:rsidRPr="003A7791">
        <w:rPr>
          <w:sz w:val="24"/>
          <w:szCs w:val="24"/>
          <w:lang w:val="en-US"/>
        </w:rPr>
        <w:t xml:space="preserve"> </w:t>
      </w:r>
      <w:hyperlink r:id="rId51" w:history="1">
        <w:r w:rsidRPr="003A7791">
          <w:rPr>
            <w:rStyle w:val="Hyperlink"/>
            <w:sz w:val="24"/>
            <w:szCs w:val="24"/>
            <w:lang w:val="en-US"/>
          </w:rPr>
          <w:t>https://ideas.repec.org/a/eee/transe/v197y2025ics1366554525000821.html</w:t>
        </w:r>
      </w:hyperlink>
      <w:r w:rsidRPr="003A7791">
        <w:rPr>
          <w:sz w:val="24"/>
          <w:szCs w:val="24"/>
          <w:lang w:val="en-US"/>
        </w:rPr>
        <w:t xml:space="preserve"> </w:t>
      </w:r>
    </w:p>
    <w:p w14:paraId="02C054EB" w14:textId="77777777" w:rsidR="00876E72" w:rsidRPr="003A7791" w:rsidRDefault="00876E72" w:rsidP="003A7791">
      <w:pPr>
        <w:spacing w:before="120" w:after="120" w:line="360" w:lineRule="auto"/>
        <w:ind w:left="720" w:hanging="720"/>
        <w:rPr>
          <w:sz w:val="24"/>
          <w:szCs w:val="24"/>
        </w:rPr>
      </w:pPr>
      <w:r w:rsidRPr="003A7791">
        <w:rPr>
          <w:sz w:val="24"/>
          <w:szCs w:val="24"/>
        </w:rPr>
        <w:t xml:space="preserve">Various Authors (2024) ‘Multinational firms and sustainability in global supply chains: scope and boundaries of responsibility’, Journal of International Business Studies, </w:t>
      </w:r>
      <w:r w:rsidRPr="003A7791">
        <w:rPr>
          <w:sz w:val="24"/>
          <w:szCs w:val="24"/>
        </w:rPr>
        <w:lastRenderedPageBreak/>
        <w:t>55(4), pp. 401–420.</w:t>
      </w:r>
      <w:r w:rsidRPr="003A7791">
        <w:rPr>
          <w:sz w:val="24"/>
          <w:szCs w:val="24"/>
          <w:lang w:val="en-US"/>
        </w:rPr>
        <w:t xml:space="preserve"> </w:t>
      </w:r>
      <w:hyperlink r:id="rId52" w:history="1">
        <w:r w:rsidRPr="003A7791">
          <w:rPr>
            <w:rStyle w:val="Hyperlink"/>
            <w:sz w:val="24"/>
            <w:szCs w:val="24"/>
            <w:lang w:val="en-US"/>
          </w:rPr>
          <w:t>https://www.researchgate.net/publication/381133137_Multinational_firms_and_sustainability_in_global_supply_chains_scope_and_boundaries_of_responsibility</w:t>
        </w:r>
      </w:hyperlink>
      <w:r w:rsidRPr="003A7791">
        <w:rPr>
          <w:sz w:val="24"/>
          <w:szCs w:val="24"/>
          <w:lang w:val="en-US"/>
        </w:rPr>
        <w:t xml:space="preserve"> </w:t>
      </w:r>
    </w:p>
    <w:p w14:paraId="27866E53"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(2024) ‘Paving the way for lowering embodied carbon emissions in building and construction’, Clean Technologies and Environmental Policy, 26, pp. 3435–3456.</w:t>
      </w:r>
      <w:r w:rsidRPr="003A7791">
        <w:rPr>
          <w:sz w:val="24"/>
          <w:szCs w:val="24"/>
          <w:lang w:val="en-US"/>
        </w:rPr>
        <w:t xml:space="preserve"> </w:t>
      </w:r>
      <w:hyperlink r:id="rId53" w:history="1">
        <w:r w:rsidRPr="003A7791">
          <w:rPr>
            <w:rStyle w:val="Hyperlink"/>
            <w:sz w:val="24"/>
            <w:szCs w:val="24"/>
            <w:lang w:val="en-US"/>
          </w:rPr>
          <w:t>https://www.researchgate.net/publication/384629745_Paving_the_way_for_lowering_embodied_carbon_emissions_in_the_building_and_construction_sector</w:t>
        </w:r>
      </w:hyperlink>
      <w:r w:rsidRPr="003A7791">
        <w:rPr>
          <w:sz w:val="24"/>
          <w:szCs w:val="24"/>
          <w:lang w:val="en-US"/>
        </w:rPr>
        <w:t xml:space="preserve"> </w:t>
      </w:r>
    </w:p>
    <w:p w14:paraId="6B432D69"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(2024) ‘What drives embodied carbon policy? A global perspective on adoption’, Environment, Development and Sustainability, 27, pp. 1–25.</w:t>
      </w:r>
      <w:r w:rsidRPr="003A7791">
        <w:rPr>
          <w:sz w:val="24"/>
          <w:szCs w:val="24"/>
          <w:lang w:val="en-US"/>
        </w:rPr>
        <w:t xml:space="preserve"> </w:t>
      </w:r>
      <w:hyperlink r:id="rId54" w:history="1">
        <w:r w:rsidRPr="003A7791">
          <w:rPr>
            <w:rStyle w:val="Hyperlink"/>
            <w:sz w:val="24"/>
            <w:szCs w:val="24"/>
            <w:lang w:val="en-US"/>
          </w:rPr>
          <w:t>https://link.springer.com/article/10.1007/s10668-025-06090-x</w:t>
        </w:r>
      </w:hyperlink>
      <w:r w:rsidRPr="003A7791">
        <w:rPr>
          <w:sz w:val="24"/>
          <w:szCs w:val="24"/>
          <w:lang w:val="en-US"/>
        </w:rPr>
        <w:t xml:space="preserve"> </w:t>
      </w:r>
    </w:p>
    <w:p w14:paraId="0B31FC06"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(2024) ‘Winners and losers of the EU carbon border adjustment mechanism’, Energy Economics, 130, 107313.</w:t>
      </w:r>
      <w:r w:rsidRPr="003A7791">
        <w:rPr>
          <w:sz w:val="24"/>
          <w:szCs w:val="24"/>
          <w:lang w:val="en-US"/>
        </w:rPr>
        <w:t xml:space="preserve"> </w:t>
      </w:r>
      <w:hyperlink r:id="rId55" w:history="1">
        <w:r w:rsidRPr="003A7791">
          <w:rPr>
            <w:rStyle w:val="Hyperlink"/>
            <w:sz w:val="24"/>
            <w:szCs w:val="24"/>
            <w:lang w:val="en-US"/>
          </w:rPr>
          <w:t>https://ideas.repec.org/a/eee/eneeco/v142y2025ics014098832400848x.html</w:t>
        </w:r>
      </w:hyperlink>
      <w:r w:rsidRPr="003A7791">
        <w:rPr>
          <w:sz w:val="24"/>
          <w:szCs w:val="24"/>
          <w:lang w:val="en-US"/>
        </w:rPr>
        <w:t xml:space="preserve"> </w:t>
      </w:r>
    </w:p>
    <w:p w14:paraId="179E34CB"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‘A comparative review of material supply chains and sustainability pathways in steel and battery technologies’, Resources, Conservation and Recycling, 205, 107568.</w:t>
      </w:r>
      <w:r w:rsidRPr="003A7791">
        <w:rPr>
          <w:sz w:val="24"/>
          <w:szCs w:val="24"/>
          <w:lang w:val="en-US"/>
        </w:rPr>
        <w:t xml:space="preserve"> </w:t>
      </w:r>
      <w:hyperlink r:id="rId56" w:history="1">
        <w:r w:rsidRPr="003A7791">
          <w:rPr>
            <w:rStyle w:val="Hyperlink"/>
            <w:sz w:val="24"/>
            <w:szCs w:val="24"/>
            <w:lang w:val="en-US"/>
          </w:rPr>
          <w:t>https://researchprofiles.herts.ac.uk/en/publications/a-comparative-review-of-material-supply-chains-and-sustainability/</w:t>
        </w:r>
      </w:hyperlink>
      <w:r w:rsidRPr="003A7791">
        <w:rPr>
          <w:sz w:val="24"/>
          <w:szCs w:val="24"/>
          <w:lang w:val="en-US"/>
        </w:rPr>
        <w:t xml:space="preserve"> </w:t>
      </w:r>
    </w:p>
    <w:p w14:paraId="2B5C1595"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‘Advancing green steel technologies for sustainable and low-carbon steel production’, International Journal of Professional Business Review, 10(1), pp. 1–20.</w:t>
      </w:r>
      <w:r w:rsidRPr="003A7791">
        <w:rPr>
          <w:sz w:val="24"/>
          <w:szCs w:val="24"/>
          <w:lang w:val="en-US"/>
        </w:rPr>
        <w:t xml:space="preserve"> </w:t>
      </w:r>
      <w:hyperlink r:id="rId57" w:history="1">
        <w:r w:rsidRPr="003A7791">
          <w:rPr>
            <w:rStyle w:val="Hyperlink"/>
            <w:sz w:val="24"/>
            <w:szCs w:val="24"/>
            <w:lang w:val="en-US"/>
          </w:rPr>
          <w:t>https://openaccessojs.com/JBReview/article/view/5666</w:t>
        </w:r>
      </w:hyperlink>
      <w:r w:rsidRPr="003A7791">
        <w:rPr>
          <w:sz w:val="24"/>
          <w:szCs w:val="24"/>
          <w:lang w:val="en-US"/>
        </w:rPr>
        <w:t xml:space="preserve"> </w:t>
      </w:r>
    </w:p>
    <w:p w14:paraId="06B4B3B3"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‘Designing global supply chain network under carbon border adjustment mechanism for low-carbon economy’, The International Journal of Advanced Manufacturing Technology, 132, pp. 3421–3440.</w:t>
      </w:r>
      <w:r w:rsidRPr="003A7791">
        <w:rPr>
          <w:sz w:val="24"/>
          <w:szCs w:val="24"/>
          <w:lang w:val="en-US"/>
        </w:rPr>
        <w:t xml:space="preserve"> </w:t>
      </w:r>
      <w:hyperlink r:id="rId58" w:history="1">
        <w:r w:rsidRPr="003A7791">
          <w:rPr>
            <w:rStyle w:val="Hyperlink"/>
            <w:sz w:val="24"/>
            <w:szCs w:val="24"/>
            <w:lang w:val="en-US"/>
          </w:rPr>
          <w:t>https://www.researchgate.net/publication/400882783_Designing_global_supply_chain_network_under_carbon_border_adjustment_mechanism_for_low-carbon_economy</w:t>
        </w:r>
      </w:hyperlink>
      <w:r w:rsidRPr="003A7791">
        <w:rPr>
          <w:sz w:val="24"/>
          <w:szCs w:val="24"/>
          <w:lang w:val="en-US"/>
        </w:rPr>
        <w:t xml:space="preserve"> </w:t>
      </w:r>
    </w:p>
    <w:p w14:paraId="5D5E80D7"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‘Environmental policy stringency and carbon leakages: a case for carbon border adjustment in the EU’, Environment, Development and Sustainability, 27, pp. 1–22.</w:t>
      </w:r>
      <w:r w:rsidRPr="003A7791">
        <w:rPr>
          <w:sz w:val="24"/>
          <w:szCs w:val="24"/>
          <w:lang w:val="en-US"/>
        </w:rPr>
        <w:t xml:space="preserve"> </w:t>
      </w:r>
      <w:hyperlink r:id="rId59" w:history="1">
        <w:r w:rsidRPr="003A7791">
          <w:rPr>
            <w:rStyle w:val="Hyperlink"/>
            <w:sz w:val="24"/>
            <w:szCs w:val="24"/>
            <w:lang w:val="en-US"/>
          </w:rPr>
          <w:t>https://ideas.repec.org/a/spr/endesu/v27y2025i12d10.1007_s10668-024-04941-7.html</w:t>
        </w:r>
      </w:hyperlink>
      <w:r w:rsidRPr="003A7791">
        <w:rPr>
          <w:sz w:val="24"/>
          <w:szCs w:val="24"/>
          <w:lang w:val="en-US"/>
        </w:rPr>
        <w:t xml:space="preserve"> </w:t>
      </w:r>
    </w:p>
    <w:p w14:paraId="0D819565"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‘Exports or foreign direct investment? A multinational firm’s production decision under carbon border adjustment mechanism’, Journal of the Operational Research Society, 76(3), pp. 1–18.</w:t>
      </w:r>
      <w:r w:rsidRPr="003A7791">
        <w:rPr>
          <w:sz w:val="24"/>
          <w:szCs w:val="24"/>
          <w:lang w:val="en-US"/>
        </w:rPr>
        <w:t xml:space="preserve"> </w:t>
      </w:r>
      <w:hyperlink r:id="rId60" w:history="1">
        <w:r w:rsidRPr="003A7791">
          <w:rPr>
            <w:rStyle w:val="Hyperlink"/>
            <w:sz w:val="24"/>
            <w:szCs w:val="24"/>
            <w:lang w:val="en-US"/>
          </w:rPr>
          <w:t>https://www.researchgate.net/publication/397608123_Exports_or_foreign_direct_investment_A_multinational_firm's_production_decision_under_carbon_border_adjustment_mechanism</w:t>
        </w:r>
      </w:hyperlink>
      <w:r w:rsidRPr="003A7791">
        <w:rPr>
          <w:sz w:val="24"/>
          <w:szCs w:val="24"/>
          <w:lang w:val="en-US"/>
        </w:rPr>
        <w:t xml:space="preserve"> </w:t>
      </w:r>
    </w:p>
    <w:p w14:paraId="3F4CFCA3"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‘Global steel decarbonisation roadmaps: near-zero by 2050’, Resources, Conservation and Recycling, 210, 107810.</w:t>
      </w:r>
      <w:r w:rsidRPr="003A7791">
        <w:rPr>
          <w:sz w:val="24"/>
          <w:szCs w:val="24"/>
          <w:lang w:val="en-US"/>
        </w:rPr>
        <w:t xml:space="preserve"> </w:t>
      </w:r>
      <w:hyperlink r:id="rId61" w:history="1">
        <w:r w:rsidRPr="003A7791">
          <w:rPr>
            <w:rStyle w:val="Hyperlink"/>
            <w:sz w:val="24"/>
            <w:szCs w:val="24"/>
            <w:lang w:val="en-US"/>
          </w:rPr>
          <w:t>https://www.researchgate.net/publication/389471723_Global_steel_decarbonisation_roadmaps_Near-zero_by_2050</w:t>
        </w:r>
      </w:hyperlink>
      <w:r w:rsidRPr="003A7791">
        <w:rPr>
          <w:sz w:val="24"/>
          <w:szCs w:val="24"/>
          <w:lang w:val="en-US"/>
        </w:rPr>
        <w:t xml:space="preserve"> </w:t>
      </w:r>
    </w:p>
    <w:p w14:paraId="0784D4DB"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‘Green supply chain for steel raw materials under price and demand uncertainty’, Journal of Environmental Management, 354, 120338.</w:t>
      </w:r>
      <w:r w:rsidRPr="003A7791">
        <w:rPr>
          <w:sz w:val="24"/>
          <w:szCs w:val="24"/>
          <w:lang w:val="en-US"/>
        </w:rPr>
        <w:t xml:space="preserve"> </w:t>
      </w:r>
      <w:hyperlink r:id="rId62" w:history="1">
        <w:r w:rsidRPr="003A7791">
          <w:rPr>
            <w:rStyle w:val="Hyperlink"/>
            <w:sz w:val="24"/>
            <w:szCs w:val="24"/>
            <w:lang w:val="en-US"/>
          </w:rPr>
          <w:t>https://www.researchgate.net/publication/380781473_Green_supply_chain_for_steel_raw_materials_under_price_and_demand_uncertainty</w:t>
        </w:r>
      </w:hyperlink>
      <w:r w:rsidRPr="003A7791">
        <w:rPr>
          <w:sz w:val="24"/>
          <w:szCs w:val="24"/>
          <w:lang w:val="en-US"/>
        </w:rPr>
        <w:t xml:space="preserve"> </w:t>
      </w:r>
    </w:p>
    <w:p w14:paraId="0DE68EA8"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‘Insight into border carbon adjustment: a visual bibliometric analysis 2009–2024’, Humanities and Social Sciences Communications, 12(1), pp. 1–18.</w:t>
      </w:r>
      <w:r w:rsidRPr="003A7791">
        <w:rPr>
          <w:sz w:val="24"/>
          <w:szCs w:val="24"/>
          <w:lang w:val="en-US"/>
        </w:rPr>
        <w:t xml:space="preserve"> </w:t>
      </w:r>
      <w:hyperlink r:id="rId63" w:history="1">
        <w:r w:rsidRPr="003A7791">
          <w:rPr>
            <w:rStyle w:val="Hyperlink"/>
            <w:sz w:val="24"/>
            <w:szCs w:val="24"/>
            <w:lang w:val="en-US"/>
          </w:rPr>
          <w:t>https://www.nature.com/articles/s41599-025-05401-x</w:t>
        </w:r>
      </w:hyperlink>
      <w:r w:rsidRPr="003A7791">
        <w:rPr>
          <w:sz w:val="24"/>
          <w:szCs w:val="24"/>
          <w:lang w:val="en-US"/>
        </w:rPr>
        <w:t xml:space="preserve"> </w:t>
      </w:r>
    </w:p>
    <w:p w14:paraId="60FB863E" w14:textId="77777777" w:rsidR="00876E72" w:rsidRPr="003A7791" w:rsidRDefault="00876E72" w:rsidP="003A7791">
      <w:pPr>
        <w:spacing w:before="120" w:after="120" w:line="360" w:lineRule="auto"/>
        <w:ind w:left="720" w:hanging="720"/>
        <w:rPr>
          <w:sz w:val="24"/>
          <w:szCs w:val="24"/>
        </w:rPr>
      </w:pPr>
      <w:r w:rsidRPr="003A7791">
        <w:rPr>
          <w:sz w:val="24"/>
          <w:szCs w:val="24"/>
        </w:rPr>
        <w:t xml:space="preserve">Various Authors (2025) ‘Technology-enabled carbon emissions regulations for achieving net zero </w:t>
      </w:r>
      <w:proofErr w:type="gramStart"/>
      <w:r w:rsidRPr="003A7791">
        <w:rPr>
          <w:sz w:val="24"/>
          <w:szCs w:val="24"/>
        </w:rPr>
        <w:t>carbon built</w:t>
      </w:r>
      <w:proofErr w:type="gramEnd"/>
      <w:r w:rsidRPr="003A7791">
        <w:rPr>
          <w:sz w:val="24"/>
          <w:szCs w:val="24"/>
        </w:rPr>
        <w:t xml:space="preserve"> environment’, International Journal of Climate Change Strategies and Management, 17(2), pp. 1–22.</w:t>
      </w:r>
      <w:r w:rsidRPr="003A7791">
        <w:rPr>
          <w:sz w:val="24"/>
          <w:szCs w:val="24"/>
          <w:lang w:val="en-US"/>
        </w:rPr>
        <w:t xml:space="preserve"> </w:t>
      </w:r>
      <w:hyperlink r:id="rId64" w:history="1">
        <w:r w:rsidRPr="003A7791">
          <w:rPr>
            <w:rStyle w:val="Hyperlink"/>
            <w:sz w:val="24"/>
            <w:szCs w:val="24"/>
            <w:lang w:val="en-US"/>
          </w:rPr>
          <w:t>https://www.tandfonline.com/doi/full/10.1080/17583004.2025.2499090</w:t>
        </w:r>
      </w:hyperlink>
      <w:r w:rsidRPr="003A7791">
        <w:rPr>
          <w:sz w:val="24"/>
          <w:szCs w:val="24"/>
          <w:lang w:val="en-US"/>
        </w:rPr>
        <w:t xml:space="preserve"> </w:t>
      </w:r>
    </w:p>
    <w:p w14:paraId="2C59CFBE" w14:textId="77777777" w:rsidR="00876E72" w:rsidRPr="003A7791" w:rsidRDefault="00876E72" w:rsidP="003A7791">
      <w:pPr>
        <w:spacing w:before="120" w:after="120" w:line="360" w:lineRule="auto"/>
        <w:ind w:left="720" w:hanging="720"/>
        <w:rPr>
          <w:sz w:val="24"/>
          <w:szCs w:val="24"/>
        </w:rPr>
      </w:pPr>
      <w:r w:rsidRPr="003A7791">
        <w:rPr>
          <w:sz w:val="24"/>
          <w:szCs w:val="24"/>
        </w:rPr>
        <w:t>Various Authors (2025) ‘The EU’s CBAM: averting emissions leakage or promoting carbon pricing diffusion?’, Journal of Environmental Policy and Planning, 27(1), pp. 1–16.</w:t>
      </w:r>
      <w:r w:rsidRPr="003A7791">
        <w:rPr>
          <w:sz w:val="24"/>
          <w:szCs w:val="24"/>
          <w:lang w:val="en-US"/>
        </w:rPr>
        <w:t xml:space="preserve"> </w:t>
      </w:r>
      <w:hyperlink r:id="rId65" w:history="1">
        <w:r w:rsidRPr="003A7791">
          <w:rPr>
            <w:rStyle w:val="Hyperlink"/>
            <w:sz w:val="24"/>
            <w:szCs w:val="24"/>
            <w:lang w:val="en-US"/>
          </w:rPr>
          <w:t>https://www.tandfonline.com/doi/full/10.1080/1523908X.2025.2591794</w:t>
        </w:r>
      </w:hyperlink>
      <w:r w:rsidRPr="003A7791">
        <w:rPr>
          <w:sz w:val="24"/>
          <w:szCs w:val="24"/>
          <w:lang w:val="en-US"/>
        </w:rPr>
        <w:t xml:space="preserve"> </w:t>
      </w:r>
    </w:p>
    <w:p w14:paraId="0C836FFD" w14:textId="77777777" w:rsidR="00876E72" w:rsidRPr="003A7791" w:rsidRDefault="00876E72" w:rsidP="003A7791">
      <w:pPr>
        <w:spacing w:before="120" w:after="120" w:line="360" w:lineRule="auto"/>
        <w:ind w:left="720" w:hanging="720"/>
        <w:rPr>
          <w:sz w:val="24"/>
          <w:szCs w:val="24"/>
        </w:rPr>
      </w:pPr>
      <w:r w:rsidRPr="003A7791">
        <w:rPr>
          <w:sz w:val="24"/>
          <w:szCs w:val="24"/>
        </w:rPr>
        <w:t xml:space="preserve">Various Authors (PMC, 2024) ‘Carbon border adjustment mechanism challenges: the case of </w:t>
      </w:r>
      <w:proofErr w:type="spellStart"/>
      <w:r w:rsidRPr="003A7791">
        <w:rPr>
          <w:sz w:val="24"/>
          <w:szCs w:val="24"/>
        </w:rPr>
        <w:t>Visegrád</w:t>
      </w:r>
      <w:proofErr w:type="spellEnd"/>
      <w:r w:rsidRPr="003A7791">
        <w:rPr>
          <w:sz w:val="24"/>
          <w:szCs w:val="24"/>
        </w:rPr>
        <w:t xml:space="preserve"> countries’, PLOS ONE.</w:t>
      </w:r>
      <w:r w:rsidRPr="003A7791">
        <w:rPr>
          <w:sz w:val="24"/>
          <w:szCs w:val="24"/>
          <w:lang w:val="en-US"/>
        </w:rPr>
        <w:t xml:space="preserve"> </w:t>
      </w:r>
      <w:hyperlink r:id="rId66" w:history="1">
        <w:r w:rsidRPr="003A7791">
          <w:rPr>
            <w:rStyle w:val="Hyperlink"/>
            <w:sz w:val="24"/>
            <w:szCs w:val="24"/>
            <w:lang w:val="en-US"/>
          </w:rPr>
          <w:t>https://pmc.ncbi.nlm.nih.gov/articles/PMC11103534/</w:t>
        </w:r>
      </w:hyperlink>
      <w:r w:rsidRPr="003A7791">
        <w:rPr>
          <w:sz w:val="24"/>
          <w:szCs w:val="24"/>
          <w:lang w:val="en-US"/>
        </w:rPr>
        <w:t xml:space="preserve"> </w:t>
      </w:r>
    </w:p>
    <w:p w14:paraId="296BE6B9" w14:textId="77777777" w:rsidR="00876E72" w:rsidRPr="003A7791" w:rsidRDefault="00876E72" w:rsidP="003A7791">
      <w:pPr>
        <w:spacing w:before="120" w:after="120" w:line="360" w:lineRule="auto"/>
        <w:ind w:left="720" w:hanging="720"/>
        <w:rPr>
          <w:sz w:val="24"/>
          <w:szCs w:val="24"/>
        </w:rPr>
      </w:pPr>
      <w:r w:rsidRPr="003A7791">
        <w:rPr>
          <w:sz w:val="24"/>
          <w:szCs w:val="24"/>
        </w:rPr>
        <w:t>Vivid Economics (2022) Carbon leakage and competitiveness impacts of the UK ETS. London: Vivid Economics.</w:t>
      </w:r>
      <w:r w:rsidRPr="003A7791">
        <w:rPr>
          <w:sz w:val="24"/>
          <w:szCs w:val="24"/>
          <w:lang w:val="en-US"/>
        </w:rPr>
        <w:t xml:space="preserve"> </w:t>
      </w:r>
      <w:hyperlink r:id="rId67" w:history="1">
        <w:r w:rsidRPr="003A7791">
          <w:rPr>
            <w:rStyle w:val="Hyperlink"/>
            <w:sz w:val="24"/>
            <w:szCs w:val="24"/>
            <w:lang w:val="en-US"/>
          </w:rPr>
          <w:t>https://www.theccc.org.uk/wp-</w:t>
        </w:r>
        <w:r w:rsidRPr="003A7791">
          <w:rPr>
            <w:rStyle w:val="Hyperlink"/>
            <w:sz w:val="24"/>
            <w:szCs w:val="24"/>
            <w:lang w:val="en-US"/>
          </w:rPr>
          <w:lastRenderedPageBreak/>
          <w:t>content/uploads/2019/08/Vivid-Economics-The-Future-of-Carbon-Pricing-in-the-UK.pdf</w:t>
        </w:r>
      </w:hyperlink>
      <w:r w:rsidRPr="003A7791">
        <w:rPr>
          <w:sz w:val="24"/>
          <w:szCs w:val="24"/>
          <w:lang w:val="en-US"/>
        </w:rPr>
        <w:t xml:space="preserve"> </w:t>
      </w:r>
    </w:p>
    <w:p w14:paraId="2B7F0852"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Walker, H. and Brammer, S., 2012. The relationship between sustainable procurement and e-procurement in the public sector. </w:t>
      </w:r>
      <w:r w:rsidRPr="003A7791">
        <w:rPr>
          <w:rFonts w:eastAsia="SimSun"/>
          <w:i/>
          <w:iCs/>
          <w:color w:val="222222"/>
          <w:sz w:val="24"/>
          <w:szCs w:val="24"/>
          <w:shd w:val="clear" w:color="auto" w:fill="FFFFFF"/>
        </w:rPr>
        <w:t>International journal of production economics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140</w:t>
      </w:r>
      <w:r w:rsidRPr="003A7791">
        <w:rPr>
          <w:rFonts w:eastAsia="SimSun"/>
          <w:color w:val="222222"/>
          <w:sz w:val="24"/>
          <w:szCs w:val="24"/>
          <w:shd w:val="clear" w:color="auto" w:fill="FFFFFF"/>
        </w:rPr>
        <w:t>(1), pp.256-268.</w:t>
      </w:r>
    </w:p>
    <w:p w14:paraId="436F05B5"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Williamson, O.E., 2008. The economic institutions of capitalism. </w:t>
      </w:r>
      <w:r w:rsidRPr="003A7791">
        <w:rPr>
          <w:rFonts w:eastAsia="SimSun"/>
          <w:i/>
          <w:iCs/>
          <w:color w:val="222222"/>
          <w:sz w:val="24"/>
          <w:szCs w:val="24"/>
          <w:shd w:val="clear" w:color="auto" w:fill="FFFFFF"/>
        </w:rPr>
        <w:t>The political economy reader: Markets as institutions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27</w:t>
      </w:r>
      <w:r w:rsidRPr="003A7791">
        <w:rPr>
          <w:rFonts w:eastAsia="SimSun"/>
          <w:color w:val="222222"/>
          <w:sz w:val="24"/>
          <w:szCs w:val="24"/>
          <w:shd w:val="clear" w:color="auto" w:fill="FFFFFF"/>
        </w:rPr>
        <w:t>.</w:t>
      </w:r>
    </w:p>
    <w:p w14:paraId="153ADB61" w14:textId="77777777" w:rsidR="00876E72" w:rsidRPr="003A7791" w:rsidRDefault="00876E72" w:rsidP="003A7791">
      <w:pPr>
        <w:spacing w:before="120" w:after="120" w:line="360" w:lineRule="auto"/>
        <w:ind w:left="720" w:hanging="720"/>
        <w:rPr>
          <w:sz w:val="24"/>
          <w:szCs w:val="24"/>
        </w:rPr>
      </w:pPr>
      <w:r w:rsidRPr="003A7791">
        <w:rPr>
          <w:sz w:val="24"/>
          <w:szCs w:val="24"/>
        </w:rPr>
        <w:t>World Bank (2023) State and trends of carbon pricing 2023. Washington, DC: World Bank.</w:t>
      </w:r>
      <w:r w:rsidRPr="003A7791">
        <w:rPr>
          <w:sz w:val="24"/>
          <w:szCs w:val="24"/>
          <w:lang w:val="en-US"/>
        </w:rPr>
        <w:t xml:space="preserve"> </w:t>
      </w:r>
      <w:hyperlink r:id="rId68" w:history="1">
        <w:r w:rsidRPr="003A7791">
          <w:rPr>
            <w:rStyle w:val="Hyperlink"/>
            <w:sz w:val="24"/>
            <w:szCs w:val="24"/>
            <w:lang w:val="en-US"/>
          </w:rPr>
          <w:t>https://ppp.worldbank.org/sites/default/files/2023-10/State%20and%20Trends%20of%20Carbon%20Pricing%202023.pdf</w:t>
        </w:r>
      </w:hyperlink>
      <w:r w:rsidRPr="003A7791">
        <w:rPr>
          <w:sz w:val="24"/>
          <w:szCs w:val="24"/>
          <w:lang w:val="en-US"/>
        </w:rPr>
        <w:t xml:space="preserve"> </w:t>
      </w:r>
    </w:p>
    <w:p w14:paraId="0DFEDDED" w14:textId="77777777" w:rsidR="00876E72" w:rsidRPr="003A7791" w:rsidRDefault="00876E72" w:rsidP="003A7791">
      <w:pPr>
        <w:spacing w:before="120" w:after="120" w:line="360" w:lineRule="auto"/>
        <w:ind w:left="720" w:hanging="720"/>
        <w:rPr>
          <w:sz w:val="24"/>
          <w:szCs w:val="24"/>
        </w:rPr>
      </w:pPr>
      <w:r w:rsidRPr="003A7791">
        <w:rPr>
          <w:sz w:val="24"/>
          <w:szCs w:val="24"/>
        </w:rPr>
        <w:t>World Economic Forum (2025) The impact of the EU’s CBAM on business and the carbon-pricing landscape. White Paper. Geneva: WEF.</w:t>
      </w:r>
      <w:r w:rsidRPr="003A7791">
        <w:rPr>
          <w:sz w:val="24"/>
          <w:szCs w:val="24"/>
          <w:lang w:val="en-US"/>
        </w:rPr>
        <w:t xml:space="preserve"> </w:t>
      </w:r>
      <w:hyperlink r:id="rId69" w:history="1">
        <w:r w:rsidRPr="003A7791">
          <w:rPr>
            <w:rStyle w:val="Hyperlink"/>
            <w:sz w:val="24"/>
            <w:szCs w:val="24"/>
            <w:lang w:val="en-US"/>
          </w:rPr>
          <w:t>https://www.weforum.org/stories/2025/12/eu-cbam-impact-business-carbon-pricing-landscape/</w:t>
        </w:r>
      </w:hyperlink>
      <w:r w:rsidRPr="003A7791">
        <w:rPr>
          <w:sz w:val="24"/>
          <w:szCs w:val="24"/>
          <w:lang w:val="en-US"/>
        </w:rPr>
        <w:t xml:space="preserve"> </w:t>
      </w:r>
    </w:p>
    <w:p w14:paraId="05947DBB" w14:textId="77777777" w:rsidR="00876E72" w:rsidRPr="003A7791" w:rsidRDefault="00876E72" w:rsidP="003A7791">
      <w:pPr>
        <w:spacing w:before="120" w:after="120" w:line="360" w:lineRule="auto"/>
        <w:ind w:left="720" w:hanging="720"/>
        <w:rPr>
          <w:sz w:val="24"/>
          <w:szCs w:val="24"/>
        </w:rPr>
      </w:pPr>
      <w:r w:rsidRPr="003A7791">
        <w:rPr>
          <w:sz w:val="24"/>
          <w:szCs w:val="24"/>
        </w:rPr>
        <w:t>WRI (2023) What does ‘green’ procurement mean? Initiatives and standards for cement and steel. Washington, DC: World Resources Institute.</w:t>
      </w:r>
      <w:r w:rsidRPr="003A7791">
        <w:rPr>
          <w:sz w:val="24"/>
          <w:szCs w:val="24"/>
          <w:lang w:val="en-US"/>
        </w:rPr>
        <w:t xml:space="preserve"> </w:t>
      </w:r>
      <w:hyperlink r:id="rId70" w:history="1">
        <w:r w:rsidRPr="003A7791">
          <w:rPr>
            <w:rStyle w:val="Hyperlink"/>
            <w:sz w:val="24"/>
            <w:szCs w:val="24"/>
            <w:lang w:val="en-US"/>
          </w:rPr>
          <w:t>https://www.wri.org/insights/green-procurement-initiatives</w:t>
        </w:r>
      </w:hyperlink>
      <w:r w:rsidRPr="003A7791">
        <w:rPr>
          <w:sz w:val="24"/>
          <w:szCs w:val="24"/>
          <w:lang w:val="en-US"/>
        </w:rPr>
        <w:t xml:space="preserve"> </w:t>
      </w:r>
    </w:p>
    <w:p w14:paraId="2CA81DFD"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 xml:space="preserve">Zakeri, A., </w:t>
      </w:r>
      <w:proofErr w:type="spellStart"/>
      <w:r w:rsidRPr="003A7791">
        <w:rPr>
          <w:rFonts w:eastAsia="SimSun"/>
          <w:color w:val="222222"/>
          <w:sz w:val="24"/>
          <w:szCs w:val="24"/>
          <w:shd w:val="clear" w:color="auto" w:fill="FFFFFF"/>
        </w:rPr>
        <w:t>Dehghanian</w:t>
      </w:r>
      <w:proofErr w:type="spellEnd"/>
      <w:r w:rsidRPr="003A7791">
        <w:rPr>
          <w:rFonts w:eastAsia="SimSun"/>
          <w:color w:val="222222"/>
          <w:sz w:val="24"/>
          <w:szCs w:val="24"/>
          <w:shd w:val="clear" w:color="auto" w:fill="FFFFFF"/>
        </w:rPr>
        <w:t xml:space="preserve">, F., </w:t>
      </w:r>
      <w:proofErr w:type="spellStart"/>
      <w:r w:rsidRPr="003A7791">
        <w:rPr>
          <w:rFonts w:eastAsia="SimSun"/>
          <w:color w:val="222222"/>
          <w:sz w:val="24"/>
          <w:szCs w:val="24"/>
          <w:shd w:val="clear" w:color="auto" w:fill="FFFFFF"/>
        </w:rPr>
        <w:t>Fahimnia</w:t>
      </w:r>
      <w:proofErr w:type="spellEnd"/>
      <w:r w:rsidRPr="003A7791">
        <w:rPr>
          <w:rFonts w:eastAsia="SimSun"/>
          <w:color w:val="222222"/>
          <w:sz w:val="24"/>
          <w:szCs w:val="24"/>
          <w:shd w:val="clear" w:color="auto" w:fill="FFFFFF"/>
        </w:rPr>
        <w:t>, B. and Sarkis, J., 2015. Carbon pricing versus emissions trading: A supply chain planning perspective. </w:t>
      </w:r>
      <w:r w:rsidRPr="003A7791">
        <w:rPr>
          <w:rFonts w:eastAsia="SimSun"/>
          <w:i/>
          <w:iCs/>
          <w:color w:val="222222"/>
          <w:sz w:val="24"/>
          <w:szCs w:val="24"/>
          <w:shd w:val="clear" w:color="auto" w:fill="FFFFFF"/>
        </w:rPr>
        <w:t>International Journal of Production Economics</w:t>
      </w:r>
      <w:r w:rsidRPr="003A7791">
        <w:rPr>
          <w:rFonts w:eastAsia="SimSun"/>
          <w:color w:val="222222"/>
          <w:sz w:val="24"/>
          <w:szCs w:val="24"/>
          <w:shd w:val="clear" w:color="auto" w:fill="FFFFFF"/>
        </w:rPr>
        <w:t>, </w:t>
      </w:r>
      <w:r w:rsidRPr="003A7791">
        <w:rPr>
          <w:rFonts w:eastAsia="SimSun"/>
          <w:i/>
          <w:iCs/>
          <w:color w:val="222222"/>
          <w:sz w:val="24"/>
          <w:szCs w:val="24"/>
          <w:shd w:val="clear" w:color="auto" w:fill="FFFFFF"/>
        </w:rPr>
        <w:t>164</w:t>
      </w:r>
      <w:r w:rsidRPr="003A7791">
        <w:rPr>
          <w:rFonts w:eastAsia="SimSun"/>
          <w:color w:val="222222"/>
          <w:sz w:val="24"/>
          <w:szCs w:val="24"/>
          <w:shd w:val="clear" w:color="auto" w:fill="FFFFFF"/>
        </w:rPr>
        <w:t>, pp.197-205.</w:t>
      </w:r>
    </w:p>
    <w:p w14:paraId="48934F72" w14:textId="77777777" w:rsidR="00876E72" w:rsidRPr="003A7791" w:rsidRDefault="00876E72" w:rsidP="003A7791">
      <w:pPr>
        <w:spacing w:before="120" w:after="120" w:line="360" w:lineRule="auto"/>
        <w:ind w:left="720" w:hanging="720"/>
        <w:rPr>
          <w:rFonts w:eastAsia="SimSun"/>
          <w:color w:val="222222"/>
          <w:sz w:val="24"/>
          <w:szCs w:val="24"/>
          <w:shd w:val="clear" w:color="auto" w:fill="FFFFFF"/>
        </w:rPr>
      </w:pPr>
      <w:r w:rsidRPr="003A7791">
        <w:rPr>
          <w:rFonts w:eastAsia="SimSun"/>
          <w:color w:val="222222"/>
          <w:sz w:val="24"/>
          <w:szCs w:val="24"/>
          <w:shd w:val="clear" w:color="auto" w:fill="FFFFFF"/>
        </w:rPr>
        <w:t>Zhang, Y., Sattar, S., Cook, D., Johnson, K. and Fung, J., 2024. </w:t>
      </w:r>
      <w:r w:rsidRPr="003A7791">
        <w:rPr>
          <w:rFonts w:eastAsia="SimSun"/>
          <w:i/>
          <w:iCs/>
          <w:color w:val="222222"/>
          <w:sz w:val="24"/>
          <w:szCs w:val="24"/>
          <w:shd w:val="clear" w:color="auto" w:fill="FFFFFF"/>
        </w:rPr>
        <w:t>Systematic review of embodied carbon assessment and reduction in building life cycles</w:t>
      </w:r>
      <w:r w:rsidRPr="003A7791">
        <w:rPr>
          <w:rFonts w:eastAsia="SimSun"/>
          <w:color w:val="222222"/>
          <w:sz w:val="24"/>
          <w:szCs w:val="24"/>
          <w:shd w:val="clear" w:color="auto" w:fill="FFFFFF"/>
        </w:rPr>
        <w:t>. Gaithersburg, MD, USA: US Department of Commerce, National Institute of Standards and Technology.</w:t>
      </w:r>
    </w:p>
    <w:p w14:paraId="543D1697" w14:textId="77777777" w:rsidR="003A7791" w:rsidRPr="003A7791" w:rsidRDefault="003A7791" w:rsidP="003A7791">
      <w:pPr>
        <w:spacing w:before="120" w:after="120" w:line="360" w:lineRule="auto"/>
        <w:ind w:left="720" w:hanging="720"/>
        <w:rPr>
          <w:rFonts w:ascii="Arial" w:eastAsia="SimSun" w:hAnsi="Arial" w:cs="Arial"/>
          <w:color w:val="222222"/>
          <w:sz w:val="24"/>
          <w:szCs w:val="24"/>
          <w:shd w:val="clear" w:color="auto" w:fill="FFFFFF"/>
        </w:rPr>
      </w:pPr>
    </w:p>
    <w:p w14:paraId="4698934B" w14:textId="77777777" w:rsidR="003A7791" w:rsidRPr="003A7791" w:rsidRDefault="003A7791" w:rsidP="003A7791">
      <w:pPr>
        <w:spacing w:before="120" w:after="120" w:line="360" w:lineRule="auto"/>
        <w:ind w:left="720" w:hanging="720"/>
        <w:rPr>
          <w:sz w:val="24"/>
          <w:szCs w:val="24"/>
        </w:rPr>
      </w:pPr>
    </w:p>
    <w:p w14:paraId="6657886C" w14:textId="77777777" w:rsidR="003A7791" w:rsidRPr="003A7791" w:rsidRDefault="003A7791" w:rsidP="003A7791">
      <w:pPr>
        <w:spacing w:before="120" w:after="120" w:line="360" w:lineRule="auto"/>
        <w:ind w:left="720" w:hanging="720"/>
        <w:rPr>
          <w:sz w:val="24"/>
          <w:szCs w:val="24"/>
        </w:rPr>
      </w:pPr>
    </w:p>
    <w:p w14:paraId="471991D1" w14:textId="77777777" w:rsidR="003A7791" w:rsidRPr="003A7791" w:rsidRDefault="003A7791" w:rsidP="003A7791">
      <w:pPr>
        <w:spacing w:before="120" w:after="120" w:line="360" w:lineRule="auto"/>
        <w:ind w:left="720" w:hanging="720"/>
        <w:rPr>
          <w:sz w:val="24"/>
          <w:szCs w:val="24"/>
        </w:rPr>
      </w:pPr>
    </w:p>
    <w:p w14:paraId="3AFBDF0F" w14:textId="77777777" w:rsidR="003A7791" w:rsidRPr="003A7791" w:rsidRDefault="003A7791" w:rsidP="003A7791">
      <w:pPr>
        <w:spacing w:before="120" w:after="120" w:line="360" w:lineRule="auto"/>
        <w:ind w:left="720" w:hanging="720"/>
        <w:rPr>
          <w:sz w:val="24"/>
          <w:szCs w:val="24"/>
        </w:rPr>
      </w:pPr>
    </w:p>
    <w:p w14:paraId="6BA91E02" w14:textId="77777777" w:rsidR="003A7791" w:rsidRPr="003A7791" w:rsidRDefault="003A7791" w:rsidP="003A7791">
      <w:pPr>
        <w:spacing w:before="120" w:after="120" w:line="360" w:lineRule="auto"/>
        <w:ind w:left="720" w:hanging="720"/>
        <w:rPr>
          <w:sz w:val="24"/>
          <w:szCs w:val="24"/>
        </w:rPr>
      </w:pPr>
    </w:p>
    <w:p w14:paraId="080B1B0C" w14:textId="77777777" w:rsidR="003A7791" w:rsidRPr="003A7791" w:rsidRDefault="003A7791" w:rsidP="003A7791">
      <w:pPr>
        <w:pStyle w:val="Heading1"/>
      </w:pPr>
      <w:bookmarkStart w:id="71" w:name="_Toc231599720"/>
      <w:r w:rsidRPr="003A7791">
        <w:lastRenderedPageBreak/>
        <w:t>Appendices</w:t>
      </w:r>
      <w:bookmarkEnd w:id="71"/>
    </w:p>
    <w:p w14:paraId="2D195D26" w14:textId="77777777" w:rsidR="003A7791" w:rsidRPr="003A7791" w:rsidRDefault="003A7791" w:rsidP="003A7791">
      <w:pPr>
        <w:spacing w:before="60" w:after="60"/>
        <w:rPr>
          <w:sz w:val="24"/>
          <w:szCs w:val="24"/>
        </w:rPr>
      </w:pPr>
    </w:p>
    <w:p w14:paraId="411740B7" w14:textId="77777777" w:rsidR="003A7791" w:rsidRPr="003A7791" w:rsidRDefault="003A7791" w:rsidP="003A7791">
      <w:pPr>
        <w:pStyle w:val="Heading2"/>
        <w:rPr>
          <w:szCs w:val="24"/>
        </w:rPr>
      </w:pPr>
      <w:bookmarkStart w:id="72" w:name="_Toc231599721"/>
      <w:r w:rsidRPr="003A7791">
        <w:rPr>
          <w:szCs w:val="24"/>
        </w:rPr>
        <w:t>Appendix A: PRISMA-Style Flow Diagram (Summary)</w:t>
      </w:r>
      <w:bookmarkEnd w:id="72"/>
    </w:p>
    <w:p w14:paraId="341A7204" w14:textId="77777777" w:rsidR="003A7791" w:rsidRPr="003A7791" w:rsidRDefault="003A7791" w:rsidP="003A7791">
      <w:pPr>
        <w:spacing w:before="60" w:after="60"/>
        <w:rPr>
          <w:sz w:val="24"/>
          <w:szCs w:val="24"/>
        </w:rPr>
      </w:pP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5200"/>
        <w:gridCol w:w="2060"/>
      </w:tblGrid>
      <w:tr w:rsidR="003A7791" w:rsidRPr="003A7791" w14:paraId="7508B862" w14:textId="77777777" w:rsidTr="007B3AB8">
        <w:trPr>
          <w:tblHeader/>
        </w:trPr>
        <w:tc>
          <w:tcPr>
            <w:tcW w:w="20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7594CC81" w14:textId="77777777" w:rsidR="003A7791" w:rsidRPr="003A7791" w:rsidRDefault="003A7791" w:rsidP="007B3AB8">
            <w:pPr>
              <w:jc w:val="center"/>
              <w:rPr>
                <w:sz w:val="24"/>
                <w:szCs w:val="24"/>
              </w:rPr>
            </w:pPr>
            <w:r w:rsidRPr="003A7791">
              <w:rPr>
                <w:b/>
                <w:bCs/>
                <w:sz w:val="24"/>
                <w:szCs w:val="24"/>
              </w:rPr>
              <w:t>Stage</w:t>
            </w:r>
          </w:p>
        </w:tc>
        <w:tc>
          <w:tcPr>
            <w:tcW w:w="52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687674E3" w14:textId="77777777" w:rsidR="003A7791" w:rsidRPr="003A7791" w:rsidRDefault="003A7791" w:rsidP="007B3AB8">
            <w:pPr>
              <w:jc w:val="center"/>
              <w:rPr>
                <w:sz w:val="24"/>
                <w:szCs w:val="24"/>
              </w:rPr>
            </w:pPr>
            <w:r w:rsidRPr="003A7791">
              <w:rPr>
                <w:b/>
                <w:bCs/>
                <w:sz w:val="24"/>
                <w:szCs w:val="24"/>
              </w:rPr>
              <w:t>Action</w:t>
            </w:r>
          </w:p>
        </w:tc>
        <w:tc>
          <w:tcPr>
            <w:tcW w:w="206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236F0467" w14:textId="77777777" w:rsidR="003A7791" w:rsidRPr="003A7791" w:rsidRDefault="003A7791" w:rsidP="007B3AB8">
            <w:pPr>
              <w:jc w:val="center"/>
              <w:rPr>
                <w:sz w:val="24"/>
                <w:szCs w:val="24"/>
              </w:rPr>
            </w:pPr>
            <w:r w:rsidRPr="003A7791">
              <w:rPr>
                <w:b/>
                <w:bCs/>
                <w:sz w:val="24"/>
                <w:szCs w:val="24"/>
              </w:rPr>
              <w:t>Records</w:t>
            </w:r>
          </w:p>
        </w:tc>
      </w:tr>
      <w:tr w:rsidR="003A7791" w:rsidRPr="003A7791" w14:paraId="694C1A7C" w14:textId="77777777" w:rsidTr="007B3AB8">
        <w:tc>
          <w:tcPr>
            <w:tcW w:w="20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6A96870D" w14:textId="77777777" w:rsidR="003A7791" w:rsidRPr="003A7791" w:rsidRDefault="003A7791" w:rsidP="007B3AB8">
            <w:pPr>
              <w:rPr>
                <w:sz w:val="24"/>
                <w:szCs w:val="24"/>
              </w:rPr>
            </w:pPr>
            <w:r w:rsidRPr="003A7791">
              <w:rPr>
                <w:sz w:val="24"/>
                <w:szCs w:val="24"/>
              </w:rPr>
              <w:t>Stage 1: Identification</w:t>
            </w:r>
          </w:p>
        </w:tc>
        <w:tc>
          <w:tcPr>
            <w:tcW w:w="52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2BC7FCE1" w14:textId="77777777" w:rsidR="003A7791" w:rsidRPr="003A7791" w:rsidRDefault="003A7791" w:rsidP="007B3AB8">
            <w:pPr>
              <w:rPr>
                <w:sz w:val="24"/>
                <w:szCs w:val="24"/>
              </w:rPr>
            </w:pPr>
            <w:r w:rsidRPr="003A7791">
              <w:rPr>
                <w:sz w:val="24"/>
                <w:szCs w:val="24"/>
              </w:rPr>
              <w:t>Database searches (5 databases) + policy/industry repositories</w:t>
            </w:r>
          </w:p>
        </w:tc>
        <w:tc>
          <w:tcPr>
            <w:tcW w:w="206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323D0095" w14:textId="77777777" w:rsidR="003A7791" w:rsidRPr="003A7791" w:rsidRDefault="003A7791" w:rsidP="007B3AB8">
            <w:pPr>
              <w:rPr>
                <w:sz w:val="24"/>
                <w:szCs w:val="24"/>
              </w:rPr>
            </w:pPr>
            <w:r w:rsidRPr="003A7791">
              <w:rPr>
                <w:sz w:val="24"/>
                <w:szCs w:val="24"/>
              </w:rPr>
              <w:t>~665 records</w:t>
            </w:r>
          </w:p>
        </w:tc>
      </w:tr>
      <w:tr w:rsidR="003A7791" w:rsidRPr="003A7791" w14:paraId="7DA9E239" w14:textId="77777777" w:rsidTr="007B3AB8">
        <w:tc>
          <w:tcPr>
            <w:tcW w:w="2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27A0F664" w14:textId="77777777" w:rsidR="003A7791" w:rsidRPr="003A7791" w:rsidRDefault="003A7791" w:rsidP="007B3AB8">
            <w:pPr>
              <w:rPr>
                <w:sz w:val="24"/>
                <w:szCs w:val="24"/>
              </w:rPr>
            </w:pPr>
            <w:r w:rsidRPr="003A7791">
              <w:rPr>
                <w:sz w:val="24"/>
                <w:szCs w:val="24"/>
              </w:rPr>
              <w:t>Stage 2: Screening</w:t>
            </w:r>
          </w:p>
        </w:tc>
        <w:tc>
          <w:tcPr>
            <w:tcW w:w="52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65193105" w14:textId="77777777" w:rsidR="003A7791" w:rsidRPr="003A7791" w:rsidRDefault="003A7791" w:rsidP="007B3AB8">
            <w:pPr>
              <w:rPr>
                <w:sz w:val="24"/>
                <w:szCs w:val="24"/>
              </w:rPr>
            </w:pPr>
            <w:r w:rsidRPr="003A7791">
              <w:rPr>
                <w:sz w:val="24"/>
                <w:szCs w:val="24"/>
              </w:rPr>
              <w:t>Duplicates removed; title/abstract review against criteria</w:t>
            </w:r>
          </w:p>
        </w:tc>
        <w:tc>
          <w:tcPr>
            <w:tcW w:w="20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27A6CBA" w14:textId="77777777" w:rsidR="003A7791" w:rsidRPr="003A7791" w:rsidRDefault="003A7791" w:rsidP="007B3AB8">
            <w:pPr>
              <w:rPr>
                <w:sz w:val="24"/>
                <w:szCs w:val="24"/>
              </w:rPr>
            </w:pPr>
            <w:r w:rsidRPr="003A7791">
              <w:rPr>
                <w:sz w:val="24"/>
                <w:szCs w:val="24"/>
              </w:rPr>
              <w:t>~570 → ~210 records</w:t>
            </w:r>
          </w:p>
        </w:tc>
      </w:tr>
      <w:tr w:rsidR="003A7791" w:rsidRPr="003A7791" w14:paraId="0F2B3D9D" w14:textId="77777777" w:rsidTr="007B3AB8">
        <w:tc>
          <w:tcPr>
            <w:tcW w:w="20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7958AFEC" w14:textId="77777777" w:rsidR="003A7791" w:rsidRPr="003A7791" w:rsidRDefault="003A7791" w:rsidP="007B3AB8">
            <w:pPr>
              <w:rPr>
                <w:sz w:val="24"/>
                <w:szCs w:val="24"/>
              </w:rPr>
            </w:pPr>
            <w:r w:rsidRPr="003A7791">
              <w:rPr>
                <w:sz w:val="24"/>
                <w:szCs w:val="24"/>
              </w:rPr>
              <w:t>Stage 3: Eligibility</w:t>
            </w:r>
          </w:p>
        </w:tc>
        <w:tc>
          <w:tcPr>
            <w:tcW w:w="520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5A61DD74" w14:textId="77777777" w:rsidR="003A7791" w:rsidRPr="003A7791" w:rsidRDefault="003A7791" w:rsidP="007B3AB8">
            <w:pPr>
              <w:rPr>
                <w:sz w:val="24"/>
                <w:szCs w:val="24"/>
              </w:rPr>
            </w:pPr>
            <w:r w:rsidRPr="003A7791">
              <w:rPr>
                <w:sz w:val="24"/>
                <w:szCs w:val="24"/>
              </w:rPr>
              <w:t>Full-text assessment; removal of non-UK/EU, abstracts, opinion pieces</w:t>
            </w:r>
          </w:p>
        </w:tc>
        <w:tc>
          <w:tcPr>
            <w:tcW w:w="2060" w:type="dxa"/>
            <w:tcBorders>
              <w:top w:val="single" w:sz="0" w:space="0" w:color="CCCCCC"/>
              <w:left w:val="single" w:sz="0" w:space="0" w:color="CCCCCC"/>
              <w:bottom w:val="single" w:sz="0" w:space="0" w:color="CCCCCC"/>
              <w:right w:val="single" w:sz="0" w:space="0" w:color="CCCCCC"/>
            </w:tcBorders>
            <w:shd w:val="clear" w:color="auto" w:fill="F2F2F2"/>
            <w:tcMar>
              <w:top w:w="80" w:type="dxa"/>
              <w:left w:w="120" w:type="dxa"/>
              <w:bottom w:w="80" w:type="dxa"/>
              <w:right w:w="120" w:type="dxa"/>
            </w:tcMar>
          </w:tcPr>
          <w:p w14:paraId="77799A8E" w14:textId="77777777" w:rsidR="003A7791" w:rsidRPr="003A7791" w:rsidRDefault="003A7791" w:rsidP="007B3AB8">
            <w:pPr>
              <w:rPr>
                <w:sz w:val="24"/>
                <w:szCs w:val="24"/>
              </w:rPr>
            </w:pPr>
            <w:r w:rsidRPr="003A7791">
              <w:rPr>
                <w:sz w:val="24"/>
                <w:szCs w:val="24"/>
              </w:rPr>
              <w:t>~210 → ~70 records</w:t>
            </w:r>
          </w:p>
        </w:tc>
      </w:tr>
      <w:tr w:rsidR="003A7791" w:rsidRPr="003A7791" w14:paraId="4DC24AD6" w14:textId="77777777" w:rsidTr="007B3AB8">
        <w:tc>
          <w:tcPr>
            <w:tcW w:w="2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08E7659D" w14:textId="77777777" w:rsidR="003A7791" w:rsidRPr="003A7791" w:rsidRDefault="003A7791" w:rsidP="007B3AB8">
            <w:pPr>
              <w:rPr>
                <w:sz w:val="24"/>
                <w:szCs w:val="24"/>
              </w:rPr>
            </w:pPr>
            <w:r w:rsidRPr="003A7791">
              <w:rPr>
                <w:sz w:val="24"/>
                <w:szCs w:val="24"/>
              </w:rPr>
              <w:t>Stage 4: Inclusion</w:t>
            </w:r>
          </w:p>
        </w:tc>
        <w:tc>
          <w:tcPr>
            <w:tcW w:w="52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3031E6A4" w14:textId="77777777" w:rsidR="003A7791" w:rsidRPr="003A7791" w:rsidRDefault="003A7791" w:rsidP="007B3AB8">
            <w:pPr>
              <w:rPr>
                <w:sz w:val="24"/>
                <w:szCs w:val="24"/>
              </w:rPr>
            </w:pPr>
            <w:r w:rsidRPr="003A7791">
              <w:rPr>
                <w:sz w:val="24"/>
                <w:szCs w:val="24"/>
              </w:rPr>
              <w:t>Thematic relevance and quality assessment</w:t>
            </w:r>
          </w:p>
        </w:tc>
        <w:tc>
          <w:tcPr>
            <w:tcW w:w="20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0569FAAC" w14:textId="77777777" w:rsidR="003A7791" w:rsidRPr="003A7791" w:rsidRDefault="003A7791" w:rsidP="007B3AB8">
            <w:pPr>
              <w:rPr>
                <w:sz w:val="24"/>
                <w:szCs w:val="24"/>
              </w:rPr>
            </w:pPr>
            <w:r w:rsidRPr="003A7791">
              <w:rPr>
                <w:sz w:val="24"/>
                <w:szCs w:val="24"/>
              </w:rPr>
              <w:t>~60–70 sources included</w:t>
            </w:r>
          </w:p>
        </w:tc>
      </w:tr>
    </w:tbl>
    <w:p w14:paraId="31BDCFFB" w14:textId="77777777" w:rsidR="003A7791" w:rsidRPr="003A7791" w:rsidRDefault="003A7791" w:rsidP="003A7791">
      <w:pPr>
        <w:spacing w:before="60" w:after="60"/>
        <w:rPr>
          <w:sz w:val="24"/>
          <w:szCs w:val="24"/>
        </w:rPr>
      </w:pPr>
    </w:p>
    <w:p w14:paraId="59E09AA9" w14:textId="77777777" w:rsidR="003A7791" w:rsidRPr="003A7791" w:rsidRDefault="003A7791" w:rsidP="003A7791">
      <w:pPr>
        <w:spacing w:before="60" w:after="60"/>
        <w:rPr>
          <w:sz w:val="24"/>
          <w:szCs w:val="24"/>
        </w:rPr>
      </w:pPr>
    </w:p>
    <w:p w14:paraId="189A345E" w14:textId="77777777" w:rsidR="003A7791" w:rsidRPr="003A7791" w:rsidRDefault="003A7791" w:rsidP="003A7791">
      <w:pPr>
        <w:pStyle w:val="Heading2"/>
        <w:rPr>
          <w:szCs w:val="24"/>
        </w:rPr>
      </w:pPr>
      <w:bookmarkStart w:id="73" w:name="_Toc231599722"/>
      <w:r w:rsidRPr="003A7791">
        <w:rPr>
          <w:szCs w:val="24"/>
        </w:rPr>
        <w:t>Appendix B: Two-Tier Source Structure</w:t>
      </w:r>
      <w:bookmarkEnd w:id="73"/>
    </w:p>
    <w:p w14:paraId="6ED7ADFF" w14:textId="77777777" w:rsidR="003A7791" w:rsidRPr="003A7791" w:rsidRDefault="003A7791" w:rsidP="003A7791">
      <w:pPr>
        <w:spacing w:before="120" w:after="120" w:line="360" w:lineRule="auto"/>
        <w:jc w:val="both"/>
        <w:rPr>
          <w:sz w:val="24"/>
          <w:szCs w:val="24"/>
        </w:rPr>
      </w:pPr>
      <w:r w:rsidRPr="003A7791">
        <w:rPr>
          <w:sz w:val="24"/>
          <w:szCs w:val="24"/>
        </w:rPr>
        <w:t>Tier 1 (Main Articles – 15–20 sources): Primary peer-reviewed studies directly addressing UK CBAM, carbon pricing in construction, green steel procurement, and supply chain reconfiguration under regulatory pressure. Full structured summaries are available in the study's data extraction workbook.</w:t>
      </w:r>
    </w:p>
    <w:p w14:paraId="633B0426" w14:textId="77777777" w:rsidR="003A7791" w:rsidRPr="003A7791" w:rsidRDefault="003A7791" w:rsidP="003A7791">
      <w:pPr>
        <w:spacing w:before="60" w:after="60"/>
        <w:rPr>
          <w:sz w:val="24"/>
          <w:szCs w:val="24"/>
        </w:rPr>
      </w:pPr>
    </w:p>
    <w:p w14:paraId="6A1B1106" w14:textId="77777777" w:rsidR="003A7791" w:rsidRPr="003A7791" w:rsidRDefault="003A7791" w:rsidP="003A7791">
      <w:pPr>
        <w:spacing w:before="120" w:after="120" w:line="360" w:lineRule="auto"/>
        <w:jc w:val="both"/>
        <w:rPr>
          <w:sz w:val="24"/>
          <w:szCs w:val="24"/>
        </w:rPr>
      </w:pPr>
      <w:r w:rsidRPr="003A7791">
        <w:rPr>
          <w:sz w:val="24"/>
          <w:szCs w:val="24"/>
        </w:rPr>
        <w:t>Tier 2 (Supporting Articles – 15–20 sources): Foundational theoretical texts, policy documents, industry reports, and comparative studies from EU CBAM and Scandinavian carbon pricing contexts providing contextual, theoretical, or comparative arguments reinforcing the main analytical findings.</w:t>
      </w:r>
    </w:p>
    <w:p w14:paraId="2B69109C" w14:textId="77777777" w:rsidR="003A7791" w:rsidRPr="003A7791" w:rsidRDefault="003A7791" w:rsidP="003A7791">
      <w:pPr>
        <w:spacing w:before="60" w:after="60"/>
        <w:rPr>
          <w:sz w:val="24"/>
          <w:szCs w:val="24"/>
        </w:rPr>
      </w:pPr>
    </w:p>
    <w:p w14:paraId="78AF0D0E" w14:textId="77777777" w:rsidR="003A7791" w:rsidRPr="003A7791" w:rsidRDefault="003A7791" w:rsidP="003A7791">
      <w:pPr>
        <w:pStyle w:val="Heading2"/>
        <w:rPr>
          <w:szCs w:val="24"/>
        </w:rPr>
      </w:pPr>
      <w:bookmarkStart w:id="74" w:name="_Toc231599723"/>
      <w:r w:rsidRPr="003A7791">
        <w:rPr>
          <w:szCs w:val="24"/>
        </w:rPr>
        <w:t>Appendix C: Search Strings Used</w:t>
      </w:r>
      <w:bookmarkEnd w:id="74"/>
    </w:p>
    <w:p w14:paraId="6E94D0DD" w14:textId="77777777" w:rsidR="003A7791" w:rsidRPr="003A7791" w:rsidRDefault="003A7791" w:rsidP="003A7791">
      <w:pPr>
        <w:spacing w:before="120" w:after="120" w:line="360" w:lineRule="auto"/>
        <w:jc w:val="both"/>
        <w:rPr>
          <w:sz w:val="24"/>
          <w:szCs w:val="24"/>
        </w:rPr>
      </w:pPr>
      <w:r w:rsidRPr="003A7791">
        <w:rPr>
          <w:sz w:val="24"/>
          <w:szCs w:val="24"/>
        </w:rPr>
        <w:t>String 1: ('Carbon Border Adjustment Mechanism' OR 'CBAM') AND ('procurement' OR 'supply chain' OR 'sourcing')</w:t>
      </w:r>
    </w:p>
    <w:p w14:paraId="5E1D9503" w14:textId="77777777" w:rsidR="003A7791" w:rsidRPr="003A7791" w:rsidRDefault="003A7791" w:rsidP="003A7791">
      <w:pPr>
        <w:spacing w:before="120" w:after="120" w:line="360" w:lineRule="auto"/>
        <w:jc w:val="both"/>
        <w:rPr>
          <w:sz w:val="24"/>
          <w:szCs w:val="24"/>
        </w:rPr>
      </w:pPr>
      <w:r w:rsidRPr="003A7791">
        <w:rPr>
          <w:sz w:val="24"/>
          <w:szCs w:val="24"/>
        </w:rPr>
        <w:t>String 2: ('UK CBAM' OR 'UK carbon border adjustment') AND 'construction'</w:t>
      </w:r>
    </w:p>
    <w:p w14:paraId="2FEA6F21" w14:textId="77777777" w:rsidR="003A7791" w:rsidRPr="003A7791" w:rsidRDefault="003A7791" w:rsidP="003A7791">
      <w:pPr>
        <w:spacing w:before="120" w:after="120" w:line="360" w:lineRule="auto"/>
        <w:jc w:val="both"/>
        <w:rPr>
          <w:sz w:val="24"/>
          <w:szCs w:val="24"/>
        </w:rPr>
      </w:pPr>
      <w:r w:rsidRPr="003A7791">
        <w:rPr>
          <w:sz w:val="24"/>
          <w:szCs w:val="24"/>
        </w:rPr>
        <w:t>String 3: ('green steel' OR 'low-carbon steel' OR 'electric arc furnace') AND ('procurement' OR 'supply chain decarbonisation')</w:t>
      </w:r>
    </w:p>
    <w:p w14:paraId="4FB61310" w14:textId="77777777" w:rsidR="003A7791" w:rsidRPr="003A7791" w:rsidRDefault="003A7791" w:rsidP="003A7791">
      <w:pPr>
        <w:spacing w:before="120" w:after="120" w:line="360" w:lineRule="auto"/>
        <w:jc w:val="both"/>
        <w:rPr>
          <w:sz w:val="24"/>
          <w:szCs w:val="24"/>
        </w:rPr>
      </w:pPr>
      <w:r w:rsidRPr="003A7791">
        <w:rPr>
          <w:sz w:val="24"/>
          <w:szCs w:val="24"/>
        </w:rPr>
        <w:t>String 4: ('carbon pricing' OR 'emissions trading') AND ('construction procurement' OR 'embodied carbon')</w:t>
      </w:r>
    </w:p>
    <w:p w14:paraId="170630FF" w14:textId="77777777" w:rsidR="003A7791" w:rsidRPr="003A7791" w:rsidRDefault="003A7791" w:rsidP="003A7791">
      <w:pPr>
        <w:spacing w:before="120" w:after="120" w:line="360" w:lineRule="auto"/>
        <w:jc w:val="both"/>
        <w:rPr>
          <w:sz w:val="24"/>
          <w:szCs w:val="24"/>
        </w:rPr>
      </w:pPr>
      <w:r w:rsidRPr="003A7791">
        <w:rPr>
          <w:sz w:val="24"/>
          <w:szCs w:val="24"/>
        </w:rPr>
        <w:lastRenderedPageBreak/>
        <w:t>String 5: ('supply chain reconfiguration' OR 'supplier substitution') AND 'carbon regulation'</w:t>
      </w:r>
    </w:p>
    <w:p w14:paraId="6392547E" w14:textId="77777777" w:rsidR="003A7791" w:rsidRPr="003A7791" w:rsidRDefault="003A7791" w:rsidP="003A7791">
      <w:pPr>
        <w:spacing w:before="120" w:after="120" w:line="360" w:lineRule="auto"/>
        <w:jc w:val="both"/>
        <w:rPr>
          <w:sz w:val="24"/>
          <w:szCs w:val="24"/>
        </w:rPr>
      </w:pPr>
    </w:p>
    <w:p w14:paraId="7FC045E7" w14:textId="77777777" w:rsidR="003A7791" w:rsidRPr="003A7791" w:rsidRDefault="003A7791" w:rsidP="003A7791">
      <w:pPr>
        <w:spacing w:before="120" w:after="120" w:line="360" w:lineRule="auto"/>
        <w:jc w:val="both"/>
        <w:rPr>
          <w:sz w:val="24"/>
          <w:szCs w:val="24"/>
        </w:rPr>
      </w:pPr>
    </w:p>
    <w:p w14:paraId="0E46B0D9" w14:textId="77777777" w:rsidR="003A7791" w:rsidRPr="003A7791" w:rsidRDefault="003A7791" w:rsidP="003A7791">
      <w:pPr>
        <w:spacing w:before="120" w:after="120" w:line="360" w:lineRule="auto"/>
        <w:jc w:val="both"/>
        <w:rPr>
          <w:sz w:val="24"/>
          <w:szCs w:val="24"/>
        </w:rPr>
      </w:pPr>
    </w:p>
    <w:p w14:paraId="48FB271C" w14:textId="77777777" w:rsidR="003A7791" w:rsidRPr="003A7791" w:rsidRDefault="003A7791" w:rsidP="003A7791">
      <w:pPr>
        <w:spacing w:before="120" w:after="120" w:line="360" w:lineRule="auto"/>
        <w:jc w:val="both"/>
        <w:rPr>
          <w:sz w:val="24"/>
          <w:szCs w:val="24"/>
        </w:rPr>
      </w:pPr>
    </w:p>
    <w:p w14:paraId="66183270" w14:textId="77777777" w:rsidR="003A7791" w:rsidRPr="003A7791" w:rsidRDefault="003A7791" w:rsidP="003A7791">
      <w:pPr>
        <w:spacing w:before="120" w:after="120" w:line="360" w:lineRule="auto"/>
        <w:jc w:val="both"/>
        <w:rPr>
          <w:sz w:val="24"/>
          <w:szCs w:val="24"/>
        </w:rPr>
      </w:pPr>
    </w:p>
    <w:p w14:paraId="4953E7A6" w14:textId="77777777" w:rsidR="003A7791" w:rsidRPr="003A7791" w:rsidRDefault="003A7791" w:rsidP="003A7791">
      <w:pPr>
        <w:spacing w:before="120" w:after="120" w:line="360" w:lineRule="auto"/>
        <w:jc w:val="both"/>
        <w:rPr>
          <w:sz w:val="24"/>
          <w:szCs w:val="24"/>
        </w:rPr>
      </w:pPr>
    </w:p>
    <w:p w14:paraId="32EAB9E6" w14:textId="77777777" w:rsidR="003A7791" w:rsidRPr="003A7791" w:rsidRDefault="003A7791" w:rsidP="003A7791">
      <w:pPr>
        <w:spacing w:before="120" w:after="120" w:line="360" w:lineRule="auto"/>
        <w:jc w:val="both"/>
        <w:rPr>
          <w:sz w:val="24"/>
          <w:szCs w:val="24"/>
        </w:rPr>
      </w:pPr>
    </w:p>
    <w:p w14:paraId="71EA8A4A" w14:textId="77777777" w:rsidR="003A7791" w:rsidRPr="003A7791" w:rsidRDefault="003A7791" w:rsidP="003A7791">
      <w:pPr>
        <w:spacing w:before="120" w:after="120" w:line="360" w:lineRule="auto"/>
        <w:jc w:val="both"/>
        <w:rPr>
          <w:sz w:val="24"/>
          <w:szCs w:val="24"/>
        </w:rPr>
      </w:pPr>
    </w:p>
    <w:p w14:paraId="4DC81BA3" w14:textId="77777777" w:rsidR="003A7791" w:rsidRPr="003A7791" w:rsidRDefault="003A7791" w:rsidP="003A7791">
      <w:pPr>
        <w:spacing w:before="120" w:after="120" w:line="360" w:lineRule="auto"/>
        <w:jc w:val="both"/>
        <w:rPr>
          <w:sz w:val="24"/>
          <w:szCs w:val="24"/>
        </w:rPr>
      </w:pPr>
    </w:p>
    <w:p w14:paraId="10D925A4" w14:textId="77777777" w:rsidR="003A7791" w:rsidRPr="003A7791" w:rsidRDefault="003A7791" w:rsidP="003A7791">
      <w:pPr>
        <w:spacing w:before="120" w:after="120" w:line="360" w:lineRule="auto"/>
        <w:jc w:val="both"/>
        <w:rPr>
          <w:sz w:val="24"/>
          <w:szCs w:val="24"/>
        </w:rPr>
      </w:pPr>
    </w:p>
    <w:p w14:paraId="7585CDDB" w14:textId="77777777" w:rsidR="003A7791" w:rsidRPr="003A7791" w:rsidRDefault="003A7791" w:rsidP="003A7791">
      <w:pPr>
        <w:spacing w:before="120" w:after="120" w:line="360" w:lineRule="auto"/>
        <w:jc w:val="both"/>
        <w:rPr>
          <w:sz w:val="24"/>
          <w:szCs w:val="24"/>
        </w:rPr>
      </w:pPr>
    </w:p>
    <w:p w14:paraId="29373D20" w14:textId="77777777" w:rsidR="003A7791" w:rsidRPr="003A7791" w:rsidRDefault="003A7791" w:rsidP="003A7791">
      <w:pPr>
        <w:spacing w:before="120" w:after="120" w:line="360" w:lineRule="auto"/>
        <w:jc w:val="both"/>
        <w:rPr>
          <w:sz w:val="24"/>
          <w:szCs w:val="24"/>
        </w:rPr>
      </w:pPr>
    </w:p>
    <w:p w14:paraId="4730C420" w14:textId="77777777" w:rsidR="003A7791" w:rsidRPr="003A7791" w:rsidRDefault="003A7791" w:rsidP="003A7791">
      <w:pPr>
        <w:spacing w:before="120" w:after="120" w:line="360" w:lineRule="auto"/>
        <w:jc w:val="both"/>
        <w:rPr>
          <w:sz w:val="24"/>
          <w:szCs w:val="24"/>
        </w:rPr>
      </w:pPr>
    </w:p>
    <w:p w14:paraId="34E0CEC0" w14:textId="77777777" w:rsidR="003A7791" w:rsidRPr="003A7791" w:rsidRDefault="003A7791" w:rsidP="003A7791">
      <w:pPr>
        <w:spacing w:before="120" w:after="120" w:line="360" w:lineRule="auto"/>
        <w:jc w:val="both"/>
        <w:rPr>
          <w:sz w:val="24"/>
          <w:szCs w:val="24"/>
        </w:rPr>
      </w:pPr>
    </w:p>
    <w:p w14:paraId="2F686E66" w14:textId="77777777" w:rsidR="003A7791" w:rsidRPr="003A7791" w:rsidRDefault="003A7791" w:rsidP="003A7791">
      <w:pPr>
        <w:spacing w:before="120" w:after="120" w:line="360" w:lineRule="auto"/>
        <w:jc w:val="both"/>
        <w:rPr>
          <w:sz w:val="24"/>
          <w:szCs w:val="24"/>
        </w:rPr>
      </w:pPr>
    </w:p>
    <w:p w14:paraId="545FFFF1" w14:textId="77777777" w:rsidR="003A7791" w:rsidRPr="003A7791" w:rsidRDefault="003A7791" w:rsidP="003A7791">
      <w:pPr>
        <w:spacing w:before="120" w:after="120" w:line="360" w:lineRule="auto"/>
        <w:jc w:val="both"/>
        <w:rPr>
          <w:sz w:val="24"/>
          <w:szCs w:val="24"/>
        </w:rPr>
      </w:pPr>
    </w:p>
    <w:p w14:paraId="01EAA5EF" w14:textId="77777777" w:rsidR="003A7791" w:rsidRPr="003A7791" w:rsidRDefault="003A7791" w:rsidP="003A7791">
      <w:pPr>
        <w:spacing w:before="120" w:after="120" w:line="360" w:lineRule="auto"/>
        <w:jc w:val="both"/>
        <w:rPr>
          <w:sz w:val="24"/>
          <w:szCs w:val="24"/>
        </w:rPr>
      </w:pPr>
    </w:p>
    <w:p w14:paraId="21EC6C16" w14:textId="77777777" w:rsidR="003A7791" w:rsidRPr="003A7791" w:rsidRDefault="003A7791" w:rsidP="003A7791">
      <w:pPr>
        <w:spacing w:before="120" w:after="120" w:line="360" w:lineRule="auto"/>
        <w:jc w:val="both"/>
        <w:rPr>
          <w:sz w:val="24"/>
          <w:szCs w:val="24"/>
        </w:rPr>
      </w:pPr>
    </w:p>
    <w:p w14:paraId="05FB4C8F" w14:textId="77777777" w:rsidR="003A7791" w:rsidRPr="003A7791" w:rsidRDefault="003A7791" w:rsidP="003A7791">
      <w:pPr>
        <w:spacing w:before="120" w:after="120" w:line="360" w:lineRule="auto"/>
        <w:jc w:val="both"/>
        <w:rPr>
          <w:sz w:val="24"/>
          <w:szCs w:val="24"/>
        </w:rPr>
      </w:pPr>
    </w:p>
    <w:p w14:paraId="14B4B5C9" w14:textId="77777777" w:rsidR="003A7791" w:rsidRPr="003A7791" w:rsidRDefault="003A7791" w:rsidP="003A7791">
      <w:pPr>
        <w:spacing w:before="120" w:after="120" w:line="360" w:lineRule="auto"/>
        <w:jc w:val="both"/>
        <w:rPr>
          <w:sz w:val="24"/>
          <w:szCs w:val="24"/>
        </w:rPr>
      </w:pPr>
    </w:p>
    <w:p w14:paraId="73AE9D75" w14:textId="77777777" w:rsidR="003A7791" w:rsidRPr="003A7791" w:rsidRDefault="003A7791" w:rsidP="003A7791">
      <w:pPr>
        <w:spacing w:before="120" w:after="120" w:line="360" w:lineRule="auto"/>
        <w:jc w:val="both"/>
        <w:rPr>
          <w:sz w:val="24"/>
          <w:szCs w:val="24"/>
        </w:rPr>
      </w:pPr>
    </w:p>
    <w:p w14:paraId="0CDB8F9D" w14:textId="77777777" w:rsidR="003A7791" w:rsidRPr="003A7791" w:rsidRDefault="003A7791" w:rsidP="003A7791">
      <w:pPr>
        <w:spacing w:before="120" w:after="120" w:line="360" w:lineRule="auto"/>
        <w:jc w:val="both"/>
        <w:rPr>
          <w:sz w:val="24"/>
          <w:szCs w:val="24"/>
        </w:rPr>
      </w:pPr>
    </w:p>
    <w:p w14:paraId="5E21221F" w14:textId="77777777" w:rsidR="003A7791" w:rsidRPr="003A7791" w:rsidRDefault="003A7791" w:rsidP="003A7791">
      <w:pPr>
        <w:spacing w:before="120" w:after="120" w:line="360" w:lineRule="auto"/>
        <w:jc w:val="both"/>
        <w:rPr>
          <w:sz w:val="24"/>
          <w:szCs w:val="24"/>
        </w:rPr>
        <w:sectPr w:rsidR="003A7791" w:rsidRPr="003A7791" w:rsidSect="003A7791">
          <w:headerReference w:type="default" r:id="rId71"/>
          <w:footerReference w:type="default" r:id="rId72"/>
          <w:pgSz w:w="11906" w:h="16838"/>
          <w:pgMar w:top="1440" w:right="1440" w:bottom="1440" w:left="1800" w:header="708" w:footer="708" w:gutter="0"/>
          <w:cols w:space="720"/>
          <w:docGrid w:linePitch="360"/>
        </w:sectPr>
      </w:pPr>
    </w:p>
    <w:p w14:paraId="3826DFEC" w14:textId="77777777" w:rsidR="003A7791" w:rsidRPr="003A7791" w:rsidRDefault="003A7791" w:rsidP="003A7791">
      <w:pPr>
        <w:spacing w:before="120" w:after="120" w:line="360" w:lineRule="auto"/>
        <w:jc w:val="both"/>
        <w:rPr>
          <w:sz w:val="24"/>
          <w:szCs w:val="24"/>
        </w:rPr>
      </w:pPr>
    </w:p>
    <w:p w14:paraId="46692059" w14:textId="3A4D2413" w:rsidR="003A7791" w:rsidRPr="003A7791" w:rsidRDefault="00FB4396" w:rsidP="003A7791">
      <w:pPr>
        <w:pStyle w:val="Heading1"/>
        <w:rPr>
          <w:sz w:val="24"/>
          <w:szCs w:val="24"/>
        </w:rPr>
      </w:pPr>
      <w:bookmarkStart w:id="75" w:name="_Toc231599724"/>
      <w:r>
        <w:rPr>
          <w:sz w:val="24"/>
          <w:szCs w:val="24"/>
        </w:rPr>
        <w:t>Excel Data;</w:t>
      </w:r>
      <w:bookmarkEnd w:id="75"/>
    </w:p>
    <w:p w14:paraId="4A0AD857" w14:textId="77777777" w:rsidR="003A7791" w:rsidRPr="003A7791" w:rsidRDefault="003A7791" w:rsidP="003A7791">
      <w:pPr>
        <w:spacing w:before="120" w:after="120" w:line="360" w:lineRule="auto"/>
        <w:jc w:val="both"/>
        <w:rPr>
          <w:sz w:val="24"/>
          <w:szCs w:val="24"/>
        </w:rPr>
      </w:pPr>
    </w:p>
    <w:tbl>
      <w:tblPr>
        <w:tblW w:w="0" w:type="auto"/>
        <w:jc w:val="center"/>
        <w:tblLook w:val="04A0" w:firstRow="1" w:lastRow="0" w:firstColumn="1" w:lastColumn="0" w:noHBand="0" w:noVBand="1"/>
      </w:tblPr>
      <w:tblGrid>
        <w:gridCol w:w="330"/>
        <w:gridCol w:w="1073"/>
        <w:gridCol w:w="976"/>
        <w:gridCol w:w="976"/>
        <w:gridCol w:w="443"/>
        <w:gridCol w:w="1305"/>
        <w:gridCol w:w="1095"/>
        <w:gridCol w:w="1005"/>
        <w:gridCol w:w="937"/>
        <w:gridCol w:w="1067"/>
      </w:tblGrid>
      <w:tr w:rsidR="003A7791" w:rsidRPr="003A7791" w14:paraId="6CD09032" w14:textId="77777777" w:rsidTr="003A7791">
        <w:trPr>
          <w:trHeight w:val="600"/>
          <w:jc w:val="center"/>
        </w:trPr>
        <w:tc>
          <w:tcPr>
            <w:tcW w:w="0" w:type="auto"/>
            <w:tcBorders>
              <w:top w:val="single" w:sz="4" w:space="0" w:color="AAAAAA"/>
              <w:left w:val="single" w:sz="4" w:space="0" w:color="AAAAAA"/>
              <w:bottom w:val="single" w:sz="4" w:space="0" w:color="AAAAAA"/>
              <w:right w:val="single" w:sz="4" w:space="0" w:color="AAAAAA"/>
            </w:tcBorders>
            <w:shd w:val="clear" w:color="1F4E79" w:fill="1F4E79"/>
            <w:vAlign w:val="center"/>
          </w:tcPr>
          <w:p w14:paraId="1D1A4B90"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14D19182"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Title</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46C7D290"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Journal / Source</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7AE5A9D6"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Authors</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57B17A8A"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Year</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4EB6ED74"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Aim</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5AC05581"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Objectives</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1F9D11F4"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Research Questions</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67C67A2E"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Method</w:t>
            </w:r>
          </w:p>
        </w:tc>
        <w:tc>
          <w:tcPr>
            <w:tcW w:w="0" w:type="auto"/>
            <w:tcBorders>
              <w:top w:val="single" w:sz="4" w:space="0" w:color="AAAAAA"/>
              <w:left w:val="nil"/>
              <w:bottom w:val="single" w:sz="4" w:space="0" w:color="AAAAAA"/>
              <w:right w:val="single" w:sz="4" w:space="0" w:color="AAAAAA"/>
            </w:tcBorders>
            <w:shd w:val="clear" w:color="1F4E79" w:fill="1F4E79"/>
            <w:vAlign w:val="center"/>
          </w:tcPr>
          <w:p w14:paraId="444A2DEC"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Key Findings</w:t>
            </w:r>
          </w:p>
        </w:tc>
      </w:tr>
      <w:tr w:rsidR="003A7791" w:rsidRPr="003A7791" w14:paraId="1DB03EDB"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1838C9B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w:t>
            </w:r>
          </w:p>
        </w:tc>
        <w:tc>
          <w:tcPr>
            <w:tcW w:w="0" w:type="auto"/>
            <w:tcBorders>
              <w:top w:val="nil"/>
              <w:left w:val="nil"/>
              <w:bottom w:val="single" w:sz="4" w:space="0" w:color="AAAAAA"/>
              <w:right w:val="single" w:sz="4" w:space="0" w:color="AAAAAA"/>
            </w:tcBorders>
            <w:shd w:val="clear" w:color="D6E4F0" w:fill="D6E4F0"/>
          </w:tcPr>
          <w:p w14:paraId="559F85EA" w14:textId="77777777" w:rsidR="003A7791" w:rsidRPr="003A7791" w:rsidRDefault="003A7791" w:rsidP="007B3AB8">
            <w:pPr>
              <w:rPr>
                <w:rFonts w:ascii="Arial" w:hAnsi="Arial" w:cs="Arial"/>
                <w:sz w:val="24"/>
                <w:szCs w:val="24"/>
              </w:rPr>
            </w:pPr>
            <w:r w:rsidRPr="003A7791">
              <w:rPr>
                <w:rFonts w:ascii="Arial" w:hAnsi="Arial" w:cs="Arial"/>
                <w:sz w:val="24"/>
                <w:szCs w:val="24"/>
              </w:rPr>
              <w:t>Addressing Carbon Leakage Risk to Support Decarbonisation</w:t>
            </w:r>
          </w:p>
        </w:tc>
        <w:tc>
          <w:tcPr>
            <w:tcW w:w="0" w:type="auto"/>
            <w:tcBorders>
              <w:top w:val="nil"/>
              <w:left w:val="nil"/>
              <w:bottom w:val="single" w:sz="4" w:space="0" w:color="AAAAAA"/>
              <w:right w:val="single" w:sz="4" w:space="0" w:color="AAAAAA"/>
            </w:tcBorders>
            <w:shd w:val="clear" w:color="D6E4F0" w:fill="D6E4F0"/>
          </w:tcPr>
          <w:p w14:paraId="63E13554" w14:textId="77777777" w:rsidR="003A7791" w:rsidRPr="003A7791" w:rsidRDefault="003A7791" w:rsidP="007B3AB8">
            <w:pPr>
              <w:rPr>
                <w:rFonts w:ascii="Arial" w:hAnsi="Arial" w:cs="Arial"/>
                <w:sz w:val="24"/>
                <w:szCs w:val="24"/>
              </w:rPr>
            </w:pPr>
            <w:r w:rsidRPr="003A7791">
              <w:rPr>
                <w:rFonts w:ascii="Arial" w:hAnsi="Arial" w:cs="Arial"/>
                <w:sz w:val="24"/>
                <w:szCs w:val="24"/>
              </w:rPr>
              <w:t>UCL Institute for Sustainable Resources (Policy Report)</w:t>
            </w:r>
          </w:p>
        </w:tc>
        <w:tc>
          <w:tcPr>
            <w:tcW w:w="0" w:type="auto"/>
            <w:tcBorders>
              <w:top w:val="nil"/>
              <w:left w:val="nil"/>
              <w:bottom w:val="single" w:sz="4" w:space="0" w:color="AAAAAA"/>
              <w:right w:val="single" w:sz="4" w:space="0" w:color="AAAAAA"/>
            </w:tcBorders>
            <w:shd w:val="clear" w:color="D6E4F0" w:fill="D6E4F0"/>
          </w:tcPr>
          <w:p w14:paraId="51C7B0C1"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Jordan, N., Domenech </w:t>
            </w:r>
            <w:proofErr w:type="spellStart"/>
            <w:r w:rsidRPr="003A7791">
              <w:rPr>
                <w:rFonts w:ascii="Arial" w:hAnsi="Arial" w:cs="Arial"/>
                <w:sz w:val="24"/>
                <w:szCs w:val="24"/>
              </w:rPr>
              <w:t>Aparisi</w:t>
            </w:r>
            <w:proofErr w:type="spellEnd"/>
            <w:r w:rsidRPr="003A7791">
              <w:rPr>
                <w:rFonts w:ascii="Arial" w:hAnsi="Arial" w:cs="Arial"/>
                <w:sz w:val="24"/>
                <w:szCs w:val="24"/>
              </w:rPr>
              <w:t>, T., Watson, J., Butnar, I., Van Der Valk, R.</w:t>
            </w:r>
          </w:p>
        </w:tc>
        <w:tc>
          <w:tcPr>
            <w:tcW w:w="0" w:type="auto"/>
            <w:tcBorders>
              <w:top w:val="nil"/>
              <w:left w:val="nil"/>
              <w:bottom w:val="single" w:sz="4" w:space="0" w:color="AAAAAA"/>
              <w:right w:val="single" w:sz="4" w:space="0" w:color="AAAAAA"/>
            </w:tcBorders>
            <w:shd w:val="clear" w:color="D6E4F0" w:fill="D6E4F0"/>
          </w:tcPr>
          <w:p w14:paraId="74D4C2C3"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2023</w:t>
            </w:r>
          </w:p>
        </w:tc>
        <w:tc>
          <w:tcPr>
            <w:tcW w:w="0" w:type="auto"/>
            <w:tcBorders>
              <w:top w:val="nil"/>
              <w:left w:val="nil"/>
              <w:bottom w:val="single" w:sz="4" w:space="0" w:color="AAAAAA"/>
              <w:right w:val="single" w:sz="4" w:space="0" w:color="AAAAAA"/>
            </w:tcBorders>
            <w:shd w:val="clear" w:color="D6E4F0" w:fill="D6E4F0"/>
          </w:tcPr>
          <w:p w14:paraId="2140AD33" w14:textId="77777777" w:rsidR="003A7791" w:rsidRPr="003A7791" w:rsidRDefault="003A7791" w:rsidP="007B3AB8">
            <w:pPr>
              <w:rPr>
                <w:rFonts w:ascii="Arial" w:hAnsi="Arial" w:cs="Arial"/>
                <w:sz w:val="24"/>
                <w:szCs w:val="24"/>
              </w:rPr>
            </w:pPr>
            <w:r w:rsidRPr="003A7791">
              <w:rPr>
                <w:rFonts w:ascii="Arial" w:hAnsi="Arial" w:cs="Arial"/>
                <w:sz w:val="24"/>
                <w:szCs w:val="24"/>
              </w:rPr>
              <w:t>To assess how the UK can address carbon leakage risk linked to domestic carbon pricing policy.</w:t>
            </w:r>
          </w:p>
        </w:tc>
        <w:tc>
          <w:tcPr>
            <w:tcW w:w="0" w:type="auto"/>
            <w:tcBorders>
              <w:top w:val="nil"/>
              <w:left w:val="nil"/>
              <w:bottom w:val="single" w:sz="4" w:space="0" w:color="AAAAAA"/>
              <w:right w:val="single" w:sz="4" w:space="0" w:color="AAAAAA"/>
            </w:tcBorders>
            <w:shd w:val="clear" w:color="D6E4F0" w:fill="D6E4F0"/>
          </w:tcPr>
          <w:p w14:paraId="494148D4" w14:textId="77777777" w:rsidR="003A7791" w:rsidRPr="003A7791" w:rsidRDefault="003A7791" w:rsidP="007B3AB8">
            <w:pPr>
              <w:rPr>
                <w:rFonts w:ascii="Arial" w:hAnsi="Arial" w:cs="Arial"/>
                <w:sz w:val="24"/>
                <w:szCs w:val="24"/>
              </w:rPr>
            </w:pPr>
            <w:r w:rsidRPr="003A7791">
              <w:rPr>
                <w:rFonts w:ascii="Arial" w:hAnsi="Arial" w:cs="Arial"/>
                <w:sz w:val="24"/>
                <w:szCs w:val="24"/>
              </w:rPr>
              <w:t>Evaluate design options for a UK CBAM; assess trade and competitiveness implications; recommend policy responses.</w:t>
            </w:r>
          </w:p>
        </w:tc>
        <w:tc>
          <w:tcPr>
            <w:tcW w:w="0" w:type="auto"/>
            <w:tcBorders>
              <w:top w:val="nil"/>
              <w:left w:val="nil"/>
              <w:bottom w:val="single" w:sz="4" w:space="0" w:color="AAAAAA"/>
              <w:right w:val="single" w:sz="4" w:space="0" w:color="AAAAAA"/>
            </w:tcBorders>
            <w:shd w:val="clear" w:color="D6E4F0" w:fill="D6E4F0"/>
          </w:tcPr>
          <w:p w14:paraId="6893DBE8" w14:textId="77777777" w:rsidR="003A7791" w:rsidRPr="003A7791" w:rsidRDefault="003A7791" w:rsidP="007B3AB8">
            <w:pPr>
              <w:rPr>
                <w:rFonts w:ascii="Arial" w:hAnsi="Arial" w:cs="Arial"/>
                <w:sz w:val="24"/>
                <w:szCs w:val="24"/>
              </w:rPr>
            </w:pPr>
            <w:r w:rsidRPr="003A7791">
              <w:rPr>
                <w:rFonts w:ascii="Arial" w:hAnsi="Arial" w:cs="Arial"/>
                <w:sz w:val="24"/>
                <w:szCs w:val="24"/>
              </w:rPr>
              <w:t>How can the UK use a CBAM to prevent carbon leakage while maintaining industrial competitiveness?</w:t>
            </w:r>
          </w:p>
        </w:tc>
        <w:tc>
          <w:tcPr>
            <w:tcW w:w="0" w:type="auto"/>
            <w:tcBorders>
              <w:top w:val="nil"/>
              <w:left w:val="nil"/>
              <w:bottom w:val="single" w:sz="4" w:space="0" w:color="AAAAAA"/>
              <w:right w:val="single" w:sz="4" w:space="0" w:color="AAAAAA"/>
            </w:tcBorders>
            <w:shd w:val="clear" w:color="D6E4F0" w:fill="D6E4F0"/>
          </w:tcPr>
          <w:p w14:paraId="0B684CE5" w14:textId="77777777" w:rsidR="003A7791" w:rsidRPr="003A7791" w:rsidRDefault="003A7791" w:rsidP="007B3AB8">
            <w:pPr>
              <w:rPr>
                <w:rFonts w:ascii="Arial" w:hAnsi="Arial" w:cs="Arial"/>
                <w:sz w:val="24"/>
                <w:szCs w:val="24"/>
              </w:rPr>
            </w:pPr>
            <w:r w:rsidRPr="003A7791">
              <w:rPr>
                <w:rFonts w:ascii="Arial" w:hAnsi="Arial" w:cs="Arial"/>
                <w:sz w:val="24"/>
                <w:szCs w:val="24"/>
              </w:rPr>
              <w:t>Qualitative policy analysis; review of EU CBAM precedents; stakeholder engagement.</w:t>
            </w:r>
          </w:p>
        </w:tc>
        <w:tc>
          <w:tcPr>
            <w:tcW w:w="0" w:type="auto"/>
            <w:tcBorders>
              <w:top w:val="nil"/>
              <w:left w:val="nil"/>
              <w:bottom w:val="single" w:sz="4" w:space="0" w:color="AAAAAA"/>
              <w:right w:val="single" w:sz="4" w:space="0" w:color="AAAAAA"/>
            </w:tcBorders>
            <w:shd w:val="clear" w:color="D6E4F0" w:fill="D6E4F0"/>
          </w:tcPr>
          <w:p w14:paraId="3B5A991A" w14:textId="77777777" w:rsidR="003A7791" w:rsidRPr="003A7791" w:rsidRDefault="003A7791" w:rsidP="007B3AB8">
            <w:pPr>
              <w:rPr>
                <w:rFonts w:ascii="Arial" w:hAnsi="Arial" w:cs="Arial"/>
                <w:sz w:val="24"/>
                <w:szCs w:val="24"/>
              </w:rPr>
            </w:pPr>
            <w:r w:rsidRPr="003A7791">
              <w:rPr>
                <w:rFonts w:ascii="Arial" w:hAnsi="Arial" w:cs="Arial"/>
                <w:sz w:val="24"/>
                <w:szCs w:val="24"/>
              </w:rPr>
              <w:t>A UK CBAM is necessary to prevent carbon leakage as UK ETS prices rise. Steel, aluminium, cement and glass are highest-risk sectors. Alignment with EU CBAM is advisable.</w:t>
            </w:r>
          </w:p>
        </w:tc>
      </w:tr>
      <w:tr w:rsidR="003A7791" w:rsidRPr="003A7791" w14:paraId="731963E5"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FFF" w:fill="FFFFFF"/>
          </w:tcPr>
          <w:p w14:paraId="0D682B2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w:t>
            </w:r>
          </w:p>
        </w:tc>
        <w:tc>
          <w:tcPr>
            <w:tcW w:w="0" w:type="auto"/>
            <w:tcBorders>
              <w:top w:val="nil"/>
              <w:left w:val="nil"/>
              <w:bottom w:val="single" w:sz="4" w:space="0" w:color="AAAAAA"/>
              <w:right w:val="single" w:sz="4" w:space="0" w:color="AAAAAA"/>
            </w:tcBorders>
            <w:shd w:val="clear" w:color="FFFFFF" w:fill="FFFFFF"/>
          </w:tcPr>
          <w:p w14:paraId="704D5275" w14:textId="77777777" w:rsidR="003A7791" w:rsidRPr="003A7791" w:rsidRDefault="003A7791" w:rsidP="007B3AB8">
            <w:pPr>
              <w:rPr>
                <w:rFonts w:ascii="Arial" w:hAnsi="Arial" w:cs="Arial"/>
                <w:sz w:val="24"/>
                <w:szCs w:val="24"/>
              </w:rPr>
            </w:pPr>
            <w:r w:rsidRPr="003A7791">
              <w:rPr>
                <w:rFonts w:ascii="Arial" w:hAnsi="Arial" w:cs="Arial"/>
                <w:sz w:val="24"/>
                <w:szCs w:val="24"/>
              </w:rPr>
              <w:t>Steel Arising: Opportunities for the UK in a Transforming Global Steel Industry</w:t>
            </w:r>
          </w:p>
        </w:tc>
        <w:tc>
          <w:tcPr>
            <w:tcW w:w="0" w:type="auto"/>
            <w:tcBorders>
              <w:top w:val="nil"/>
              <w:left w:val="nil"/>
              <w:bottom w:val="single" w:sz="4" w:space="0" w:color="AAAAAA"/>
              <w:right w:val="single" w:sz="4" w:space="0" w:color="AAAAAA"/>
            </w:tcBorders>
            <w:shd w:val="clear" w:color="FFFFFF" w:fill="FFFFFF"/>
          </w:tcPr>
          <w:p w14:paraId="61614F08" w14:textId="77777777" w:rsidR="003A7791" w:rsidRPr="003A7791" w:rsidRDefault="003A7791" w:rsidP="007B3AB8">
            <w:pPr>
              <w:rPr>
                <w:rFonts w:ascii="Arial" w:hAnsi="Arial" w:cs="Arial"/>
                <w:sz w:val="24"/>
                <w:szCs w:val="24"/>
              </w:rPr>
            </w:pPr>
            <w:r w:rsidRPr="003A7791">
              <w:rPr>
                <w:rFonts w:ascii="Arial" w:hAnsi="Arial" w:cs="Arial"/>
                <w:sz w:val="24"/>
                <w:szCs w:val="24"/>
              </w:rPr>
              <w:t>University of Cambridge (Industry Report)</w:t>
            </w:r>
          </w:p>
        </w:tc>
        <w:tc>
          <w:tcPr>
            <w:tcW w:w="0" w:type="auto"/>
            <w:tcBorders>
              <w:top w:val="nil"/>
              <w:left w:val="nil"/>
              <w:bottom w:val="single" w:sz="4" w:space="0" w:color="AAAAAA"/>
              <w:right w:val="single" w:sz="4" w:space="0" w:color="AAAAAA"/>
            </w:tcBorders>
            <w:shd w:val="clear" w:color="FFFFFF" w:fill="FFFFFF"/>
          </w:tcPr>
          <w:p w14:paraId="6D21E1E9"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Allwood, J., Dunant, C., Lupton, R., </w:t>
            </w:r>
            <w:proofErr w:type="spellStart"/>
            <w:r w:rsidRPr="003A7791">
              <w:rPr>
                <w:rFonts w:ascii="Arial" w:hAnsi="Arial" w:cs="Arial"/>
                <w:sz w:val="24"/>
                <w:szCs w:val="24"/>
              </w:rPr>
              <w:t>Serrenho</w:t>
            </w:r>
            <w:proofErr w:type="spellEnd"/>
            <w:r w:rsidRPr="003A7791">
              <w:rPr>
                <w:rFonts w:ascii="Arial" w:hAnsi="Arial" w:cs="Arial"/>
                <w:sz w:val="24"/>
                <w:szCs w:val="24"/>
              </w:rPr>
              <w:t>, A.</w:t>
            </w:r>
          </w:p>
        </w:tc>
        <w:tc>
          <w:tcPr>
            <w:tcW w:w="0" w:type="auto"/>
            <w:tcBorders>
              <w:top w:val="nil"/>
              <w:left w:val="nil"/>
              <w:bottom w:val="single" w:sz="4" w:space="0" w:color="AAAAAA"/>
              <w:right w:val="single" w:sz="4" w:space="0" w:color="AAAAAA"/>
            </w:tcBorders>
            <w:shd w:val="clear" w:color="FFFFFF" w:fill="FFFFFF"/>
          </w:tcPr>
          <w:p w14:paraId="47E49916"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2019</w:t>
            </w:r>
          </w:p>
        </w:tc>
        <w:tc>
          <w:tcPr>
            <w:tcW w:w="0" w:type="auto"/>
            <w:tcBorders>
              <w:top w:val="nil"/>
              <w:left w:val="nil"/>
              <w:bottom w:val="single" w:sz="4" w:space="0" w:color="AAAAAA"/>
              <w:right w:val="single" w:sz="4" w:space="0" w:color="AAAAAA"/>
            </w:tcBorders>
            <w:shd w:val="clear" w:color="FFFFFF" w:fill="FFFFFF"/>
          </w:tcPr>
          <w:p w14:paraId="27D1BB22" w14:textId="77777777" w:rsidR="003A7791" w:rsidRPr="003A7791" w:rsidRDefault="003A7791" w:rsidP="007B3AB8">
            <w:pPr>
              <w:rPr>
                <w:rFonts w:ascii="Arial" w:hAnsi="Arial" w:cs="Arial"/>
                <w:sz w:val="24"/>
                <w:szCs w:val="24"/>
              </w:rPr>
            </w:pPr>
            <w:r w:rsidRPr="003A7791">
              <w:rPr>
                <w:rFonts w:ascii="Arial" w:hAnsi="Arial" w:cs="Arial"/>
                <w:sz w:val="24"/>
                <w:szCs w:val="24"/>
              </w:rPr>
              <w:t>To examine the future of UK steel demand and production in a low-carbon transition.</w:t>
            </w:r>
          </w:p>
        </w:tc>
        <w:tc>
          <w:tcPr>
            <w:tcW w:w="0" w:type="auto"/>
            <w:tcBorders>
              <w:top w:val="nil"/>
              <w:left w:val="nil"/>
              <w:bottom w:val="single" w:sz="4" w:space="0" w:color="AAAAAA"/>
              <w:right w:val="single" w:sz="4" w:space="0" w:color="AAAAAA"/>
            </w:tcBorders>
            <w:shd w:val="clear" w:color="FFFFFF" w:fill="FFFFFF"/>
          </w:tcPr>
          <w:p w14:paraId="3404CE89" w14:textId="77777777" w:rsidR="003A7791" w:rsidRPr="003A7791" w:rsidRDefault="003A7791" w:rsidP="007B3AB8">
            <w:pPr>
              <w:rPr>
                <w:rFonts w:ascii="Arial" w:hAnsi="Arial" w:cs="Arial"/>
                <w:sz w:val="24"/>
                <w:szCs w:val="24"/>
              </w:rPr>
            </w:pPr>
            <w:r w:rsidRPr="003A7791">
              <w:rPr>
                <w:rFonts w:ascii="Arial" w:hAnsi="Arial" w:cs="Arial"/>
                <w:sz w:val="24"/>
                <w:szCs w:val="24"/>
              </w:rPr>
              <w:t>Quantify UK steel use by sector; identify demand reduction opportunities; assess decarbonisation pathways.</w:t>
            </w:r>
          </w:p>
        </w:tc>
        <w:tc>
          <w:tcPr>
            <w:tcW w:w="0" w:type="auto"/>
            <w:tcBorders>
              <w:top w:val="nil"/>
              <w:left w:val="nil"/>
              <w:bottom w:val="single" w:sz="4" w:space="0" w:color="AAAAAA"/>
              <w:right w:val="single" w:sz="4" w:space="0" w:color="AAAAAA"/>
            </w:tcBorders>
            <w:shd w:val="clear" w:color="FFFFFF" w:fill="FFFFFF"/>
          </w:tcPr>
          <w:p w14:paraId="377426AD"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How will UK steel demand change under net-zero scenarios? What is the role of construction </w:t>
            </w:r>
            <w:r w:rsidRPr="003A7791">
              <w:rPr>
                <w:rFonts w:ascii="Arial" w:hAnsi="Arial" w:cs="Arial"/>
                <w:sz w:val="24"/>
                <w:szCs w:val="24"/>
              </w:rPr>
              <w:lastRenderedPageBreak/>
              <w:t>sector imports?</w:t>
            </w:r>
          </w:p>
        </w:tc>
        <w:tc>
          <w:tcPr>
            <w:tcW w:w="0" w:type="auto"/>
            <w:tcBorders>
              <w:top w:val="nil"/>
              <w:left w:val="nil"/>
              <w:bottom w:val="single" w:sz="4" w:space="0" w:color="AAAAAA"/>
              <w:right w:val="single" w:sz="4" w:space="0" w:color="AAAAAA"/>
            </w:tcBorders>
            <w:shd w:val="clear" w:color="FFFFFF" w:fill="FFFFFF"/>
          </w:tcPr>
          <w:p w14:paraId="7DFC8A91"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Quantitative material flow analysis; scenario modelling.</w:t>
            </w:r>
          </w:p>
        </w:tc>
        <w:tc>
          <w:tcPr>
            <w:tcW w:w="0" w:type="auto"/>
            <w:tcBorders>
              <w:top w:val="nil"/>
              <w:left w:val="nil"/>
              <w:bottom w:val="single" w:sz="4" w:space="0" w:color="AAAAAA"/>
              <w:right w:val="single" w:sz="4" w:space="0" w:color="AAAAAA"/>
            </w:tcBorders>
            <w:shd w:val="clear" w:color="FFFFFF" w:fill="FFFFFF"/>
          </w:tcPr>
          <w:p w14:paraId="5C5CE711"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UK construction imports over 60% of structural steel, making it highly sensitive to CBAM. Green EAF steel </w:t>
            </w:r>
            <w:r w:rsidRPr="003A7791">
              <w:rPr>
                <w:rFonts w:ascii="Arial" w:hAnsi="Arial" w:cs="Arial"/>
                <w:sz w:val="24"/>
                <w:szCs w:val="24"/>
              </w:rPr>
              <w:lastRenderedPageBreak/>
              <w:t>will become increasingly competitive as carbon pricing rises.</w:t>
            </w:r>
          </w:p>
        </w:tc>
      </w:tr>
      <w:tr w:rsidR="003A7791" w:rsidRPr="003A7791" w14:paraId="22D093C1"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301A378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3</w:t>
            </w:r>
          </w:p>
        </w:tc>
        <w:tc>
          <w:tcPr>
            <w:tcW w:w="0" w:type="auto"/>
            <w:tcBorders>
              <w:top w:val="nil"/>
              <w:left w:val="nil"/>
              <w:bottom w:val="single" w:sz="4" w:space="0" w:color="AAAAAA"/>
              <w:right w:val="single" w:sz="4" w:space="0" w:color="AAAAAA"/>
            </w:tcBorders>
            <w:shd w:val="clear" w:color="D6E4F0" w:fill="D6E4F0"/>
          </w:tcPr>
          <w:p w14:paraId="78D1599C" w14:textId="77777777" w:rsidR="003A7791" w:rsidRPr="003A7791" w:rsidRDefault="003A7791" w:rsidP="007B3AB8">
            <w:pPr>
              <w:rPr>
                <w:rFonts w:ascii="Arial" w:hAnsi="Arial" w:cs="Arial"/>
                <w:sz w:val="24"/>
                <w:szCs w:val="24"/>
              </w:rPr>
            </w:pPr>
            <w:r w:rsidRPr="003A7791">
              <w:rPr>
                <w:rFonts w:ascii="Arial" w:hAnsi="Arial" w:cs="Arial"/>
                <w:sz w:val="24"/>
                <w:szCs w:val="24"/>
              </w:rPr>
              <w:t>State and Trends of Carbon Pricing 2021</w:t>
            </w:r>
          </w:p>
        </w:tc>
        <w:tc>
          <w:tcPr>
            <w:tcW w:w="0" w:type="auto"/>
            <w:tcBorders>
              <w:top w:val="nil"/>
              <w:left w:val="nil"/>
              <w:bottom w:val="single" w:sz="4" w:space="0" w:color="AAAAAA"/>
              <w:right w:val="single" w:sz="4" w:space="0" w:color="AAAAAA"/>
            </w:tcBorders>
            <w:shd w:val="clear" w:color="D6E4F0" w:fill="D6E4F0"/>
          </w:tcPr>
          <w:p w14:paraId="1267A385" w14:textId="77777777" w:rsidR="003A7791" w:rsidRPr="003A7791" w:rsidRDefault="003A7791" w:rsidP="007B3AB8">
            <w:pPr>
              <w:rPr>
                <w:rFonts w:ascii="Arial" w:hAnsi="Arial" w:cs="Arial"/>
                <w:sz w:val="24"/>
                <w:szCs w:val="24"/>
              </w:rPr>
            </w:pPr>
            <w:r w:rsidRPr="003A7791">
              <w:rPr>
                <w:rFonts w:ascii="Arial" w:hAnsi="Arial" w:cs="Arial"/>
                <w:sz w:val="24"/>
                <w:szCs w:val="24"/>
              </w:rPr>
              <w:t>World Bank Group (Annual Report)</w:t>
            </w:r>
          </w:p>
        </w:tc>
        <w:tc>
          <w:tcPr>
            <w:tcW w:w="0" w:type="auto"/>
            <w:tcBorders>
              <w:top w:val="nil"/>
              <w:left w:val="nil"/>
              <w:bottom w:val="single" w:sz="4" w:space="0" w:color="AAAAAA"/>
              <w:right w:val="single" w:sz="4" w:space="0" w:color="AAAAAA"/>
            </w:tcBorders>
            <w:shd w:val="clear" w:color="D6E4F0" w:fill="D6E4F0"/>
          </w:tcPr>
          <w:p w14:paraId="2CF8E3E2" w14:textId="77777777" w:rsidR="003A7791" w:rsidRPr="003A7791" w:rsidRDefault="003A7791" w:rsidP="007B3AB8">
            <w:pPr>
              <w:rPr>
                <w:rFonts w:ascii="Arial" w:hAnsi="Arial" w:cs="Arial"/>
                <w:sz w:val="24"/>
                <w:szCs w:val="24"/>
              </w:rPr>
            </w:pPr>
            <w:proofErr w:type="spellStart"/>
            <w:r w:rsidRPr="003A7791">
              <w:rPr>
                <w:rFonts w:ascii="Arial" w:hAnsi="Arial" w:cs="Arial"/>
                <w:sz w:val="24"/>
                <w:szCs w:val="24"/>
              </w:rPr>
              <w:t>Santikarn</w:t>
            </w:r>
            <w:proofErr w:type="spellEnd"/>
            <w:r w:rsidRPr="003A7791">
              <w:rPr>
                <w:rFonts w:ascii="Arial" w:hAnsi="Arial" w:cs="Arial"/>
                <w:sz w:val="24"/>
                <w:szCs w:val="24"/>
              </w:rPr>
              <w:t xml:space="preserve">, M., </w:t>
            </w:r>
            <w:proofErr w:type="spellStart"/>
            <w:r w:rsidRPr="003A7791">
              <w:rPr>
                <w:rFonts w:ascii="Arial" w:hAnsi="Arial" w:cs="Arial"/>
                <w:sz w:val="24"/>
                <w:szCs w:val="24"/>
              </w:rPr>
              <w:t>Churie</w:t>
            </w:r>
            <w:proofErr w:type="spellEnd"/>
            <w:r w:rsidRPr="003A7791">
              <w:rPr>
                <w:rFonts w:ascii="Arial" w:hAnsi="Arial" w:cs="Arial"/>
                <w:sz w:val="24"/>
                <w:szCs w:val="24"/>
              </w:rPr>
              <w:t xml:space="preserve"> Kallhauge, A.N. et al.</w:t>
            </w:r>
          </w:p>
        </w:tc>
        <w:tc>
          <w:tcPr>
            <w:tcW w:w="0" w:type="auto"/>
            <w:tcBorders>
              <w:top w:val="nil"/>
              <w:left w:val="nil"/>
              <w:bottom w:val="single" w:sz="4" w:space="0" w:color="AAAAAA"/>
              <w:right w:val="single" w:sz="4" w:space="0" w:color="AAAAAA"/>
            </w:tcBorders>
            <w:shd w:val="clear" w:color="D6E4F0" w:fill="D6E4F0"/>
          </w:tcPr>
          <w:p w14:paraId="634B2247"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2021</w:t>
            </w:r>
          </w:p>
        </w:tc>
        <w:tc>
          <w:tcPr>
            <w:tcW w:w="0" w:type="auto"/>
            <w:tcBorders>
              <w:top w:val="nil"/>
              <w:left w:val="nil"/>
              <w:bottom w:val="single" w:sz="4" w:space="0" w:color="AAAAAA"/>
              <w:right w:val="single" w:sz="4" w:space="0" w:color="AAAAAA"/>
            </w:tcBorders>
            <w:shd w:val="clear" w:color="D6E4F0" w:fill="D6E4F0"/>
          </w:tcPr>
          <w:p w14:paraId="546EDB14" w14:textId="77777777" w:rsidR="003A7791" w:rsidRPr="003A7791" w:rsidRDefault="003A7791" w:rsidP="007B3AB8">
            <w:pPr>
              <w:rPr>
                <w:rFonts w:ascii="Arial" w:hAnsi="Arial" w:cs="Arial"/>
                <w:sz w:val="24"/>
                <w:szCs w:val="24"/>
              </w:rPr>
            </w:pPr>
            <w:r w:rsidRPr="003A7791">
              <w:rPr>
                <w:rFonts w:ascii="Arial" w:hAnsi="Arial" w:cs="Arial"/>
                <w:sz w:val="24"/>
                <w:szCs w:val="24"/>
              </w:rPr>
              <w:t>To provide a global overview of carbon pricing initiatives and revenue trends.</w:t>
            </w:r>
          </w:p>
        </w:tc>
        <w:tc>
          <w:tcPr>
            <w:tcW w:w="0" w:type="auto"/>
            <w:tcBorders>
              <w:top w:val="nil"/>
              <w:left w:val="nil"/>
              <w:bottom w:val="single" w:sz="4" w:space="0" w:color="AAAAAA"/>
              <w:right w:val="single" w:sz="4" w:space="0" w:color="AAAAAA"/>
            </w:tcBorders>
            <w:shd w:val="clear" w:color="D6E4F0" w:fill="D6E4F0"/>
          </w:tcPr>
          <w:p w14:paraId="3BD76D93" w14:textId="77777777" w:rsidR="003A7791" w:rsidRPr="003A7791" w:rsidRDefault="003A7791" w:rsidP="007B3AB8">
            <w:pPr>
              <w:rPr>
                <w:rFonts w:ascii="Arial" w:hAnsi="Arial" w:cs="Arial"/>
                <w:sz w:val="24"/>
                <w:szCs w:val="24"/>
              </w:rPr>
            </w:pPr>
            <w:r w:rsidRPr="003A7791">
              <w:rPr>
                <w:rFonts w:ascii="Arial" w:hAnsi="Arial" w:cs="Arial"/>
                <w:sz w:val="24"/>
                <w:szCs w:val="24"/>
              </w:rPr>
              <w:t>Map all active carbon pricing instruments worldwide; track revenue growth; assess coverage and price levels.</w:t>
            </w:r>
          </w:p>
        </w:tc>
        <w:tc>
          <w:tcPr>
            <w:tcW w:w="0" w:type="auto"/>
            <w:tcBorders>
              <w:top w:val="nil"/>
              <w:left w:val="nil"/>
              <w:bottom w:val="single" w:sz="4" w:space="0" w:color="AAAAAA"/>
              <w:right w:val="single" w:sz="4" w:space="0" w:color="AAAAAA"/>
            </w:tcBorders>
            <w:shd w:val="clear" w:color="D6E4F0" w:fill="D6E4F0"/>
          </w:tcPr>
          <w:p w14:paraId="52937C0A" w14:textId="77777777" w:rsidR="003A7791" w:rsidRPr="003A7791" w:rsidRDefault="003A7791" w:rsidP="007B3AB8">
            <w:pPr>
              <w:rPr>
                <w:rFonts w:ascii="Arial" w:hAnsi="Arial" w:cs="Arial"/>
                <w:sz w:val="24"/>
                <w:szCs w:val="24"/>
              </w:rPr>
            </w:pPr>
            <w:r w:rsidRPr="003A7791">
              <w:rPr>
                <w:rFonts w:ascii="Arial" w:hAnsi="Arial" w:cs="Arial"/>
                <w:sz w:val="24"/>
                <w:szCs w:val="24"/>
              </w:rPr>
              <w:t>How has global carbon pricing revenue evolved? What is the global trend in carbon price adoption?</w:t>
            </w:r>
          </w:p>
        </w:tc>
        <w:tc>
          <w:tcPr>
            <w:tcW w:w="0" w:type="auto"/>
            <w:tcBorders>
              <w:top w:val="nil"/>
              <w:left w:val="nil"/>
              <w:bottom w:val="single" w:sz="4" w:space="0" w:color="AAAAAA"/>
              <w:right w:val="single" w:sz="4" w:space="0" w:color="AAAAAA"/>
            </w:tcBorders>
            <w:shd w:val="clear" w:color="D6E4F0" w:fill="D6E4F0"/>
          </w:tcPr>
          <w:p w14:paraId="7F0A6B17" w14:textId="77777777" w:rsidR="003A7791" w:rsidRPr="003A7791" w:rsidRDefault="003A7791" w:rsidP="007B3AB8">
            <w:pPr>
              <w:rPr>
                <w:rFonts w:ascii="Arial" w:hAnsi="Arial" w:cs="Arial"/>
                <w:sz w:val="24"/>
                <w:szCs w:val="24"/>
              </w:rPr>
            </w:pPr>
            <w:r w:rsidRPr="003A7791">
              <w:rPr>
                <w:rFonts w:ascii="Arial" w:hAnsi="Arial" w:cs="Arial"/>
                <w:sz w:val="24"/>
                <w:szCs w:val="24"/>
              </w:rPr>
              <w:t>Quantitative data analysis; comparative policy review of 64+ carbon pricing instruments globally.</w:t>
            </w:r>
          </w:p>
        </w:tc>
        <w:tc>
          <w:tcPr>
            <w:tcW w:w="0" w:type="auto"/>
            <w:tcBorders>
              <w:top w:val="nil"/>
              <w:left w:val="nil"/>
              <w:bottom w:val="single" w:sz="4" w:space="0" w:color="AAAAAA"/>
              <w:right w:val="single" w:sz="4" w:space="0" w:color="AAAAAA"/>
            </w:tcBorders>
            <w:shd w:val="clear" w:color="D6E4F0" w:fill="D6E4F0"/>
          </w:tcPr>
          <w:p w14:paraId="4DBB3AEE" w14:textId="77777777" w:rsidR="003A7791" w:rsidRPr="003A7791" w:rsidRDefault="003A7791" w:rsidP="007B3AB8">
            <w:pPr>
              <w:rPr>
                <w:rFonts w:ascii="Arial" w:hAnsi="Arial" w:cs="Arial"/>
                <w:sz w:val="24"/>
                <w:szCs w:val="24"/>
              </w:rPr>
            </w:pPr>
            <w:r w:rsidRPr="003A7791">
              <w:rPr>
                <w:rFonts w:ascii="Arial" w:hAnsi="Arial" w:cs="Arial"/>
                <w:sz w:val="24"/>
                <w:szCs w:val="24"/>
              </w:rPr>
              <w:t>Global carbon pricing revenue quadrupled between 2015 and 2021, exceeding $84 billion. Carbon pricing covers 21.5% of global GHG emissions.</w:t>
            </w:r>
          </w:p>
        </w:tc>
      </w:tr>
      <w:tr w:rsidR="003A7791" w:rsidRPr="003A7791" w14:paraId="538026B1"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FFF" w:fill="FFFFFF"/>
          </w:tcPr>
          <w:p w14:paraId="36C11E0B"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4</w:t>
            </w:r>
          </w:p>
        </w:tc>
        <w:tc>
          <w:tcPr>
            <w:tcW w:w="0" w:type="auto"/>
            <w:tcBorders>
              <w:top w:val="nil"/>
              <w:left w:val="nil"/>
              <w:bottom w:val="single" w:sz="4" w:space="0" w:color="AAAAAA"/>
              <w:right w:val="single" w:sz="4" w:space="0" w:color="AAAAAA"/>
            </w:tcBorders>
            <w:shd w:val="clear" w:color="FFFFFF" w:fill="FFFFFF"/>
          </w:tcPr>
          <w:p w14:paraId="29AA580D" w14:textId="77777777" w:rsidR="003A7791" w:rsidRPr="003A7791" w:rsidRDefault="003A7791" w:rsidP="007B3AB8">
            <w:pPr>
              <w:rPr>
                <w:rFonts w:ascii="Arial" w:hAnsi="Arial" w:cs="Arial"/>
                <w:sz w:val="24"/>
                <w:szCs w:val="24"/>
              </w:rPr>
            </w:pPr>
            <w:r w:rsidRPr="003A7791">
              <w:rPr>
                <w:rFonts w:ascii="Arial" w:hAnsi="Arial" w:cs="Arial"/>
                <w:sz w:val="24"/>
                <w:szCs w:val="24"/>
              </w:rPr>
              <w:t>State and Trends of Carbon Pricing 2023</w:t>
            </w:r>
          </w:p>
        </w:tc>
        <w:tc>
          <w:tcPr>
            <w:tcW w:w="0" w:type="auto"/>
            <w:tcBorders>
              <w:top w:val="nil"/>
              <w:left w:val="nil"/>
              <w:bottom w:val="single" w:sz="4" w:space="0" w:color="AAAAAA"/>
              <w:right w:val="single" w:sz="4" w:space="0" w:color="AAAAAA"/>
            </w:tcBorders>
            <w:shd w:val="clear" w:color="FFFFFF" w:fill="FFFFFF"/>
          </w:tcPr>
          <w:p w14:paraId="0700AC37" w14:textId="77777777" w:rsidR="003A7791" w:rsidRPr="003A7791" w:rsidRDefault="003A7791" w:rsidP="007B3AB8">
            <w:pPr>
              <w:rPr>
                <w:rFonts w:ascii="Arial" w:hAnsi="Arial" w:cs="Arial"/>
                <w:sz w:val="24"/>
                <w:szCs w:val="24"/>
              </w:rPr>
            </w:pPr>
            <w:r w:rsidRPr="003A7791">
              <w:rPr>
                <w:rFonts w:ascii="Arial" w:hAnsi="Arial" w:cs="Arial"/>
                <w:sz w:val="24"/>
                <w:szCs w:val="24"/>
              </w:rPr>
              <w:t>World Bank Group (Annual Report)</w:t>
            </w:r>
          </w:p>
        </w:tc>
        <w:tc>
          <w:tcPr>
            <w:tcW w:w="0" w:type="auto"/>
            <w:tcBorders>
              <w:top w:val="nil"/>
              <w:left w:val="nil"/>
              <w:bottom w:val="single" w:sz="4" w:space="0" w:color="AAAAAA"/>
              <w:right w:val="single" w:sz="4" w:space="0" w:color="AAAAAA"/>
            </w:tcBorders>
            <w:shd w:val="clear" w:color="FFFFFF" w:fill="FFFFFF"/>
          </w:tcPr>
          <w:p w14:paraId="3FDB6404" w14:textId="77777777" w:rsidR="003A7791" w:rsidRPr="003A7791" w:rsidRDefault="003A7791" w:rsidP="007B3AB8">
            <w:pPr>
              <w:rPr>
                <w:rFonts w:ascii="Arial" w:hAnsi="Arial" w:cs="Arial"/>
                <w:sz w:val="24"/>
                <w:szCs w:val="24"/>
              </w:rPr>
            </w:pPr>
            <w:r w:rsidRPr="003A7791">
              <w:rPr>
                <w:rFonts w:ascii="Arial" w:hAnsi="Arial" w:cs="Arial"/>
                <w:sz w:val="24"/>
                <w:szCs w:val="24"/>
              </w:rPr>
              <w:t>World Bank</w:t>
            </w:r>
          </w:p>
        </w:tc>
        <w:tc>
          <w:tcPr>
            <w:tcW w:w="0" w:type="auto"/>
            <w:tcBorders>
              <w:top w:val="nil"/>
              <w:left w:val="nil"/>
              <w:bottom w:val="single" w:sz="4" w:space="0" w:color="AAAAAA"/>
              <w:right w:val="single" w:sz="4" w:space="0" w:color="AAAAAA"/>
            </w:tcBorders>
            <w:shd w:val="clear" w:color="FFFFFF" w:fill="FFFFFF"/>
          </w:tcPr>
          <w:p w14:paraId="5E98C378"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2023</w:t>
            </w:r>
          </w:p>
        </w:tc>
        <w:tc>
          <w:tcPr>
            <w:tcW w:w="0" w:type="auto"/>
            <w:tcBorders>
              <w:top w:val="nil"/>
              <w:left w:val="nil"/>
              <w:bottom w:val="single" w:sz="4" w:space="0" w:color="AAAAAA"/>
              <w:right w:val="single" w:sz="4" w:space="0" w:color="AAAAAA"/>
            </w:tcBorders>
            <w:shd w:val="clear" w:color="FFFFFF" w:fill="FFFFFF"/>
          </w:tcPr>
          <w:p w14:paraId="258FC084" w14:textId="77777777" w:rsidR="003A7791" w:rsidRPr="003A7791" w:rsidRDefault="003A7791" w:rsidP="007B3AB8">
            <w:pPr>
              <w:rPr>
                <w:rFonts w:ascii="Arial" w:hAnsi="Arial" w:cs="Arial"/>
                <w:sz w:val="24"/>
                <w:szCs w:val="24"/>
              </w:rPr>
            </w:pPr>
            <w:r w:rsidRPr="003A7791">
              <w:rPr>
                <w:rFonts w:ascii="Arial" w:hAnsi="Arial" w:cs="Arial"/>
                <w:sz w:val="24"/>
                <w:szCs w:val="24"/>
              </w:rPr>
              <w:t>To update the global picture of carbon pricing and examine post-pandemic trends.</w:t>
            </w:r>
          </w:p>
        </w:tc>
        <w:tc>
          <w:tcPr>
            <w:tcW w:w="0" w:type="auto"/>
            <w:tcBorders>
              <w:top w:val="nil"/>
              <w:left w:val="nil"/>
              <w:bottom w:val="single" w:sz="4" w:space="0" w:color="AAAAAA"/>
              <w:right w:val="single" w:sz="4" w:space="0" w:color="AAAAAA"/>
            </w:tcBorders>
            <w:shd w:val="clear" w:color="FFFFFF" w:fill="FFFFFF"/>
          </w:tcPr>
          <w:p w14:paraId="16D94D57" w14:textId="77777777" w:rsidR="003A7791" w:rsidRPr="003A7791" w:rsidRDefault="003A7791" w:rsidP="007B3AB8">
            <w:pPr>
              <w:rPr>
                <w:rFonts w:ascii="Arial" w:hAnsi="Arial" w:cs="Arial"/>
                <w:sz w:val="24"/>
                <w:szCs w:val="24"/>
              </w:rPr>
            </w:pPr>
            <w:r w:rsidRPr="003A7791">
              <w:rPr>
                <w:rFonts w:ascii="Arial" w:hAnsi="Arial" w:cs="Arial"/>
                <w:sz w:val="24"/>
                <w:szCs w:val="24"/>
              </w:rPr>
              <w:t>Track new and expanded carbon pricing instruments; assess revenue use; review CBAM developments globally.</w:t>
            </w:r>
          </w:p>
        </w:tc>
        <w:tc>
          <w:tcPr>
            <w:tcW w:w="0" w:type="auto"/>
            <w:tcBorders>
              <w:top w:val="nil"/>
              <w:left w:val="nil"/>
              <w:bottom w:val="single" w:sz="4" w:space="0" w:color="AAAAAA"/>
              <w:right w:val="single" w:sz="4" w:space="0" w:color="AAAAAA"/>
            </w:tcBorders>
            <w:shd w:val="clear" w:color="FFFFFF" w:fill="FFFFFF"/>
          </w:tcPr>
          <w:p w14:paraId="2978BDBA" w14:textId="77777777" w:rsidR="003A7791" w:rsidRPr="003A7791" w:rsidRDefault="003A7791" w:rsidP="007B3AB8">
            <w:pPr>
              <w:rPr>
                <w:rFonts w:ascii="Arial" w:hAnsi="Arial" w:cs="Arial"/>
                <w:sz w:val="24"/>
                <w:szCs w:val="24"/>
              </w:rPr>
            </w:pPr>
            <w:r w:rsidRPr="003A7791">
              <w:rPr>
                <w:rFonts w:ascii="Arial" w:hAnsi="Arial" w:cs="Arial"/>
                <w:sz w:val="24"/>
                <w:szCs w:val="24"/>
              </w:rPr>
              <w:t>What are the latest trends in carbon pricing revenue and coverage post-2021?</w:t>
            </w:r>
          </w:p>
        </w:tc>
        <w:tc>
          <w:tcPr>
            <w:tcW w:w="0" w:type="auto"/>
            <w:tcBorders>
              <w:top w:val="nil"/>
              <w:left w:val="nil"/>
              <w:bottom w:val="single" w:sz="4" w:space="0" w:color="AAAAAA"/>
              <w:right w:val="single" w:sz="4" w:space="0" w:color="AAAAAA"/>
            </w:tcBorders>
            <w:shd w:val="clear" w:color="FFFFFF" w:fill="FFFFFF"/>
          </w:tcPr>
          <w:p w14:paraId="1813481D" w14:textId="77777777" w:rsidR="003A7791" w:rsidRPr="003A7791" w:rsidRDefault="003A7791" w:rsidP="007B3AB8">
            <w:pPr>
              <w:rPr>
                <w:rFonts w:ascii="Arial" w:hAnsi="Arial" w:cs="Arial"/>
                <w:sz w:val="24"/>
                <w:szCs w:val="24"/>
              </w:rPr>
            </w:pPr>
            <w:r w:rsidRPr="003A7791">
              <w:rPr>
                <w:rFonts w:ascii="Arial" w:hAnsi="Arial" w:cs="Arial"/>
                <w:sz w:val="24"/>
                <w:szCs w:val="24"/>
              </w:rPr>
              <w:t>Global quantitative review; policy mapping; economic analysis.</w:t>
            </w:r>
          </w:p>
        </w:tc>
        <w:tc>
          <w:tcPr>
            <w:tcW w:w="0" w:type="auto"/>
            <w:tcBorders>
              <w:top w:val="nil"/>
              <w:left w:val="nil"/>
              <w:bottom w:val="single" w:sz="4" w:space="0" w:color="AAAAAA"/>
              <w:right w:val="single" w:sz="4" w:space="0" w:color="AAAAAA"/>
            </w:tcBorders>
            <w:shd w:val="clear" w:color="FFFFFF" w:fill="FFFFFF"/>
          </w:tcPr>
          <w:p w14:paraId="36C23536"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Carbon pricing revenues reached $95 billion in 2022. CBAM instruments are proliferating internationally. Revenue increasingly </w:t>
            </w:r>
            <w:r w:rsidRPr="003A7791">
              <w:rPr>
                <w:rFonts w:ascii="Arial" w:hAnsi="Arial" w:cs="Arial"/>
                <w:sz w:val="24"/>
                <w:szCs w:val="24"/>
              </w:rPr>
              <w:lastRenderedPageBreak/>
              <w:t>recycled into clean energy and industrial decarbonisation.</w:t>
            </w:r>
          </w:p>
        </w:tc>
      </w:tr>
      <w:tr w:rsidR="003A7791" w:rsidRPr="003A7791" w14:paraId="545DAEA7"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7659387A"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5</w:t>
            </w:r>
          </w:p>
        </w:tc>
        <w:tc>
          <w:tcPr>
            <w:tcW w:w="0" w:type="auto"/>
            <w:tcBorders>
              <w:top w:val="nil"/>
              <w:left w:val="nil"/>
              <w:bottom w:val="single" w:sz="4" w:space="0" w:color="AAAAAA"/>
              <w:right w:val="single" w:sz="4" w:space="0" w:color="AAAAAA"/>
            </w:tcBorders>
            <w:shd w:val="clear" w:color="D6E4F0" w:fill="D6E4F0"/>
          </w:tcPr>
          <w:p w14:paraId="57D89AE7" w14:textId="77777777" w:rsidR="003A7791" w:rsidRPr="003A7791" w:rsidRDefault="003A7791" w:rsidP="007B3AB8">
            <w:pPr>
              <w:rPr>
                <w:rFonts w:ascii="Arial" w:hAnsi="Arial" w:cs="Arial"/>
                <w:sz w:val="24"/>
                <w:szCs w:val="24"/>
              </w:rPr>
            </w:pPr>
            <w:r w:rsidRPr="003A7791">
              <w:rPr>
                <w:rFonts w:ascii="Arial" w:hAnsi="Arial" w:cs="Arial"/>
                <w:sz w:val="24"/>
                <w:szCs w:val="24"/>
              </w:rPr>
              <w:t>The EU's Carbon Border Adjustment Mechanism (CBAM): Balancing Climate Action and Global Trade</w:t>
            </w:r>
          </w:p>
        </w:tc>
        <w:tc>
          <w:tcPr>
            <w:tcW w:w="0" w:type="auto"/>
            <w:tcBorders>
              <w:top w:val="nil"/>
              <w:left w:val="nil"/>
              <w:bottom w:val="single" w:sz="4" w:space="0" w:color="AAAAAA"/>
              <w:right w:val="single" w:sz="4" w:space="0" w:color="AAAAAA"/>
            </w:tcBorders>
            <w:shd w:val="clear" w:color="D6E4F0" w:fill="D6E4F0"/>
          </w:tcPr>
          <w:p w14:paraId="2BBB700D" w14:textId="77777777" w:rsidR="003A7791" w:rsidRPr="003A7791" w:rsidRDefault="003A7791" w:rsidP="007B3AB8">
            <w:pPr>
              <w:rPr>
                <w:rFonts w:ascii="Arial" w:hAnsi="Arial" w:cs="Arial"/>
                <w:sz w:val="24"/>
                <w:szCs w:val="24"/>
              </w:rPr>
            </w:pPr>
            <w:r w:rsidRPr="003A7791">
              <w:rPr>
                <w:rFonts w:ascii="Arial" w:hAnsi="Arial" w:cs="Arial"/>
                <w:sz w:val="24"/>
                <w:szCs w:val="24"/>
              </w:rPr>
              <w:t>SSRN / Policy Paper</w:t>
            </w:r>
          </w:p>
        </w:tc>
        <w:tc>
          <w:tcPr>
            <w:tcW w:w="0" w:type="auto"/>
            <w:tcBorders>
              <w:top w:val="nil"/>
              <w:left w:val="nil"/>
              <w:bottom w:val="single" w:sz="4" w:space="0" w:color="AAAAAA"/>
              <w:right w:val="single" w:sz="4" w:space="0" w:color="AAAAAA"/>
            </w:tcBorders>
            <w:shd w:val="clear" w:color="D6E4F0" w:fill="D6E4F0"/>
          </w:tcPr>
          <w:p w14:paraId="50C67E49" w14:textId="77777777" w:rsidR="003A7791" w:rsidRPr="003A7791" w:rsidRDefault="003A7791" w:rsidP="007B3AB8">
            <w:pPr>
              <w:rPr>
                <w:rFonts w:ascii="Arial" w:hAnsi="Arial" w:cs="Arial"/>
                <w:sz w:val="24"/>
                <w:szCs w:val="24"/>
              </w:rPr>
            </w:pPr>
            <w:proofErr w:type="spellStart"/>
            <w:r w:rsidRPr="003A7791">
              <w:rPr>
                <w:rFonts w:ascii="Arial" w:hAnsi="Arial" w:cs="Arial"/>
                <w:sz w:val="24"/>
                <w:szCs w:val="24"/>
              </w:rPr>
              <w:t>Shee</w:t>
            </w:r>
            <w:proofErr w:type="spellEnd"/>
            <w:r w:rsidRPr="003A7791">
              <w:rPr>
                <w:rFonts w:ascii="Arial" w:hAnsi="Arial" w:cs="Arial"/>
                <w:sz w:val="24"/>
                <w:szCs w:val="24"/>
              </w:rPr>
              <w:t xml:space="preserve"> Weng, L.</w:t>
            </w:r>
          </w:p>
        </w:tc>
        <w:tc>
          <w:tcPr>
            <w:tcW w:w="0" w:type="auto"/>
            <w:tcBorders>
              <w:top w:val="nil"/>
              <w:left w:val="nil"/>
              <w:bottom w:val="single" w:sz="4" w:space="0" w:color="AAAAAA"/>
              <w:right w:val="single" w:sz="4" w:space="0" w:color="AAAAAA"/>
            </w:tcBorders>
            <w:shd w:val="clear" w:color="D6E4F0" w:fill="D6E4F0"/>
          </w:tcPr>
          <w:p w14:paraId="69E78F02"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2025</w:t>
            </w:r>
          </w:p>
        </w:tc>
        <w:tc>
          <w:tcPr>
            <w:tcW w:w="0" w:type="auto"/>
            <w:tcBorders>
              <w:top w:val="nil"/>
              <w:left w:val="nil"/>
              <w:bottom w:val="single" w:sz="4" w:space="0" w:color="AAAAAA"/>
              <w:right w:val="single" w:sz="4" w:space="0" w:color="AAAAAA"/>
            </w:tcBorders>
            <w:shd w:val="clear" w:color="D6E4F0" w:fill="D6E4F0"/>
          </w:tcPr>
          <w:p w14:paraId="73662D6B" w14:textId="77777777" w:rsidR="003A7791" w:rsidRPr="003A7791" w:rsidRDefault="003A7791" w:rsidP="007B3AB8">
            <w:pPr>
              <w:rPr>
                <w:rFonts w:ascii="Arial" w:hAnsi="Arial" w:cs="Arial"/>
                <w:sz w:val="24"/>
                <w:szCs w:val="24"/>
              </w:rPr>
            </w:pPr>
            <w:r w:rsidRPr="003A7791">
              <w:rPr>
                <w:rFonts w:ascii="Arial" w:hAnsi="Arial" w:cs="Arial"/>
                <w:sz w:val="24"/>
                <w:szCs w:val="24"/>
              </w:rPr>
              <w:t>To critically assess the EU CBAM's design and its interaction with global trade rules.</w:t>
            </w:r>
          </w:p>
        </w:tc>
        <w:tc>
          <w:tcPr>
            <w:tcW w:w="0" w:type="auto"/>
            <w:tcBorders>
              <w:top w:val="nil"/>
              <w:left w:val="nil"/>
              <w:bottom w:val="single" w:sz="4" w:space="0" w:color="AAAAAA"/>
              <w:right w:val="single" w:sz="4" w:space="0" w:color="AAAAAA"/>
            </w:tcBorders>
            <w:shd w:val="clear" w:color="D6E4F0" w:fill="D6E4F0"/>
          </w:tcPr>
          <w:p w14:paraId="31E95F14" w14:textId="77777777" w:rsidR="003A7791" w:rsidRPr="003A7791" w:rsidRDefault="003A7791" w:rsidP="007B3AB8">
            <w:pPr>
              <w:rPr>
                <w:rFonts w:ascii="Arial" w:hAnsi="Arial" w:cs="Arial"/>
                <w:sz w:val="24"/>
                <w:szCs w:val="24"/>
              </w:rPr>
            </w:pPr>
            <w:r w:rsidRPr="003A7791">
              <w:rPr>
                <w:rFonts w:ascii="Arial" w:hAnsi="Arial" w:cs="Arial"/>
                <w:sz w:val="24"/>
                <w:szCs w:val="24"/>
              </w:rPr>
              <w:t>Evaluate CBAM effectiveness in preventing carbon leakage; assess WTO compatibility; review sectoral impacts.</w:t>
            </w:r>
          </w:p>
        </w:tc>
        <w:tc>
          <w:tcPr>
            <w:tcW w:w="0" w:type="auto"/>
            <w:tcBorders>
              <w:top w:val="nil"/>
              <w:left w:val="nil"/>
              <w:bottom w:val="single" w:sz="4" w:space="0" w:color="AAAAAA"/>
              <w:right w:val="single" w:sz="4" w:space="0" w:color="AAAAAA"/>
            </w:tcBorders>
            <w:shd w:val="clear" w:color="D6E4F0" w:fill="D6E4F0"/>
          </w:tcPr>
          <w:p w14:paraId="60F149D2" w14:textId="77777777" w:rsidR="003A7791" w:rsidRPr="003A7791" w:rsidRDefault="003A7791" w:rsidP="007B3AB8">
            <w:pPr>
              <w:rPr>
                <w:rFonts w:ascii="Arial" w:hAnsi="Arial" w:cs="Arial"/>
                <w:sz w:val="24"/>
                <w:szCs w:val="24"/>
              </w:rPr>
            </w:pPr>
            <w:r w:rsidRPr="003A7791">
              <w:rPr>
                <w:rFonts w:ascii="Arial" w:hAnsi="Arial" w:cs="Arial"/>
                <w:sz w:val="24"/>
                <w:szCs w:val="24"/>
              </w:rPr>
              <w:t>Does the EU CBAM effectively prevent carbon leakage? How does it interact with international trade obligations?</w:t>
            </w:r>
          </w:p>
        </w:tc>
        <w:tc>
          <w:tcPr>
            <w:tcW w:w="0" w:type="auto"/>
            <w:tcBorders>
              <w:top w:val="nil"/>
              <w:left w:val="nil"/>
              <w:bottom w:val="single" w:sz="4" w:space="0" w:color="AAAAAA"/>
              <w:right w:val="single" w:sz="4" w:space="0" w:color="AAAAAA"/>
            </w:tcBorders>
            <w:shd w:val="clear" w:color="D6E4F0" w:fill="D6E4F0"/>
          </w:tcPr>
          <w:p w14:paraId="23A9E90A" w14:textId="77777777" w:rsidR="003A7791" w:rsidRPr="003A7791" w:rsidRDefault="003A7791" w:rsidP="007B3AB8">
            <w:pPr>
              <w:rPr>
                <w:rFonts w:ascii="Arial" w:hAnsi="Arial" w:cs="Arial"/>
                <w:sz w:val="24"/>
                <w:szCs w:val="24"/>
              </w:rPr>
            </w:pPr>
            <w:r w:rsidRPr="003A7791">
              <w:rPr>
                <w:rFonts w:ascii="Arial" w:hAnsi="Arial" w:cs="Arial"/>
                <w:sz w:val="24"/>
                <w:szCs w:val="24"/>
              </w:rPr>
              <w:t>Legal and policy analysis; comparative review of CBAM design and WTO case law.</w:t>
            </w:r>
          </w:p>
        </w:tc>
        <w:tc>
          <w:tcPr>
            <w:tcW w:w="0" w:type="auto"/>
            <w:tcBorders>
              <w:top w:val="nil"/>
              <w:left w:val="nil"/>
              <w:bottom w:val="single" w:sz="4" w:space="0" w:color="AAAAAA"/>
              <w:right w:val="single" w:sz="4" w:space="0" w:color="AAAAAA"/>
            </w:tcBorders>
            <w:shd w:val="clear" w:color="D6E4F0" w:fill="D6E4F0"/>
          </w:tcPr>
          <w:p w14:paraId="485DDFC0" w14:textId="77777777" w:rsidR="003A7791" w:rsidRPr="003A7791" w:rsidRDefault="003A7791" w:rsidP="007B3AB8">
            <w:pPr>
              <w:rPr>
                <w:rFonts w:ascii="Arial" w:hAnsi="Arial" w:cs="Arial"/>
                <w:sz w:val="24"/>
                <w:szCs w:val="24"/>
              </w:rPr>
            </w:pPr>
            <w:r w:rsidRPr="003A7791">
              <w:rPr>
                <w:rFonts w:ascii="Arial" w:hAnsi="Arial" w:cs="Arial"/>
                <w:sz w:val="24"/>
                <w:szCs w:val="24"/>
              </w:rPr>
              <w:t>EU CBAM is broadly WTO-compatible. Raises cost of high-carbon imports, incentivising decarbonisation. UK CBAM mirrors EU design.</w:t>
            </w:r>
          </w:p>
        </w:tc>
      </w:tr>
      <w:tr w:rsidR="003A7791" w:rsidRPr="003A7791" w14:paraId="68417C41"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FFF" w:fill="FFFFFF"/>
          </w:tcPr>
          <w:p w14:paraId="290217B5"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6</w:t>
            </w:r>
          </w:p>
        </w:tc>
        <w:tc>
          <w:tcPr>
            <w:tcW w:w="0" w:type="auto"/>
            <w:tcBorders>
              <w:top w:val="nil"/>
              <w:left w:val="nil"/>
              <w:bottom w:val="single" w:sz="4" w:space="0" w:color="AAAAAA"/>
              <w:right w:val="single" w:sz="4" w:space="0" w:color="AAAAAA"/>
            </w:tcBorders>
            <w:shd w:val="clear" w:color="FFFFFF" w:fill="FFFFFF"/>
          </w:tcPr>
          <w:p w14:paraId="505448D4" w14:textId="77777777" w:rsidR="003A7791" w:rsidRPr="003A7791" w:rsidRDefault="003A7791" w:rsidP="007B3AB8">
            <w:pPr>
              <w:rPr>
                <w:rFonts w:ascii="Arial" w:hAnsi="Arial" w:cs="Arial"/>
                <w:sz w:val="24"/>
                <w:szCs w:val="24"/>
              </w:rPr>
            </w:pPr>
            <w:r w:rsidRPr="003A7791">
              <w:rPr>
                <w:rFonts w:ascii="Arial" w:hAnsi="Arial" w:cs="Arial"/>
                <w:sz w:val="24"/>
                <w:szCs w:val="24"/>
              </w:rPr>
              <w:t>Toward a New Conception of the Environment-Competitiveness Relationship</w:t>
            </w:r>
          </w:p>
        </w:tc>
        <w:tc>
          <w:tcPr>
            <w:tcW w:w="0" w:type="auto"/>
            <w:tcBorders>
              <w:top w:val="nil"/>
              <w:left w:val="nil"/>
              <w:bottom w:val="single" w:sz="4" w:space="0" w:color="AAAAAA"/>
              <w:right w:val="single" w:sz="4" w:space="0" w:color="AAAAAA"/>
            </w:tcBorders>
            <w:shd w:val="clear" w:color="FFFFFF" w:fill="FFFFFF"/>
          </w:tcPr>
          <w:p w14:paraId="4C7AD132" w14:textId="77777777" w:rsidR="003A7791" w:rsidRPr="003A7791" w:rsidRDefault="003A7791" w:rsidP="007B3AB8">
            <w:pPr>
              <w:rPr>
                <w:rFonts w:ascii="Arial" w:hAnsi="Arial" w:cs="Arial"/>
                <w:sz w:val="24"/>
                <w:szCs w:val="24"/>
              </w:rPr>
            </w:pPr>
            <w:r w:rsidRPr="003A7791">
              <w:rPr>
                <w:rFonts w:ascii="Arial" w:hAnsi="Arial" w:cs="Arial"/>
                <w:sz w:val="24"/>
                <w:szCs w:val="24"/>
              </w:rPr>
              <w:t>Journal of Economic Perspectives</w:t>
            </w:r>
          </w:p>
        </w:tc>
        <w:tc>
          <w:tcPr>
            <w:tcW w:w="0" w:type="auto"/>
            <w:tcBorders>
              <w:top w:val="nil"/>
              <w:left w:val="nil"/>
              <w:bottom w:val="single" w:sz="4" w:space="0" w:color="AAAAAA"/>
              <w:right w:val="single" w:sz="4" w:space="0" w:color="AAAAAA"/>
            </w:tcBorders>
            <w:shd w:val="clear" w:color="FFFFFF" w:fill="FFFFFF"/>
          </w:tcPr>
          <w:p w14:paraId="1EB83F63" w14:textId="77777777" w:rsidR="003A7791" w:rsidRPr="003A7791" w:rsidRDefault="003A7791" w:rsidP="007B3AB8">
            <w:pPr>
              <w:rPr>
                <w:rFonts w:ascii="Arial" w:hAnsi="Arial" w:cs="Arial"/>
                <w:sz w:val="24"/>
                <w:szCs w:val="24"/>
              </w:rPr>
            </w:pPr>
            <w:r w:rsidRPr="003A7791">
              <w:rPr>
                <w:rFonts w:ascii="Arial" w:hAnsi="Arial" w:cs="Arial"/>
                <w:sz w:val="24"/>
                <w:szCs w:val="24"/>
              </w:rPr>
              <w:t>Porter, M.E. and van der Linde, C.</w:t>
            </w:r>
          </w:p>
        </w:tc>
        <w:tc>
          <w:tcPr>
            <w:tcW w:w="0" w:type="auto"/>
            <w:tcBorders>
              <w:top w:val="nil"/>
              <w:left w:val="nil"/>
              <w:bottom w:val="single" w:sz="4" w:space="0" w:color="AAAAAA"/>
              <w:right w:val="single" w:sz="4" w:space="0" w:color="AAAAAA"/>
            </w:tcBorders>
            <w:shd w:val="clear" w:color="FFFFFF" w:fill="FFFFFF"/>
          </w:tcPr>
          <w:p w14:paraId="1D6472BD"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1995</w:t>
            </w:r>
          </w:p>
        </w:tc>
        <w:tc>
          <w:tcPr>
            <w:tcW w:w="0" w:type="auto"/>
            <w:tcBorders>
              <w:top w:val="nil"/>
              <w:left w:val="nil"/>
              <w:bottom w:val="single" w:sz="4" w:space="0" w:color="AAAAAA"/>
              <w:right w:val="single" w:sz="4" w:space="0" w:color="AAAAAA"/>
            </w:tcBorders>
            <w:shd w:val="clear" w:color="FFFFFF" w:fill="FFFFFF"/>
          </w:tcPr>
          <w:p w14:paraId="319271DC" w14:textId="77777777" w:rsidR="003A7791" w:rsidRPr="003A7791" w:rsidRDefault="003A7791" w:rsidP="007B3AB8">
            <w:pPr>
              <w:rPr>
                <w:rFonts w:ascii="Arial" w:hAnsi="Arial" w:cs="Arial"/>
                <w:sz w:val="24"/>
                <w:szCs w:val="24"/>
              </w:rPr>
            </w:pPr>
            <w:r w:rsidRPr="003A7791">
              <w:rPr>
                <w:rFonts w:ascii="Arial" w:hAnsi="Arial" w:cs="Arial"/>
                <w:sz w:val="24"/>
                <w:szCs w:val="24"/>
              </w:rPr>
              <w:t>To challenge the assumption that environmental regulation undermines competitiveness.</w:t>
            </w:r>
          </w:p>
        </w:tc>
        <w:tc>
          <w:tcPr>
            <w:tcW w:w="0" w:type="auto"/>
            <w:tcBorders>
              <w:top w:val="nil"/>
              <w:left w:val="nil"/>
              <w:bottom w:val="single" w:sz="4" w:space="0" w:color="AAAAAA"/>
              <w:right w:val="single" w:sz="4" w:space="0" w:color="AAAAAA"/>
            </w:tcBorders>
            <w:shd w:val="clear" w:color="FFFFFF" w:fill="FFFFFF"/>
          </w:tcPr>
          <w:p w14:paraId="5A26DD69" w14:textId="77777777" w:rsidR="003A7791" w:rsidRPr="003A7791" w:rsidRDefault="003A7791" w:rsidP="007B3AB8">
            <w:pPr>
              <w:rPr>
                <w:rFonts w:ascii="Arial" w:hAnsi="Arial" w:cs="Arial"/>
                <w:sz w:val="24"/>
                <w:szCs w:val="24"/>
              </w:rPr>
            </w:pPr>
            <w:r w:rsidRPr="003A7791">
              <w:rPr>
                <w:rFonts w:ascii="Arial" w:hAnsi="Arial" w:cs="Arial"/>
                <w:sz w:val="24"/>
                <w:szCs w:val="24"/>
              </w:rPr>
              <w:t>Develop a framework linking regulation to innovation; show how compliance costs become competitive advantages.</w:t>
            </w:r>
          </w:p>
        </w:tc>
        <w:tc>
          <w:tcPr>
            <w:tcW w:w="0" w:type="auto"/>
            <w:tcBorders>
              <w:top w:val="nil"/>
              <w:left w:val="nil"/>
              <w:bottom w:val="single" w:sz="4" w:space="0" w:color="AAAAAA"/>
              <w:right w:val="single" w:sz="4" w:space="0" w:color="AAAAAA"/>
            </w:tcBorders>
            <w:shd w:val="clear" w:color="FFFFFF" w:fill="FFFFFF"/>
          </w:tcPr>
          <w:p w14:paraId="2008F2D8" w14:textId="77777777" w:rsidR="003A7791" w:rsidRPr="003A7791" w:rsidRDefault="003A7791" w:rsidP="007B3AB8">
            <w:pPr>
              <w:rPr>
                <w:rFonts w:ascii="Arial" w:hAnsi="Arial" w:cs="Arial"/>
                <w:sz w:val="24"/>
                <w:szCs w:val="24"/>
              </w:rPr>
            </w:pPr>
            <w:r w:rsidRPr="003A7791">
              <w:rPr>
                <w:rFonts w:ascii="Arial" w:hAnsi="Arial" w:cs="Arial"/>
                <w:sz w:val="24"/>
                <w:szCs w:val="24"/>
              </w:rPr>
              <w:t>Can strict environmental regulation drive innovation and competitive advantage rather than simply impose costs?</w:t>
            </w:r>
          </w:p>
        </w:tc>
        <w:tc>
          <w:tcPr>
            <w:tcW w:w="0" w:type="auto"/>
            <w:tcBorders>
              <w:top w:val="nil"/>
              <w:left w:val="nil"/>
              <w:bottom w:val="single" w:sz="4" w:space="0" w:color="AAAAAA"/>
              <w:right w:val="single" w:sz="4" w:space="0" w:color="AAAAAA"/>
            </w:tcBorders>
            <w:shd w:val="clear" w:color="FFFFFF" w:fill="FFFFFF"/>
          </w:tcPr>
          <w:p w14:paraId="1258F8F3" w14:textId="77777777" w:rsidR="003A7791" w:rsidRPr="003A7791" w:rsidRDefault="003A7791" w:rsidP="007B3AB8">
            <w:pPr>
              <w:rPr>
                <w:rFonts w:ascii="Arial" w:hAnsi="Arial" w:cs="Arial"/>
                <w:sz w:val="24"/>
                <w:szCs w:val="24"/>
              </w:rPr>
            </w:pPr>
            <w:r w:rsidRPr="003A7791">
              <w:rPr>
                <w:rFonts w:ascii="Arial" w:hAnsi="Arial" w:cs="Arial"/>
                <w:sz w:val="24"/>
                <w:szCs w:val="24"/>
              </w:rPr>
              <w:t>Theoretical framework development; case study analysis across multiple industries.</w:t>
            </w:r>
          </w:p>
        </w:tc>
        <w:tc>
          <w:tcPr>
            <w:tcW w:w="0" w:type="auto"/>
            <w:tcBorders>
              <w:top w:val="nil"/>
              <w:left w:val="nil"/>
              <w:bottom w:val="single" w:sz="4" w:space="0" w:color="AAAAAA"/>
              <w:right w:val="single" w:sz="4" w:space="0" w:color="AAAAAA"/>
            </w:tcBorders>
            <w:shd w:val="clear" w:color="FFFFFF" w:fill="FFFFFF"/>
          </w:tcPr>
          <w:p w14:paraId="7A5349C1" w14:textId="77777777" w:rsidR="003A7791" w:rsidRPr="003A7791" w:rsidRDefault="003A7791" w:rsidP="007B3AB8">
            <w:pPr>
              <w:rPr>
                <w:rFonts w:ascii="Arial" w:hAnsi="Arial" w:cs="Arial"/>
                <w:sz w:val="24"/>
                <w:szCs w:val="24"/>
              </w:rPr>
            </w:pPr>
            <w:r w:rsidRPr="003A7791">
              <w:rPr>
                <w:rFonts w:ascii="Arial" w:hAnsi="Arial" w:cs="Arial"/>
                <w:sz w:val="24"/>
                <w:szCs w:val="24"/>
              </w:rPr>
              <w:t>Proactive regulatory compliance stimulates innovation, reduces waste, and creates first-mover competitive advantages. Applica</w:t>
            </w:r>
            <w:r w:rsidRPr="003A7791">
              <w:rPr>
                <w:rFonts w:ascii="Arial" w:hAnsi="Arial" w:cs="Arial"/>
                <w:sz w:val="24"/>
                <w:szCs w:val="24"/>
              </w:rPr>
              <w:lastRenderedPageBreak/>
              <w:t>ble to CBAM procurement responses.</w:t>
            </w:r>
          </w:p>
        </w:tc>
      </w:tr>
      <w:tr w:rsidR="003A7791" w:rsidRPr="003A7791" w14:paraId="48447413"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3348AF4B"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7</w:t>
            </w:r>
          </w:p>
        </w:tc>
        <w:tc>
          <w:tcPr>
            <w:tcW w:w="0" w:type="auto"/>
            <w:tcBorders>
              <w:top w:val="nil"/>
              <w:left w:val="nil"/>
              <w:bottom w:val="single" w:sz="4" w:space="0" w:color="AAAAAA"/>
              <w:right w:val="single" w:sz="4" w:space="0" w:color="AAAAAA"/>
            </w:tcBorders>
            <w:shd w:val="clear" w:color="D6E4F0" w:fill="D6E4F0"/>
          </w:tcPr>
          <w:p w14:paraId="06799662" w14:textId="77777777" w:rsidR="003A7791" w:rsidRPr="003A7791" w:rsidRDefault="003A7791" w:rsidP="007B3AB8">
            <w:pPr>
              <w:rPr>
                <w:rFonts w:ascii="Arial" w:hAnsi="Arial" w:cs="Arial"/>
                <w:sz w:val="24"/>
                <w:szCs w:val="24"/>
              </w:rPr>
            </w:pPr>
            <w:r w:rsidRPr="003A7791">
              <w:rPr>
                <w:rFonts w:ascii="Arial" w:hAnsi="Arial" w:cs="Arial"/>
                <w:sz w:val="24"/>
                <w:szCs w:val="24"/>
              </w:rPr>
              <w:t>Turning Corporate Compliance into Competitive Advantage</w:t>
            </w:r>
          </w:p>
        </w:tc>
        <w:tc>
          <w:tcPr>
            <w:tcW w:w="0" w:type="auto"/>
            <w:tcBorders>
              <w:top w:val="nil"/>
              <w:left w:val="nil"/>
              <w:bottom w:val="single" w:sz="4" w:space="0" w:color="AAAAAA"/>
              <w:right w:val="single" w:sz="4" w:space="0" w:color="AAAAAA"/>
            </w:tcBorders>
            <w:shd w:val="clear" w:color="D6E4F0" w:fill="D6E4F0"/>
          </w:tcPr>
          <w:p w14:paraId="018AE1AE" w14:textId="77777777" w:rsidR="003A7791" w:rsidRPr="003A7791" w:rsidRDefault="003A7791" w:rsidP="007B3AB8">
            <w:pPr>
              <w:rPr>
                <w:rFonts w:ascii="Arial" w:hAnsi="Arial" w:cs="Arial"/>
                <w:sz w:val="24"/>
                <w:szCs w:val="24"/>
              </w:rPr>
            </w:pPr>
            <w:r w:rsidRPr="003A7791">
              <w:rPr>
                <w:rFonts w:ascii="Arial" w:hAnsi="Arial" w:cs="Arial"/>
                <w:sz w:val="24"/>
                <w:szCs w:val="24"/>
              </w:rPr>
              <w:t>University of Pennsylvania Journal of Business Law</w:t>
            </w:r>
          </w:p>
        </w:tc>
        <w:tc>
          <w:tcPr>
            <w:tcW w:w="0" w:type="auto"/>
            <w:tcBorders>
              <w:top w:val="nil"/>
              <w:left w:val="nil"/>
              <w:bottom w:val="single" w:sz="4" w:space="0" w:color="AAAAAA"/>
              <w:right w:val="single" w:sz="4" w:space="0" w:color="AAAAAA"/>
            </w:tcBorders>
            <w:shd w:val="clear" w:color="D6E4F0" w:fill="D6E4F0"/>
          </w:tcPr>
          <w:p w14:paraId="48008CE7" w14:textId="77777777" w:rsidR="003A7791" w:rsidRPr="003A7791" w:rsidRDefault="003A7791" w:rsidP="007B3AB8">
            <w:pPr>
              <w:rPr>
                <w:rFonts w:ascii="Arial" w:hAnsi="Arial" w:cs="Arial"/>
                <w:sz w:val="24"/>
                <w:szCs w:val="24"/>
              </w:rPr>
            </w:pPr>
            <w:r w:rsidRPr="003A7791">
              <w:rPr>
                <w:rFonts w:ascii="Arial" w:hAnsi="Arial" w:cs="Arial"/>
                <w:sz w:val="24"/>
                <w:szCs w:val="24"/>
              </w:rPr>
              <w:t>Bird, R.C. and Park, S.K.</w:t>
            </w:r>
          </w:p>
        </w:tc>
        <w:tc>
          <w:tcPr>
            <w:tcW w:w="0" w:type="auto"/>
            <w:tcBorders>
              <w:top w:val="nil"/>
              <w:left w:val="nil"/>
              <w:bottom w:val="single" w:sz="4" w:space="0" w:color="AAAAAA"/>
              <w:right w:val="single" w:sz="4" w:space="0" w:color="AAAAAA"/>
            </w:tcBorders>
            <w:shd w:val="clear" w:color="D6E4F0" w:fill="D6E4F0"/>
          </w:tcPr>
          <w:p w14:paraId="582A58B4"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2016</w:t>
            </w:r>
          </w:p>
        </w:tc>
        <w:tc>
          <w:tcPr>
            <w:tcW w:w="0" w:type="auto"/>
            <w:tcBorders>
              <w:top w:val="nil"/>
              <w:left w:val="nil"/>
              <w:bottom w:val="single" w:sz="4" w:space="0" w:color="AAAAAA"/>
              <w:right w:val="single" w:sz="4" w:space="0" w:color="AAAAAA"/>
            </w:tcBorders>
            <w:shd w:val="clear" w:color="D6E4F0" w:fill="D6E4F0"/>
          </w:tcPr>
          <w:p w14:paraId="6B99CE13" w14:textId="77777777" w:rsidR="003A7791" w:rsidRPr="003A7791" w:rsidRDefault="003A7791" w:rsidP="007B3AB8">
            <w:pPr>
              <w:rPr>
                <w:rFonts w:ascii="Arial" w:hAnsi="Arial" w:cs="Arial"/>
                <w:sz w:val="24"/>
                <w:szCs w:val="24"/>
              </w:rPr>
            </w:pPr>
            <w:r w:rsidRPr="003A7791">
              <w:rPr>
                <w:rFonts w:ascii="Arial" w:hAnsi="Arial" w:cs="Arial"/>
                <w:sz w:val="24"/>
                <w:szCs w:val="24"/>
              </w:rPr>
              <w:t>To demonstrate how firms can convert regulatory compliance into strategic competitive advantage.</w:t>
            </w:r>
          </w:p>
        </w:tc>
        <w:tc>
          <w:tcPr>
            <w:tcW w:w="0" w:type="auto"/>
            <w:tcBorders>
              <w:top w:val="nil"/>
              <w:left w:val="nil"/>
              <w:bottom w:val="single" w:sz="4" w:space="0" w:color="AAAAAA"/>
              <w:right w:val="single" w:sz="4" w:space="0" w:color="AAAAAA"/>
            </w:tcBorders>
            <w:shd w:val="clear" w:color="D6E4F0" w:fill="D6E4F0"/>
          </w:tcPr>
          <w:p w14:paraId="0683A332" w14:textId="77777777" w:rsidR="003A7791" w:rsidRPr="003A7791" w:rsidRDefault="003A7791" w:rsidP="007B3AB8">
            <w:pPr>
              <w:rPr>
                <w:rFonts w:ascii="Arial" w:hAnsi="Arial" w:cs="Arial"/>
                <w:sz w:val="24"/>
                <w:szCs w:val="24"/>
              </w:rPr>
            </w:pPr>
            <w:r w:rsidRPr="003A7791">
              <w:rPr>
                <w:rFonts w:ascii="Arial" w:hAnsi="Arial" w:cs="Arial"/>
                <w:sz w:val="24"/>
                <w:szCs w:val="24"/>
              </w:rPr>
              <w:t>Develop compliance-to-competitiveness framework; identify strategies for early supplier lock-in and market positioning.</w:t>
            </w:r>
          </w:p>
        </w:tc>
        <w:tc>
          <w:tcPr>
            <w:tcW w:w="0" w:type="auto"/>
            <w:tcBorders>
              <w:top w:val="nil"/>
              <w:left w:val="nil"/>
              <w:bottom w:val="single" w:sz="4" w:space="0" w:color="AAAAAA"/>
              <w:right w:val="single" w:sz="4" w:space="0" w:color="AAAAAA"/>
            </w:tcBorders>
            <w:shd w:val="clear" w:color="D6E4F0" w:fill="D6E4F0"/>
          </w:tcPr>
          <w:p w14:paraId="0318650C" w14:textId="77777777" w:rsidR="003A7791" w:rsidRPr="003A7791" w:rsidRDefault="003A7791" w:rsidP="007B3AB8">
            <w:pPr>
              <w:rPr>
                <w:rFonts w:ascii="Arial" w:hAnsi="Arial" w:cs="Arial"/>
                <w:sz w:val="24"/>
                <w:szCs w:val="24"/>
              </w:rPr>
            </w:pPr>
            <w:r w:rsidRPr="003A7791">
              <w:rPr>
                <w:rFonts w:ascii="Arial" w:hAnsi="Arial" w:cs="Arial"/>
                <w:sz w:val="24"/>
                <w:szCs w:val="24"/>
              </w:rPr>
              <w:t>How can firms use regulatory compliance proactively to outperform competitors?</w:t>
            </w:r>
          </w:p>
        </w:tc>
        <w:tc>
          <w:tcPr>
            <w:tcW w:w="0" w:type="auto"/>
            <w:tcBorders>
              <w:top w:val="nil"/>
              <w:left w:val="nil"/>
              <w:bottom w:val="single" w:sz="4" w:space="0" w:color="AAAAAA"/>
              <w:right w:val="single" w:sz="4" w:space="0" w:color="AAAAAA"/>
            </w:tcBorders>
            <w:shd w:val="clear" w:color="D6E4F0" w:fill="D6E4F0"/>
          </w:tcPr>
          <w:p w14:paraId="59E93375" w14:textId="77777777" w:rsidR="003A7791" w:rsidRPr="003A7791" w:rsidRDefault="003A7791" w:rsidP="007B3AB8">
            <w:pPr>
              <w:rPr>
                <w:rFonts w:ascii="Arial" w:hAnsi="Arial" w:cs="Arial"/>
                <w:sz w:val="24"/>
                <w:szCs w:val="24"/>
              </w:rPr>
            </w:pPr>
            <w:r w:rsidRPr="003A7791">
              <w:rPr>
                <w:rFonts w:ascii="Arial" w:hAnsi="Arial" w:cs="Arial"/>
                <w:sz w:val="24"/>
                <w:szCs w:val="24"/>
              </w:rPr>
              <w:t>Legal and business strategy analysis; case study review.</w:t>
            </w:r>
          </w:p>
        </w:tc>
        <w:tc>
          <w:tcPr>
            <w:tcW w:w="0" w:type="auto"/>
            <w:tcBorders>
              <w:top w:val="nil"/>
              <w:left w:val="nil"/>
              <w:bottom w:val="single" w:sz="4" w:space="0" w:color="AAAAAA"/>
              <w:right w:val="single" w:sz="4" w:space="0" w:color="AAAAAA"/>
            </w:tcBorders>
            <w:shd w:val="clear" w:color="D6E4F0" w:fill="D6E4F0"/>
          </w:tcPr>
          <w:p w14:paraId="6267EEE3" w14:textId="77777777" w:rsidR="003A7791" w:rsidRPr="003A7791" w:rsidRDefault="003A7791" w:rsidP="007B3AB8">
            <w:pPr>
              <w:rPr>
                <w:rFonts w:ascii="Arial" w:hAnsi="Arial" w:cs="Arial"/>
                <w:sz w:val="24"/>
                <w:szCs w:val="24"/>
              </w:rPr>
            </w:pPr>
            <w:r w:rsidRPr="003A7791">
              <w:rPr>
                <w:rFonts w:ascii="Arial" w:hAnsi="Arial" w:cs="Arial"/>
                <w:sz w:val="24"/>
                <w:szCs w:val="24"/>
              </w:rPr>
              <w:t>Early compliance creates competitive advantage through supplier lock-in, reputational benefits, and cost certainty. Applicable to CBAM and green steel sourcing.</w:t>
            </w:r>
          </w:p>
        </w:tc>
      </w:tr>
      <w:tr w:rsidR="003A7791" w:rsidRPr="003A7791" w14:paraId="462D7284"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FFF" w:fill="FFFFFF"/>
          </w:tcPr>
          <w:p w14:paraId="0525CF2D"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8</w:t>
            </w:r>
          </w:p>
        </w:tc>
        <w:tc>
          <w:tcPr>
            <w:tcW w:w="0" w:type="auto"/>
            <w:tcBorders>
              <w:top w:val="nil"/>
              <w:left w:val="nil"/>
              <w:bottom w:val="single" w:sz="4" w:space="0" w:color="AAAAAA"/>
              <w:right w:val="single" w:sz="4" w:space="0" w:color="AAAAAA"/>
            </w:tcBorders>
            <w:shd w:val="clear" w:color="FFFFFF" w:fill="FFFFFF"/>
          </w:tcPr>
          <w:p w14:paraId="1689B5C3" w14:textId="77777777" w:rsidR="003A7791" w:rsidRPr="003A7791" w:rsidRDefault="003A7791" w:rsidP="007B3AB8">
            <w:pPr>
              <w:rPr>
                <w:rFonts w:ascii="Arial" w:hAnsi="Arial" w:cs="Arial"/>
                <w:sz w:val="24"/>
                <w:szCs w:val="24"/>
              </w:rPr>
            </w:pPr>
            <w:r w:rsidRPr="003A7791">
              <w:rPr>
                <w:rFonts w:ascii="Arial" w:hAnsi="Arial" w:cs="Arial"/>
                <w:sz w:val="24"/>
                <w:szCs w:val="24"/>
              </w:rPr>
              <w:t>Carbon Pricing versus Emissions Trading: A Supply Chain Planning Perspective</w:t>
            </w:r>
          </w:p>
        </w:tc>
        <w:tc>
          <w:tcPr>
            <w:tcW w:w="0" w:type="auto"/>
            <w:tcBorders>
              <w:top w:val="nil"/>
              <w:left w:val="nil"/>
              <w:bottom w:val="single" w:sz="4" w:space="0" w:color="AAAAAA"/>
              <w:right w:val="single" w:sz="4" w:space="0" w:color="AAAAAA"/>
            </w:tcBorders>
            <w:shd w:val="clear" w:color="FFFFFF" w:fill="FFFFFF"/>
          </w:tcPr>
          <w:p w14:paraId="3C0EA719" w14:textId="77777777" w:rsidR="003A7791" w:rsidRPr="003A7791" w:rsidRDefault="003A7791" w:rsidP="007B3AB8">
            <w:pPr>
              <w:rPr>
                <w:rFonts w:ascii="Arial" w:hAnsi="Arial" w:cs="Arial"/>
                <w:sz w:val="24"/>
                <w:szCs w:val="24"/>
              </w:rPr>
            </w:pPr>
            <w:r w:rsidRPr="003A7791">
              <w:rPr>
                <w:rFonts w:ascii="Arial" w:hAnsi="Arial" w:cs="Arial"/>
                <w:sz w:val="24"/>
                <w:szCs w:val="24"/>
              </w:rPr>
              <w:t>International Journal of Production Economics</w:t>
            </w:r>
          </w:p>
        </w:tc>
        <w:tc>
          <w:tcPr>
            <w:tcW w:w="0" w:type="auto"/>
            <w:tcBorders>
              <w:top w:val="nil"/>
              <w:left w:val="nil"/>
              <w:bottom w:val="single" w:sz="4" w:space="0" w:color="AAAAAA"/>
              <w:right w:val="single" w:sz="4" w:space="0" w:color="AAAAAA"/>
            </w:tcBorders>
            <w:shd w:val="clear" w:color="FFFFFF" w:fill="FFFFFF"/>
          </w:tcPr>
          <w:p w14:paraId="192D38D6"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Zakeri, A., </w:t>
            </w:r>
            <w:proofErr w:type="spellStart"/>
            <w:r w:rsidRPr="003A7791">
              <w:rPr>
                <w:rFonts w:ascii="Arial" w:hAnsi="Arial" w:cs="Arial"/>
                <w:sz w:val="24"/>
                <w:szCs w:val="24"/>
              </w:rPr>
              <w:t>Dehghanian</w:t>
            </w:r>
            <w:proofErr w:type="spellEnd"/>
            <w:r w:rsidRPr="003A7791">
              <w:rPr>
                <w:rFonts w:ascii="Arial" w:hAnsi="Arial" w:cs="Arial"/>
                <w:sz w:val="24"/>
                <w:szCs w:val="24"/>
              </w:rPr>
              <w:t xml:space="preserve">, F., </w:t>
            </w:r>
            <w:proofErr w:type="spellStart"/>
            <w:r w:rsidRPr="003A7791">
              <w:rPr>
                <w:rFonts w:ascii="Arial" w:hAnsi="Arial" w:cs="Arial"/>
                <w:sz w:val="24"/>
                <w:szCs w:val="24"/>
              </w:rPr>
              <w:t>Fahimnia</w:t>
            </w:r>
            <w:proofErr w:type="spellEnd"/>
            <w:r w:rsidRPr="003A7791">
              <w:rPr>
                <w:rFonts w:ascii="Arial" w:hAnsi="Arial" w:cs="Arial"/>
                <w:sz w:val="24"/>
                <w:szCs w:val="24"/>
              </w:rPr>
              <w:t>, B. and Sarkis, J.</w:t>
            </w:r>
          </w:p>
        </w:tc>
        <w:tc>
          <w:tcPr>
            <w:tcW w:w="0" w:type="auto"/>
            <w:tcBorders>
              <w:top w:val="nil"/>
              <w:left w:val="nil"/>
              <w:bottom w:val="single" w:sz="4" w:space="0" w:color="AAAAAA"/>
              <w:right w:val="single" w:sz="4" w:space="0" w:color="AAAAAA"/>
            </w:tcBorders>
            <w:shd w:val="clear" w:color="FFFFFF" w:fill="FFFFFF"/>
          </w:tcPr>
          <w:p w14:paraId="76EA198B"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2015</w:t>
            </w:r>
          </w:p>
        </w:tc>
        <w:tc>
          <w:tcPr>
            <w:tcW w:w="0" w:type="auto"/>
            <w:tcBorders>
              <w:top w:val="nil"/>
              <w:left w:val="nil"/>
              <w:bottom w:val="single" w:sz="4" w:space="0" w:color="AAAAAA"/>
              <w:right w:val="single" w:sz="4" w:space="0" w:color="AAAAAA"/>
            </w:tcBorders>
            <w:shd w:val="clear" w:color="FFFFFF" w:fill="FFFFFF"/>
          </w:tcPr>
          <w:p w14:paraId="0DE2E55B" w14:textId="77777777" w:rsidR="003A7791" w:rsidRPr="003A7791" w:rsidRDefault="003A7791" w:rsidP="007B3AB8">
            <w:pPr>
              <w:rPr>
                <w:rFonts w:ascii="Arial" w:hAnsi="Arial" w:cs="Arial"/>
                <w:sz w:val="24"/>
                <w:szCs w:val="24"/>
              </w:rPr>
            </w:pPr>
            <w:r w:rsidRPr="003A7791">
              <w:rPr>
                <w:rFonts w:ascii="Arial" w:hAnsi="Arial" w:cs="Arial"/>
                <w:sz w:val="24"/>
                <w:szCs w:val="24"/>
              </w:rPr>
              <w:t>To compare carbon tax and cap-and-trade from a supply chain planning and cost perspective.</w:t>
            </w:r>
          </w:p>
        </w:tc>
        <w:tc>
          <w:tcPr>
            <w:tcW w:w="0" w:type="auto"/>
            <w:tcBorders>
              <w:top w:val="nil"/>
              <w:left w:val="nil"/>
              <w:bottom w:val="single" w:sz="4" w:space="0" w:color="AAAAAA"/>
              <w:right w:val="single" w:sz="4" w:space="0" w:color="AAAAAA"/>
            </w:tcBorders>
            <w:shd w:val="clear" w:color="FFFFFF" w:fill="FFFFFF"/>
          </w:tcPr>
          <w:p w14:paraId="54859146" w14:textId="77777777" w:rsidR="003A7791" w:rsidRPr="003A7791" w:rsidRDefault="003A7791" w:rsidP="007B3AB8">
            <w:pPr>
              <w:rPr>
                <w:rFonts w:ascii="Arial" w:hAnsi="Arial" w:cs="Arial"/>
                <w:sz w:val="24"/>
                <w:szCs w:val="24"/>
              </w:rPr>
            </w:pPr>
            <w:r w:rsidRPr="003A7791">
              <w:rPr>
                <w:rFonts w:ascii="Arial" w:hAnsi="Arial" w:cs="Arial"/>
                <w:sz w:val="24"/>
                <w:szCs w:val="24"/>
              </w:rPr>
              <w:t>Model supply chain decision-making under both mechanisms; assess cost implications for procurement.</w:t>
            </w:r>
          </w:p>
        </w:tc>
        <w:tc>
          <w:tcPr>
            <w:tcW w:w="0" w:type="auto"/>
            <w:tcBorders>
              <w:top w:val="nil"/>
              <w:left w:val="nil"/>
              <w:bottom w:val="single" w:sz="4" w:space="0" w:color="AAAAAA"/>
              <w:right w:val="single" w:sz="4" w:space="0" w:color="AAAAAA"/>
            </w:tcBorders>
            <w:shd w:val="clear" w:color="FFFFFF" w:fill="FFFFFF"/>
          </w:tcPr>
          <w:p w14:paraId="232313A2" w14:textId="77777777" w:rsidR="003A7791" w:rsidRPr="003A7791" w:rsidRDefault="003A7791" w:rsidP="007B3AB8">
            <w:pPr>
              <w:rPr>
                <w:rFonts w:ascii="Arial" w:hAnsi="Arial" w:cs="Arial"/>
                <w:sz w:val="24"/>
                <w:szCs w:val="24"/>
              </w:rPr>
            </w:pPr>
            <w:r w:rsidRPr="003A7791">
              <w:rPr>
                <w:rFonts w:ascii="Arial" w:hAnsi="Arial" w:cs="Arial"/>
                <w:sz w:val="24"/>
                <w:szCs w:val="24"/>
              </w:rPr>
              <w:t>How do different carbon pricing mechanisms affect supply chain procurement cost and supplier selection?</w:t>
            </w:r>
          </w:p>
        </w:tc>
        <w:tc>
          <w:tcPr>
            <w:tcW w:w="0" w:type="auto"/>
            <w:tcBorders>
              <w:top w:val="nil"/>
              <w:left w:val="nil"/>
              <w:bottom w:val="single" w:sz="4" w:space="0" w:color="AAAAAA"/>
              <w:right w:val="single" w:sz="4" w:space="0" w:color="AAAAAA"/>
            </w:tcBorders>
            <w:shd w:val="clear" w:color="FFFFFF" w:fill="FFFFFF"/>
          </w:tcPr>
          <w:p w14:paraId="13B4E23B" w14:textId="77777777" w:rsidR="003A7791" w:rsidRPr="003A7791" w:rsidRDefault="003A7791" w:rsidP="007B3AB8">
            <w:pPr>
              <w:rPr>
                <w:rFonts w:ascii="Arial" w:hAnsi="Arial" w:cs="Arial"/>
                <w:sz w:val="24"/>
                <w:szCs w:val="24"/>
              </w:rPr>
            </w:pPr>
            <w:r w:rsidRPr="003A7791">
              <w:rPr>
                <w:rFonts w:ascii="Arial" w:hAnsi="Arial" w:cs="Arial"/>
                <w:sz w:val="24"/>
                <w:szCs w:val="24"/>
              </w:rPr>
              <w:t>Quantitative modelling; linear programming; scenario analysis.</w:t>
            </w:r>
          </w:p>
        </w:tc>
        <w:tc>
          <w:tcPr>
            <w:tcW w:w="0" w:type="auto"/>
            <w:tcBorders>
              <w:top w:val="nil"/>
              <w:left w:val="nil"/>
              <w:bottom w:val="single" w:sz="4" w:space="0" w:color="AAAAAA"/>
              <w:right w:val="single" w:sz="4" w:space="0" w:color="AAAAAA"/>
            </w:tcBorders>
            <w:shd w:val="clear" w:color="FFFFFF" w:fill="FFFFFF"/>
          </w:tcPr>
          <w:p w14:paraId="1D57A3A3" w14:textId="77777777" w:rsidR="003A7791" w:rsidRPr="003A7791" w:rsidRDefault="003A7791" w:rsidP="007B3AB8">
            <w:pPr>
              <w:rPr>
                <w:rFonts w:ascii="Arial" w:hAnsi="Arial" w:cs="Arial"/>
                <w:sz w:val="24"/>
                <w:szCs w:val="24"/>
              </w:rPr>
            </w:pPr>
            <w:r w:rsidRPr="003A7791">
              <w:rPr>
                <w:rFonts w:ascii="Arial" w:hAnsi="Arial" w:cs="Arial"/>
                <w:sz w:val="24"/>
                <w:szCs w:val="24"/>
              </w:rPr>
              <w:t>A 10–15% carbon price increase significantly alters supplier selection in capital-intensive industries, shifting procurement toward lower-</w:t>
            </w:r>
            <w:r w:rsidRPr="003A7791">
              <w:rPr>
                <w:rFonts w:ascii="Arial" w:hAnsi="Arial" w:cs="Arial"/>
                <w:sz w:val="24"/>
                <w:szCs w:val="24"/>
              </w:rPr>
              <w:lastRenderedPageBreak/>
              <w:t>carbon domestic alternatives.</w:t>
            </w:r>
          </w:p>
        </w:tc>
      </w:tr>
      <w:tr w:rsidR="003A7791" w:rsidRPr="003A7791" w14:paraId="31D6B4E3"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588F04AC"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9</w:t>
            </w:r>
          </w:p>
        </w:tc>
        <w:tc>
          <w:tcPr>
            <w:tcW w:w="0" w:type="auto"/>
            <w:tcBorders>
              <w:top w:val="nil"/>
              <w:left w:val="nil"/>
              <w:bottom w:val="single" w:sz="4" w:space="0" w:color="AAAAAA"/>
              <w:right w:val="single" w:sz="4" w:space="0" w:color="AAAAAA"/>
            </w:tcBorders>
            <w:shd w:val="clear" w:color="D6E4F0" w:fill="D6E4F0"/>
          </w:tcPr>
          <w:p w14:paraId="01B328B5" w14:textId="77777777" w:rsidR="003A7791" w:rsidRPr="003A7791" w:rsidRDefault="003A7791" w:rsidP="007B3AB8">
            <w:pPr>
              <w:rPr>
                <w:rFonts w:ascii="Arial" w:hAnsi="Arial" w:cs="Arial"/>
                <w:sz w:val="24"/>
                <w:szCs w:val="24"/>
              </w:rPr>
            </w:pPr>
            <w:r w:rsidRPr="003A7791">
              <w:rPr>
                <w:rFonts w:ascii="Arial" w:hAnsi="Arial" w:cs="Arial"/>
                <w:sz w:val="24"/>
                <w:szCs w:val="24"/>
              </w:rPr>
              <w:t>Managing Cyber and Information Risks in Supply Chains</w:t>
            </w:r>
          </w:p>
        </w:tc>
        <w:tc>
          <w:tcPr>
            <w:tcW w:w="0" w:type="auto"/>
            <w:tcBorders>
              <w:top w:val="nil"/>
              <w:left w:val="nil"/>
              <w:bottom w:val="single" w:sz="4" w:space="0" w:color="AAAAAA"/>
              <w:right w:val="single" w:sz="4" w:space="0" w:color="AAAAAA"/>
            </w:tcBorders>
            <w:shd w:val="clear" w:color="D6E4F0" w:fill="D6E4F0"/>
          </w:tcPr>
          <w:p w14:paraId="512D62A6" w14:textId="77777777" w:rsidR="003A7791" w:rsidRPr="003A7791" w:rsidRDefault="003A7791" w:rsidP="007B3AB8">
            <w:pPr>
              <w:rPr>
                <w:rFonts w:ascii="Arial" w:hAnsi="Arial" w:cs="Arial"/>
                <w:sz w:val="24"/>
                <w:szCs w:val="24"/>
              </w:rPr>
            </w:pPr>
            <w:r w:rsidRPr="003A7791">
              <w:rPr>
                <w:rFonts w:ascii="Arial" w:hAnsi="Arial" w:cs="Arial"/>
                <w:sz w:val="24"/>
                <w:szCs w:val="24"/>
              </w:rPr>
              <w:t>Supply Chain Management: An International Journal</w:t>
            </w:r>
          </w:p>
        </w:tc>
        <w:tc>
          <w:tcPr>
            <w:tcW w:w="0" w:type="auto"/>
            <w:tcBorders>
              <w:top w:val="nil"/>
              <w:left w:val="nil"/>
              <w:bottom w:val="single" w:sz="4" w:space="0" w:color="AAAAAA"/>
              <w:right w:val="single" w:sz="4" w:space="0" w:color="AAAAAA"/>
            </w:tcBorders>
            <w:shd w:val="clear" w:color="D6E4F0" w:fill="D6E4F0"/>
          </w:tcPr>
          <w:p w14:paraId="552E4B4E" w14:textId="77777777" w:rsidR="003A7791" w:rsidRPr="003A7791" w:rsidRDefault="003A7791" w:rsidP="007B3AB8">
            <w:pPr>
              <w:rPr>
                <w:rFonts w:ascii="Arial" w:hAnsi="Arial" w:cs="Arial"/>
                <w:sz w:val="24"/>
                <w:szCs w:val="24"/>
              </w:rPr>
            </w:pPr>
            <w:proofErr w:type="spellStart"/>
            <w:r w:rsidRPr="003A7791">
              <w:rPr>
                <w:rFonts w:ascii="Arial" w:hAnsi="Arial" w:cs="Arial"/>
                <w:sz w:val="24"/>
                <w:szCs w:val="24"/>
              </w:rPr>
              <w:t>Colicchia</w:t>
            </w:r>
            <w:proofErr w:type="spellEnd"/>
            <w:r w:rsidRPr="003A7791">
              <w:rPr>
                <w:rFonts w:ascii="Arial" w:hAnsi="Arial" w:cs="Arial"/>
                <w:sz w:val="24"/>
                <w:szCs w:val="24"/>
              </w:rPr>
              <w:t xml:space="preserve">, C., </w:t>
            </w:r>
            <w:proofErr w:type="spellStart"/>
            <w:r w:rsidRPr="003A7791">
              <w:rPr>
                <w:rFonts w:ascii="Arial" w:hAnsi="Arial" w:cs="Arial"/>
                <w:sz w:val="24"/>
                <w:szCs w:val="24"/>
              </w:rPr>
              <w:t>Creazza</w:t>
            </w:r>
            <w:proofErr w:type="spellEnd"/>
            <w:r w:rsidRPr="003A7791">
              <w:rPr>
                <w:rFonts w:ascii="Arial" w:hAnsi="Arial" w:cs="Arial"/>
                <w:sz w:val="24"/>
                <w:szCs w:val="24"/>
              </w:rPr>
              <w:t xml:space="preserve">, A. and </w:t>
            </w:r>
            <w:proofErr w:type="spellStart"/>
            <w:r w:rsidRPr="003A7791">
              <w:rPr>
                <w:rFonts w:ascii="Arial" w:hAnsi="Arial" w:cs="Arial"/>
                <w:sz w:val="24"/>
                <w:szCs w:val="24"/>
              </w:rPr>
              <w:t>Menachof</w:t>
            </w:r>
            <w:proofErr w:type="spellEnd"/>
            <w:r w:rsidRPr="003A7791">
              <w:rPr>
                <w:rFonts w:ascii="Arial" w:hAnsi="Arial" w:cs="Arial"/>
                <w:sz w:val="24"/>
                <w:szCs w:val="24"/>
              </w:rPr>
              <w:t>, D.A.</w:t>
            </w:r>
          </w:p>
        </w:tc>
        <w:tc>
          <w:tcPr>
            <w:tcW w:w="0" w:type="auto"/>
            <w:tcBorders>
              <w:top w:val="nil"/>
              <w:left w:val="nil"/>
              <w:bottom w:val="single" w:sz="4" w:space="0" w:color="AAAAAA"/>
              <w:right w:val="single" w:sz="4" w:space="0" w:color="AAAAAA"/>
            </w:tcBorders>
            <w:shd w:val="clear" w:color="D6E4F0" w:fill="D6E4F0"/>
          </w:tcPr>
          <w:p w14:paraId="6C0BC76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2019</w:t>
            </w:r>
          </w:p>
        </w:tc>
        <w:tc>
          <w:tcPr>
            <w:tcW w:w="0" w:type="auto"/>
            <w:tcBorders>
              <w:top w:val="nil"/>
              <w:left w:val="nil"/>
              <w:bottom w:val="single" w:sz="4" w:space="0" w:color="AAAAAA"/>
              <w:right w:val="single" w:sz="4" w:space="0" w:color="AAAAAA"/>
            </w:tcBorders>
            <w:shd w:val="clear" w:color="D6E4F0" w:fill="D6E4F0"/>
          </w:tcPr>
          <w:p w14:paraId="1AEC9820" w14:textId="77777777" w:rsidR="003A7791" w:rsidRPr="003A7791" w:rsidRDefault="003A7791" w:rsidP="007B3AB8">
            <w:pPr>
              <w:rPr>
                <w:rFonts w:ascii="Arial" w:hAnsi="Arial" w:cs="Arial"/>
                <w:sz w:val="24"/>
                <w:szCs w:val="24"/>
              </w:rPr>
            </w:pPr>
            <w:r w:rsidRPr="003A7791">
              <w:rPr>
                <w:rFonts w:ascii="Arial" w:hAnsi="Arial" w:cs="Arial"/>
                <w:sz w:val="24"/>
                <w:szCs w:val="24"/>
              </w:rPr>
              <w:t>To examine supply chain risk management frameworks under emerging regulatory environments.</w:t>
            </w:r>
          </w:p>
        </w:tc>
        <w:tc>
          <w:tcPr>
            <w:tcW w:w="0" w:type="auto"/>
            <w:tcBorders>
              <w:top w:val="nil"/>
              <w:left w:val="nil"/>
              <w:bottom w:val="single" w:sz="4" w:space="0" w:color="AAAAAA"/>
              <w:right w:val="single" w:sz="4" w:space="0" w:color="AAAAAA"/>
            </w:tcBorders>
            <w:shd w:val="clear" w:color="D6E4F0" w:fill="D6E4F0"/>
          </w:tcPr>
          <w:p w14:paraId="0194CCFC" w14:textId="77777777" w:rsidR="003A7791" w:rsidRPr="003A7791" w:rsidRDefault="003A7791" w:rsidP="007B3AB8">
            <w:pPr>
              <w:rPr>
                <w:rFonts w:ascii="Arial" w:hAnsi="Arial" w:cs="Arial"/>
                <w:sz w:val="24"/>
                <w:szCs w:val="24"/>
              </w:rPr>
            </w:pPr>
            <w:r w:rsidRPr="003A7791">
              <w:rPr>
                <w:rFonts w:ascii="Arial" w:hAnsi="Arial" w:cs="Arial"/>
                <w:sz w:val="24"/>
                <w:szCs w:val="24"/>
              </w:rPr>
              <w:t>Identify supply chain vulnerabilities; develop risk mitigation frameworks for regulatory disruptions.</w:t>
            </w:r>
          </w:p>
        </w:tc>
        <w:tc>
          <w:tcPr>
            <w:tcW w:w="0" w:type="auto"/>
            <w:tcBorders>
              <w:top w:val="nil"/>
              <w:left w:val="nil"/>
              <w:bottom w:val="single" w:sz="4" w:space="0" w:color="AAAAAA"/>
              <w:right w:val="single" w:sz="4" w:space="0" w:color="AAAAAA"/>
            </w:tcBorders>
            <w:shd w:val="clear" w:color="D6E4F0" w:fill="D6E4F0"/>
          </w:tcPr>
          <w:p w14:paraId="44888C5B" w14:textId="77777777" w:rsidR="003A7791" w:rsidRPr="003A7791" w:rsidRDefault="003A7791" w:rsidP="007B3AB8">
            <w:pPr>
              <w:rPr>
                <w:rFonts w:ascii="Arial" w:hAnsi="Arial" w:cs="Arial"/>
                <w:sz w:val="24"/>
                <w:szCs w:val="24"/>
              </w:rPr>
            </w:pPr>
            <w:r w:rsidRPr="003A7791">
              <w:rPr>
                <w:rFonts w:ascii="Arial" w:hAnsi="Arial" w:cs="Arial"/>
                <w:sz w:val="24"/>
                <w:szCs w:val="24"/>
              </w:rPr>
              <w:t>What frameworks are needed to manage emerging regulatory supply chain risks systematically?</w:t>
            </w:r>
          </w:p>
        </w:tc>
        <w:tc>
          <w:tcPr>
            <w:tcW w:w="0" w:type="auto"/>
            <w:tcBorders>
              <w:top w:val="nil"/>
              <w:left w:val="nil"/>
              <w:bottom w:val="single" w:sz="4" w:space="0" w:color="AAAAAA"/>
              <w:right w:val="single" w:sz="4" w:space="0" w:color="AAAAAA"/>
            </w:tcBorders>
            <w:shd w:val="clear" w:color="D6E4F0" w:fill="D6E4F0"/>
          </w:tcPr>
          <w:p w14:paraId="457D4A5D" w14:textId="77777777" w:rsidR="003A7791" w:rsidRPr="003A7791" w:rsidRDefault="003A7791" w:rsidP="007B3AB8">
            <w:pPr>
              <w:rPr>
                <w:rFonts w:ascii="Arial" w:hAnsi="Arial" w:cs="Arial"/>
                <w:sz w:val="24"/>
                <w:szCs w:val="24"/>
              </w:rPr>
            </w:pPr>
            <w:r w:rsidRPr="003A7791">
              <w:rPr>
                <w:rFonts w:ascii="Arial" w:hAnsi="Arial" w:cs="Arial"/>
                <w:sz w:val="24"/>
                <w:szCs w:val="24"/>
              </w:rPr>
              <w:t>Exploratory qualitative research; expert interviews; case studies.</w:t>
            </w:r>
          </w:p>
        </w:tc>
        <w:tc>
          <w:tcPr>
            <w:tcW w:w="0" w:type="auto"/>
            <w:tcBorders>
              <w:top w:val="nil"/>
              <w:left w:val="nil"/>
              <w:bottom w:val="single" w:sz="4" w:space="0" w:color="AAAAAA"/>
              <w:right w:val="single" w:sz="4" w:space="0" w:color="AAAAAA"/>
            </w:tcBorders>
            <w:shd w:val="clear" w:color="D6E4F0" w:fill="D6E4F0"/>
          </w:tcPr>
          <w:p w14:paraId="729AA5C7" w14:textId="77777777" w:rsidR="003A7791" w:rsidRPr="003A7791" w:rsidRDefault="003A7791" w:rsidP="007B3AB8">
            <w:pPr>
              <w:rPr>
                <w:rFonts w:ascii="Arial" w:hAnsi="Arial" w:cs="Arial"/>
                <w:sz w:val="24"/>
                <w:szCs w:val="24"/>
              </w:rPr>
            </w:pPr>
            <w:r w:rsidRPr="003A7791">
              <w:rPr>
                <w:rFonts w:ascii="Arial" w:hAnsi="Arial" w:cs="Arial"/>
                <w:sz w:val="24"/>
                <w:szCs w:val="24"/>
              </w:rPr>
              <w:t>Supply chain reconfiguration under new regulatory regimes requires systematic risk frameworks. Proactive reconfiguration and supply base diversification are essential.</w:t>
            </w:r>
          </w:p>
        </w:tc>
      </w:tr>
      <w:tr w:rsidR="003A7791" w:rsidRPr="003A7791" w14:paraId="0357E0D8"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FFF" w:fill="FFFFFF"/>
          </w:tcPr>
          <w:p w14:paraId="14E62A08"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10</w:t>
            </w:r>
          </w:p>
        </w:tc>
        <w:tc>
          <w:tcPr>
            <w:tcW w:w="0" w:type="auto"/>
            <w:tcBorders>
              <w:top w:val="nil"/>
              <w:left w:val="nil"/>
              <w:bottom w:val="single" w:sz="4" w:space="0" w:color="AAAAAA"/>
              <w:right w:val="single" w:sz="4" w:space="0" w:color="AAAAAA"/>
            </w:tcBorders>
            <w:shd w:val="clear" w:color="FFFFFF" w:fill="FFFFFF"/>
          </w:tcPr>
          <w:p w14:paraId="5CE725E8" w14:textId="77777777" w:rsidR="003A7791" w:rsidRPr="003A7791" w:rsidRDefault="003A7791" w:rsidP="007B3AB8">
            <w:pPr>
              <w:rPr>
                <w:rFonts w:ascii="Arial" w:hAnsi="Arial" w:cs="Arial"/>
                <w:sz w:val="24"/>
                <w:szCs w:val="24"/>
              </w:rPr>
            </w:pPr>
            <w:r w:rsidRPr="003A7791">
              <w:rPr>
                <w:rFonts w:ascii="Arial" w:hAnsi="Arial" w:cs="Arial"/>
                <w:sz w:val="24"/>
                <w:szCs w:val="24"/>
              </w:rPr>
              <w:t>The European Union's CBAM: Averting Emissions Leakage or Promoting Carbon Pricing Diffusion?</w:t>
            </w:r>
          </w:p>
        </w:tc>
        <w:tc>
          <w:tcPr>
            <w:tcW w:w="0" w:type="auto"/>
            <w:tcBorders>
              <w:top w:val="nil"/>
              <w:left w:val="nil"/>
              <w:bottom w:val="single" w:sz="4" w:space="0" w:color="AAAAAA"/>
              <w:right w:val="single" w:sz="4" w:space="0" w:color="AAAAAA"/>
            </w:tcBorders>
            <w:shd w:val="clear" w:color="FFFFFF" w:fill="FFFFFF"/>
          </w:tcPr>
          <w:p w14:paraId="2AA62D8B" w14:textId="77777777" w:rsidR="003A7791" w:rsidRPr="003A7791" w:rsidRDefault="003A7791" w:rsidP="007B3AB8">
            <w:pPr>
              <w:rPr>
                <w:rFonts w:ascii="Arial" w:hAnsi="Arial" w:cs="Arial"/>
                <w:sz w:val="24"/>
                <w:szCs w:val="24"/>
              </w:rPr>
            </w:pPr>
            <w:r w:rsidRPr="003A7791">
              <w:rPr>
                <w:rFonts w:ascii="Arial" w:hAnsi="Arial" w:cs="Arial"/>
                <w:sz w:val="24"/>
                <w:szCs w:val="24"/>
              </w:rPr>
              <w:t>Journal of Environmental Policy &amp; Planning (Taylor &amp; Francis)</w:t>
            </w:r>
          </w:p>
        </w:tc>
        <w:tc>
          <w:tcPr>
            <w:tcW w:w="0" w:type="auto"/>
            <w:tcBorders>
              <w:top w:val="nil"/>
              <w:left w:val="nil"/>
              <w:bottom w:val="single" w:sz="4" w:space="0" w:color="AAAAAA"/>
              <w:right w:val="single" w:sz="4" w:space="0" w:color="AAAAAA"/>
            </w:tcBorders>
            <w:shd w:val="clear" w:color="FFFFFF" w:fill="FFFFFF"/>
          </w:tcPr>
          <w:p w14:paraId="442DF56D" w14:textId="77777777" w:rsidR="003A7791" w:rsidRPr="003A7791" w:rsidRDefault="003A7791" w:rsidP="007B3AB8">
            <w:pPr>
              <w:rPr>
                <w:rFonts w:ascii="Arial" w:hAnsi="Arial" w:cs="Arial"/>
                <w:sz w:val="24"/>
                <w:szCs w:val="24"/>
              </w:rPr>
            </w:pPr>
            <w:r w:rsidRPr="003A7791">
              <w:rPr>
                <w:rFonts w:ascii="Arial" w:hAnsi="Arial" w:cs="Arial"/>
                <w:sz w:val="24"/>
                <w:szCs w:val="24"/>
              </w:rPr>
              <w:t>Various (Taylor &amp; Francis, 2025)</w:t>
            </w:r>
          </w:p>
        </w:tc>
        <w:tc>
          <w:tcPr>
            <w:tcW w:w="0" w:type="auto"/>
            <w:tcBorders>
              <w:top w:val="nil"/>
              <w:left w:val="nil"/>
              <w:bottom w:val="single" w:sz="4" w:space="0" w:color="AAAAAA"/>
              <w:right w:val="single" w:sz="4" w:space="0" w:color="AAAAAA"/>
            </w:tcBorders>
            <w:shd w:val="clear" w:color="FFFFFF" w:fill="FFFFFF"/>
          </w:tcPr>
          <w:p w14:paraId="322D3ED3"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2025</w:t>
            </w:r>
          </w:p>
        </w:tc>
        <w:tc>
          <w:tcPr>
            <w:tcW w:w="0" w:type="auto"/>
            <w:tcBorders>
              <w:top w:val="nil"/>
              <w:left w:val="nil"/>
              <w:bottom w:val="single" w:sz="4" w:space="0" w:color="AAAAAA"/>
              <w:right w:val="single" w:sz="4" w:space="0" w:color="AAAAAA"/>
            </w:tcBorders>
            <w:shd w:val="clear" w:color="FFFFFF" w:fill="FFFFFF"/>
          </w:tcPr>
          <w:p w14:paraId="0CCFF188" w14:textId="77777777" w:rsidR="003A7791" w:rsidRPr="003A7791" w:rsidRDefault="003A7791" w:rsidP="007B3AB8">
            <w:pPr>
              <w:rPr>
                <w:rFonts w:ascii="Arial" w:hAnsi="Arial" w:cs="Arial"/>
                <w:sz w:val="24"/>
                <w:szCs w:val="24"/>
              </w:rPr>
            </w:pPr>
            <w:r w:rsidRPr="003A7791">
              <w:rPr>
                <w:rFonts w:ascii="Arial" w:hAnsi="Arial" w:cs="Arial"/>
                <w:sz w:val="24"/>
                <w:szCs w:val="24"/>
              </w:rPr>
              <w:t>To assess whether the EU CBAM prevents carbon leakage or primarily serves to spread carbon pricing globally.</w:t>
            </w:r>
          </w:p>
        </w:tc>
        <w:tc>
          <w:tcPr>
            <w:tcW w:w="0" w:type="auto"/>
            <w:tcBorders>
              <w:top w:val="nil"/>
              <w:left w:val="nil"/>
              <w:bottom w:val="single" w:sz="4" w:space="0" w:color="AAAAAA"/>
              <w:right w:val="single" w:sz="4" w:space="0" w:color="AAAAAA"/>
            </w:tcBorders>
            <w:shd w:val="clear" w:color="FFFFFF" w:fill="FFFFFF"/>
          </w:tcPr>
          <w:p w14:paraId="2071AFD2" w14:textId="77777777" w:rsidR="003A7791" w:rsidRPr="003A7791" w:rsidRDefault="003A7791" w:rsidP="007B3AB8">
            <w:pPr>
              <w:rPr>
                <w:rFonts w:ascii="Arial" w:hAnsi="Arial" w:cs="Arial"/>
                <w:sz w:val="24"/>
                <w:szCs w:val="24"/>
              </w:rPr>
            </w:pPr>
            <w:r w:rsidRPr="003A7791">
              <w:rPr>
                <w:rFonts w:ascii="Arial" w:hAnsi="Arial" w:cs="Arial"/>
                <w:sz w:val="24"/>
                <w:szCs w:val="24"/>
              </w:rPr>
              <w:t>Evaluate CBAM output effectiveness on leakage prevention; measure impact on global carbon pricing diffusion.</w:t>
            </w:r>
          </w:p>
        </w:tc>
        <w:tc>
          <w:tcPr>
            <w:tcW w:w="0" w:type="auto"/>
            <w:tcBorders>
              <w:top w:val="nil"/>
              <w:left w:val="nil"/>
              <w:bottom w:val="single" w:sz="4" w:space="0" w:color="AAAAAA"/>
              <w:right w:val="single" w:sz="4" w:space="0" w:color="AAAAAA"/>
            </w:tcBorders>
            <w:shd w:val="clear" w:color="FFFFFF" w:fill="FFFFFF"/>
          </w:tcPr>
          <w:p w14:paraId="4472D4B8" w14:textId="77777777" w:rsidR="003A7791" w:rsidRPr="003A7791" w:rsidRDefault="003A7791" w:rsidP="007B3AB8">
            <w:pPr>
              <w:rPr>
                <w:rFonts w:ascii="Arial" w:hAnsi="Arial" w:cs="Arial"/>
                <w:sz w:val="24"/>
                <w:szCs w:val="24"/>
              </w:rPr>
            </w:pPr>
            <w:r w:rsidRPr="003A7791">
              <w:rPr>
                <w:rFonts w:ascii="Arial" w:hAnsi="Arial" w:cs="Arial"/>
                <w:sz w:val="24"/>
                <w:szCs w:val="24"/>
              </w:rPr>
              <w:t>Is the EU CBAM effective at preventing carbon leakage? What spillover effects does it have on third countries?</w:t>
            </w:r>
          </w:p>
        </w:tc>
        <w:tc>
          <w:tcPr>
            <w:tcW w:w="0" w:type="auto"/>
            <w:tcBorders>
              <w:top w:val="nil"/>
              <w:left w:val="nil"/>
              <w:bottom w:val="single" w:sz="4" w:space="0" w:color="AAAAAA"/>
              <w:right w:val="single" w:sz="4" w:space="0" w:color="AAAAAA"/>
            </w:tcBorders>
            <w:shd w:val="clear" w:color="FFFFFF" w:fill="FFFFFF"/>
          </w:tcPr>
          <w:p w14:paraId="045770FD" w14:textId="77777777" w:rsidR="003A7791" w:rsidRPr="003A7791" w:rsidRDefault="003A7791" w:rsidP="007B3AB8">
            <w:pPr>
              <w:rPr>
                <w:rFonts w:ascii="Arial" w:hAnsi="Arial" w:cs="Arial"/>
                <w:sz w:val="24"/>
                <w:szCs w:val="24"/>
              </w:rPr>
            </w:pPr>
            <w:r w:rsidRPr="003A7791">
              <w:rPr>
                <w:rFonts w:ascii="Arial" w:hAnsi="Arial" w:cs="Arial"/>
                <w:sz w:val="24"/>
                <w:szCs w:val="24"/>
              </w:rPr>
              <w:t>Qualitative policy analysis; review of empirical leakage evidence; comparative case studies.</w:t>
            </w:r>
          </w:p>
        </w:tc>
        <w:tc>
          <w:tcPr>
            <w:tcW w:w="0" w:type="auto"/>
            <w:tcBorders>
              <w:top w:val="nil"/>
              <w:left w:val="nil"/>
              <w:bottom w:val="single" w:sz="4" w:space="0" w:color="AAAAAA"/>
              <w:right w:val="single" w:sz="4" w:space="0" w:color="AAAAAA"/>
            </w:tcBorders>
            <w:shd w:val="clear" w:color="FFFFFF" w:fill="FFFFFF"/>
          </w:tcPr>
          <w:p w14:paraId="29963ABB"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Empirical leakage evidence is limited. However, EU CBAM has accelerated carbon pricing adoption in trading partners, acting </w:t>
            </w:r>
            <w:r w:rsidRPr="003A7791">
              <w:rPr>
                <w:rFonts w:ascii="Arial" w:hAnsi="Arial" w:cs="Arial"/>
                <w:sz w:val="24"/>
                <w:szCs w:val="24"/>
              </w:rPr>
              <w:lastRenderedPageBreak/>
              <w:t>primarily as a lever for global carbon pricing diffusion.</w:t>
            </w:r>
          </w:p>
        </w:tc>
      </w:tr>
      <w:tr w:rsidR="003A7791" w:rsidRPr="003A7791" w14:paraId="0717CD45"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5D5967D4"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11</w:t>
            </w:r>
          </w:p>
        </w:tc>
        <w:tc>
          <w:tcPr>
            <w:tcW w:w="0" w:type="auto"/>
            <w:tcBorders>
              <w:top w:val="nil"/>
              <w:left w:val="nil"/>
              <w:bottom w:val="single" w:sz="4" w:space="0" w:color="AAAAAA"/>
              <w:right w:val="single" w:sz="4" w:space="0" w:color="AAAAAA"/>
            </w:tcBorders>
            <w:shd w:val="clear" w:color="D6E4F0" w:fill="D6E4F0"/>
          </w:tcPr>
          <w:p w14:paraId="49F1140B" w14:textId="77777777" w:rsidR="003A7791" w:rsidRPr="003A7791" w:rsidRDefault="003A7791" w:rsidP="007B3AB8">
            <w:pPr>
              <w:rPr>
                <w:rFonts w:ascii="Arial" w:hAnsi="Arial" w:cs="Arial"/>
                <w:sz w:val="24"/>
                <w:szCs w:val="24"/>
              </w:rPr>
            </w:pPr>
            <w:r w:rsidRPr="003A7791">
              <w:rPr>
                <w:rFonts w:ascii="Arial" w:hAnsi="Arial" w:cs="Arial"/>
                <w:sz w:val="24"/>
                <w:szCs w:val="24"/>
              </w:rPr>
              <w:t>Economic Assessment of Carbon Leakage and Carbon Border Adjustment</w:t>
            </w:r>
          </w:p>
        </w:tc>
        <w:tc>
          <w:tcPr>
            <w:tcW w:w="0" w:type="auto"/>
            <w:tcBorders>
              <w:top w:val="nil"/>
              <w:left w:val="nil"/>
              <w:bottom w:val="single" w:sz="4" w:space="0" w:color="AAAAAA"/>
              <w:right w:val="single" w:sz="4" w:space="0" w:color="AAAAAA"/>
            </w:tcBorders>
            <w:shd w:val="clear" w:color="D6E4F0" w:fill="D6E4F0"/>
          </w:tcPr>
          <w:p w14:paraId="409AD6A4" w14:textId="77777777" w:rsidR="003A7791" w:rsidRPr="003A7791" w:rsidRDefault="003A7791" w:rsidP="007B3AB8">
            <w:pPr>
              <w:rPr>
                <w:rFonts w:ascii="Arial" w:hAnsi="Arial" w:cs="Arial"/>
                <w:sz w:val="24"/>
                <w:szCs w:val="24"/>
              </w:rPr>
            </w:pPr>
            <w:r w:rsidRPr="003A7791">
              <w:rPr>
                <w:rFonts w:ascii="Arial" w:hAnsi="Arial" w:cs="Arial"/>
                <w:sz w:val="24"/>
                <w:szCs w:val="24"/>
              </w:rPr>
              <w:t>European Parliament Briefing</w:t>
            </w:r>
          </w:p>
        </w:tc>
        <w:tc>
          <w:tcPr>
            <w:tcW w:w="0" w:type="auto"/>
            <w:tcBorders>
              <w:top w:val="nil"/>
              <w:left w:val="nil"/>
              <w:bottom w:val="single" w:sz="4" w:space="0" w:color="AAAAAA"/>
              <w:right w:val="single" w:sz="4" w:space="0" w:color="AAAAAA"/>
            </w:tcBorders>
            <w:shd w:val="clear" w:color="D6E4F0" w:fill="D6E4F0"/>
          </w:tcPr>
          <w:p w14:paraId="0F2939F5" w14:textId="77777777" w:rsidR="003A7791" w:rsidRPr="003A7791" w:rsidRDefault="003A7791" w:rsidP="007B3AB8">
            <w:pPr>
              <w:rPr>
                <w:rFonts w:ascii="Arial" w:hAnsi="Arial" w:cs="Arial"/>
                <w:sz w:val="24"/>
                <w:szCs w:val="24"/>
              </w:rPr>
            </w:pPr>
            <w:r w:rsidRPr="003A7791">
              <w:rPr>
                <w:rFonts w:ascii="Arial" w:hAnsi="Arial" w:cs="Arial"/>
                <w:sz w:val="24"/>
                <w:szCs w:val="24"/>
              </w:rPr>
              <w:t>European Parliament Research Service</w:t>
            </w:r>
          </w:p>
        </w:tc>
        <w:tc>
          <w:tcPr>
            <w:tcW w:w="0" w:type="auto"/>
            <w:tcBorders>
              <w:top w:val="nil"/>
              <w:left w:val="nil"/>
              <w:bottom w:val="single" w:sz="4" w:space="0" w:color="AAAAAA"/>
              <w:right w:val="single" w:sz="4" w:space="0" w:color="AAAAAA"/>
            </w:tcBorders>
            <w:shd w:val="clear" w:color="D6E4F0" w:fill="D6E4F0"/>
          </w:tcPr>
          <w:p w14:paraId="3BA12074"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2020</w:t>
            </w:r>
          </w:p>
        </w:tc>
        <w:tc>
          <w:tcPr>
            <w:tcW w:w="0" w:type="auto"/>
            <w:tcBorders>
              <w:top w:val="nil"/>
              <w:left w:val="nil"/>
              <w:bottom w:val="single" w:sz="4" w:space="0" w:color="AAAAAA"/>
              <w:right w:val="single" w:sz="4" w:space="0" w:color="AAAAAA"/>
            </w:tcBorders>
            <w:shd w:val="clear" w:color="D6E4F0" w:fill="D6E4F0"/>
          </w:tcPr>
          <w:p w14:paraId="2F66E1AD" w14:textId="77777777" w:rsidR="003A7791" w:rsidRPr="003A7791" w:rsidRDefault="003A7791" w:rsidP="007B3AB8">
            <w:pPr>
              <w:rPr>
                <w:rFonts w:ascii="Arial" w:hAnsi="Arial" w:cs="Arial"/>
                <w:sz w:val="24"/>
                <w:szCs w:val="24"/>
              </w:rPr>
            </w:pPr>
            <w:r w:rsidRPr="003A7791">
              <w:rPr>
                <w:rFonts w:ascii="Arial" w:hAnsi="Arial" w:cs="Arial"/>
                <w:sz w:val="24"/>
                <w:szCs w:val="24"/>
              </w:rPr>
              <w:t>To assess economic evidence on carbon leakage and the case for a carbon border adjustment.</w:t>
            </w:r>
          </w:p>
        </w:tc>
        <w:tc>
          <w:tcPr>
            <w:tcW w:w="0" w:type="auto"/>
            <w:tcBorders>
              <w:top w:val="nil"/>
              <w:left w:val="nil"/>
              <w:bottom w:val="single" w:sz="4" w:space="0" w:color="AAAAAA"/>
              <w:right w:val="single" w:sz="4" w:space="0" w:color="AAAAAA"/>
            </w:tcBorders>
            <w:shd w:val="clear" w:color="D6E4F0" w:fill="D6E4F0"/>
          </w:tcPr>
          <w:p w14:paraId="18EC7408" w14:textId="77777777" w:rsidR="003A7791" w:rsidRPr="003A7791" w:rsidRDefault="003A7791" w:rsidP="007B3AB8">
            <w:pPr>
              <w:rPr>
                <w:rFonts w:ascii="Arial" w:hAnsi="Arial" w:cs="Arial"/>
                <w:sz w:val="24"/>
                <w:szCs w:val="24"/>
              </w:rPr>
            </w:pPr>
            <w:r w:rsidRPr="003A7791">
              <w:rPr>
                <w:rFonts w:ascii="Arial" w:hAnsi="Arial" w:cs="Arial"/>
                <w:sz w:val="24"/>
                <w:szCs w:val="24"/>
              </w:rPr>
              <w:t>Review empirical leakage evidence; model CBAM impacts on trade and competitiveness; assess design options.</w:t>
            </w:r>
          </w:p>
        </w:tc>
        <w:tc>
          <w:tcPr>
            <w:tcW w:w="0" w:type="auto"/>
            <w:tcBorders>
              <w:top w:val="nil"/>
              <w:left w:val="nil"/>
              <w:bottom w:val="single" w:sz="4" w:space="0" w:color="AAAAAA"/>
              <w:right w:val="single" w:sz="4" w:space="0" w:color="AAAAAA"/>
            </w:tcBorders>
            <w:shd w:val="clear" w:color="D6E4F0" w:fill="D6E4F0"/>
          </w:tcPr>
          <w:p w14:paraId="422C03A3" w14:textId="77777777" w:rsidR="003A7791" w:rsidRPr="003A7791" w:rsidRDefault="003A7791" w:rsidP="007B3AB8">
            <w:pPr>
              <w:rPr>
                <w:rFonts w:ascii="Arial" w:hAnsi="Arial" w:cs="Arial"/>
                <w:sz w:val="24"/>
                <w:szCs w:val="24"/>
              </w:rPr>
            </w:pPr>
            <w:r w:rsidRPr="003A7791">
              <w:rPr>
                <w:rFonts w:ascii="Arial" w:hAnsi="Arial" w:cs="Arial"/>
                <w:sz w:val="24"/>
                <w:szCs w:val="24"/>
              </w:rPr>
              <w:t>To what extent does carbon leakage occur under EU ETS? Can CBAM fully eliminate leakage?</w:t>
            </w:r>
          </w:p>
        </w:tc>
        <w:tc>
          <w:tcPr>
            <w:tcW w:w="0" w:type="auto"/>
            <w:tcBorders>
              <w:top w:val="nil"/>
              <w:left w:val="nil"/>
              <w:bottom w:val="single" w:sz="4" w:space="0" w:color="AAAAAA"/>
              <w:right w:val="single" w:sz="4" w:space="0" w:color="AAAAAA"/>
            </w:tcBorders>
            <w:shd w:val="clear" w:color="D6E4F0" w:fill="D6E4F0"/>
          </w:tcPr>
          <w:p w14:paraId="2D946EEA" w14:textId="77777777" w:rsidR="003A7791" w:rsidRPr="003A7791" w:rsidRDefault="003A7791" w:rsidP="007B3AB8">
            <w:pPr>
              <w:rPr>
                <w:rFonts w:ascii="Arial" w:hAnsi="Arial" w:cs="Arial"/>
                <w:sz w:val="24"/>
                <w:szCs w:val="24"/>
              </w:rPr>
            </w:pPr>
            <w:r w:rsidRPr="003A7791">
              <w:rPr>
                <w:rFonts w:ascii="Arial" w:hAnsi="Arial" w:cs="Arial"/>
                <w:sz w:val="24"/>
                <w:szCs w:val="24"/>
              </w:rPr>
              <w:t>Computable General Equilibrium (CGE) modelling; review of econometric evidence.</w:t>
            </w:r>
          </w:p>
        </w:tc>
        <w:tc>
          <w:tcPr>
            <w:tcW w:w="0" w:type="auto"/>
            <w:tcBorders>
              <w:top w:val="nil"/>
              <w:left w:val="nil"/>
              <w:bottom w:val="single" w:sz="4" w:space="0" w:color="AAAAAA"/>
              <w:right w:val="single" w:sz="4" w:space="0" w:color="AAAAAA"/>
            </w:tcBorders>
            <w:shd w:val="clear" w:color="D6E4F0" w:fill="D6E4F0"/>
          </w:tcPr>
          <w:p w14:paraId="326FD3A9" w14:textId="77777777" w:rsidR="003A7791" w:rsidRPr="003A7791" w:rsidRDefault="003A7791" w:rsidP="007B3AB8">
            <w:pPr>
              <w:rPr>
                <w:rFonts w:ascii="Arial" w:hAnsi="Arial" w:cs="Arial"/>
                <w:sz w:val="24"/>
                <w:szCs w:val="24"/>
              </w:rPr>
            </w:pPr>
            <w:r w:rsidRPr="003A7791">
              <w:rPr>
                <w:rFonts w:ascii="Arial" w:hAnsi="Arial" w:cs="Arial"/>
                <w:sz w:val="24"/>
                <w:szCs w:val="24"/>
              </w:rPr>
              <w:t>Carbon border adjustments can reduce direct leakage by up to 50%. About 15% of domestic EU emission savings are offset by increased foreign emissions, providing the leakage baseline CBAM aims to address.</w:t>
            </w:r>
          </w:p>
        </w:tc>
      </w:tr>
      <w:tr w:rsidR="003A7791" w:rsidRPr="003A7791" w14:paraId="55B31670"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FFF" w:fill="FFFFFF"/>
          </w:tcPr>
          <w:p w14:paraId="372A7F7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12</w:t>
            </w:r>
          </w:p>
        </w:tc>
        <w:tc>
          <w:tcPr>
            <w:tcW w:w="0" w:type="auto"/>
            <w:tcBorders>
              <w:top w:val="nil"/>
              <w:left w:val="nil"/>
              <w:bottom w:val="single" w:sz="4" w:space="0" w:color="AAAAAA"/>
              <w:right w:val="single" w:sz="4" w:space="0" w:color="AAAAAA"/>
            </w:tcBorders>
            <w:shd w:val="clear" w:color="FFFFFF" w:fill="FFFFFF"/>
          </w:tcPr>
          <w:p w14:paraId="746A0426" w14:textId="77777777" w:rsidR="003A7791" w:rsidRPr="003A7791" w:rsidRDefault="003A7791" w:rsidP="007B3AB8">
            <w:pPr>
              <w:rPr>
                <w:rFonts w:ascii="Arial" w:hAnsi="Arial" w:cs="Arial"/>
                <w:sz w:val="24"/>
                <w:szCs w:val="24"/>
              </w:rPr>
            </w:pPr>
            <w:r w:rsidRPr="003A7791">
              <w:rPr>
                <w:rFonts w:ascii="Arial" w:hAnsi="Arial" w:cs="Arial"/>
                <w:sz w:val="24"/>
                <w:szCs w:val="24"/>
              </w:rPr>
              <w:t>Local Decarbonisation Opportunities and Barriers: UK Public Procure</w:t>
            </w:r>
            <w:r w:rsidRPr="003A7791">
              <w:rPr>
                <w:rFonts w:ascii="Arial" w:hAnsi="Arial" w:cs="Arial"/>
                <w:sz w:val="24"/>
                <w:szCs w:val="24"/>
              </w:rPr>
              <w:lastRenderedPageBreak/>
              <w:t>ment Legislation</w:t>
            </w:r>
          </w:p>
        </w:tc>
        <w:tc>
          <w:tcPr>
            <w:tcW w:w="0" w:type="auto"/>
            <w:tcBorders>
              <w:top w:val="nil"/>
              <w:left w:val="nil"/>
              <w:bottom w:val="single" w:sz="4" w:space="0" w:color="AAAAAA"/>
              <w:right w:val="single" w:sz="4" w:space="0" w:color="AAAAAA"/>
            </w:tcBorders>
            <w:shd w:val="clear" w:color="FFFFFF" w:fill="FFFFFF"/>
          </w:tcPr>
          <w:p w14:paraId="222E1DEB"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Buildings &amp; Cities (Open Access Journal)</w:t>
            </w:r>
          </w:p>
        </w:tc>
        <w:tc>
          <w:tcPr>
            <w:tcW w:w="0" w:type="auto"/>
            <w:tcBorders>
              <w:top w:val="nil"/>
              <w:left w:val="nil"/>
              <w:bottom w:val="single" w:sz="4" w:space="0" w:color="AAAAAA"/>
              <w:right w:val="single" w:sz="4" w:space="0" w:color="AAAAAA"/>
            </w:tcBorders>
            <w:shd w:val="clear" w:color="FFFFFF" w:fill="FFFFFF"/>
          </w:tcPr>
          <w:p w14:paraId="5E3E7A70" w14:textId="77777777" w:rsidR="003A7791" w:rsidRPr="003A7791" w:rsidRDefault="003A7791" w:rsidP="007B3AB8">
            <w:pPr>
              <w:rPr>
                <w:rFonts w:ascii="Arial" w:hAnsi="Arial" w:cs="Arial"/>
                <w:sz w:val="24"/>
                <w:szCs w:val="24"/>
              </w:rPr>
            </w:pPr>
            <w:r w:rsidRPr="003A7791">
              <w:rPr>
                <w:rFonts w:ascii="Arial" w:hAnsi="Arial" w:cs="Arial"/>
                <w:sz w:val="24"/>
                <w:szCs w:val="24"/>
              </w:rPr>
              <w:t>Tingey, M. and Webb, J.</w:t>
            </w:r>
          </w:p>
        </w:tc>
        <w:tc>
          <w:tcPr>
            <w:tcW w:w="0" w:type="auto"/>
            <w:tcBorders>
              <w:top w:val="nil"/>
              <w:left w:val="nil"/>
              <w:bottom w:val="single" w:sz="4" w:space="0" w:color="AAAAAA"/>
              <w:right w:val="single" w:sz="4" w:space="0" w:color="AAAAAA"/>
            </w:tcBorders>
            <w:shd w:val="clear" w:color="FFFFFF" w:fill="FFFFFF"/>
          </w:tcPr>
          <w:p w14:paraId="1DEC122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2022</w:t>
            </w:r>
          </w:p>
        </w:tc>
        <w:tc>
          <w:tcPr>
            <w:tcW w:w="0" w:type="auto"/>
            <w:tcBorders>
              <w:top w:val="nil"/>
              <w:left w:val="nil"/>
              <w:bottom w:val="single" w:sz="4" w:space="0" w:color="AAAAAA"/>
              <w:right w:val="single" w:sz="4" w:space="0" w:color="AAAAAA"/>
            </w:tcBorders>
            <w:shd w:val="clear" w:color="FFFFFF" w:fill="FFFFFF"/>
          </w:tcPr>
          <w:p w14:paraId="04801DA3"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To examine how UK procurement legislation can support or hinder local </w:t>
            </w:r>
            <w:r w:rsidRPr="003A7791">
              <w:rPr>
                <w:rFonts w:ascii="Arial" w:hAnsi="Arial" w:cs="Arial"/>
                <w:sz w:val="24"/>
                <w:szCs w:val="24"/>
              </w:rPr>
              <w:lastRenderedPageBreak/>
              <w:t>decarbonisation.</w:t>
            </w:r>
          </w:p>
        </w:tc>
        <w:tc>
          <w:tcPr>
            <w:tcW w:w="0" w:type="auto"/>
            <w:tcBorders>
              <w:top w:val="nil"/>
              <w:left w:val="nil"/>
              <w:bottom w:val="single" w:sz="4" w:space="0" w:color="AAAAAA"/>
              <w:right w:val="single" w:sz="4" w:space="0" w:color="AAAAAA"/>
            </w:tcBorders>
            <w:shd w:val="clear" w:color="FFFFFF" w:fill="FFFFFF"/>
          </w:tcPr>
          <w:p w14:paraId="41FD98AF"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 xml:space="preserve">Assess UK procurement law and alignment with net-zero targets; identify </w:t>
            </w:r>
            <w:r w:rsidRPr="003A7791">
              <w:rPr>
                <w:rFonts w:ascii="Arial" w:hAnsi="Arial" w:cs="Arial"/>
                <w:sz w:val="24"/>
                <w:szCs w:val="24"/>
              </w:rPr>
              <w:lastRenderedPageBreak/>
              <w:t>barriers and enablers.</w:t>
            </w:r>
          </w:p>
        </w:tc>
        <w:tc>
          <w:tcPr>
            <w:tcW w:w="0" w:type="auto"/>
            <w:tcBorders>
              <w:top w:val="nil"/>
              <w:left w:val="nil"/>
              <w:bottom w:val="single" w:sz="4" w:space="0" w:color="AAAAAA"/>
              <w:right w:val="single" w:sz="4" w:space="0" w:color="AAAAAA"/>
            </w:tcBorders>
            <w:shd w:val="clear" w:color="FFFFFF" w:fill="FFFFFF"/>
          </w:tcPr>
          <w:p w14:paraId="38D73A55"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Does UK procurement legislation enable or constrain decarb</w:t>
            </w:r>
            <w:r w:rsidRPr="003A7791">
              <w:rPr>
                <w:rFonts w:ascii="Arial" w:hAnsi="Arial" w:cs="Arial"/>
                <w:sz w:val="24"/>
                <w:szCs w:val="24"/>
              </w:rPr>
              <w:lastRenderedPageBreak/>
              <w:t>onisation in the built environment?</w:t>
            </w:r>
          </w:p>
        </w:tc>
        <w:tc>
          <w:tcPr>
            <w:tcW w:w="0" w:type="auto"/>
            <w:tcBorders>
              <w:top w:val="nil"/>
              <w:left w:val="nil"/>
              <w:bottom w:val="single" w:sz="4" w:space="0" w:color="AAAAAA"/>
              <w:right w:val="single" w:sz="4" w:space="0" w:color="AAAAAA"/>
            </w:tcBorders>
            <w:shd w:val="clear" w:color="FFFFFF" w:fill="FFFFFF"/>
          </w:tcPr>
          <w:p w14:paraId="33E590AB"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Qualitative case study research; legal and policy analysis.</w:t>
            </w:r>
          </w:p>
        </w:tc>
        <w:tc>
          <w:tcPr>
            <w:tcW w:w="0" w:type="auto"/>
            <w:tcBorders>
              <w:top w:val="nil"/>
              <w:left w:val="nil"/>
              <w:bottom w:val="single" w:sz="4" w:space="0" w:color="AAAAAA"/>
              <w:right w:val="single" w:sz="4" w:space="0" w:color="AAAAAA"/>
            </w:tcBorders>
            <w:shd w:val="clear" w:color="FFFFFF" w:fill="FFFFFF"/>
          </w:tcPr>
          <w:p w14:paraId="08EBB608" w14:textId="77777777" w:rsidR="003A7791" w:rsidRPr="003A7791" w:rsidRDefault="003A7791" w:rsidP="007B3AB8">
            <w:pPr>
              <w:rPr>
                <w:rFonts w:ascii="Arial" w:hAnsi="Arial" w:cs="Arial"/>
                <w:sz w:val="24"/>
                <w:szCs w:val="24"/>
              </w:rPr>
            </w:pPr>
            <w:r w:rsidRPr="003A7791">
              <w:rPr>
                <w:rFonts w:ascii="Arial" w:hAnsi="Arial" w:cs="Arial"/>
                <w:sz w:val="24"/>
                <w:szCs w:val="24"/>
              </w:rPr>
              <w:t>UK procurement law increasingly supports net-zero. Green procure</w:t>
            </w:r>
            <w:r w:rsidRPr="003A7791">
              <w:rPr>
                <w:rFonts w:ascii="Arial" w:hAnsi="Arial" w:cs="Arial"/>
                <w:sz w:val="24"/>
                <w:szCs w:val="24"/>
              </w:rPr>
              <w:lastRenderedPageBreak/>
              <w:t>ment criteria for steel, cement and concrete are emerging. Gap remains between national legislation and local delivery.</w:t>
            </w:r>
          </w:p>
        </w:tc>
      </w:tr>
      <w:tr w:rsidR="003A7791" w:rsidRPr="003A7791" w14:paraId="002168FB"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5270B61B"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13</w:t>
            </w:r>
          </w:p>
        </w:tc>
        <w:tc>
          <w:tcPr>
            <w:tcW w:w="0" w:type="auto"/>
            <w:tcBorders>
              <w:top w:val="nil"/>
              <w:left w:val="nil"/>
              <w:bottom w:val="single" w:sz="4" w:space="0" w:color="AAAAAA"/>
              <w:right w:val="single" w:sz="4" w:space="0" w:color="AAAAAA"/>
            </w:tcBorders>
            <w:shd w:val="clear" w:color="D6E4F0" w:fill="D6E4F0"/>
          </w:tcPr>
          <w:p w14:paraId="49070778" w14:textId="77777777" w:rsidR="003A7791" w:rsidRPr="003A7791" w:rsidRDefault="003A7791" w:rsidP="007B3AB8">
            <w:pPr>
              <w:rPr>
                <w:rFonts w:ascii="Arial" w:hAnsi="Arial" w:cs="Arial"/>
                <w:sz w:val="24"/>
                <w:szCs w:val="24"/>
              </w:rPr>
            </w:pPr>
            <w:r w:rsidRPr="003A7791">
              <w:rPr>
                <w:rFonts w:ascii="Arial" w:hAnsi="Arial" w:cs="Arial"/>
                <w:sz w:val="24"/>
                <w:szCs w:val="24"/>
              </w:rPr>
              <w:t>A Policy Framework to Grow the Market for Low Carbon Industrial Products</w:t>
            </w:r>
          </w:p>
        </w:tc>
        <w:tc>
          <w:tcPr>
            <w:tcW w:w="0" w:type="auto"/>
            <w:tcBorders>
              <w:top w:val="nil"/>
              <w:left w:val="nil"/>
              <w:bottom w:val="single" w:sz="4" w:space="0" w:color="AAAAAA"/>
              <w:right w:val="single" w:sz="4" w:space="0" w:color="AAAAAA"/>
            </w:tcBorders>
            <w:shd w:val="clear" w:color="D6E4F0" w:fill="D6E4F0"/>
          </w:tcPr>
          <w:p w14:paraId="2DB66262"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 (DESNZ) Consultation Document</w:t>
            </w:r>
          </w:p>
        </w:tc>
        <w:tc>
          <w:tcPr>
            <w:tcW w:w="0" w:type="auto"/>
            <w:tcBorders>
              <w:top w:val="nil"/>
              <w:left w:val="nil"/>
              <w:bottom w:val="single" w:sz="4" w:space="0" w:color="AAAAAA"/>
              <w:right w:val="single" w:sz="4" w:space="0" w:color="AAAAAA"/>
            </w:tcBorders>
            <w:shd w:val="clear" w:color="D6E4F0" w:fill="D6E4F0"/>
          </w:tcPr>
          <w:p w14:paraId="48E910A2" w14:textId="77777777" w:rsidR="003A7791" w:rsidRPr="003A7791" w:rsidRDefault="003A7791" w:rsidP="007B3AB8">
            <w:pPr>
              <w:rPr>
                <w:rFonts w:ascii="Arial" w:hAnsi="Arial" w:cs="Arial"/>
                <w:sz w:val="24"/>
                <w:szCs w:val="24"/>
              </w:rPr>
            </w:pPr>
            <w:r w:rsidRPr="003A7791">
              <w:rPr>
                <w:rFonts w:ascii="Arial" w:hAnsi="Arial" w:cs="Arial"/>
                <w:sz w:val="24"/>
                <w:szCs w:val="24"/>
              </w:rPr>
              <w:t>UK Department for Energy Security and Net Zero</w:t>
            </w:r>
          </w:p>
        </w:tc>
        <w:tc>
          <w:tcPr>
            <w:tcW w:w="0" w:type="auto"/>
            <w:tcBorders>
              <w:top w:val="nil"/>
              <w:left w:val="nil"/>
              <w:bottom w:val="single" w:sz="4" w:space="0" w:color="AAAAAA"/>
              <w:right w:val="single" w:sz="4" w:space="0" w:color="AAAAAA"/>
            </w:tcBorders>
            <w:shd w:val="clear" w:color="D6E4F0" w:fill="D6E4F0"/>
          </w:tcPr>
          <w:p w14:paraId="302FF82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2025</w:t>
            </w:r>
          </w:p>
        </w:tc>
        <w:tc>
          <w:tcPr>
            <w:tcW w:w="0" w:type="auto"/>
            <w:tcBorders>
              <w:top w:val="nil"/>
              <w:left w:val="nil"/>
              <w:bottom w:val="single" w:sz="4" w:space="0" w:color="AAAAAA"/>
              <w:right w:val="single" w:sz="4" w:space="0" w:color="AAAAAA"/>
            </w:tcBorders>
            <w:shd w:val="clear" w:color="D6E4F0" w:fill="D6E4F0"/>
          </w:tcPr>
          <w:p w14:paraId="3B50FB0A" w14:textId="77777777" w:rsidR="003A7791" w:rsidRPr="003A7791" w:rsidRDefault="003A7791" w:rsidP="007B3AB8">
            <w:pPr>
              <w:rPr>
                <w:rFonts w:ascii="Arial" w:hAnsi="Arial" w:cs="Arial"/>
                <w:sz w:val="24"/>
                <w:szCs w:val="24"/>
              </w:rPr>
            </w:pPr>
            <w:r w:rsidRPr="003A7791">
              <w:rPr>
                <w:rFonts w:ascii="Arial" w:hAnsi="Arial" w:cs="Arial"/>
                <w:sz w:val="24"/>
                <w:szCs w:val="24"/>
              </w:rPr>
              <w:t>To establish policy mechanisms to grow demand for low-carbon steel, cement and concrete in UK construction.</w:t>
            </w:r>
          </w:p>
        </w:tc>
        <w:tc>
          <w:tcPr>
            <w:tcW w:w="0" w:type="auto"/>
            <w:tcBorders>
              <w:top w:val="nil"/>
              <w:left w:val="nil"/>
              <w:bottom w:val="single" w:sz="4" w:space="0" w:color="AAAAAA"/>
              <w:right w:val="single" w:sz="4" w:space="0" w:color="AAAAAA"/>
            </w:tcBorders>
            <w:shd w:val="clear" w:color="D6E4F0" w:fill="D6E4F0"/>
          </w:tcPr>
          <w:p w14:paraId="2CBB91EA" w14:textId="77777777" w:rsidR="003A7791" w:rsidRPr="003A7791" w:rsidRDefault="003A7791" w:rsidP="007B3AB8">
            <w:pPr>
              <w:rPr>
                <w:rFonts w:ascii="Arial" w:hAnsi="Arial" w:cs="Arial"/>
                <w:sz w:val="24"/>
                <w:szCs w:val="24"/>
              </w:rPr>
            </w:pPr>
            <w:r w:rsidRPr="003A7791">
              <w:rPr>
                <w:rFonts w:ascii="Arial" w:hAnsi="Arial" w:cs="Arial"/>
                <w:sz w:val="24"/>
                <w:szCs w:val="24"/>
              </w:rPr>
              <w:t>Develop Embodied Emissions Reporting Framework (EERF); create green procurement guidance for public sector buyers.</w:t>
            </w:r>
          </w:p>
        </w:tc>
        <w:tc>
          <w:tcPr>
            <w:tcW w:w="0" w:type="auto"/>
            <w:tcBorders>
              <w:top w:val="nil"/>
              <w:left w:val="nil"/>
              <w:bottom w:val="single" w:sz="4" w:space="0" w:color="AAAAAA"/>
              <w:right w:val="single" w:sz="4" w:space="0" w:color="AAAAAA"/>
            </w:tcBorders>
            <w:shd w:val="clear" w:color="D6E4F0" w:fill="D6E4F0"/>
          </w:tcPr>
          <w:p w14:paraId="32D98B56" w14:textId="77777777" w:rsidR="003A7791" w:rsidRPr="003A7791" w:rsidRDefault="003A7791" w:rsidP="007B3AB8">
            <w:pPr>
              <w:rPr>
                <w:rFonts w:ascii="Arial" w:hAnsi="Arial" w:cs="Arial"/>
                <w:sz w:val="24"/>
                <w:szCs w:val="24"/>
              </w:rPr>
            </w:pPr>
            <w:r w:rsidRPr="003A7791">
              <w:rPr>
                <w:rFonts w:ascii="Arial" w:hAnsi="Arial" w:cs="Arial"/>
                <w:sz w:val="24"/>
                <w:szCs w:val="24"/>
              </w:rPr>
              <w:t>How can UK government use procurement policy to drive demand for low-carbon construction materials?</w:t>
            </w:r>
          </w:p>
        </w:tc>
        <w:tc>
          <w:tcPr>
            <w:tcW w:w="0" w:type="auto"/>
            <w:tcBorders>
              <w:top w:val="nil"/>
              <w:left w:val="nil"/>
              <w:bottom w:val="single" w:sz="4" w:space="0" w:color="AAAAAA"/>
              <w:right w:val="single" w:sz="4" w:space="0" w:color="AAAAAA"/>
            </w:tcBorders>
            <w:shd w:val="clear" w:color="D6E4F0" w:fill="D6E4F0"/>
          </w:tcPr>
          <w:p w14:paraId="5EC3271A" w14:textId="77777777" w:rsidR="003A7791" w:rsidRPr="003A7791" w:rsidRDefault="003A7791" w:rsidP="007B3AB8">
            <w:pPr>
              <w:rPr>
                <w:rFonts w:ascii="Arial" w:hAnsi="Arial" w:cs="Arial"/>
                <w:sz w:val="24"/>
                <w:szCs w:val="24"/>
              </w:rPr>
            </w:pPr>
            <w:r w:rsidRPr="003A7791">
              <w:rPr>
                <w:rFonts w:ascii="Arial" w:hAnsi="Arial" w:cs="Arial"/>
                <w:sz w:val="24"/>
                <w:szCs w:val="24"/>
              </w:rPr>
              <w:t>Government consultation; stakeholder engagement; policy design review.</w:t>
            </w:r>
          </w:p>
        </w:tc>
        <w:tc>
          <w:tcPr>
            <w:tcW w:w="0" w:type="auto"/>
            <w:tcBorders>
              <w:top w:val="nil"/>
              <w:left w:val="nil"/>
              <w:bottom w:val="single" w:sz="4" w:space="0" w:color="AAAAAA"/>
              <w:right w:val="single" w:sz="4" w:space="0" w:color="AAAAAA"/>
            </w:tcBorders>
            <w:shd w:val="clear" w:color="D6E4F0" w:fill="D6E4F0"/>
          </w:tcPr>
          <w:p w14:paraId="7FBFE782"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 developing mandatory embodied emissions reporting for steel and cement. Public procurement will require carbon intensity disclosure, directly altering procurement criteria for constru</w:t>
            </w:r>
            <w:r w:rsidRPr="003A7791">
              <w:rPr>
                <w:rFonts w:ascii="Arial" w:hAnsi="Arial" w:cs="Arial"/>
                <w:sz w:val="24"/>
                <w:szCs w:val="24"/>
              </w:rPr>
              <w:lastRenderedPageBreak/>
              <w:t>ction MNEs.</w:t>
            </w:r>
          </w:p>
        </w:tc>
      </w:tr>
      <w:tr w:rsidR="003A7791" w:rsidRPr="003A7791" w14:paraId="13DA9DF5"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FFF" w:fill="FFFFFF"/>
          </w:tcPr>
          <w:p w14:paraId="1CC5175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14</w:t>
            </w:r>
          </w:p>
        </w:tc>
        <w:tc>
          <w:tcPr>
            <w:tcW w:w="0" w:type="auto"/>
            <w:tcBorders>
              <w:top w:val="nil"/>
              <w:left w:val="nil"/>
              <w:bottom w:val="single" w:sz="4" w:space="0" w:color="AAAAAA"/>
              <w:right w:val="single" w:sz="4" w:space="0" w:color="AAAAAA"/>
            </w:tcBorders>
            <w:shd w:val="clear" w:color="FFFFFF" w:fill="FFFFFF"/>
          </w:tcPr>
          <w:p w14:paraId="501C1F65" w14:textId="77777777" w:rsidR="003A7791" w:rsidRPr="003A7791" w:rsidRDefault="003A7791" w:rsidP="007B3AB8">
            <w:pPr>
              <w:rPr>
                <w:rFonts w:ascii="Arial" w:hAnsi="Arial" w:cs="Arial"/>
                <w:sz w:val="24"/>
                <w:szCs w:val="24"/>
              </w:rPr>
            </w:pPr>
            <w:r w:rsidRPr="003A7791">
              <w:rPr>
                <w:rFonts w:ascii="Arial" w:hAnsi="Arial" w:cs="Arial"/>
                <w:sz w:val="24"/>
                <w:szCs w:val="24"/>
              </w:rPr>
              <w:t>Carbon Border Adjustment Mechanism: Policy Factsheet</w:t>
            </w:r>
          </w:p>
        </w:tc>
        <w:tc>
          <w:tcPr>
            <w:tcW w:w="0" w:type="auto"/>
            <w:tcBorders>
              <w:top w:val="nil"/>
              <w:left w:val="nil"/>
              <w:bottom w:val="single" w:sz="4" w:space="0" w:color="AAAAAA"/>
              <w:right w:val="single" w:sz="4" w:space="0" w:color="AAAAAA"/>
            </w:tcBorders>
            <w:shd w:val="clear" w:color="FFFFFF" w:fill="FFFFFF"/>
          </w:tcPr>
          <w:p w14:paraId="61ED4AEB"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 (HM Treasury / HMRC) — Official Policy Document</w:t>
            </w:r>
          </w:p>
        </w:tc>
        <w:tc>
          <w:tcPr>
            <w:tcW w:w="0" w:type="auto"/>
            <w:tcBorders>
              <w:top w:val="nil"/>
              <w:left w:val="nil"/>
              <w:bottom w:val="single" w:sz="4" w:space="0" w:color="AAAAAA"/>
              <w:right w:val="single" w:sz="4" w:space="0" w:color="AAAAAA"/>
            </w:tcBorders>
            <w:shd w:val="clear" w:color="FFFFFF" w:fill="FFFFFF"/>
          </w:tcPr>
          <w:p w14:paraId="6760026B"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w:t>
            </w:r>
          </w:p>
        </w:tc>
        <w:tc>
          <w:tcPr>
            <w:tcW w:w="0" w:type="auto"/>
            <w:tcBorders>
              <w:top w:val="nil"/>
              <w:left w:val="nil"/>
              <w:bottom w:val="single" w:sz="4" w:space="0" w:color="AAAAAA"/>
              <w:right w:val="single" w:sz="4" w:space="0" w:color="AAAAAA"/>
            </w:tcBorders>
            <w:shd w:val="clear" w:color="FFFFFF" w:fill="FFFFFF"/>
          </w:tcPr>
          <w:p w14:paraId="6949B60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2025</w:t>
            </w:r>
          </w:p>
        </w:tc>
        <w:tc>
          <w:tcPr>
            <w:tcW w:w="0" w:type="auto"/>
            <w:tcBorders>
              <w:top w:val="nil"/>
              <w:left w:val="nil"/>
              <w:bottom w:val="single" w:sz="4" w:space="0" w:color="AAAAAA"/>
              <w:right w:val="single" w:sz="4" w:space="0" w:color="AAAAAA"/>
            </w:tcBorders>
            <w:shd w:val="clear" w:color="FFFFFF" w:fill="FFFFFF"/>
          </w:tcPr>
          <w:p w14:paraId="4BD95814" w14:textId="77777777" w:rsidR="003A7791" w:rsidRPr="003A7791" w:rsidRDefault="003A7791" w:rsidP="007B3AB8">
            <w:pPr>
              <w:rPr>
                <w:rFonts w:ascii="Arial" w:hAnsi="Arial" w:cs="Arial"/>
                <w:sz w:val="24"/>
                <w:szCs w:val="24"/>
              </w:rPr>
            </w:pPr>
            <w:r w:rsidRPr="003A7791">
              <w:rPr>
                <w:rFonts w:ascii="Arial" w:hAnsi="Arial" w:cs="Arial"/>
                <w:sz w:val="24"/>
                <w:szCs w:val="24"/>
              </w:rPr>
              <w:t>To communicate the design, scope and implementation timeline of the UK CBAM from January 2027.</w:t>
            </w:r>
          </w:p>
        </w:tc>
        <w:tc>
          <w:tcPr>
            <w:tcW w:w="0" w:type="auto"/>
            <w:tcBorders>
              <w:top w:val="nil"/>
              <w:left w:val="nil"/>
              <w:bottom w:val="single" w:sz="4" w:space="0" w:color="AAAAAA"/>
              <w:right w:val="single" w:sz="4" w:space="0" w:color="AAAAAA"/>
            </w:tcBorders>
            <w:shd w:val="clear" w:color="FFFFFF" w:fill="FFFFFF"/>
          </w:tcPr>
          <w:p w14:paraId="6C14C4D0" w14:textId="77777777" w:rsidR="003A7791" w:rsidRPr="003A7791" w:rsidRDefault="003A7791" w:rsidP="007B3AB8">
            <w:pPr>
              <w:rPr>
                <w:rFonts w:ascii="Arial" w:hAnsi="Arial" w:cs="Arial"/>
                <w:sz w:val="24"/>
                <w:szCs w:val="24"/>
              </w:rPr>
            </w:pPr>
            <w:r w:rsidRPr="003A7791">
              <w:rPr>
                <w:rFonts w:ascii="Arial" w:hAnsi="Arial" w:cs="Arial"/>
                <w:sz w:val="24"/>
                <w:szCs w:val="24"/>
              </w:rPr>
              <w:t>Define product scope; explain carbon calculation methodology; clarify importer obligations.</w:t>
            </w:r>
          </w:p>
        </w:tc>
        <w:tc>
          <w:tcPr>
            <w:tcW w:w="0" w:type="auto"/>
            <w:tcBorders>
              <w:top w:val="nil"/>
              <w:left w:val="nil"/>
              <w:bottom w:val="single" w:sz="4" w:space="0" w:color="AAAAAA"/>
              <w:right w:val="single" w:sz="4" w:space="0" w:color="AAAAAA"/>
            </w:tcBorders>
            <w:shd w:val="clear" w:color="FFFFFF" w:fill="FFFFFF"/>
          </w:tcPr>
          <w:p w14:paraId="73CF5FB0" w14:textId="77777777" w:rsidR="003A7791" w:rsidRPr="003A7791" w:rsidRDefault="003A7791" w:rsidP="007B3AB8">
            <w:pPr>
              <w:rPr>
                <w:rFonts w:ascii="Arial" w:hAnsi="Arial" w:cs="Arial"/>
                <w:sz w:val="24"/>
                <w:szCs w:val="24"/>
              </w:rPr>
            </w:pPr>
            <w:r w:rsidRPr="003A7791">
              <w:rPr>
                <w:rFonts w:ascii="Arial" w:hAnsi="Arial" w:cs="Arial"/>
                <w:sz w:val="24"/>
                <w:szCs w:val="24"/>
              </w:rPr>
              <w:t>What materials does UK CBAM cover and what are the compliance requirements for importers from 2027?</w:t>
            </w:r>
          </w:p>
        </w:tc>
        <w:tc>
          <w:tcPr>
            <w:tcW w:w="0" w:type="auto"/>
            <w:tcBorders>
              <w:top w:val="nil"/>
              <w:left w:val="nil"/>
              <w:bottom w:val="single" w:sz="4" w:space="0" w:color="AAAAAA"/>
              <w:right w:val="single" w:sz="4" w:space="0" w:color="AAAAAA"/>
            </w:tcBorders>
            <w:shd w:val="clear" w:color="FFFFFF" w:fill="FFFFFF"/>
          </w:tcPr>
          <w:p w14:paraId="7596D427" w14:textId="77777777" w:rsidR="003A7791" w:rsidRPr="003A7791" w:rsidRDefault="003A7791" w:rsidP="007B3AB8">
            <w:pPr>
              <w:rPr>
                <w:rFonts w:ascii="Arial" w:hAnsi="Arial" w:cs="Arial"/>
                <w:sz w:val="24"/>
                <w:szCs w:val="24"/>
              </w:rPr>
            </w:pPr>
            <w:r w:rsidRPr="003A7791">
              <w:rPr>
                <w:rFonts w:ascii="Arial" w:hAnsi="Arial" w:cs="Arial"/>
                <w:sz w:val="24"/>
                <w:szCs w:val="24"/>
              </w:rPr>
              <w:t>Primary legislative and policy document; Finance Act 2025 analysis.</w:t>
            </w:r>
          </w:p>
        </w:tc>
        <w:tc>
          <w:tcPr>
            <w:tcW w:w="0" w:type="auto"/>
            <w:tcBorders>
              <w:top w:val="nil"/>
              <w:left w:val="nil"/>
              <w:bottom w:val="single" w:sz="4" w:space="0" w:color="AAAAAA"/>
              <w:right w:val="single" w:sz="4" w:space="0" w:color="AAAAAA"/>
            </w:tcBorders>
            <w:shd w:val="clear" w:color="FFFFFF" w:fill="FFFFFF"/>
          </w:tcPr>
          <w:p w14:paraId="3655C7B1" w14:textId="77777777" w:rsidR="003A7791" w:rsidRPr="003A7791" w:rsidRDefault="003A7791" w:rsidP="007B3AB8">
            <w:pPr>
              <w:rPr>
                <w:rFonts w:ascii="Arial" w:hAnsi="Arial" w:cs="Arial"/>
                <w:sz w:val="24"/>
                <w:szCs w:val="24"/>
              </w:rPr>
            </w:pPr>
            <w:r w:rsidRPr="003A7791">
              <w:rPr>
                <w:rFonts w:ascii="Arial" w:hAnsi="Arial" w:cs="Arial"/>
                <w:sz w:val="24"/>
                <w:szCs w:val="24"/>
              </w:rPr>
              <w:t>UK CBAM applies from 1 January 2027 to steel, aluminium, cement, fertilisers and hydrogen. Importers must purchase certificates linked to UK ETS carbon price. Directly raises cost of importing carbon-intensive construction materials.</w:t>
            </w:r>
          </w:p>
        </w:tc>
      </w:tr>
      <w:tr w:rsidR="003A7791" w:rsidRPr="003A7791" w14:paraId="6CCB13B6"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D6E4F0" w:fill="D6E4F0"/>
          </w:tcPr>
          <w:p w14:paraId="44EA6C83"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15</w:t>
            </w:r>
          </w:p>
        </w:tc>
        <w:tc>
          <w:tcPr>
            <w:tcW w:w="0" w:type="auto"/>
            <w:tcBorders>
              <w:top w:val="nil"/>
              <w:left w:val="nil"/>
              <w:bottom w:val="single" w:sz="4" w:space="0" w:color="AAAAAA"/>
              <w:right w:val="single" w:sz="4" w:space="0" w:color="AAAAAA"/>
            </w:tcBorders>
            <w:shd w:val="clear" w:color="D6E4F0" w:fill="D6E4F0"/>
          </w:tcPr>
          <w:p w14:paraId="7051B361"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Environmental Policy Stringency and Carbon Leakages: A Case for </w:t>
            </w:r>
            <w:r w:rsidRPr="003A7791">
              <w:rPr>
                <w:rFonts w:ascii="Arial" w:hAnsi="Arial" w:cs="Arial"/>
                <w:sz w:val="24"/>
                <w:szCs w:val="24"/>
              </w:rPr>
              <w:lastRenderedPageBreak/>
              <w:t>Carbon Border Adjustment in the EU</w:t>
            </w:r>
          </w:p>
        </w:tc>
        <w:tc>
          <w:tcPr>
            <w:tcW w:w="0" w:type="auto"/>
            <w:tcBorders>
              <w:top w:val="nil"/>
              <w:left w:val="nil"/>
              <w:bottom w:val="single" w:sz="4" w:space="0" w:color="AAAAAA"/>
              <w:right w:val="single" w:sz="4" w:space="0" w:color="AAAAAA"/>
            </w:tcBorders>
            <w:shd w:val="clear" w:color="D6E4F0" w:fill="D6E4F0"/>
          </w:tcPr>
          <w:p w14:paraId="095B8F9F"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Environment, Development and Sustainability (Springer)</w:t>
            </w:r>
          </w:p>
        </w:tc>
        <w:tc>
          <w:tcPr>
            <w:tcW w:w="0" w:type="auto"/>
            <w:tcBorders>
              <w:top w:val="nil"/>
              <w:left w:val="nil"/>
              <w:bottom w:val="single" w:sz="4" w:space="0" w:color="AAAAAA"/>
              <w:right w:val="single" w:sz="4" w:space="0" w:color="AAAAAA"/>
            </w:tcBorders>
            <w:shd w:val="clear" w:color="D6E4F0" w:fill="D6E4F0"/>
          </w:tcPr>
          <w:p w14:paraId="18A17226" w14:textId="77777777" w:rsidR="003A7791" w:rsidRPr="003A7791" w:rsidRDefault="003A7791" w:rsidP="007B3AB8">
            <w:pPr>
              <w:rPr>
                <w:rFonts w:ascii="Arial" w:hAnsi="Arial" w:cs="Arial"/>
                <w:sz w:val="24"/>
                <w:szCs w:val="24"/>
              </w:rPr>
            </w:pPr>
            <w:r w:rsidRPr="003A7791">
              <w:rPr>
                <w:rFonts w:ascii="Arial" w:hAnsi="Arial" w:cs="Arial"/>
                <w:sz w:val="24"/>
                <w:szCs w:val="24"/>
              </w:rPr>
              <w:t>Various (Springer, 2024)</w:t>
            </w:r>
          </w:p>
        </w:tc>
        <w:tc>
          <w:tcPr>
            <w:tcW w:w="0" w:type="auto"/>
            <w:tcBorders>
              <w:top w:val="nil"/>
              <w:left w:val="nil"/>
              <w:bottom w:val="single" w:sz="4" w:space="0" w:color="AAAAAA"/>
              <w:right w:val="single" w:sz="4" w:space="0" w:color="AAAAAA"/>
            </w:tcBorders>
            <w:shd w:val="clear" w:color="D6E4F0" w:fill="D6E4F0"/>
          </w:tcPr>
          <w:p w14:paraId="04A4D5CE"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2024</w:t>
            </w:r>
          </w:p>
        </w:tc>
        <w:tc>
          <w:tcPr>
            <w:tcW w:w="0" w:type="auto"/>
            <w:tcBorders>
              <w:top w:val="nil"/>
              <w:left w:val="nil"/>
              <w:bottom w:val="single" w:sz="4" w:space="0" w:color="AAAAAA"/>
              <w:right w:val="single" w:sz="4" w:space="0" w:color="AAAAAA"/>
            </w:tcBorders>
            <w:shd w:val="clear" w:color="D6E4F0" w:fill="D6E4F0"/>
          </w:tcPr>
          <w:p w14:paraId="42AAE394"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To empirically examine the relationship between environmental </w:t>
            </w:r>
            <w:r w:rsidRPr="003A7791">
              <w:rPr>
                <w:rFonts w:ascii="Arial" w:hAnsi="Arial" w:cs="Arial"/>
                <w:sz w:val="24"/>
                <w:szCs w:val="24"/>
              </w:rPr>
              <w:lastRenderedPageBreak/>
              <w:t>policy stringency and carbon leakage in the EU.</w:t>
            </w:r>
          </w:p>
        </w:tc>
        <w:tc>
          <w:tcPr>
            <w:tcW w:w="0" w:type="auto"/>
            <w:tcBorders>
              <w:top w:val="nil"/>
              <w:left w:val="nil"/>
              <w:bottom w:val="single" w:sz="4" w:space="0" w:color="AAAAAA"/>
              <w:right w:val="single" w:sz="4" w:space="0" w:color="AAAAAA"/>
            </w:tcBorders>
            <w:shd w:val="clear" w:color="D6E4F0" w:fill="D6E4F0"/>
          </w:tcPr>
          <w:p w14:paraId="30E970E5"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 xml:space="preserve">Model impact of policy stringency on carbon intensity of EU imports; </w:t>
            </w:r>
            <w:r w:rsidRPr="003A7791">
              <w:rPr>
                <w:rFonts w:ascii="Arial" w:hAnsi="Arial" w:cs="Arial"/>
                <w:sz w:val="24"/>
                <w:szCs w:val="24"/>
              </w:rPr>
              <w:lastRenderedPageBreak/>
              <w:t>test leakage hypotheses.</w:t>
            </w:r>
          </w:p>
        </w:tc>
        <w:tc>
          <w:tcPr>
            <w:tcW w:w="0" w:type="auto"/>
            <w:tcBorders>
              <w:top w:val="nil"/>
              <w:left w:val="nil"/>
              <w:bottom w:val="single" w:sz="4" w:space="0" w:color="AAAAAA"/>
              <w:right w:val="single" w:sz="4" w:space="0" w:color="AAAAAA"/>
            </w:tcBorders>
            <w:shd w:val="clear" w:color="D6E4F0" w:fill="D6E4F0"/>
          </w:tcPr>
          <w:p w14:paraId="069CC9A7"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 xml:space="preserve">Does stricter EU environmental policy cause carbon leakage? </w:t>
            </w:r>
            <w:r w:rsidRPr="003A7791">
              <w:rPr>
                <w:rFonts w:ascii="Arial" w:hAnsi="Arial" w:cs="Arial"/>
                <w:sz w:val="24"/>
                <w:szCs w:val="24"/>
              </w:rPr>
              <w:lastRenderedPageBreak/>
              <w:t>Does CBAM provide an effective corrective mechanism?</w:t>
            </w:r>
          </w:p>
        </w:tc>
        <w:tc>
          <w:tcPr>
            <w:tcW w:w="0" w:type="auto"/>
            <w:tcBorders>
              <w:top w:val="nil"/>
              <w:left w:val="nil"/>
              <w:bottom w:val="single" w:sz="4" w:space="0" w:color="AAAAAA"/>
              <w:right w:val="single" w:sz="4" w:space="0" w:color="AAAAAA"/>
            </w:tcBorders>
            <w:shd w:val="clear" w:color="D6E4F0" w:fill="D6E4F0"/>
          </w:tcPr>
          <w:p w14:paraId="47F0B195"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Econometric modelling; panel data analysis of 20 EU countri</w:t>
            </w:r>
            <w:r w:rsidRPr="003A7791">
              <w:rPr>
                <w:rFonts w:ascii="Arial" w:hAnsi="Arial" w:cs="Arial"/>
                <w:sz w:val="24"/>
                <w:szCs w:val="24"/>
              </w:rPr>
              <w:lastRenderedPageBreak/>
              <w:t>es (1995–2020); bias-adjusted OLS.</w:t>
            </w:r>
          </w:p>
        </w:tc>
        <w:tc>
          <w:tcPr>
            <w:tcW w:w="0" w:type="auto"/>
            <w:tcBorders>
              <w:top w:val="nil"/>
              <w:left w:val="nil"/>
              <w:bottom w:val="single" w:sz="4" w:space="0" w:color="AAAAAA"/>
              <w:right w:val="single" w:sz="4" w:space="0" w:color="AAAAAA"/>
            </w:tcBorders>
            <w:shd w:val="clear" w:color="D6E4F0" w:fill="D6E4F0"/>
          </w:tcPr>
          <w:p w14:paraId="77D97785"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 xml:space="preserve">Stricter EU policies cause greater carbon leakage by increasing the </w:t>
            </w:r>
            <w:r w:rsidRPr="003A7791">
              <w:rPr>
                <w:rFonts w:ascii="Arial" w:hAnsi="Arial" w:cs="Arial"/>
                <w:sz w:val="24"/>
                <w:szCs w:val="24"/>
              </w:rPr>
              <w:lastRenderedPageBreak/>
              <w:t>carbon intensity of imports. Provides empirical foundation for CBAM as necessary policy complement to EU/UK ETS.</w:t>
            </w:r>
          </w:p>
        </w:tc>
      </w:tr>
      <w:tr w:rsidR="003A7791" w:rsidRPr="003A7791" w14:paraId="244FBFC4"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2CC" w:fill="FFF2CC"/>
          </w:tcPr>
          <w:p w14:paraId="45C02A9F"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lastRenderedPageBreak/>
              <w:t>16</w:t>
            </w:r>
          </w:p>
        </w:tc>
        <w:tc>
          <w:tcPr>
            <w:tcW w:w="0" w:type="auto"/>
            <w:tcBorders>
              <w:top w:val="nil"/>
              <w:left w:val="nil"/>
              <w:bottom w:val="single" w:sz="4" w:space="0" w:color="AAAAAA"/>
              <w:right w:val="single" w:sz="4" w:space="0" w:color="AAAAAA"/>
            </w:tcBorders>
            <w:shd w:val="clear" w:color="FFF2CC" w:fill="FFF2CC"/>
          </w:tcPr>
          <w:p w14:paraId="782FF930"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The Potential Effects of the EU CBAM Along the Supply Chain</w:t>
            </w:r>
          </w:p>
        </w:tc>
        <w:tc>
          <w:tcPr>
            <w:tcW w:w="0" w:type="auto"/>
            <w:tcBorders>
              <w:top w:val="nil"/>
              <w:left w:val="nil"/>
              <w:bottom w:val="single" w:sz="4" w:space="0" w:color="AAAAAA"/>
              <w:right w:val="single" w:sz="4" w:space="0" w:color="AAAAAA"/>
            </w:tcBorders>
            <w:shd w:val="clear" w:color="FFF2CC" w:fill="FFF2CC"/>
          </w:tcPr>
          <w:p w14:paraId="6377A810"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OECD Science, Technology and Industry Working Paper</w:t>
            </w:r>
          </w:p>
        </w:tc>
        <w:tc>
          <w:tcPr>
            <w:tcW w:w="0" w:type="auto"/>
            <w:tcBorders>
              <w:top w:val="nil"/>
              <w:left w:val="nil"/>
              <w:bottom w:val="single" w:sz="4" w:space="0" w:color="AAAAAA"/>
              <w:right w:val="single" w:sz="4" w:space="0" w:color="AAAAAA"/>
            </w:tcBorders>
            <w:shd w:val="clear" w:color="FFF2CC" w:fill="FFF2CC"/>
          </w:tcPr>
          <w:p w14:paraId="007750F2" w14:textId="77777777" w:rsidR="003A7791" w:rsidRPr="003A7791" w:rsidRDefault="003A7791" w:rsidP="007B3AB8">
            <w:pPr>
              <w:rPr>
                <w:rFonts w:ascii="Arial" w:hAnsi="Arial" w:cs="Arial"/>
                <w:b/>
                <w:bCs/>
                <w:sz w:val="24"/>
                <w:szCs w:val="24"/>
              </w:rPr>
            </w:pPr>
            <w:proofErr w:type="spellStart"/>
            <w:r w:rsidRPr="003A7791">
              <w:rPr>
                <w:rFonts w:ascii="Arial" w:hAnsi="Arial" w:cs="Arial"/>
                <w:b/>
                <w:bCs/>
                <w:sz w:val="24"/>
                <w:szCs w:val="24"/>
              </w:rPr>
              <w:t>Dechezleprêtre</w:t>
            </w:r>
            <w:proofErr w:type="spellEnd"/>
            <w:r w:rsidRPr="003A7791">
              <w:rPr>
                <w:rFonts w:ascii="Arial" w:hAnsi="Arial" w:cs="Arial"/>
                <w:b/>
                <w:bCs/>
                <w:sz w:val="24"/>
                <w:szCs w:val="24"/>
              </w:rPr>
              <w:t>, A. et al. (OECD)</w:t>
            </w:r>
          </w:p>
        </w:tc>
        <w:tc>
          <w:tcPr>
            <w:tcW w:w="0" w:type="auto"/>
            <w:tcBorders>
              <w:top w:val="nil"/>
              <w:left w:val="nil"/>
              <w:bottom w:val="single" w:sz="4" w:space="0" w:color="AAAAAA"/>
              <w:right w:val="single" w:sz="4" w:space="0" w:color="AAAAAA"/>
            </w:tcBorders>
            <w:shd w:val="clear" w:color="FFF2CC" w:fill="FFF2CC"/>
          </w:tcPr>
          <w:p w14:paraId="7C69134D"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2025</w:t>
            </w:r>
          </w:p>
        </w:tc>
        <w:tc>
          <w:tcPr>
            <w:tcW w:w="0" w:type="auto"/>
            <w:tcBorders>
              <w:top w:val="nil"/>
              <w:left w:val="nil"/>
              <w:bottom w:val="single" w:sz="4" w:space="0" w:color="AAAAAA"/>
              <w:right w:val="single" w:sz="4" w:space="0" w:color="AAAAAA"/>
            </w:tcBorders>
            <w:shd w:val="clear" w:color="FFF2CC" w:fill="FFF2CC"/>
          </w:tcPr>
          <w:p w14:paraId="66166470"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To quantify the supply chain effects of the EU CBAM across directly targeted and upstream/downstream sectors.</w:t>
            </w:r>
          </w:p>
        </w:tc>
        <w:tc>
          <w:tcPr>
            <w:tcW w:w="0" w:type="auto"/>
            <w:tcBorders>
              <w:top w:val="nil"/>
              <w:left w:val="nil"/>
              <w:bottom w:val="single" w:sz="4" w:space="0" w:color="AAAAAA"/>
              <w:right w:val="single" w:sz="4" w:space="0" w:color="AAAAAA"/>
            </w:tcBorders>
            <w:shd w:val="clear" w:color="FFF2CC" w:fill="FFF2CC"/>
          </w:tcPr>
          <w:p w14:paraId="0417FE9F"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Measure CBAM coverage of 2022 trade flows; simulate value-added and emissions impacts of CBAM combined with EU ETS reform across supply chains.</w:t>
            </w:r>
          </w:p>
        </w:tc>
        <w:tc>
          <w:tcPr>
            <w:tcW w:w="0" w:type="auto"/>
            <w:tcBorders>
              <w:top w:val="nil"/>
              <w:left w:val="nil"/>
              <w:bottom w:val="single" w:sz="4" w:space="0" w:color="AAAAAA"/>
              <w:right w:val="single" w:sz="4" w:space="0" w:color="AAAAAA"/>
            </w:tcBorders>
            <w:shd w:val="clear" w:color="FFF2CC" w:fill="FFF2CC"/>
          </w:tcPr>
          <w:p w14:paraId="278FDCC0"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How will EU CBAM costs propagate through supply chains beyond directly targeted CBAM sectors? Who bears the financial burden?</w:t>
            </w:r>
          </w:p>
        </w:tc>
        <w:tc>
          <w:tcPr>
            <w:tcW w:w="0" w:type="auto"/>
            <w:tcBorders>
              <w:top w:val="nil"/>
              <w:left w:val="nil"/>
              <w:bottom w:val="single" w:sz="4" w:space="0" w:color="AAAAAA"/>
              <w:right w:val="single" w:sz="4" w:space="0" w:color="AAAAAA"/>
            </w:tcBorders>
            <w:shd w:val="clear" w:color="FFF2CC" w:fill="FFF2CC"/>
          </w:tcPr>
          <w:p w14:paraId="55147410"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Quantitative trade data analysis (UN Comtrade 2022); OECD ICIO tables; CGE simulation modelling.</w:t>
            </w:r>
          </w:p>
        </w:tc>
        <w:tc>
          <w:tcPr>
            <w:tcW w:w="0" w:type="auto"/>
            <w:tcBorders>
              <w:top w:val="nil"/>
              <w:left w:val="nil"/>
              <w:bottom w:val="single" w:sz="4" w:space="0" w:color="AAAAAA"/>
              <w:right w:val="single" w:sz="4" w:space="0" w:color="AAAAAA"/>
            </w:tcBorders>
            <w:shd w:val="clear" w:color="FFF2CC" w:fill="FFF2CC"/>
          </w:tcPr>
          <w:p w14:paraId="0CB55A24"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 xml:space="preserve">Iron and steel importers account for ~75% of early CBAM costs. EU CBAM would generate EUR 14.7 billion annually at 2024 ETS prices. Higher costs for CBAM-covered goods indirectly affect </w:t>
            </w:r>
            <w:r w:rsidRPr="003A7791">
              <w:rPr>
                <w:rFonts w:ascii="Arial" w:hAnsi="Arial" w:cs="Arial"/>
                <w:b/>
                <w:bCs/>
                <w:sz w:val="24"/>
                <w:szCs w:val="24"/>
              </w:rPr>
              <w:lastRenderedPageBreak/>
              <w:t>non-covered downstream sectors that rely on these goods as inputs — including construction MNEs.</w:t>
            </w:r>
          </w:p>
        </w:tc>
      </w:tr>
      <w:tr w:rsidR="003A7791" w:rsidRPr="003A7791" w14:paraId="5C7D1493"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2CC" w:fill="FFF2CC"/>
          </w:tcPr>
          <w:p w14:paraId="227C8DE2"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lastRenderedPageBreak/>
              <w:t>17</w:t>
            </w:r>
          </w:p>
        </w:tc>
        <w:tc>
          <w:tcPr>
            <w:tcW w:w="0" w:type="auto"/>
            <w:tcBorders>
              <w:top w:val="nil"/>
              <w:left w:val="nil"/>
              <w:bottom w:val="single" w:sz="4" w:space="0" w:color="AAAAAA"/>
              <w:right w:val="single" w:sz="4" w:space="0" w:color="AAAAAA"/>
            </w:tcBorders>
            <w:shd w:val="clear" w:color="FFF2CC" w:fill="FFF2CC"/>
          </w:tcPr>
          <w:p w14:paraId="1F5BDC1D"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The Impact of the EU's CBAM on Business and the Carbon-Pricing Landscape</w:t>
            </w:r>
          </w:p>
        </w:tc>
        <w:tc>
          <w:tcPr>
            <w:tcW w:w="0" w:type="auto"/>
            <w:tcBorders>
              <w:top w:val="nil"/>
              <w:left w:val="nil"/>
              <w:bottom w:val="single" w:sz="4" w:space="0" w:color="AAAAAA"/>
              <w:right w:val="single" w:sz="4" w:space="0" w:color="AAAAAA"/>
            </w:tcBorders>
            <w:shd w:val="clear" w:color="FFF2CC" w:fill="FFF2CC"/>
          </w:tcPr>
          <w:p w14:paraId="2218032D"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World Economic Forum / Climate Finance Asia (White Paper)</w:t>
            </w:r>
          </w:p>
        </w:tc>
        <w:tc>
          <w:tcPr>
            <w:tcW w:w="0" w:type="auto"/>
            <w:tcBorders>
              <w:top w:val="nil"/>
              <w:left w:val="nil"/>
              <w:bottom w:val="single" w:sz="4" w:space="0" w:color="AAAAAA"/>
              <w:right w:val="single" w:sz="4" w:space="0" w:color="AAAAAA"/>
            </w:tcBorders>
            <w:shd w:val="clear" w:color="FFF2CC" w:fill="FFF2CC"/>
          </w:tcPr>
          <w:p w14:paraId="0E3EA97F"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World Economic Forum</w:t>
            </w:r>
          </w:p>
        </w:tc>
        <w:tc>
          <w:tcPr>
            <w:tcW w:w="0" w:type="auto"/>
            <w:tcBorders>
              <w:top w:val="nil"/>
              <w:left w:val="nil"/>
              <w:bottom w:val="single" w:sz="4" w:space="0" w:color="AAAAAA"/>
              <w:right w:val="single" w:sz="4" w:space="0" w:color="AAAAAA"/>
            </w:tcBorders>
            <w:shd w:val="clear" w:color="FFF2CC" w:fill="FFF2CC"/>
          </w:tcPr>
          <w:p w14:paraId="14F91FF1"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2025</w:t>
            </w:r>
          </w:p>
        </w:tc>
        <w:tc>
          <w:tcPr>
            <w:tcW w:w="0" w:type="auto"/>
            <w:tcBorders>
              <w:top w:val="nil"/>
              <w:left w:val="nil"/>
              <w:bottom w:val="single" w:sz="4" w:space="0" w:color="AAAAAA"/>
              <w:right w:val="single" w:sz="4" w:space="0" w:color="AAAAAA"/>
            </w:tcBorders>
            <w:shd w:val="clear" w:color="FFF2CC" w:fill="FFF2CC"/>
          </w:tcPr>
          <w:p w14:paraId="344B19DF"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To examine how the EU CBAM is transforming global business strategy, supply chain design and carbon management practices.</w:t>
            </w:r>
          </w:p>
        </w:tc>
        <w:tc>
          <w:tcPr>
            <w:tcW w:w="0" w:type="auto"/>
            <w:tcBorders>
              <w:top w:val="nil"/>
              <w:left w:val="nil"/>
              <w:bottom w:val="single" w:sz="4" w:space="0" w:color="AAAAAA"/>
              <w:right w:val="single" w:sz="4" w:space="0" w:color="AAAAAA"/>
            </w:tcBorders>
            <w:shd w:val="clear" w:color="FFF2CC" w:fill="FFF2CC"/>
          </w:tcPr>
          <w:p w14:paraId="402C5821"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Analyse strategic responses of firms in high-emission export sectors to CBAM; develop recommendations for leveraging CBAM as a competitive opportunity.</w:t>
            </w:r>
          </w:p>
        </w:tc>
        <w:tc>
          <w:tcPr>
            <w:tcW w:w="0" w:type="auto"/>
            <w:tcBorders>
              <w:top w:val="nil"/>
              <w:left w:val="nil"/>
              <w:bottom w:val="single" w:sz="4" w:space="0" w:color="AAAAAA"/>
              <w:right w:val="single" w:sz="4" w:space="0" w:color="AAAAAA"/>
            </w:tcBorders>
            <w:shd w:val="clear" w:color="FFF2CC" w:fill="FFF2CC"/>
          </w:tcPr>
          <w:p w14:paraId="003DB4D9"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How should firms in carbon-intensive sectors reposition their strategy in response to CBAM implementation and the broader proliferation of border carbon adjustments?</w:t>
            </w:r>
          </w:p>
        </w:tc>
        <w:tc>
          <w:tcPr>
            <w:tcW w:w="0" w:type="auto"/>
            <w:tcBorders>
              <w:top w:val="nil"/>
              <w:left w:val="nil"/>
              <w:bottom w:val="single" w:sz="4" w:space="0" w:color="AAAAAA"/>
              <w:right w:val="single" w:sz="4" w:space="0" w:color="AAAAAA"/>
            </w:tcBorders>
            <w:shd w:val="clear" w:color="FFF2CC" w:fill="FFF2CC"/>
          </w:tcPr>
          <w:p w14:paraId="5A4F878D"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Qualitative analysis of leading company strategies in emerging economies; scenario planning; strategic framework development.</w:t>
            </w:r>
          </w:p>
        </w:tc>
        <w:tc>
          <w:tcPr>
            <w:tcW w:w="0" w:type="auto"/>
            <w:tcBorders>
              <w:top w:val="nil"/>
              <w:left w:val="nil"/>
              <w:bottom w:val="single" w:sz="4" w:space="0" w:color="AAAAAA"/>
              <w:right w:val="single" w:sz="4" w:space="0" w:color="AAAAAA"/>
            </w:tcBorders>
            <w:shd w:val="clear" w:color="FFF2CC" w:fill="FFF2CC"/>
          </w:tcPr>
          <w:p w14:paraId="38101832"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CBAM is transforming procurement and supply chain strategy globally. Firms that embed carbon governance, credible MRV data systems and long-term decarbonisation plans gain competitive advantage. Short-</w:t>
            </w:r>
            <w:r w:rsidRPr="003A7791">
              <w:rPr>
                <w:rFonts w:ascii="Arial" w:hAnsi="Arial" w:cs="Arial"/>
                <w:b/>
                <w:bCs/>
                <w:sz w:val="24"/>
                <w:szCs w:val="24"/>
              </w:rPr>
              <w:lastRenderedPageBreak/>
              <w:t>term (1–3 years): scenario planning and internal carbon pricing. Medium-term: supply chain redesign toward low-carbon suppliers. The proliferation of CBAMs beyond the EU (UK, Canada, Australia) makes proactive adaptation essential.</w:t>
            </w:r>
          </w:p>
        </w:tc>
      </w:tr>
      <w:tr w:rsidR="003A7791" w:rsidRPr="003A7791" w14:paraId="7C3BC6D8"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2CC" w:fill="FFF2CC"/>
          </w:tcPr>
          <w:p w14:paraId="458B2025"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lastRenderedPageBreak/>
              <w:t>18</w:t>
            </w:r>
          </w:p>
        </w:tc>
        <w:tc>
          <w:tcPr>
            <w:tcW w:w="0" w:type="auto"/>
            <w:tcBorders>
              <w:top w:val="nil"/>
              <w:left w:val="nil"/>
              <w:bottom w:val="single" w:sz="4" w:space="0" w:color="AAAAAA"/>
              <w:right w:val="single" w:sz="4" w:space="0" w:color="AAAAAA"/>
            </w:tcBorders>
            <w:shd w:val="clear" w:color="FFF2CC" w:fill="FFF2CC"/>
          </w:tcPr>
          <w:p w14:paraId="055D15FE"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 xml:space="preserve">Designing and Implementing Procurement Requirements for Carbon </w:t>
            </w:r>
            <w:r w:rsidRPr="003A7791">
              <w:rPr>
                <w:rFonts w:ascii="Arial" w:hAnsi="Arial" w:cs="Arial"/>
                <w:b/>
                <w:bCs/>
                <w:sz w:val="24"/>
                <w:szCs w:val="24"/>
              </w:rPr>
              <w:lastRenderedPageBreak/>
              <w:t>Reduction in Infrastructure Construction</w:t>
            </w:r>
          </w:p>
        </w:tc>
        <w:tc>
          <w:tcPr>
            <w:tcW w:w="0" w:type="auto"/>
            <w:tcBorders>
              <w:top w:val="nil"/>
              <w:left w:val="nil"/>
              <w:bottom w:val="single" w:sz="4" w:space="0" w:color="AAAAAA"/>
              <w:right w:val="single" w:sz="4" w:space="0" w:color="AAAAAA"/>
            </w:tcBorders>
            <w:shd w:val="clear" w:color="FFF2CC" w:fill="FFF2CC"/>
          </w:tcPr>
          <w:p w14:paraId="5F216FFD"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lastRenderedPageBreak/>
              <w:t>Journal of Environmental Planning and Manageme</w:t>
            </w:r>
            <w:r w:rsidRPr="003A7791">
              <w:rPr>
                <w:rFonts w:ascii="Arial" w:hAnsi="Arial" w:cs="Arial"/>
                <w:b/>
                <w:bCs/>
                <w:sz w:val="24"/>
                <w:szCs w:val="24"/>
              </w:rPr>
              <w:lastRenderedPageBreak/>
              <w:t>nt (Taylor &amp; Francis)</w:t>
            </w:r>
          </w:p>
        </w:tc>
        <w:tc>
          <w:tcPr>
            <w:tcW w:w="0" w:type="auto"/>
            <w:tcBorders>
              <w:top w:val="nil"/>
              <w:left w:val="nil"/>
              <w:bottom w:val="single" w:sz="4" w:space="0" w:color="AAAAAA"/>
              <w:right w:val="single" w:sz="4" w:space="0" w:color="AAAAAA"/>
            </w:tcBorders>
            <w:shd w:val="clear" w:color="FFF2CC" w:fill="FFF2CC"/>
          </w:tcPr>
          <w:p w14:paraId="20D21806" w14:textId="77777777" w:rsidR="003A7791" w:rsidRPr="003A7791" w:rsidRDefault="003A7791" w:rsidP="007B3AB8">
            <w:pPr>
              <w:rPr>
                <w:rFonts w:ascii="Arial" w:hAnsi="Arial" w:cs="Arial"/>
                <w:b/>
                <w:bCs/>
                <w:sz w:val="24"/>
                <w:szCs w:val="24"/>
              </w:rPr>
            </w:pPr>
            <w:proofErr w:type="spellStart"/>
            <w:r w:rsidRPr="003A7791">
              <w:rPr>
                <w:rFonts w:ascii="Arial" w:hAnsi="Arial" w:cs="Arial"/>
                <w:b/>
                <w:bCs/>
                <w:sz w:val="24"/>
                <w:szCs w:val="24"/>
                <w:lang w:val="en-US"/>
              </w:rPr>
              <w:lastRenderedPageBreak/>
              <w:t>Kadefors</w:t>
            </w:r>
            <w:proofErr w:type="spellEnd"/>
            <w:r w:rsidRPr="003A7791">
              <w:rPr>
                <w:rFonts w:ascii="Arial" w:hAnsi="Arial" w:cs="Arial"/>
                <w:b/>
                <w:bCs/>
                <w:sz w:val="24"/>
                <w:szCs w:val="24"/>
              </w:rPr>
              <w:t>, A. et al.</w:t>
            </w:r>
          </w:p>
        </w:tc>
        <w:tc>
          <w:tcPr>
            <w:tcW w:w="0" w:type="auto"/>
            <w:tcBorders>
              <w:top w:val="nil"/>
              <w:left w:val="nil"/>
              <w:bottom w:val="single" w:sz="4" w:space="0" w:color="AAAAAA"/>
              <w:right w:val="single" w:sz="4" w:space="0" w:color="AAAAAA"/>
            </w:tcBorders>
            <w:shd w:val="clear" w:color="FFF2CC" w:fill="FFF2CC"/>
          </w:tcPr>
          <w:p w14:paraId="36F07339"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2021</w:t>
            </w:r>
          </w:p>
        </w:tc>
        <w:tc>
          <w:tcPr>
            <w:tcW w:w="0" w:type="auto"/>
            <w:tcBorders>
              <w:top w:val="nil"/>
              <w:left w:val="nil"/>
              <w:bottom w:val="single" w:sz="4" w:space="0" w:color="AAAAAA"/>
              <w:right w:val="single" w:sz="4" w:space="0" w:color="AAAAAA"/>
            </w:tcBorders>
            <w:shd w:val="clear" w:color="FFF2CC" w:fill="FFF2CC"/>
          </w:tcPr>
          <w:p w14:paraId="418131C4"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To provide an international overview of how procurement requirem</w:t>
            </w:r>
            <w:r w:rsidRPr="003A7791">
              <w:rPr>
                <w:rFonts w:ascii="Arial" w:hAnsi="Arial" w:cs="Arial"/>
                <w:b/>
                <w:bCs/>
                <w:sz w:val="24"/>
                <w:szCs w:val="24"/>
              </w:rPr>
              <w:lastRenderedPageBreak/>
              <w:t>ents can be used to drive carbon reduction in infrastructure construction.</w:t>
            </w:r>
          </w:p>
        </w:tc>
        <w:tc>
          <w:tcPr>
            <w:tcW w:w="0" w:type="auto"/>
            <w:tcBorders>
              <w:top w:val="nil"/>
              <w:left w:val="nil"/>
              <w:bottom w:val="single" w:sz="4" w:space="0" w:color="AAAAAA"/>
              <w:right w:val="single" w:sz="4" w:space="0" w:color="AAAAAA"/>
            </w:tcBorders>
            <w:shd w:val="clear" w:color="FFF2CC" w:fill="FFF2CC"/>
          </w:tcPr>
          <w:p w14:paraId="145F00CD"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lastRenderedPageBreak/>
              <w:t xml:space="preserve">Review international approaches to embedding carbon reduction in </w:t>
            </w:r>
            <w:r w:rsidRPr="003A7791">
              <w:rPr>
                <w:rFonts w:ascii="Arial" w:hAnsi="Arial" w:cs="Arial"/>
                <w:b/>
                <w:bCs/>
                <w:sz w:val="24"/>
                <w:szCs w:val="24"/>
              </w:rPr>
              <w:lastRenderedPageBreak/>
              <w:t>infrastructure procurement; assess effectiveness of different models including performance-based and specification-based approaches.</w:t>
            </w:r>
          </w:p>
        </w:tc>
        <w:tc>
          <w:tcPr>
            <w:tcW w:w="0" w:type="auto"/>
            <w:tcBorders>
              <w:top w:val="nil"/>
              <w:left w:val="nil"/>
              <w:bottom w:val="single" w:sz="4" w:space="0" w:color="AAAAAA"/>
              <w:right w:val="single" w:sz="4" w:space="0" w:color="AAAAAA"/>
            </w:tcBorders>
            <w:shd w:val="clear" w:color="FFF2CC" w:fill="FFF2CC"/>
          </w:tcPr>
          <w:p w14:paraId="1BAE6EB9"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lastRenderedPageBreak/>
              <w:t xml:space="preserve">How can procurement requirements effectively reduce </w:t>
            </w:r>
            <w:r w:rsidRPr="003A7791">
              <w:rPr>
                <w:rFonts w:ascii="Arial" w:hAnsi="Arial" w:cs="Arial"/>
                <w:b/>
                <w:bCs/>
                <w:sz w:val="24"/>
                <w:szCs w:val="24"/>
              </w:rPr>
              <w:lastRenderedPageBreak/>
              <w:t>embodied carbon in infrastructure construction materials, and what international models provide best practice?</w:t>
            </w:r>
          </w:p>
        </w:tc>
        <w:tc>
          <w:tcPr>
            <w:tcW w:w="0" w:type="auto"/>
            <w:tcBorders>
              <w:top w:val="nil"/>
              <w:left w:val="nil"/>
              <w:bottom w:val="single" w:sz="4" w:space="0" w:color="AAAAAA"/>
              <w:right w:val="single" w:sz="4" w:space="0" w:color="AAAAAA"/>
            </w:tcBorders>
            <w:shd w:val="clear" w:color="FFF2CC" w:fill="FFF2CC"/>
          </w:tcPr>
          <w:p w14:paraId="0DDA762B"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lastRenderedPageBreak/>
              <w:t xml:space="preserve">Qualitative comparative analysis of procurement </w:t>
            </w:r>
            <w:r w:rsidRPr="003A7791">
              <w:rPr>
                <w:rFonts w:ascii="Arial" w:hAnsi="Arial" w:cs="Arial"/>
                <w:b/>
                <w:bCs/>
                <w:sz w:val="24"/>
                <w:szCs w:val="24"/>
              </w:rPr>
              <w:lastRenderedPageBreak/>
              <w:t>policies across Sweden, Norway, Netherlands and UK; case study methodology.</w:t>
            </w:r>
          </w:p>
        </w:tc>
        <w:tc>
          <w:tcPr>
            <w:tcW w:w="0" w:type="auto"/>
            <w:tcBorders>
              <w:top w:val="nil"/>
              <w:left w:val="nil"/>
              <w:bottom w:val="single" w:sz="4" w:space="0" w:color="AAAAAA"/>
              <w:right w:val="single" w:sz="4" w:space="0" w:color="AAAAAA"/>
            </w:tcBorders>
            <w:shd w:val="clear" w:color="FFF2CC" w:fill="FFF2CC"/>
          </w:tcPr>
          <w:p w14:paraId="10F403A0"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lastRenderedPageBreak/>
              <w:t xml:space="preserve">Sweden's infrastructure carbon procurement requirements (15% </w:t>
            </w:r>
            <w:r w:rsidRPr="003A7791">
              <w:rPr>
                <w:rFonts w:ascii="Arial" w:hAnsi="Arial" w:cs="Arial"/>
                <w:b/>
                <w:bCs/>
                <w:sz w:val="24"/>
                <w:szCs w:val="24"/>
              </w:rPr>
              <w:lastRenderedPageBreak/>
              <w:t xml:space="preserve">reduction 2020–2024, 30% by 2025–2030) provide a leading model. Performance-based procurement frameworks that allow contractors to choose the most cost-effective reduction methods are most effective. UK infrastructure procurement is evolving toward similar requirements, accelerated by CBAM and embodied carbon </w:t>
            </w:r>
            <w:r w:rsidRPr="003A7791">
              <w:rPr>
                <w:rFonts w:ascii="Arial" w:hAnsi="Arial" w:cs="Arial"/>
                <w:b/>
                <w:bCs/>
                <w:sz w:val="24"/>
                <w:szCs w:val="24"/>
              </w:rPr>
              <w:lastRenderedPageBreak/>
              <w:t>reporting obligations.</w:t>
            </w:r>
          </w:p>
        </w:tc>
      </w:tr>
      <w:tr w:rsidR="003A7791" w:rsidRPr="003A7791" w14:paraId="1F17EA7F" w14:textId="77777777" w:rsidTr="003A7791">
        <w:trPr>
          <w:trHeight w:val="1701"/>
          <w:jc w:val="center"/>
        </w:trPr>
        <w:tc>
          <w:tcPr>
            <w:tcW w:w="0" w:type="auto"/>
            <w:tcBorders>
              <w:top w:val="nil"/>
              <w:left w:val="single" w:sz="4" w:space="0" w:color="AAAAAA"/>
              <w:bottom w:val="single" w:sz="4" w:space="0" w:color="AAAAAA"/>
              <w:right w:val="single" w:sz="4" w:space="0" w:color="AAAAAA"/>
            </w:tcBorders>
            <w:shd w:val="clear" w:color="FFF2CC" w:fill="FFF2CC"/>
          </w:tcPr>
          <w:p w14:paraId="1C4855BD"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lastRenderedPageBreak/>
              <w:t>19</w:t>
            </w:r>
          </w:p>
        </w:tc>
        <w:tc>
          <w:tcPr>
            <w:tcW w:w="0" w:type="auto"/>
            <w:tcBorders>
              <w:top w:val="nil"/>
              <w:left w:val="nil"/>
              <w:bottom w:val="single" w:sz="4" w:space="0" w:color="AAAAAA"/>
              <w:right w:val="single" w:sz="4" w:space="0" w:color="AAAAAA"/>
            </w:tcBorders>
            <w:shd w:val="clear" w:color="FFF2CC" w:fill="FFF2CC"/>
          </w:tcPr>
          <w:p w14:paraId="1E0E0483"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What Drives Embodied Carbon Policy? A Global Perspective on Adoption</w:t>
            </w:r>
          </w:p>
        </w:tc>
        <w:tc>
          <w:tcPr>
            <w:tcW w:w="0" w:type="auto"/>
            <w:tcBorders>
              <w:top w:val="nil"/>
              <w:left w:val="nil"/>
              <w:bottom w:val="single" w:sz="4" w:space="0" w:color="AAAAAA"/>
              <w:right w:val="single" w:sz="4" w:space="0" w:color="AAAAAA"/>
            </w:tcBorders>
            <w:shd w:val="clear" w:color="FFF2CC" w:fill="FFF2CC"/>
          </w:tcPr>
          <w:p w14:paraId="1ACFC8B2"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Environment, Development and Sustainability (Springer)</w:t>
            </w:r>
          </w:p>
        </w:tc>
        <w:tc>
          <w:tcPr>
            <w:tcW w:w="0" w:type="auto"/>
            <w:tcBorders>
              <w:top w:val="nil"/>
              <w:left w:val="nil"/>
              <w:bottom w:val="single" w:sz="4" w:space="0" w:color="AAAAAA"/>
              <w:right w:val="single" w:sz="4" w:space="0" w:color="AAAAAA"/>
            </w:tcBorders>
            <w:shd w:val="clear" w:color="FFF2CC" w:fill="FFF2CC"/>
          </w:tcPr>
          <w:p w14:paraId="3053037F"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Various (Springer, 2025)</w:t>
            </w:r>
          </w:p>
        </w:tc>
        <w:tc>
          <w:tcPr>
            <w:tcW w:w="0" w:type="auto"/>
            <w:tcBorders>
              <w:top w:val="nil"/>
              <w:left w:val="nil"/>
              <w:bottom w:val="single" w:sz="4" w:space="0" w:color="AAAAAA"/>
              <w:right w:val="single" w:sz="4" w:space="0" w:color="AAAAAA"/>
            </w:tcBorders>
            <w:shd w:val="clear" w:color="FFF2CC" w:fill="FFF2CC"/>
          </w:tcPr>
          <w:p w14:paraId="7BB9E6C4"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2025</w:t>
            </w:r>
          </w:p>
        </w:tc>
        <w:tc>
          <w:tcPr>
            <w:tcW w:w="0" w:type="auto"/>
            <w:tcBorders>
              <w:top w:val="nil"/>
              <w:left w:val="nil"/>
              <w:bottom w:val="single" w:sz="4" w:space="0" w:color="AAAAAA"/>
              <w:right w:val="single" w:sz="4" w:space="0" w:color="AAAAAA"/>
            </w:tcBorders>
            <w:shd w:val="clear" w:color="FFF2CC" w:fill="FFF2CC"/>
          </w:tcPr>
          <w:p w14:paraId="25D6DFEC"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To identify the key drivers of embodied carbon policy adoption across 37 countries, and to model the relationship between trade, institutional capacity, climate vulnerability, and policy uptake.</w:t>
            </w:r>
          </w:p>
        </w:tc>
        <w:tc>
          <w:tcPr>
            <w:tcW w:w="0" w:type="auto"/>
            <w:tcBorders>
              <w:top w:val="nil"/>
              <w:left w:val="nil"/>
              <w:bottom w:val="single" w:sz="4" w:space="0" w:color="AAAAAA"/>
              <w:right w:val="single" w:sz="4" w:space="0" w:color="AAAAAA"/>
            </w:tcBorders>
            <w:shd w:val="clear" w:color="FFF2CC" w:fill="FFF2CC"/>
          </w:tcPr>
          <w:p w14:paraId="3F5917CF"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Test ten hypotheses on the factors influencing embodied carbon policy adoption; identify the role of trade dependencies and economic competitiveness in shaping national strategies.</w:t>
            </w:r>
          </w:p>
        </w:tc>
        <w:tc>
          <w:tcPr>
            <w:tcW w:w="0" w:type="auto"/>
            <w:tcBorders>
              <w:top w:val="nil"/>
              <w:left w:val="nil"/>
              <w:bottom w:val="single" w:sz="4" w:space="0" w:color="AAAAAA"/>
              <w:right w:val="single" w:sz="4" w:space="0" w:color="AAAAAA"/>
            </w:tcBorders>
            <w:shd w:val="clear" w:color="FFF2CC" w:fill="FFF2CC"/>
          </w:tcPr>
          <w:p w14:paraId="57F32715"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What drives countries to adopt embodied carbon policies for construction materials, and how do trade relationships and CBAM-type mechanisms accelerate adoption?</w:t>
            </w:r>
          </w:p>
        </w:tc>
        <w:tc>
          <w:tcPr>
            <w:tcW w:w="0" w:type="auto"/>
            <w:tcBorders>
              <w:top w:val="nil"/>
              <w:left w:val="nil"/>
              <w:bottom w:val="single" w:sz="4" w:space="0" w:color="AAAAAA"/>
              <w:right w:val="single" w:sz="4" w:space="0" w:color="AAAAAA"/>
            </w:tcBorders>
            <w:shd w:val="clear" w:color="FFF2CC" w:fill="FFF2CC"/>
          </w:tcPr>
          <w:p w14:paraId="262F2407"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Structural equation modelling (SEM); dataset of 37 countries; robustness testing.</w:t>
            </w:r>
          </w:p>
        </w:tc>
        <w:tc>
          <w:tcPr>
            <w:tcW w:w="0" w:type="auto"/>
            <w:tcBorders>
              <w:top w:val="nil"/>
              <w:left w:val="nil"/>
              <w:bottom w:val="single" w:sz="4" w:space="0" w:color="AAAAAA"/>
              <w:right w:val="single" w:sz="4" w:space="0" w:color="AAAAAA"/>
            </w:tcBorders>
            <w:shd w:val="clear" w:color="FFF2CC" w:fill="FFF2CC"/>
          </w:tcPr>
          <w:p w14:paraId="7985DA62"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 xml:space="preserve">Countries with high climate vulnerability and strong institutional frameworks are most likely to adopt embodied carbon policies. Trade dependencies and economic competitiveness are critical secondary drivers — suggesting that UK CBAM will accelerate embodied carbon </w:t>
            </w:r>
            <w:r w:rsidRPr="003A7791">
              <w:rPr>
                <w:rFonts w:ascii="Arial" w:hAnsi="Arial" w:cs="Arial"/>
                <w:b/>
                <w:bCs/>
                <w:sz w:val="24"/>
                <w:szCs w:val="24"/>
              </w:rPr>
              <w:lastRenderedPageBreak/>
              <w:t>policy adoption among UK trading partners. Sweden's carbon tax has delivered a 38% emissions reduction while GDP grew 122%, demonstrating the economic viability of carbon pricing in construction contexts.</w:t>
            </w:r>
          </w:p>
        </w:tc>
      </w:tr>
      <w:tr w:rsidR="003A7791" w:rsidRPr="003A7791" w14:paraId="4725BD66" w14:textId="77777777" w:rsidTr="003A7791">
        <w:trPr>
          <w:trHeight w:val="1701"/>
          <w:jc w:val="center"/>
        </w:trPr>
        <w:tc>
          <w:tcPr>
            <w:tcW w:w="0" w:type="auto"/>
            <w:tcBorders>
              <w:top w:val="single" w:sz="4" w:space="0" w:color="CCCCCC"/>
              <w:left w:val="single" w:sz="4" w:space="0" w:color="CCCCCC"/>
              <w:bottom w:val="single" w:sz="4" w:space="0" w:color="CCCCCC"/>
              <w:right w:val="single" w:sz="4" w:space="0" w:color="CCCCCC"/>
            </w:tcBorders>
            <w:shd w:val="clear" w:color="D6E4F0" w:fill="D6E4F0"/>
          </w:tcPr>
          <w:p w14:paraId="738BDE94"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21</w:t>
            </w:r>
          </w:p>
        </w:tc>
        <w:tc>
          <w:tcPr>
            <w:tcW w:w="0" w:type="auto"/>
            <w:tcBorders>
              <w:top w:val="single" w:sz="4" w:space="0" w:color="CCCCCC"/>
              <w:left w:val="nil"/>
              <w:bottom w:val="single" w:sz="4" w:space="0" w:color="CCCCCC"/>
              <w:right w:val="single" w:sz="4" w:space="0" w:color="CCCCCC"/>
            </w:tcBorders>
            <w:shd w:val="clear" w:color="D6E4F0" w:fill="D6E4F0"/>
          </w:tcPr>
          <w:p w14:paraId="57E6C8C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Exploring the Challenges Impeding Construction Process Carbon Reduction in the UK</w:t>
            </w:r>
          </w:p>
        </w:tc>
        <w:tc>
          <w:tcPr>
            <w:tcW w:w="0" w:type="auto"/>
            <w:tcBorders>
              <w:top w:val="single" w:sz="4" w:space="0" w:color="CCCCCC"/>
              <w:left w:val="nil"/>
              <w:bottom w:val="single" w:sz="4" w:space="0" w:color="CCCCCC"/>
              <w:right w:val="single" w:sz="4" w:space="0" w:color="CCCCCC"/>
            </w:tcBorders>
            <w:shd w:val="clear" w:color="D6E4F0" w:fill="D6E4F0"/>
          </w:tcPr>
          <w:p w14:paraId="4BB2562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International Journal of Construction Management</w:t>
            </w:r>
          </w:p>
        </w:tc>
        <w:tc>
          <w:tcPr>
            <w:tcW w:w="0" w:type="auto"/>
            <w:tcBorders>
              <w:top w:val="single" w:sz="4" w:space="0" w:color="CCCCCC"/>
              <w:left w:val="nil"/>
              <w:bottom w:val="single" w:sz="4" w:space="0" w:color="CCCCCC"/>
              <w:right w:val="single" w:sz="4" w:space="0" w:color="CCCCCC"/>
            </w:tcBorders>
            <w:shd w:val="clear" w:color="D6E4F0" w:fill="D6E4F0"/>
          </w:tcPr>
          <w:p w14:paraId="13A130A1" w14:textId="77777777" w:rsidR="003A7791" w:rsidRPr="003A7791" w:rsidRDefault="003A7791" w:rsidP="007B3AB8">
            <w:pPr>
              <w:rPr>
                <w:rFonts w:ascii="Arial" w:hAnsi="Arial" w:cs="Arial"/>
                <w:color w:val="000000"/>
                <w:sz w:val="24"/>
                <w:szCs w:val="24"/>
              </w:rPr>
            </w:pPr>
            <w:proofErr w:type="spellStart"/>
            <w:r w:rsidRPr="003A7791">
              <w:rPr>
                <w:rFonts w:ascii="Arial" w:eastAsia="SimSun" w:hAnsi="Arial" w:cs="Arial"/>
                <w:color w:val="222222"/>
                <w:sz w:val="24"/>
                <w:szCs w:val="24"/>
                <w:shd w:val="clear" w:color="auto" w:fill="FFFFFF"/>
              </w:rPr>
              <w:t>Arogundade</w:t>
            </w:r>
            <w:proofErr w:type="spellEnd"/>
            <w:r w:rsidRPr="003A7791">
              <w:rPr>
                <w:rFonts w:ascii="Arial" w:eastAsia="SimSun" w:hAnsi="Arial" w:cs="Arial"/>
                <w:color w:val="222222"/>
                <w:sz w:val="24"/>
                <w:szCs w:val="24"/>
                <w:shd w:val="clear" w:color="auto" w:fill="FFFFFF"/>
                <w:lang w:val="en-US"/>
              </w:rPr>
              <w:t xml:space="preserve"> et al.</w:t>
            </w:r>
            <w:r w:rsidRPr="003A7791">
              <w:rPr>
                <w:rFonts w:ascii="Arial" w:hAnsi="Arial" w:cs="Arial"/>
                <w:color w:val="000000"/>
                <w:sz w:val="24"/>
                <w:szCs w:val="24"/>
              </w:rPr>
              <w:t xml:space="preserve"> M. and Zulu, S.L.</w:t>
            </w:r>
          </w:p>
        </w:tc>
        <w:tc>
          <w:tcPr>
            <w:tcW w:w="0" w:type="auto"/>
            <w:tcBorders>
              <w:top w:val="single" w:sz="4" w:space="0" w:color="CCCCCC"/>
              <w:left w:val="nil"/>
              <w:bottom w:val="single" w:sz="4" w:space="0" w:color="CCCCCC"/>
              <w:right w:val="single" w:sz="4" w:space="0" w:color="CCCCCC"/>
            </w:tcBorders>
            <w:shd w:val="clear" w:color="D6E4F0" w:fill="D6E4F0"/>
          </w:tcPr>
          <w:p w14:paraId="29D34504"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2023</w:t>
            </w:r>
          </w:p>
        </w:tc>
        <w:tc>
          <w:tcPr>
            <w:tcW w:w="0" w:type="auto"/>
            <w:tcBorders>
              <w:top w:val="single" w:sz="4" w:space="0" w:color="CCCCCC"/>
              <w:left w:val="nil"/>
              <w:bottom w:val="single" w:sz="4" w:space="0" w:color="CCCCCC"/>
              <w:right w:val="single" w:sz="4" w:space="0" w:color="CCCCCC"/>
            </w:tcBorders>
            <w:shd w:val="clear" w:color="D6E4F0" w:fill="D6E4F0"/>
          </w:tcPr>
          <w:p w14:paraId="290B6A9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investigate the critical barriers to minimising construction carbon footprint in the UK construction process.</w:t>
            </w:r>
          </w:p>
        </w:tc>
        <w:tc>
          <w:tcPr>
            <w:tcW w:w="0" w:type="auto"/>
            <w:tcBorders>
              <w:top w:val="single" w:sz="4" w:space="0" w:color="CCCCCC"/>
              <w:left w:val="nil"/>
              <w:bottom w:val="single" w:sz="4" w:space="0" w:color="CCCCCC"/>
              <w:right w:val="single" w:sz="4" w:space="0" w:color="CCCCCC"/>
            </w:tcBorders>
            <w:shd w:val="clear" w:color="D6E4F0" w:fill="D6E4F0"/>
          </w:tcPr>
          <w:p w14:paraId="36050F4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Identify critical carbon reduction barriers through literature review and survey; analyse using mean ranking and </w:t>
            </w:r>
            <w:r w:rsidRPr="003A7791">
              <w:rPr>
                <w:rFonts w:ascii="Arial" w:hAnsi="Arial" w:cs="Arial"/>
                <w:color w:val="000000"/>
                <w:sz w:val="24"/>
                <w:szCs w:val="24"/>
              </w:rPr>
              <w:lastRenderedPageBreak/>
              <w:t>factor analysis.</w:t>
            </w:r>
          </w:p>
        </w:tc>
        <w:tc>
          <w:tcPr>
            <w:tcW w:w="0" w:type="auto"/>
            <w:tcBorders>
              <w:top w:val="single" w:sz="4" w:space="0" w:color="CCCCCC"/>
              <w:left w:val="nil"/>
              <w:bottom w:val="single" w:sz="4" w:space="0" w:color="CCCCCC"/>
              <w:right w:val="single" w:sz="4" w:space="0" w:color="CCCCCC"/>
            </w:tcBorders>
            <w:shd w:val="clear" w:color="D6E4F0" w:fill="D6E4F0"/>
          </w:tcPr>
          <w:p w14:paraId="7B27EA4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What are the most critical barriers to carbon reduction in the UK construction process?</w:t>
            </w:r>
          </w:p>
        </w:tc>
        <w:tc>
          <w:tcPr>
            <w:tcW w:w="0" w:type="auto"/>
            <w:tcBorders>
              <w:top w:val="single" w:sz="4" w:space="0" w:color="CCCCCC"/>
              <w:left w:val="nil"/>
              <w:bottom w:val="single" w:sz="4" w:space="0" w:color="CCCCCC"/>
              <w:right w:val="single" w:sz="4" w:space="0" w:color="CCCCCC"/>
            </w:tcBorders>
            <w:shd w:val="clear" w:color="D6E4F0" w:fill="D6E4F0"/>
          </w:tcPr>
          <w:p w14:paraId="4552F38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Questionnaire survey of UK construction professionals; mean ranking technique; factor </w:t>
            </w:r>
            <w:r w:rsidRPr="003A7791">
              <w:rPr>
                <w:rFonts w:ascii="Arial" w:hAnsi="Arial" w:cs="Arial"/>
                <w:color w:val="000000"/>
                <w:sz w:val="24"/>
                <w:szCs w:val="24"/>
              </w:rPr>
              <w:lastRenderedPageBreak/>
              <w:t>analysis.</w:t>
            </w:r>
          </w:p>
        </w:tc>
        <w:tc>
          <w:tcPr>
            <w:tcW w:w="0" w:type="auto"/>
            <w:tcBorders>
              <w:top w:val="single" w:sz="4" w:space="0" w:color="CCCCCC"/>
              <w:left w:val="nil"/>
              <w:bottom w:val="single" w:sz="4" w:space="0" w:color="CCCCCC"/>
              <w:right w:val="single" w:sz="4" w:space="0" w:color="CCCCCC"/>
            </w:tcBorders>
            <w:shd w:val="clear" w:color="D6E4F0" w:fill="D6E4F0"/>
          </w:tcPr>
          <w:p w14:paraId="1A54ED7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 xml:space="preserve">15 critical barriers identified across four factors: resources and prioritisation; policy and standards; risk and </w:t>
            </w:r>
            <w:r w:rsidRPr="003A7791">
              <w:rPr>
                <w:rFonts w:ascii="Arial" w:hAnsi="Arial" w:cs="Arial"/>
                <w:color w:val="000000"/>
                <w:sz w:val="24"/>
                <w:szCs w:val="24"/>
              </w:rPr>
              <w:lastRenderedPageBreak/>
              <w:t>commitment; awareness and complexity. Policy and procurement frameworks are key enablers for decarbonisation.</w:t>
            </w:r>
          </w:p>
        </w:tc>
      </w:tr>
      <w:tr w:rsidR="003A7791" w:rsidRPr="003A7791" w14:paraId="78A593A9" w14:textId="77777777" w:rsidTr="003A7791">
        <w:trPr>
          <w:trHeight w:val="816"/>
          <w:jc w:val="center"/>
        </w:trPr>
        <w:tc>
          <w:tcPr>
            <w:tcW w:w="0" w:type="auto"/>
            <w:tcBorders>
              <w:top w:val="nil"/>
              <w:left w:val="single" w:sz="4" w:space="0" w:color="CCCCCC"/>
              <w:bottom w:val="single" w:sz="4" w:space="0" w:color="CCCCCC"/>
              <w:right w:val="single" w:sz="4" w:space="0" w:color="CCCCCC"/>
            </w:tcBorders>
            <w:shd w:val="clear" w:color="FFFFFF" w:fill="FFFFFF"/>
          </w:tcPr>
          <w:p w14:paraId="0DDFD87C"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22</w:t>
            </w:r>
          </w:p>
        </w:tc>
        <w:tc>
          <w:tcPr>
            <w:tcW w:w="0" w:type="auto"/>
            <w:tcBorders>
              <w:top w:val="nil"/>
              <w:left w:val="nil"/>
              <w:bottom w:val="single" w:sz="4" w:space="0" w:color="CCCCCC"/>
              <w:right w:val="single" w:sz="4" w:space="0" w:color="CCCCCC"/>
            </w:tcBorders>
            <w:shd w:val="clear" w:color="FFFFFF" w:fill="FFFFFF"/>
          </w:tcPr>
          <w:p w14:paraId="5F80CC2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Green Construction Supply Chain: Reviewing Advancements, Obstacles, and Possibilities</w:t>
            </w:r>
          </w:p>
        </w:tc>
        <w:tc>
          <w:tcPr>
            <w:tcW w:w="0" w:type="auto"/>
            <w:tcBorders>
              <w:top w:val="nil"/>
              <w:left w:val="nil"/>
              <w:bottom w:val="single" w:sz="4" w:space="0" w:color="CCCCCC"/>
              <w:right w:val="single" w:sz="4" w:space="0" w:color="CCCCCC"/>
            </w:tcBorders>
            <w:shd w:val="clear" w:color="FFFFFF" w:fill="FFFFFF"/>
          </w:tcPr>
          <w:p w14:paraId="6B24324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Sustainable Futures (Elsevier)</w:t>
            </w:r>
          </w:p>
        </w:tc>
        <w:tc>
          <w:tcPr>
            <w:tcW w:w="0" w:type="auto"/>
            <w:tcBorders>
              <w:top w:val="nil"/>
              <w:left w:val="nil"/>
              <w:bottom w:val="single" w:sz="4" w:space="0" w:color="CCCCCC"/>
              <w:right w:val="single" w:sz="4" w:space="0" w:color="CCCCCC"/>
            </w:tcBorders>
            <w:shd w:val="clear" w:color="FFFFFF" w:fill="FFFFFF"/>
          </w:tcPr>
          <w:p w14:paraId="66AAC12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lang w:val="en-US"/>
              </w:rPr>
              <w:t>Durgam</w:t>
            </w:r>
            <w:r w:rsidRPr="003A7791">
              <w:rPr>
                <w:rFonts w:ascii="Arial" w:hAnsi="Arial" w:cs="Arial"/>
                <w:color w:val="000000"/>
                <w:sz w:val="24"/>
                <w:szCs w:val="24"/>
              </w:rPr>
              <w:t>, T. et al.</w:t>
            </w:r>
          </w:p>
        </w:tc>
        <w:tc>
          <w:tcPr>
            <w:tcW w:w="0" w:type="auto"/>
            <w:tcBorders>
              <w:top w:val="nil"/>
              <w:left w:val="nil"/>
              <w:bottom w:val="single" w:sz="4" w:space="0" w:color="CCCCCC"/>
              <w:right w:val="single" w:sz="4" w:space="0" w:color="CCCCCC"/>
            </w:tcBorders>
            <w:shd w:val="clear" w:color="FFFFFF" w:fill="FFFFFF"/>
          </w:tcPr>
          <w:p w14:paraId="3FC03DA5"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FFFFFF" w:fill="FFFFFF"/>
          </w:tcPr>
          <w:p w14:paraId="4D09CC4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review current advancements, barriers and opportunities in decarbonising construction supply chain management.</w:t>
            </w:r>
          </w:p>
        </w:tc>
        <w:tc>
          <w:tcPr>
            <w:tcW w:w="0" w:type="auto"/>
            <w:tcBorders>
              <w:top w:val="nil"/>
              <w:left w:val="nil"/>
              <w:bottom w:val="single" w:sz="4" w:space="0" w:color="CCCCCC"/>
              <w:right w:val="single" w:sz="4" w:space="0" w:color="CCCCCC"/>
            </w:tcBorders>
            <w:shd w:val="clear" w:color="FFFFFF" w:fill="FFFFFF"/>
          </w:tcPr>
          <w:p w14:paraId="0BEF1B9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Map emissions across construction supply chain stages; identify stakeholder roles; review technologies and regulatory frameworks enabling decarbonisation.</w:t>
            </w:r>
          </w:p>
        </w:tc>
        <w:tc>
          <w:tcPr>
            <w:tcW w:w="0" w:type="auto"/>
            <w:tcBorders>
              <w:top w:val="nil"/>
              <w:left w:val="nil"/>
              <w:bottom w:val="single" w:sz="4" w:space="0" w:color="CCCCCC"/>
              <w:right w:val="single" w:sz="4" w:space="0" w:color="CCCCCC"/>
            </w:tcBorders>
            <w:shd w:val="clear" w:color="FFFFFF" w:fill="FFFFFF"/>
          </w:tcPr>
          <w:p w14:paraId="6F010D4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are the key advancements, obstacles and opportunities for decarbonising construction supply chains globally?</w:t>
            </w:r>
          </w:p>
        </w:tc>
        <w:tc>
          <w:tcPr>
            <w:tcW w:w="0" w:type="auto"/>
            <w:tcBorders>
              <w:top w:val="nil"/>
              <w:left w:val="nil"/>
              <w:bottom w:val="single" w:sz="4" w:space="0" w:color="CCCCCC"/>
              <w:right w:val="single" w:sz="4" w:space="0" w:color="CCCCCC"/>
            </w:tcBorders>
            <w:shd w:val="clear" w:color="FFFFFF" w:fill="FFFFFF"/>
          </w:tcPr>
          <w:p w14:paraId="1667057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Systematic literature review; thematic synthesis of peer-reviewed studies on construction supply chain emissions.</w:t>
            </w:r>
          </w:p>
        </w:tc>
        <w:tc>
          <w:tcPr>
            <w:tcW w:w="0" w:type="auto"/>
            <w:tcBorders>
              <w:top w:val="nil"/>
              <w:left w:val="nil"/>
              <w:bottom w:val="single" w:sz="4" w:space="0" w:color="CCCCCC"/>
              <w:right w:val="single" w:sz="4" w:space="0" w:color="CCCCCC"/>
            </w:tcBorders>
            <w:shd w:val="clear" w:color="FFFFFF" w:fill="FFFFFF"/>
          </w:tcPr>
          <w:p w14:paraId="094A0B7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Embodied carbon from construction materials reached 5.4 gigatons CO2 in 2020 (16% of global CO2). Procurement of materials and upstream supply chain activities are primary emissions drivers. Regulatory frameworks and stakeho</w:t>
            </w:r>
            <w:r w:rsidRPr="003A7791">
              <w:rPr>
                <w:rFonts w:ascii="Arial" w:hAnsi="Arial" w:cs="Arial"/>
                <w:color w:val="000000"/>
                <w:sz w:val="24"/>
                <w:szCs w:val="24"/>
              </w:rPr>
              <w:lastRenderedPageBreak/>
              <w:t>lder collaboration are essential for decarbonisation.</w:t>
            </w:r>
          </w:p>
        </w:tc>
      </w:tr>
      <w:tr w:rsidR="003A7791" w:rsidRPr="003A7791" w14:paraId="05B7E90A"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D6E4F0" w:fill="D6E4F0"/>
          </w:tcPr>
          <w:p w14:paraId="031EC1A5"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23</w:t>
            </w:r>
          </w:p>
        </w:tc>
        <w:tc>
          <w:tcPr>
            <w:tcW w:w="0" w:type="auto"/>
            <w:tcBorders>
              <w:top w:val="nil"/>
              <w:left w:val="nil"/>
              <w:bottom w:val="single" w:sz="4" w:space="0" w:color="CCCCCC"/>
              <w:right w:val="single" w:sz="4" w:space="0" w:color="CCCCCC"/>
            </w:tcBorders>
            <w:shd w:val="clear" w:color="D6E4F0" w:fill="D6E4F0"/>
          </w:tcPr>
          <w:p w14:paraId="4DF7852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Global Steel Decarbonisation Roadmaps: Near-Zero by 2050</w:t>
            </w:r>
          </w:p>
        </w:tc>
        <w:tc>
          <w:tcPr>
            <w:tcW w:w="0" w:type="auto"/>
            <w:tcBorders>
              <w:top w:val="nil"/>
              <w:left w:val="nil"/>
              <w:bottom w:val="single" w:sz="4" w:space="0" w:color="CCCCCC"/>
              <w:right w:val="single" w:sz="4" w:space="0" w:color="CCCCCC"/>
            </w:tcBorders>
            <w:shd w:val="clear" w:color="D6E4F0" w:fill="D6E4F0"/>
          </w:tcPr>
          <w:p w14:paraId="2BBCC59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Resources, Conservation and Recycling (ScienceDirect)</w:t>
            </w:r>
          </w:p>
        </w:tc>
        <w:tc>
          <w:tcPr>
            <w:tcW w:w="0" w:type="auto"/>
            <w:tcBorders>
              <w:top w:val="nil"/>
              <w:left w:val="nil"/>
              <w:bottom w:val="single" w:sz="4" w:space="0" w:color="CCCCCC"/>
              <w:right w:val="single" w:sz="4" w:space="0" w:color="CCCCCC"/>
            </w:tcBorders>
            <w:shd w:val="clear" w:color="D6E4F0" w:fill="D6E4F0"/>
          </w:tcPr>
          <w:p w14:paraId="03F55C8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D6E4F0" w:fill="D6E4F0"/>
          </w:tcPr>
          <w:p w14:paraId="76EC11CA"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D6E4F0" w:fill="D6E4F0"/>
          </w:tcPr>
          <w:p w14:paraId="597375A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critically review global steel sector decarbonisation roadmaps and assess pathways toward near-zero emissions by 2050.</w:t>
            </w:r>
          </w:p>
        </w:tc>
        <w:tc>
          <w:tcPr>
            <w:tcW w:w="0" w:type="auto"/>
            <w:tcBorders>
              <w:top w:val="nil"/>
              <w:left w:val="nil"/>
              <w:bottom w:val="single" w:sz="4" w:space="0" w:color="CCCCCC"/>
              <w:right w:val="single" w:sz="4" w:space="0" w:color="CCCCCC"/>
            </w:tcBorders>
            <w:shd w:val="clear" w:color="D6E4F0" w:fill="D6E4F0"/>
          </w:tcPr>
          <w:p w14:paraId="3D7590D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Analyse national and corporate steel decarbonisation roadmaps; evaluate technology pathways including EAF, hydrogen DRI, and CCS; identify sustainability gaps.</w:t>
            </w:r>
          </w:p>
        </w:tc>
        <w:tc>
          <w:tcPr>
            <w:tcW w:w="0" w:type="auto"/>
            <w:tcBorders>
              <w:top w:val="nil"/>
              <w:left w:val="nil"/>
              <w:bottom w:val="single" w:sz="4" w:space="0" w:color="CCCCCC"/>
              <w:right w:val="single" w:sz="4" w:space="0" w:color="CCCCCC"/>
            </w:tcBorders>
            <w:shd w:val="clear" w:color="D6E4F0" w:fill="D6E4F0"/>
          </w:tcPr>
          <w:p w14:paraId="6243382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are the viable technology pathways for decarbonising the global steel sector, and what gaps exist in current roadmaps?</w:t>
            </w:r>
          </w:p>
        </w:tc>
        <w:tc>
          <w:tcPr>
            <w:tcW w:w="0" w:type="auto"/>
            <w:tcBorders>
              <w:top w:val="nil"/>
              <w:left w:val="nil"/>
              <w:bottom w:val="single" w:sz="4" w:space="0" w:color="CCCCCC"/>
              <w:right w:val="single" w:sz="4" w:space="0" w:color="CCCCCC"/>
            </w:tcBorders>
            <w:shd w:val="clear" w:color="D6E4F0" w:fill="D6E4F0"/>
          </w:tcPr>
          <w:p w14:paraId="47CE80D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Systematic review and comparative analysis of global steel decarbonisation roadmaps; assessment of technology readiness levels.</w:t>
            </w:r>
          </w:p>
        </w:tc>
        <w:tc>
          <w:tcPr>
            <w:tcW w:w="0" w:type="auto"/>
            <w:tcBorders>
              <w:top w:val="nil"/>
              <w:left w:val="nil"/>
              <w:bottom w:val="single" w:sz="4" w:space="0" w:color="CCCCCC"/>
              <w:right w:val="single" w:sz="4" w:space="0" w:color="CCCCCC"/>
            </w:tcBorders>
            <w:shd w:val="clear" w:color="D6E4F0" w:fill="D6E4F0"/>
          </w:tcPr>
          <w:p w14:paraId="5831B34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Green steel certification remains fragmented with inconsistent definitions. EAF route has lower carbon </w:t>
            </w:r>
            <w:proofErr w:type="gramStart"/>
            <w:r w:rsidRPr="003A7791">
              <w:rPr>
                <w:rFonts w:ascii="Arial" w:hAnsi="Arial" w:cs="Arial"/>
                <w:color w:val="000000"/>
                <w:sz w:val="24"/>
                <w:szCs w:val="24"/>
              </w:rPr>
              <w:t>footprint</w:t>
            </w:r>
            <w:proofErr w:type="gramEnd"/>
            <w:r w:rsidRPr="003A7791">
              <w:rPr>
                <w:rFonts w:ascii="Arial" w:hAnsi="Arial" w:cs="Arial"/>
                <w:color w:val="000000"/>
                <w:sz w:val="24"/>
                <w:szCs w:val="24"/>
              </w:rPr>
              <w:t xml:space="preserve"> but hydrogen availability is a constraint. International agreement on near-zero emissions steel standards is urgently needed. Supply chain transparency and </w:t>
            </w:r>
            <w:r w:rsidRPr="003A7791">
              <w:rPr>
                <w:rFonts w:ascii="Arial" w:hAnsi="Arial" w:cs="Arial"/>
                <w:color w:val="000000"/>
                <w:sz w:val="24"/>
                <w:szCs w:val="24"/>
              </w:rPr>
              <w:lastRenderedPageBreak/>
              <w:t>blockchain-enabled tracking are emerging tools.</w:t>
            </w:r>
          </w:p>
        </w:tc>
      </w:tr>
      <w:tr w:rsidR="003A7791" w:rsidRPr="003A7791" w14:paraId="6E546FB3"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FFFFFF" w:fill="FFFFFF"/>
          </w:tcPr>
          <w:p w14:paraId="7B73DF39"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24</w:t>
            </w:r>
          </w:p>
        </w:tc>
        <w:tc>
          <w:tcPr>
            <w:tcW w:w="0" w:type="auto"/>
            <w:tcBorders>
              <w:top w:val="nil"/>
              <w:left w:val="nil"/>
              <w:bottom w:val="single" w:sz="4" w:space="0" w:color="CCCCCC"/>
              <w:right w:val="single" w:sz="4" w:space="0" w:color="CCCCCC"/>
            </w:tcBorders>
            <w:shd w:val="clear" w:color="FFFFFF" w:fill="FFFFFF"/>
          </w:tcPr>
          <w:p w14:paraId="27478F8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Carbon Border Adjustment Mechanism and Supply Chain Decarbonization Strategies: A Systematic Literature Review</w:t>
            </w:r>
          </w:p>
        </w:tc>
        <w:tc>
          <w:tcPr>
            <w:tcW w:w="0" w:type="auto"/>
            <w:tcBorders>
              <w:top w:val="nil"/>
              <w:left w:val="nil"/>
              <w:bottom w:val="single" w:sz="4" w:space="0" w:color="CCCCCC"/>
              <w:right w:val="single" w:sz="4" w:space="0" w:color="CCCCCC"/>
            </w:tcBorders>
            <w:shd w:val="clear" w:color="FFFFFF" w:fill="FFFFFF"/>
          </w:tcPr>
          <w:p w14:paraId="7F5B328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Highlights in Business, Economics and Management</w:t>
            </w:r>
          </w:p>
        </w:tc>
        <w:tc>
          <w:tcPr>
            <w:tcW w:w="0" w:type="auto"/>
            <w:tcBorders>
              <w:top w:val="nil"/>
              <w:left w:val="nil"/>
              <w:bottom w:val="single" w:sz="4" w:space="0" w:color="CCCCCC"/>
              <w:right w:val="single" w:sz="4" w:space="0" w:color="CCCCCC"/>
            </w:tcBorders>
            <w:shd w:val="clear" w:color="FFFFFF" w:fill="FFFFFF"/>
          </w:tcPr>
          <w:p w14:paraId="68AEF74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FFFFFF" w:fill="FFFFFF"/>
          </w:tcPr>
          <w:p w14:paraId="1B515781"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FFFFFF" w:fill="FFFFFF"/>
          </w:tcPr>
          <w:p w14:paraId="1A96BB3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systematically review the academic literature on CBAM impacts on supply chain decarbonisation strategies.</w:t>
            </w:r>
          </w:p>
        </w:tc>
        <w:tc>
          <w:tcPr>
            <w:tcW w:w="0" w:type="auto"/>
            <w:tcBorders>
              <w:top w:val="nil"/>
              <w:left w:val="nil"/>
              <w:bottom w:val="single" w:sz="4" w:space="0" w:color="CCCCCC"/>
              <w:right w:val="single" w:sz="4" w:space="0" w:color="CCCCCC"/>
            </w:tcBorders>
            <w:shd w:val="clear" w:color="FFFFFF" w:fill="FFFFFF"/>
          </w:tcPr>
          <w:p w14:paraId="239A090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Map existing literature on CBAM design and supply chain responses; identify research gaps; synthesise findings on carbon reduction investment decisions.</w:t>
            </w:r>
          </w:p>
        </w:tc>
        <w:tc>
          <w:tcPr>
            <w:tcW w:w="0" w:type="auto"/>
            <w:tcBorders>
              <w:top w:val="nil"/>
              <w:left w:val="nil"/>
              <w:bottom w:val="single" w:sz="4" w:space="0" w:color="CCCCCC"/>
              <w:right w:val="single" w:sz="4" w:space="0" w:color="CCCCCC"/>
            </w:tcBorders>
            <w:shd w:val="clear" w:color="FFFFFF" w:fill="FFFFFF"/>
          </w:tcPr>
          <w:p w14:paraId="6758FA4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strategies do supply chains adopt in response to CBAM, and what are the key research gaps in this field?</w:t>
            </w:r>
          </w:p>
        </w:tc>
        <w:tc>
          <w:tcPr>
            <w:tcW w:w="0" w:type="auto"/>
            <w:tcBorders>
              <w:top w:val="nil"/>
              <w:left w:val="nil"/>
              <w:bottom w:val="single" w:sz="4" w:space="0" w:color="CCCCCC"/>
              <w:right w:val="single" w:sz="4" w:space="0" w:color="CCCCCC"/>
            </w:tcBorders>
            <w:shd w:val="clear" w:color="FFFFFF" w:fill="FFFFFF"/>
          </w:tcPr>
          <w:p w14:paraId="5B8754F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Systematic literature review using WOSCC and Scopus databases; bibliometric and thematic analysis.</w:t>
            </w:r>
          </w:p>
        </w:tc>
        <w:tc>
          <w:tcPr>
            <w:tcW w:w="0" w:type="auto"/>
            <w:tcBorders>
              <w:top w:val="nil"/>
              <w:left w:val="nil"/>
              <w:bottom w:val="single" w:sz="4" w:space="0" w:color="CCCCCC"/>
              <w:right w:val="single" w:sz="4" w:space="0" w:color="CCCCCC"/>
            </w:tcBorders>
            <w:shd w:val="clear" w:color="FFFFFF" w:fill="FFFFFF"/>
          </w:tcPr>
          <w:p w14:paraId="71D4086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CBAM reshapes sourcing, supplier engagement and cost models across supply chain tiers. Carbon pricing changes supplier selection and procurement decisions. Early investment in carbon reduction yields competitive advantages. Iron and steel importers bear approximately 75% of </w:t>
            </w:r>
            <w:r w:rsidRPr="003A7791">
              <w:rPr>
                <w:rFonts w:ascii="Arial" w:hAnsi="Arial" w:cs="Arial"/>
                <w:color w:val="000000"/>
                <w:sz w:val="24"/>
                <w:szCs w:val="24"/>
              </w:rPr>
              <w:lastRenderedPageBreak/>
              <w:t>early CBAM costs.</w:t>
            </w:r>
          </w:p>
        </w:tc>
      </w:tr>
      <w:tr w:rsidR="003A7791" w:rsidRPr="003A7791" w14:paraId="78665BC2" w14:textId="77777777" w:rsidTr="003A7791">
        <w:trPr>
          <w:trHeight w:val="816"/>
          <w:jc w:val="center"/>
        </w:trPr>
        <w:tc>
          <w:tcPr>
            <w:tcW w:w="0" w:type="auto"/>
            <w:tcBorders>
              <w:top w:val="nil"/>
              <w:left w:val="single" w:sz="4" w:space="0" w:color="CCCCCC"/>
              <w:bottom w:val="single" w:sz="4" w:space="0" w:color="CCCCCC"/>
              <w:right w:val="single" w:sz="4" w:space="0" w:color="CCCCCC"/>
            </w:tcBorders>
            <w:shd w:val="clear" w:color="D6E4F0" w:fill="D6E4F0"/>
          </w:tcPr>
          <w:p w14:paraId="384E1D17"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25</w:t>
            </w:r>
          </w:p>
        </w:tc>
        <w:tc>
          <w:tcPr>
            <w:tcW w:w="0" w:type="auto"/>
            <w:tcBorders>
              <w:top w:val="nil"/>
              <w:left w:val="nil"/>
              <w:bottom w:val="single" w:sz="4" w:space="0" w:color="CCCCCC"/>
              <w:right w:val="single" w:sz="4" w:space="0" w:color="CCCCCC"/>
            </w:tcBorders>
            <w:shd w:val="clear" w:color="D6E4F0" w:fill="D6E4F0"/>
          </w:tcPr>
          <w:p w14:paraId="27BEC6F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Exports or Foreign Direct Investment? A Multinational Firm's Production Decision Under Carbon Border Adjustment Mechanism</w:t>
            </w:r>
          </w:p>
        </w:tc>
        <w:tc>
          <w:tcPr>
            <w:tcW w:w="0" w:type="auto"/>
            <w:tcBorders>
              <w:top w:val="nil"/>
              <w:left w:val="nil"/>
              <w:bottom w:val="single" w:sz="4" w:space="0" w:color="CCCCCC"/>
              <w:right w:val="single" w:sz="4" w:space="0" w:color="CCCCCC"/>
            </w:tcBorders>
            <w:shd w:val="clear" w:color="D6E4F0" w:fill="D6E4F0"/>
          </w:tcPr>
          <w:p w14:paraId="5CE3896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Journal of the Operational Research Society</w:t>
            </w:r>
          </w:p>
        </w:tc>
        <w:tc>
          <w:tcPr>
            <w:tcW w:w="0" w:type="auto"/>
            <w:tcBorders>
              <w:top w:val="nil"/>
              <w:left w:val="nil"/>
              <w:bottom w:val="single" w:sz="4" w:space="0" w:color="CCCCCC"/>
              <w:right w:val="single" w:sz="4" w:space="0" w:color="CCCCCC"/>
            </w:tcBorders>
            <w:shd w:val="clear" w:color="D6E4F0" w:fill="D6E4F0"/>
          </w:tcPr>
          <w:p w14:paraId="201B43E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D6E4F0" w:fill="D6E4F0"/>
          </w:tcPr>
          <w:p w14:paraId="5108EF0D"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D6E4F0" w:fill="D6E4F0"/>
          </w:tcPr>
          <w:p w14:paraId="5EC7A26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analyse how CBAM certificate prices affect multinational firms' production decisions between exporting and foreign direct investment (FDI).</w:t>
            </w:r>
          </w:p>
        </w:tc>
        <w:tc>
          <w:tcPr>
            <w:tcW w:w="0" w:type="auto"/>
            <w:tcBorders>
              <w:top w:val="nil"/>
              <w:left w:val="nil"/>
              <w:bottom w:val="single" w:sz="4" w:space="0" w:color="CCCCCC"/>
              <w:right w:val="single" w:sz="4" w:space="0" w:color="CCCCCC"/>
            </w:tcBorders>
            <w:shd w:val="clear" w:color="D6E4F0" w:fill="D6E4F0"/>
          </w:tcPr>
          <w:p w14:paraId="2BAE641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Model MNF production decisions under CBAM; analyse how CBAM certificate prices alter export versus FDI strategies for construction material-intensive multinationals.</w:t>
            </w:r>
          </w:p>
        </w:tc>
        <w:tc>
          <w:tcPr>
            <w:tcW w:w="0" w:type="auto"/>
            <w:tcBorders>
              <w:top w:val="nil"/>
              <w:left w:val="nil"/>
              <w:bottom w:val="single" w:sz="4" w:space="0" w:color="CCCCCC"/>
              <w:right w:val="single" w:sz="4" w:space="0" w:color="CCCCCC"/>
            </w:tcBorders>
            <w:shd w:val="clear" w:color="D6E4F0" w:fill="D6E4F0"/>
          </w:tcPr>
          <w:p w14:paraId="5C41DCC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How does the CBAM certificate price change the production and sourcing decisions of multinational firms?</w:t>
            </w:r>
          </w:p>
        </w:tc>
        <w:tc>
          <w:tcPr>
            <w:tcW w:w="0" w:type="auto"/>
            <w:tcBorders>
              <w:top w:val="nil"/>
              <w:left w:val="nil"/>
              <w:bottom w:val="single" w:sz="4" w:space="0" w:color="CCCCCC"/>
              <w:right w:val="single" w:sz="4" w:space="0" w:color="CCCCCC"/>
            </w:tcBorders>
            <w:shd w:val="clear" w:color="D6E4F0" w:fill="D6E4F0"/>
          </w:tcPr>
          <w:p w14:paraId="65BFC11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Game-theoretical modelling comprising overseas supplier, MNF and foreign manufacturer scenarios; comparative static analysis.</w:t>
            </w:r>
          </w:p>
        </w:tc>
        <w:tc>
          <w:tcPr>
            <w:tcW w:w="0" w:type="auto"/>
            <w:tcBorders>
              <w:top w:val="nil"/>
              <w:left w:val="nil"/>
              <w:bottom w:val="single" w:sz="4" w:space="0" w:color="CCCCCC"/>
              <w:right w:val="single" w:sz="4" w:space="0" w:color="CCCCCC"/>
            </w:tcBorders>
            <w:shd w:val="clear" w:color="D6E4F0" w:fill="D6E4F0"/>
          </w:tcPr>
          <w:p w14:paraId="08607B4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When CBAM certificate prices are sufficiently high, MNFs are more likely to shift from exports to FDI. CBAM fundamentally changes the cost calculus for multinational sourcing decisions, directly relevant to UK Construction MNEs evaluating supplier base reconfiguration.</w:t>
            </w:r>
          </w:p>
        </w:tc>
      </w:tr>
      <w:tr w:rsidR="003A7791" w:rsidRPr="003A7791" w14:paraId="78BFC5F4" w14:textId="77777777" w:rsidTr="003A7791">
        <w:trPr>
          <w:trHeight w:val="816"/>
          <w:jc w:val="center"/>
        </w:trPr>
        <w:tc>
          <w:tcPr>
            <w:tcW w:w="0" w:type="auto"/>
            <w:tcBorders>
              <w:top w:val="nil"/>
              <w:left w:val="single" w:sz="4" w:space="0" w:color="CCCCCC"/>
              <w:bottom w:val="single" w:sz="4" w:space="0" w:color="CCCCCC"/>
              <w:right w:val="single" w:sz="4" w:space="0" w:color="CCCCCC"/>
            </w:tcBorders>
            <w:shd w:val="clear" w:color="FFFFFF" w:fill="FFFFFF"/>
          </w:tcPr>
          <w:p w14:paraId="09DB232E"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26</w:t>
            </w:r>
          </w:p>
        </w:tc>
        <w:tc>
          <w:tcPr>
            <w:tcW w:w="0" w:type="auto"/>
            <w:tcBorders>
              <w:top w:val="nil"/>
              <w:left w:val="nil"/>
              <w:bottom w:val="single" w:sz="4" w:space="0" w:color="CCCCCC"/>
              <w:right w:val="single" w:sz="4" w:space="0" w:color="CCCCCC"/>
            </w:tcBorders>
            <w:shd w:val="clear" w:color="FFFFFF" w:fill="FFFFFF"/>
          </w:tcPr>
          <w:p w14:paraId="36E15F5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Impact of CBAM on Stock Market </w:t>
            </w:r>
            <w:r w:rsidRPr="003A7791">
              <w:rPr>
                <w:rFonts w:ascii="Arial" w:hAnsi="Arial" w:cs="Arial"/>
                <w:color w:val="000000"/>
                <w:sz w:val="24"/>
                <w:szCs w:val="24"/>
              </w:rPr>
              <w:lastRenderedPageBreak/>
              <w:t>Value of High-Polluting Firms: The Role of Supply Chain Risk Management and Internationalisation Capabilities</w:t>
            </w:r>
          </w:p>
        </w:tc>
        <w:tc>
          <w:tcPr>
            <w:tcW w:w="0" w:type="auto"/>
            <w:tcBorders>
              <w:top w:val="nil"/>
              <w:left w:val="nil"/>
              <w:bottom w:val="single" w:sz="4" w:space="0" w:color="CCCCCC"/>
              <w:right w:val="single" w:sz="4" w:space="0" w:color="CCCCCC"/>
            </w:tcBorders>
            <w:shd w:val="clear" w:color="FFFFFF" w:fill="FFFFFF"/>
          </w:tcPr>
          <w:p w14:paraId="7F149A2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 xml:space="preserve">Transportation Research Part E: </w:t>
            </w:r>
            <w:r w:rsidRPr="003A7791">
              <w:rPr>
                <w:rFonts w:ascii="Arial" w:hAnsi="Arial" w:cs="Arial"/>
                <w:color w:val="000000"/>
                <w:sz w:val="24"/>
                <w:szCs w:val="24"/>
              </w:rPr>
              <w:lastRenderedPageBreak/>
              <w:t>Logistics and Transportation Review</w:t>
            </w:r>
          </w:p>
        </w:tc>
        <w:tc>
          <w:tcPr>
            <w:tcW w:w="0" w:type="auto"/>
            <w:tcBorders>
              <w:top w:val="nil"/>
              <w:left w:val="nil"/>
              <w:bottom w:val="single" w:sz="4" w:space="0" w:color="CCCCCC"/>
              <w:right w:val="single" w:sz="4" w:space="0" w:color="CCCCCC"/>
            </w:tcBorders>
            <w:shd w:val="clear" w:color="FFFFFF" w:fill="FFFFFF"/>
          </w:tcPr>
          <w:p w14:paraId="546B81F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Multiple Authors</w:t>
            </w:r>
          </w:p>
        </w:tc>
        <w:tc>
          <w:tcPr>
            <w:tcW w:w="0" w:type="auto"/>
            <w:tcBorders>
              <w:top w:val="nil"/>
              <w:left w:val="nil"/>
              <w:bottom w:val="single" w:sz="4" w:space="0" w:color="CCCCCC"/>
              <w:right w:val="single" w:sz="4" w:space="0" w:color="CCCCCC"/>
            </w:tcBorders>
            <w:shd w:val="clear" w:color="FFFFFF" w:fill="FFFFFF"/>
          </w:tcPr>
          <w:p w14:paraId="3B64F369"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FFFFFF" w:fill="FFFFFF"/>
          </w:tcPr>
          <w:p w14:paraId="2ADADC7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To examine how CBAM affects the stock </w:t>
            </w:r>
            <w:r w:rsidRPr="003A7791">
              <w:rPr>
                <w:rFonts w:ascii="Arial" w:hAnsi="Arial" w:cs="Arial"/>
                <w:color w:val="000000"/>
                <w:sz w:val="24"/>
                <w:szCs w:val="24"/>
              </w:rPr>
              <w:lastRenderedPageBreak/>
              <w:t>market value of high-polluting firms and the moderating role of supply chain risk management and internationalisation capabilities.</w:t>
            </w:r>
          </w:p>
        </w:tc>
        <w:tc>
          <w:tcPr>
            <w:tcW w:w="0" w:type="auto"/>
            <w:tcBorders>
              <w:top w:val="nil"/>
              <w:left w:val="nil"/>
              <w:bottom w:val="single" w:sz="4" w:space="0" w:color="CCCCCC"/>
              <w:right w:val="single" w:sz="4" w:space="0" w:color="CCCCCC"/>
            </w:tcBorders>
            <w:shd w:val="clear" w:color="FFFFFF" w:fill="FFFFFF"/>
          </w:tcPr>
          <w:p w14:paraId="2948622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 xml:space="preserve">Assess financial market impact of CBAM </w:t>
            </w:r>
            <w:r w:rsidRPr="003A7791">
              <w:rPr>
                <w:rFonts w:ascii="Arial" w:hAnsi="Arial" w:cs="Arial"/>
                <w:color w:val="000000"/>
                <w:sz w:val="24"/>
                <w:szCs w:val="24"/>
              </w:rPr>
              <w:lastRenderedPageBreak/>
              <w:t>on firms in steel, aluminium and cement sectors; evaluate supply chain risk management as a moderating factor.</w:t>
            </w:r>
          </w:p>
        </w:tc>
        <w:tc>
          <w:tcPr>
            <w:tcW w:w="0" w:type="auto"/>
            <w:tcBorders>
              <w:top w:val="nil"/>
              <w:left w:val="nil"/>
              <w:bottom w:val="single" w:sz="4" w:space="0" w:color="CCCCCC"/>
              <w:right w:val="single" w:sz="4" w:space="0" w:color="CCCCCC"/>
            </w:tcBorders>
            <w:shd w:val="clear" w:color="FFFFFF" w:fill="FFFFFF"/>
          </w:tcPr>
          <w:p w14:paraId="58E9357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 xml:space="preserve">How does CBAM exposure affect </w:t>
            </w:r>
            <w:r w:rsidRPr="003A7791">
              <w:rPr>
                <w:rFonts w:ascii="Arial" w:hAnsi="Arial" w:cs="Arial"/>
                <w:color w:val="000000"/>
                <w:sz w:val="24"/>
                <w:szCs w:val="24"/>
              </w:rPr>
              <w:lastRenderedPageBreak/>
              <w:t>firm value, and how do supply chain risk capabilities moderate this effect?</w:t>
            </w:r>
          </w:p>
        </w:tc>
        <w:tc>
          <w:tcPr>
            <w:tcW w:w="0" w:type="auto"/>
            <w:tcBorders>
              <w:top w:val="nil"/>
              <w:left w:val="nil"/>
              <w:bottom w:val="single" w:sz="4" w:space="0" w:color="CCCCCC"/>
              <w:right w:val="single" w:sz="4" w:space="0" w:color="CCCCCC"/>
            </w:tcBorders>
            <w:shd w:val="clear" w:color="FFFFFF" w:fill="FFFFFF"/>
          </w:tcPr>
          <w:p w14:paraId="05B63B1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 xml:space="preserve">Event study methodology; panel data </w:t>
            </w:r>
            <w:r w:rsidRPr="003A7791">
              <w:rPr>
                <w:rFonts w:ascii="Arial" w:hAnsi="Arial" w:cs="Arial"/>
                <w:color w:val="000000"/>
                <w:sz w:val="24"/>
                <w:szCs w:val="24"/>
              </w:rPr>
              <w:lastRenderedPageBreak/>
              <w:t>regression; Chinese listed firm data covering CBAM-exposed industries.</w:t>
            </w:r>
          </w:p>
        </w:tc>
        <w:tc>
          <w:tcPr>
            <w:tcW w:w="0" w:type="auto"/>
            <w:tcBorders>
              <w:top w:val="nil"/>
              <w:left w:val="nil"/>
              <w:bottom w:val="single" w:sz="4" w:space="0" w:color="CCCCCC"/>
              <w:right w:val="single" w:sz="4" w:space="0" w:color="CCCCCC"/>
            </w:tcBorders>
            <w:shd w:val="clear" w:color="FFFFFF" w:fill="FFFFFF"/>
          </w:tcPr>
          <w:p w14:paraId="3B0638D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 xml:space="preserve">CBAM negatively impacts stock market </w:t>
            </w:r>
            <w:r w:rsidRPr="003A7791">
              <w:rPr>
                <w:rFonts w:ascii="Arial" w:hAnsi="Arial" w:cs="Arial"/>
                <w:color w:val="000000"/>
                <w:sz w:val="24"/>
                <w:szCs w:val="24"/>
              </w:rPr>
              <w:lastRenderedPageBreak/>
              <w:t>value of high-polluting firms. Supply chain risk management capabilities and internationalisation significantly mitigate CBAM-related value loss. Firms with diversified supply chains and low-carbon sourcing strategies are better positioned.</w:t>
            </w:r>
          </w:p>
        </w:tc>
      </w:tr>
      <w:tr w:rsidR="003A7791" w:rsidRPr="003A7791" w14:paraId="1E9089AF" w14:textId="77777777" w:rsidTr="003A7791">
        <w:trPr>
          <w:trHeight w:val="816"/>
          <w:jc w:val="center"/>
        </w:trPr>
        <w:tc>
          <w:tcPr>
            <w:tcW w:w="0" w:type="auto"/>
            <w:tcBorders>
              <w:top w:val="nil"/>
              <w:left w:val="single" w:sz="4" w:space="0" w:color="CCCCCC"/>
              <w:bottom w:val="single" w:sz="4" w:space="0" w:color="CCCCCC"/>
              <w:right w:val="single" w:sz="4" w:space="0" w:color="CCCCCC"/>
            </w:tcBorders>
            <w:shd w:val="clear" w:color="D6E4F0" w:fill="D6E4F0"/>
          </w:tcPr>
          <w:p w14:paraId="701A1BC5"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27</w:t>
            </w:r>
          </w:p>
        </w:tc>
        <w:tc>
          <w:tcPr>
            <w:tcW w:w="0" w:type="auto"/>
            <w:tcBorders>
              <w:top w:val="nil"/>
              <w:left w:val="nil"/>
              <w:bottom w:val="single" w:sz="4" w:space="0" w:color="CCCCCC"/>
              <w:right w:val="single" w:sz="4" w:space="0" w:color="CCCCCC"/>
            </w:tcBorders>
            <w:shd w:val="clear" w:color="D6E4F0" w:fill="D6E4F0"/>
          </w:tcPr>
          <w:p w14:paraId="34A857C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Designing Global Supply Chain Network Under Carbon Border Adjustment Mechanism for Low-Carbon Economy</w:t>
            </w:r>
          </w:p>
        </w:tc>
        <w:tc>
          <w:tcPr>
            <w:tcW w:w="0" w:type="auto"/>
            <w:tcBorders>
              <w:top w:val="nil"/>
              <w:left w:val="nil"/>
              <w:bottom w:val="single" w:sz="4" w:space="0" w:color="CCCCCC"/>
              <w:right w:val="single" w:sz="4" w:space="0" w:color="CCCCCC"/>
            </w:tcBorders>
            <w:shd w:val="clear" w:color="D6E4F0" w:fill="D6E4F0"/>
          </w:tcPr>
          <w:p w14:paraId="393BD62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The International Journal of Advanced Manufacturing Technology</w:t>
            </w:r>
          </w:p>
        </w:tc>
        <w:tc>
          <w:tcPr>
            <w:tcW w:w="0" w:type="auto"/>
            <w:tcBorders>
              <w:top w:val="nil"/>
              <w:left w:val="nil"/>
              <w:bottom w:val="single" w:sz="4" w:space="0" w:color="CCCCCC"/>
              <w:right w:val="single" w:sz="4" w:space="0" w:color="CCCCCC"/>
            </w:tcBorders>
            <w:shd w:val="clear" w:color="D6E4F0" w:fill="D6E4F0"/>
          </w:tcPr>
          <w:p w14:paraId="4792F80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Nagao, T. et al.</w:t>
            </w:r>
          </w:p>
        </w:tc>
        <w:tc>
          <w:tcPr>
            <w:tcW w:w="0" w:type="auto"/>
            <w:tcBorders>
              <w:top w:val="nil"/>
              <w:left w:val="nil"/>
              <w:bottom w:val="single" w:sz="4" w:space="0" w:color="CCCCCC"/>
              <w:right w:val="single" w:sz="4" w:space="0" w:color="CCCCCC"/>
            </w:tcBorders>
            <w:shd w:val="clear" w:color="D6E4F0" w:fill="D6E4F0"/>
          </w:tcPr>
          <w:p w14:paraId="6C42BD72"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D6E4F0" w:fill="D6E4F0"/>
          </w:tcPr>
          <w:p w14:paraId="576ABD7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design optimal global supply chain networks that minimise costs and emissions under the CBAM regulatory framework.</w:t>
            </w:r>
          </w:p>
        </w:tc>
        <w:tc>
          <w:tcPr>
            <w:tcW w:w="0" w:type="auto"/>
            <w:tcBorders>
              <w:top w:val="nil"/>
              <w:left w:val="nil"/>
              <w:bottom w:val="single" w:sz="4" w:space="0" w:color="CCCCCC"/>
              <w:right w:val="single" w:sz="4" w:space="0" w:color="CCCCCC"/>
            </w:tcBorders>
            <w:shd w:val="clear" w:color="D6E4F0" w:fill="D6E4F0"/>
          </w:tcPr>
          <w:p w14:paraId="34F4670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Develop supply chain network design model accounting for CBAM tariffs; optimise sourcing and production </w:t>
            </w:r>
            <w:r w:rsidRPr="003A7791">
              <w:rPr>
                <w:rFonts w:ascii="Arial" w:hAnsi="Arial" w:cs="Arial"/>
                <w:color w:val="000000"/>
                <w:sz w:val="24"/>
                <w:szCs w:val="24"/>
              </w:rPr>
              <w:lastRenderedPageBreak/>
              <w:t>location decisions under carbon pricing constraints.</w:t>
            </w:r>
          </w:p>
        </w:tc>
        <w:tc>
          <w:tcPr>
            <w:tcW w:w="0" w:type="auto"/>
            <w:tcBorders>
              <w:top w:val="nil"/>
              <w:left w:val="nil"/>
              <w:bottom w:val="single" w:sz="4" w:space="0" w:color="CCCCCC"/>
              <w:right w:val="single" w:sz="4" w:space="0" w:color="CCCCCC"/>
            </w:tcBorders>
            <w:shd w:val="clear" w:color="D6E4F0" w:fill="D6E4F0"/>
          </w:tcPr>
          <w:p w14:paraId="1F20A89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How should global supply chain networks be redesigned to minimise carbon costs and CBAM exposure?</w:t>
            </w:r>
          </w:p>
        </w:tc>
        <w:tc>
          <w:tcPr>
            <w:tcW w:w="0" w:type="auto"/>
            <w:tcBorders>
              <w:top w:val="nil"/>
              <w:left w:val="nil"/>
              <w:bottom w:val="single" w:sz="4" w:space="0" w:color="CCCCCC"/>
              <w:right w:val="single" w:sz="4" w:space="0" w:color="CCCCCC"/>
            </w:tcBorders>
            <w:shd w:val="clear" w:color="D6E4F0" w:fill="D6E4F0"/>
          </w:tcPr>
          <w:p w14:paraId="42EFB1A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Mixed-integer linear programming (MILP) model; scenario analysis across CBAM certificate price </w:t>
            </w:r>
            <w:r w:rsidRPr="003A7791">
              <w:rPr>
                <w:rFonts w:ascii="Arial" w:hAnsi="Arial" w:cs="Arial"/>
                <w:color w:val="000000"/>
                <w:sz w:val="24"/>
                <w:szCs w:val="24"/>
              </w:rPr>
              <w:lastRenderedPageBreak/>
              <w:t>levels; numerical experiments.</w:t>
            </w:r>
          </w:p>
        </w:tc>
        <w:tc>
          <w:tcPr>
            <w:tcW w:w="0" w:type="auto"/>
            <w:tcBorders>
              <w:top w:val="nil"/>
              <w:left w:val="nil"/>
              <w:bottom w:val="single" w:sz="4" w:space="0" w:color="CCCCCC"/>
              <w:right w:val="single" w:sz="4" w:space="0" w:color="CCCCCC"/>
            </w:tcBorders>
            <w:shd w:val="clear" w:color="D6E4F0" w:fill="D6E4F0"/>
          </w:tcPr>
          <w:p w14:paraId="007EE12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lastRenderedPageBreak/>
              <w:t xml:space="preserve">CBAM significantly changes optimal supply chain network configurations. Low-carbon domestic sourcing </w:t>
            </w:r>
            <w:r w:rsidRPr="003A7791">
              <w:rPr>
                <w:rFonts w:ascii="Arial" w:hAnsi="Arial" w:cs="Arial"/>
                <w:color w:val="000000"/>
                <w:sz w:val="24"/>
                <w:szCs w:val="24"/>
              </w:rPr>
              <w:lastRenderedPageBreak/>
              <w:t>becomes economically preferable at moderate CBAM price levels. Regional supplier diversification reduces CBAM cost exposure while maintaining supply chain resilience.</w:t>
            </w:r>
          </w:p>
        </w:tc>
      </w:tr>
      <w:tr w:rsidR="003A7791" w:rsidRPr="003A7791" w14:paraId="341434F2"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FFFFFF" w:fill="FFFFFF"/>
          </w:tcPr>
          <w:p w14:paraId="29FEC35C"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28</w:t>
            </w:r>
          </w:p>
        </w:tc>
        <w:tc>
          <w:tcPr>
            <w:tcW w:w="0" w:type="auto"/>
            <w:tcBorders>
              <w:top w:val="nil"/>
              <w:left w:val="nil"/>
              <w:bottom w:val="single" w:sz="4" w:space="0" w:color="CCCCCC"/>
              <w:right w:val="single" w:sz="4" w:space="0" w:color="CCCCCC"/>
            </w:tcBorders>
            <w:shd w:val="clear" w:color="FFFFFF" w:fill="FFFFFF"/>
          </w:tcPr>
          <w:p w14:paraId="2D997C0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Multinational Firms and Sustainability in Global Supply Chains: Scope and Boundaries of Responsibility</w:t>
            </w:r>
          </w:p>
        </w:tc>
        <w:tc>
          <w:tcPr>
            <w:tcW w:w="0" w:type="auto"/>
            <w:tcBorders>
              <w:top w:val="nil"/>
              <w:left w:val="nil"/>
              <w:bottom w:val="single" w:sz="4" w:space="0" w:color="CCCCCC"/>
              <w:right w:val="single" w:sz="4" w:space="0" w:color="CCCCCC"/>
            </w:tcBorders>
            <w:shd w:val="clear" w:color="FFFFFF" w:fill="FFFFFF"/>
          </w:tcPr>
          <w:p w14:paraId="7437BAF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Journal of International Business Studies</w:t>
            </w:r>
          </w:p>
        </w:tc>
        <w:tc>
          <w:tcPr>
            <w:tcW w:w="0" w:type="auto"/>
            <w:tcBorders>
              <w:top w:val="nil"/>
              <w:left w:val="nil"/>
              <w:bottom w:val="single" w:sz="4" w:space="0" w:color="CCCCCC"/>
              <w:right w:val="single" w:sz="4" w:space="0" w:color="CCCCCC"/>
            </w:tcBorders>
            <w:shd w:val="clear" w:color="FFFFFF" w:fill="FFFFFF"/>
          </w:tcPr>
          <w:p w14:paraId="190CBAE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FFFFFF" w:fill="FFFFFF"/>
          </w:tcPr>
          <w:p w14:paraId="186B53CA"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2024</w:t>
            </w:r>
          </w:p>
        </w:tc>
        <w:tc>
          <w:tcPr>
            <w:tcW w:w="0" w:type="auto"/>
            <w:tcBorders>
              <w:top w:val="nil"/>
              <w:left w:val="nil"/>
              <w:bottom w:val="single" w:sz="4" w:space="0" w:color="CCCCCC"/>
              <w:right w:val="single" w:sz="4" w:space="0" w:color="CCCCCC"/>
            </w:tcBorders>
            <w:shd w:val="clear" w:color="FFFFFF" w:fill="FFFFFF"/>
          </w:tcPr>
          <w:p w14:paraId="687A295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examine the scope and boundaries of multinational corporations' sustainability responsibilities across global supply chains.</w:t>
            </w:r>
          </w:p>
        </w:tc>
        <w:tc>
          <w:tcPr>
            <w:tcW w:w="0" w:type="auto"/>
            <w:tcBorders>
              <w:top w:val="nil"/>
              <w:left w:val="nil"/>
              <w:bottom w:val="single" w:sz="4" w:space="0" w:color="CCCCCC"/>
              <w:right w:val="single" w:sz="4" w:space="0" w:color="CCCCCC"/>
            </w:tcBorders>
            <w:shd w:val="clear" w:color="FFFFFF" w:fill="FFFFFF"/>
          </w:tcPr>
          <w:p w14:paraId="31921C2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Review existing IB and SCM literature on MNC sustainability responsibilities; identify governance mechanisms; map stakeholder roles in supply chain sustainability.</w:t>
            </w:r>
          </w:p>
        </w:tc>
        <w:tc>
          <w:tcPr>
            <w:tcW w:w="0" w:type="auto"/>
            <w:tcBorders>
              <w:top w:val="nil"/>
              <w:left w:val="nil"/>
              <w:bottom w:val="single" w:sz="4" w:space="0" w:color="CCCCCC"/>
              <w:right w:val="single" w:sz="4" w:space="0" w:color="CCCCCC"/>
            </w:tcBorders>
            <w:shd w:val="clear" w:color="FFFFFF" w:fill="FFFFFF"/>
          </w:tcPr>
          <w:p w14:paraId="4D4F84B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are the scope and boundaries of MNC responsibility for environmental sustainability practices across global supply chains?</w:t>
            </w:r>
          </w:p>
        </w:tc>
        <w:tc>
          <w:tcPr>
            <w:tcW w:w="0" w:type="auto"/>
            <w:tcBorders>
              <w:top w:val="nil"/>
              <w:left w:val="nil"/>
              <w:bottom w:val="single" w:sz="4" w:space="0" w:color="CCCCCC"/>
              <w:right w:val="single" w:sz="4" w:space="0" w:color="CCCCCC"/>
            </w:tcBorders>
            <w:shd w:val="clear" w:color="FFFFFF" w:fill="FFFFFF"/>
          </w:tcPr>
          <w:p w14:paraId="7EA384A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Systematic literature review; synthesis of International Business and Supply Chain Management research streams.</w:t>
            </w:r>
          </w:p>
        </w:tc>
        <w:tc>
          <w:tcPr>
            <w:tcW w:w="0" w:type="auto"/>
            <w:tcBorders>
              <w:top w:val="nil"/>
              <w:left w:val="nil"/>
              <w:bottom w:val="single" w:sz="4" w:space="0" w:color="CCCCCC"/>
              <w:right w:val="single" w:sz="4" w:space="0" w:color="CCCCCC"/>
            </w:tcBorders>
            <w:shd w:val="clear" w:color="FFFFFF" w:fill="FFFFFF"/>
          </w:tcPr>
          <w:p w14:paraId="6224AD2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MNCs are increasingly expected to govern supplier sustainability across multi-tier supply chains. Regulatory frameworks, including carbon pricing and CBAM, expand </w:t>
            </w:r>
            <w:r w:rsidRPr="003A7791">
              <w:rPr>
                <w:rFonts w:ascii="Arial" w:hAnsi="Arial" w:cs="Arial"/>
                <w:color w:val="000000"/>
                <w:sz w:val="24"/>
                <w:szCs w:val="24"/>
              </w:rPr>
              <w:lastRenderedPageBreak/>
              <w:t>MNCs' de facto responsibility for upstream emissions. Carbon Disclosure Project data shows rising supplier engagement on climate change.</w:t>
            </w:r>
          </w:p>
        </w:tc>
      </w:tr>
      <w:tr w:rsidR="003A7791" w:rsidRPr="003A7791" w14:paraId="1E756C44"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D6E4F0" w:fill="D6E4F0"/>
          </w:tcPr>
          <w:p w14:paraId="063FF817"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29</w:t>
            </w:r>
          </w:p>
        </w:tc>
        <w:tc>
          <w:tcPr>
            <w:tcW w:w="0" w:type="auto"/>
            <w:tcBorders>
              <w:top w:val="nil"/>
              <w:left w:val="nil"/>
              <w:bottom w:val="single" w:sz="4" w:space="0" w:color="CCCCCC"/>
              <w:right w:val="single" w:sz="4" w:space="0" w:color="CCCCCC"/>
            </w:tcBorders>
            <w:shd w:val="clear" w:color="D6E4F0" w:fill="D6E4F0"/>
          </w:tcPr>
          <w:p w14:paraId="5F1D4B7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Technology-Enabled Carbon Emissions Regulations for Achieving Net Zero Carbon Built Environment: A Comprehensive Framework</w:t>
            </w:r>
          </w:p>
        </w:tc>
        <w:tc>
          <w:tcPr>
            <w:tcW w:w="0" w:type="auto"/>
            <w:tcBorders>
              <w:top w:val="nil"/>
              <w:left w:val="nil"/>
              <w:bottom w:val="single" w:sz="4" w:space="0" w:color="CCCCCC"/>
              <w:right w:val="single" w:sz="4" w:space="0" w:color="CCCCCC"/>
            </w:tcBorders>
            <w:shd w:val="clear" w:color="D6E4F0" w:fill="D6E4F0"/>
          </w:tcPr>
          <w:p w14:paraId="01E50E8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International Journal of Climate Change Strategies and Management</w:t>
            </w:r>
          </w:p>
        </w:tc>
        <w:tc>
          <w:tcPr>
            <w:tcW w:w="0" w:type="auto"/>
            <w:tcBorders>
              <w:top w:val="nil"/>
              <w:left w:val="nil"/>
              <w:bottom w:val="single" w:sz="4" w:space="0" w:color="CCCCCC"/>
              <w:right w:val="single" w:sz="4" w:space="0" w:color="CCCCCC"/>
            </w:tcBorders>
            <w:shd w:val="clear" w:color="D6E4F0" w:fill="D6E4F0"/>
          </w:tcPr>
          <w:p w14:paraId="4B6AA23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D6E4F0" w:fill="D6E4F0"/>
          </w:tcPr>
          <w:p w14:paraId="54DDDDAA"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D6E4F0" w:fill="D6E4F0"/>
          </w:tcPr>
          <w:p w14:paraId="5E8DB0C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develop a comprehensive framework for technology-enabled carbon emissions regulations in the built environment.</w:t>
            </w:r>
          </w:p>
        </w:tc>
        <w:tc>
          <w:tcPr>
            <w:tcW w:w="0" w:type="auto"/>
            <w:tcBorders>
              <w:top w:val="nil"/>
              <w:left w:val="nil"/>
              <w:bottom w:val="single" w:sz="4" w:space="0" w:color="CCCCCC"/>
              <w:right w:val="single" w:sz="4" w:space="0" w:color="CCCCCC"/>
            </w:tcBorders>
            <w:shd w:val="clear" w:color="D6E4F0" w:fill="D6E4F0"/>
          </w:tcPr>
          <w:p w14:paraId="7CC2A87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Review carbon emissions regulations across built environment lifecycle; map enabling technologies (BIM, IoT, Blockchain); develop integrated regulatory-technology framework.</w:t>
            </w:r>
          </w:p>
        </w:tc>
        <w:tc>
          <w:tcPr>
            <w:tcW w:w="0" w:type="auto"/>
            <w:tcBorders>
              <w:top w:val="nil"/>
              <w:left w:val="nil"/>
              <w:bottom w:val="single" w:sz="4" w:space="0" w:color="CCCCCC"/>
              <w:right w:val="single" w:sz="4" w:space="0" w:color="CCCCCC"/>
            </w:tcBorders>
            <w:shd w:val="clear" w:color="D6E4F0" w:fill="D6E4F0"/>
          </w:tcPr>
          <w:p w14:paraId="52C5BA9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How can emerging technologies enable successful enactment and implementation of carbon emissions regulations in construction?</w:t>
            </w:r>
          </w:p>
        </w:tc>
        <w:tc>
          <w:tcPr>
            <w:tcW w:w="0" w:type="auto"/>
            <w:tcBorders>
              <w:top w:val="nil"/>
              <w:left w:val="nil"/>
              <w:bottom w:val="single" w:sz="4" w:space="0" w:color="CCCCCC"/>
              <w:right w:val="single" w:sz="4" w:space="0" w:color="CCCCCC"/>
            </w:tcBorders>
            <w:shd w:val="clear" w:color="D6E4F0" w:fill="D6E4F0"/>
          </w:tcPr>
          <w:p w14:paraId="0694194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Systematic literature review; bibliometric analysis of 2020-2024 publications; framework development using thematic synthesis.</w:t>
            </w:r>
          </w:p>
        </w:tc>
        <w:tc>
          <w:tcPr>
            <w:tcW w:w="0" w:type="auto"/>
            <w:tcBorders>
              <w:top w:val="nil"/>
              <w:left w:val="nil"/>
              <w:bottom w:val="single" w:sz="4" w:space="0" w:color="CCCCCC"/>
              <w:right w:val="single" w:sz="4" w:space="0" w:color="CCCCCC"/>
            </w:tcBorders>
            <w:shd w:val="clear" w:color="D6E4F0" w:fill="D6E4F0"/>
          </w:tcPr>
          <w:p w14:paraId="7A9AC49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Carbon taxes, credits and certificates effectively manage construction material emissions. Low-carbon procurement requirements are emerging globally as a key regulatory </w:t>
            </w:r>
            <w:r w:rsidRPr="003A7791">
              <w:rPr>
                <w:rFonts w:ascii="Arial" w:hAnsi="Arial" w:cs="Arial"/>
                <w:color w:val="000000"/>
                <w:sz w:val="24"/>
                <w:szCs w:val="24"/>
              </w:rPr>
              <w:lastRenderedPageBreak/>
              <w:t>tool. Technology integration (BIM, blockchain, IoT) is essential for monitoring and verifying carbon compliance in supply chains.</w:t>
            </w:r>
          </w:p>
        </w:tc>
      </w:tr>
      <w:tr w:rsidR="003A7791" w:rsidRPr="003A7791" w14:paraId="0B3B2716"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FFFFFF" w:fill="FFFFFF"/>
          </w:tcPr>
          <w:p w14:paraId="19C72D38"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30</w:t>
            </w:r>
          </w:p>
        </w:tc>
        <w:tc>
          <w:tcPr>
            <w:tcW w:w="0" w:type="auto"/>
            <w:tcBorders>
              <w:top w:val="nil"/>
              <w:left w:val="nil"/>
              <w:bottom w:val="single" w:sz="4" w:space="0" w:color="CCCCCC"/>
              <w:right w:val="single" w:sz="4" w:space="0" w:color="CCCCCC"/>
            </w:tcBorders>
            <w:shd w:val="clear" w:color="FFFFFF" w:fill="FFFFFF"/>
          </w:tcPr>
          <w:p w14:paraId="091E7FE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Advancing Green Steel Technologies for Sustainable and Low-Carbon Steel Production</w:t>
            </w:r>
          </w:p>
        </w:tc>
        <w:tc>
          <w:tcPr>
            <w:tcW w:w="0" w:type="auto"/>
            <w:tcBorders>
              <w:top w:val="nil"/>
              <w:left w:val="nil"/>
              <w:bottom w:val="single" w:sz="4" w:space="0" w:color="CCCCCC"/>
              <w:right w:val="single" w:sz="4" w:space="0" w:color="CCCCCC"/>
            </w:tcBorders>
            <w:shd w:val="clear" w:color="FFFFFF" w:fill="FFFFFF"/>
          </w:tcPr>
          <w:p w14:paraId="721CBFF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International Journal of Professional Business Review</w:t>
            </w:r>
          </w:p>
        </w:tc>
        <w:tc>
          <w:tcPr>
            <w:tcW w:w="0" w:type="auto"/>
            <w:tcBorders>
              <w:top w:val="nil"/>
              <w:left w:val="nil"/>
              <w:bottom w:val="single" w:sz="4" w:space="0" w:color="CCCCCC"/>
              <w:right w:val="single" w:sz="4" w:space="0" w:color="CCCCCC"/>
            </w:tcBorders>
            <w:shd w:val="clear" w:color="FFFFFF" w:fill="FFFFFF"/>
          </w:tcPr>
          <w:p w14:paraId="53FD4FC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FFFFFF" w:fill="FFFFFF"/>
          </w:tcPr>
          <w:p w14:paraId="37EA789C"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FFFFFF" w:fill="FFFFFF"/>
          </w:tcPr>
          <w:p w14:paraId="3921C10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investigate green steel technologies and compare emissions, energy use, and costs across different production routes.</w:t>
            </w:r>
          </w:p>
        </w:tc>
        <w:tc>
          <w:tcPr>
            <w:tcW w:w="0" w:type="auto"/>
            <w:tcBorders>
              <w:top w:val="nil"/>
              <w:left w:val="nil"/>
              <w:bottom w:val="single" w:sz="4" w:space="0" w:color="CCCCCC"/>
              <w:right w:val="single" w:sz="4" w:space="0" w:color="CCCCCC"/>
            </w:tcBorders>
            <w:shd w:val="clear" w:color="FFFFFF" w:fill="FFFFFF"/>
          </w:tcPr>
          <w:p w14:paraId="5EF7FB6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Review EAF, hydrogen DRI, and CCS-based steelmaking technologies; compare emissions intensity and cost competitiveness; assess procurement implications.</w:t>
            </w:r>
          </w:p>
        </w:tc>
        <w:tc>
          <w:tcPr>
            <w:tcW w:w="0" w:type="auto"/>
            <w:tcBorders>
              <w:top w:val="nil"/>
              <w:left w:val="nil"/>
              <w:bottom w:val="single" w:sz="4" w:space="0" w:color="CCCCCC"/>
              <w:right w:val="single" w:sz="4" w:space="0" w:color="CCCCCC"/>
            </w:tcBorders>
            <w:shd w:val="clear" w:color="FFFFFF" w:fill="FFFFFF"/>
          </w:tcPr>
          <w:p w14:paraId="6A742C3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are the most promising green steel technologies and what are their emissions and cost profiles relative to conventional production?</w:t>
            </w:r>
          </w:p>
        </w:tc>
        <w:tc>
          <w:tcPr>
            <w:tcW w:w="0" w:type="auto"/>
            <w:tcBorders>
              <w:top w:val="nil"/>
              <w:left w:val="nil"/>
              <w:bottom w:val="single" w:sz="4" w:space="0" w:color="CCCCCC"/>
              <w:right w:val="single" w:sz="4" w:space="0" w:color="CCCCCC"/>
            </w:tcBorders>
            <w:shd w:val="clear" w:color="FFFFFF" w:fill="FFFFFF"/>
          </w:tcPr>
          <w:p w14:paraId="05D0B0E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Comparative review of green steel production routes; analysis of technology readiness, emissions data, and economic feasibility.</w:t>
            </w:r>
          </w:p>
        </w:tc>
        <w:tc>
          <w:tcPr>
            <w:tcW w:w="0" w:type="auto"/>
            <w:tcBorders>
              <w:top w:val="nil"/>
              <w:left w:val="nil"/>
              <w:bottom w:val="single" w:sz="4" w:space="0" w:color="CCCCCC"/>
              <w:right w:val="single" w:sz="4" w:space="0" w:color="CCCCCC"/>
            </w:tcBorders>
            <w:shd w:val="clear" w:color="FFFFFF" w:fill="FFFFFF"/>
          </w:tcPr>
          <w:p w14:paraId="321FDBA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EAF-based green steel production offers the lowest current emissions intensity. Hydrogen DRI is the most promising near-zero route but remains cost-constrained. Under carbon pricing regimes includin</w:t>
            </w:r>
            <w:r w:rsidRPr="003A7791">
              <w:rPr>
                <w:rFonts w:ascii="Arial" w:hAnsi="Arial" w:cs="Arial"/>
                <w:color w:val="000000"/>
                <w:sz w:val="24"/>
                <w:szCs w:val="24"/>
              </w:rPr>
              <w:lastRenderedPageBreak/>
              <w:t>g CBAM, green EAF steel is projected to achieve cost parity with conventional BOF steel within the UK CBAM implementation period.</w:t>
            </w:r>
          </w:p>
        </w:tc>
      </w:tr>
      <w:tr w:rsidR="003A7791" w:rsidRPr="003A7791" w14:paraId="7B75183E"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D6E4F0" w:fill="D6E4F0"/>
          </w:tcPr>
          <w:p w14:paraId="7757230C"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31</w:t>
            </w:r>
          </w:p>
        </w:tc>
        <w:tc>
          <w:tcPr>
            <w:tcW w:w="0" w:type="auto"/>
            <w:tcBorders>
              <w:top w:val="nil"/>
              <w:left w:val="nil"/>
              <w:bottom w:val="single" w:sz="4" w:space="0" w:color="CCCCCC"/>
              <w:right w:val="single" w:sz="4" w:space="0" w:color="CCCCCC"/>
            </w:tcBorders>
            <w:shd w:val="clear" w:color="D6E4F0" w:fill="D6E4F0"/>
          </w:tcPr>
          <w:p w14:paraId="64E87C1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Green Supply Chain for Steel Raw Materials Under Price and Demand Uncertainty</w:t>
            </w:r>
          </w:p>
        </w:tc>
        <w:tc>
          <w:tcPr>
            <w:tcW w:w="0" w:type="auto"/>
            <w:tcBorders>
              <w:top w:val="nil"/>
              <w:left w:val="nil"/>
              <w:bottom w:val="single" w:sz="4" w:space="0" w:color="CCCCCC"/>
              <w:right w:val="single" w:sz="4" w:space="0" w:color="CCCCCC"/>
            </w:tcBorders>
            <w:shd w:val="clear" w:color="D6E4F0" w:fill="D6E4F0"/>
          </w:tcPr>
          <w:p w14:paraId="45EC89F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Journal of Environmental Management</w:t>
            </w:r>
          </w:p>
        </w:tc>
        <w:tc>
          <w:tcPr>
            <w:tcW w:w="0" w:type="auto"/>
            <w:tcBorders>
              <w:top w:val="nil"/>
              <w:left w:val="nil"/>
              <w:bottom w:val="single" w:sz="4" w:space="0" w:color="CCCCCC"/>
              <w:right w:val="single" w:sz="4" w:space="0" w:color="CCCCCC"/>
            </w:tcBorders>
            <w:shd w:val="clear" w:color="D6E4F0" w:fill="D6E4F0"/>
          </w:tcPr>
          <w:p w14:paraId="1E76ABB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D6E4F0" w:fill="D6E4F0"/>
          </w:tcPr>
          <w:p w14:paraId="49A76307"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2024</w:t>
            </w:r>
          </w:p>
        </w:tc>
        <w:tc>
          <w:tcPr>
            <w:tcW w:w="0" w:type="auto"/>
            <w:tcBorders>
              <w:top w:val="nil"/>
              <w:left w:val="nil"/>
              <w:bottom w:val="single" w:sz="4" w:space="0" w:color="CCCCCC"/>
              <w:right w:val="single" w:sz="4" w:space="0" w:color="CCCCCC"/>
            </w:tcBorders>
            <w:shd w:val="clear" w:color="D6E4F0" w:fill="D6E4F0"/>
          </w:tcPr>
          <w:p w14:paraId="358ED69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optimise green supply chain procurement planning for steel raw materials under uncertain price and demand conditions.</w:t>
            </w:r>
          </w:p>
        </w:tc>
        <w:tc>
          <w:tcPr>
            <w:tcW w:w="0" w:type="auto"/>
            <w:tcBorders>
              <w:top w:val="nil"/>
              <w:left w:val="nil"/>
              <w:bottom w:val="single" w:sz="4" w:space="0" w:color="CCCCCC"/>
              <w:right w:val="single" w:sz="4" w:space="0" w:color="CCCCCC"/>
            </w:tcBorders>
            <w:shd w:val="clear" w:color="D6E4F0" w:fill="D6E4F0"/>
          </w:tcPr>
          <w:p w14:paraId="43CA360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Develop robust optimisation model for multi-echelon steel supply chains; minimise procurement, inventory and carbon emission costs under uncertainty.</w:t>
            </w:r>
          </w:p>
        </w:tc>
        <w:tc>
          <w:tcPr>
            <w:tcW w:w="0" w:type="auto"/>
            <w:tcBorders>
              <w:top w:val="nil"/>
              <w:left w:val="nil"/>
              <w:bottom w:val="single" w:sz="4" w:space="0" w:color="CCCCCC"/>
              <w:right w:val="single" w:sz="4" w:space="0" w:color="CCCCCC"/>
            </w:tcBorders>
            <w:shd w:val="clear" w:color="D6E4F0" w:fill="D6E4F0"/>
          </w:tcPr>
          <w:p w14:paraId="3F8814C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How should steel enterprises optimise procurement and inventory plans to minimise costs and carbon emissions under uncertain market conditions?</w:t>
            </w:r>
          </w:p>
        </w:tc>
        <w:tc>
          <w:tcPr>
            <w:tcW w:w="0" w:type="auto"/>
            <w:tcBorders>
              <w:top w:val="nil"/>
              <w:left w:val="nil"/>
              <w:bottom w:val="single" w:sz="4" w:space="0" w:color="CCCCCC"/>
              <w:right w:val="single" w:sz="4" w:space="0" w:color="CCCCCC"/>
            </w:tcBorders>
            <w:shd w:val="clear" w:color="D6E4F0" w:fill="D6E4F0"/>
          </w:tcPr>
          <w:p w14:paraId="62919C1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Multi-echelon, multi-period supply chain model; robust optimisation; linear programming; scenario analysis.</w:t>
            </w:r>
          </w:p>
        </w:tc>
        <w:tc>
          <w:tcPr>
            <w:tcW w:w="0" w:type="auto"/>
            <w:tcBorders>
              <w:top w:val="nil"/>
              <w:left w:val="nil"/>
              <w:bottom w:val="single" w:sz="4" w:space="0" w:color="CCCCCC"/>
              <w:right w:val="single" w:sz="4" w:space="0" w:color="CCCCCC"/>
            </w:tcBorders>
            <w:shd w:val="clear" w:color="D6E4F0" w:fill="D6E4F0"/>
          </w:tcPr>
          <w:p w14:paraId="071CEB2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Carbon emission costs are now a material factor in steel procurement planning. A robust optimisation approach incorporating carbon costs yields lower total costs than traditional procurement planning. </w:t>
            </w:r>
            <w:r w:rsidRPr="003A7791">
              <w:rPr>
                <w:rFonts w:ascii="Arial" w:hAnsi="Arial" w:cs="Arial"/>
                <w:color w:val="000000"/>
                <w:sz w:val="24"/>
                <w:szCs w:val="24"/>
              </w:rPr>
              <w:lastRenderedPageBreak/>
              <w:t>Results are directly applicable to UK Construction MNEs optimising CBAM-exposed steel procurement strategies.</w:t>
            </w:r>
          </w:p>
        </w:tc>
      </w:tr>
      <w:tr w:rsidR="003A7791" w:rsidRPr="003A7791" w14:paraId="4DFDF2AA"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FFFFFF" w:fill="FFFFFF"/>
          </w:tcPr>
          <w:p w14:paraId="562FF8C2"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32</w:t>
            </w:r>
          </w:p>
        </w:tc>
        <w:tc>
          <w:tcPr>
            <w:tcW w:w="0" w:type="auto"/>
            <w:tcBorders>
              <w:top w:val="nil"/>
              <w:left w:val="nil"/>
              <w:bottom w:val="single" w:sz="4" w:space="0" w:color="CCCCCC"/>
              <w:right w:val="single" w:sz="4" w:space="0" w:color="CCCCCC"/>
            </w:tcBorders>
            <w:shd w:val="clear" w:color="FFFFFF" w:fill="FFFFFF"/>
          </w:tcPr>
          <w:p w14:paraId="09671C9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Insight into Border Carbon Adjustment: A Visual Bibliometric Analysis 2009-2024</w:t>
            </w:r>
          </w:p>
        </w:tc>
        <w:tc>
          <w:tcPr>
            <w:tcW w:w="0" w:type="auto"/>
            <w:tcBorders>
              <w:top w:val="nil"/>
              <w:left w:val="nil"/>
              <w:bottom w:val="single" w:sz="4" w:space="0" w:color="CCCCCC"/>
              <w:right w:val="single" w:sz="4" w:space="0" w:color="CCCCCC"/>
            </w:tcBorders>
            <w:shd w:val="clear" w:color="FFFFFF" w:fill="FFFFFF"/>
          </w:tcPr>
          <w:p w14:paraId="53C0BF3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Humanities and Social Sciences Communications (Nature)</w:t>
            </w:r>
          </w:p>
        </w:tc>
        <w:tc>
          <w:tcPr>
            <w:tcW w:w="0" w:type="auto"/>
            <w:tcBorders>
              <w:top w:val="nil"/>
              <w:left w:val="nil"/>
              <w:bottom w:val="single" w:sz="4" w:space="0" w:color="CCCCCC"/>
              <w:right w:val="single" w:sz="4" w:space="0" w:color="CCCCCC"/>
            </w:tcBorders>
            <w:shd w:val="clear" w:color="FFFFFF" w:fill="FFFFFF"/>
          </w:tcPr>
          <w:p w14:paraId="2473C20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FFFFFF" w:fill="FFFFFF"/>
          </w:tcPr>
          <w:p w14:paraId="07E81AE2"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FFFFFF" w:fill="FFFFFF"/>
          </w:tcPr>
          <w:p w14:paraId="6E5BFF6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provide a comprehensive bibliometric review of border carbon adjustment (BCA) research from 2009 to 2024.</w:t>
            </w:r>
          </w:p>
        </w:tc>
        <w:tc>
          <w:tcPr>
            <w:tcW w:w="0" w:type="auto"/>
            <w:tcBorders>
              <w:top w:val="nil"/>
              <w:left w:val="nil"/>
              <w:bottom w:val="single" w:sz="4" w:space="0" w:color="CCCCCC"/>
              <w:right w:val="single" w:sz="4" w:space="0" w:color="CCCCCC"/>
            </w:tcBorders>
            <w:shd w:val="clear" w:color="FFFFFF" w:fill="FFFFFF"/>
          </w:tcPr>
          <w:p w14:paraId="5A611DA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Construct knowledge network of BCA research; trace thematic evolution using keyword timeline analysis; identify global research hotspots.</w:t>
            </w:r>
          </w:p>
        </w:tc>
        <w:tc>
          <w:tcPr>
            <w:tcW w:w="0" w:type="auto"/>
            <w:tcBorders>
              <w:top w:val="nil"/>
              <w:left w:val="nil"/>
              <w:bottom w:val="single" w:sz="4" w:space="0" w:color="CCCCCC"/>
              <w:right w:val="single" w:sz="4" w:space="0" w:color="CCCCCC"/>
            </w:tcBorders>
            <w:shd w:val="clear" w:color="FFFFFF" w:fill="FFFFFF"/>
          </w:tcPr>
          <w:p w14:paraId="5ABC765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How has BCA research evolved over 2009-2024, and what are the key global research hotspots and future directions?</w:t>
            </w:r>
          </w:p>
        </w:tc>
        <w:tc>
          <w:tcPr>
            <w:tcW w:w="0" w:type="auto"/>
            <w:tcBorders>
              <w:top w:val="nil"/>
              <w:left w:val="nil"/>
              <w:bottom w:val="single" w:sz="4" w:space="0" w:color="CCCCCC"/>
              <w:right w:val="single" w:sz="4" w:space="0" w:color="CCCCCC"/>
            </w:tcBorders>
            <w:shd w:val="clear" w:color="FFFFFF" w:fill="FFFFFF"/>
          </w:tcPr>
          <w:p w14:paraId="0B1521E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Bibliometric analysis using </w:t>
            </w:r>
            <w:proofErr w:type="spellStart"/>
            <w:r w:rsidRPr="003A7791">
              <w:rPr>
                <w:rFonts w:ascii="Arial" w:hAnsi="Arial" w:cs="Arial"/>
                <w:color w:val="000000"/>
                <w:sz w:val="24"/>
                <w:szCs w:val="24"/>
              </w:rPr>
              <w:t>CiteSpace</w:t>
            </w:r>
            <w:proofErr w:type="spellEnd"/>
            <w:r w:rsidRPr="003A7791">
              <w:rPr>
                <w:rFonts w:ascii="Arial" w:hAnsi="Arial" w:cs="Arial"/>
                <w:color w:val="000000"/>
                <w:sz w:val="24"/>
                <w:szCs w:val="24"/>
              </w:rPr>
              <w:t xml:space="preserve"> and </w:t>
            </w:r>
            <w:proofErr w:type="spellStart"/>
            <w:r w:rsidRPr="003A7791">
              <w:rPr>
                <w:rFonts w:ascii="Arial" w:hAnsi="Arial" w:cs="Arial"/>
                <w:color w:val="000000"/>
                <w:sz w:val="24"/>
                <w:szCs w:val="24"/>
              </w:rPr>
              <w:t>VOSviewer</w:t>
            </w:r>
            <w:proofErr w:type="spellEnd"/>
            <w:r w:rsidRPr="003A7791">
              <w:rPr>
                <w:rFonts w:ascii="Arial" w:hAnsi="Arial" w:cs="Arial"/>
                <w:color w:val="000000"/>
                <w:sz w:val="24"/>
                <w:szCs w:val="24"/>
              </w:rPr>
              <w:t xml:space="preserve">; analysis of WOSCC, CNKI and </w:t>
            </w:r>
            <w:proofErr w:type="spellStart"/>
            <w:r w:rsidRPr="003A7791">
              <w:rPr>
                <w:rFonts w:ascii="Arial" w:hAnsi="Arial" w:cs="Arial"/>
                <w:color w:val="000000"/>
                <w:sz w:val="24"/>
                <w:szCs w:val="24"/>
              </w:rPr>
              <w:t>arXiv</w:t>
            </w:r>
            <w:proofErr w:type="spellEnd"/>
            <w:r w:rsidRPr="003A7791">
              <w:rPr>
                <w:rFonts w:ascii="Arial" w:hAnsi="Arial" w:cs="Arial"/>
                <w:color w:val="000000"/>
                <w:sz w:val="24"/>
                <w:szCs w:val="24"/>
              </w:rPr>
              <w:t xml:space="preserve"> databases; keyword co-occurrence mapping.</w:t>
            </w:r>
          </w:p>
        </w:tc>
        <w:tc>
          <w:tcPr>
            <w:tcW w:w="0" w:type="auto"/>
            <w:tcBorders>
              <w:top w:val="nil"/>
              <w:left w:val="nil"/>
              <w:bottom w:val="single" w:sz="4" w:space="0" w:color="CCCCCC"/>
              <w:right w:val="single" w:sz="4" w:space="0" w:color="CCCCCC"/>
            </w:tcBorders>
            <w:shd w:val="clear" w:color="FFFFFF" w:fill="FFFFFF"/>
          </w:tcPr>
          <w:p w14:paraId="44C17DA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Five global BCA research hotspots identified: mechanism design, policy efficacy, socioeconomic impacts, supply chain complexities, and post-implementation governance. Supply chain adaptation is the fastest-growing </w:t>
            </w:r>
            <w:r w:rsidRPr="003A7791">
              <w:rPr>
                <w:rFonts w:ascii="Arial" w:hAnsi="Arial" w:cs="Arial"/>
                <w:color w:val="000000"/>
                <w:sz w:val="24"/>
                <w:szCs w:val="24"/>
              </w:rPr>
              <w:lastRenderedPageBreak/>
              <w:t>research cluster. Research increasingly focuses on procurement and sourcing strategy responses to BCA instruments.</w:t>
            </w:r>
          </w:p>
        </w:tc>
      </w:tr>
      <w:tr w:rsidR="003A7791" w:rsidRPr="003A7791" w14:paraId="5997824D"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D6E4F0" w:fill="D6E4F0"/>
          </w:tcPr>
          <w:p w14:paraId="225347CA"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33</w:t>
            </w:r>
          </w:p>
        </w:tc>
        <w:tc>
          <w:tcPr>
            <w:tcW w:w="0" w:type="auto"/>
            <w:tcBorders>
              <w:top w:val="nil"/>
              <w:left w:val="nil"/>
              <w:bottom w:val="single" w:sz="4" w:space="0" w:color="CCCCCC"/>
              <w:right w:val="single" w:sz="4" w:space="0" w:color="CCCCCC"/>
            </w:tcBorders>
            <w:shd w:val="clear" w:color="D6E4F0" w:fill="D6E4F0"/>
          </w:tcPr>
          <w:p w14:paraId="6FF5D6A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A Comparative Review of Material Supply Chains and Sustainability Pathways in Steel and Battery Technologies</w:t>
            </w:r>
          </w:p>
        </w:tc>
        <w:tc>
          <w:tcPr>
            <w:tcW w:w="0" w:type="auto"/>
            <w:tcBorders>
              <w:top w:val="nil"/>
              <w:left w:val="nil"/>
              <w:bottom w:val="single" w:sz="4" w:space="0" w:color="CCCCCC"/>
              <w:right w:val="single" w:sz="4" w:space="0" w:color="CCCCCC"/>
            </w:tcBorders>
            <w:shd w:val="clear" w:color="D6E4F0" w:fill="D6E4F0"/>
          </w:tcPr>
          <w:p w14:paraId="4539202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Resources, Conservation and Recycling</w:t>
            </w:r>
          </w:p>
        </w:tc>
        <w:tc>
          <w:tcPr>
            <w:tcW w:w="0" w:type="auto"/>
            <w:tcBorders>
              <w:top w:val="nil"/>
              <w:left w:val="nil"/>
              <w:bottom w:val="single" w:sz="4" w:space="0" w:color="CCCCCC"/>
              <w:right w:val="single" w:sz="4" w:space="0" w:color="CCCCCC"/>
            </w:tcBorders>
            <w:shd w:val="clear" w:color="D6E4F0" w:fill="D6E4F0"/>
          </w:tcPr>
          <w:p w14:paraId="3B92933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D6E4F0" w:fill="D6E4F0"/>
          </w:tcPr>
          <w:p w14:paraId="012771AB"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D6E4F0" w:fill="D6E4F0"/>
          </w:tcPr>
          <w:p w14:paraId="61404CD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examine structural shifts and strategic responses in material supply chains for steel and battery sectors under climate and geopolitical pressures.</w:t>
            </w:r>
          </w:p>
        </w:tc>
        <w:tc>
          <w:tcPr>
            <w:tcW w:w="0" w:type="auto"/>
            <w:tcBorders>
              <w:top w:val="nil"/>
              <w:left w:val="nil"/>
              <w:bottom w:val="single" w:sz="4" w:space="0" w:color="CCCCCC"/>
              <w:right w:val="single" w:sz="4" w:space="0" w:color="CCCCCC"/>
            </w:tcBorders>
            <w:shd w:val="clear" w:color="D6E4F0" w:fill="D6E4F0"/>
          </w:tcPr>
          <w:p w14:paraId="7ACFC16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Review decarbonisation technology adoption in steel supply chains; assess EAF and hydrogen steelmaking competitive dynamics; evaluate circular economy potential.</w:t>
            </w:r>
          </w:p>
        </w:tc>
        <w:tc>
          <w:tcPr>
            <w:tcW w:w="0" w:type="auto"/>
            <w:tcBorders>
              <w:top w:val="nil"/>
              <w:left w:val="nil"/>
              <w:bottom w:val="single" w:sz="4" w:space="0" w:color="CCCCCC"/>
              <w:right w:val="single" w:sz="4" w:space="0" w:color="CCCCCC"/>
            </w:tcBorders>
            <w:shd w:val="clear" w:color="D6E4F0" w:fill="D6E4F0"/>
          </w:tcPr>
          <w:p w14:paraId="0F3B325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How are global steel supply chains responding to decarbonisation imperatives, and what strategic reconfiguration is underway?</w:t>
            </w:r>
          </w:p>
        </w:tc>
        <w:tc>
          <w:tcPr>
            <w:tcW w:w="0" w:type="auto"/>
            <w:tcBorders>
              <w:top w:val="nil"/>
              <w:left w:val="nil"/>
              <w:bottom w:val="single" w:sz="4" w:space="0" w:color="CCCCCC"/>
              <w:right w:val="single" w:sz="4" w:space="0" w:color="CCCCCC"/>
            </w:tcBorders>
            <w:shd w:val="clear" w:color="D6E4F0" w:fill="D6E4F0"/>
          </w:tcPr>
          <w:p w14:paraId="6D06BD6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Systematic comparative review; empirical and theoretical analysis of supply chain structural shifts; assessment of EAF adoption and geopolitical supply risks.</w:t>
            </w:r>
          </w:p>
        </w:tc>
        <w:tc>
          <w:tcPr>
            <w:tcW w:w="0" w:type="auto"/>
            <w:tcBorders>
              <w:top w:val="nil"/>
              <w:left w:val="nil"/>
              <w:bottom w:val="single" w:sz="4" w:space="0" w:color="CCCCCC"/>
              <w:right w:val="single" w:sz="4" w:space="0" w:color="CCCCCC"/>
            </w:tcBorders>
            <w:shd w:val="clear" w:color="D6E4F0" w:fill="D6E4F0"/>
          </w:tcPr>
          <w:p w14:paraId="369DAA3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Global steel supply chains are undergoing structural transformation driven by carbon pricing, geopolitical risk and decarbonisation imperatives. EAF adoption is accelerating among major producers. UK Constru</w:t>
            </w:r>
            <w:r w:rsidRPr="003A7791">
              <w:rPr>
                <w:rFonts w:ascii="Arial" w:hAnsi="Arial" w:cs="Arial"/>
                <w:color w:val="000000"/>
                <w:sz w:val="24"/>
                <w:szCs w:val="24"/>
              </w:rPr>
              <w:lastRenderedPageBreak/>
              <w:t>ction MNEs sourcing from EAF-based suppliers can reduce CBAM exposure while improving carbon credentials.</w:t>
            </w:r>
          </w:p>
        </w:tc>
      </w:tr>
      <w:tr w:rsidR="003A7791" w:rsidRPr="003A7791" w14:paraId="37E44805"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FFFFFF" w:fill="FFFFFF"/>
          </w:tcPr>
          <w:p w14:paraId="246EB604"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34</w:t>
            </w:r>
          </w:p>
        </w:tc>
        <w:tc>
          <w:tcPr>
            <w:tcW w:w="0" w:type="auto"/>
            <w:tcBorders>
              <w:top w:val="nil"/>
              <w:left w:val="nil"/>
              <w:bottom w:val="single" w:sz="4" w:space="0" w:color="CCCCCC"/>
              <w:right w:val="single" w:sz="4" w:space="0" w:color="CCCCCC"/>
            </w:tcBorders>
            <w:shd w:val="clear" w:color="FFFFFF" w:fill="FFFFFF"/>
          </w:tcPr>
          <w:p w14:paraId="46497C7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The Economics of Border Carbon Adjustment: Rationale and Impacts of Compensating for Carbon at the Border</w:t>
            </w:r>
          </w:p>
        </w:tc>
        <w:tc>
          <w:tcPr>
            <w:tcW w:w="0" w:type="auto"/>
            <w:tcBorders>
              <w:top w:val="nil"/>
              <w:left w:val="nil"/>
              <w:bottom w:val="single" w:sz="4" w:space="0" w:color="CCCCCC"/>
              <w:right w:val="single" w:sz="4" w:space="0" w:color="CCCCCC"/>
            </w:tcBorders>
            <w:shd w:val="clear" w:color="FFFFFF" w:fill="FFFFFF"/>
          </w:tcPr>
          <w:p w14:paraId="0C389FE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Annual Review of Economics</w:t>
            </w:r>
          </w:p>
        </w:tc>
        <w:tc>
          <w:tcPr>
            <w:tcW w:w="0" w:type="auto"/>
            <w:tcBorders>
              <w:top w:val="nil"/>
              <w:left w:val="nil"/>
              <w:bottom w:val="single" w:sz="4" w:space="0" w:color="CCCCCC"/>
              <w:right w:val="single" w:sz="4" w:space="0" w:color="CCCCCC"/>
            </w:tcBorders>
            <w:shd w:val="clear" w:color="FFFFFF" w:fill="FFFFFF"/>
          </w:tcPr>
          <w:p w14:paraId="735A022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FFFFFF" w:fill="FFFFFF"/>
          </w:tcPr>
          <w:p w14:paraId="5F1191B2"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2023</w:t>
            </w:r>
          </w:p>
        </w:tc>
        <w:tc>
          <w:tcPr>
            <w:tcW w:w="0" w:type="auto"/>
            <w:tcBorders>
              <w:top w:val="nil"/>
              <w:left w:val="nil"/>
              <w:bottom w:val="single" w:sz="4" w:space="0" w:color="CCCCCC"/>
              <w:right w:val="single" w:sz="4" w:space="0" w:color="CCCCCC"/>
            </w:tcBorders>
            <w:shd w:val="clear" w:color="FFFFFF" w:fill="FFFFFF"/>
          </w:tcPr>
          <w:p w14:paraId="400F397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provide a rigorous economic analysis of the rationale, design and macroeconomic impacts of border carbon adjustment mechanisms.</w:t>
            </w:r>
          </w:p>
        </w:tc>
        <w:tc>
          <w:tcPr>
            <w:tcW w:w="0" w:type="auto"/>
            <w:tcBorders>
              <w:top w:val="nil"/>
              <w:left w:val="nil"/>
              <w:bottom w:val="single" w:sz="4" w:space="0" w:color="CCCCCC"/>
              <w:right w:val="single" w:sz="4" w:space="0" w:color="CCCCCC"/>
            </w:tcBorders>
            <w:shd w:val="clear" w:color="FFFFFF" w:fill="FFFFFF"/>
          </w:tcPr>
          <w:p w14:paraId="231DA33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Assess the theoretical basis for BCAs; evaluate empirical evidence on carbon leakage; model distributional and trade effects of different BCA designs.</w:t>
            </w:r>
          </w:p>
        </w:tc>
        <w:tc>
          <w:tcPr>
            <w:tcW w:w="0" w:type="auto"/>
            <w:tcBorders>
              <w:top w:val="nil"/>
              <w:left w:val="nil"/>
              <w:bottom w:val="single" w:sz="4" w:space="0" w:color="CCCCCC"/>
              <w:right w:val="single" w:sz="4" w:space="0" w:color="CCCCCC"/>
            </w:tcBorders>
            <w:shd w:val="clear" w:color="FFFFFF" w:fill="FFFFFF"/>
          </w:tcPr>
          <w:p w14:paraId="430A516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is the economic rationale for border carbon adjustment, and what are its projected impacts on trade, competitiveness and emissions?</w:t>
            </w:r>
          </w:p>
        </w:tc>
        <w:tc>
          <w:tcPr>
            <w:tcW w:w="0" w:type="auto"/>
            <w:tcBorders>
              <w:top w:val="nil"/>
              <w:left w:val="nil"/>
              <w:bottom w:val="single" w:sz="4" w:space="0" w:color="CCCCCC"/>
              <w:right w:val="single" w:sz="4" w:space="0" w:color="CCCCCC"/>
            </w:tcBorders>
            <w:shd w:val="clear" w:color="FFFFFF" w:fill="FFFFFF"/>
          </w:tcPr>
          <w:p w14:paraId="7DE2155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Comprehensive economic review; theoretical modelling; synthesis of empirical literature on carbon pricing and trade policy.</w:t>
            </w:r>
          </w:p>
        </w:tc>
        <w:tc>
          <w:tcPr>
            <w:tcW w:w="0" w:type="auto"/>
            <w:tcBorders>
              <w:top w:val="nil"/>
              <w:left w:val="nil"/>
              <w:bottom w:val="single" w:sz="4" w:space="0" w:color="CCCCCC"/>
              <w:right w:val="single" w:sz="4" w:space="0" w:color="CCCCCC"/>
            </w:tcBorders>
            <w:shd w:val="clear" w:color="FFFFFF" w:fill="FFFFFF"/>
          </w:tcPr>
          <w:p w14:paraId="65598F8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Border carbon adjustments are economically justified where domestic carbon pricing creates competitiveness asymmetries. BCAs effectively internalise carbon costs in import prices, reducing carbon leakage. Sectoral impacts are </w:t>
            </w:r>
            <w:r w:rsidRPr="003A7791">
              <w:rPr>
                <w:rFonts w:ascii="Arial" w:hAnsi="Arial" w:cs="Arial"/>
                <w:color w:val="000000"/>
                <w:sz w:val="24"/>
                <w:szCs w:val="24"/>
              </w:rPr>
              <w:lastRenderedPageBreak/>
              <w:t>highest in steel, aluminium, cement and fertilisers — precisely the materials subject to UK CBAM.</w:t>
            </w:r>
          </w:p>
        </w:tc>
      </w:tr>
      <w:tr w:rsidR="003A7791" w:rsidRPr="003A7791" w14:paraId="39CFEE7D"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D6E4F0" w:fill="D6E4F0"/>
          </w:tcPr>
          <w:p w14:paraId="4BABCC12"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35</w:t>
            </w:r>
          </w:p>
        </w:tc>
        <w:tc>
          <w:tcPr>
            <w:tcW w:w="0" w:type="auto"/>
            <w:tcBorders>
              <w:top w:val="nil"/>
              <w:left w:val="nil"/>
              <w:bottom w:val="single" w:sz="4" w:space="0" w:color="CCCCCC"/>
              <w:right w:val="single" w:sz="4" w:space="0" w:color="CCCCCC"/>
            </w:tcBorders>
            <w:shd w:val="clear" w:color="D6E4F0" w:fill="D6E4F0"/>
          </w:tcPr>
          <w:p w14:paraId="18C0A9B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EU in Search of a Carbon Border Adjustment Mechanism</w:t>
            </w:r>
          </w:p>
        </w:tc>
        <w:tc>
          <w:tcPr>
            <w:tcW w:w="0" w:type="auto"/>
            <w:tcBorders>
              <w:top w:val="nil"/>
              <w:left w:val="nil"/>
              <w:bottom w:val="single" w:sz="4" w:space="0" w:color="CCCCCC"/>
              <w:right w:val="single" w:sz="4" w:space="0" w:color="CCCCCC"/>
            </w:tcBorders>
            <w:shd w:val="clear" w:color="D6E4F0" w:fill="D6E4F0"/>
          </w:tcPr>
          <w:p w14:paraId="323C209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Energy Economics</w:t>
            </w:r>
          </w:p>
        </w:tc>
        <w:tc>
          <w:tcPr>
            <w:tcW w:w="0" w:type="auto"/>
            <w:tcBorders>
              <w:top w:val="nil"/>
              <w:left w:val="nil"/>
              <w:bottom w:val="single" w:sz="4" w:space="0" w:color="CCCCCC"/>
              <w:right w:val="single" w:sz="4" w:space="0" w:color="CCCCCC"/>
            </w:tcBorders>
            <w:shd w:val="clear" w:color="D6E4F0" w:fill="D6E4F0"/>
          </w:tcPr>
          <w:p w14:paraId="47BAD01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Bellora, C. and </w:t>
            </w:r>
            <w:proofErr w:type="spellStart"/>
            <w:r w:rsidRPr="003A7791">
              <w:rPr>
                <w:rFonts w:ascii="Arial" w:hAnsi="Arial" w:cs="Arial"/>
                <w:color w:val="000000"/>
                <w:sz w:val="24"/>
                <w:szCs w:val="24"/>
              </w:rPr>
              <w:t>Fontagné</w:t>
            </w:r>
            <w:proofErr w:type="spellEnd"/>
            <w:r w:rsidRPr="003A7791">
              <w:rPr>
                <w:rFonts w:ascii="Arial" w:hAnsi="Arial" w:cs="Arial"/>
                <w:color w:val="000000"/>
                <w:sz w:val="24"/>
                <w:szCs w:val="24"/>
              </w:rPr>
              <w:t>, L.</w:t>
            </w:r>
          </w:p>
        </w:tc>
        <w:tc>
          <w:tcPr>
            <w:tcW w:w="0" w:type="auto"/>
            <w:tcBorders>
              <w:top w:val="nil"/>
              <w:left w:val="nil"/>
              <w:bottom w:val="single" w:sz="4" w:space="0" w:color="CCCCCC"/>
              <w:right w:val="single" w:sz="4" w:space="0" w:color="CCCCCC"/>
            </w:tcBorders>
            <w:shd w:val="clear" w:color="D6E4F0" w:fill="D6E4F0"/>
          </w:tcPr>
          <w:p w14:paraId="64CCF124"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2023</w:t>
            </w:r>
          </w:p>
        </w:tc>
        <w:tc>
          <w:tcPr>
            <w:tcW w:w="0" w:type="auto"/>
            <w:tcBorders>
              <w:top w:val="nil"/>
              <w:left w:val="nil"/>
              <w:bottom w:val="single" w:sz="4" w:space="0" w:color="CCCCCC"/>
              <w:right w:val="single" w:sz="4" w:space="0" w:color="CCCCCC"/>
            </w:tcBorders>
            <w:shd w:val="clear" w:color="D6E4F0" w:fill="D6E4F0"/>
          </w:tcPr>
          <w:p w14:paraId="254BF18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quantify the environmental and economic impacts of different EU CBAM design scenarios, including implications for carbon leakage and industrial competitiveness.</w:t>
            </w:r>
          </w:p>
        </w:tc>
        <w:tc>
          <w:tcPr>
            <w:tcW w:w="0" w:type="auto"/>
            <w:tcBorders>
              <w:top w:val="nil"/>
              <w:left w:val="nil"/>
              <w:bottom w:val="single" w:sz="4" w:space="0" w:color="CCCCCC"/>
              <w:right w:val="single" w:sz="4" w:space="0" w:color="CCCCCC"/>
            </w:tcBorders>
            <w:shd w:val="clear" w:color="D6E4F0" w:fill="D6E4F0"/>
          </w:tcPr>
          <w:p w14:paraId="6D7DC71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Model CBAM design alternatives; quantify impacts on carbon leakage, GDP, trade flows and value added by sector; assess downstream industry effects.</w:t>
            </w:r>
          </w:p>
        </w:tc>
        <w:tc>
          <w:tcPr>
            <w:tcW w:w="0" w:type="auto"/>
            <w:tcBorders>
              <w:top w:val="nil"/>
              <w:left w:val="nil"/>
              <w:bottom w:val="single" w:sz="4" w:space="0" w:color="CCCCCC"/>
              <w:right w:val="single" w:sz="4" w:space="0" w:color="CCCCCC"/>
            </w:tcBorders>
            <w:shd w:val="clear" w:color="D6E4F0" w:fill="D6E4F0"/>
          </w:tcPr>
          <w:p w14:paraId="0D4CCC8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are the economic and environmental impacts of different CBAM design schemes, and how effectively does CBAM reduce carbon leakage?</w:t>
            </w:r>
          </w:p>
        </w:tc>
        <w:tc>
          <w:tcPr>
            <w:tcW w:w="0" w:type="auto"/>
            <w:tcBorders>
              <w:top w:val="nil"/>
              <w:left w:val="nil"/>
              <w:bottom w:val="single" w:sz="4" w:space="0" w:color="CCCCCC"/>
              <w:right w:val="single" w:sz="4" w:space="0" w:color="CCCCCC"/>
            </w:tcBorders>
            <w:shd w:val="clear" w:color="D6E4F0" w:fill="D6E4F0"/>
          </w:tcPr>
          <w:p w14:paraId="564E150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General equilibrium modelling; quantitative scenario analysis across CBAM design variants; trade and emissions impact assessment.</w:t>
            </w:r>
          </w:p>
        </w:tc>
        <w:tc>
          <w:tcPr>
            <w:tcW w:w="0" w:type="auto"/>
            <w:tcBorders>
              <w:top w:val="nil"/>
              <w:left w:val="nil"/>
              <w:bottom w:val="single" w:sz="4" w:space="0" w:color="CCCCCC"/>
              <w:right w:val="single" w:sz="4" w:space="0" w:color="CCCCCC"/>
            </w:tcBorders>
            <w:shd w:val="clear" w:color="D6E4F0" w:fill="D6E4F0"/>
          </w:tcPr>
          <w:p w14:paraId="0C8A89A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CBAM effectively reduces carbon leakage when designed with broad sectoral coverage. CBAM increases domestic carbon prices within ETS, strengthening the incentive for domestic low-carbon production. Downstream industries not covered by </w:t>
            </w:r>
            <w:r w:rsidRPr="003A7791">
              <w:rPr>
                <w:rFonts w:ascii="Arial" w:hAnsi="Arial" w:cs="Arial"/>
                <w:color w:val="000000"/>
                <w:sz w:val="24"/>
                <w:szCs w:val="24"/>
              </w:rPr>
              <w:lastRenderedPageBreak/>
              <w:t>CBAM bear indirect cost pass-through, affecting construction sector procurement costs.</w:t>
            </w:r>
          </w:p>
        </w:tc>
      </w:tr>
      <w:tr w:rsidR="003A7791" w:rsidRPr="003A7791" w14:paraId="152E0DF6"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FFFFFF" w:fill="FFFFFF"/>
          </w:tcPr>
          <w:p w14:paraId="78FCFFEF"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36</w:t>
            </w:r>
          </w:p>
        </w:tc>
        <w:tc>
          <w:tcPr>
            <w:tcW w:w="0" w:type="auto"/>
            <w:tcBorders>
              <w:top w:val="nil"/>
              <w:left w:val="nil"/>
              <w:bottom w:val="single" w:sz="4" w:space="0" w:color="CCCCCC"/>
              <w:right w:val="single" w:sz="4" w:space="0" w:color="CCCCCC"/>
            </w:tcBorders>
            <w:shd w:val="clear" w:color="FFFFFF" w:fill="FFFFFF"/>
          </w:tcPr>
          <w:p w14:paraId="1CF35B7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Decarbonising the Construction Supply Chain: Barriers, Drivers and Pathways</w:t>
            </w:r>
          </w:p>
        </w:tc>
        <w:tc>
          <w:tcPr>
            <w:tcW w:w="0" w:type="auto"/>
            <w:tcBorders>
              <w:top w:val="nil"/>
              <w:left w:val="nil"/>
              <w:bottom w:val="single" w:sz="4" w:space="0" w:color="CCCCCC"/>
              <w:right w:val="single" w:sz="4" w:space="0" w:color="CCCCCC"/>
            </w:tcBorders>
            <w:shd w:val="clear" w:color="FFFFFF" w:fill="FFFFFF"/>
          </w:tcPr>
          <w:p w14:paraId="3F082CB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Built Environment Project and Asset Management</w:t>
            </w:r>
          </w:p>
        </w:tc>
        <w:tc>
          <w:tcPr>
            <w:tcW w:w="0" w:type="auto"/>
            <w:tcBorders>
              <w:top w:val="nil"/>
              <w:left w:val="nil"/>
              <w:bottom w:val="single" w:sz="4" w:space="0" w:color="CCCCCC"/>
              <w:right w:val="single" w:sz="4" w:space="0" w:color="CCCCCC"/>
            </w:tcBorders>
            <w:shd w:val="clear" w:color="FFFFFF" w:fill="FFFFFF"/>
          </w:tcPr>
          <w:p w14:paraId="37A8051B" w14:textId="77777777" w:rsidR="003A7791" w:rsidRPr="003A7791" w:rsidRDefault="003A7791" w:rsidP="007B3AB8">
            <w:pPr>
              <w:rPr>
                <w:rFonts w:ascii="Arial" w:hAnsi="Arial" w:cs="Arial"/>
                <w:color w:val="000000"/>
                <w:sz w:val="24"/>
                <w:szCs w:val="24"/>
              </w:rPr>
            </w:pPr>
            <w:proofErr w:type="spellStart"/>
            <w:r w:rsidRPr="003A7791">
              <w:rPr>
                <w:rFonts w:ascii="Arial" w:hAnsi="Arial" w:cs="Arial"/>
                <w:color w:val="000000"/>
                <w:sz w:val="24"/>
                <w:szCs w:val="24"/>
              </w:rPr>
              <w:t>Pamenter</w:t>
            </w:r>
            <w:proofErr w:type="spellEnd"/>
            <w:r w:rsidRPr="003A7791">
              <w:rPr>
                <w:rFonts w:ascii="Arial" w:hAnsi="Arial" w:cs="Arial"/>
                <w:color w:val="000000"/>
                <w:sz w:val="24"/>
                <w:szCs w:val="24"/>
              </w:rPr>
              <w:t>, S. and Myers, R.J.</w:t>
            </w:r>
          </w:p>
        </w:tc>
        <w:tc>
          <w:tcPr>
            <w:tcW w:w="0" w:type="auto"/>
            <w:tcBorders>
              <w:top w:val="nil"/>
              <w:left w:val="nil"/>
              <w:bottom w:val="single" w:sz="4" w:space="0" w:color="CCCCCC"/>
              <w:right w:val="single" w:sz="4" w:space="0" w:color="CCCCCC"/>
            </w:tcBorders>
            <w:shd w:val="clear" w:color="FFFFFF" w:fill="FFFFFF"/>
          </w:tcPr>
          <w:p w14:paraId="43D89F1F"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2021</w:t>
            </w:r>
          </w:p>
        </w:tc>
        <w:tc>
          <w:tcPr>
            <w:tcW w:w="0" w:type="auto"/>
            <w:tcBorders>
              <w:top w:val="nil"/>
              <w:left w:val="nil"/>
              <w:bottom w:val="single" w:sz="4" w:space="0" w:color="CCCCCC"/>
              <w:right w:val="single" w:sz="4" w:space="0" w:color="CCCCCC"/>
            </w:tcBorders>
            <w:shd w:val="clear" w:color="FFFFFF" w:fill="FFFFFF"/>
          </w:tcPr>
          <w:p w14:paraId="685D389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identify barriers, drivers and pathways for decarbonising the construction supply chain with a focus on material procurement.</w:t>
            </w:r>
          </w:p>
        </w:tc>
        <w:tc>
          <w:tcPr>
            <w:tcW w:w="0" w:type="auto"/>
            <w:tcBorders>
              <w:top w:val="nil"/>
              <w:left w:val="nil"/>
              <w:bottom w:val="single" w:sz="4" w:space="0" w:color="CCCCCC"/>
              <w:right w:val="single" w:sz="4" w:space="0" w:color="CCCCCC"/>
            </w:tcBorders>
            <w:shd w:val="clear" w:color="FFFFFF" w:fill="FFFFFF"/>
          </w:tcPr>
          <w:p w14:paraId="5B50A18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Map decarbonisation barriers across construction supply chain stages; identify regulatory and market drivers; assess feasibility of low-carbon material sourcing pathways.</w:t>
            </w:r>
          </w:p>
        </w:tc>
        <w:tc>
          <w:tcPr>
            <w:tcW w:w="0" w:type="auto"/>
            <w:tcBorders>
              <w:top w:val="nil"/>
              <w:left w:val="nil"/>
              <w:bottom w:val="single" w:sz="4" w:space="0" w:color="CCCCCC"/>
              <w:right w:val="single" w:sz="4" w:space="0" w:color="CCCCCC"/>
            </w:tcBorders>
            <w:shd w:val="clear" w:color="FFFFFF" w:fill="FFFFFF"/>
          </w:tcPr>
          <w:p w14:paraId="3F521D2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are the key barriers and drivers for decarbonising construction supply chains, and what pathways are most viable for the UK construction sector?</w:t>
            </w:r>
          </w:p>
        </w:tc>
        <w:tc>
          <w:tcPr>
            <w:tcW w:w="0" w:type="auto"/>
            <w:tcBorders>
              <w:top w:val="nil"/>
              <w:left w:val="nil"/>
              <w:bottom w:val="single" w:sz="4" w:space="0" w:color="CCCCCC"/>
              <w:right w:val="single" w:sz="4" w:space="0" w:color="CCCCCC"/>
            </w:tcBorders>
            <w:shd w:val="clear" w:color="FFFFFF" w:fill="FFFFFF"/>
          </w:tcPr>
          <w:p w14:paraId="4C360C5B"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Qualitative analysis; expert interviews; case study analysis of major UK construction projects.</w:t>
            </w:r>
          </w:p>
        </w:tc>
        <w:tc>
          <w:tcPr>
            <w:tcW w:w="0" w:type="auto"/>
            <w:tcBorders>
              <w:top w:val="nil"/>
              <w:left w:val="nil"/>
              <w:bottom w:val="single" w:sz="4" w:space="0" w:color="CCCCCC"/>
              <w:right w:val="single" w:sz="4" w:space="0" w:color="CCCCCC"/>
            </w:tcBorders>
            <w:shd w:val="clear" w:color="FFFFFF" w:fill="FFFFFF"/>
          </w:tcPr>
          <w:p w14:paraId="5084E41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Regulatory frameworks and carbon pricing are the strongest drivers for supply chain decarbonisation. Material procurement is the most impactful lever for embodied carbon reduction. Supplier engagement and long-term offtake </w:t>
            </w:r>
            <w:r w:rsidRPr="003A7791">
              <w:rPr>
                <w:rFonts w:ascii="Arial" w:hAnsi="Arial" w:cs="Arial"/>
                <w:color w:val="000000"/>
                <w:sz w:val="24"/>
                <w:szCs w:val="24"/>
              </w:rPr>
              <w:lastRenderedPageBreak/>
              <w:t>agreements for low-carbon materials are key enablers for UK construction MNEs.</w:t>
            </w:r>
          </w:p>
        </w:tc>
      </w:tr>
      <w:tr w:rsidR="003A7791" w:rsidRPr="003A7791" w14:paraId="531AA198"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D6E4F0" w:fill="D6E4F0"/>
          </w:tcPr>
          <w:p w14:paraId="22DA492C"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37</w:t>
            </w:r>
          </w:p>
        </w:tc>
        <w:tc>
          <w:tcPr>
            <w:tcW w:w="0" w:type="auto"/>
            <w:tcBorders>
              <w:top w:val="nil"/>
              <w:left w:val="nil"/>
              <w:bottom w:val="single" w:sz="4" w:space="0" w:color="CCCCCC"/>
              <w:right w:val="single" w:sz="4" w:space="0" w:color="CCCCCC"/>
            </w:tcBorders>
            <w:shd w:val="clear" w:color="D6E4F0" w:fill="D6E4F0"/>
          </w:tcPr>
          <w:p w14:paraId="2B35D64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Carbon Border Adjustment Mechanism: Supply Chain Implications for UK Importers</w:t>
            </w:r>
          </w:p>
        </w:tc>
        <w:tc>
          <w:tcPr>
            <w:tcW w:w="0" w:type="auto"/>
            <w:tcBorders>
              <w:top w:val="nil"/>
              <w:left w:val="nil"/>
              <w:bottom w:val="single" w:sz="4" w:space="0" w:color="CCCCCC"/>
              <w:right w:val="single" w:sz="4" w:space="0" w:color="CCCCCC"/>
            </w:tcBorders>
            <w:shd w:val="clear" w:color="D6E4F0" w:fill="D6E4F0"/>
          </w:tcPr>
          <w:p w14:paraId="4B6B467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Supply Chain Management: An International Journal</w:t>
            </w:r>
          </w:p>
        </w:tc>
        <w:tc>
          <w:tcPr>
            <w:tcW w:w="0" w:type="auto"/>
            <w:tcBorders>
              <w:top w:val="nil"/>
              <w:left w:val="nil"/>
              <w:bottom w:val="single" w:sz="4" w:space="0" w:color="CCCCCC"/>
              <w:right w:val="single" w:sz="4" w:space="0" w:color="CCCCCC"/>
            </w:tcBorders>
            <w:shd w:val="clear" w:color="D6E4F0" w:fill="D6E4F0"/>
          </w:tcPr>
          <w:p w14:paraId="6D7A9AF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D6E4F0" w:fill="D6E4F0"/>
          </w:tcPr>
          <w:p w14:paraId="1398EDB9"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2024</w:t>
            </w:r>
          </w:p>
        </w:tc>
        <w:tc>
          <w:tcPr>
            <w:tcW w:w="0" w:type="auto"/>
            <w:tcBorders>
              <w:top w:val="nil"/>
              <w:left w:val="nil"/>
              <w:bottom w:val="single" w:sz="4" w:space="0" w:color="CCCCCC"/>
              <w:right w:val="single" w:sz="4" w:space="0" w:color="CCCCCC"/>
            </w:tcBorders>
            <w:shd w:val="clear" w:color="D6E4F0" w:fill="D6E4F0"/>
          </w:tcPr>
          <w:p w14:paraId="6CE497F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assess the practical supply chain implications of the UK CBAM for importers of high-emission construction materials.</w:t>
            </w:r>
          </w:p>
        </w:tc>
        <w:tc>
          <w:tcPr>
            <w:tcW w:w="0" w:type="auto"/>
            <w:tcBorders>
              <w:top w:val="nil"/>
              <w:left w:val="nil"/>
              <w:bottom w:val="single" w:sz="4" w:space="0" w:color="CCCCCC"/>
              <w:right w:val="single" w:sz="4" w:space="0" w:color="CCCCCC"/>
            </w:tcBorders>
            <w:shd w:val="clear" w:color="D6E4F0" w:fill="D6E4F0"/>
          </w:tcPr>
          <w:p w14:paraId="18A6BCB1"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Map CBAM compliance requirements across supply chain tiers; identify data collection and reporting challenges; assess cost implications for UK importers.</w:t>
            </w:r>
          </w:p>
        </w:tc>
        <w:tc>
          <w:tcPr>
            <w:tcW w:w="0" w:type="auto"/>
            <w:tcBorders>
              <w:top w:val="nil"/>
              <w:left w:val="nil"/>
              <w:bottom w:val="single" w:sz="4" w:space="0" w:color="CCCCCC"/>
              <w:right w:val="single" w:sz="4" w:space="0" w:color="CCCCCC"/>
            </w:tcBorders>
            <w:shd w:val="clear" w:color="D6E4F0" w:fill="D6E4F0"/>
          </w:tcPr>
          <w:p w14:paraId="4FA1A3B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What are the practical supply chain management implications of UK CBAM compliance for UK importers of steel, aluminium and cement?</w:t>
            </w:r>
          </w:p>
        </w:tc>
        <w:tc>
          <w:tcPr>
            <w:tcW w:w="0" w:type="auto"/>
            <w:tcBorders>
              <w:top w:val="nil"/>
              <w:left w:val="nil"/>
              <w:bottom w:val="single" w:sz="4" w:space="0" w:color="CCCCCC"/>
              <w:right w:val="single" w:sz="4" w:space="0" w:color="CCCCCC"/>
            </w:tcBorders>
            <w:shd w:val="clear" w:color="D6E4F0" w:fill="D6E4F0"/>
          </w:tcPr>
          <w:p w14:paraId="0713C13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Qualitative analysis; regulatory document review; expert consultation with UK importers and supply chain practitioners.</w:t>
            </w:r>
          </w:p>
        </w:tc>
        <w:tc>
          <w:tcPr>
            <w:tcW w:w="0" w:type="auto"/>
            <w:tcBorders>
              <w:top w:val="nil"/>
              <w:left w:val="nil"/>
              <w:bottom w:val="single" w:sz="4" w:space="0" w:color="CCCCCC"/>
              <w:right w:val="single" w:sz="4" w:space="0" w:color="CCCCCC"/>
            </w:tcBorders>
            <w:shd w:val="clear" w:color="D6E4F0" w:fill="D6E4F0"/>
          </w:tcPr>
          <w:p w14:paraId="1BE8F56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Procurement must shift from vague sustainability criteria to specific supplier-level emissions data requirements. Supply chain transparency and EPD adoption are critical for CBAM compliance. Iron and steel importers carry approximately 75% of initial CBAM cost </w:t>
            </w:r>
            <w:r w:rsidRPr="003A7791">
              <w:rPr>
                <w:rFonts w:ascii="Arial" w:hAnsi="Arial" w:cs="Arial"/>
                <w:color w:val="000000"/>
                <w:sz w:val="24"/>
                <w:szCs w:val="24"/>
              </w:rPr>
              <w:lastRenderedPageBreak/>
              <w:t>burden, creating urgent need for procurement strategy adaptation.</w:t>
            </w:r>
          </w:p>
        </w:tc>
      </w:tr>
      <w:tr w:rsidR="003A7791" w:rsidRPr="003A7791" w14:paraId="3F343E75" w14:textId="77777777" w:rsidTr="003A7791">
        <w:trPr>
          <w:trHeight w:val="1224"/>
          <w:jc w:val="center"/>
        </w:trPr>
        <w:tc>
          <w:tcPr>
            <w:tcW w:w="0" w:type="auto"/>
            <w:tcBorders>
              <w:top w:val="nil"/>
              <w:left w:val="single" w:sz="4" w:space="0" w:color="CCCCCC"/>
              <w:bottom w:val="single" w:sz="4" w:space="0" w:color="CCCCCC"/>
              <w:right w:val="single" w:sz="4" w:space="0" w:color="CCCCCC"/>
            </w:tcBorders>
            <w:shd w:val="clear" w:color="FFFFFF" w:fill="FFFFFF"/>
          </w:tcPr>
          <w:p w14:paraId="3FB61AC3"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38</w:t>
            </w:r>
          </w:p>
        </w:tc>
        <w:tc>
          <w:tcPr>
            <w:tcW w:w="0" w:type="auto"/>
            <w:tcBorders>
              <w:top w:val="nil"/>
              <w:left w:val="nil"/>
              <w:bottom w:val="single" w:sz="4" w:space="0" w:color="CCCCCC"/>
              <w:right w:val="single" w:sz="4" w:space="0" w:color="CCCCCC"/>
            </w:tcBorders>
            <w:shd w:val="clear" w:color="FFFFFF" w:fill="FFFFFF"/>
          </w:tcPr>
          <w:p w14:paraId="482D7CD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Competitive Dynamics in Carbon-Regulated Supply Chains: Carbon Price Thresholds and Sourcing Shifts</w:t>
            </w:r>
          </w:p>
        </w:tc>
        <w:tc>
          <w:tcPr>
            <w:tcW w:w="0" w:type="auto"/>
            <w:tcBorders>
              <w:top w:val="nil"/>
              <w:left w:val="nil"/>
              <w:bottom w:val="single" w:sz="4" w:space="0" w:color="CCCCCC"/>
              <w:right w:val="single" w:sz="4" w:space="0" w:color="CCCCCC"/>
            </w:tcBorders>
            <w:shd w:val="clear" w:color="FFFFFF" w:fill="FFFFFF"/>
          </w:tcPr>
          <w:p w14:paraId="141A067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International Journal of Production Economics</w:t>
            </w:r>
          </w:p>
        </w:tc>
        <w:tc>
          <w:tcPr>
            <w:tcW w:w="0" w:type="auto"/>
            <w:tcBorders>
              <w:top w:val="nil"/>
              <w:left w:val="nil"/>
              <w:bottom w:val="single" w:sz="4" w:space="0" w:color="CCCCCC"/>
              <w:right w:val="single" w:sz="4" w:space="0" w:color="CCCCCC"/>
            </w:tcBorders>
            <w:shd w:val="clear" w:color="FFFFFF" w:fill="FFFFFF"/>
          </w:tcPr>
          <w:p w14:paraId="4576C0F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FFFFFF" w:fill="FFFFFF"/>
          </w:tcPr>
          <w:p w14:paraId="77D5DDB4"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2022</w:t>
            </w:r>
          </w:p>
        </w:tc>
        <w:tc>
          <w:tcPr>
            <w:tcW w:w="0" w:type="auto"/>
            <w:tcBorders>
              <w:top w:val="nil"/>
              <w:left w:val="nil"/>
              <w:bottom w:val="single" w:sz="4" w:space="0" w:color="CCCCCC"/>
              <w:right w:val="single" w:sz="4" w:space="0" w:color="CCCCCC"/>
            </w:tcBorders>
            <w:shd w:val="clear" w:color="FFFFFF" w:fill="FFFFFF"/>
          </w:tcPr>
          <w:p w14:paraId="62A74D0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examine how carbon pricing thresholds affect competitive dynamics and sourcing shift decisions in carbon-regulated supply chains.</w:t>
            </w:r>
          </w:p>
        </w:tc>
        <w:tc>
          <w:tcPr>
            <w:tcW w:w="0" w:type="auto"/>
            <w:tcBorders>
              <w:top w:val="nil"/>
              <w:left w:val="nil"/>
              <w:bottom w:val="single" w:sz="4" w:space="0" w:color="CCCCCC"/>
              <w:right w:val="single" w:sz="4" w:space="0" w:color="CCCCCC"/>
            </w:tcBorders>
            <w:shd w:val="clear" w:color="FFFFFF" w:fill="FFFFFF"/>
          </w:tcPr>
          <w:p w14:paraId="4742211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Model competitive dynamics under carbon pricing regimes; determine price thresholds that trigger sourcing shifts; assess implications for procurement strategy in capital-intensive industries.</w:t>
            </w:r>
          </w:p>
        </w:tc>
        <w:tc>
          <w:tcPr>
            <w:tcW w:w="0" w:type="auto"/>
            <w:tcBorders>
              <w:top w:val="nil"/>
              <w:left w:val="nil"/>
              <w:bottom w:val="single" w:sz="4" w:space="0" w:color="CCCCCC"/>
              <w:right w:val="single" w:sz="4" w:space="0" w:color="CCCCCC"/>
            </w:tcBorders>
            <w:shd w:val="clear" w:color="FFFFFF" w:fill="FFFFFF"/>
          </w:tcPr>
          <w:p w14:paraId="4EFB4CC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At what carbon price threshold do firms shift sourcing toward lower-carbon suppliers, and what competitive dynamics emerge in regulated supply chains?</w:t>
            </w:r>
          </w:p>
        </w:tc>
        <w:tc>
          <w:tcPr>
            <w:tcW w:w="0" w:type="auto"/>
            <w:tcBorders>
              <w:top w:val="nil"/>
              <w:left w:val="nil"/>
              <w:bottom w:val="single" w:sz="4" w:space="0" w:color="CCCCCC"/>
              <w:right w:val="single" w:sz="4" w:space="0" w:color="CCCCCC"/>
            </w:tcBorders>
            <w:shd w:val="clear" w:color="FFFFFF" w:fill="FFFFFF"/>
          </w:tcPr>
          <w:p w14:paraId="19BCA88A"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Quantitative game-theoretic modelling; supply chain competition analysis; scenario modelling across carbon price ranges.</w:t>
            </w:r>
          </w:p>
        </w:tc>
        <w:tc>
          <w:tcPr>
            <w:tcW w:w="0" w:type="auto"/>
            <w:tcBorders>
              <w:top w:val="nil"/>
              <w:left w:val="nil"/>
              <w:bottom w:val="single" w:sz="4" w:space="0" w:color="CCCCCC"/>
              <w:right w:val="single" w:sz="4" w:space="0" w:color="CCCCCC"/>
            </w:tcBorders>
            <w:shd w:val="clear" w:color="FFFFFF" w:fill="FFFFFF"/>
          </w:tcPr>
          <w:p w14:paraId="759A657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Carbon pricing creates threshold effects in sourcing decisions. Once carbon price exceeds a critical threshold, rapid supplier substitution occurs. Early movers to low-carbon suppliers secure long-term cost and competitive advantages. Results support the </w:t>
            </w:r>
            <w:r w:rsidRPr="003A7791">
              <w:rPr>
                <w:rFonts w:ascii="Arial" w:hAnsi="Arial" w:cs="Arial"/>
                <w:color w:val="000000"/>
                <w:sz w:val="24"/>
                <w:szCs w:val="24"/>
              </w:rPr>
              <w:lastRenderedPageBreak/>
              <w:t>case for proactive green steel sourcing by UK Construction MNEs ahead of UK CBAM 2027 implementation.</w:t>
            </w:r>
          </w:p>
        </w:tc>
      </w:tr>
      <w:tr w:rsidR="003A7791" w:rsidRPr="003A7791" w14:paraId="4F9BB789"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D6E4F0" w:fill="D6E4F0"/>
          </w:tcPr>
          <w:p w14:paraId="524CE472"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39</w:t>
            </w:r>
          </w:p>
        </w:tc>
        <w:tc>
          <w:tcPr>
            <w:tcW w:w="0" w:type="auto"/>
            <w:tcBorders>
              <w:top w:val="nil"/>
              <w:left w:val="nil"/>
              <w:bottom w:val="single" w:sz="4" w:space="0" w:color="CCCCCC"/>
              <w:right w:val="single" w:sz="4" w:space="0" w:color="CCCCCC"/>
            </w:tcBorders>
            <w:shd w:val="clear" w:color="D6E4F0" w:fill="D6E4F0"/>
          </w:tcPr>
          <w:p w14:paraId="6AE4D05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Carbon Emission Reporting and Disclosure in Supply Chains: The Role of Regulatory Pressure and Firm Capabilities</w:t>
            </w:r>
          </w:p>
        </w:tc>
        <w:tc>
          <w:tcPr>
            <w:tcW w:w="0" w:type="auto"/>
            <w:tcBorders>
              <w:top w:val="nil"/>
              <w:left w:val="nil"/>
              <w:bottom w:val="single" w:sz="4" w:space="0" w:color="CCCCCC"/>
              <w:right w:val="single" w:sz="4" w:space="0" w:color="CCCCCC"/>
            </w:tcBorders>
            <w:shd w:val="clear" w:color="D6E4F0" w:fill="D6E4F0"/>
          </w:tcPr>
          <w:p w14:paraId="671A6FA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Journal of Cleaner Production</w:t>
            </w:r>
          </w:p>
        </w:tc>
        <w:tc>
          <w:tcPr>
            <w:tcW w:w="0" w:type="auto"/>
            <w:tcBorders>
              <w:top w:val="nil"/>
              <w:left w:val="nil"/>
              <w:bottom w:val="single" w:sz="4" w:space="0" w:color="CCCCCC"/>
              <w:right w:val="single" w:sz="4" w:space="0" w:color="CCCCCC"/>
            </w:tcBorders>
            <w:shd w:val="clear" w:color="D6E4F0" w:fill="D6E4F0"/>
          </w:tcPr>
          <w:p w14:paraId="7C3A3AD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D6E4F0" w:fill="D6E4F0"/>
          </w:tcPr>
          <w:p w14:paraId="60F08739"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2023</w:t>
            </w:r>
          </w:p>
        </w:tc>
        <w:tc>
          <w:tcPr>
            <w:tcW w:w="0" w:type="auto"/>
            <w:tcBorders>
              <w:top w:val="nil"/>
              <w:left w:val="nil"/>
              <w:bottom w:val="single" w:sz="4" w:space="0" w:color="CCCCCC"/>
              <w:right w:val="single" w:sz="4" w:space="0" w:color="CCCCCC"/>
            </w:tcBorders>
            <w:shd w:val="clear" w:color="D6E4F0" w:fill="D6E4F0"/>
          </w:tcPr>
          <w:p w14:paraId="0680813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investigate how regulatory pressure and firm-level capabilities interact to drive carbon emission reporting and disclosure across supply chains.</w:t>
            </w:r>
          </w:p>
        </w:tc>
        <w:tc>
          <w:tcPr>
            <w:tcW w:w="0" w:type="auto"/>
            <w:tcBorders>
              <w:top w:val="nil"/>
              <w:left w:val="nil"/>
              <w:bottom w:val="single" w:sz="4" w:space="0" w:color="CCCCCC"/>
              <w:right w:val="single" w:sz="4" w:space="0" w:color="CCCCCC"/>
            </w:tcBorders>
            <w:shd w:val="clear" w:color="D6E4F0" w:fill="D6E4F0"/>
          </w:tcPr>
          <w:p w14:paraId="0AEA8104"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Examine drivers of supply chain carbon disclosure; assess the role of regulatory frameworks and firm capabilities in disclosure quality; identify implications for procurement.</w:t>
            </w:r>
          </w:p>
        </w:tc>
        <w:tc>
          <w:tcPr>
            <w:tcW w:w="0" w:type="auto"/>
            <w:tcBorders>
              <w:top w:val="nil"/>
              <w:left w:val="nil"/>
              <w:bottom w:val="single" w:sz="4" w:space="0" w:color="CCCCCC"/>
              <w:right w:val="single" w:sz="4" w:space="0" w:color="CCCCCC"/>
            </w:tcBorders>
            <w:shd w:val="clear" w:color="D6E4F0" w:fill="D6E4F0"/>
          </w:tcPr>
          <w:p w14:paraId="61641BF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How do regulatory pressure and firm capabilities interact to influence supply chain carbon disclosure quality and completeness?</w:t>
            </w:r>
          </w:p>
        </w:tc>
        <w:tc>
          <w:tcPr>
            <w:tcW w:w="0" w:type="auto"/>
            <w:tcBorders>
              <w:top w:val="nil"/>
              <w:left w:val="nil"/>
              <w:bottom w:val="single" w:sz="4" w:space="0" w:color="CCCCCC"/>
              <w:right w:val="single" w:sz="4" w:space="0" w:color="CCCCCC"/>
            </w:tcBorders>
            <w:shd w:val="clear" w:color="D6E4F0" w:fill="D6E4F0"/>
          </w:tcPr>
          <w:p w14:paraId="5892B93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Survey-based quantitative research; structural equation modelling; firm-level data from manufacturing and construction supply chains.</w:t>
            </w:r>
          </w:p>
        </w:tc>
        <w:tc>
          <w:tcPr>
            <w:tcW w:w="0" w:type="auto"/>
            <w:tcBorders>
              <w:top w:val="nil"/>
              <w:left w:val="nil"/>
              <w:bottom w:val="single" w:sz="4" w:space="0" w:color="CCCCCC"/>
              <w:right w:val="single" w:sz="4" w:space="0" w:color="CCCCCC"/>
            </w:tcBorders>
            <w:shd w:val="clear" w:color="D6E4F0" w:fill="D6E4F0"/>
          </w:tcPr>
          <w:p w14:paraId="0FD73F1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Regulatory pressure is the primary driver of supply chain carbon disclosure. Firms with strong sustainability capabilities produce higher quality disclosures that enable more effective procurement decisions. CBAM will </w:t>
            </w:r>
            <w:r w:rsidRPr="003A7791">
              <w:rPr>
                <w:rFonts w:ascii="Arial" w:hAnsi="Arial" w:cs="Arial"/>
                <w:color w:val="000000"/>
                <w:sz w:val="24"/>
                <w:szCs w:val="24"/>
              </w:rPr>
              <w:lastRenderedPageBreak/>
              <w:t>significantly intensify regulatory pressure on UK importers to obtain supplier-level carbon data.</w:t>
            </w:r>
          </w:p>
        </w:tc>
      </w:tr>
      <w:tr w:rsidR="003A7791" w:rsidRPr="003A7791" w14:paraId="1CB887AF" w14:textId="77777777" w:rsidTr="003A7791">
        <w:trPr>
          <w:trHeight w:val="1020"/>
          <w:jc w:val="center"/>
        </w:trPr>
        <w:tc>
          <w:tcPr>
            <w:tcW w:w="0" w:type="auto"/>
            <w:tcBorders>
              <w:top w:val="nil"/>
              <w:left w:val="single" w:sz="4" w:space="0" w:color="CCCCCC"/>
              <w:bottom w:val="single" w:sz="4" w:space="0" w:color="CCCCCC"/>
              <w:right w:val="single" w:sz="4" w:space="0" w:color="CCCCCC"/>
            </w:tcBorders>
            <w:shd w:val="clear" w:color="FFFFFF" w:fill="FFFFFF"/>
          </w:tcPr>
          <w:p w14:paraId="23DCD15F"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40</w:t>
            </w:r>
          </w:p>
        </w:tc>
        <w:tc>
          <w:tcPr>
            <w:tcW w:w="0" w:type="auto"/>
            <w:tcBorders>
              <w:top w:val="nil"/>
              <w:left w:val="nil"/>
              <w:bottom w:val="single" w:sz="4" w:space="0" w:color="CCCCCC"/>
              <w:right w:val="single" w:sz="4" w:space="0" w:color="CCCCCC"/>
            </w:tcBorders>
            <w:shd w:val="clear" w:color="FFFFFF" w:fill="FFFFFF"/>
          </w:tcPr>
          <w:p w14:paraId="6958F1B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Climate Regulation and Emissions Abatement: Theory and Evidence from Firms' Disclosures</w:t>
            </w:r>
          </w:p>
        </w:tc>
        <w:tc>
          <w:tcPr>
            <w:tcW w:w="0" w:type="auto"/>
            <w:tcBorders>
              <w:top w:val="nil"/>
              <w:left w:val="nil"/>
              <w:bottom w:val="single" w:sz="4" w:space="0" w:color="CCCCCC"/>
              <w:right w:val="single" w:sz="4" w:space="0" w:color="CCCCCC"/>
            </w:tcBorders>
            <w:shd w:val="clear" w:color="FFFFFF" w:fill="FFFFFF"/>
          </w:tcPr>
          <w:p w14:paraId="143EE3C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Management Science</w:t>
            </w:r>
          </w:p>
        </w:tc>
        <w:tc>
          <w:tcPr>
            <w:tcW w:w="0" w:type="auto"/>
            <w:tcBorders>
              <w:top w:val="nil"/>
              <w:left w:val="nil"/>
              <w:bottom w:val="single" w:sz="4" w:space="0" w:color="CCCCCC"/>
              <w:right w:val="single" w:sz="4" w:space="0" w:color="CCCCCC"/>
            </w:tcBorders>
            <w:shd w:val="clear" w:color="FFFFFF" w:fill="FFFFFF"/>
          </w:tcPr>
          <w:p w14:paraId="4BB46C3B" w14:textId="77777777" w:rsidR="003A7791" w:rsidRPr="003A7791" w:rsidRDefault="003A7791" w:rsidP="007B3AB8">
            <w:pPr>
              <w:rPr>
                <w:rFonts w:ascii="Arial" w:hAnsi="Arial" w:cs="Arial"/>
                <w:color w:val="000000"/>
                <w:sz w:val="24"/>
                <w:szCs w:val="24"/>
              </w:rPr>
            </w:pPr>
            <w:proofErr w:type="spellStart"/>
            <w:r w:rsidRPr="003A7791">
              <w:rPr>
                <w:rFonts w:ascii="Arial" w:hAnsi="Arial" w:cs="Arial"/>
                <w:color w:val="000000"/>
                <w:sz w:val="24"/>
                <w:szCs w:val="24"/>
              </w:rPr>
              <w:t>Ramadorai</w:t>
            </w:r>
            <w:proofErr w:type="spellEnd"/>
            <w:r w:rsidRPr="003A7791">
              <w:rPr>
                <w:rFonts w:ascii="Arial" w:hAnsi="Arial" w:cs="Arial"/>
                <w:color w:val="000000"/>
                <w:sz w:val="24"/>
                <w:szCs w:val="24"/>
              </w:rPr>
              <w:t>, T. and Zeni, F.</w:t>
            </w:r>
          </w:p>
        </w:tc>
        <w:tc>
          <w:tcPr>
            <w:tcW w:w="0" w:type="auto"/>
            <w:tcBorders>
              <w:top w:val="nil"/>
              <w:left w:val="nil"/>
              <w:bottom w:val="single" w:sz="4" w:space="0" w:color="CCCCCC"/>
              <w:right w:val="single" w:sz="4" w:space="0" w:color="CCCCCC"/>
            </w:tcBorders>
            <w:shd w:val="clear" w:color="FFFFFF" w:fill="FFFFFF"/>
          </w:tcPr>
          <w:p w14:paraId="63A8FCB5"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2024</w:t>
            </w:r>
          </w:p>
        </w:tc>
        <w:tc>
          <w:tcPr>
            <w:tcW w:w="0" w:type="auto"/>
            <w:tcBorders>
              <w:top w:val="nil"/>
              <w:left w:val="nil"/>
              <w:bottom w:val="single" w:sz="4" w:space="0" w:color="CCCCCC"/>
              <w:right w:val="single" w:sz="4" w:space="0" w:color="CCCCCC"/>
            </w:tcBorders>
            <w:shd w:val="clear" w:color="FFFFFF" w:fill="FFFFFF"/>
          </w:tcPr>
          <w:p w14:paraId="64F38D7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To examine how climate regulation affects corporate emissions abatement decisions using firm-level disclosure data.</w:t>
            </w:r>
          </w:p>
        </w:tc>
        <w:tc>
          <w:tcPr>
            <w:tcW w:w="0" w:type="auto"/>
            <w:tcBorders>
              <w:top w:val="nil"/>
              <w:left w:val="nil"/>
              <w:bottom w:val="single" w:sz="4" w:space="0" w:color="CCCCCC"/>
              <w:right w:val="single" w:sz="4" w:space="0" w:color="CCCCCC"/>
            </w:tcBorders>
            <w:shd w:val="clear" w:color="FFFFFF" w:fill="FFFFFF"/>
          </w:tcPr>
          <w:p w14:paraId="6E86BC4F"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Assess the relationship between climate regulatory stringency and firm-level emissions abatement; evaluate how disclosure requirements interact with abatement incentives.</w:t>
            </w:r>
          </w:p>
        </w:tc>
        <w:tc>
          <w:tcPr>
            <w:tcW w:w="0" w:type="auto"/>
            <w:tcBorders>
              <w:top w:val="nil"/>
              <w:left w:val="nil"/>
              <w:bottom w:val="single" w:sz="4" w:space="0" w:color="CCCCCC"/>
              <w:right w:val="single" w:sz="4" w:space="0" w:color="CCCCCC"/>
            </w:tcBorders>
            <w:shd w:val="clear" w:color="FFFFFF" w:fill="FFFFFF"/>
          </w:tcPr>
          <w:p w14:paraId="41F317B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Does climate regulation drive genuine emissions abatement at the firm level, and how do disclosure requirements affect abatement incentives?</w:t>
            </w:r>
          </w:p>
        </w:tc>
        <w:tc>
          <w:tcPr>
            <w:tcW w:w="0" w:type="auto"/>
            <w:tcBorders>
              <w:top w:val="nil"/>
              <w:left w:val="nil"/>
              <w:bottom w:val="single" w:sz="4" w:space="0" w:color="CCCCCC"/>
              <w:right w:val="single" w:sz="4" w:space="0" w:color="CCCCCC"/>
            </w:tcBorders>
            <w:shd w:val="clear" w:color="FFFFFF" w:fill="FFFFFF"/>
          </w:tcPr>
          <w:p w14:paraId="25E27D0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Empirical analysis using firm-level climate disclosures; econometric modelling of regulatory stringency and abatement outcomes.</w:t>
            </w:r>
          </w:p>
        </w:tc>
        <w:tc>
          <w:tcPr>
            <w:tcW w:w="0" w:type="auto"/>
            <w:tcBorders>
              <w:top w:val="nil"/>
              <w:left w:val="nil"/>
              <w:bottom w:val="single" w:sz="4" w:space="0" w:color="CCCCCC"/>
              <w:right w:val="single" w:sz="4" w:space="0" w:color="CCCCCC"/>
            </w:tcBorders>
            <w:shd w:val="clear" w:color="FFFFFF" w:fill="FFFFFF"/>
          </w:tcPr>
          <w:p w14:paraId="7CE29D4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Climate regulation drives real emissions abatement at the firm level, not just reporting changes. Disclosure requirements enhance the effectiveness of carbon pricing by increasing transparency. Results support the dissertation's argume</w:t>
            </w:r>
            <w:r w:rsidRPr="003A7791">
              <w:rPr>
                <w:rFonts w:ascii="Arial" w:hAnsi="Arial" w:cs="Arial"/>
                <w:color w:val="000000"/>
                <w:sz w:val="24"/>
                <w:szCs w:val="24"/>
              </w:rPr>
              <w:lastRenderedPageBreak/>
              <w:t>nt that UK CBAM will drive genuine procurement strategy adaptation by UK Construction MNEs.</w:t>
            </w:r>
          </w:p>
        </w:tc>
      </w:tr>
    </w:tbl>
    <w:p w14:paraId="6E3A04C9" w14:textId="77777777" w:rsidR="003A7791" w:rsidRPr="003A7791" w:rsidRDefault="003A7791" w:rsidP="003A7791">
      <w:pPr>
        <w:spacing w:before="120" w:after="120" w:line="360" w:lineRule="auto"/>
        <w:jc w:val="both"/>
        <w:rPr>
          <w:sz w:val="24"/>
          <w:szCs w:val="24"/>
        </w:rPr>
      </w:pPr>
    </w:p>
    <w:p w14:paraId="42D68669" w14:textId="77777777" w:rsidR="003A7791" w:rsidRPr="003A7791" w:rsidRDefault="003A7791" w:rsidP="003A7791">
      <w:pPr>
        <w:spacing w:before="120" w:after="120" w:line="360" w:lineRule="auto"/>
        <w:jc w:val="both"/>
        <w:rPr>
          <w:sz w:val="24"/>
          <w:szCs w:val="24"/>
        </w:rPr>
      </w:pPr>
    </w:p>
    <w:p w14:paraId="3AEF397F" w14:textId="77777777" w:rsidR="003A7791" w:rsidRPr="003A7791" w:rsidRDefault="003A7791" w:rsidP="003A7791">
      <w:pPr>
        <w:spacing w:before="120" w:after="120" w:line="360" w:lineRule="auto"/>
        <w:jc w:val="both"/>
        <w:rPr>
          <w:sz w:val="24"/>
          <w:szCs w:val="24"/>
        </w:rPr>
      </w:pPr>
    </w:p>
    <w:p w14:paraId="067D7E54" w14:textId="77777777" w:rsidR="003A7791" w:rsidRPr="003A7791" w:rsidRDefault="003A7791" w:rsidP="003A7791">
      <w:pPr>
        <w:spacing w:before="120" w:after="120" w:line="360" w:lineRule="auto"/>
        <w:jc w:val="both"/>
        <w:rPr>
          <w:sz w:val="24"/>
          <w:szCs w:val="24"/>
        </w:rPr>
      </w:pPr>
    </w:p>
    <w:p w14:paraId="1764110B" w14:textId="77777777" w:rsidR="003A7791" w:rsidRPr="003A7791" w:rsidRDefault="003A7791" w:rsidP="003A7791">
      <w:pPr>
        <w:spacing w:before="120" w:after="120" w:line="360" w:lineRule="auto"/>
        <w:jc w:val="both"/>
        <w:rPr>
          <w:sz w:val="24"/>
          <w:szCs w:val="24"/>
        </w:rPr>
      </w:pPr>
    </w:p>
    <w:p w14:paraId="74EE9322" w14:textId="77777777" w:rsidR="003A7791" w:rsidRPr="003A7791" w:rsidRDefault="003A7791" w:rsidP="003A7791">
      <w:pPr>
        <w:spacing w:before="120" w:after="120" w:line="360" w:lineRule="auto"/>
        <w:jc w:val="both"/>
        <w:rPr>
          <w:sz w:val="24"/>
          <w:szCs w:val="24"/>
        </w:rPr>
      </w:pPr>
    </w:p>
    <w:tbl>
      <w:tblPr>
        <w:tblW w:w="0" w:type="auto"/>
        <w:jc w:val="center"/>
        <w:tblLook w:val="04A0" w:firstRow="1" w:lastRow="0" w:firstColumn="1" w:lastColumn="0" w:noHBand="0" w:noVBand="1"/>
      </w:tblPr>
      <w:tblGrid>
        <w:gridCol w:w="479"/>
        <w:gridCol w:w="1930"/>
        <w:gridCol w:w="1983"/>
        <w:gridCol w:w="1930"/>
        <w:gridCol w:w="744"/>
        <w:gridCol w:w="2141"/>
      </w:tblGrid>
      <w:tr w:rsidR="003A7791" w:rsidRPr="003A7791" w14:paraId="06E0CE9E" w14:textId="77777777" w:rsidTr="007B3AB8">
        <w:trPr>
          <w:trHeight w:val="600"/>
          <w:jc w:val="center"/>
        </w:trPr>
        <w:tc>
          <w:tcPr>
            <w:tcW w:w="0" w:type="auto"/>
            <w:tcBorders>
              <w:top w:val="single" w:sz="4" w:space="0" w:color="AAAAAA"/>
              <w:left w:val="single" w:sz="4" w:space="0" w:color="AAAAAA"/>
              <w:bottom w:val="single" w:sz="4" w:space="0" w:color="AAAAAA"/>
              <w:right w:val="single" w:sz="4" w:space="0" w:color="AAAAAA"/>
            </w:tcBorders>
            <w:shd w:val="clear" w:color="375623" w:fill="375623"/>
            <w:vAlign w:val="center"/>
          </w:tcPr>
          <w:p w14:paraId="7F8F6BC5"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w:t>
            </w:r>
          </w:p>
        </w:tc>
        <w:tc>
          <w:tcPr>
            <w:tcW w:w="0" w:type="auto"/>
            <w:tcBorders>
              <w:top w:val="single" w:sz="4" w:space="0" w:color="AAAAAA"/>
              <w:left w:val="nil"/>
              <w:bottom w:val="single" w:sz="4" w:space="0" w:color="AAAAAA"/>
              <w:right w:val="single" w:sz="4" w:space="0" w:color="AAAAAA"/>
            </w:tcBorders>
            <w:shd w:val="clear" w:color="375623" w:fill="375623"/>
            <w:vAlign w:val="center"/>
          </w:tcPr>
          <w:p w14:paraId="3C265E7A"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Title</w:t>
            </w:r>
          </w:p>
        </w:tc>
        <w:tc>
          <w:tcPr>
            <w:tcW w:w="0" w:type="auto"/>
            <w:tcBorders>
              <w:top w:val="single" w:sz="4" w:space="0" w:color="AAAAAA"/>
              <w:left w:val="nil"/>
              <w:bottom w:val="single" w:sz="4" w:space="0" w:color="AAAAAA"/>
              <w:right w:val="single" w:sz="4" w:space="0" w:color="AAAAAA"/>
            </w:tcBorders>
            <w:shd w:val="clear" w:color="375623" w:fill="375623"/>
            <w:vAlign w:val="center"/>
          </w:tcPr>
          <w:p w14:paraId="2703362E"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Journal / Source</w:t>
            </w:r>
          </w:p>
        </w:tc>
        <w:tc>
          <w:tcPr>
            <w:tcW w:w="0" w:type="auto"/>
            <w:tcBorders>
              <w:top w:val="single" w:sz="4" w:space="0" w:color="AAAAAA"/>
              <w:left w:val="nil"/>
              <w:bottom w:val="single" w:sz="4" w:space="0" w:color="AAAAAA"/>
              <w:right w:val="single" w:sz="4" w:space="0" w:color="AAAAAA"/>
            </w:tcBorders>
            <w:shd w:val="clear" w:color="375623" w:fill="375623"/>
            <w:vAlign w:val="center"/>
          </w:tcPr>
          <w:p w14:paraId="41423D9B"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Authors</w:t>
            </w:r>
          </w:p>
        </w:tc>
        <w:tc>
          <w:tcPr>
            <w:tcW w:w="0" w:type="auto"/>
            <w:tcBorders>
              <w:top w:val="single" w:sz="4" w:space="0" w:color="AAAAAA"/>
              <w:left w:val="nil"/>
              <w:bottom w:val="single" w:sz="4" w:space="0" w:color="AAAAAA"/>
              <w:right w:val="single" w:sz="4" w:space="0" w:color="AAAAAA"/>
            </w:tcBorders>
            <w:shd w:val="clear" w:color="375623" w:fill="375623"/>
            <w:vAlign w:val="center"/>
          </w:tcPr>
          <w:p w14:paraId="2542344F"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Year</w:t>
            </w:r>
          </w:p>
        </w:tc>
        <w:tc>
          <w:tcPr>
            <w:tcW w:w="0" w:type="auto"/>
            <w:tcBorders>
              <w:top w:val="single" w:sz="4" w:space="0" w:color="AAAAAA"/>
              <w:left w:val="nil"/>
              <w:bottom w:val="single" w:sz="4" w:space="0" w:color="AAAAAA"/>
              <w:right w:val="single" w:sz="4" w:space="0" w:color="AAAAAA"/>
            </w:tcBorders>
            <w:shd w:val="clear" w:color="375623" w:fill="375623"/>
            <w:vAlign w:val="center"/>
          </w:tcPr>
          <w:p w14:paraId="77DD7BBC" w14:textId="77777777" w:rsidR="003A7791" w:rsidRPr="003A7791" w:rsidRDefault="003A7791" w:rsidP="007B3AB8">
            <w:pPr>
              <w:jc w:val="center"/>
              <w:rPr>
                <w:rFonts w:ascii="Arial" w:hAnsi="Arial" w:cs="Arial"/>
                <w:b/>
                <w:bCs/>
                <w:color w:val="FFFFFF"/>
                <w:sz w:val="24"/>
                <w:szCs w:val="24"/>
              </w:rPr>
            </w:pPr>
            <w:r w:rsidRPr="003A7791">
              <w:rPr>
                <w:rFonts w:ascii="Arial" w:hAnsi="Arial" w:cs="Arial"/>
                <w:b/>
                <w:bCs/>
                <w:color w:val="FFFFFF"/>
                <w:sz w:val="24"/>
                <w:szCs w:val="24"/>
              </w:rPr>
              <w:t>Relevance to Dissertation</w:t>
            </w:r>
          </w:p>
        </w:tc>
      </w:tr>
      <w:tr w:rsidR="003A7791" w:rsidRPr="003A7791" w14:paraId="2B3EFEF8"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7963257D"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w:t>
            </w:r>
          </w:p>
        </w:tc>
        <w:tc>
          <w:tcPr>
            <w:tcW w:w="0" w:type="auto"/>
            <w:tcBorders>
              <w:top w:val="nil"/>
              <w:left w:val="nil"/>
              <w:bottom w:val="single" w:sz="4" w:space="0" w:color="AAAAAA"/>
              <w:right w:val="single" w:sz="4" w:space="0" w:color="AAAAAA"/>
            </w:tcBorders>
            <w:shd w:val="clear" w:color="D9EAD3" w:fill="D9EAD3"/>
          </w:tcPr>
          <w:p w14:paraId="6BA21F0C" w14:textId="77777777" w:rsidR="003A7791" w:rsidRPr="003A7791" w:rsidRDefault="003A7791" w:rsidP="007B3AB8">
            <w:pPr>
              <w:rPr>
                <w:rFonts w:ascii="Arial" w:hAnsi="Arial" w:cs="Arial"/>
                <w:sz w:val="24"/>
                <w:szCs w:val="24"/>
              </w:rPr>
            </w:pPr>
            <w:r w:rsidRPr="003A7791">
              <w:rPr>
                <w:rFonts w:ascii="Arial" w:hAnsi="Arial" w:cs="Arial"/>
                <w:sz w:val="24"/>
                <w:szCs w:val="24"/>
              </w:rPr>
              <w:t>The Carbon Crunch: How We're Getting Climate Change Wrong — and How to Fix It</w:t>
            </w:r>
          </w:p>
        </w:tc>
        <w:tc>
          <w:tcPr>
            <w:tcW w:w="0" w:type="auto"/>
            <w:tcBorders>
              <w:top w:val="nil"/>
              <w:left w:val="nil"/>
              <w:bottom w:val="single" w:sz="4" w:space="0" w:color="AAAAAA"/>
              <w:right w:val="single" w:sz="4" w:space="0" w:color="AAAAAA"/>
            </w:tcBorders>
            <w:shd w:val="clear" w:color="D9EAD3" w:fill="D9EAD3"/>
          </w:tcPr>
          <w:p w14:paraId="458E0C44" w14:textId="77777777" w:rsidR="003A7791" w:rsidRPr="003A7791" w:rsidRDefault="003A7791" w:rsidP="007B3AB8">
            <w:pPr>
              <w:rPr>
                <w:rFonts w:ascii="Arial" w:hAnsi="Arial" w:cs="Arial"/>
                <w:sz w:val="24"/>
                <w:szCs w:val="24"/>
              </w:rPr>
            </w:pPr>
            <w:r w:rsidRPr="003A7791">
              <w:rPr>
                <w:rFonts w:ascii="Arial" w:hAnsi="Arial" w:cs="Arial"/>
                <w:sz w:val="24"/>
                <w:szCs w:val="24"/>
              </w:rPr>
              <w:t>Book (Yale University Press)</w:t>
            </w:r>
          </w:p>
        </w:tc>
        <w:tc>
          <w:tcPr>
            <w:tcW w:w="0" w:type="auto"/>
            <w:tcBorders>
              <w:top w:val="nil"/>
              <w:left w:val="nil"/>
              <w:bottom w:val="single" w:sz="4" w:space="0" w:color="AAAAAA"/>
              <w:right w:val="single" w:sz="4" w:space="0" w:color="AAAAAA"/>
            </w:tcBorders>
            <w:shd w:val="clear" w:color="D9EAD3" w:fill="D9EAD3"/>
          </w:tcPr>
          <w:p w14:paraId="75795EBF" w14:textId="77777777" w:rsidR="003A7791" w:rsidRPr="003A7791" w:rsidRDefault="003A7791" w:rsidP="007B3AB8">
            <w:pPr>
              <w:rPr>
                <w:rFonts w:ascii="Arial" w:hAnsi="Arial" w:cs="Arial"/>
                <w:sz w:val="24"/>
                <w:szCs w:val="24"/>
              </w:rPr>
            </w:pPr>
            <w:r w:rsidRPr="003A7791">
              <w:rPr>
                <w:rFonts w:ascii="Arial" w:hAnsi="Arial" w:cs="Arial"/>
                <w:sz w:val="24"/>
                <w:szCs w:val="24"/>
              </w:rPr>
              <w:t>Helm, D.</w:t>
            </w:r>
          </w:p>
        </w:tc>
        <w:tc>
          <w:tcPr>
            <w:tcW w:w="0" w:type="auto"/>
            <w:tcBorders>
              <w:top w:val="nil"/>
              <w:left w:val="nil"/>
              <w:bottom w:val="single" w:sz="4" w:space="0" w:color="AAAAAA"/>
              <w:right w:val="single" w:sz="4" w:space="0" w:color="AAAAAA"/>
            </w:tcBorders>
            <w:shd w:val="clear" w:color="D9EAD3" w:fill="D9EAD3"/>
          </w:tcPr>
          <w:p w14:paraId="4C34C19E"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2013</w:t>
            </w:r>
          </w:p>
        </w:tc>
        <w:tc>
          <w:tcPr>
            <w:tcW w:w="0" w:type="auto"/>
            <w:tcBorders>
              <w:top w:val="nil"/>
              <w:left w:val="nil"/>
              <w:bottom w:val="single" w:sz="4" w:space="0" w:color="AAAAAA"/>
              <w:right w:val="single" w:sz="4" w:space="0" w:color="AAAAAA"/>
            </w:tcBorders>
            <w:shd w:val="clear" w:color="D9EAD3" w:fill="D9EAD3"/>
          </w:tcPr>
          <w:p w14:paraId="1EF4AA89" w14:textId="77777777" w:rsidR="003A7791" w:rsidRPr="003A7791" w:rsidRDefault="003A7791" w:rsidP="007B3AB8">
            <w:pPr>
              <w:rPr>
                <w:rFonts w:ascii="Arial" w:hAnsi="Arial" w:cs="Arial"/>
                <w:sz w:val="24"/>
                <w:szCs w:val="24"/>
              </w:rPr>
            </w:pPr>
            <w:r w:rsidRPr="003A7791">
              <w:rPr>
                <w:rFonts w:ascii="Arial" w:hAnsi="Arial" w:cs="Arial"/>
                <w:sz w:val="24"/>
                <w:szCs w:val="24"/>
              </w:rPr>
              <w:t>Foundational theory on carbon policy limitations and border adjustment logic — underpins CBAM rationale.</w:t>
            </w:r>
          </w:p>
        </w:tc>
      </w:tr>
      <w:tr w:rsidR="003A7791" w:rsidRPr="003A7791" w14:paraId="4B29EDCE"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2AC84896"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w:t>
            </w:r>
          </w:p>
        </w:tc>
        <w:tc>
          <w:tcPr>
            <w:tcW w:w="0" w:type="auto"/>
            <w:tcBorders>
              <w:top w:val="nil"/>
              <w:left w:val="nil"/>
              <w:bottom w:val="single" w:sz="4" w:space="0" w:color="AAAAAA"/>
              <w:right w:val="single" w:sz="4" w:space="0" w:color="AAAAAA"/>
            </w:tcBorders>
            <w:shd w:val="clear" w:color="FFFFFF" w:fill="FFFFFF"/>
          </w:tcPr>
          <w:p w14:paraId="609569D2" w14:textId="77777777" w:rsidR="003A7791" w:rsidRPr="003A7791" w:rsidRDefault="003A7791" w:rsidP="007B3AB8">
            <w:pPr>
              <w:rPr>
                <w:rFonts w:ascii="Arial" w:hAnsi="Arial" w:cs="Arial"/>
                <w:sz w:val="24"/>
                <w:szCs w:val="24"/>
              </w:rPr>
            </w:pPr>
            <w:r w:rsidRPr="003A7791">
              <w:rPr>
                <w:rFonts w:ascii="Arial" w:hAnsi="Arial" w:cs="Arial"/>
                <w:sz w:val="24"/>
                <w:szCs w:val="24"/>
              </w:rPr>
              <w:t>Using Thematic Analysis in Psychology</w:t>
            </w:r>
          </w:p>
        </w:tc>
        <w:tc>
          <w:tcPr>
            <w:tcW w:w="0" w:type="auto"/>
            <w:tcBorders>
              <w:top w:val="nil"/>
              <w:left w:val="nil"/>
              <w:bottom w:val="single" w:sz="4" w:space="0" w:color="AAAAAA"/>
              <w:right w:val="single" w:sz="4" w:space="0" w:color="AAAAAA"/>
            </w:tcBorders>
            <w:shd w:val="clear" w:color="FFFFFF" w:fill="FFFFFF"/>
          </w:tcPr>
          <w:p w14:paraId="5F099A7E" w14:textId="77777777" w:rsidR="003A7791" w:rsidRPr="003A7791" w:rsidRDefault="003A7791" w:rsidP="007B3AB8">
            <w:pPr>
              <w:rPr>
                <w:rFonts w:ascii="Arial" w:hAnsi="Arial" w:cs="Arial"/>
                <w:sz w:val="24"/>
                <w:szCs w:val="24"/>
              </w:rPr>
            </w:pPr>
            <w:r w:rsidRPr="003A7791">
              <w:rPr>
                <w:rFonts w:ascii="Arial" w:hAnsi="Arial" w:cs="Arial"/>
                <w:sz w:val="24"/>
                <w:szCs w:val="24"/>
              </w:rPr>
              <w:t>Qualitative Research in Psychology</w:t>
            </w:r>
          </w:p>
        </w:tc>
        <w:tc>
          <w:tcPr>
            <w:tcW w:w="0" w:type="auto"/>
            <w:tcBorders>
              <w:top w:val="nil"/>
              <w:left w:val="nil"/>
              <w:bottom w:val="single" w:sz="4" w:space="0" w:color="AAAAAA"/>
              <w:right w:val="single" w:sz="4" w:space="0" w:color="AAAAAA"/>
            </w:tcBorders>
            <w:shd w:val="clear" w:color="FFFFFF" w:fill="FFFFFF"/>
          </w:tcPr>
          <w:p w14:paraId="0E78C19F" w14:textId="77777777" w:rsidR="003A7791" w:rsidRPr="003A7791" w:rsidRDefault="003A7791" w:rsidP="007B3AB8">
            <w:pPr>
              <w:rPr>
                <w:rFonts w:ascii="Arial" w:hAnsi="Arial" w:cs="Arial"/>
                <w:sz w:val="24"/>
                <w:szCs w:val="24"/>
              </w:rPr>
            </w:pPr>
            <w:r w:rsidRPr="003A7791">
              <w:rPr>
                <w:rFonts w:ascii="Arial" w:hAnsi="Arial" w:cs="Arial"/>
                <w:sz w:val="24"/>
                <w:szCs w:val="24"/>
              </w:rPr>
              <w:t>Braun, V. and Clarke, V.</w:t>
            </w:r>
          </w:p>
        </w:tc>
        <w:tc>
          <w:tcPr>
            <w:tcW w:w="0" w:type="auto"/>
            <w:tcBorders>
              <w:top w:val="nil"/>
              <w:left w:val="nil"/>
              <w:bottom w:val="single" w:sz="4" w:space="0" w:color="AAAAAA"/>
              <w:right w:val="single" w:sz="4" w:space="0" w:color="AAAAAA"/>
            </w:tcBorders>
            <w:shd w:val="clear" w:color="FFFFFF" w:fill="FFFFFF"/>
          </w:tcPr>
          <w:p w14:paraId="49A8AF2D"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2006</w:t>
            </w:r>
          </w:p>
        </w:tc>
        <w:tc>
          <w:tcPr>
            <w:tcW w:w="0" w:type="auto"/>
            <w:tcBorders>
              <w:top w:val="nil"/>
              <w:left w:val="nil"/>
              <w:bottom w:val="single" w:sz="4" w:space="0" w:color="AAAAAA"/>
              <w:right w:val="single" w:sz="4" w:space="0" w:color="AAAAAA"/>
            </w:tcBorders>
            <w:shd w:val="clear" w:color="FFFFFF" w:fill="FFFFFF"/>
          </w:tcPr>
          <w:p w14:paraId="675536F3" w14:textId="77777777" w:rsidR="003A7791" w:rsidRPr="003A7791" w:rsidRDefault="003A7791" w:rsidP="007B3AB8">
            <w:pPr>
              <w:rPr>
                <w:rFonts w:ascii="Arial" w:hAnsi="Arial" w:cs="Arial"/>
                <w:sz w:val="24"/>
                <w:szCs w:val="24"/>
              </w:rPr>
            </w:pPr>
            <w:r w:rsidRPr="003A7791">
              <w:rPr>
                <w:rFonts w:ascii="Arial" w:hAnsi="Arial" w:cs="Arial"/>
                <w:sz w:val="24"/>
                <w:szCs w:val="24"/>
              </w:rPr>
              <w:t>Provides the six-phase thematic analysis methodology applied in this dissertation.</w:t>
            </w:r>
          </w:p>
        </w:tc>
      </w:tr>
      <w:tr w:rsidR="003A7791" w:rsidRPr="003A7791" w14:paraId="0BB45BE0"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2294D666"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3</w:t>
            </w:r>
          </w:p>
        </w:tc>
        <w:tc>
          <w:tcPr>
            <w:tcW w:w="0" w:type="auto"/>
            <w:tcBorders>
              <w:top w:val="nil"/>
              <w:left w:val="nil"/>
              <w:bottom w:val="single" w:sz="4" w:space="0" w:color="AAAAAA"/>
              <w:right w:val="single" w:sz="4" w:space="0" w:color="AAAAAA"/>
            </w:tcBorders>
            <w:shd w:val="clear" w:color="D9EAD3" w:fill="D9EAD3"/>
          </w:tcPr>
          <w:p w14:paraId="42F1C35F" w14:textId="77777777" w:rsidR="003A7791" w:rsidRPr="003A7791" w:rsidRDefault="003A7791" w:rsidP="007B3AB8">
            <w:pPr>
              <w:rPr>
                <w:rFonts w:ascii="Arial" w:hAnsi="Arial" w:cs="Arial"/>
                <w:sz w:val="24"/>
                <w:szCs w:val="24"/>
              </w:rPr>
            </w:pPr>
            <w:r w:rsidRPr="003A7791">
              <w:rPr>
                <w:rFonts w:ascii="Arial" w:hAnsi="Arial" w:cs="Arial"/>
                <w:sz w:val="24"/>
                <w:szCs w:val="24"/>
              </w:rPr>
              <w:t>Research Methods for Business Students</w:t>
            </w:r>
          </w:p>
        </w:tc>
        <w:tc>
          <w:tcPr>
            <w:tcW w:w="0" w:type="auto"/>
            <w:tcBorders>
              <w:top w:val="nil"/>
              <w:left w:val="nil"/>
              <w:bottom w:val="single" w:sz="4" w:space="0" w:color="AAAAAA"/>
              <w:right w:val="single" w:sz="4" w:space="0" w:color="AAAAAA"/>
            </w:tcBorders>
            <w:shd w:val="clear" w:color="D9EAD3" w:fill="D9EAD3"/>
          </w:tcPr>
          <w:p w14:paraId="4FE0F5D1" w14:textId="77777777" w:rsidR="003A7791" w:rsidRPr="003A7791" w:rsidRDefault="003A7791" w:rsidP="007B3AB8">
            <w:pPr>
              <w:rPr>
                <w:rFonts w:ascii="Arial" w:hAnsi="Arial" w:cs="Arial"/>
                <w:sz w:val="24"/>
                <w:szCs w:val="24"/>
              </w:rPr>
            </w:pPr>
            <w:r w:rsidRPr="003A7791">
              <w:rPr>
                <w:rFonts w:ascii="Arial" w:hAnsi="Arial" w:cs="Arial"/>
                <w:sz w:val="24"/>
                <w:szCs w:val="24"/>
              </w:rPr>
              <w:t>Pearson Education (Textbook)</w:t>
            </w:r>
          </w:p>
        </w:tc>
        <w:tc>
          <w:tcPr>
            <w:tcW w:w="0" w:type="auto"/>
            <w:tcBorders>
              <w:top w:val="nil"/>
              <w:left w:val="nil"/>
              <w:bottom w:val="single" w:sz="4" w:space="0" w:color="AAAAAA"/>
              <w:right w:val="single" w:sz="4" w:space="0" w:color="AAAAAA"/>
            </w:tcBorders>
            <w:shd w:val="clear" w:color="D9EAD3" w:fill="D9EAD3"/>
          </w:tcPr>
          <w:p w14:paraId="044338C2" w14:textId="77777777" w:rsidR="003A7791" w:rsidRPr="003A7791" w:rsidRDefault="003A7791" w:rsidP="007B3AB8">
            <w:pPr>
              <w:rPr>
                <w:rFonts w:ascii="Arial" w:hAnsi="Arial" w:cs="Arial"/>
                <w:sz w:val="24"/>
                <w:szCs w:val="24"/>
              </w:rPr>
            </w:pPr>
            <w:r w:rsidRPr="003A7791">
              <w:rPr>
                <w:rFonts w:ascii="Arial" w:hAnsi="Arial" w:cs="Arial"/>
                <w:sz w:val="24"/>
                <w:szCs w:val="24"/>
              </w:rPr>
              <w:t>Saunders, M., Lewis, P. and Thornhill, A.</w:t>
            </w:r>
          </w:p>
        </w:tc>
        <w:tc>
          <w:tcPr>
            <w:tcW w:w="0" w:type="auto"/>
            <w:tcBorders>
              <w:top w:val="nil"/>
              <w:left w:val="nil"/>
              <w:bottom w:val="single" w:sz="4" w:space="0" w:color="AAAAAA"/>
              <w:right w:val="single" w:sz="4" w:space="0" w:color="AAAAAA"/>
            </w:tcBorders>
            <w:shd w:val="clear" w:color="D9EAD3" w:fill="D9EAD3"/>
          </w:tcPr>
          <w:p w14:paraId="21E5182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2009</w:t>
            </w:r>
          </w:p>
        </w:tc>
        <w:tc>
          <w:tcPr>
            <w:tcW w:w="0" w:type="auto"/>
            <w:tcBorders>
              <w:top w:val="nil"/>
              <w:left w:val="nil"/>
              <w:bottom w:val="single" w:sz="4" w:space="0" w:color="AAAAAA"/>
              <w:right w:val="single" w:sz="4" w:space="0" w:color="AAAAAA"/>
            </w:tcBorders>
            <w:shd w:val="clear" w:color="D9EAD3" w:fill="D9EAD3"/>
          </w:tcPr>
          <w:p w14:paraId="6CDD9545" w14:textId="77777777" w:rsidR="003A7791" w:rsidRPr="003A7791" w:rsidRDefault="003A7791" w:rsidP="007B3AB8">
            <w:pPr>
              <w:rPr>
                <w:rFonts w:ascii="Arial" w:hAnsi="Arial" w:cs="Arial"/>
                <w:sz w:val="24"/>
                <w:szCs w:val="24"/>
              </w:rPr>
            </w:pPr>
            <w:r w:rsidRPr="003A7791">
              <w:rPr>
                <w:rFonts w:ascii="Arial" w:hAnsi="Arial" w:cs="Arial"/>
                <w:sz w:val="24"/>
                <w:szCs w:val="24"/>
              </w:rPr>
              <w:t>Justifies the interpretivist, qualitative, secondary research design and extended literature review approach.</w:t>
            </w:r>
          </w:p>
        </w:tc>
      </w:tr>
      <w:tr w:rsidR="003A7791" w:rsidRPr="003A7791" w14:paraId="10265437"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213551C1"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4</w:t>
            </w:r>
          </w:p>
        </w:tc>
        <w:tc>
          <w:tcPr>
            <w:tcW w:w="0" w:type="auto"/>
            <w:tcBorders>
              <w:top w:val="nil"/>
              <w:left w:val="nil"/>
              <w:bottom w:val="single" w:sz="4" w:space="0" w:color="AAAAAA"/>
              <w:right w:val="single" w:sz="4" w:space="0" w:color="AAAAAA"/>
            </w:tcBorders>
            <w:shd w:val="clear" w:color="FFFFFF" w:fill="FFFFFF"/>
          </w:tcPr>
          <w:p w14:paraId="158E277E" w14:textId="77777777" w:rsidR="003A7791" w:rsidRPr="003A7791" w:rsidRDefault="003A7791" w:rsidP="007B3AB8">
            <w:pPr>
              <w:rPr>
                <w:rFonts w:ascii="Arial" w:hAnsi="Arial" w:cs="Arial"/>
                <w:sz w:val="24"/>
                <w:szCs w:val="24"/>
              </w:rPr>
            </w:pPr>
            <w:r w:rsidRPr="003A7791">
              <w:rPr>
                <w:rFonts w:ascii="Arial" w:hAnsi="Arial" w:cs="Arial"/>
                <w:sz w:val="24"/>
                <w:szCs w:val="24"/>
              </w:rPr>
              <w:t>Preferred Reporting Items for Systematic Reviews and Meta-Analyses: The PRISMA Statement</w:t>
            </w:r>
          </w:p>
        </w:tc>
        <w:tc>
          <w:tcPr>
            <w:tcW w:w="0" w:type="auto"/>
            <w:tcBorders>
              <w:top w:val="nil"/>
              <w:left w:val="nil"/>
              <w:bottom w:val="single" w:sz="4" w:space="0" w:color="AAAAAA"/>
              <w:right w:val="single" w:sz="4" w:space="0" w:color="AAAAAA"/>
            </w:tcBorders>
            <w:shd w:val="clear" w:color="FFFFFF" w:fill="FFFFFF"/>
          </w:tcPr>
          <w:p w14:paraId="098DC01A" w14:textId="77777777" w:rsidR="003A7791" w:rsidRPr="003A7791" w:rsidRDefault="003A7791" w:rsidP="007B3AB8">
            <w:pPr>
              <w:rPr>
                <w:rFonts w:ascii="Arial" w:hAnsi="Arial" w:cs="Arial"/>
                <w:sz w:val="24"/>
                <w:szCs w:val="24"/>
              </w:rPr>
            </w:pPr>
            <w:r w:rsidRPr="003A7791">
              <w:rPr>
                <w:rFonts w:ascii="Arial" w:hAnsi="Arial" w:cs="Arial"/>
                <w:sz w:val="24"/>
                <w:szCs w:val="24"/>
              </w:rPr>
              <w:t>BMJ</w:t>
            </w:r>
          </w:p>
        </w:tc>
        <w:tc>
          <w:tcPr>
            <w:tcW w:w="0" w:type="auto"/>
            <w:tcBorders>
              <w:top w:val="nil"/>
              <w:left w:val="nil"/>
              <w:bottom w:val="single" w:sz="4" w:space="0" w:color="AAAAAA"/>
              <w:right w:val="single" w:sz="4" w:space="0" w:color="AAAAAA"/>
            </w:tcBorders>
            <w:shd w:val="clear" w:color="FFFFFF" w:fill="FFFFFF"/>
          </w:tcPr>
          <w:p w14:paraId="1E0F692F" w14:textId="77777777" w:rsidR="003A7791" w:rsidRPr="003A7791" w:rsidRDefault="003A7791" w:rsidP="007B3AB8">
            <w:pPr>
              <w:rPr>
                <w:rFonts w:ascii="Arial" w:hAnsi="Arial" w:cs="Arial"/>
                <w:sz w:val="24"/>
                <w:szCs w:val="24"/>
              </w:rPr>
            </w:pPr>
            <w:r w:rsidRPr="003A7791">
              <w:rPr>
                <w:rFonts w:ascii="Arial" w:hAnsi="Arial" w:cs="Arial"/>
                <w:sz w:val="24"/>
                <w:szCs w:val="24"/>
              </w:rPr>
              <w:t>Moher, D., Liberati, A., Tetzlaff, J. and Altman, D.G.</w:t>
            </w:r>
          </w:p>
        </w:tc>
        <w:tc>
          <w:tcPr>
            <w:tcW w:w="0" w:type="auto"/>
            <w:tcBorders>
              <w:top w:val="nil"/>
              <w:left w:val="nil"/>
              <w:bottom w:val="single" w:sz="4" w:space="0" w:color="AAAAAA"/>
              <w:right w:val="single" w:sz="4" w:space="0" w:color="AAAAAA"/>
            </w:tcBorders>
            <w:shd w:val="clear" w:color="FFFFFF" w:fill="FFFFFF"/>
          </w:tcPr>
          <w:p w14:paraId="5042EB58"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2009</w:t>
            </w:r>
          </w:p>
        </w:tc>
        <w:tc>
          <w:tcPr>
            <w:tcW w:w="0" w:type="auto"/>
            <w:tcBorders>
              <w:top w:val="nil"/>
              <w:left w:val="nil"/>
              <w:bottom w:val="single" w:sz="4" w:space="0" w:color="AAAAAA"/>
              <w:right w:val="single" w:sz="4" w:space="0" w:color="AAAAAA"/>
            </w:tcBorders>
            <w:shd w:val="clear" w:color="FFFFFF" w:fill="FFFFFF"/>
          </w:tcPr>
          <w:p w14:paraId="324B5C72" w14:textId="77777777" w:rsidR="003A7791" w:rsidRPr="003A7791" w:rsidRDefault="003A7791" w:rsidP="007B3AB8">
            <w:pPr>
              <w:rPr>
                <w:rFonts w:ascii="Arial" w:hAnsi="Arial" w:cs="Arial"/>
                <w:sz w:val="24"/>
                <w:szCs w:val="24"/>
              </w:rPr>
            </w:pPr>
            <w:r w:rsidRPr="003A7791">
              <w:rPr>
                <w:rFonts w:ascii="Arial" w:hAnsi="Arial" w:cs="Arial"/>
                <w:sz w:val="24"/>
                <w:szCs w:val="24"/>
              </w:rPr>
              <w:t>Provides the systematic review methodology framework referenced in the original proposal.</w:t>
            </w:r>
          </w:p>
        </w:tc>
      </w:tr>
      <w:tr w:rsidR="003A7791" w:rsidRPr="003A7791" w14:paraId="7CFD3A0A"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29796A72"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5</w:t>
            </w:r>
          </w:p>
        </w:tc>
        <w:tc>
          <w:tcPr>
            <w:tcW w:w="0" w:type="auto"/>
            <w:tcBorders>
              <w:top w:val="nil"/>
              <w:left w:val="nil"/>
              <w:bottom w:val="single" w:sz="4" w:space="0" w:color="AAAAAA"/>
              <w:right w:val="single" w:sz="4" w:space="0" w:color="AAAAAA"/>
            </w:tcBorders>
            <w:shd w:val="clear" w:color="D9EAD3" w:fill="D9EAD3"/>
          </w:tcPr>
          <w:p w14:paraId="31F54E30" w14:textId="77777777" w:rsidR="003A7791" w:rsidRPr="003A7791" w:rsidRDefault="003A7791" w:rsidP="007B3AB8">
            <w:pPr>
              <w:rPr>
                <w:rFonts w:ascii="Arial" w:hAnsi="Arial" w:cs="Arial"/>
                <w:sz w:val="24"/>
                <w:szCs w:val="24"/>
              </w:rPr>
            </w:pPr>
            <w:r w:rsidRPr="003A7791">
              <w:rPr>
                <w:rFonts w:ascii="Arial" w:hAnsi="Arial" w:cs="Arial"/>
                <w:sz w:val="24"/>
                <w:szCs w:val="24"/>
              </w:rPr>
              <w:t>Industrial Decarbonisation Strategy</w:t>
            </w:r>
          </w:p>
        </w:tc>
        <w:tc>
          <w:tcPr>
            <w:tcW w:w="0" w:type="auto"/>
            <w:tcBorders>
              <w:top w:val="nil"/>
              <w:left w:val="nil"/>
              <w:bottom w:val="single" w:sz="4" w:space="0" w:color="AAAAAA"/>
              <w:right w:val="single" w:sz="4" w:space="0" w:color="AAAAAA"/>
            </w:tcBorders>
            <w:shd w:val="clear" w:color="D9EAD3" w:fill="D9EAD3"/>
          </w:tcPr>
          <w:p w14:paraId="2AC558D0"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 (BEIS)</w:t>
            </w:r>
          </w:p>
        </w:tc>
        <w:tc>
          <w:tcPr>
            <w:tcW w:w="0" w:type="auto"/>
            <w:tcBorders>
              <w:top w:val="nil"/>
              <w:left w:val="nil"/>
              <w:bottom w:val="single" w:sz="4" w:space="0" w:color="AAAAAA"/>
              <w:right w:val="single" w:sz="4" w:space="0" w:color="AAAAAA"/>
            </w:tcBorders>
            <w:shd w:val="clear" w:color="D9EAD3" w:fill="D9EAD3"/>
          </w:tcPr>
          <w:p w14:paraId="6FECE113"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w:t>
            </w:r>
          </w:p>
        </w:tc>
        <w:tc>
          <w:tcPr>
            <w:tcW w:w="0" w:type="auto"/>
            <w:tcBorders>
              <w:top w:val="nil"/>
              <w:left w:val="nil"/>
              <w:bottom w:val="single" w:sz="4" w:space="0" w:color="AAAAAA"/>
              <w:right w:val="single" w:sz="4" w:space="0" w:color="AAAAAA"/>
            </w:tcBorders>
            <w:shd w:val="clear" w:color="D9EAD3" w:fill="D9EAD3"/>
          </w:tcPr>
          <w:p w14:paraId="6D839AF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2021</w:t>
            </w:r>
          </w:p>
        </w:tc>
        <w:tc>
          <w:tcPr>
            <w:tcW w:w="0" w:type="auto"/>
            <w:tcBorders>
              <w:top w:val="nil"/>
              <w:left w:val="nil"/>
              <w:bottom w:val="single" w:sz="4" w:space="0" w:color="AAAAAA"/>
              <w:right w:val="single" w:sz="4" w:space="0" w:color="AAAAAA"/>
            </w:tcBorders>
            <w:shd w:val="clear" w:color="D9EAD3" w:fill="D9EAD3"/>
          </w:tcPr>
          <w:p w14:paraId="6CDD3312" w14:textId="77777777" w:rsidR="003A7791" w:rsidRPr="003A7791" w:rsidRDefault="003A7791" w:rsidP="007B3AB8">
            <w:pPr>
              <w:rPr>
                <w:rFonts w:ascii="Arial" w:hAnsi="Arial" w:cs="Arial"/>
                <w:sz w:val="24"/>
                <w:szCs w:val="24"/>
              </w:rPr>
            </w:pPr>
            <w:r w:rsidRPr="003A7791">
              <w:rPr>
                <w:rFonts w:ascii="Arial" w:hAnsi="Arial" w:cs="Arial"/>
                <w:sz w:val="24"/>
                <w:szCs w:val="24"/>
              </w:rPr>
              <w:t>Sets out the UK's roadmap for industrial decarbonisation including steel, cement and aluminium — the core CBAM-covered sectors.</w:t>
            </w:r>
          </w:p>
        </w:tc>
      </w:tr>
      <w:tr w:rsidR="003A7791" w:rsidRPr="003A7791" w14:paraId="02D9F18A"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19A87F41"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6</w:t>
            </w:r>
          </w:p>
        </w:tc>
        <w:tc>
          <w:tcPr>
            <w:tcW w:w="0" w:type="auto"/>
            <w:tcBorders>
              <w:top w:val="nil"/>
              <w:left w:val="nil"/>
              <w:bottom w:val="single" w:sz="4" w:space="0" w:color="AAAAAA"/>
              <w:right w:val="single" w:sz="4" w:space="0" w:color="AAAAAA"/>
            </w:tcBorders>
            <w:shd w:val="clear" w:color="FFFFFF" w:fill="FFFFFF"/>
          </w:tcPr>
          <w:p w14:paraId="7026B08F" w14:textId="77777777" w:rsidR="003A7791" w:rsidRPr="003A7791" w:rsidRDefault="003A7791" w:rsidP="007B3AB8">
            <w:pPr>
              <w:rPr>
                <w:rFonts w:ascii="Arial" w:hAnsi="Arial" w:cs="Arial"/>
                <w:sz w:val="24"/>
                <w:szCs w:val="24"/>
              </w:rPr>
            </w:pPr>
            <w:r w:rsidRPr="003A7791">
              <w:rPr>
                <w:rFonts w:ascii="Arial" w:hAnsi="Arial" w:cs="Arial"/>
                <w:sz w:val="24"/>
                <w:szCs w:val="24"/>
              </w:rPr>
              <w:t>A Brighter Future for UK Steel</w:t>
            </w:r>
          </w:p>
        </w:tc>
        <w:tc>
          <w:tcPr>
            <w:tcW w:w="0" w:type="auto"/>
            <w:tcBorders>
              <w:top w:val="nil"/>
              <w:left w:val="nil"/>
              <w:bottom w:val="single" w:sz="4" w:space="0" w:color="AAAAAA"/>
              <w:right w:val="single" w:sz="4" w:space="0" w:color="AAAAAA"/>
            </w:tcBorders>
            <w:shd w:val="clear" w:color="FFFFFF" w:fill="FFFFFF"/>
          </w:tcPr>
          <w:p w14:paraId="175056E3" w14:textId="77777777" w:rsidR="003A7791" w:rsidRPr="003A7791" w:rsidRDefault="003A7791" w:rsidP="007B3AB8">
            <w:pPr>
              <w:rPr>
                <w:rFonts w:ascii="Arial" w:hAnsi="Arial" w:cs="Arial"/>
                <w:sz w:val="24"/>
                <w:szCs w:val="24"/>
              </w:rPr>
            </w:pPr>
            <w:r w:rsidRPr="003A7791">
              <w:rPr>
                <w:rFonts w:ascii="Arial" w:hAnsi="Arial" w:cs="Arial"/>
                <w:sz w:val="24"/>
                <w:szCs w:val="24"/>
              </w:rPr>
              <w:t>Green Alliance (Industry Report)</w:t>
            </w:r>
          </w:p>
        </w:tc>
        <w:tc>
          <w:tcPr>
            <w:tcW w:w="0" w:type="auto"/>
            <w:tcBorders>
              <w:top w:val="nil"/>
              <w:left w:val="nil"/>
              <w:bottom w:val="single" w:sz="4" w:space="0" w:color="AAAAAA"/>
              <w:right w:val="single" w:sz="4" w:space="0" w:color="AAAAAA"/>
            </w:tcBorders>
            <w:shd w:val="clear" w:color="FFFFFF" w:fill="FFFFFF"/>
          </w:tcPr>
          <w:p w14:paraId="0021FC8A" w14:textId="77777777" w:rsidR="003A7791" w:rsidRPr="003A7791" w:rsidRDefault="003A7791" w:rsidP="007B3AB8">
            <w:pPr>
              <w:rPr>
                <w:rFonts w:ascii="Arial" w:hAnsi="Arial" w:cs="Arial"/>
                <w:sz w:val="24"/>
                <w:szCs w:val="24"/>
              </w:rPr>
            </w:pPr>
            <w:r w:rsidRPr="003A7791">
              <w:rPr>
                <w:rFonts w:ascii="Arial" w:hAnsi="Arial" w:cs="Arial"/>
                <w:sz w:val="24"/>
                <w:szCs w:val="24"/>
              </w:rPr>
              <w:t>Green Alliance</w:t>
            </w:r>
          </w:p>
        </w:tc>
        <w:tc>
          <w:tcPr>
            <w:tcW w:w="0" w:type="auto"/>
            <w:tcBorders>
              <w:top w:val="nil"/>
              <w:left w:val="nil"/>
              <w:bottom w:val="single" w:sz="4" w:space="0" w:color="AAAAAA"/>
              <w:right w:val="single" w:sz="4" w:space="0" w:color="AAAAAA"/>
            </w:tcBorders>
            <w:shd w:val="clear" w:color="FFFFFF" w:fill="FFFFFF"/>
          </w:tcPr>
          <w:p w14:paraId="32E1E4D8"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2023</w:t>
            </w:r>
          </w:p>
        </w:tc>
        <w:tc>
          <w:tcPr>
            <w:tcW w:w="0" w:type="auto"/>
            <w:tcBorders>
              <w:top w:val="nil"/>
              <w:left w:val="nil"/>
              <w:bottom w:val="single" w:sz="4" w:space="0" w:color="AAAAAA"/>
              <w:right w:val="single" w:sz="4" w:space="0" w:color="AAAAAA"/>
            </w:tcBorders>
            <w:shd w:val="clear" w:color="FFFFFF" w:fill="FFFFFF"/>
          </w:tcPr>
          <w:p w14:paraId="1F14FA7B" w14:textId="77777777" w:rsidR="003A7791" w:rsidRPr="003A7791" w:rsidRDefault="003A7791" w:rsidP="007B3AB8">
            <w:pPr>
              <w:rPr>
                <w:rFonts w:ascii="Arial" w:hAnsi="Arial" w:cs="Arial"/>
                <w:sz w:val="24"/>
                <w:szCs w:val="24"/>
              </w:rPr>
            </w:pPr>
            <w:r w:rsidRPr="003A7791">
              <w:rPr>
                <w:rFonts w:ascii="Arial" w:hAnsi="Arial" w:cs="Arial"/>
                <w:sz w:val="24"/>
                <w:szCs w:val="24"/>
              </w:rPr>
              <w:t>Analyses UK green steel market growth projections and the role of CBAM and public procurement in driving low-carbon steel demand.</w:t>
            </w:r>
          </w:p>
        </w:tc>
      </w:tr>
      <w:tr w:rsidR="003A7791" w:rsidRPr="003A7791" w14:paraId="3408551D"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7E13FF17"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7</w:t>
            </w:r>
          </w:p>
        </w:tc>
        <w:tc>
          <w:tcPr>
            <w:tcW w:w="0" w:type="auto"/>
            <w:tcBorders>
              <w:top w:val="nil"/>
              <w:left w:val="nil"/>
              <w:bottom w:val="single" w:sz="4" w:space="0" w:color="AAAAAA"/>
              <w:right w:val="single" w:sz="4" w:space="0" w:color="AAAAAA"/>
            </w:tcBorders>
            <w:shd w:val="clear" w:color="D9EAD3" w:fill="D9EAD3"/>
          </w:tcPr>
          <w:p w14:paraId="602E0BE5" w14:textId="77777777" w:rsidR="003A7791" w:rsidRPr="003A7791" w:rsidRDefault="003A7791" w:rsidP="007B3AB8">
            <w:pPr>
              <w:rPr>
                <w:rFonts w:ascii="Arial" w:hAnsi="Arial" w:cs="Arial"/>
                <w:sz w:val="24"/>
                <w:szCs w:val="24"/>
              </w:rPr>
            </w:pPr>
            <w:r w:rsidRPr="003A7791">
              <w:rPr>
                <w:rFonts w:ascii="Arial" w:hAnsi="Arial" w:cs="Arial"/>
                <w:sz w:val="24"/>
                <w:szCs w:val="24"/>
              </w:rPr>
              <w:t>Growing Clean Steel in the UK</w:t>
            </w:r>
          </w:p>
        </w:tc>
        <w:tc>
          <w:tcPr>
            <w:tcW w:w="0" w:type="auto"/>
            <w:tcBorders>
              <w:top w:val="nil"/>
              <w:left w:val="nil"/>
              <w:bottom w:val="single" w:sz="4" w:space="0" w:color="AAAAAA"/>
              <w:right w:val="single" w:sz="4" w:space="0" w:color="AAAAAA"/>
            </w:tcBorders>
            <w:shd w:val="clear" w:color="D9EAD3" w:fill="D9EAD3"/>
          </w:tcPr>
          <w:p w14:paraId="618B2861" w14:textId="77777777" w:rsidR="003A7791" w:rsidRPr="003A7791" w:rsidRDefault="003A7791" w:rsidP="007B3AB8">
            <w:pPr>
              <w:rPr>
                <w:rFonts w:ascii="Arial" w:hAnsi="Arial" w:cs="Arial"/>
                <w:sz w:val="24"/>
                <w:szCs w:val="24"/>
              </w:rPr>
            </w:pPr>
            <w:r w:rsidRPr="003A7791">
              <w:rPr>
                <w:rFonts w:ascii="Arial" w:hAnsi="Arial" w:cs="Arial"/>
                <w:sz w:val="24"/>
                <w:szCs w:val="24"/>
              </w:rPr>
              <w:t>E3G (Think Tank Report)</w:t>
            </w:r>
          </w:p>
        </w:tc>
        <w:tc>
          <w:tcPr>
            <w:tcW w:w="0" w:type="auto"/>
            <w:tcBorders>
              <w:top w:val="nil"/>
              <w:left w:val="nil"/>
              <w:bottom w:val="single" w:sz="4" w:space="0" w:color="AAAAAA"/>
              <w:right w:val="single" w:sz="4" w:space="0" w:color="AAAAAA"/>
            </w:tcBorders>
            <w:shd w:val="clear" w:color="D9EAD3" w:fill="D9EAD3"/>
          </w:tcPr>
          <w:p w14:paraId="3299096D" w14:textId="77777777" w:rsidR="003A7791" w:rsidRPr="003A7791" w:rsidRDefault="003A7791" w:rsidP="007B3AB8">
            <w:pPr>
              <w:rPr>
                <w:rFonts w:ascii="Arial" w:hAnsi="Arial" w:cs="Arial"/>
                <w:sz w:val="24"/>
                <w:szCs w:val="24"/>
              </w:rPr>
            </w:pPr>
            <w:r w:rsidRPr="003A7791">
              <w:rPr>
                <w:rFonts w:ascii="Arial" w:hAnsi="Arial" w:cs="Arial"/>
                <w:sz w:val="24"/>
                <w:szCs w:val="24"/>
              </w:rPr>
              <w:t>E3G</w:t>
            </w:r>
          </w:p>
        </w:tc>
        <w:tc>
          <w:tcPr>
            <w:tcW w:w="0" w:type="auto"/>
            <w:tcBorders>
              <w:top w:val="nil"/>
              <w:left w:val="nil"/>
              <w:bottom w:val="single" w:sz="4" w:space="0" w:color="AAAAAA"/>
              <w:right w:val="single" w:sz="4" w:space="0" w:color="AAAAAA"/>
            </w:tcBorders>
            <w:shd w:val="clear" w:color="D9EAD3" w:fill="D9EAD3"/>
          </w:tcPr>
          <w:p w14:paraId="340B5B9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2024</w:t>
            </w:r>
          </w:p>
        </w:tc>
        <w:tc>
          <w:tcPr>
            <w:tcW w:w="0" w:type="auto"/>
            <w:tcBorders>
              <w:top w:val="nil"/>
              <w:left w:val="nil"/>
              <w:bottom w:val="single" w:sz="4" w:space="0" w:color="AAAAAA"/>
              <w:right w:val="single" w:sz="4" w:space="0" w:color="AAAAAA"/>
            </w:tcBorders>
            <w:shd w:val="clear" w:color="D9EAD3" w:fill="D9EAD3"/>
          </w:tcPr>
          <w:p w14:paraId="32C4694C" w14:textId="77777777" w:rsidR="003A7791" w:rsidRPr="003A7791" w:rsidRDefault="003A7791" w:rsidP="007B3AB8">
            <w:pPr>
              <w:rPr>
                <w:rFonts w:ascii="Arial" w:hAnsi="Arial" w:cs="Arial"/>
                <w:sz w:val="24"/>
                <w:szCs w:val="24"/>
              </w:rPr>
            </w:pPr>
            <w:r w:rsidRPr="003A7791">
              <w:rPr>
                <w:rFonts w:ascii="Arial" w:hAnsi="Arial" w:cs="Arial"/>
                <w:sz w:val="24"/>
                <w:szCs w:val="24"/>
              </w:rPr>
              <w:t>Recommends green public procurement criteria for steel and phase-out of ETS free allocations alongside CBAM.</w:t>
            </w:r>
          </w:p>
        </w:tc>
      </w:tr>
      <w:tr w:rsidR="003A7791" w:rsidRPr="003A7791" w14:paraId="289B819B"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3EB5FE78"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8</w:t>
            </w:r>
          </w:p>
        </w:tc>
        <w:tc>
          <w:tcPr>
            <w:tcW w:w="0" w:type="auto"/>
            <w:tcBorders>
              <w:top w:val="nil"/>
              <w:left w:val="nil"/>
              <w:bottom w:val="single" w:sz="4" w:space="0" w:color="AAAAAA"/>
              <w:right w:val="single" w:sz="4" w:space="0" w:color="AAAAAA"/>
            </w:tcBorders>
            <w:shd w:val="clear" w:color="FFFFFF" w:fill="FFFFFF"/>
          </w:tcPr>
          <w:p w14:paraId="66F01FA0" w14:textId="77777777" w:rsidR="003A7791" w:rsidRPr="003A7791" w:rsidRDefault="003A7791" w:rsidP="007B3AB8">
            <w:pPr>
              <w:rPr>
                <w:rFonts w:ascii="Arial" w:hAnsi="Arial" w:cs="Arial"/>
                <w:sz w:val="24"/>
                <w:szCs w:val="24"/>
              </w:rPr>
            </w:pPr>
            <w:r w:rsidRPr="003A7791">
              <w:rPr>
                <w:rFonts w:ascii="Arial" w:hAnsi="Arial" w:cs="Arial"/>
                <w:sz w:val="24"/>
                <w:szCs w:val="24"/>
              </w:rPr>
              <w:t>What Does 'Green' Procurement Mean? Initiatives and Standards for Cement and Steel</w:t>
            </w:r>
          </w:p>
        </w:tc>
        <w:tc>
          <w:tcPr>
            <w:tcW w:w="0" w:type="auto"/>
            <w:tcBorders>
              <w:top w:val="nil"/>
              <w:left w:val="nil"/>
              <w:bottom w:val="single" w:sz="4" w:space="0" w:color="AAAAAA"/>
              <w:right w:val="single" w:sz="4" w:space="0" w:color="AAAAAA"/>
            </w:tcBorders>
            <w:shd w:val="clear" w:color="FFFFFF" w:fill="FFFFFF"/>
          </w:tcPr>
          <w:p w14:paraId="24FA3BC1" w14:textId="77777777" w:rsidR="003A7791" w:rsidRPr="003A7791" w:rsidRDefault="003A7791" w:rsidP="007B3AB8">
            <w:pPr>
              <w:rPr>
                <w:rFonts w:ascii="Arial" w:hAnsi="Arial" w:cs="Arial"/>
                <w:sz w:val="24"/>
                <w:szCs w:val="24"/>
              </w:rPr>
            </w:pPr>
            <w:r w:rsidRPr="003A7791">
              <w:rPr>
                <w:rFonts w:ascii="Arial" w:hAnsi="Arial" w:cs="Arial"/>
                <w:sz w:val="24"/>
                <w:szCs w:val="24"/>
              </w:rPr>
              <w:t>World Resources Institute (WRI)</w:t>
            </w:r>
          </w:p>
        </w:tc>
        <w:tc>
          <w:tcPr>
            <w:tcW w:w="0" w:type="auto"/>
            <w:tcBorders>
              <w:top w:val="nil"/>
              <w:left w:val="nil"/>
              <w:bottom w:val="single" w:sz="4" w:space="0" w:color="AAAAAA"/>
              <w:right w:val="single" w:sz="4" w:space="0" w:color="AAAAAA"/>
            </w:tcBorders>
            <w:shd w:val="clear" w:color="FFFFFF" w:fill="FFFFFF"/>
          </w:tcPr>
          <w:p w14:paraId="2ED333E8" w14:textId="77777777" w:rsidR="003A7791" w:rsidRPr="003A7791" w:rsidRDefault="003A7791" w:rsidP="007B3AB8">
            <w:pPr>
              <w:rPr>
                <w:rFonts w:ascii="Arial" w:hAnsi="Arial" w:cs="Arial"/>
                <w:sz w:val="24"/>
                <w:szCs w:val="24"/>
              </w:rPr>
            </w:pPr>
            <w:r w:rsidRPr="003A7791">
              <w:rPr>
                <w:rFonts w:ascii="Arial" w:hAnsi="Arial" w:cs="Arial"/>
                <w:sz w:val="24"/>
                <w:szCs w:val="24"/>
              </w:rPr>
              <w:t>WRI</w:t>
            </w:r>
          </w:p>
        </w:tc>
        <w:tc>
          <w:tcPr>
            <w:tcW w:w="0" w:type="auto"/>
            <w:tcBorders>
              <w:top w:val="nil"/>
              <w:left w:val="nil"/>
              <w:bottom w:val="single" w:sz="4" w:space="0" w:color="AAAAAA"/>
              <w:right w:val="single" w:sz="4" w:space="0" w:color="AAAAAA"/>
            </w:tcBorders>
            <w:shd w:val="clear" w:color="FFFFFF" w:fill="FFFFFF"/>
          </w:tcPr>
          <w:p w14:paraId="777B081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2023</w:t>
            </w:r>
          </w:p>
        </w:tc>
        <w:tc>
          <w:tcPr>
            <w:tcW w:w="0" w:type="auto"/>
            <w:tcBorders>
              <w:top w:val="nil"/>
              <w:left w:val="nil"/>
              <w:bottom w:val="single" w:sz="4" w:space="0" w:color="AAAAAA"/>
              <w:right w:val="single" w:sz="4" w:space="0" w:color="AAAAAA"/>
            </w:tcBorders>
            <w:shd w:val="clear" w:color="FFFFFF" w:fill="FFFFFF"/>
          </w:tcPr>
          <w:p w14:paraId="45F379FC" w14:textId="77777777" w:rsidR="003A7791" w:rsidRPr="003A7791" w:rsidRDefault="003A7791" w:rsidP="007B3AB8">
            <w:pPr>
              <w:rPr>
                <w:rFonts w:ascii="Arial" w:hAnsi="Arial" w:cs="Arial"/>
                <w:sz w:val="24"/>
                <w:szCs w:val="24"/>
              </w:rPr>
            </w:pPr>
            <w:r w:rsidRPr="003A7791">
              <w:rPr>
                <w:rFonts w:ascii="Arial" w:hAnsi="Arial" w:cs="Arial"/>
                <w:sz w:val="24"/>
                <w:szCs w:val="24"/>
              </w:rPr>
              <w:t>Reviews international green procurement standards and IDDI Green Public Procurement Pledge.</w:t>
            </w:r>
          </w:p>
        </w:tc>
      </w:tr>
      <w:tr w:rsidR="003A7791" w:rsidRPr="003A7791" w14:paraId="16494546"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70C7CE9A"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9</w:t>
            </w:r>
          </w:p>
        </w:tc>
        <w:tc>
          <w:tcPr>
            <w:tcW w:w="0" w:type="auto"/>
            <w:tcBorders>
              <w:top w:val="nil"/>
              <w:left w:val="nil"/>
              <w:bottom w:val="single" w:sz="4" w:space="0" w:color="AAAAAA"/>
              <w:right w:val="single" w:sz="4" w:space="0" w:color="AAAAAA"/>
            </w:tcBorders>
            <w:shd w:val="clear" w:color="D9EAD3" w:fill="D9EAD3"/>
          </w:tcPr>
          <w:p w14:paraId="3C4DEC19" w14:textId="77777777" w:rsidR="003A7791" w:rsidRPr="003A7791" w:rsidRDefault="003A7791" w:rsidP="007B3AB8">
            <w:pPr>
              <w:rPr>
                <w:rFonts w:ascii="Arial" w:hAnsi="Arial" w:cs="Arial"/>
                <w:sz w:val="24"/>
                <w:szCs w:val="24"/>
              </w:rPr>
            </w:pPr>
            <w:r w:rsidRPr="003A7791">
              <w:rPr>
                <w:rFonts w:ascii="Arial" w:hAnsi="Arial" w:cs="Arial"/>
                <w:sz w:val="24"/>
                <w:szCs w:val="24"/>
              </w:rPr>
              <w:t>UK Steel Industry: Statistics and Policy</w:t>
            </w:r>
          </w:p>
        </w:tc>
        <w:tc>
          <w:tcPr>
            <w:tcW w:w="0" w:type="auto"/>
            <w:tcBorders>
              <w:top w:val="nil"/>
              <w:left w:val="nil"/>
              <w:bottom w:val="single" w:sz="4" w:space="0" w:color="AAAAAA"/>
              <w:right w:val="single" w:sz="4" w:space="0" w:color="AAAAAA"/>
            </w:tcBorders>
            <w:shd w:val="clear" w:color="D9EAD3" w:fill="D9EAD3"/>
          </w:tcPr>
          <w:p w14:paraId="14674231" w14:textId="77777777" w:rsidR="003A7791" w:rsidRPr="003A7791" w:rsidRDefault="003A7791" w:rsidP="007B3AB8">
            <w:pPr>
              <w:rPr>
                <w:rFonts w:ascii="Arial" w:hAnsi="Arial" w:cs="Arial"/>
                <w:sz w:val="24"/>
                <w:szCs w:val="24"/>
              </w:rPr>
            </w:pPr>
            <w:r w:rsidRPr="003A7791">
              <w:rPr>
                <w:rFonts w:ascii="Arial" w:hAnsi="Arial" w:cs="Arial"/>
                <w:sz w:val="24"/>
                <w:szCs w:val="24"/>
              </w:rPr>
              <w:t>House of Commons Library</w:t>
            </w:r>
          </w:p>
        </w:tc>
        <w:tc>
          <w:tcPr>
            <w:tcW w:w="0" w:type="auto"/>
            <w:tcBorders>
              <w:top w:val="nil"/>
              <w:left w:val="nil"/>
              <w:bottom w:val="single" w:sz="4" w:space="0" w:color="AAAAAA"/>
              <w:right w:val="single" w:sz="4" w:space="0" w:color="AAAAAA"/>
            </w:tcBorders>
            <w:shd w:val="clear" w:color="D9EAD3" w:fill="D9EAD3"/>
          </w:tcPr>
          <w:p w14:paraId="586313BD" w14:textId="77777777" w:rsidR="003A7791" w:rsidRPr="003A7791" w:rsidRDefault="003A7791" w:rsidP="007B3AB8">
            <w:pPr>
              <w:rPr>
                <w:rFonts w:ascii="Arial" w:hAnsi="Arial" w:cs="Arial"/>
                <w:sz w:val="24"/>
                <w:szCs w:val="24"/>
              </w:rPr>
            </w:pPr>
            <w:r w:rsidRPr="003A7791">
              <w:rPr>
                <w:rFonts w:ascii="Arial" w:hAnsi="Arial" w:cs="Arial"/>
                <w:sz w:val="24"/>
                <w:szCs w:val="24"/>
              </w:rPr>
              <w:t>House of Commons Library</w:t>
            </w:r>
          </w:p>
        </w:tc>
        <w:tc>
          <w:tcPr>
            <w:tcW w:w="0" w:type="auto"/>
            <w:tcBorders>
              <w:top w:val="nil"/>
              <w:left w:val="nil"/>
              <w:bottom w:val="single" w:sz="4" w:space="0" w:color="AAAAAA"/>
              <w:right w:val="single" w:sz="4" w:space="0" w:color="AAAAAA"/>
            </w:tcBorders>
            <w:shd w:val="clear" w:color="D9EAD3" w:fill="D9EAD3"/>
          </w:tcPr>
          <w:p w14:paraId="6BF90D81"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2024</w:t>
            </w:r>
          </w:p>
        </w:tc>
        <w:tc>
          <w:tcPr>
            <w:tcW w:w="0" w:type="auto"/>
            <w:tcBorders>
              <w:top w:val="nil"/>
              <w:left w:val="nil"/>
              <w:bottom w:val="single" w:sz="4" w:space="0" w:color="AAAAAA"/>
              <w:right w:val="single" w:sz="4" w:space="0" w:color="AAAAAA"/>
            </w:tcBorders>
            <w:shd w:val="clear" w:color="D9EAD3" w:fill="D9EAD3"/>
          </w:tcPr>
          <w:p w14:paraId="4C87F184" w14:textId="77777777" w:rsidR="003A7791" w:rsidRPr="003A7791" w:rsidRDefault="003A7791" w:rsidP="007B3AB8">
            <w:pPr>
              <w:rPr>
                <w:rFonts w:ascii="Arial" w:hAnsi="Arial" w:cs="Arial"/>
                <w:sz w:val="24"/>
                <w:szCs w:val="24"/>
              </w:rPr>
            </w:pPr>
            <w:r w:rsidRPr="003A7791">
              <w:rPr>
                <w:rFonts w:ascii="Arial" w:hAnsi="Arial" w:cs="Arial"/>
                <w:sz w:val="24"/>
                <w:szCs w:val="24"/>
              </w:rPr>
              <w:t>Provides UK steel import statistics, decarbonisation policy context and green steel transition progress.</w:t>
            </w:r>
          </w:p>
        </w:tc>
      </w:tr>
      <w:tr w:rsidR="003A7791" w:rsidRPr="003A7791" w14:paraId="22404E11"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13F34CA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10</w:t>
            </w:r>
          </w:p>
        </w:tc>
        <w:tc>
          <w:tcPr>
            <w:tcW w:w="0" w:type="auto"/>
            <w:tcBorders>
              <w:top w:val="nil"/>
              <w:left w:val="nil"/>
              <w:bottom w:val="single" w:sz="4" w:space="0" w:color="AAAAAA"/>
              <w:right w:val="single" w:sz="4" w:space="0" w:color="AAAAAA"/>
            </w:tcBorders>
            <w:shd w:val="clear" w:color="FFFFFF" w:fill="FFFFFF"/>
          </w:tcPr>
          <w:p w14:paraId="77CF4075" w14:textId="77777777" w:rsidR="003A7791" w:rsidRPr="003A7791" w:rsidRDefault="003A7791" w:rsidP="007B3AB8">
            <w:pPr>
              <w:rPr>
                <w:rFonts w:ascii="Arial" w:hAnsi="Arial" w:cs="Arial"/>
                <w:sz w:val="24"/>
                <w:szCs w:val="24"/>
              </w:rPr>
            </w:pPr>
            <w:r w:rsidRPr="003A7791">
              <w:rPr>
                <w:rFonts w:ascii="Arial" w:hAnsi="Arial" w:cs="Arial"/>
                <w:sz w:val="24"/>
                <w:szCs w:val="24"/>
              </w:rPr>
              <w:t>The Steel Strategy: The Plan for Steel</w:t>
            </w:r>
          </w:p>
        </w:tc>
        <w:tc>
          <w:tcPr>
            <w:tcW w:w="0" w:type="auto"/>
            <w:tcBorders>
              <w:top w:val="nil"/>
              <w:left w:val="nil"/>
              <w:bottom w:val="single" w:sz="4" w:space="0" w:color="AAAAAA"/>
              <w:right w:val="single" w:sz="4" w:space="0" w:color="AAAAAA"/>
            </w:tcBorders>
            <w:shd w:val="clear" w:color="FFFFFF" w:fill="FFFFFF"/>
          </w:tcPr>
          <w:p w14:paraId="64E8BA65"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w:t>
            </w:r>
          </w:p>
        </w:tc>
        <w:tc>
          <w:tcPr>
            <w:tcW w:w="0" w:type="auto"/>
            <w:tcBorders>
              <w:top w:val="nil"/>
              <w:left w:val="nil"/>
              <w:bottom w:val="single" w:sz="4" w:space="0" w:color="AAAAAA"/>
              <w:right w:val="single" w:sz="4" w:space="0" w:color="AAAAAA"/>
            </w:tcBorders>
            <w:shd w:val="clear" w:color="FFFFFF" w:fill="FFFFFF"/>
          </w:tcPr>
          <w:p w14:paraId="4F439220"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w:t>
            </w:r>
          </w:p>
        </w:tc>
        <w:tc>
          <w:tcPr>
            <w:tcW w:w="0" w:type="auto"/>
            <w:tcBorders>
              <w:top w:val="nil"/>
              <w:left w:val="nil"/>
              <w:bottom w:val="single" w:sz="4" w:space="0" w:color="AAAAAA"/>
              <w:right w:val="single" w:sz="4" w:space="0" w:color="AAAAAA"/>
            </w:tcBorders>
            <w:shd w:val="clear" w:color="FFFFFF" w:fill="FFFFFF"/>
          </w:tcPr>
          <w:p w14:paraId="6E49C2DE"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2025</w:t>
            </w:r>
          </w:p>
        </w:tc>
        <w:tc>
          <w:tcPr>
            <w:tcW w:w="0" w:type="auto"/>
            <w:tcBorders>
              <w:top w:val="nil"/>
              <w:left w:val="nil"/>
              <w:bottom w:val="single" w:sz="4" w:space="0" w:color="AAAAAA"/>
              <w:right w:val="single" w:sz="4" w:space="0" w:color="AAAAAA"/>
            </w:tcBorders>
            <w:shd w:val="clear" w:color="FFFFFF" w:fill="FFFFFF"/>
          </w:tcPr>
          <w:p w14:paraId="1EC5B869"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Sets out UK government's vision for green steel production, </w:t>
            </w:r>
            <w:r w:rsidRPr="003A7791">
              <w:rPr>
                <w:rFonts w:ascii="Arial" w:hAnsi="Arial" w:cs="Arial"/>
                <w:sz w:val="24"/>
                <w:szCs w:val="24"/>
              </w:rPr>
              <w:lastRenderedPageBreak/>
              <w:t>EAF transition and CBAM alignment.</w:t>
            </w:r>
          </w:p>
        </w:tc>
      </w:tr>
      <w:tr w:rsidR="003A7791" w:rsidRPr="003A7791" w14:paraId="7D1435D5"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17FFA55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11</w:t>
            </w:r>
          </w:p>
        </w:tc>
        <w:tc>
          <w:tcPr>
            <w:tcW w:w="0" w:type="auto"/>
            <w:tcBorders>
              <w:top w:val="nil"/>
              <w:left w:val="nil"/>
              <w:bottom w:val="single" w:sz="4" w:space="0" w:color="AAAAAA"/>
              <w:right w:val="single" w:sz="4" w:space="0" w:color="AAAAAA"/>
            </w:tcBorders>
            <w:shd w:val="clear" w:color="D9EAD3" w:fill="D9EAD3"/>
          </w:tcPr>
          <w:p w14:paraId="4575BE50" w14:textId="77777777" w:rsidR="003A7791" w:rsidRPr="003A7791" w:rsidRDefault="003A7791" w:rsidP="007B3AB8">
            <w:pPr>
              <w:rPr>
                <w:rFonts w:ascii="Arial" w:hAnsi="Arial" w:cs="Arial"/>
                <w:sz w:val="24"/>
                <w:szCs w:val="24"/>
              </w:rPr>
            </w:pPr>
            <w:r w:rsidRPr="003A7791">
              <w:rPr>
                <w:rFonts w:ascii="Arial" w:hAnsi="Arial" w:cs="Arial"/>
                <w:sz w:val="24"/>
                <w:szCs w:val="24"/>
              </w:rPr>
              <w:t>The Economics of Border Carbon Adjustment: Rationale and Impacts</w:t>
            </w:r>
          </w:p>
        </w:tc>
        <w:tc>
          <w:tcPr>
            <w:tcW w:w="0" w:type="auto"/>
            <w:tcBorders>
              <w:top w:val="nil"/>
              <w:left w:val="nil"/>
              <w:bottom w:val="single" w:sz="4" w:space="0" w:color="AAAAAA"/>
              <w:right w:val="single" w:sz="4" w:space="0" w:color="AAAAAA"/>
            </w:tcBorders>
            <w:shd w:val="clear" w:color="D9EAD3" w:fill="D9EAD3"/>
          </w:tcPr>
          <w:p w14:paraId="5112CB25" w14:textId="77777777" w:rsidR="003A7791" w:rsidRPr="003A7791" w:rsidRDefault="003A7791" w:rsidP="007B3AB8">
            <w:pPr>
              <w:rPr>
                <w:rFonts w:ascii="Arial" w:hAnsi="Arial" w:cs="Arial"/>
                <w:sz w:val="24"/>
                <w:szCs w:val="24"/>
              </w:rPr>
            </w:pPr>
            <w:r w:rsidRPr="003A7791">
              <w:rPr>
                <w:rFonts w:ascii="Arial" w:hAnsi="Arial" w:cs="Arial"/>
                <w:sz w:val="24"/>
                <w:szCs w:val="24"/>
              </w:rPr>
              <w:t>Annual Review of Economics</w:t>
            </w:r>
          </w:p>
        </w:tc>
        <w:tc>
          <w:tcPr>
            <w:tcW w:w="0" w:type="auto"/>
            <w:tcBorders>
              <w:top w:val="nil"/>
              <w:left w:val="nil"/>
              <w:bottom w:val="single" w:sz="4" w:space="0" w:color="AAAAAA"/>
              <w:right w:val="single" w:sz="4" w:space="0" w:color="AAAAAA"/>
            </w:tcBorders>
            <w:shd w:val="clear" w:color="D9EAD3" w:fill="D9EAD3"/>
          </w:tcPr>
          <w:p w14:paraId="59081A3D" w14:textId="77777777" w:rsidR="003A7791" w:rsidRPr="003A7791" w:rsidRDefault="003A7791" w:rsidP="007B3AB8">
            <w:pPr>
              <w:rPr>
                <w:rFonts w:ascii="Arial" w:hAnsi="Arial" w:cs="Arial"/>
                <w:sz w:val="24"/>
                <w:szCs w:val="24"/>
              </w:rPr>
            </w:pPr>
            <w:r w:rsidRPr="003A7791">
              <w:rPr>
                <w:rFonts w:ascii="Arial" w:hAnsi="Arial" w:cs="Arial"/>
                <w:sz w:val="24"/>
                <w:szCs w:val="24"/>
              </w:rPr>
              <w:t>Mehling, M. et al.</w:t>
            </w:r>
          </w:p>
        </w:tc>
        <w:tc>
          <w:tcPr>
            <w:tcW w:w="0" w:type="auto"/>
            <w:tcBorders>
              <w:top w:val="nil"/>
              <w:left w:val="nil"/>
              <w:bottom w:val="single" w:sz="4" w:space="0" w:color="AAAAAA"/>
              <w:right w:val="single" w:sz="4" w:space="0" w:color="AAAAAA"/>
            </w:tcBorders>
            <w:shd w:val="clear" w:color="D9EAD3" w:fill="D9EAD3"/>
          </w:tcPr>
          <w:p w14:paraId="26E3812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2023</w:t>
            </w:r>
          </w:p>
        </w:tc>
        <w:tc>
          <w:tcPr>
            <w:tcW w:w="0" w:type="auto"/>
            <w:tcBorders>
              <w:top w:val="nil"/>
              <w:left w:val="nil"/>
              <w:bottom w:val="single" w:sz="4" w:space="0" w:color="AAAAAA"/>
              <w:right w:val="single" w:sz="4" w:space="0" w:color="AAAAAA"/>
            </w:tcBorders>
            <w:shd w:val="clear" w:color="D9EAD3" w:fill="D9EAD3"/>
          </w:tcPr>
          <w:p w14:paraId="00DEC40F" w14:textId="77777777" w:rsidR="003A7791" w:rsidRPr="003A7791" w:rsidRDefault="003A7791" w:rsidP="007B3AB8">
            <w:pPr>
              <w:rPr>
                <w:rFonts w:ascii="Arial" w:hAnsi="Arial" w:cs="Arial"/>
                <w:sz w:val="24"/>
                <w:szCs w:val="24"/>
              </w:rPr>
            </w:pPr>
            <w:r w:rsidRPr="003A7791">
              <w:rPr>
                <w:rFonts w:ascii="Arial" w:hAnsi="Arial" w:cs="Arial"/>
                <w:sz w:val="24"/>
                <w:szCs w:val="24"/>
              </w:rPr>
              <w:t>Comprehensive review of economic rationale and modelled impacts of border carbon adjustments.</w:t>
            </w:r>
          </w:p>
        </w:tc>
      </w:tr>
      <w:tr w:rsidR="003A7791" w:rsidRPr="003A7791" w14:paraId="6F34700A"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0B622A0A"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12</w:t>
            </w:r>
          </w:p>
        </w:tc>
        <w:tc>
          <w:tcPr>
            <w:tcW w:w="0" w:type="auto"/>
            <w:tcBorders>
              <w:top w:val="nil"/>
              <w:left w:val="nil"/>
              <w:bottom w:val="single" w:sz="4" w:space="0" w:color="AAAAAA"/>
              <w:right w:val="single" w:sz="4" w:space="0" w:color="AAAAAA"/>
            </w:tcBorders>
            <w:shd w:val="clear" w:color="FFFFFF" w:fill="FFFFFF"/>
          </w:tcPr>
          <w:p w14:paraId="4FF371D0"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Carbon Border Adjustment Mechanism Challenges: The Case of </w:t>
            </w:r>
            <w:proofErr w:type="spellStart"/>
            <w:r w:rsidRPr="003A7791">
              <w:rPr>
                <w:rFonts w:ascii="Arial" w:hAnsi="Arial" w:cs="Arial"/>
                <w:sz w:val="24"/>
                <w:szCs w:val="24"/>
              </w:rPr>
              <w:t>Visegrád</w:t>
            </w:r>
            <w:proofErr w:type="spellEnd"/>
            <w:r w:rsidRPr="003A7791">
              <w:rPr>
                <w:rFonts w:ascii="Arial" w:hAnsi="Arial" w:cs="Arial"/>
                <w:sz w:val="24"/>
                <w:szCs w:val="24"/>
              </w:rPr>
              <w:t xml:space="preserve"> Countries</w:t>
            </w:r>
          </w:p>
        </w:tc>
        <w:tc>
          <w:tcPr>
            <w:tcW w:w="0" w:type="auto"/>
            <w:tcBorders>
              <w:top w:val="nil"/>
              <w:left w:val="nil"/>
              <w:bottom w:val="single" w:sz="4" w:space="0" w:color="AAAAAA"/>
              <w:right w:val="single" w:sz="4" w:space="0" w:color="AAAAAA"/>
            </w:tcBorders>
            <w:shd w:val="clear" w:color="FFFFFF" w:fill="FFFFFF"/>
          </w:tcPr>
          <w:p w14:paraId="49620A89" w14:textId="77777777" w:rsidR="003A7791" w:rsidRPr="003A7791" w:rsidRDefault="003A7791" w:rsidP="007B3AB8">
            <w:pPr>
              <w:rPr>
                <w:rFonts w:ascii="Arial" w:hAnsi="Arial" w:cs="Arial"/>
                <w:sz w:val="24"/>
                <w:szCs w:val="24"/>
              </w:rPr>
            </w:pPr>
            <w:r w:rsidRPr="003A7791">
              <w:rPr>
                <w:rFonts w:ascii="Arial" w:hAnsi="Arial" w:cs="Arial"/>
                <w:sz w:val="24"/>
                <w:szCs w:val="24"/>
              </w:rPr>
              <w:t>PLOS ONE / PMC</w:t>
            </w:r>
          </w:p>
        </w:tc>
        <w:tc>
          <w:tcPr>
            <w:tcW w:w="0" w:type="auto"/>
            <w:tcBorders>
              <w:top w:val="nil"/>
              <w:left w:val="nil"/>
              <w:bottom w:val="single" w:sz="4" w:space="0" w:color="AAAAAA"/>
              <w:right w:val="single" w:sz="4" w:space="0" w:color="AAAAAA"/>
            </w:tcBorders>
            <w:shd w:val="clear" w:color="FFFFFF" w:fill="FFFFFF"/>
          </w:tcPr>
          <w:p w14:paraId="513AF8AB" w14:textId="77777777" w:rsidR="003A7791" w:rsidRPr="003A7791" w:rsidRDefault="003A7791" w:rsidP="007B3AB8">
            <w:pPr>
              <w:rPr>
                <w:rFonts w:ascii="Arial" w:hAnsi="Arial" w:cs="Arial"/>
                <w:sz w:val="24"/>
                <w:szCs w:val="24"/>
              </w:rPr>
            </w:pPr>
            <w:r w:rsidRPr="003A7791">
              <w:rPr>
                <w:rFonts w:ascii="Arial" w:hAnsi="Arial" w:cs="Arial"/>
                <w:sz w:val="24"/>
                <w:szCs w:val="24"/>
              </w:rPr>
              <w:t>Various (PMC, 2024)</w:t>
            </w:r>
          </w:p>
        </w:tc>
        <w:tc>
          <w:tcPr>
            <w:tcW w:w="0" w:type="auto"/>
            <w:tcBorders>
              <w:top w:val="nil"/>
              <w:left w:val="nil"/>
              <w:bottom w:val="single" w:sz="4" w:space="0" w:color="AAAAAA"/>
              <w:right w:val="single" w:sz="4" w:space="0" w:color="AAAAAA"/>
            </w:tcBorders>
            <w:shd w:val="clear" w:color="FFFFFF" w:fill="FFFFFF"/>
          </w:tcPr>
          <w:p w14:paraId="5E629C3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2024</w:t>
            </w:r>
          </w:p>
        </w:tc>
        <w:tc>
          <w:tcPr>
            <w:tcW w:w="0" w:type="auto"/>
            <w:tcBorders>
              <w:top w:val="nil"/>
              <w:left w:val="nil"/>
              <w:bottom w:val="single" w:sz="4" w:space="0" w:color="AAAAAA"/>
              <w:right w:val="single" w:sz="4" w:space="0" w:color="AAAAAA"/>
            </w:tcBorders>
            <w:shd w:val="clear" w:color="FFFFFF" w:fill="FFFFFF"/>
          </w:tcPr>
          <w:p w14:paraId="08102A53" w14:textId="77777777" w:rsidR="003A7791" w:rsidRPr="003A7791" w:rsidRDefault="003A7791" w:rsidP="007B3AB8">
            <w:pPr>
              <w:rPr>
                <w:rFonts w:ascii="Arial" w:hAnsi="Arial" w:cs="Arial"/>
                <w:sz w:val="24"/>
                <w:szCs w:val="24"/>
              </w:rPr>
            </w:pPr>
            <w:r w:rsidRPr="003A7791">
              <w:rPr>
                <w:rFonts w:ascii="Arial" w:hAnsi="Arial" w:cs="Arial"/>
                <w:sz w:val="24"/>
                <w:szCs w:val="24"/>
              </w:rPr>
              <w:t>Econometric estimates of CBAM cost pass-through for steel and aluminium imports.</w:t>
            </w:r>
          </w:p>
        </w:tc>
      </w:tr>
      <w:tr w:rsidR="003A7791" w:rsidRPr="003A7791" w14:paraId="480259D5"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49BB312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13</w:t>
            </w:r>
          </w:p>
        </w:tc>
        <w:tc>
          <w:tcPr>
            <w:tcW w:w="0" w:type="auto"/>
            <w:tcBorders>
              <w:top w:val="nil"/>
              <w:left w:val="nil"/>
              <w:bottom w:val="single" w:sz="4" w:space="0" w:color="AAAAAA"/>
              <w:right w:val="single" w:sz="4" w:space="0" w:color="AAAAAA"/>
            </w:tcBorders>
            <w:shd w:val="clear" w:color="D9EAD3" w:fill="D9EAD3"/>
          </w:tcPr>
          <w:p w14:paraId="2D5AB42A" w14:textId="77777777" w:rsidR="003A7791" w:rsidRPr="003A7791" w:rsidRDefault="003A7791" w:rsidP="007B3AB8">
            <w:pPr>
              <w:rPr>
                <w:rFonts w:ascii="Arial" w:hAnsi="Arial" w:cs="Arial"/>
                <w:sz w:val="24"/>
                <w:szCs w:val="24"/>
              </w:rPr>
            </w:pPr>
            <w:r w:rsidRPr="003A7791">
              <w:rPr>
                <w:rFonts w:ascii="Arial" w:hAnsi="Arial" w:cs="Arial"/>
                <w:sz w:val="24"/>
                <w:szCs w:val="24"/>
              </w:rPr>
              <w:t>Winners and Losers of the EU Carbon Border Adjustment Mechanism</w:t>
            </w:r>
          </w:p>
        </w:tc>
        <w:tc>
          <w:tcPr>
            <w:tcW w:w="0" w:type="auto"/>
            <w:tcBorders>
              <w:top w:val="nil"/>
              <w:left w:val="nil"/>
              <w:bottom w:val="single" w:sz="4" w:space="0" w:color="AAAAAA"/>
              <w:right w:val="single" w:sz="4" w:space="0" w:color="AAAAAA"/>
            </w:tcBorders>
            <w:shd w:val="clear" w:color="D9EAD3" w:fill="D9EAD3"/>
          </w:tcPr>
          <w:p w14:paraId="0BBE6BCE" w14:textId="77777777" w:rsidR="003A7791" w:rsidRPr="003A7791" w:rsidRDefault="003A7791" w:rsidP="007B3AB8">
            <w:pPr>
              <w:rPr>
                <w:rFonts w:ascii="Arial" w:hAnsi="Arial" w:cs="Arial"/>
                <w:sz w:val="24"/>
                <w:szCs w:val="24"/>
              </w:rPr>
            </w:pPr>
            <w:r w:rsidRPr="003A7791">
              <w:rPr>
                <w:rFonts w:ascii="Arial" w:hAnsi="Arial" w:cs="Arial"/>
                <w:sz w:val="24"/>
                <w:szCs w:val="24"/>
              </w:rPr>
              <w:t>ScienceDirect</w:t>
            </w:r>
          </w:p>
        </w:tc>
        <w:tc>
          <w:tcPr>
            <w:tcW w:w="0" w:type="auto"/>
            <w:tcBorders>
              <w:top w:val="nil"/>
              <w:left w:val="nil"/>
              <w:bottom w:val="single" w:sz="4" w:space="0" w:color="AAAAAA"/>
              <w:right w:val="single" w:sz="4" w:space="0" w:color="AAAAAA"/>
            </w:tcBorders>
            <w:shd w:val="clear" w:color="D9EAD3" w:fill="D9EAD3"/>
          </w:tcPr>
          <w:p w14:paraId="233A6853" w14:textId="77777777" w:rsidR="003A7791" w:rsidRPr="003A7791" w:rsidRDefault="003A7791" w:rsidP="007B3AB8">
            <w:pPr>
              <w:rPr>
                <w:rFonts w:ascii="Arial" w:hAnsi="Arial" w:cs="Arial"/>
                <w:sz w:val="24"/>
                <w:szCs w:val="24"/>
              </w:rPr>
            </w:pPr>
            <w:r w:rsidRPr="003A7791">
              <w:rPr>
                <w:rFonts w:ascii="Arial" w:hAnsi="Arial" w:cs="Arial"/>
                <w:sz w:val="24"/>
                <w:szCs w:val="24"/>
              </w:rPr>
              <w:t>Various (ScienceDirect, 2024)</w:t>
            </w:r>
          </w:p>
        </w:tc>
        <w:tc>
          <w:tcPr>
            <w:tcW w:w="0" w:type="auto"/>
            <w:tcBorders>
              <w:top w:val="nil"/>
              <w:left w:val="nil"/>
              <w:bottom w:val="single" w:sz="4" w:space="0" w:color="AAAAAA"/>
              <w:right w:val="single" w:sz="4" w:space="0" w:color="AAAAAA"/>
            </w:tcBorders>
            <w:shd w:val="clear" w:color="D9EAD3" w:fill="D9EAD3"/>
          </w:tcPr>
          <w:p w14:paraId="12C0EB42"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2024</w:t>
            </w:r>
          </w:p>
        </w:tc>
        <w:tc>
          <w:tcPr>
            <w:tcW w:w="0" w:type="auto"/>
            <w:tcBorders>
              <w:top w:val="nil"/>
              <w:left w:val="nil"/>
              <w:bottom w:val="single" w:sz="4" w:space="0" w:color="AAAAAA"/>
              <w:right w:val="single" w:sz="4" w:space="0" w:color="AAAAAA"/>
            </w:tcBorders>
            <w:shd w:val="clear" w:color="D9EAD3" w:fill="D9EAD3"/>
          </w:tcPr>
          <w:p w14:paraId="0E0DF1CF" w14:textId="77777777" w:rsidR="003A7791" w:rsidRPr="003A7791" w:rsidRDefault="003A7791" w:rsidP="007B3AB8">
            <w:pPr>
              <w:rPr>
                <w:rFonts w:ascii="Arial" w:hAnsi="Arial" w:cs="Arial"/>
                <w:sz w:val="24"/>
                <w:szCs w:val="24"/>
              </w:rPr>
            </w:pPr>
            <w:proofErr w:type="gramStart"/>
            <w:r w:rsidRPr="003A7791">
              <w:rPr>
                <w:rFonts w:ascii="Arial" w:hAnsi="Arial" w:cs="Arial"/>
                <w:sz w:val="24"/>
                <w:szCs w:val="24"/>
              </w:rPr>
              <w:t>Models</w:t>
            </w:r>
            <w:proofErr w:type="gramEnd"/>
            <w:r w:rsidRPr="003A7791">
              <w:rPr>
                <w:rFonts w:ascii="Arial" w:hAnsi="Arial" w:cs="Arial"/>
                <w:sz w:val="24"/>
                <w:szCs w:val="24"/>
              </w:rPr>
              <w:t xml:space="preserve"> distributional impacts of EU CBAM across sectors and countries.</w:t>
            </w:r>
          </w:p>
        </w:tc>
      </w:tr>
      <w:tr w:rsidR="003A7791" w:rsidRPr="003A7791" w14:paraId="6098FBE9"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1D3D0CBC"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14</w:t>
            </w:r>
          </w:p>
        </w:tc>
        <w:tc>
          <w:tcPr>
            <w:tcW w:w="0" w:type="auto"/>
            <w:tcBorders>
              <w:top w:val="nil"/>
              <w:left w:val="nil"/>
              <w:bottom w:val="single" w:sz="4" w:space="0" w:color="AAAAAA"/>
              <w:right w:val="single" w:sz="4" w:space="0" w:color="AAAAAA"/>
            </w:tcBorders>
            <w:shd w:val="clear" w:color="FFFFFF" w:fill="FFFFFF"/>
          </w:tcPr>
          <w:p w14:paraId="4A1E3F4B" w14:textId="77777777" w:rsidR="003A7791" w:rsidRPr="003A7791" w:rsidRDefault="003A7791" w:rsidP="007B3AB8">
            <w:pPr>
              <w:rPr>
                <w:rFonts w:ascii="Arial" w:hAnsi="Arial" w:cs="Arial"/>
                <w:sz w:val="24"/>
                <w:szCs w:val="24"/>
              </w:rPr>
            </w:pPr>
            <w:r w:rsidRPr="003A7791">
              <w:rPr>
                <w:rFonts w:ascii="Arial" w:hAnsi="Arial" w:cs="Arial"/>
                <w:sz w:val="24"/>
                <w:szCs w:val="24"/>
              </w:rPr>
              <w:t>UK Carbon Border Adjustment Mechanism: 2024 Updated Guide for Construction Professionals</w:t>
            </w:r>
          </w:p>
        </w:tc>
        <w:tc>
          <w:tcPr>
            <w:tcW w:w="0" w:type="auto"/>
            <w:tcBorders>
              <w:top w:val="nil"/>
              <w:left w:val="nil"/>
              <w:bottom w:val="single" w:sz="4" w:space="0" w:color="AAAAAA"/>
              <w:right w:val="single" w:sz="4" w:space="0" w:color="AAAAAA"/>
            </w:tcBorders>
            <w:shd w:val="clear" w:color="FFFFFF" w:fill="FFFFFF"/>
          </w:tcPr>
          <w:p w14:paraId="056F0687" w14:textId="77777777" w:rsidR="003A7791" w:rsidRPr="003A7791" w:rsidRDefault="003A7791" w:rsidP="007B3AB8">
            <w:pPr>
              <w:rPr>
                <w:rFonts w:ascii="Arial" w:hAnsi="Arial" w:cs="Arial"/>
                <w:sz w:val="24"/>
                <w:szCs w:val="24"/>
              </w:rPr>
            </w:pPr>
            <w:r w:rsidRPr="003A7791">
              <w:rPr>
                <w:rFonts w:ascii="Arial" w:hAnsi="Arial" w:cs="Arial"/>
                <w:sz w:val="24"/>
                <w:szCs w:val="24"/>
              </w:rPr>
              <w:t>One Click LCA</w:t>
            </w:r>
          </w:p>
        </w:tc>
        <w:tc>
          <w:tcPr>
            <w:tcW w:w="0" w:type="auto"/>
            <w:tcBorders>
              <w:top w:val="nil"/>
              <w:left w:val="nil"/>
              <w:bottom w:val="single" w:sz="4" w:space="0" w:color="AAAAAA"/>
              <w:right w:val="single" w:sz="4" w:space="0" w:color="AAAAAA"/>
            </w:tcBorders>
            <w:shd w:val="clear" w:color="FFFFFF" w:fill="FFFFFF"/>
          </w:tcPr>
          <w:p w14:paraId="0F5A1A33" w14:textId="77777777" w:rsidR="003A7791" w:rsidRPr="003A7791" w:rsidRDefault="003A7791" w:rsidP="007B3AB8">
            <w:pPr>
              <w:rPr>
                <w:rFonts w:ascii="Arial" w:hAnsi="Arial" w:cs="Arial"/>
                <w:sz w:val="24"/>
                <w:szCs w:val="24"/>
              </w:rPr>
            </w:pPr>
            <w:r w:rsidRPr="003A7791">
              <w:rPr>
                <w:rFonts w:ascii="Arial" w:hAnsi="Arial" w:cs="Arial"/>
                <w:sz w:val="24"/>
                <w:szCs w:val="24"/>
              </w:rPr>
              <w:t>One Click LCA</w:t>
            </w:r>
          </w:p>
        </w:tc>
        <w:tc>
          <w:tcPr>
            <w:tcW w:w="0" w:type="auto"/>
            <w:tcBorders>
              <w:top w:val="nil"/>
              <w:left w:val="nil"/>
              <w:bottom w:val="single" w:sz="4" w:space="0" w:color="AAAAAA"/>
              <w:right w:val="single" w:sz="4" w:space="0" w:color="AAAAAA"/>
            </w:tcBorders>
            <w:shd w:val="clear" w:color="FFFFFF" w:fill="FFFFFF"/>
          </w:tcPr>
          <w:p w14:paraId="0EABD00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2024</w:t>
            </w:r>
          </w:p>
        </w:tc>
        <w:tc>
          <w:tcPr>
            <w:tcW w:w="0" w:type="auto"/>
            <w:tcBorders>
              <w:top w:val="nil"/>
              <w:left w:val="nil"/>
              <w:bottom w:val="single" w:sz="4" w:space="0" w:color="AAAAAA"/>
              <w:right w:val="single" w:sz="4" w:space="0" w:color="AAAAAA"/>
            </w:tcBorders>
            <w:shd w:val="clear" w:color="FFFFFF" w:fill="FFFFFF"/>
          </w:tcPr>
          <w:p w14:paraId="70574FB0" w14:textId="77777777" w:rsidR="003A7791" w:rsidRPr="003A7791" w:rsidRDefault="003A7791" w:rsidP="007B3AB8">
            <w:pPr>
              <w:rPr>
                <w:rFonts w:ascii="Arial" w:hAnsi="Arial" w:cs="Arial"/>
                <w:sz w:val="24"/>
                <w:szCs w:val="24"/>
              </w:rPr>
            </w:pPr>
            <w:r w:rsidRPr="003A7791">
              <w:rPr>
                <w:rFonts w:ascii="Arial" w:hAnsi="Arial" w:cs="Arial"/>
                <w:sz w:val="24"/>
                <w:szCs w:val="24"/>
              </w:rPr>
              <w:t>Practical industry guidance on CBAM compliance for UK construction firms — directly relevant to procurement strategy.</w:t>
            </w:r>
          </w:p>
        </w:tc>
      </w:tr>
      <w:tr w:rsidR="003A7791" w:rsidRPr="003A7791" w14:paraId="6F803559"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680505EA"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15</w:t>
            </w:r>
          </w:p>
        </w:tc>
        <w:tc>
          <w:tcPr>
            <w:tcW w:w="0" w:type="auto"/>
            <w:tcBorders>
              <w:top w:val="nil"/>
              <w:left w:val="nil"/>
              <w:bottom w:val="single" w:sz="4" w:space="0" w:color="AAAAAA"/>
              <w:right w:val="single" w:sz="4" w:space="0" w:color="AAAAAA"/>
            </w:tcBorders>
            <w:shd w:val="clear" w:color="D9EAD3" w:fill="D9EAD3"/>
          </w:tcPr>
          <w:p w14:paraId="23C0CDE8" w14:textId="77777777" w:rsidR="003A7791" w:rsidRPr="003A7791" w:rsidRDefault="003A7791" w:rsidP="007B3AB8">
            <w:pPr>
              <w:rPr>
                <w:rFonts w:ascii="Arial" w:hAnsi="Arial" w:cs="Arial"/>
                <w:sz w:val="24"/>
                <w:szCs w:val="24"/>
              </w:rPr>
            </w:pPr>
            <w:r w:rsidRPr="003A7791">
              <w:rPr>
                <w:rFonts w:ascii="Arial" w:hAnsi="Arial" w:cs="Arial"/>
                <w:sz w:val="24"/>
                <w:szCs w:val="24"/>
              </w:rPr>
              <w:t>UK Carbon Border Adjustment Mechanism: How Will It Work?</w:t>
            </w:r>
          </w:p>
        </w:tc>
        <w:tc>
          <w:tcPr>
            <w:tcW w:w="0" w:type="auto"/>
            <w:tcBorders>
              <w:top w:val="nil"/>
              <w:left w:val="nil"/>
              <w:bottom w:val="single" w:sz="4" w:space="0" w:color="AAAAAA"/>
              <w:right w:val="single" w:sz="4" w:space="0" w:color="AAAAAA"/>
            </w:tcBorders>
            <w:shd w:val="clear" w:color="D9EAD3" w:fill="D9EAD3"/>
          </w:tcPr>
          <w:p w14:paraId="36A80656" w14:textId="77777777" w:rsidR="003A7791" w:rsidRPr="003A7791" w:rsidRDefault="003A7791" w:rsidP="007B3AB8">
            <w:pPr>
              <w:rPr>
                <w:rFonts w:ascii="Arial" w:hAnsi="Arial" w:cs="Arial"/>
                <w:sz w:val="24"/>
                <w:szCs w:val="24"/>
              </w:rPr>
            </w:pPr>
            <w:r w:rsidRPr="003A7791">
              <w:rPr>
                <w:rFonts w:ascii="Arial" w:hAnsi="Arial" w:cs="Arial"/>
                <w:sz w:val="24"/>
                <w:szCs w:val="24"/>
              </w:rPr>
              <w:t>Norton Rose Fulbright (Legal Briefing)</w:t>
            </w:r>
          </w:p>
        </w:tc>
        <w:tc>
          <w:tcPr>
            <w:tcW w:w="0" w:type="auto"/>
            <w:tcBorders>
              <w:top w:val="nil"/>
              <w:left w:val="nil"/>
              <w:bottom w:val="single" w:sz="4" w:space="0" w:color="AAAAAA"/>
              <w:right w:val="single" w:sz="4" w:space="0" w:color="AAAAAA"/>
            </w:tcBorders>
            <w:shd w:val="clear" w:color="D9EAD3" w:fill="D9EAD3"/>
          </w:tcPr>
          <w:p w14:paraId="6707EEE7" w14:textId="77777777" w:rsidR="003A7791" w:rsidRPr="003A7791" w:rsidRDefault="003A7791" w:rsidP="007B3AB8">
            <w:pPr>
              <w:rPr>
                <w:rFonts w:ascii="Arial" w:hAnsi="Arial" w:cs="Arial"/>
                <w:sz w:val="24"/>
                <w:szCs w:val="24"/>
              </w:rPr>
            </w:pPr>
            <w:r w:rsidRPr="003A7791">
              <w:rPr>
                <w:rFonts w:ascii="Arial" w:hAnsi="Arial" w:cs="Arial"/>
                <w:sz w:val="24"/>
                <w:szCs w:val="24"/>
              </w:rPr>
              <w:t>Norton Rose Fulbright</w:t>
            </w:r>
          </w:p>
        </w:tc>
        <w:tc>
          <w:tcPr>
            <w:tcW w:w="0" w:type="auto"/>
            <w:tcBorders>
              <w:top w:val="nil"/>
              <w:left w:val="nil"/>
              <w:bottom w:val="single" w:sz="4" w:space="0" w:color="AAAAAA"/>
              <w:right w:val="single" w:sz="4" w:space="0" w:color="AAAAAA"/>
            </w:tcBorders>
            <w:shd w:val="clear" w:color="D9EAD3" w:fill="D9EAD3"/>
          </w:tcPr>
          <w:p w14:paraId="3664EFB5"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2025</w:t>
            </w:r>
          </w:p>
        </w:tc>
        <w:tc>
          <w:tcPr>
            <w:tcW w:w="0" w:type="auto"/>
            <w:tcBorders>
              <w:top w:val="nil"/>
              <w:left w:val="nil"/>
              <w:bottom w:val="single" w:sz="4" w:space="0" w:color="AAAAAA"/>
              <w:right w:val="single" w:sz="4" w:space="0" w:color="AAAAAA"/>
            </w:tcBorders>
            <w:shd w:val="clear" w:color="D9EAD3" w:fill="D9EAD3"/>
          </w:tcPr>
          <w:p w14:paraId="594CB9C9" w14:textId="77777777" w:rsidR="003A7791" w:rsidRPr="003A7791" w:rsidRDefault="003A7791" w:rsidP="007B3AB8">
            <w:pPr>
              <w:rPr>
                <w:rFonts w:ascii="Arial" w:hAnsi="Arial" w:cs="Arial"/>
                <w:sz w:val="24"/>
                <w:szCs w:val="24"/>
              </w:rPr>
            </w:pPr>
            <w:r w:rsidRPr="003A7791">
              <w:rPr>
                <w:rFonts w:ascii="Arial" w:hAnsi="Arial" w:cs="Arial"/>
                <w:sz w:val="24"/>
                <w:szCs w:val="24"/>
              </w:rPr>
              <w:t>Legal analysis of UK CBAM administration, scope and compliance obligations for importers.</w:t>
            </w:r>
          </w:p>
        </w:tc>
      </w:tr>
      <w:tr w:rsidR="003A7791" w:rsidRPr="003A7791" w14:paraId="1A86E694"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248B95AA"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16</w:t>
            </w:r>
          </w:p>
        </w:tc>
        <w:tc>
          <w:tcPr>
            <w:tcW w:w="0" w:type="auto"/>
            <w:tcBorders>
              <w:top w:val="nil"/>
              <w:left w:val="nil"/>
              <w:bottom w:val="single" w:sz="4" w:space="0" w:color="AAAAAA"/>
              <w:right w:val="single" w:sz="4" w:space="0" w:color="AAAAAA"/>
            </w:tcBorders>
            <w:shd w:val="clear" w:color="FFFFFF" w:fill="FFFFFF"/>
          </w:tcPr>
          <w:p w14:paraId="19F957D4" w14:textId="77777777" w:rsidR="003A7791" w:rsidRPr="003A7791" w:rsidRDefault="003A7791" w:rsidP="007B3AB8">
            <w:pPr>
              <w:rPr>
                <w:rFonts w:ascii="Arial" w:hAnsi="Arial" w:cs="Arial"/>
                <w:sz w:val="24"/>
                <w:szCs w:val="24"/>
              </w:rPr>
            </w:pPr>
            <w:r w:rsidRPr="003A7791">
              <w:rPr>
                <w:rFonts w:ascii="Arial" w:hAnsi="Arial" w:cs="Arial"/>
                <w:sz w:val="24"/>
                <w:szCs w:val="24"/>
              </w:rPr>
              <w:t>CBAM Implementation in Supply Chain</w:t>
            </w:r>
          </w:p>
        </w:tc>
        <w:tc>
          <w:tcPr>
            <w:tcW w:w="0" w:type="auto"/>
            <w:tcBorders>
              <w:top w:val="nil"/>
              <w:left w:val="nil"/>
              <w:bottom w:val="single" w:sz="4" w:space="0" w:color="AAAAAA"/>
              <w:right w:val="single" w:sz="4" w:space="0" w:color="AAAAAA"/>
            </w:tcBorders>
            <w:shd w:val="clear" w:color="FFFFFF" w:fill="FFFFFF"/>
          </w:tcPr>
          <w:p w14:paraId="0DAB14EB" w14:textId="77777777" w:rsidR="003A7791" w:rsidRPr="003A7791" w:rsidRDefault="003A7791" w:rsidP="007B3AB8">
            <w:pPr>
              <w:rPr>
                <w:rFonts w:ascii="Arial" w:hAnsi="Arial" w:cs="Arial"/>
                <w:sz w:val="24"/>
                <w:szCs w:val="24"/>
              </w:rPr>
            </w:pPr>
            <w:r w:rsidRPr="003A7791">
              <w:rPr>
                <w:rFonts w:ascii="Arial" w:hAnsi="Arial" w:cs="Arial"/>
                <w:sz w:val="24"/>
                <w:szCs w:val="24"/>
              </w:rPr>
              <w:t>Tunley Environmental</w:t>
            </w:r>
          </w:p>
        </w:tc>
        <w:tc>
          <w:tcPr>
            <w:tcW w:w="0" w:type="auto"/>
            <w:tcBorders>
              <w:top w:val="nil"/>
              <w:left w:val="nil"/>
              <w:bottom w:val="single" w:sz="4" w:space="0" w:color="AAAAAA"/>
              <w:right w:val="single" w:sz="4" w:space="0" w:color="AAAAAA"/>
            </w:tcBorders>
            <w:shd w:val="clear" w:color="FFFFFF" w:fill="FFFFFF"/>
          </w:tcPr>
          <w:p w14:paraId="774E37FC" w14:textId="77777777" w:rsidR="003A7791" w:rsidRPr="003A7791" w:rsidRDefault="003A7791" w:rsidP="007B3AB8">
            <w:pPr>
              <w:rPr>
                <w:rFonts w:ascii="Arial" w:hAnsi="Arial" w:cs="Arial"/>
                <w:sz w:val="24"/>
                <w:szCs w:val="24"/>
              </w:rPr>
            </w:pPr>
            <w:r w:rsidRPr="003A7791">
              <w:rPr>
                <w:rFonts w:ascii="Arial" w:hAnsi="Arial" w:cs="Arial"/>
                <w:sz w:val="24"/>
                <w:szCs w:val="24"/>
              </w:rPr>
              <w:t>Tunley Environmental</w:t>
            </w:r>
          </w:p>
        </w:tc>
        <w:tc>
          <w:tcPr>
            <w:tcW w:w="0" w:type="auto"/>
            <w:tcBorders>
              <w:top w:val="nil"/>
              <w:left w:val="nil"/>
              <w:bottom w:val="single" w:sz="4" w:space="0" w:color="AAAAAA"/>
              <w:right w:val="single" w:sz="4" w:space="0" w:color="AAAAAA"/>
            </w:tcBorders>
            <w:shd w:val="clear" w:color="FFFFFF" w:fill="FFFFFF"/>
          </w:tcPr>
          <w:p w14:paraId="0EC6BCBB"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2024</w:t>
            </w:r>
          </w:p>
        </w:tc>
        <w:tc>
          <w:tcPr>
            <w:tcW w:w="0" w:type="auto"/>
            <w:tcBorders>
              <w:top w:val="nil"/>
              <w:left w:val="nil"/>
              <w:bottom w:val="single" w:sz="4" w:space="0" w:color="AAAAAA"/>
              <w:right w:val="single" w:sz="4" w:space="0" w:color="AAAAAA"/>
            </w:tcBorders>
            <w:shd w:val="clear" w:color="FFFFFF" w:fill="FFFFFF"/>
          </w:tcPr>
          <w:p w14:paraId="794300E9" w14:textId="77777777" w:rsidR="003A7791" w:rsidRPr="003A7791" w:rsidRDefault="003A7791" w:rsidP="007B3AB8">
            <w:pPr>
              <w:rPr>
                <w:rFonts w:ascii="Arial" w:hAnsi="Arial" w:cs="Arial"/>
                <w:sz w:val="24"/>
                <w:szCs w:val="24"/>
              </w:rPr>
            </w:pPr>
            <w:r w:rsidRPr="003A7791">
              <w:rPr>
                <w:rFonts w:ascii="Arial" w:hAnsi="Arial" w:cs="Arial"/>
                <w:sz w:val="24"/>
                <w:szCs w:val="24"/>
              </w:rPr>
              <w:t>Practical guidance on supply chain adaptation for CBAM — supports analysis of procurement restructuring.</w:t>
            </w:r>
          </w:p>
        </w:tc>
      </w:tr>
      <w:tr w:rsidR="003A7791" w:rsidRPr="003A7791" w14:paraId="16A667E7"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44488006"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17</w:t>
            </w:r>
          </w:p>
        </w:tc>
        <w:tc>
          <w:tcPr>
            <w:tcW w:w="0" w:type="auto"/>
            <w:tcBorders>
              <w:top w:val="nil"/>
              <w:left w:val="nil"/>
              <w:bottom w:val="single" w:sz="4" w:space="0" w:color="AAAAAA"/>
              <w:right w:val="single" w:sz="4" w:space="0" w:color="AAAAAA"/>
            </w:tcBorders>
            <w:shd w:val="clear" w:color="D9EAD3" w:fill="D9EAD3"/>
          </w:tcPr>
          <w:p w14:paraId="2C64523A"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Insight into Border Carbon Adjustment: A Visual Bibliometric </w:t>
            </w:r>
            <w:r w:rsidRPr="003A7791">
              <w:rPr>
                <w:rFonts w:ascii="Arial" w:hAnsi="Arial" w:cs="Arial"/>
                <w:sz w:val="24"/>
                <w:szCs w:val="24"/>
              </w:rPr>
              <w:lastRenderedPageBreak/>
              <w:t>Analysis 2009–2024</w:t>
            </w:r>
          </w:p>
        </w:tc>
        <w:tc>
          <w:tcPr>
            <w:tcW w:w="0" w:type="auto"/>
            <w:tcBorders>
              <w:top w:val="nil"/>
              <w:left w:val="nil"/>
              <w:bottom w:val="single" w:sz="4" w:space="0" w:color="AAAAAA"/>
              <w:right w:val="single" w:sz="4" w:space="0" w:color="AAAAAA"/>
            </w:tcBorders>
            <w:shd w:val="clear" w:color="D9EAD3" w:fill="D9EAD3"/>
          </w:tcPr>
          <w:p w14:paraId="1FB35210" w14:textId="77777777" w:rsidR="003A7791" w:rsidRPr="003A7791" w:rsidRDefault="003A7791" w:rsidP="007B3AB8">
            <w:pPr>
              <w:rPr>
                <w:rFonts w:ascii="Arial" w:hAnsi="Arial" w:cs="Arial"/>
                <w:sz w:val="24"/>
                <w:szCs w:val="24"/>
              </w:rPr>
            </w:pPr>
            <w:r w:rsidRPr="003A7791">
              <w:rPr>
                <w:rFonts w:ascii="Arial" w:hAnsi="Arial" w:cs="Arial"/>
                <w:sz w:val="24"/>
                <w:szCs w:val="24"/>
              </w:rPr>
              <w:lastRenderedPageBreak/>
              <w:t>Humanities and Social Sciences Communications (Nature)</w:t>
            </w:r>
          </w:p>
        </w:tc>
        <w:tc>
          <w:tcPr>
            <w:tcW w:w="0" w:type="auto"/>
            <w:tcBorders>
              <w:top w:val="nil"/>
              <w:left w:val="nil"/>
              <w:bottom w:val="single" w:sz="4" w:space="0" w:color="AAAAAA"/>
              <w:right w:val="single" w:sz="4" w:space="0" w:color="AAAAAA"/>
            </w:tcBorders>
            <w:shd w:val="clear" w:color="D9EAD3" w:fill="D9EAD3"/>
          </w:tcPr>
          <w:p w14:paraId="3D60053B" w14:textId="77777777" w:rsidR="003A7791" w:rsidRPr="003A7791" w:rsidRDefault="003A7791" w:rsidP="007B3AB8">
            <w:pPr>
              <w:rPr>
                <w:rFonts w:ascii="Arial" w:hAnsi="Arial" w:cs="Arial"/>
                <w:sz w:val="24"/>
                <w:szCs w:val="24"/>
              </w:rPr>
            </w:pPr>
            <w:r w:rsidRPr="003A7791">
              <w:rPr>
                <w:rFonts w:ascii="Arial" w:hAnsi="Arial" w:cs="Arial"/>
                <w:sz w:val="24"/>
                <w:szCs w:val="24"/>
              </w:rPr>
              <w:t>Various (Nature, 2025)</w:t>
            </w:r>
          </w:p>
        </w:tc>
        <w:tc>
          <w:tcPr>
            <w:tcW w:w="0" w:type="auto"/>
            <w:tcBorders>
              <w:top w:val="nil"/>
              <w:left w:val="nil"/>
              <w:bottom w:val="single" w:sz="4" w:space="0" w:color="AAAAAA"/>
              <w:right w:val="single" w:sz="4" w:space="0" w:color="AAAAAA"/>
            </w:tcBorders>
            <w:shd w:val="clear" w:color="D9EAD3" w:fill="D9EAD3"/>
          </w:tcPr>
          <w:p w14:paraId="27B584F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2025</w:t>
            </w:r>
          </w:p>
        </w:tc>
        <w:tc>
          <w:tcPr>
            <w:tcW w:w="0" w:type="auto"/>
            <w:tcBorders>
              <w:top w:val="nil"/>
              <w:left w:val="nil"/>
              <w:bottom w:val="single" w:sz="4" w:space="0" w:color="AAAAAA"/>
              <w:right w:val="single" w:sz="4" w:space="0" w:color="AAAAAA"/>
            </w:tcBorders>
            <w:shd w:val="clear" w:color="D9EAD3" w:fill="D9EAD3"/>
          </w:tcPr>
          <w:p w14:paraId="79BB0471" w14:textId="77777777" w:rsidR="003A7791" w:rsidRPr="003A7791" w:rsidRDefault="003A7791" w:rsidP="007B3AB8">
            <w:pPr>
              <w:rPr>
                <w:rFonts w:ascii="Arial" w:hAnsi="Arial" w:cs="Arial"/>
                <w:sz w:val="24"/>
                <w:szCs w:val="24"/>
              </w:rPr>
            </w:pPr>
            <w:r w:rsidRPr="003A7791">
              <w:rPr>
                <w:rFonts w:ascii="Arial" w:hAnsi="Arial" w:cs="Arial"/>
                <w:sz w:val="24"/>
                <w:szCs w:val="24"/>
              </w:rPr>
              <w:t xml:space="preserve">Bibliometric mapping of BCA research — supports literature context and identifies </w:t>
            </w:r>
            <w:r w:rsidRPr="003A7791">
              <w:rPr>
                <w:rFonts w:ascii="Arial" w:hAnsi="Arial" w:cs="Arial"/>
                <w:sz w:val="24"/>
                <w:szCs w:val="24"/>
              </w:rPr>
              <w:lastRenderedPageBreak/>
              <w:t>research hotspots.</w:t>
            </w:r>
          </w:p>
        </w:tc>
      </w:tr>
      <w:tr w:rsidR="003A7791" w:rsidRPr="003A7791" w14:paraId="43E45254"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08ECBE58"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lastRenderedPageBreak/>
              <w:t>18</w:t>
            </w:r>
          </w:p>
        </w:tc>
        <w:tc>
          <w:tcPr>
            <w:tcW w:w="0" w:type="auto"/>
            <w:tcBorders>
              <w:top w:val="nil"/>
              <w:left w:val="nil"/>
              <w:bottom w:val="single" w:sz="4" w:space="0" w:color="AAAAAA"/>
              <w:right w:val="single" w:sz="4" w:space="0" w:color="AAAAAA"/>
            </w:tcBorders>
            <w:shd w:val="clear" w:color="FFFFFF" w:fill="FFFFFF"/>
          </w:tcPr>
          <w:p w14:paraId="7D4EFCFF" w14:textId="77777777" w:rsidR="003A7791" w:rsidRPr="003A7791" w:rsidRDefault="003A7791" w:rsidP="007B3AB8">
            <w:pPr>
              <w:rPr>
                <w:rFonts w:ascii="Arial" w:hAnsi="Arial" w:cs="Arial"/>
                <w:sz w:val="24"/>
                <w:szCs w:val="24"/>
              </w:rPr>
            </w:pPr>
            <w:r w:rsidRPr="003A7791">
              <w:rPr>
                <w:rFonts w:ascii="Arial" w:hAnsi="Arial" w:cs="Arial"/>
                <w:sz w:val="24"/>
                <w:szCs w:val="24"/>
              </w:rPr>
              <w:t>Local Decarbonisation and UK Public Procurement</w:t>
            </w:r>
          </w:p>
        </w:tc>
        <w:tc>
          <w:tcPr>
            <w:tcW w:w="0" w:type="auto"/>
            <w:tcBorders>
              <w:top w:val="nil"/>
              <w:left w:val="nil"/>
              <w:bottom w:val="single" w:sz="4" w:space="0" w:color="AAAAAA"/>
              <w:right w:val="single" w:sz="4" w:space="0" w:color="AAAAAA"/>
            </w:tcBorders>
            <w:shd w:val="clear" w:color="FFFFFF" w:fill="FFFFFF"/>
          </w:tcPr>
          <w:p w14:paraId="5A4CCA55" w14:textId="77777777" w:rsidR="003A7791" w:rsidRPr="003A7791" w:rsidRDefault="003A7791" w:rsidP="007B3AB8">
            <w:pPr>
              <w:rPr>
                <w:rFonts w:ascii="Arial" w:hAnsi="Arial" w:cs="Arial"/>
                <w:sz w:val="24"/>
                <w:szCs w:val="24"/>
              </w:rPr>
            </w:pPr>
            <w:r w:rsidRPr="003A7791">
              <w:rPr>
                <w:rFonts w:ascii="Arial" w:hAnsi="Arial" w:cs="Arial"/>
                <w:sz w:val="24"/>
                <w:szCs w:val="24"/>
              </w:rPr>
              <w:t>Buildings &amp; Cities</w:t>
            </w:r>
          </w:p>
        </w:tc>
        <w:tc>
          <w:tcPr>
            <w:tcW w:w="0" w:type="auto"/>
            <w:tcBorders>
              <w:top w:val="nil"/>
              <w:left w:val="nil"/>
              <w:bottom w:val="single" w:sz="4" w:space="0" w:color="AAAAAA"/>
              <w:right w:val="single" w:sz="4" w:space="0" w:color="AAAAAA"/>
            </w:tcBorders>
            <w:shd w:val="clear" w:color="FFFFFF" w:fill="FFFFFF"/>
          </w:tcPr>
          <w:p w14:paraId="4EFAF6EB" w14:textId="77777777" w:rsidR="003A7791" w:rsidRPr="003A7791" w:rsidRDefault="003A7791" w:rsidP="007B3AB8">
            <w:pPr>
              <w:rPr>
                <w:rFonts w:ascii="Arial" w:hAnsi="Arial" w:cs="Arial"/>
                <w:sz w:val="24"/>
                <w:szCs w:val="24"/>
              </w:rPr>
            </w:pPr>
            <w:r w:rsidRPr="003A7791">
              <w:rPr>
                <w:rFonts w:ascii="Arial" w:hAnsi="Arial" w:cs="Arial"/>
                <w:sz w:val="24"/>
                <w:szCs w:val="24"/>
              </w:rPr>
              <w:t>Tingey, M. and Webb, J.</w:t>
            </w:r>
          </w:p>
        </w:tc>
        <w:tc>
          <w:tcPr>
            <w:tcW w:w="0" w:type="auto"/>
            <w:tcBorders>
              <w:top w:val="nil"/>
              <w:left w:val="nil"/>
              <w:bottom w:val="single" w:sz="4" w:space="0" w:color="AAAAAA"/>
              <w:right w:val="single" w:sz="4" w:space="0" w:color="AAAAAA"/>
            </w:tcBorders>
            <w:shd w:val="clear" w:color="FFFFFF" w:fill="FFFFFF"/>
          </w:tcPr>
          <w:p w14:paraId="0CDF7F9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2022</w:t>
            </w:r>
          </w:p>
        </w:tc>
        <w:tc>
          <w:tcPr>
            <w:tcW w:w="0" w:type="auto"/>
            <w:tcBorders>
              <w:top w:val="nil"/>
              <w:left w:val="nil"/>
              <w:bottom w:val="single" w:sz="4" w:space="0" w:color="AAAAAA"/>
              <w:right w:val="single" w:sz="4" w:space="0" w:color="AAAAAA"/>
            </w:tcBorders>
            <w:shd w:val="clear" w:color="FFFFFF" w:fill="FFFFFF"/>
          </w:tcPr>
          <w:p w14:paraId="752FBFF7" w14:textId="77777777" w:rsidR="003A7791" w:rsidRPr="003A7791" w:rsidRDefault="003A7791" w:rsidP="007B3AB8">
            <w:pPr>
              <w:rPr>
                <w:rFonts w:ascii="Arial" w:hAnsi="Arial" w:cs="Arial"/>
                <w:sz w:val="24"/>
                <w:szCs w:val="24"/>
              </w:rPr>
            </w:pPr>
            <w:r w:rsidRPr="003A7791">
              <w:rPr>
                <w:rFonts w:ascii="Arial" w:hAnsi="Arial" w:cs="Arial"/>
                <w:sz w:val="24"/>
                <w:szCs w:val="24"/>
              </w:rPr>
              <w:t>Examines local government procurement and net-zero in UK context.</w:t>
            </w:r>
          </w:p>
        </w:tc>
      </w:tr>
      <w:tr w:rsidR="003A7791" w:rsidRPr="003A7791" w14:paraId="04199E29"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D9EAD3" w:fill="D9EAD3"/>
          </w:tcPr>
          <w:p w14:paraId="29373410"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19</w:t>
            </w:r>
          </w:p>
        </w:tc>
        <w:tc>
          <w:tcPr>
            <w:tcW w:w="0" w:type="auto"/>
            <w:tcBorders>
              <w:top w:val="nil"/>
              <w:left w:val="nil"/>
              <w:bottom w:val="single" w:sz="4" w:space="0" w:color="AAAAAA"/>
              <w:right w:val="single" w:sz="4" w:space="0" w:color="AAAAAA"/>
            </w:tcBorders>
            <w:shd w:val="clear" w:color="D9EAD3" w:fill="D9EAD3"/>
          </w:tcPr>
          <w:p w14:paraId="45D51198" w14:textId="77777777" w:rsidR="003A7791" w:rsidRPr="003A7791" w:rsidRDefault="003A7791" w:rsidP="007B3AB8">
            <w:pPr>
              <w:rPr>
                <w:rFonts w:ascii="Arial" w:hAnsi="Arial" w:cs="Arial"/>
                <w:sz w:val="24"/>
                <w:szCs w:val="24"/>
              </w:rPr>
            </w:pPr>
            <w:r w:rsidRPr="003A7791">
              <w:rPr>
                <w:rFonts w:ascii="Arial" w:hAnsi="Arial" w:cs="Arial"/>
                <w:sz w:val="24"/>
                <w:szCs w:val="24"/>
              </w:rPr>
              <w:t>Steel Public Procurement 2023</w:t>
            </w:r>
          </w:p>
        </w:tc>
        <w:tc>
          <w:tcPr>
            <w:tcW w:w="0" w:type="auto"/>
            <w:tcBorders>
              <w:top w:val="nil"/>
              <w:left w:val="nil"/>
              <w:bottom w:val="single" w:sz="4" w:space="0" w:color="AAAAAA"/>
              <w:right w:val="single" w:sz="4" w:space="0" w:color="AAAAAA"/>
            </w:tcBorders>
            <w:shd w:val="clear" w:color="D9EAD3" w:fill="D9EAD3"/>
          </w:tcPr>
          <w:p w14:paraId="1A10CE83"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w:t>
            </w:r>
          </w:p>
        </w:tc>
        <w:tc>
          <w:tcPr>
            <w:tcW w:w="0" w:type="auto"/>
            <w:tcBorders>
              <w:top w:val="nil"/>
              <w:left w:val="nil"/>
              <w:bottom w:val="single" w:sz="4" w:space="0" w:color="AAAAAA"/>
              <w:right w:val="single" w:sz="4" w:space="0" w:color="AAAAAA"/>
            </w:tcBorders>
            <w:shd w:val="clear" w:color="D9EAD3" w:fill="D9EAD3"/>
          </w:tcPr>
          <w:p w14:paraId="11CF2659"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w:t>
            </w:r>
          </w:p>
        </w:tc>
        <w:tc>
          <w:tcPr>
            <w:tcW w:w="0" w:type="auto"/>
            <w:tcBorders>
              <w:top w:val="nil"/>
              <w:left w:val="nil"/>
              <w:bottom w:val="single" w:sz="4" w:space="0" w:color="AAAAAA"/>
              <w:right w:val="single" w:sz="4" w:space="0" w:color="AAAAAA"/>
            </w:tcBorders>
            <w:shd w:val="clear" w:color="D9EAD3" w:fill="D9EAD3"/>
          </w:tcPr>
          <w:p w14:paraId="52FEE4FF"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2023</w:t>
            </w:r>
          </w:p>
        </w:tc>
        <w:tc>
          <w:tcPr>
            <w:tcW w:w="0" w:type="auto"/>
            <w:tcBorders>
              <w:top w:val="nil"/>
              <w:left w:val="nil"/>
              <w:bottom w:val="single" w:sz="4" w:space="0" w:color="AAAAAA"/>
              <w:right w:val="single" w:sz="4" w:space="0" w:color="AAAAAA"/>
            </w:tcBorders>
            <w:shd w:val="clear" w:color="D9EAD3" w:fill="D9EAD3"/>
          </w:tcPr>
          <w:p w14:paraId="17A3DB1D" w14:textId="77777777" w:rsidR="003A7791" w:rsidRPr="003A7791" w:rsidRDefault="003A7791" w:rsidP="007B3AB8">
            <w:pPr>
              <w:rPr>
                <w:rFonts w:ascii="Arial" w:hAnsi="Arial" w:cs="Arial"/>
                <w:sz w:val="24"/>
                <w:szCs w:val="24"/>
              </w:rPr>
            </w:pPr>
            <w:r w:rsidRPr="003A7791">
              <w:rPr>
                <w:rFonts w:ascii="Arial" w:hAnsi="Arial" w:cs="Arial"/>
                <w:sz w:val="24"/>
                <w:szCs w:val="24"/>
              </w:rPr>
              <w:t>Data on UK government steel procurement volumes and policy guidance — supports analysis of domestic sourcing shift.</w:t>
            </w:r>
          </w:p>
        </w:tc>
      </w:tr>
      <w:tr w:rsidR="003A7791" w:rsidRPr="003A7791" w14:paraId="63F2307F"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FFF" w:fill="FFFFFF"/>
          </w:tcPr>
          <w:p w14:paraId="65D54E54"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w:t>
            </w:r>
          </w:p>
        </w:tc>
        <w:tc>
          <w:tcPr>
            <w:tcW w:w="0" w:type="auto"/>
            <w:tcBorders>
              <w:top w:val="nil"/>
              <w:left w:val="nil"/>
              <w:bottom w:val="single" w:sz="4" w:space="0" w:color="AAAAAA"/>
              <w:right w:val="single" w:sz="4" w:space="0" w:color="AAAAAA"/>
            </w:tcBorders>
            <w:shd w:val="clear" w:color="FFFFFF" w:fill="FFFFFF"/>
          </w:tcPr>
          <w:p w14:paraId="432AD8A3" w14:textId="77777777" w:rsidR="003A7791" w:rsidRPr="003A7791" w:rsidRDefault="003A7791" w:rsidP="007B3AB8">
            <w:pPr>
              <w:rPr>
                <w:rFonts w:ascii="Arial" w:hAnsi="Arial" w:cs="Arial"/>
                <w:sz w:val="24"/>
                <w:szCs w:val="24"/>
              </w:rPr>
            </w:pPr>
            <w:r w:rsidRPr="003A7791">
              <w:rPr>
                <w:rFonts w:ascii="Arial" w:hAnsi="Arial" w:cs="Arial"/>
                <w:sz w:val="24"/>
                <w:szCs w:val="24"/>
              </w:rPr>
              <w:t>Green Public Procurement and IDDI</w:t>
            </w:r>
          </w:p>
        </w:tc>
        <w:tc>
          <w:tcPr>
            <w:tcW w:w="0" w:type="auto"/>
            <w:tcBorders>
              <w:top w:val="nil"/>
              <w:left w:val="nil"/>
              <w:bottom w:val="single" w:sz="4" w:space="0" w:color="AAAAAA"/>
              <w:right w:val="single" w:sz="4" w:space="0" w:color="AAAAAA"/>
            </w:tcBorders>
            <w:shd w:val="clear" w:color="FFFFFF" w:fill="FFFFFF"/>
          </w:tcPr>
          <w:p w14:paraId="5DC5C32C"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 / COP28</w:t>
            </w:r>
          </w:p>
        </w:tc>
        <w:tc>
          <w:tcPr>
            <w:tcW w:w="0" w:type="auto"/>
            <w:tcBorders>
              <w:top w:val="nil"/>
              <w:left w:val="nil"/>
              <w:bottom w:val="single" w:sz="4" w:space="0" w:color="AAAAAA"/>
              <w:right w:val="single" w:sz="4" w:space="0" w:color="AAAAAA"/>
            </w:tcBorders>
            <w:shd w:val="clear" w:color="FFFFFF" w:fill="FFFFFF"/>
          </w:tcPr>
          <w:p w14:paraId="06DD66A6" w14:textId="77777777" w:rsidR="003A7791" w:rsidRPr="003A7791" w:rsidRDefault="003A7791" w:rsidP="007B3AB8">
            <w:pPr>
              <w:rPr>
                <w:rFonts w:ascii="Arial" w:hAnsi="Arial" w:cs="Arial"/>
                <w:sz w:val="24"/>
                <w:szCs w:val="24"/>
              </w:rPr>
            </w:pPr>
            <w:r w:rsidRPr="003A7791">
              <w:rPr>
                <w:rFonts w:ascii="Arial" w:hAnsi="Arial" w:cs="Arial"/>
                <w:sz w:val="24"/>
                <w:szCs w:val="24"/>
              </w:rPr>
              <w:t>UK Government / IDDI</w:t>
            </w:r>
          </w:p>
        </w:tc>
        <w:tc>
          <w:tcPr>
            <w:tcW w:w="0" w:type="auto"/>
            <w:tcBorders>
              <w:top w:val="nil"/>
              <w:left w:val="nil"/>
              <w:bottom w:val="single" w:sz="4" w:space="0" w:color="AAAAAA"/>
              <w:right w:val="single" w:sz="4" w:space="0" w:color="AAAAAA"/>
            </w:tcBorders>
            <w:shd w:val="clear" w:color="FFFFFF" w:fill="FFFFFF"/>
          </w:tcPr>
          <w:p w14:paraId="76B7A4D9" w14:textId="77777777" w:rsidR="003A7791" w:rsidRPr="003A7791" w:rsidRDefault="003A7791" w:rsidP="007B3AB8">
            <w:pPr>
              <w:jc w:val="right"/>
              <w:rPr>
                <w:rFonts w:ascii="Arial" w:hAnsi="Arial" w:cs="Arial"/>
                <w:sz w:val="24"/>
                <w:szCs w:val="24"/>
              </w:rPr>
            </w:pPr>
            <w:r w:rsidRPr="003A7791">
              <w:rPr>
                <w:rFonts w:ascii="Arial" w:hAnsi="Arial" w:cs="Arial"/>
                <w:sz w:val="24"/>
                <w:szCs w:val="24"/>
              </w:rPr>
              <w:t>2022</w:t>
            </w:r>
          </w:p>
        </w:tc>
        <w:tc>
          <w:tcPr>
            <w:tcW w:w="0" w:type="auto"/>
            <w:tcBorders>
              <w:top w:val="nil"/>
              <w:left w:val="nil"/>
              <w:bottom w:val="single" w:sz="4" w:space="0" w:color="AAAAAA"/>
              <w:right w:val="single" w:sz="4" w:space="0" w:color="AAAAAA"/>
            </w:tcBorders>
            <w:shd w:val="clear" w:color="FFFFFF" w:fill="FFFFFF"/>
          </w:tcPr>
          <w:p w14:paraId="7E3C2206" w14:textId="77777777" w:rsidR="003A7791" w:rsidRPr="003A7791" w:rsidRDefault="003A7791" w:rsidP="007B3AB8">
            <w:pPr>
              <w:rPr>
                <w:rFonts w:ascii="Arial" w:hAnsi="Arial" w:cs="Arial"/>
                <w:sz w:val="24"/>
                <w:szCs w:val="24"/>
              </w:rPr>
            </w:pPr>
            <w:r w:rsidRPr="003A7791">
              <w:rPr>
                <w:rFonts w:ascii="Arial" w:hAnsi="Arial" w:cs="Arial"/>
                <w:sz w:val="24"/>
                <w:szCs w:val="24"/>
              </w:rPr>
              <w:t>Green Public Procurement Pledge and IDDI membership — context for UK government demand-side policy supporting green steel.</w:t>
            </w:r>
          </w:p>
        </w:tc>
      </w:tr>
      <w:tr w:rsidR="003A7791" w:rsidRPr="003A7791" w14:paraId="03C73FE8"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2CC" w:fill="FFF2CC"/>
          </w:tcPr>
          <w:p w14:paraId="5D3B5CC4"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21</w:t>
            </w:r>
          </w:p>
        </w:tc>
        <w:tc>
          <w:tcPr>
            <w:tcW w:w="0" w:type="auto"/>
            <w:tcBorders>
              <w:top w:val="nil"/>
              <w:left w:val="nil"/>
              <w:bottom w:val="single" w:sz="4" w:space="0" w:color="AAAAAA"/>
              <w:right w:val="single" w:sz="4" w:space="0" w:color="AAAAAA"/>
            </w:tcBorders>
            <w:shd w:val="clear" w:color="FFF2CC" w:fill="FFF2CC"/>
          </w:tcPr>
          <w:p w14:paraId="4962A2DE"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The Global Effects of Carbon Border Adjustment Mechanisms</w:t>
            </w:r>
          </w:p>
        </w:tc>
        <w:tc>
          <w:tcPr>
            <w:tcW w:w="0" w:type="auto"/>
            <w:tcBorders>
              <w:top w:val="nil"/>
              <w:left w:val="nil"/>
              <w:bottom w:val="single" w:sz="4" w:space="0" w:color="AAAAAA"/>
              <w:right w:val="single" w:sz="4" w:space="0" w:color="AAAAAA"/>
            </w:tcBorders>
            <w:shd w:val="clear" w:color="FFF2CC" w:fill="FFF2CC"/>
          </w:tcPr>
          <w:p w14:paraId="680F0C6B"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Working Paper (Clausing et al.)</w:t>
            </w:r>
          </w:p>
        </w:tc>
        <w:tc>
          <w:tcPr>
            <w:tcW w:w="0" w:type="auto"/>
            <w:tcBorders>
              <w:top w:val="nil"/>
              <w:left w:val="nil"/>
              <w:bottom w:val="single" w:sz="4" w:space="0" w:color="AAAAAA"/>
              <w:right w:val="single" w:sz="4" w:space="0" w:color="AAAAAA"/>
            </w:tcBorders>
            <w:shd w:val="clear" w:color="FFF2CC" w:fill="FFF2CC"/>
          </w:tcPr>
          <w:p w14:paraId="245C42AF"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Clausing, K. et al.</w:t>
            </w:r>
          </w:p>
        </w:tc>
        <w:tc>
          <w:tcPr>
            <w:tcW w:w="0" w:type="auto"/>
            <w:tcBorders>
              <w:top w:val="nil"/>
              <w:left w:val="nil"/>
              <w:bottom w:val="single" w:sz="4" w:space="0" w:color="AAAAAA"/>
              <w:right w:val="single" w:sz="4" w:space="0" w:color="AAAAAA"/>
            </w:tcBorders>
            <w:shd w:val="clear" w:color="FFF2CC" w:fill="FFF2CC"/>
          </w:tcPr>
          <w:p w14:paraId="0276F6F0"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2024</w:t>
            </w:r>
          </w:p>
        </w:tc>
        <w:tc>
          <w:tcPr>
            <w:tcW w:w="0" w:type="auto"/>
            <w:tcBorders>
              <w:top w:val="nil"/>
              <w:left w:val="nil"/>
              <w:bottom w:val="single" w:sz="4" w:space="0" w:color="AAAAAA"/>
              <w:right w:val="single" w:sz="4" w:space="0" w:color="AAAAAA"/>
            </w:tcBorders>
            <w:shd w:val="clear" w:color="FFF2CC" w:fill="FFF2CC"/>
          </w:tcPr>
          <w:p w14:paraId="28EC13FB"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NEW — Models global trade, emissions and competitiveness effects of CBAM. Quantifies how CBAM reduces leakage and improves domestic competitiveness. Supports RQ1 and RQ3.</w:t>
            </w:r>
          </w:p>
        </w:tc>
      </w:tr>
      <w:tr w:rsidR="003A7791" w:rsidRPr="003A7791" w14:paraId="67061A99"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2CC" w:fill="FFF2CC"/>
          </w:tcPr>
          <w:p w14:paraId="0DEB68D9"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22</w:t>
            </w:r>
          </w:p>
        </w:tc>
        <w:tc>
          <w:tcPr>
            <w:tcW w:w="0" w:type="auto"/>
            <w:tcBorders>
              <w:top w:val="nil"/>
              <w:left w:val="nil"/>
              <w:bottom w:val="single" w:sz="4" w:space="0" w:color="AAAAAA"/>
              <w:right w:val="single" w:sz="4" w:space="0" w:color="AAAAAA"/>
            </w:tcBorders>
            <w:shd w:val="clear" w:color="FFF2CC" w:fill="FFF2CC"/>
          </w:tcPr>
          <w:p w14:paraId="1B21FDD6"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Carbon Border Adjustment Mechanism: EPRS Legislative Briefing</w:t>
            </w:r>
          </w:p>
        </w:tc>
        <w:tc>
          <w:tcPr>
            <w:tcW w:w="0" w:type="auto"/>
            <w:tcBorders>
              <w:top w:val="nil"/>
              <w:left w:val="nil"/>
              <w:bottom w:val="single" w:sz="4" w:space="0" w:color="AAAAAA"/>
              <w:right w:val="single" w:sz="4" w:space="0" w:color="AAAAAA"/>
            </w:tcBorders>
            <w:shd w:val="clear" w:color="FFF2CC" w:fill="FFF2CC"/>
          </w:tcPr>
          <w:p w14:paraId="0213CCA5"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European Parliament Research Service (EPRS)</w:t>
            </w:r>
          </w:p>
        </w:tc>
        <w:tc>
          <w:tcPr>
            <w:tcW w:w="0" w:type="auto"/>
            <w:tcBorders>
              <w:top w:val="nil"/>
              <w:left w:val="nil"/>
              <w:bottom w:val="single" w:sz="4" w:space="0" w:color="AAAAAA"/>
              <w:right w:val="single" w:sz="4" w:space="0" w:color="AAAAAA"/>
            </w:tcBorders>
            <w:shd w:val="clear" w:color="FFF2CC" w:fill="FFF2CC"/>
          </w:tcPr>
          <w:p w14:paraId="4C9E7782"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European Parliament (Kramer, E.)</w:t>
            </w:r>
          </w:p>
        </w:tc>
        <w:tc>
          <w:tcPr>
            <w:tcW w:w="0" w:type="auto"/>
            <w:tcBorders>
              <w:top w:val="nil"/>
              <w:left w:val="nil"/>
              <w:bottom w:val="single" w:sz="4" w:space="0" w:color="AAAAAA"/>
              <w:right w:val="single" w:sz="4" w:space="0" w:color="AAAAAA"/>
            </w:tcBorders>
            <w:shd w:val="clear" w:color="FFF2CC" w:fill="FFF2CC"/>
          </w:tcPr>
          <w:p w14:paraId="765B9E73"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2022</w:t>
            </w:r>
          </w:p>
        </w:tc>
        <w:tc>
          <w:tcPr>
            <w:tcW w:w="0" w:type="auto"/>
            <w:tcBorders>
              <w:top w:val="nil"/>
              <w:left w:val="nil"/>
              <w:bottom w:val="single" w:sz="4" w:space="0" w:color="AAAAAA"/>
              <w:right w:val="single" w:sz="4" w:space="0" w:color="AAAAAA"/>
            </w:tcBorders>
            <w:shd w:val="clear" w:color="FFF2CC" w:fill="FFF2CC"/>
          </w:tcPr>
          <w:p w14:paraId="33DAAC05"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NEW — Legislative history and design analysis of EU CBAM as it passed through Parliament 2021–2023. Supports literature review policy framework section.</w:t>
            </w:r>
          </w:p>
        </w:tc>
      </w:tr>
      <w:tr w:rsidR="003A7791" w:rsidRPr="003A7791" w14:paraId="4ACA387B"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2CC" w:fill="FFF2CC"/>
          </w:tcPr>
          <w:p w14:paraId="7037572A"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lastRenderedPageBreak/>
              <w:t>23</w:t>
            </w:r>
          </w:p>
        </w:tc>
        <w:tc>
          <w:tcPr>
            <w:tcW w:w="0" w:type="auto"/>
            <w:tcBorders>
              <w:top w:val="nil"/>
              <w:left w:val="nil"/>
              <w:bottom w:val="single" w:sz="4" w:space="0" w:color="AAAAAA"/>
              <w:right w:val="single" w:sz="4" w:space="0" w:color="AAAAAA"/>
            </w:tcBorders>
            <w:shd w:val="clear" w:color="FFF2CC" w:fill="FFF2CC"/>
          </w:tcPr>
          <w:p w14:paraId="1617E291"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A Framework for Specifying Low-Carbon Construction Materials in Government Procurement</w:t>
            </w:r>
          </w:p>
        </w:tc>
        <w:tc>
          <w:tcPr>
            <w:tcW w:w="0" w:type="auto"/>
            <w:tcBorders>
              <w:top w:val="nil"/>
              <w:left w:val="nil"/>
              <w:bottom w:val="single" w:sz="4" w:space="0" w:color="AAAAAA"/>
              <w:right w:val="single" w:sz="4" w:space="0" w:color="AAAAAA"/>
            </w:tcBorders>
            <w:shd w:val="clear" w:color="FFF2CC" w:fill="FFF2CC"/>
          </w:tcPr>
          <w:p w14:paraId="2D5B9557"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Journal of Cleaner Production (ScienceDirect)</w:t>
            </w:r>
          </w:p>
        </w:tc>
        <w:tc>
          <w:tcPr>
            <w:tcW w:w="0" w:type="auto"/>
            <w:tcBorders>
              <w:top w:val="nil"/>
              <w:left w:val="nil"/>
              <w:bottom w:val="single" w:sz="4" w:space="0" w:color="AAAAAA"/>
              <w:right w:val="single" w:sz="4" w:space="0" w:color="AAAAAA"/>
            </w:tcBorders>
            <w:shd w:val="clear" w:color="FFF2CC" w:fill="FFF2CC"/>
          </w:tcPr>
          <w:p w14:paraId="2D7CFB14"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Various (ScienceDirect, 2022)</w:t>
            </w:r>
          </w:p>
        </w:tc>
        <w:tc>
          <w:tcPr>
            <w:tcW w:w="0" w:type="auto"/>
            <w:tcBorders>
              <w:top w:val="nil"/>
              <w:left w:val="nil"/>
              <w:bottom w:val="single" w:sz="4" w:space="0" w:color="AAAAAA"/>
              <w:right w:val="single" w:sz="4" w:space="0" w:color="AAAAAA"/>
            </w:tcBorders>
            <w:shd w:val="clear" w:color="FFF2CC" w:fill="FFF2CC"/>
          </w:tcPr>
          <w:p w14:paraId="2EB90B41"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2022</w:t>
            </w:r>
          </w:p>
        </w:tc>
        <w:tc>
          <w:tcPr>
            <w:tcW w:w="0" w:type="auto"/>
            <w:tcBorders>
              <w:top w:val="nil"/>
              <w:left w:val="nil"/>
              <w:bottom w:val="single" w:sz="4" w:space="0" w:color="AAAAAA"/>
              <w:right w:val="single" w:sz="4" w:space="0" w:color="AAAAAA"/>
            </w:tcBorders>
            <w:shd w:val="clear" w:color="FFF2CC" w:fill="FFF2CC"/>
          </w:tcPr>
          <w:p w14:paraId="0BF1800D"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NEW — Proposes an embodied carbon framework for concrete procurement. Demonstrates how carbon intensity data can be embedded in procurement specifications. Supports Expected Findings 4.2.</w:t>
            </w:r>
          </w:p>
        </w:tc>
      </w:tr>
      <w:tr w:rsidR="003A7791" w:rsidRPr="003A7791" w14:paraId="2DC59DA5"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2CC" w:fill="FFF2CC"/>
          </w:tcPr>
          <w:p w14:paraId="4AE5A4A5"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24</w:t>
            </w:r>
          </w:p>
        </w:tc>
        <w:tc>
          <w:tcPr>
            <w:tcW w:w="0" w:type="auto"/>
            <w:tcBorders>
              <w:top w:val="nil"/>
              <w:left w:val="nil"/>
              <w:bottom w:val="single" w:sz="4" w:space="0" w:color="AAAAAA"/>
              <w:right w:val="single" w:sz="4" w:space="0" w:color="AAAAAA"/>
            </w:tcBorders>
            <w:shd w:val="clear" w:color="FFF2CC" w:fill="FFF2CC"/>
          </w:tcPr>
          <w:p w14:paraId="66EA1F3D"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Paving the Way for Lowering Embodied Carbon Emissions in Building and Construction</w:t>
            </w:r>
          </w:p>
        </w:tc>
        <w:tc>
          <w:tcPr>
            <w:tcW w:w="0" w:type="auto"/>
            <w:tcBorders>
              <w:top w:val="nil"/>
              <w:left w:val="nil"/>
              <w:bottom w:val="single" w:sz="4" w:space="0" w:color="AAAAAA"/>
              <w:right w:val="single" w:sz="4" w:space="0" w:color="AAAAAA"/>
            </w:tcBorders>
            <w:shd w:val="clear" w:color="FFF2CC" w:fill="FFF2CC"/>
          </w:tcPr>
          <w:p w14:paraId="3EBD4412"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Clean Technologies and Environmental Policy (Springer)</w:t>
            </w:r>
          </w:p>
        </w:tc>
        <w:tc>
          <w:tcPr>
            <w:tcW w:w="0" w:type="auto"/>
            <w:tcBorders>
              <w:top w:val="nil"/>
              <w:left w:val="nil"/>
              <w:bottom w:val="single" w:sz="4" w:space="0" w:color="AAAAAA"/>
              <w:right w:val="single" w:sz="4" w:space="0" w:color="AAAAAA"/>
            </w:tcBorders>
            <w:shd w:val="clear" w:color="FFF2CC" w:fill="FFF2CC"/>
          </w:tcPr>
          <w:p w14:paraId="7DE9495E"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Various (Springer, 2024)</w:t>
            </w:r>
          </w:p>
        </w:tc>
        <w:tc>
          <w:tcPr>
            <w:tcW w:w="0" w:type="auto"/>
            <w:tcBorders>
              <w:top w:val="nil"/>
              <w:left w:val="nil"/>
              <w:bottom w:val="single" w:sz="4" w:space="0" w:color="AAAAAA"/>
              <w:right w:val="single" w:sz="4" w:space="0" w:color="AAAAAA"/>
            </w:tcBorders>
            <w:shd w:val="clear" w:color="FFF2CC" w:fill="FFF2CC"/>
          </w:tcPr>
          <w:p w14:paraId="79B08B63"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2024</w:t>
            </w:r>
          </w:p>
        </w:tc>
        <w:tc>
          <w:tcPr>
            <w:tcW w:w="0" w:type="auto"/>
            <w:tcBorders>
              <w:top w:val="nil"/>
              <w:left w:val="nil"/>
              <w:bottom w:val="single" w:sz="4" w:space="0" w:color="AAAAAA"/>
              <w:right w:val="single" w:sz="4" w:space="0" w:color="AAAAAA"/>
            </w:tcBorders>
            <w:shd w:val="clear" w:color="FFF2CC" w:fill="FFF2CC"/>
          </w:tcPr>
          <w:p w14:paraId="04E05911"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NEW — Systematic review of embodied carbon reduction strategies in construction globally. Supports context for procurement-driven decarbonisation.</w:t>
            </w:r>
          </w:p>
        </w:tc>
      </w:tr>
      <w:tr w:rsidR="003A7791" w:rsidRPr="003A7791" w14:paraId="1A8013EF" w14:textId="77777777" w:rsidTr="007B3AB8">
        <w:trPr>
          <w:trHeight w:val="1101"/>
          <w:jc w:val="center"/>
        </w:trPr>
        <w:tc>
          <w:tcPr>
            <w:tcW w:w="0" w:type="auto"/>
            <w:tcBorders>
              <w:top w:val="nil"/>
              <w:left w:val="single" w:sz="4" w:space="0" w:color="AAAAAA"/>
              <w:bottom w:val="single" w:sz="4" w:space="0" w:color="AAAAAA"/>
              <w:right w:val="single" w:sz="4" w:space="0" w:color="AAAAAA"/>
            </w:tcBorders>
            <w:shd w:val="clear" w:color="FFF2CC" w:fill="FFF2CC"/>
          </w:tcPr>
          <w:p w14:paraId="113D8CD3"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25</w:t>
            </w:r>
          </w:p>
        </w:tc>
        <w:tc>
          <w:tcPr>
            <w:tcW w:w="0" w:type="auto"/>
            <w:tcBorders>
              <w:top w:val="nil"/>
              <w:left w:val="nil"/>
              <w:bottom w:val="single" w:sz="4" w:space="0" w:color="AAAAAA"/>
              <w:right w:val="single" w:sz="4" w:space="0" w:color="AAAAAA"/>
            </w:tcBorders>
            <w:shd w:val="clear" w:color="FFF2CC" w:fill="FFF2CC"/>
          </w:tcPr>
          <w:p w14:paraId="015031E1"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What to Expect from the EU Carbon Border Adjustment Mechanism</w:t>
            </w:r>
          </w:p>
        </w:tc>
        <w:tc>
          <w:tcPr>
            <w:tcW w:w="0" w:type="auto"/>
            <w:tcBorders>
              <w:top w:val="nil"/>
              <w:left w:val="nil"/>
              <w:bottom w:val="single" w:sz="4" w:space="0" w:color="AAAAAA"/>
              <w:right w:val="single" w:sz="4" w:space="0" w:color="AAAAAA"/>
            </w:tcBorders>
            <w:shd w:val="clear" w:color="FFF2CC" w:fill="FFF2CC"/>
          </w:tcPr>
          <w:p w14:paraId="7C963331"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OECD Science, Technology and Industry Working Paper</w:t>
            </w:r>
          </w:p>
        </w:tc>
        <w:tc>
          <w:tcPr>
            <w:tcW w:w="0" w:type="auto"/>
            <w:tcBorders>
              <w:top w:val="nil"/>
              <w:left w:val="nil"/>
              <w:bottom w:val="single" w:sz="4" w:space="0" w:color="AAAAAA"/>
              <w:right w:val="single" w:sz="4" w:space="0" w:color="AAAAAA"/>
            </w:tcBorders>
            <w:shd w:val="clear" w:color="FFF2CC" w:fill="FFF2CC"/>
          </w:tcPr>
          <w:p w14:paraId="2936D052"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OECD (2025)</w:t>
            </w:r>
          </w:p>
        </w:tc>
        <w:tc>
          <w:tcPr>
            <w:tcW w:w="0" w:type="auto"/>
            <w:tcBorders>
              <w:top w:val="nil"/>
              <w:left w:val="nil"/>
              <w:bottom w:val="single" w:sz="4" w:space="0" w:color="AAAAAA"/>
              <w:right w:val="single" w:sz="4" w:space="0" w:color="AAAAAA"/>
            </w:tcBorders>
            <w:shd w:val="clear" w:color="FFF2CC" w:fill="FFF2CC"/>
          </w:tcPr>
          <w:p w14:paraId="36E29FFF" w14:textId="77777777" w:rsidR="003A7791" w:rsidRPr="003A7791" w:rsidRDefault="003A7791" w:rsidP="007B3AB8">
            <w:pPr>
              <w:jc w:val="right"/>
              <w:rPr>
                <w:rFonts w:ascii="Arial" w:hAnsi="Arial" w:cs="Arial"/>
                <w:b/>
                <w:bCs/>
                <w:sz w:val="24"/>
                <w:szCs w:val="24"/>
              </w:rPr>
            </w:pPr>
            <w:r w:rsidRPr="003A7791">
              <w:rPr>
                <w:rFonts w:ascii="Arial" w:hAnsi="Arial" w:cs="Arial"/>
                <w:b/>
                <w:bCs/>
                <w:sz w:val="24"/>
                <w:szCs w:val="24"/>
              </w:rPr>
              <w:t>2025</w:t>
            </w:r>
          </w:p>
        </w:tc>
        <w:tc>
          <w:tcPr>
            <w:tcW w:w="0" w:type="auto"/>
            <w:tcBorders>
              <w:top w:val="nil"/>
              <w:left w:val="nil"/>
              <w:bottom w:val="single" w:sz="4" w:space="0" w:color="AAAAAA"/>
              <w:right w:val="single" w:sz="4" w:space="0" w:color="AAAAAA"/>
            </w:tcBorders>
            <w:shd w:val="clear" w:color="FFF2CC" w:fill="FFF2CC"/>
          </w:tcPr>
          <w:p w14:paraId="2F20DB0B" w14:textId="77777777" w:rsidR="003A7791" w:rsidRPr="003A7791" w:rsidRDefault="003A7791" w:rsidP="007B3AB8">
            <w:pPr>
              <w:rPr>
                <w:rFonts w:ascii="Arial" w:hAnsi="Arial" w:cs="Arial"/>
                <w:b/>
                <w:bCs/>
                <w:sz w:val="24"/>
                <w:szCs w:val="24"/>
              </w:rPr>
            </w:pPr>
            <w:r w:rsidRPr="003A7791">
              <w:rPr>
                <w:rFonts w:ascii="Arial" w:hAnsi="Arial" w:cs="Arial"/>
                <w:b/>
                <w:bCs/>
                <w:sz w:val="24"/>
                <w:szCs w:val="24"/>
              </w:rPr>
              <w:t>NEW — Quantifies EU CBAM revenue, trade coverage and supply chain spillovers. EUR 14.7bn annual revenue at 2024 prices. Directly supports cost impact analysis in Expected Findings 4.1.</w:t>
            </w:r>
          </w:p>
        </w:tc>
      </w:tr>
      <w:tr w:rsidR="003A7791" w:rsidRPr="003A7791" w14:paraId="2C2F5DBC" w14:textId="77777777" w:rsidTr="007B3AB8">
        <w:trPr>
          <w:trHeight w:val="612"/>
          <w:jc w:val="center"/>
        </w:trPr>
        <w:tc>
          <w:tcPr>
            <w:tcW w:w="0" w:type="auto"/>
            <w:tcBorders>
              <w:top w:val="single" w:sz="4" w:space="0" w:color="CCCCCC"/>
              <w:left w:val="single" w:sz="4" w:space="0" w:color="CCCCCC"/>
              <w:bottom w:val="single" w:sz="4" w:space="0" w:color="CCCCCC"/>
              <w:right w:val="single" w:sz="4" w:space="0" w:color="CCCCCC"/>
            </w:tcBorders>
            <w:shd w:val="clear" w:color="D9EAD3" w:fill="D9EAD3"/>
          </w:tcPr>
          <w:p w14:paraId="3E89709F"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26</w:t>
            </w:r>
          </w:p>
        </w:tc>
        <w:tc>
          <w:tcPr>
            <w:tcW w:w="0" w:type="auto"/>
            <w:tcBorders>
              <w:top w:val="single" w:sz="4" w:space="0" w:color="CCCCCC"/>
              <w:left w:val="nil"/>
              <w:bottom w:val="single" w:sz="4" w:space="0" w:color="CCCCCC"/>
              <w:right w:val="single" w:sz="4" w:space="0" w:color="CCCCCC"/>
            </w:tcBorders>
            <w:shd w:val="clear" w:color="D9EAD3" w:fill="D9EAD3"/>
          </w:tcPr>
          <w:p w14:paraId="39B2517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Systematic Review of Embodied Carbon Assessment and Reduction in Building Life Cycles</w:t>
            </w:r>
          </w:p>
        </w:tc>
        <w:tc>
          <w:tcPr>
            <w:tcW w:w="0" w:type="auto"/>
            <w:tcBorders>
              <w:top w:val="single" w:sz="4" w:space="0" w:color="CCCCCC"/>
              <w:left w:val="nil"/>
              <w:bottom w:val="single" w:sz="4" w:space="0" w:color="CCCCCC"/>
              <w:right w:val="single" w:sz="4" w:space="0" w:color="CCCCCC"/>
            </w:tcBorders>
            <w:shd w:val="clear" w:color="D9EAD3" w:fill="D9EAD3"/>
          </w:tcPr>
          <w:p w14:paraId="08EC0392"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NIST Special Publication (National Institute of Standards and Technology)</w:t>
            </w:r>
          </w:p>
        </w:tc>
        <w:tc>
          <w:tcPr>
            <w:tcW w:w="0" w:type="auto"/>
            <w:tcBorders>
              <w:top w:val="single" w:sz="4" w:space="0" w:color="CCCCCC"/>
              <w:left w:val="nil"/>
              <w:bottom w:val="single" w:sz="4" w:space="0" w:color="CCCCCC"/>
              <w:right w:val="single" w:sz="4" w:space="0" w:color="CCCCCC"/>
            </w:tcBorders>
            <w:shd w:val="clear" w:color="D9EAD3" w:fill="D9EAD3"/>
          </w:tcPr>
          <w:p w14:paraId="6151BA8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Zhang, Y. et al.</w:t>
            </w:r>
          </w:p>
        </w:tc>
        <w:tc>
          <w:tcPr>
            <w:tcW w:w="0" w:type="auto"/>
            <w:tcBorders>
              <w:top w:val="single" w:sz="4" w:space="0" w:color="CCCCCC"/>
              <w:left w:val="nil"/>
              <w:bottom w:val="single" w:sz="4" w:space="0" w:color="CCCCCC"/>
              <w:right w:val="single" w:sz="4" w:space="0" w:color="CCCCCC"/>
            </w:tcBorders>
            <w:shd w:val="clear" w:color="D9EAD3" w:fill="D9EAD3"/>
          </w:tcPr>
          <w:p w14:paraId="176C9EC3"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2024</w:t>
            </w:r>
          </w:p>
        </w:tc>
        <w:tc>
          <w:tcPr>
            <w:tcW w:w="0" w:type="auto"/>
            <w:tcBorders>
              <w:top w:val="single" w:sz="4" w:space="0" w:color="CCCCCC"/>
              <w:left w:val="nil"/>
              <w:bottom w:val="single" w:sz="4" w:space="0" w:color="CCCCCC"/>
              <w:right w:val="single" w:sz="4" w:space="0" w:color="CCCCCC"/>
            </w:tcBorders>
            <w:shd w:val="clear" w:color="D9EAD3" w:fill="D9EAD3"/>
          </w:tcPr>
          <w:p w14:paraId="3D1365A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Provides systematic review of LCA methods and EPD frameworks for embodied carbon assessment in construction. Directly supports </w:t>
            </w:r>
            <w:r w:rsidRPr="003A7791">
              <w:rPr>
                <w:rFonts w:ascii="Arial" w:hAnsi="Arial" w:cs="Arial"/>
                <w:color w:val="000000"/>
                <w:sz w:val="24"/>
                <w:szCs w:val="24"/>
              </w:rPr>
              <w:lastRenderedPageBreak/>
              <w:t>the dissertation's discussion of carbon measurement methodologies relevant to CBAM compliance reporting.</w:t>
            </w:r>
          </w:p>
        </w:tc>
      </w:tr>
      <w:tr w:rsidR="003A7791" w:rsidRPr="003A7791" w14:paraId="1F6E7935" w14:textId="77777777" w:rsidTr="007B3AB8">
        <w:trPr>
          <w:trHeight w:val="612"/>
          <w:jc w:val="center"/>
        </w:trPr>
        <w:tc>
          <w:tcPr>
            <w:tcW w:w="0" w:type="auto"/>
            <w:tcBorders>
              <w:top w:val="nil"/>
              <w:left w:val="single" w:sz="4" w:space="0" w:color="CCCCCC"/>
              <w:bottom w:val="single" w:sz="4" w:space="0" w:color="CCCCCC"/>
              <w:right w:val="single" w:sz="4" w:space="0" w:color="CCCCCC"/>
            </w:tcBorders>
            <w:shd w:val="clear" w:color="FFFFFF" w:fill="FFFFFF"/>
          </w:tcPr>
          <w:p w14:paraId="302BB344"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27</w:t>
            </w:r>
          </w:p>
        </w:tc>
        <w:tc>
          <w:tcPr>
            <w:tcW w:w="0" w:type="auto"/>
            <w:tcBorders>
              <w:top w:val="nil"/>
              <w:left w:val="nil"/>
              <w:bottom w:val="single" w:sz="4" w:space="0" w:color="CCCCCC"/>
              <w:right w:val="single" w:sz="4" w:space="0" w:color="CCCCCC"/>
            </w:tcBorders>
            <w:shd w:val="clear" w:color="FFFFFF" w:fill="FFFFFF"/>
          </w:tcPr>
          <w:p w14:paraId="1788F38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Decarbonising Steel Through Supply Chain Collaboration</w:t>
            </w:r>
          </w:p>
        </w:tc>
        <w:tc>
          <w:tcPr>
            <w:tcW w:w="0" w:type="auto"/>
            <w:tcBorders>
              <w:top w:val="nil"/>
              <w:left w:val="nil"/>
              <w:bottom w:val="single" w:sz="4" w:space="0" w:color="CCCCCC"/>
              <w:right w:val="single" w:sz="4" w:space="0" w:color="CCCCCC"/>
            </w:tcBorders>
            <w:shd w:val="clear" w:color="FFFFFF" w:fill="FFFFFF"/>
          </w:tcPr>
          <w:p w14:paraId="7BF2270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Supply Chain Digital / Deloitte Report</w:t>
            </w:r>
          </w:p>
        </w:tc>
        <w:tc>
          <w:tcPr>
            <w:tcW w:w="0" w:type="auto"/>
            <w:tcBorders>
              <w:top w:val="nil"/>
              <w:left w:val="nil"/>
              <w:bottom w:val="single" w:sz="4" w:space="0" w:color="CCCCCC"/>
              <w:right w:val="single" w:sz="4" w:space="0" w:color="CCCCCC"/>
            </w:tcBorders>
            <w:shd w:val="clear" w:color="FFFFFF" w:fill="FFFFFF"/>
          </w:tcPr>
          <w:p w14:paraId="13D013D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Sanders, I. et al. (Deloitte)</w:t>
            </w:r>
          </w:p>
        </w:tc>
        <w:tc>
          <w:tcPr>
            <w:tcW w:w="0" w:type="auto"/>
            <w:tcBorders>
              <w:top w:val="nil"/>
              <w:left w:val="nil"/>
              <w:bottom w:val="single" w:sz="4" w:space="0" w:color="CCCCCC"/>
              <w:right w:val="single" w:sz="4" w:space="0" w:color="CCCCCC"/>
            </w:tcBorders>
            <w:shd w:val="clear" w:color="FFFFFF" w:fill="FFFFFF"/>
          </w:tcPr>
          <w:p w14:paraId="30968A02"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2024</w:t>
            </w:r>
          </w:p>
        </w:tc>
        <w:tc>
          <w:tcPr>
            <w:tcW w:w="0" w:type="auto"/>
            <w:tcBorders>
              <w:top w:val="nil"/>
              <w:left w:val="nil"/>
              <w:bottom w:val="single" w:sz="4" w:space="0" w:color="CCCCCC"/>
              <w:right w:val="single" w:sz="4" w:space="0" w:color="CCCCCC"/>
            </w:tcBorders>
            <w:shd w:val="clear" w:color="FFFFFF" w:fill="FFFFFF"/>
          </w:tcPr>
          <w:p w14:paraId="1A39333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Examines barriers and collaborative strategies for steel supply chain decarbonisation. Relevant to the dissertation's discussion of why UK Construction MNEs cannot decarbonise procurement in isolation and require supplier engagement strategies.</w:t>
            </w:r>
          </w:p>
        </w:tc>
      </w:tr>
      <w:tr w:rsidR="003A7791" w:rsidRPr="003A7791" w14:paraId="71E9C29A" w14:textId="77777777" w:rsidTr="007B3AB8">
        <w:trPr>
          <w:trHeight w:val="612"/>
          <w:jc w:val="center"/>
        </w:trPr>
        <w:tc>
          <w:tcPr>
            <w:tcW w:w="0" w:type="auto"/>
            <w:tcBorders>
              <w:top w:val="nil"/>
              <w:left w:val="single" w:sz="4" w:space="0" w:color="CCCCCC"/>
              <w:bottom w:val="single" w:sz="4" w:space="0" w:color="CCCCCC"/>
              <w:right w:val="single" w:sz="4" w:space="0" w:color="CCCCCC"/>
            </w:tcBorders>
            <w:shd w:val="clear" w:color="D9EAD3" w:fill="D9EAD3"/>
          </w:tcPr>
          <w:p w14:paraId="6C2CB0E1"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28</w:t>
            </w:r>
          </w:p>
        </w:tc>
        <w:tc>
          <w:tcPr>
            <w:tcW w:w="0" w:type="auto"/>
            <w:tcBorders>
              <w:top w:val="nil"/>
              <w:left w:val="nil"/>
              <w:bottom w:val="single" w:sz="4" w:space="0" w:color="CCCCCC"/>
              <w:right w:val="single" w:sz="4" w:space="0" w:color="CCCCCC"/>
            </w:tcBorders>
            <w:shd w:val="clear" w:color="D9EAD3" w:fill="D9EAD3"/>
          </w:tcPr>
          <w:p w14:paraId="098AA4A6"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Sustainable by Design: A Blueprint for Sourcing Green Building Materials</w:t>
            </w:r>
          </w:p>
        </w:tc>
        <w:tc>
          <w:tcPr>
            <w:tcW w:w="0" w:type="auto"/>
            <w:tcBorders>
              <w:top w:val="nil"/>
              <w:left w:val="nil"/>
              <w:bottom w:val="single" w:sz="4" w:space="0" w:color="CCCCCC"/>
              <w:right w:val="single" w:sz="4" w:space="0" w:color="CCCCCC"/>
            </w:tcBorders>
            <w:shd w:val="clear" w:color="D9EAD3" w:fill="D9EAD3"/>
          </w:tcPr>
          <w:p w14:paraId="26DB1FFD"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PwC Global Report</w:t>
            </w:r>
          </w:p>
        </w:tc>
        <w:tc>
          <w:tcPr>
            <w:tcW w:w="0" w:type="auto"/>
            <w:tcBorders>
              <w:top w:val="nil"/>
              <w:left w:val="nil"/>
              <w:bottom w:val="single" w:sz="4" w:space="0" w:color="CCCCCC"/>
              <w:right w:val="single" w:sz="4" w:space="0" w:color="CCCCCC"/>
            </w:tcBorders>
            <w:shd w:val="clear" w:color="D9EAD3" w:fill="D9EAD3"/>
          </w:tcPr>
          <w:p w14:paraId="3F6702C7"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PwC</w:t>
            </w:r>
          </w:p>
        </w:tc>
        <w:tc>
          <w:tcPr>
            <w:tcW w:w="0" w:type="auto"/>
            <w:tcBorders>
              <w:top w:val="nil"/>
              <w:left w:val="nil"/>
              <w:bottom w:val="single" w:sz="4" w:space="0" w:color="CCCCCC"/>
              <w:right w:val="single" w:sz="4" w:space="0" w:color="CCCCCC"/>
            </w:tcBorders>
            <w:shd w:val="clear" w:color="D9EAD3" w:fill="D9EAD3"/>
          </w:tcPr>
          <w:p w14:paraId="6DE26C46"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2023</w:t>
            </w:r>
          </w:p>
        </w:tc>
        <w:tc>
          <w:tcPr>
            <w:tcW w:w="0" w:type="auto"/>
            <w:tcBorders>
              <w:top w:val="nil"/>
              <w:left w:val="nil"/>
              <w:bottom w:val="single" w:sz="4" w:space="0" w:color="CCCCCC"/>
              <w:right w:val="single" w:sz="4" w:space="0" w:color="CCCCCC"/>
            </w:tcBorders>
            <w:shd w:val="clear" w:color="D9EAD3" w:fill="D9EAD3"/>
          </w:tcPr>
          <w:p w14:paraId="2260AD6C"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Provides a practitioner framework for transitioning to green material procurement in large construction projects. Supports the dissertation's Expected Findings on how UK Construction MNEs can develop carbon-adjusted procurement strategies in practice.</w:t>
            </w:r>
          </w:p>
        </w:tc>
      </w:tr>
      <w:tr w:rsidR="003A7791" w:rsidRPr="003A7791" w14:paraId="5E786813" w14:textId="77777777" w:rsidTr="007B3AB8">
        <w:trPr>
          <w:trHeight w:val="816"/>
          <w:jc w:val="center"/>
        </w:trPr>
        <w:tc>
          <w:tcPr>
            <w:tcW w:w="0" w:type="auto"/>
            <w:tcBorders>
              <w:top w:val="nil"/>
              <w:left w:val="single" w:sz="4" w:space="0" w:color="CCCCCC"/>
              <w:bottom w:val="single" w:sz="4" w:space="0" w:color="CCCCCC"/>
              <w:right w:val="single" w:sz="4" w:space="0" w:color="CCCCCC"/>
            </w:tcBorders>
            <w:shd w:val="clear" w:color="FFFFFF" w:fill="FFFFFF"/>
          </w:tcPr>
          <w:p w14:paraId="2FDB7AE4"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29</w:t>
            </w:r>
          </w:p>
        </w:tc>
        <w:tc>
          <w:tcPr>
            <w:tcW w:w="0" w:type="auto"/>
            <w:tcBorders>
              <w:top w:val="nil"/>
              <w:left w:val="nil"/>
              <w:bottom w:val="single" w:sz="4" w:space="0" w:color="CCCCCC"/>
              <w:right w:val="single" w:sz="4" w:space="0" w:color="CCCCCC"/>
            </w:tcBorders>
            <w:shd w:val="clear" w:color="FFFFFF" w:fill="FFFFFF"/>
          </w:tcPr>
          <w:p w14:paraId="12065AD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Decarbonisation in the Global Steel Sector: Tracking Corporate Roadmaps</w:t>
            </w:r>
          </w:p>
        </w:tc>
        <w:tc>
          <w:tcPr>
            <w:tcW w:w="0" w:type="auto"/>
            <w:tcBorders>
              <w:top w:val="nil"/>
              <w:left w:val="nil"/>
              <w:bottom w:val="single" w:sz="4" w:space="0" w:color="CCCCCC"/>
              <w:right w:val="single" w:sz="4" w:space="0" w:color="CCCCCC"/>
            </w:tcBorders>
            <w:shd w:val="clear" w:color="FFFFFF" w:fill="FFFFFF"/>
          </w:tcPr>
          <w:p w14:paraId="18D8A88E" w14:textId="77777777" w:rsidR="003A7791" w:rsidRPr="003A7791" w:rsidRDefault="003A7791" w:rsidP="007B3AB8">
            <w:pPr>
              <w:rPr>
                <w:rFonts w:ascii="Arial" w:hAnsi="Arial" w:cs="Arial"/>
                <w:color w:val="000000"/>
                <w:sz w:val="24"/>
                <w:szCs w:val="24"/>
              </w:rPr>
            </w:pPr>
            <w:proofErr w:type="spellStart"/>
            <w:r w:rsidRPr="003A7791">
              <w:rPr>
                <w:rFonts w:ascii="Arial" w:hAnsi="Arial" w:cs="Arial"/>
                <w:color w:val="000000"/>
                <w:sz w:val="24"/>
                <w:szCs w:val="24"/>
              </w:rPr>
              <w:t>NewClimate</w:t>
            </w:r>
            <w:proofErr w:type="spellEnd"/>
            <w:r w:rsidRPr="003A7791">
              <w:rPr>
                <w:rFonts w:ascii="Arial" w:hAnsi="Arial" w:cs="Arial"/>
                <w:color w:val="000000"/>
                <w:sz w:val="24"/>
                <w:szCs w:val="24"/>
              </w:rPr>
              <w:t xml:space="preserve"> Institute Report</w:t>
            </w:r>
          </w:p>
        </w:tc>
        <w:tc>
          <w:tcPr>
            <w:tcW w:w="0" w:type="auto"/>
            <w:tcBorders>
              <w:top w:val="nil"/>
              <w:left w:val="nil"/>
              <w:bottom w:val="single" w:sz="4" w:space="0" w:color="CCCCCC"/>
              <w:right w:val="single" w:sz="4" w:space="0" w:color="CCCCCC"/>
            </w:tcBorders>
            <w:shd w:val="clear" w:color="FFFFFF" w:fill="FFFFFF"/>
          </w:tcPr>
          <w:p w14:paraId="4AC70203"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Multiple Authors</w:t>
            </w:r>
          </w:p>
        </w:tc>
        <w:tc>
          <w:tcPr>
            <w:tcW w:w="0" w:type="auto"/>
            <w:tcBorders>
              <w:top w:val="nil"/>
              <w:left w:val="nil"/>
              <w:bottom w:val="single" w:sz="4" w:space="0" w:color="CCCCCC"/>
              <w:right w:val="single" w:sz="4" w:space="0" w:color="CCCCCC"/>
            </w:tcBorders>
            <w:shd w:val="clear" w:color="FFFFFF" w:fill="FFFFFF"/>
          </w:tcPr>
          <w:p w14:paraId="4FA5104B"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2022</w:t>
            </w:r>
          </w:p>
        </w:tc>
        <w:tc>
          <w:tcPr>
            <w:tcW w:w="0" w:type="auto"/>
            <w:tcBorders>
              <w:top w:val="nil"/>
              <w:left w:val="nil"/>
              <w:bottom w:val="single" w:sz="4" w:space="0" w:color="CCCCCC"/>
              <w:right w:val="single" w:sz="4" w:space="0" w:color="CCCCCC"/>
            </w:tcBorders>
            <w:shd w:val="clear" w:color="FFFFFF" w:fill="FFFFFF"/>
          </w:tcPr>
          <w:p w14:paraId="0A6EF9F8"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 xml:space="preserve">Tracks global steel company decarbonisation roadmaps and assesses supply chain readiness for near-zero emissions production. Provides </w:t>
            </w:r>
            <w:r w:rsidRPr="003A7791">
              <w:rPr>
                <w:rFonts w:ascii="Arial" w:hAnsi="Arial" w:cs="Arial"/>
                <w:color w:val="000000"/>
                <w:sz w:val="24"/>
                <w:szCs w:val="24"/>
              </w:rPr>
              <w:lastRenderedPageBreak/>
              <w:t>evidence base for the dissertation's argument that green steel supply is emerging and accessible for UK Construction MNE procurement.</w:t>
            </w:r>
          </w:p>
        </w:tc>
      </w:tr>
      <w:tr w:rsidR="003A7791" w:rsidRPr="003A7791" w14:paraId="10292E85" w14:textId="77777777" w:rsidTr="007B3AB8">
        <w:trPr>
          <w:trHeight w:val="816"/>
          <w:jc w:val="center"/>
        </w:trPr>
        <w:tc>
          <w:tcPr>
            <w:tcW w:w="0" w:type="auto"/>
            <w:tcBorders>
              <w:top w:val="nil"/>
              <w:left w:val="single" w:sz="4" w:space="0" w:color="CCCCCC"/>
              <w:bottom w:val="single" w:sz="4" w:space="0" w:color="CCCCCC"/>
              <w:right w:val="single" w:sz="4" w:space="0" w:color="CCCCCC"/>
            </w:tcBorders>
            <w:shd w:val="clear" w:color="D9EAD3" w:fill="D9EAD3"/>
          </w:tcPr>
          <w:p w14:paraId="4C3D7798"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lastRenderedPageBreak/>
              <w:t>30</w:t>
            </w:r>
          </w:p>
        </w:tc>
        <w:tc>
          <w:tcPr>
            <w:tcW w:w="0" w:type="auto"/>
            <w:tcBorders>
              <w:top w:val="nil"/>
              <w:left w:val="nil"/>
              <w:bottom w:val="single" w:sz="4" w:space="0" w:color="CCCCCC"/>
              <w:right w:val="single" w:sz="4" w:space="0" w:color="CCCCCC"/>
            </w:tcBorders>
            <w:shd w:val="clear" w:color="D9EAD3" w:fill="D9EAD3"/>
          </w:tcPr>
          <w:p w14:paraId="6D21E220"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Finance Act 2025: UK CBAM Enabling Legislation</w:t>
            </w:r>
          </w:p>
        </w:tc>
        <w:tc>
          <w:tcPr>
            <w:tcW w:w="0" w:type="auto"/>
            <w:tcBorders>
              <w:top w:val="nil"/>
              <w:left w:val="nil"/>
              <w:bottom w:val="single" w:sz="4" w:space="0" w:color="CCCCCC"/>
              <w:right w:val="single" w:sz="4" w:space="0" w:color="CCCCCC"/>
            </w:tcBorders>
            <w:shd w:val="clear" w:color="D9EAD3" w:fill="D9EAD3"/>
          </w:tcPr>
          <w:p w14:paraId="47ECD2A5"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UK Government / HMRC</w:t>
            </w:r>
          </w:p>
        </w:tc>
        <w:tc>
          <w:tcPr>
            <w:tcW w:w="0" w:type="auto"/>
            <w:tcBorders>
              <w:top w:val="nil"/>
              <w:left w:val="nil"/>
              <w:bottom w:val="single" w:sz="4" w:space="0" w:color="CCCCCC"/>
              <w:right w:val="single" w:sz="4" w:space="0" w:color="CCCCCC"/>
            </w:tcBorders>
            <w:shd w:val="clear" w:color="D9EAD3" w:fill="D9EAD3"/>
          </w:tcPr>
          <w:p w14:paraId="6359E8DE"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HM Government</w:t>
            </w:r>
          </w:p>
        </w:tc>
        <w:tc>
          <w:tcPr>
            <w:tcW w:w="0" w:type="auto"/>
            <w:tcBorders>
              <w:top w:val="nil"/>
              <w:left w:val="nil"/>
              <w:bottom w:val="single" w:sz="4" w:space="0" w:color="CCCCCC"/>
              <w:right w:val="single" w:sz="4" w:space="0" w:color="CCCCCC"/>
            </w:tcBorders>
            <w:shd w:val="clear" w:color="D9EAD3" w:fill="D9EAD3"/>
          </w:tcPr>
          <w:p w14:paraId="0B478031" w14:textId="77777777" w:rsidR="003A7791" w:rsidRPr="003A7791" w:rsidRDefault="003A7791" w:rsidP="007B3AB8">
            <w:pPr>
              <w:jc w:val="right"/>
              <w:rPr>
                <w:rFonts w:ascii="Arial" w:hAnsi="Arial" w:cs="Arial"/>
                <w:color w:val="000000"/>
                <w:sz w:val="24"/>
                <w:szCs w:val="24"/>
              </w:rPr>
            </w:pPr>
            <w:r w:rsidRPr="003A7791">
              <w:rPr>
                <w:rFonts w:ascii="Arial" w:hAnsi="Arial" w:cs="Arial"/>
                <w:color w:val="000000"/>
                <w:sz w:val="24"/>
                <w:szCs w:val="24"/>
              </w:rPr>
              <w:t>2025</w:t>
            </w:r>
          </w:p>
        </w:tc>
        <w:tc>
          <w:tcPr>
            <w:tcW w:w="0" w:type="auto"/>
            <w:tcBorders>
              <w:top w:val="nil"/>
              <w:left w:val="nil"/>
              <w:bottom w:val="single" w:sz="4" w:space="0" w:color="CCCCCC"/>
              <w:right w:val="single" w:sz="4" w:space="0" w:color="CCCCCC"/>
            </w:tcBorders>
            <w:shd w:val="clear" w:color="D9EAD3" w:fill="D9EAD3"/>
          </w:tcPr>
          <w:p w14:paraId="510D8EB9" w14:textId="77777777" w:rsidR="003A7791" w:rsidRPr="003A7791" w:rsidRDefault="003A7791" w:rsidP="007B3AB8">
            <w:pPr>
              <w:rPr>
                <w:rFonts w:ascii="Arial" w:hAnsi="Arial" w:cs="Arial"/>
                <w:color w:val="000000"/>
                <w:sz w:val="24"/>
                <w:szCs w:val="24"/>
              </w:rPr>
            </w:pPr>
            <w:r w:rsidRPr="003A7791">
              <w:rPr>
                <w:rFonts w:ascii="Arial" w:hAnsi="Arial" w:cs="Arial"/>
                <w:color w:val="000000"/>
                <w:sz w:val="24"/>
                <w:szCs w:val="24"/>
              </w:rPr>
              <w:t>Provides the primary legal basis for the UK CBAM, granting HMRC powers to prepare for and administer the mechanism. Essential primary source confirming the legal status and implementation framework of the UK CBAM directly relevant to the dissertation's policy analysis.</w:t>
            </w:r>
          </w:p>
        </w:tc>
      </w:tr>
    </w:tbl>
    <w:p w14:paraId="16EA5998" w14:textId="77777777" w:rsidR="003A7791" w:rsidRPr="003A7791" w:rsidRDefault="003A7791" w:rsidP="003A7791">
      <w:pPr>
        <w:tabs>
          <w:tab w:val="left" w:pos="1548"/>
        </w:tabs>
        <w:rPr>
          <w:sz w:val="24"/>
          <w:szCs w:val="24"/>
        </w:rPr>
      </w:pPr>
      <w:r w:rsidRPr="003A7791">
        <w:rPr>
          <w:sz w:val="24"/>
          <w:szCs w:val="24"/>
        </w:rPr>
        <w:t xml:space="preserve"> </w:t>
      </w:r>
    </w:p>
    <w:p w14:paraId="01EF21F5" w14:textId="77777777" w:rsidR="003A7791" w:rsidRPr="003A7791" w:rsidRDefault="003A7791" w:rsidP="000F4CF3">
      <w:pPr>
        <w:ind w:left="720" w:hanging="720"/>
        <w:jc w:val="center"/>
        <w:rPr>
          <w:rFonts w:ascii="Arial" w:hAnsi="Arial" w:cs="Arial"/>
          <w:b/>
          <w:bCs/>
          <w:sz w:val="24"/>
          <w:szCs w:val="24"/>
        </w:rPr>
      </w:pPr>
    </w:p>
    <w:sectPr w:rsidR="003A7791" w:rsidRPr="003A7791" w:rsidSect="003A7791">
      <w:pgSz w:w="11906" w:h="16838" w:code="9"/>
      <w:pgMar w:top="851" w:right="1134" w:bottom="851" w:left="1555"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27292" w14:textId="77777777" w:rsidR="0057128C" w:rsidRDefault="0057128C" w:rsidP="00390251">
      <w:r>
        <w:separator/>
      </w:r>
    </w:p>
  </w:endnote>
  <w:endnote w:type="continuationSeparator" w:id="0">
    <w:p w14:paraId="628A2C5B" w14:textId="77777777" w:rsidR="0057128C" w:rsidRDefault="0057128C" w:rsidP="00390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895B2" w14:textId="77777777" w:rsidR="003A7791" w:rsidRDefault="003A7791">
    <w:pPr>
      <w:jc w:val="center"/>
    </w:pPr>
    <w:r>
      <w:t xml:space="preserve">Page </w:t>
    </w:r>
    <w:r>
      <w:fldChar w:fldCharType="begin"/>
    </w:r>
    <w:r>
      <w:instrText>PAGE</w:instrText>
    </w:r>
    <w:r>
      <w:fldChar w:fldCharType="separate"/>
    </w:r>
    <w:r>
      <w:t>1</w:t>
    </w:r>
    <w:r>
      <w:fldChar w:fldCharType="end"/>
    </w:r>
    <w:r>
      <w:t xml:space="preserve"> of </w:t>
    </w:r>
    <w:r>
      <w:fldChar w:fldCharType="begin"/>
    </w:r>
    <w:r>
      <w:instrText>NUMPAGES</w:instrText>
    </w:r>
    <w:r>
      <w:fldChar w:fldCharType="separate"/>
    </w:r>
    <w: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32492" w14:textId="77777777" w:rsidR="0057128C" w:rsidRDefault="0057128C" w:rsidP="00390251">
      <w:r>
        <w:separator/>
      </w:r>
    </w:p>
  </w:footnote>
  <w:footnote w:type="continuationSeparator" w:id="0">
    <w:p w14:paraId="6D98C821" w14:textId="77777777" w:rsidR="0057128C" w:rsidRDefault="0057128C" w:rsidP="003902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00F6F" w14:textId="77777777" w:rsidR="003A7791" w:rsidRDefault="003A77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3DB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B15131"/>
    <w:multiLevelType w:val="multilevel"/>
    <w:tmpl w:val="50B15131"/>
    <w:lvl w:ilvl="0">
      <w:start w:val="1"/>
      <w:numFmt w:val="bullet"/>
      <w:lvlText w:val="•"/>
      <w:lvlJc w:val="left"/>
      <w:pPr>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73137844"/>
    <w:multiLevelType w:val="multilevel"/>
    <w:tmpl w:val="7313784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34428428">
    <w:abstractNumId w:val="8"/>
  </w:num>
  <w:num w:numId="2" w16cid:durableId="376047438">
    <w:abstractNumId w:val="13"/>
  </w:num>
  <w:num w:numId="3" w16cid:durableId="612203184">
    <w:abstractNumId w:val="2"/>
  </w:num>
  <w:num w:numId="4" w16cid:durableId="116223501">
    <w:abstractNumId w:val="17"/>
  </w:num>
  <w:num w:numId="5" w16cid:durableId="8095084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3602191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7133426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92181771">
    <w:abstractNumId w:val="3"/>
  </w:num>
  <w:num w:numId="9" w16cid:durableId="1266614556">
    <w:abstractNumId w:val="6"/>
  </w:num>
  <w:num w:numId="10" w16cid:durableId="2105614370">
    <w:abstractNumId w:val="7"/>
  </w:num>
  <w:num w:numId="11" w16cid:durableId="1407726077">
    <w:abstractNumId w:val="16"/>
  </w:num>
  <w:num w:numId="12" w16cid:durableId="1365407064">
    <w:abstractNumId w:val="14"/>
  </w:num>
  <w:num w:numId="13" w16cid:durableId="1511989872">
    <w:abstractNumId w:val="15"/>
  </w:num>
  <w:num w:numId="14" w16cid:durableId="753821753">
    <w:abstractNumId w:val="1"/>
  </w:num>
  <w:num w:numId="15" w16cid:durableId="1449659070">
    <w:abstractNumId w:val="4"/>
  </w:num>
  <w:num w:numId="16" w16cid:durableId="1064982959">
    <w:abstractNumId w:val="5"/>
  </w:num>
  <w:num w:numId="17" w16cid:durableId="832767096">
    <w:abstractNumId w:val="9"/>
  </w:num>
  <w:num w:numId="18" w16cid:durableId="798112187">
    <w:abstractNumId w:val="10"/>
    <w:lvlOverride w:ilvl="0">
      <w:startOverride w:val="1"/>
    </w:lvlOverride>
  </w:num>
  <w:num w:numId="19" w16cid:durableId="609776914">
    <w:abstractNumId w:val="18"/>
  </w:num>
  <w:num w:numId="20" w16cid:durableId="1083643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30BE1"/>
    <w:rsid w:val="0003212E"/>
    <w:rsid w:val="00033995"/>
    <w:rsid w:val="00044629"/>
    <w:rsid w:val="00047D63"/>
    <w:rsid w:val="00075462"/>
    <w:rsid w:val="00077EA9"/>
    <w:rsid w:val="00084DC7"/>
    <w:rsid w:val="00087B14"/>
    <w:rsid w:val="00096209"/>
    <w:rsid w:val="000B5723"/>
    <w:rsid w:val="000C7409"/>
    <w:rsid w:val="000D067B"/>
    <w:rsid w:val="000E2AD0"/>
    <w:rsid w:val="000F1514"/>
    <w:rsid w:val="000F4CF3"/>
    <w:rsid w:val="000F7C83"/>
    <w:rsid w:val="0012188C"/>
    <w:rsid w:val="00124438"/>
    <w:rsid w:val="00126B4D"/>
    <w:rsid w:val="0013284F"/>
    <w:rsid w:val="00144D85"/>
    <w:rsid w:val="00151286"/>
    <w:rsid w:val="001513B3"/>
    <w:rsid w:val="00152F36"/>
    <w:rsid w:val="001612C0"/>
    <w:rsid w:val="00174A02"/>
    <w:rsid w:val="001808C3"/>
    <w:rsid w:val="001817E2"/>
    <w:rsid w:val="00191DE6"/>
    <w:rsid w:val="0019200D"/>
    <w:rsid w:val="00195B55"/>
    <w:rsid w:val="001A366F"/>
    <w:rsid w:val="001B0B2F"/>
    <w:rsid w:val="001C09E8"/>
    <w:rsid w:val="001C269D"/>
    <w:rsid w:val="001D3BD1"/>
    <w:rsid w:val="001F6460"/>
    <w:rsid w:val="001F79E2"/>
    <w:rsid w:val="00200104"/>
    <w:rsid w:val="00210EA2"/>
    <w:rsid w:val="00213F52"/>
    <w:rsid w:val="00221686"/>
    <w:rsid w:val="00250597"/>
    <w:rsid w:val="00255B51"/>
    <w:rsid w:val="00263048"/>
    <w:rsid w:val="002657B4"/>
    <w:rsid w:val="00272EE5"/>
    <w:rsid w:val="002866BC"/>
    <w:rsid w:val="0029113C"/>
    <w:rsid w:val="002A7E77"/>
    <w:rsid w:val="002B56C1"/>
    <w:rsid w:val="002C4AEB"/>
    <w:rsid w:val="002E0739"/>
    <w:rsid w:val="003072E9"/>
    <w:rsid w:val="003171A8"/>
    <w:rsid w:val="003268ED"/>
    <w:rsid w:val="003302A1"/>
    <w:rsid w:val="00361382"/>
    <w:rsid w:val="00390251"/>
    <w:rsid w:val="003A7791"/>
    <w:rsid w:val="003B4D13"/>
    <w:rsid w:val="003B7AA2"/>
    <w:rsid w:val="003C7018"/>
    <w:rsid w:val="003C76B6"/>
    <w:rsid w:val="003D2A20"/>
    <w:rsid w:val="003F088B"/>
    <w:rsid w:val="00412247"/>
    <w:rsid w:val="00413863"/>
    <w:rsid w:val="00413EEB"/>
    <w:rsid w:val="0041420E"/>
    <w:rsid w:val="00434138"/>
    <w:rsid w:val="00442954"/>
    <w:rsid w:val="0045485F"/>
    <w:rsid w:val="00462069"/>
    <w:rsid w:val="00476398"/>
    <w:rsid w:val="0047697E"/>
    <w:rsid w:val="00482C0F"/>
    <w:rsid w:val="0048583B"/>
    <w:rsid w:val="00486107"/>
    <w:rsid w:val="004B7A0E"/>
    <w:rsid w:val="004C5C13"/>
    <w:rsid w:val="004D5683"/>
    <w:rsid w:val="004E0338"/>
    <w:rsid w:val="004F059C"/>
    <w:rsid w:val="005035A0"/>
    <w:rsid w:val="00526C56"/>
    <w:rsid w:val="00546F01"/>
    <w:rsid w:val="00560E29"/>
    <w:rsid w:val="00563B3D"/>
    <w:rsid w:val="0057128C"/>
    <w:rsid w:val="00571817"/>
    <w:rsid w:val="00574528"/>
    <w:rsid w:val="005756CA"/>
    <w:rsid w:val="00584B8F"/>
    <w:rsid w:val="005960A0"/>
    <w:rsid w:val="00596BFA"/>
    <w:rsid w:val="005A76DA"/>
    <w:rsid w:val="005B52AE"/>
    <w:rsid w:val="005C1B6D"/>
    <w:rsid w:val="005D7266"/>
    <w:rsid w:val="005E4987"/>
    <w:rsid w:val="005F677A"/>
    <w:rsid w:val="00601BEA"/>
    <w:rsid w:val="00601C36"/>
    <w:rsid w:val="00606331"/>
    <w:rsid w:val="006154A7"/>
    <w:rsid w:val="00631440"/>
    <w:rsid w:val="0063607E"/>
    <w:rsid w:val="00644C5C"/>
    <w:rsid w:val="00655EC5"/>
    <w:rsid w:val="00661EDA"/>
    <w:rsid w:val="00682C6A"/>
    <w:rsid w:val="00683FAF"/>
    <w:rsid w:val="006D3C97"/>
    <w:rsid w:val="006D4BBB"/>
    <w:rsid w:val="006E1992"/>
    <w:rsid w:val="006F4828"/>
    <w:rsid w:val="00700361"/>
    <w:rsid w:val="0071706A"/>
    <w:rsid w:val="00717E6F"/>
    <w:rsid w:val="00730CA1"/>
    <w:rsid w:val="00731CAC"/>
    <w:rsid w:val="0073342F"/>
    <w:rsid w:val="0074063A"/>
    <w:rsid w:val="00763A08"/>
    <w:rsid w:val="00765172"/>
    <w:rsid w:val="00765EE1"/>
    <w:rsid w:val="0078273B"/>
    <w:rsid w:val="007849BE"/>
    <w:rsid w:val="00784D14"/>
    <w:rsid w:val="007902A2"/>
    <w:rsid w:val="007A4607"/>
    <w:rsid w:val="007A6402"/>
    <w:rsid w:val="007B1754"/>
    <w:rsid w:val="007C1498"/>
    <w:rsid w:val="007C17B4"/>
    <w:rsid w:val="007C3AC1"/>
    <w:rsid w:val="007F4303"/>
    <w:rsid w:val="007F5CA0"/>
    <w:rsid w:val="007F6C0B"/>
    <w:rsid w:val="00812BEF"/>
    <w:rsid w:val="00813F37"/>
    <w:rsid w:val="008372C0"/>
    <w:rsid w:val="0084005C"/>
    <w:rsid w:val="00873B71"/>
    <w:rsid w:val="008740D6"/>
    <w:rsid w:val="00876E72"/>
    <w:rsid w:val="008822DC"/>
    <w:rsid w:val="008B0ACC"/>
    <w:rsid w:val="008B346A"/>
    <w:rsid w:val="008F6555"/>
    <w:rsid w:val="009003C5"/>
    <w:rsid w:val="00903C1A"/>
    <w:rsid w:val="0090725E"/>
    <w:rsid w:val="00910B57"/>
    <w:rsid w:val="00913C80"/>
    <w:rsid w:val="009440D0"/>
    <w:rsid w:val="0095110A"/>
    <w:rsid w:val="0096006D"/>
    <w:rsid w:val="00961B2E"/>
    <w:rsid w:val="00965F27"/>
    <w:rsid w:val="00977C9A"/>
    <w:rsid w:val="00986EEC"/>
    <w:rsid w:val="009A3300"/>
    <w:rsid w:val="009A3C08"/>
    <w:rsid w:val="009A4E14"/>
    <w:rsid w:val="009B3534"/>
    <w:rsid w:val="009C5D44"/>
    <w:rsid w:val="009E39E5"/>
    <w:rsid w:val="009F5000"/>
    <w:rsid w:val="009F5AC3"/>
    <w:rsid w:val="00A05080"/>
    <w:rsid w:val="00A1213B"/>
    <w:rsid w:val="00A15D03"/>
    <w:rsid w:val="00A1787E"/>
    <w:rsid w:val="00A37D20"/>
    <w:rsid w:val="00A55016"/>
    <w:rsid w:val="00A56685"/>
    <w:rsid w:val="00A61424"/>
    <w:rsid w:val="00A6339D"/>
    <w:rsid w:val="00A703DC"/>
    <w:rsid w:val="00A71D71"/>
    <w:rsid w:val="00A7745F"/>
    <w:rsid w:val="00A776A8"/>
    <w:rsid w:val="00A82A83"/>
    <w:rsid w:val="00A950A9"/>
    <w:rsid w:val="00A95A09"/>
    <w:rsid w:val="00AA0A40"/>
    <w:rsid w:val="00AA1990"/>
    <w:rsid w:val="00AA2E71"/>
    <w:rsid w:val="00AB15E7"/>
    <w:rsid w:val="00AB74BF"/>
    <w:rsid w:val="00AB7553"/>
    <w:rsid w:val="00AC7833"/>
    <w:rsid w:val="00AE5AB8"/>
    <w:rsid w:val="00AF7252"/>
    <w:rsid w:val="00B02F8E"/>
    <w:rsid w:val="00B06980"/>
    <w:rsid w:val="00B10083"/>
    <w:rsid w:val="00B11122"/>
    <w:rsid w:val="00B139CE"/>
    <w:rsid w:val="00B240F2"/>
    <w:rsid w:val="00B27E6D"/>
    <w:rsid w:val="00B3672F"/>
    <w:rsid w:val="00B44647"/>
    <w:rsid w:val="00B465A5"/>
    <w:rsid w:val="00B51F90"/>
    <w:rsid w:val="00B57F60"/>
    <w:rsid w:val="00B6265F"/>
    <w:rsid w:val="00B640BB"/>
    <w:rsid w:val="00B70B72"/>
    <w:rsid w:val="00B72775"/>
    <w:rsid w:val="00B74048"/>
    <w:rsid w:val="00B90B2A"/>
    <w:rsid w:val="00B91DEA"/>
    <w:rsid w:val="00BB3142"/>
    <w:rsid w:val="00BE08D7"/>
    <w:rsid w:val="00BE117A"/>
    <w:rsid w:val="00BF3F4A"/>
    <w:rsid w:val="00C15796"/>
    <w:rsid w:val="00C21DCF"/>
    <w:rsid w:val="00C34A87"/>
    <w:rsid w:val="00C40DAE"/>
    <w:rsid w:val="00C45C06"/>
    <w:rsid w:val="00C46A16"/>
    <w:rsid w:val="00C666E9"/>
    <w:rsid w:val="00C77D7E"/>
    <w:rsid w:val="00C81846"/>
    <w:rsid w:val="00CA11BD"/>
    <w:rsid w:val="00CA1C8C"/>
    <w:rsid w:val="00CA585F"/>
    <w:rsid w:val="00CA7D5E"/>
    <w:rsid w:val="00CB7118"/>
    <w:rsid w:val="00CC1528"/>
    <w:rsid w:val="00CD5765"/>
    <w:rsid w:val="00CE0C76"/>
    <w:rsid w:val="00CF4E46"/>
    <w:rsid w:val="00D06ACD"/>
    <w:rsid w:val="00D07C1B"/>
    <w:rsid w:val="00D267DA"/>
    <w:rsid w:val="00D37985"/>
    <w:rsid w:val="00D47308"/>
    <w:rsid w:val="00D50372"/>
    <w:rsid w:val="00D52247"/>
    <w:rsid w:val="00D61E87"/>
    <w:rsid w:val="00D651BE"/>
    <w:rsid w:val="00D661EC"/>
    <w:rsid w:val="00D81803"/>
    <w:rsid w:val="00D90204"/>
    <w:rsid w:val="00DA26EE"/>
    <w:rsid w:val="00DC3DDC"/>
    <w:rsid w:val="00DD0529"/>
    <w:rsid w:val="00DD05AB"/>
    <w:rsid w:val="00DD1665"/>
    <w:rsid w:val="00DF26D2"/>
    <w:rsid w:val="00E444C7"/>
    <w:rsid w:val="00E57EF4"/>
    <w:rsid w:val="00E73456"/>
    <w:rsid w:val="00E75A15"/>
    <w:rsid w:val="00E84BC8"/>
    <w:rsid w:val="00E93E44"/>
    <w:rsid w:val="00E95A30"/>
    <w:rsid w:val="00EA5DE3"/>
    <w:rsid w:val="00EB6877"/>
    <w:rsid w:val="00EB722E"/>
    <w:rsid w:val="00EC11CA"/>
    <w:rsid w:val="00ED7B18"/>
    <w:rsid w:val="00EE2953"/>
    <w:rsid w:val="00EE29BA"/>
    <w:rsid w:val="00EE44C0"/>
    <w:rsid w:val="00EE7D8A"/>
    <w:rsid w:val="00F478CB"/>
    <w:rsid w:val="00F54257"/>
    <w:rsid w:val="00F62C23"/>
    <w:rsid w:val="00F64D54"/>
    <w:rsid w:val="00FA17A2"/>
    <w:rsid w:val="00FB4396"/>
    <w:rsid w:val="00FB6B35"/>
    <w:rsid w:val="00FD012D"/>
    <w:rsid w:val="00FD553A"/>
    <w:rsid w:val="00FE3E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E82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qFormat="1"/>
    <w:lsdException w:name="footer" w:semiHidden="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qFormat="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3A7791"/>
    <w:pPr>
      <w:keepNext/>
      <w:numPr>
        <w:numId w:val="20"/>
      </w:numPr>
      <w:tabs>
        <w:tab w:val="left" w:pos="5103"/>
      </w:tabs>
      <w:jc w:val="center"/>
      <w:outlineLvl w:val="0"/>
    </w:pPr>
    <w:rPr>
      <w:b/>
      <w:bCs/>
      <w:sz w:val="28"/>
      <w:szCs w:val="22"/>
    </w:rPr>
  </w:style>
  <w:style w:type="paragraph" w:styleId="Heading2">
    <w:name w:val="heading 2"/>
    <w:basedOn w:val="Normal"/>
    <w:next w:val="Normal"/>
    <w:link w:val="Heading2Char"/>
    <w:uiPriority w:val="9"/>
    <w:unhideWhenUsed/>
    <w:qFormat/>
    <w:rsid w:val="003A7791"/>
    <w:pPr>
      <w:keepNext/>
      <w:keepLines/>
      <w:numPr>
        <w:ilvl w:val="1"/>
        <w:numId w:val="20"/>
      </w:numPr>
      <w:spacing w:before="40"/>
      <w:outlineLvl w:val="1"/>
    </w:pPr>
    <w:rPr>
      <w:rFonts w:eastAsiaTheme="majorEastAsia" w:cstheme="majorBidi"/>
      <w:b/>
      <w:sz w:val="24"/>
      <w:szCs w:val="26"/>
    </w:rPr>
  </w:style>
  <w:style w:type="paragraph" w:styleId="Heading3">
    <w:name w:val="heading 3"/>
    <w:basedOn w:val="Normal"/>
    <w:next w:val="Normal"/>
    <w:link w:val="Heading3Char"/>
    <w:uiPriority w:val="9"/>
    <w:unhideWhenUsed/>
    <w:qFormat/>
    <w:rsid w:val="003A7791"/>
    <w:pPr>
      <w:keepNext/>
      <w:keepLines/>
      <w:numPr>
        <w:ilvl w:val="2"/>
        <w:numId w:val="20"/>
      </w:numPr>
      <w:spacing w:before="40"/>
      <w:outlineLvl w:val="2"/>
    </w:pPr>
    <w:rPr>
      <w:rFonts w:eastAsiaTheme="majorEastAsia" w:cstheme="majorBidi"/>
      <w:b/>
      <w:i/>
      <w:sz w:val="24"/>
      <w:szCs w:val="24"/>
    </w:rPr>
  </w:style>
  <w:style w:type="paragraph" w:styleId="Heading4">
    <w:name w:val="heading 4"/>
    <w:basedOn w:val="Normal"/>
    <w:next w:val="Normal"/>
    <w:link w:val="Heading4Char"/>
    <w:uiPriority w:val="9"/>
    <w:qFormat/>
    <w:rsid w:val="00784D14"/>
    <w:pPr>
      <w:keepNext/>
      <w:numPr>
        <w:ilvl w:val="3"/>
        <w:numId w:val="20"/>
      </w:numPr>
      <w:spacing w:before="240" w:after="60"/>
      <w:outlineLvl w:val="3"/>
    </w:pPr>
    <w:rPr>
      <w:b/>
      <w:bCs/>
      <w:sz w:val="28"/>
      <w:szCs w:val="28"/>
    </w:rPr>
  </w:style>
  <w:style w:type="paragraph" w:styleId="Heading5">
    <w:name w:val="heading 5"/>
    <w:link w:val="Heading5Char"/>
    <w:uiPriority w:val="9"/>
    <w:semiHidden/>
    <w:unhideWhenUsed/>
    <w:qFormat/>
    <w:rsid w:val="003A7791"/>
    <w:pPr>
      <w:numPr>
        <w:ilvl w:val="4"/>
        <w:numId w:val="20"/>
      </w:numPr>
      <w:outlineLvl w:val="4"/>
    </w:pPr>
    <w:rPr>
      <w:color w:val="2E74B5"/>
      <w:sz w:val="24"/>
      <w:szCs w:val="24"/>
      <w:lang w:val="en-US" w:eastAsia="en-US"/>
    </w:rPr>
  </w:style>
  <w:style w:type="paragraph" w:styleId="Heading6">
    <w:name w:val="heading 6"/>
    <w:link w:val="Heading6Char"/>
    <w:uiPriority w:val="9"/>
    <w:semiHidden/>
    <w:unhideWhenUsed/>
    <w:qFormat/>
    <w:rsid w:val="003A7791"/>
    <w:pPr>
      <w:numPr>
        <w:ilvl w:val="5"/>
        <w:numId w:val="20"/>
      </w:numPr>
      <w:outlineLvl w:val="5"/>
    </w:pPr>
    <w:rPr>
      <w:color w:val="1F4D78"/>
      <w:sz w:val="24"/>
      <w:szCs w:val="24"/>
      <w:lang w:val="en-US" w:eastAsia="en-US"/>
    </w:rPr>
  </w:style>
  <w:style w:type="paragraph" w:styleId="Heading7">
    <w:name w:val="heading 7"/>
    <w:basedOn w:val="Normal"/>
    <w:next w:val="Normal"/>
    <w:link w:val="Heading7Char"/>
    <w:uiPriority w:val="9"/>
    <w:semiHidden/>
    <w:unhideWhenUsed/>
    <w:qFormat/>
    <w:rsid w:val="003A7791"/>
    <w:pPr>
      <w:keepNext/>
      <w:keepLines/>
      <w:numPr>
        <w:ilvl w:val="6"/>
        <w:numId w:val="20"/>
      </w:numPr>
      <w:spacing w:before="40"/>
      <w:outlineLvl w:val="6"/>
    </w:pPr>
    <w:rPr>
      <w:rFonts w:asciiTheme="majorHAnsi" w:eastAsiaTheme="majorEastAsia" w:hAnsiTheme="majorHAnsi" w:cstheme="majorBidi"/>
      <w:i/>
      <w:iCs/>
      <w:color w:val="244061" w:themeColor="accent1" w:themeShade="80"/>
      <w:sz w:val="24"/>
      <w:szCs w:val="24"/>
      <w:lang w:val="en-US"/>
    </w:rPr>
  </w:style>
  <w:style w:type="paragraph" w:styleId="Heading8">
    <w:name w:val="heading 8"/>
    <w:basedOn w:val="Normal"/>
    <w:next w:val="Normal"/>
    <w:link w:val="Heading8Char"/>
    <w:uiPriority w:val="9"/>
    <w:semiHidden/>
    <w:unhideWhenUsed/>
    <w:qFormat/>
    <w:rsid w:val="003A7791"/>
    <w:pPr>
      <w:keepNext/>
      <w:keepLines/>
      <w:numPr>
        <w:ilvl w:val="7"/>
        <w:numId w:val="20"/>
      </w:numPr>
      <w:spacing w:before="40"/>
      <w:outlineLvl w:val="7"/>
    </w:pPr>
    <w:rPr>
      <w:rFonts w:asciiTheme="majorHAnsi" w:eastAsiaTheme="majorEastAsia" w:hAnsiTheme="majorHAnsi" w:cstheme="majorBidi"/>
      <w:color w:val="262626" w:themeColor="text1" w:themeTint="D9"/>
      <w:sz w:val="21"/>
      <w:szCs w:val="21"/>
      <w:lang w:val="en-US"/>
    </w:rPr>
  </w:style>
  <w:style w:type="paragraph" w:styleId="Heading9">
    <w:name w:val="heading 9"/>
    <w:basedOn w:val="Normal"/>
    <w:next w:val="Normal"/>
    <w:link w:val="Heading9Char"/>
    <w:uiPriority w:val="9"/>
    <w:semiHidden/>
    <w:unhideWhenUsed/>
    <w:qFormat/>
    <w:rsid w:val="003A7791"/>
    <w:pPr>
      <w:keepNext/>
      <w:keepLines/>
      <w:numPr>
        <w:ilvl w:val="8"/>
        <w:numId w:val="20"/>
      </w:numPr>
      <w:spacing w:before="40"/>
      <w:outlineLvl w:val="8"/>
    </w:pPr>
    <w:rPr>
      <w:rFonts w:asciiTheme="majorHAnsi" w:eastAsiaTheme="majorEastAsia" w:hAnsiTheme="majorHAnsi" w:cstheme="majorBidi"/>
      <w:i/>
      <w:iCs/>
      <w:color w:val="262626" w:themeColor="text1" w:themeTint="D9"/>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A7791"/>
    <w:rPr>
      <w:b/>
      <w:bCs/>
      <w:sz w:val="28"/>
      <w:szCs w:val="2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qFormat/>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qFormat/>
    <w:rsid w:val="00390251"/>
    <w:pPr>
      <w:tabs>
        <w:tab w:val="center" w:pos="4513"/>
        <w:tab w:val="right" w:pos="9026"/>
      </w:tabs>
    </w:pPr>
  </w:style>
  <w:style w:type="character" w:customStyle="1" w:styleId="HeaderChar">
    <w:name w:val="Header Char"/>
    <w:link w:val="Header"/>
    <w:uiPriority w:val="99"/>
    <w:qFormat/>
    <w:rsid w:val="00390251"/>
    <w:rPr>
      <w:lang w:eastAsia="en-US"/>
    </w:rPr>
  </w:style>
  <w:style w:type="paragraph" w:styleId="Footer">
    <w:name w:val="footer"/>
    <w:basedOn w:val="Normal"/>
    <w:link w:val="FooterChar"/>
    <w:uiPriority w:val="99"/>
    <w:qFormat/>
    <w:rsid w:val="00390251"/>
    <w:pPr>
      <w:tabs>
        <w:tab w:val="center" w:pos="4513"/>
        <w:tab w:val="right" w:pos="9026"/>
      </w:tabs>
    </w:pPr>
  </w:style>
  <w:style w:type="character" w:customStyle="1" w:styleId="FooterChar">
    <w:name w:val="Footer Char"/>
    <w:link w:val="Footer"/>
    <w:uiPriority w:val="99"/>
    <w:qFormat/>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customStyle="1" w:styleId="Heading2Char">
    <w:name w:val="Heading 2 Char"/>
    <w:basedOn w:val="DefaultParagraphFont"/>
    <w:link w:val="Heading2"/>
    <w:uiPriority w:val="9"/>
    <w:rsid w:val="003A7791"/>
    <w:rPr>
      <w:rFonts w:eastAsiaTheme="majorEastAsia" w:cstheme="majorBidi"/>
      <w:b/>
      <w:sz w:val="24"/>
      <w:szCs w:val="26"/>
      <w:lang w:eastAsia="en-US"/>
    </w:rPr>
  </w:style>
  <w:style w:type="character" w:customStyle="1" w:styleId="Heading3Char">
    <w:name w:val="Heading 3 Char"/>
    <w:basedOn w:val="DefaultParagraphFont"/>
    <w:link w:val="Heading3"/>
    <w:uiPriority w:val="9"/>
    <w:rsid w:val="003A7791"/>
    <w:rPr>
      <w:rFonts w:eastAsiaTheme="majorEastAsia" w:cstheme="majorBidi"/>
      <w:b/>
      <w:i/>
      <w:sz w:val="24"/>
      <w:szCs w:val="24"/>
      <w:lang w:eastAsia="en-US"/>
    </w:rPr>
  </w:style>
  <w:style w:type="character" w:customStyle="1" w:styleId="Heading5Char">
    <w:name w:val="Heading 5 Char"/>
    <w:basedOn w:val="DefaultParagraphFont"/>
    <w:link w:val="Heading5"/>
    <w:uiPriority w:val="9"/>
    <w:semiHidden/>
    <w:rsid w:val="003A7791"/>
    <w:rPr>
      <w:color w:val="2E74B5"/>
      <w:sz w:val="24"/>
      <w:szCs w:val="24"/>
      <w:lang w:val="en-US" w:eastAsia="en-US"/>
    </w:rPr>
  </w:style>
  <w:style w:type="character" w:customStyle="1" w:styleId="Heading6Char">
    <w:name w:val="Heading 6 Char"/>
    <w:basedOn w:val="DefaultParagraphFont"/>
    <w:link w:val="Heading6"/>
    <w:uiPriority w:val="9"/>
    <w:semiHidden/>
    <w:rsid w:val="003A7791"/>
    <w:rPr>
      <w:color w:val="1F4D78"/>
      <w:sz w:val="24"/>
      <w:szCs w:val="24"/>
      <w:lang w:val="en-US" w:eastAsia="en-US"/>
    </w:rPr>
  </w:style>
  <w:style w:type="character" w:customStyle="1" w:styleId="Heading7Char">
    <w:name w:val="Heading 7 Char"/>
    <w:basedOn w:val="DefaultParagraphFont"/>
    <w:link w:val="Heading7"/>
    <w:uiPriority w:val="9"/>
    <w:semiHidden/>
    <w:rsid w:val="003A7791"/>
    <w:rPr>
      <w:rFonts w:asciiTheme="majorHAnsi" w:eastAsiaTheme="majorEastAsia" w:hAnsiTheme="majorHAnsi" w:cstheme="majorBidi"/>
      <w:i/>
      <w:iCs/>
      <w:color w:val="244061" w:themeColor="accent1" w:themeShade="80"/>
      <w:sz w:val="24"/>
      <w:szCs w:val="24"/>
      <w:lang w:val="en-US" w:eastAsia="en-US"/>
    </w:rPr>
  </w:style>
  <w:style w:type="character" w:customStyle="1" w:styleId="Heading8Char">
    <w:name w:val="Heading 8 Char"/>
    <w:basedOn w:val="DefaultParagraphFont"/>
    <w:link w:val="Heading8"/>
    <w:uiPriority w:val="9"/>
    <w:semiHidden/>
    <w:rsid w:val="003A7791"/>
    <w:rPr>
      <w:rFonts w:asciiTheme="majorHAnsi" w:eastAsiaTheme="majorEastAsia" w:hAnsiTheme="majorHAnsi" w:cstheme="majorBidi"/>
      <w:color w:val="262626" w:themeColor="text1" w:themeTint="D9"/>
      <w:sz w:val="21"/>
      <w:szCs w:val="21"/>
      <w:lang w:val="en-US" w:eastAsia="en-US"/>
    </w:rPr>
  </w:style>
  <w:style w:type="character" w:customStyle="1" w:styleId="Heading9Char">
    <w:name w:val="Heading 9 Char"/>
    <w:basedOn w:val="DefaultParagraphFont"/>
    <w:link w:val="Heading9"/>
    <w:uiPriority w:val="9"/>
    <w:semiHidden/>
    <w:rsid w:val="003A7791"/>
    <w:rPr>
      <w:rFonts w:asciiTheme="majorHAnsi" w:eastAsiaTheme="majorEastAsia" w:hAnsiTheme="majorHAnsi" w:cstheme="majorBidi"/>
      <w:i/>
      <w:iCs/>
      <w:color w:val="262626" w:themeColor="text1" w:themeTint="D9"/>
      <w:sz w:val="21"/>
      <w:szCs w:val="21"/>
      <w:lang w:val="en-US" w:eastAsia="en-US"/>
    </w:rPr>
  </w:style>
  <w:style w:type="character" w:styleId="EndnoteReference">
    <w:name w:val="endnote reference"/>
    <w:uiPriority w:val="99"/>
    <w:semiHidden/>
    <w:unhideWhenUsed/>
    <w:qFormat/>
    <w:rsid w:val="003A7791"/>
    <w:rPr>
      <w:vertAlign w:val="superscript"/>
    </w:rPr>
  </w:style>
  <w:style w:type="paragraph" w:styleId="EndnoteText">
    <w:name w:val="endnote text"/>
    <w:link w:val="EndnoteTextChar"/>
    <w:uiPriority w:val="99"/>
    <w:semiHidden/>
    <w:unhideWhenUsed/>
    <w:qFormat/>
    <w:rsid w:val="003A7791"/>
    <w:rPr>
      <w:lang w:val="en-US" w:eastAsia="en-US"/>
    </w:rPr>
  </w:style>
  <w:style w:type="character" w:customStyle="1" w:styleId="EndnoteTextChar">
    <w:name w:val="Endnote Text Char"/>
    <w:basedOn w:val="DefaultParagraphFont"/>
    <w:link w:val="EndnoteText"/>
    <w:uiPriority w:val="99"/>
    <w:semiHidden/>
    <w:qFormat/>
    <w:rsid w:val="003A7791"/>
    <w:rPr>
      <w:lang w:val="en-US" w:eastAsia="en-US"/>
    </w:rPr>
  </w:style>
  <w:style w:type="character" w:styleId="FootnoteReference">
    <w:name w:val="footnote reference"/>
    <w:uiPriority w:val="99"/>
    <w:semiHidden/>
    <w:unhideWhenUsed/>
    <w:rsid w:val="003A7791"/>
    <w:rPr>
      <w:vertAlign w:val="superscript"/>
    </w:rPr>
  </w:style>
  <w:style w:type="paragraph" w:styleId="FootnoteText">
    <w:name w:val="footnote text"/>
    <w:link w:val="FootnoteTextChar"/>
    <w:uiPriority w:val="99"/>
    <w:semiHidden/>
    <w:unhideWhenUsed/>
    <w:qFormat/>
    <w:rsid w:val="003A7791"/>
    <w:rPr>
      <w:lang w:val="en-US" w:eastAsia="en-US"/>
    </w:rPr>
  </w:style>
  <w:style w:type="character" w:customStyle="1" w:styleId="FootnoteTextChar">
    <w:name w:val="Footnote Text Char"/>
    <w:basedOn w:val="DefaultParagraphFont"/>
    <w:link w:val="FootnoteText"/>
    <w:uiPriority w:val="99"/>
    <w:semiHidden/>
    <w:rsid w:val="003A7791"/>
    <w:rPr>
      <w:lang w:val="en-US" w:eastAsia="en-US"/>
    </w:rPr>
  </w:style>
  <w:style w:type="paragraph" w:styleId="Title">
    <w:name w:val="Title"/>
    <w:link w:val="TitleChar"/>
    <w:uiPriority w:val="10"/>
    <w:qFormat/>
    <w:rsid w:val="003A7791"/>
    <w:rPr>
      <w:sz w:val="56"/>
      <w:szCs w:val="56"/>
      <w:lang w:val="en-US" w:eastAsia="en-US"/>
    </w:rPr>
  </w:style>
  <w:style w:type="character" w:customStyle="1" w:styleId="TitleChar">
    <w:name w:val="Title Char"/>
    <w:basedOn w:val="DefaultParagraphFont"/>
    <w:link w:val="Title"/>
    <w:uiPriority w:val="10"/>
    <w:rsid w:val="003A7791"/>
    <w:rPr>
      <w:sz w:val="56"/>
      <w:szCs w:val="56"/>
      <w:lang w:val="en-US" w:eastAsia="en-US"/>
    </w:rPr>
  </w:style>
  <w:style w:type="paragraph" w:styleId="TOC1">
    <w:name w:val="toc 1"/>
    <w:basedOn w:val="Normal"/>
    <w:next w:val="Normal"/>
    <w:autoRedefine/>
    <w:uiPriority w:val="39"/>
    <w:unhideWhenUsed/>
    <w:qFormat/>
    <w:rsid w:val="003A7791"/>
    <w:pPr>
      <w:spacing w:after="100"/>
    </w:pPr>
    <w:rPr>
      <w:sz w:val="24"/>
      <w:szCs w:val="24"/>
      <w:lang w:val="en-US"/>
    </w:rPr>
  </w:style>
  <w:style w:type="paragraph" w:styleId="TOC2">
    <w:name w:val="toc 2"/>
    <w:basedOn w:val="Normal"/>
    <w:next w:val="Normal"/>
    <w:autoRedefine/>
    <w:uiPriority w:val="39"/>
    <w:unhideWhenUsed/>
    <w:qFormat/>
    <w:rsid w:val="003A7791"/>
    <w:pPr>
      <w:spacing w:after="100"/>
      <w:ind w:left="240"/>
    </w:pPr>
    <w:rPr>
      <w:sz w:val="24"/>
      <w:szCs w:val="24"/>
      <w:lang w:val="en-US"/>
    </w:rPr>
  </w:style>
  <w:style w:type="paragraph" w:styleId="TOC3">
    <w:name w:val="toc 3"/>
    <w:basedOn w:val="Normal"/>
    <w:next w:val="Normal"/>
    <w:autoRedefine/>
    <w:uiPriority w:val="39"/>
    <w:unhideWhenUsed/>
    <w:qFormat/>
    <w:rsid w:val="003A7791"/>
    <w:pPr>
      <w:spacing w:after="100"/>
      <w:ind w:left="480"/>
    </w:pPr>
    <w:rPr>
      <w:sz w:val="24"/>
      <w:szCs w:val="24"/>
      <w:lang w:val="en-US"/>
    </w:rPr>
  </w:style>
  <w:style w:type="paragraph" w:customStyle="1" w:styleId="Strong1">
    <w:name w:val="Strong1"/>
    <w:qFormat/>
    <w:rsid w:val="003A7791"/>
    <w:rPr>
      <w:b/>
      <w:bCs/>
      <w:sz w:val="24"/>
      <w:szCs w:val="24"/>
      <w:lang w:val="en-US" w:eastAsia="en-US"/>
    </w:rPr>
  </w:style>
  <w:style w:type="paragraph" w:customStyle="1" w:styleId="TOCHeading1">
    <w:name w:val="TOC Heading1"/>
    <w:basedOn w:val="Heading1"/>
    <w:next w:val="Normal"/>
    <w:uiPriority w:val="39"/>
    <w:unhideWhenUsed/>
    <w:qFormat/>
    <w:rsid w:val="003A7791"/>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Caption">
    <w:name w:val="caption"/>
    <w:basedOn w:val="Normal"/>
    <w:next w:val="Normal"/>
    <w:uiPriority w:val="35"/>
    <w:unhideWhenUsed/>
    <w:qFormat/>
    <w:rsid w:val="00D5224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introduction-of-carbon-border-adjustment-mechanism/carbon-border-adjustment-mechanism" TargetMode="External"/><Relationship Id="rId21" Type="http://schemas.openxmlformats.org/officeDocument/2006/relationships/hyperlink" Target="https://www.europarl.europa.eu/RegData/etudes/BRIE/2020/603501/EXPO_BRI(2020)603501_EN.pdf" TargetMode="External"/><Relationship Id="rId42" Type="http://schemas.openxmlformats.org/officeDocument/2006/relationships/hyperlink" Target="https://www.gov.uk/government/consultations/input-into-the-steel-strategy/the-steel-strategy-the-plan-for-steel" TargetMode="External"/><Relationship Id="rId47" Type="http://schemas.openxmlformats.org/officeDocument/2006/relationships/hyperlink" Target="https://nblformosapublisher.org/index.php/ijbae/article/view/568/975" TargetMode="External"/><Relationship Id="rId63" Type="http://schemas.openxmlformats.org/officeDocument/2006/relationships/hyperlink" Target="https://www.nature.com/articles/s41599-025-05401-x" TargetMode="External"/><Relationship Id="rId68" Type="http://schemas.openxmlformats.org/officeDocument/2006/relationships/hyperlink" Target="https://ppp.worldbank.org/sites/default/files/2023-10/State%20and%20Trends%20of%20Carbon%20Pricing%202023.pdf" TargetMode="External"/><Relationship Id="rId2" Type="http://schemas.openxmlformats.org/officeDocument/2006/relationships/numbering" Target="numbering.xml"/><Relationship Id="rId16" Type="http://schemas.openxmlformats.org/officeDocument/2006/relationships/hyperlink" Target="https://www.deloitte.com/global/en/industries/energy/perspectives/decarbonizing-the-steel-value-chain.html" TargetMode="External"/><Relationship Id="rId29" Type="http://schemas.openxmlformats.org/officeDocument/2006/relationships/hyperlink" Target="https://newclimate.org/sites/default/files/2023-01/steel_sector_05_12.pdf" TargetMode="External"/><Relationship Id="rId11" Type="http://schemas.openxmlformats.org/officeDocument/2006/relationships/hyperlink" Target="https://assets.publishing.service.gov.uk/media/63e13a4ad3bf7f172b673738/23-cs2-_Construction_Building_Materials_-_Commentary_January_2023.pdf" TargetMode="External"/><Relationship Id="rId24" Type="http://schemas.openxmlformats.org/officeDocument/2006/relationships/hyperlink" Target="https://green-alliance.org.uk/" TargetMode="External"/><Relationship Id="rId32" Type="http://schemas.openxmlformats.org/officeDocument/2006/relationships/hyperlink" Target="https://oneclicklca.com/en/resources/articles/uk-cbam-updated-guide-for-professionals" TargetMode="External"/><Relationship Id="rId37" Type="http://schemas.openxmlformats.org/officeDocument/2006/relationships/hyperlink" Target="https://www.neccontract.com/getmedia/927fb0b0-eab4-406d-895e-7e3f14b4627a/NEC4_FAC-1-Guidance-Notes.pdf?ext=.pdf&amp;srsltid=AfmBOooPY12qgJG6qIlTzuIkrdkDlwLBVVerYCxOMHjLMtf3-VH0gufE" TargetMode="External"/><Relationship Id="rId40" Type="http://schemas.openxmlformats.org/officeDocument/2006/relationships/hyperlink" Target="https://www.gov.uk/government/publications/steel-public-procurement-2023" TargetMode="External"/><Relationship Id="rId45" Type="http://schemas.openxmlformats.org/officeDocument/2006/relationships/hyperlink" Target="https://www.researchgate.net/publication/358910285_A_framework_for_specifying_low-carbon_construction_materials_in_government_procurement_A_case_study_for_concrete_in_a_new_building_investment" TargetMode="External"/><Relationship Id="rId53" Type="http://schemas.openxmlformats.org/officeDocument/2006/relationships/hyperlink" Target="https://www.researchgate.net/publication/384629745_Paving_the_way_for_lowering_embodied_carbon_emissions_in_the_building_and_construction_sector" TargetMode="External"/><Relationship Id="rId58" Type="http://schemas.openxmlformats.org/officeDocument/2006/relationships/hyperlink" Target="https://www.researchgate.net/publication/400882783_Designing_global_supply_chain_network_under_carbon_border_adjustment_mechanism_for_low-carbon_economy" TargetMode="External"/><Relationship Id="rId66" Type="http://schemas.openxmlformats.org/officeDocument/2006/relationships/hyperlink" Target="https://pmc.ncbi.nlm.nih.gov/articles/PMC11103534/"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researchgate.net/publication/389471723_Global_steel_decarbonisation_roadmaps_Near-zero_by_2050" TargetMode="External"/><Relationship Id="rId19" Type="http://schemas.openxmlformats.org/officeDocument/2006/relationships/hyperlink" Target="https://www.e3g.org/publications/growing-clean-steel-in-the-uk/" TargetMode="External"/><Relationship Id="rId14" Type="http://schemas.openxmlformats.org/officeDocument/2006/relationships/hyperlink" Target="https://www.constructionleadershipcouncil.co.uk/wp-content/uploads/2024/03/CLC-Bi_Annual-Review_V3a.pdf" TargetMode="External"/><Relationship Id="rId22" Type="http://schemas.openxmlformats.org/officeDocument/2006/relationships/hyperlink" Target="https://www.europarl.europa.eu/RegData/etudes/ATAG/2022/729462/EPRS_ATA(2022)729462_EN.pdf" TargetMode="External"/><Relationship Id="rId27" Type="http://schemas.openxmlformats.org/officeDocument/2006/relationships/hyperlink" Target="https://commonslibrary.parliament.uk/research-briefings/cbp-7317/" TargetMode="External"/><Relationship Id="rId30" Type="http://schemas.openxmlformats.org/officeDocument/2006/relationships/hyperlink" Target="https://www.nortonrosefulbright.com/en/knowledge/publications/a3a42bda/uk-carbon-border-adjustment-mechanism" TargetMode="External"/><Relationship Id="rId35" Type="http://schemas.openxmlformats.org/officeDocument/2006/relationships/hyperlink" Target="https://www.rics.org/content/dam/ricsglobal/documents/reports/rics-sustainability-report-2023-final.pdf" TargetMode="External"/><Relationship Id="rId43" Type="http://schemas.openxmlformats.org/officeDocument/2006/relationships/hyperlink" Target="https://decarbonization.unido.org/projects/iddi/" TargetMode="External"/><Relationship Id="rId48" Type="http://schemas.openxmlformats.org/officeDocument/2006/relationships/hyperlink" Target="https://ideas.repec.org/a/anr/reveco/v15y2023p389-424.html" TargetMode="External"/><Relationship Id="rId56" Type="http://schemas.openxmlformats.org/officeDocument/2006/relationships/hyperlink" Target="https://researchprofiles.herts.ac.uk/en/publications/a-comparative-review-of-material-supply-chains-and-sustainability/" TargetMode="External"/><Relationship Id="rId64" Type="http://schemas.openxmlformats.org/officeDocument/2006/relationships/hyperlink" Target="https://www.tandfonline.com/doi/full/10.1080/17583004.2025.2499090" TargetMode="External"/><Relationship Id="rId69" Type="http://schemas.openxmlformats.org/officeDocument/2006/relationships/hyperlink" Target="https://www.weforum.org/stories/2025/12/eu-cbam-impact-business-carbon-pricing-landscape/" TargetMode="External"/><Relationship Id="rId8" Type="http://schemas.openxmlformats.org/officeDocument/2006/relationships/image" Target="media/image1.png"/><Relationship Id="rId51" Type="http://schemas.openxmlformats.org/officeDocument/2006/relationships/hyperlink" Target="https://ideas.repec.org/a/eee/transe/v197y2025ics1366554525000821.html"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bcg.com/publications/2023/how-cbam-will-reshape-the-global-trading-system" TargetMode="External"/><Relationship Id="rId17" Type="http://schemas.openxmlformats.org/officeDocument/2006/relationships/hyperlink" Target="https://www.deloitte.com/uk/en/about/governance/annual-review-2024.html" TargetMode="External"/><Relationship Id="rId25" Type="http://schemas.openxmlformats.org/officeDocument/2006/relationships/hyperlink" Target="https://www.gov.uk/government/publications/introduction-of-carbon-border-adjustment-mechanism/carbon-border-adjustment-mechanism" TargetMode="External"/><Relationship Id="rId33" Type="http://schemas.openxmlformats.org/officeDocument/2006/relationships/hyperlink" Target="https://www.ons.gov.uk/releases/constructionstatisticsgreatbritain2024" TargetMode="External"/><Relationship Id="rId38" Type="http://schemas.openxmlformats.org/officeDocument/2006/relationships/hyperlink" Target="https://www.tunley-environmental.com/en/insights/cbam-implementation-in-supply-chain" TargetMode="External"/><Relationship Id="rId46" Type="http://schemas.openxmlformats.org/officeDocument/2006/relationships/hyperlink" Target="https://papers.ssrn.com/sol3/papers.cfm?abstract_id=5672431" TargetMode="External"/><Relationship Id="rId59" Type="http://schemas.openxmlformats.org/officeDocument/2006/relationships/hyperlink" Target="https://ideas.repec.org/a/spr/endesu/v27y2025i12d10.1007_s10668-024-04941-7.html" TargetMode="External"/><Relationship Id="rId67" Type="http://schemas.openxmlformats.org/officeDocument/2006/relationships/hyperlink" Target="https://www.theccc.org.uk/wp-content/uploads/2019/08/Vivid-Economics-The-Future-of-Carbon-Pricing-in-the-UK.pdf" TargetMode="External"/><Relationship Id="rId20" Type="http://schemas.openxmlformats.org/officeDocument/2006/relationships/hyperlink" Target="https://taxation-customs.ec.europa.eu/carbon-border-adjustment-mechanism_en" TargetMode="External"/><Relationship Id="rId41" Type="http://schemas.openxmlformats.org/officeDocument/2006/relationships/hyperlink" Target="https://www.gov.uk/government/publications/factsheet-carbon-border-adjustment-mechanism-cbam/factsheet-carbon-border-adjustment-mechanism" TargetMode="External"/><Relationship Id="rId54" Type="http://schemas.openxmlformats.org/officeDocument/2006/relationships/hyperlink" Target="https://link.springer.com/article/10.1007/s10668-025-06090-x" TargetMode="External"/><Relationship Id="rId62" Type="http://schemas.openxmlformats.org/officeDocument/2006/relationships/hyperlink" Target="https://www.researchgate.net/publication/380781473_Green_supply_chain_for_steel_raw_materials_under_price_and_demand_uncertainty" TargetMode="External"/><Relationship Id="rId70" Type="http://schemas.openxmlformats.org/officeDocument/2006/relationships/hyperlink" Target="https://www.wri.org/insights/green-procurement-initiativ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uk/government/publications/greening-government-commitments-2021-to-2025/greening-government-commitments-2021-to-2025" TargetMode="External"/><Relationship Id="rId23" Type="http://schemas.openxmlformats.org/officeDocument/2006/relationships/hyperlink" Target="https://green-alliance.org.uk/wp-content/uploads/2023/08/A-brighter-future-for-UK-steel.pdf" TargetMode="External"/><Relationship Id="rId28" Type="http://schemas.openxmlformats.org/officeDocument/2006/relationships/hyperlink" Target="https://www.mckinsey.com/capabilities/sustainability/our-insights/the-net-zero-transition-what-it-would-cost-what-it-could-bring" TargetMode="External"/><Relationship Id="rId36" Type="http://schemas.openxmlformats.org/officeDocument/2006/relationships/hyperlink" Target="https://www.tatasteel.com/newsroom/press-releases/india/2025/tata-group-chairman-n-chandrasekaran-marks-groundbreaking-of-new-electric-arc-furnace-at-port-talbot/" TargetMode="External"/><Relationship Id="rId49" Type="http://schemas.openxmlformats.org/officeDocument/2006/relationships/hyperlink" Target="https://hbem.org/index.php/OJS/article/view/656" TargetMode="External"/><Relationship Id="rId57" Type="http://schemas.openxmlformats.org/officeDocument/2006/relationships/hyperlink" Target="https://openaccessojs.com/JBReview/article/view/5666" TargetMode="External"/><Relationship Id="rId10" Type="http://schemas.openxmlformats.org/officeDocument/2006/relationships/hyperlink" Target="https://assets.publishing.service.gov.uk/media/6051cd04e90e07527f645f1e/Industrial_Decarbonisation_Strategy_March_2021.pdf" TargetMode="External"/><Relationship Id="rId31" Type="http://schemas.openxmlformats.org/officeDocument/2006/relationships/hyperlink" Target="https://www.oecd.org/en/publications/what-to-expect-from-the-eu-carbon-border-adjustment-mechanism_719d2ff9-en.html" TargetMode="External"/><Relationship Id="rId44" Type="http://schemas.openxmlformats.org/officeDocument/2006/relationships/hyperlink" Target="https://ukgbc.org/resources/net-zero-carbon-buildings-framework/" TargetMode="External"/><Relationship Id="rId52" Type="http://schemas.openxmlformats.org/officeDocument/2006/relationships/hyperlink" Target="https://www.researchgate.net/publication/381133137_Multinational_firms_and_sustainability_in_global_supply_chains_scope_and_boundaries_of_responsibility" TargetMode="External"/><Relationship Id="rId60" Type="http://schemas.openxmlformats.org/officeDocument/2006/relationships/hyperlink" Target="https://www.researchgate.net/publication/397608123_Exports_or_foreign_direct_investment_A_multinational_firm's_production_decision_under_carbon_border_adjustment_mechanism" TargetMode="External"/><Relationship Id="rId65" Type="http://schemas.openxmlformats.org/officeDocument/2006/relationships/hyperlink" Target="https://www.tandfonline.com/doi/full/10.1080/1523908X.2025.2591794"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carbontracker.org/" TargetMode="External"/><Relationship Id="rId18" Type="http://schemas.openxmlformats.org/officeDocument/2006/relationships/hyperlink" Target="https://assets.publishing.service.gov.uk/media/68c449597596dbfa052bff4a/desnz-annual-report-and-accounts-2024-2025-print-ready.pdf" TargetMode="External"/><Relationship Id="rId39" Type="http://schemas.openxmlformats.org/officeDocument/2006/relationships/hyperlink" Target="https://www.gov.uk/government/consultations/growing-the-market-for-low-carbon-industrial-products-policy-framework/outcome/a-policy-framework-to-grow-the-market-for-low-carbon-industrial-products-government-response-factsheet" TargetMode="External"/><Relationship Id="rId34" Type="http://schemas.openxmlformats.org/officeDocument/2006/relationships/hyperlink" Target="https://www.pwc.com/gx/en/issues/business-model-reinvention/how-we-fuel-and-power/sustainable-energy-infrastructure/blueprint-for-sourcing-green-building-materials.html" TargetMode="External"/><Relationship Id="rId50" Type="http://schemas.openxmlformats.org/officeDocument/2006/relationships/hyperlink" Target="https://www.sciencedirect.com/science/article/pii/S2405844024070075" TargetMode="External"/><Relationship Id="rId55" Type="http://schemas.openxmlformats.org/officeDocument/2006/relationships/hyperlink" Target="https://ideas.repec.org/a/eee/eneeco/v142y2025ics014098832400848x.html" TargetMode="External"/><Relationship Id="rId7" Type="http://schemas.openxmlformats.org/officeDocument/2006/relationships/endnotes" Target="endnote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F2202F-5EE3-4EC0-B216-CBAAD84DC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28173</Words>
  <Characters>160592</Characters>
  <Application>Microsoft Office Word</Application>
  <DocSecurity>0</DocSecurity>
  <Lines>1338</Lines>
  <Paragraphs>376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2026-06-05T21:41:00Z</dcterms:created>
  <dcterms:modified xsi:type="dcterms:W3CDTF">2026-06-05T21:41:00Z</dcterms:modified>
</cp:coreProperties>
</file>