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570DC" w14:textId="77777777" w:rsidR="000F228F" w:rsidRPr="00EB26B2" w:rsidRDefault="003265B2">
      <w:pPr>
        <w:jc w:val="center"/>
        <w:rPr>
          <w:rStyle w:val="markedcontent"/>
          <w:rFonts w:cs="Times New Roman"/>
          <w:b/>
          <w:bCs/>
          <w:sz w:val="44"/>
          <w:szCs w:val="44"/>
        </w:rPr>
      </w:pPr>
      <w:r w:rsidRPr="00EB26B2">
        <w:rPr>
          <w:rStyle w:val="markedcontent"/>
          <w:rFonts w:cs="Times New Roman"/>
          <w:b/>
          <w:bCs/>
          <w:sz w:val="44"/>
          <w:szCs w:val="44"/>
        </w:rPr>
        <w:t>International Financial Management</w:t>
      </w:r>
    </w:p>
    <w:p w14:paraId="2F4AFD5F" w14:textId="77777777" w:rsidR="00EB26B2" w:rsidRPr="00EB26B2" w:rsidRDefault="003265B2">
      <w:pPr>
        <w:jc w:val="center"/>
        <w:rPr>
          <w:rStyle w:val="markedcontent"/>
          <w:rFonts w:cs="Times New Roman"/>
          <w:b/>
          <w:bCs/>
          <w:sz w:val="44"/>
          <w:szCs w:val="44"/>
        </w:rPr>
      </w:pPr>
      <w:r w:rsidRPr="00EB26B2">
        <w:rPr>
          <w:rStyle w:val="markedcontent"/>
          <w:rFonts w:cs="Times New Roman"/>
          <w:b/>
          <w:bCs/>
          <w:sz w:val="44"/>
          <w:szCs w:val="44"/>
        </w:rPr>
        <w:t xml:space="preserve">LCBB6002 </w:t>
      </w:r>
    </w:p>
    <w:p w14:paraId="372D3BEB" w14:textId="77777777" w:rsidR="00EB26B2" w:rsidRPr="00EB26B2" w:rsidRDefault="00EB26B2">
      <w:pPr>
        <w:jc w:val="center"/>
        <w:rPr>
          <w:rStyle w:val="markedcontent"/>
          <w:rFonts w:cs="Times New Roman"/>
          <w:b/>
          <w:bCs/>
          <w:sz w:val="44"/>
          <w:szCs w:val="44"/>
        </w:rPr>
      </w:pPr>
    </w:p>
    <w:p w14:paraId="564C5584" w14:textId="77777777" w:rsidR="00EB26B2" w:rsidRDefault="00EB26B2">
      <w:pPr>
        <w:jc w:val="center"/>
        <w:rPr>
          <w:rStyle w:val="markedcontent"/>
          <w:rFonts w:cs="Times New Roman"/>
          <w:b/>
          <w:bCs/>
          <w:sz w:val="32"/>
          <w:szCs w:val="32"/>
        </w:rPr>
      </w:pPr>
    </w:p>
    <w:p w14:paraId="59C8C74F" w14:textId="77777777" w:rsidR="00EB26B2" w:rsidRDefault="00EB26B2">
      <w:pPr>
        <w:jc w:val="center"/>
        <w:rPr>
          <w:rStyle w:val="markedcontent"/>
          <w:rFonts w:cs="Times New Roman"/>
          <w:b/>
          <w:bCs/>
          <w:sz w:val="32"/>
          <w:szCs w:val="32"/>
        </w:rPr>
      </w:pPr>
    </w:p>
    <w:p w14:paraId="4FF0ECFE" w14:textId="1C6F79BB" w:rsidR="00EB26B2" w:rsidRDefault="00EB26B2">
      <w:pPr>
        <w:jc w:val="center"/>
        <w:rPr>
          <w:rStyle w:val="markedcontent"/>
          <w:rFonts w:cs="Times New Roman"/>
          <w:b/>
          <w:bCs/>
          <w:sz w:val="32"/>
          <w:szCs w:val="32"/>
        </w:rPr>
      </w:pPr>
    </w:p>
    <w:p w14:paraId="7B9DCBA1" w14:textId="6F99D160" w:rsidR="0083019E" w:rsidRDefault="0083019E">
      <w:pPr>
        <w:jc w:val="center"/>
        <w:rPr>
          <w:rStyle w:val="markedcontent"/>
          <w:rFonts w:cs="Times New Roman"/>
          <w:b/>
          <w:bCs/>
          <w:sz w:val="32"/>
          <w:szCs w:val="32"/>
        </w:rPr>
      </w:pPr>
    </w:p>
    <w:p w14:paraId="7B0253AC" w14:textId="77777777" w:rsidR="0083019E" w:rsidRDefault="0083019E">
      <w:pPr>
        <w:jc w:val="center"/>
        <w:rPr>
          <w:rStyle w:val="markedcontent"/>
          <w:rFonts w:cs="Times New Roman"/>
          <w:b/>
          <w:bCs/>
          <w:sz w:val="32"/>
          <w:szCs w:val="32"/>
        </w:rPr>
      </w:pPr>
    </w:p>
    <w:p w14:paraId="447A5822" w14:textId="77777777" w:rsidR="00EB26B2" w:rsidRDefault="00EB26B2">
      <w:pPr>
        <w:jc w:val="center"/>
        <w:rPr>
          <w:rStyle w:val="markedcontent"/>
          <w:rFonts w:cs="Times New Roman"/>
          <w:b/>
          <w:bCs/>
          <w:sz w:val="32"/>
          <w:szCs w:val="32"/>
        </w:rPr>
      </w:pPr>
    </w:p>
    <w:p w14:paraId="5B8BD474" w14:textId="77777777" w:rsidR="00EB26B2" w:rsidRDefault="00EB26B2">
      <w:pPr>
        <w:jc w:val="center"/>
        <w:rPr>
          <w:rStyle w:val="markedcontent"/>
          <w:rFonts w:cs="Times New Roman"/>
          <w:b/>
          <w:bCs/>
          <w:sz w:val="32"/>
          <w:szCs w:val="32"/>
        </w:rPr>
      </w:pPr>
    </w:p>
    <w:p w14:paraId="3979DAA6" w14:textId="77777777" w:rsidR="00EB26B2" w:rsidRDefault="00EB26B2">
      <w:pPr>
        <w:jc w:val="center"/>
        <w:rPr>
          <w:rStyle w:val="markedcontent"/>
          <w:rFonts w:cs="Times New Roman"/>
          <w:b/>
          <w:bCs/>
          <w:sz w:val="32"/>
          <w:szCs w:val="32"/>
        </w:rPr>
      </w:pPr>
    </w:p>
    <w:p w14:paraId="068798FE" w14:textId="1E623AE3" w:rsidR="000F228F" w:rsidRPr="00EB26B2" w:rsidRDefault="003265B2" w:rsidP="00EB26B2">
      <w:pPr>
        <w:jc w:val="left"/>
        <w:rPr>
          <w:rStyle w:val="markedcontent"/>
          <w:rFonts w:cs="Times New Roman"/>
          <w:b/>
          <w:bCs/>
          <w:sz w:val="40"/>
          <w:szCs w:val="40"/>
        </w:rPr>
      </w:pPr>
      <w:r>
        <w:rPr>
          <w:rStyle w:val="markedcontent"/>
          <w:rFonts w:cs="Times New Roman"/>
          <w:b/>
          <w:bCs/>
        </w:rPr>
        <w:br/>
      </w:r>
      <w:r w:rsidRPr="00EB26B2">
        <w:rPr>
          <w:rStyle w:val="markedcontent"/>
          <w:rFonts w:cs="Times New Roman"/>
          <w:b/>
          <w:bCs/>
          <w:sz w:val="40"/>
          <w:szCs w:val="40"/>
        </w:rPr>
        <w:t>Student Name:</w:t>
      </w:r>
      <w:r w:rsidR="00EB26B2" w:rsidRPr="00EB26B2">
        <w:rPr>
          <w:rStyle w:val="markedcontent"/>
          <w:rFonts w:cs="Times New Roman"/>
          <w:b/>
          <w:bCs/>
          <w:sz w:val="40"/>
          <w:szCs w:val="40"/>
        </w:rPr>
        <w:t xml:space="preserve"> MIHAELA DODOC</w:t>
      </w:r>
    </w:p>
    <w:p w14:paraId="1B04FF6C" w14:textId="0AEC19AB" w:rsidR="000F228F" w:rsidRPr="00EB26B2" w:rsidRDefault="003265B2" w:rsidP="00EB26B2">
      <w:pPr>
        <w:jc w:val="left"/>
        <w:rPr>
          <w:rStyle w:val="markedcontent"/>
          <w:rFonts w:cs="Times New Roman"/>
          <w:b/>
          <w:bCs/>
          <w:sz w:val="40"/>
          <w:szCs w:val="40"/>
        </w:rPr>
      </w:pPr>
      <w:r w:rsidRPr="00EB26B2">
        <w:rPr>
          <w:rStyle w:val="markedcontent"/>
          <w:rFonts w:cs="Times New Roman"/>
          <w:b/>
          <w:bCs/>
          <w:sz w:val="40"/>
          <w:szCs w:val="40"/>
        </w:rPr>
        <w:t>ID:</w:t>
      </w:r>
      <w:r w:rsidR="00EB26B2" w:rsidRPr="00EB26B2">
        <w:rPr>
          <w:rStyle w:val="markedcontent"/>
          <w:rFonts w:cs="Times New Roman"/>
          <w:b/>
          <w:bCs/>
          <w:sz w:val="40"/>
          <w:szCs w:val="40"/>
        </w:rPr>
        <w:t xml:space="preserve"> 2022006</w:t>
      </w:r>
    </w:p>
    <w:p w14:paraId="29C7A016" w14:textId="77777777" w:rsidR="000F228F" w:rsidRDefault="003265B2">
      <w:pPr>
        <w:spacing w:after="160" w:line="259" w:lineRule="auto"/>
        <w:jc w:val="left"/>
        <w:rPr>
          <w:rFonts w:eastAsiaTheme="majorEastAsia" w:cstheme="majorBidi"/>
          <w:b/>
          <w:sz w:val="28"/>
          <w:szCs w:val="40"/>
        </w:rPr>
      </w:pPr>
      <w:r>
        <w:br w:type="page"/>
      </w:r>
    </w:p>
    <w:sdt>
      <w:sdtPr>
        <w:rPr>
          <w:rFonts w:ascii="Times New Roman" w:eastAsiaTheme="minorHAnsi" w:hAnsi="Times New Roman" w:cs="Shonar Bangla"/>
          <w:color w:val="auto"/>
          <w:sz w:val="24"/>
          <w:szCs w:val="28"/>
          <w:lang w:val="en-GB" w:bidi="bn-BD"/>
        </w:rPr>
        <w:id w:val="-1123998747"/>
        <w:docPartObj>
          <w:docPartGallery w:val="Table of Contents"/>
          <w:docPartUnique/>
        </w:docPartObj>
      </w:sdtPr>
      <w:sdtEndPr>
        <w:rPr>
          <w:b/>
          <w:bCs/>
        </w:rPr>
      </w:sdtEndPr>
      <w:sdtContent>
        <w:p w14:paraId="6A553B44" w14:textId="77777777" w:rsidR="000F228F" w:rsidRDefault="003265B2">
          <w:pPr>
            <w:pStyle w:val="TOCHeading1"/>
          </w:pPr>
          <w:r>
            <w:t>Table of Contents</w:t>
          </w:r>
        </w:p>
        <w:p w14:paraId="62CF8049" w14:textId="77777777" w:rsidR="000F228F" w:rsidRDefault="003265B2">
          <w:pPr>
            <w:pStyle w:val="TOC1"/>
            <w:tabs>
              <w:tab w:val="right" w:leader="dot" w:pos="9016"/>
            </w:tabs>
          </w:pPr>
          <w:r>
            <w:fldChar w:fldCharType="begin"/>
          </w:r>
          <w:r>
            <w:instrText xml:space="preserve"> TOC \o "1-3" \h \z \u </w:instrText>
          </w:r>
          <w:r>
            <w:fldChar w:fldCharType="separate"/>
          </w:r>
          <w:hyperlink w:anchor="_Toc133272455" w:history="1">
            <w:r>
              <w:rPr>
                <w:rStyle w:val="Hyperlink"/>
              </w:rPr>
              <w:t>Introduction</w:t>
            </w:r>
            <w:r>
              <w:tab/>
            </w:r>
            <w:r>
              <w:fldChar w:fldCharType="begin"/>
            </w:r>
            <w:r>
              <w:instrText xml:space="preserve"> PAGEREF _Toc133272455 \h </w:instrText>
            </w:r>
            <w:r>
              <w:fldChar w:fldCharType="separate"/>
            </w:r>
            <w:r>
              <w:t>3</w:t>
            </w:r>
            <w:r>
              <w:fldChar w:fldCharType="end"/>
            </w:r>
          </w:hyperlink>
        </w:p>
        <w:p w14:paraId="4D794F87" w14:textId="77777777" w:rsidR="000F228F" w:rsidRDefault="00000000">
          <w:pPr>
            <w:pStyle w:val="TOC1"/>
            <w:tabs>
              <w:tab w:val="right" w:leader="dot" w:pos="9016"/>
            </w:tabs>
          </w:pPr>
          <w:hyperlink w:anchor="_Toc133272456" w:history="1">
            <w:r w:rsidR="003265B2">
              <w:rPr>
                <w:rStyle w:val="Hyperlink"/>
              </w:rPr>
              <w:t>Dividend distribution policy of Nestle</w:t>
            </w:r>
            <w:r w:rsidR="003265B2">
              <w:tab/>
            </w:r>
            <w:r w:rsidR="003265B2">
              <w:fldChar w:fldCharType="begin"/>
            </w:r>
            <w:r w:rsidR="003265B2">
              <w:instrText xml:space="preserve"> PAGEREF _Toc133272456 \h </w:instrText>
            </w:r>
            <w:r w:rsidR="003265B2">
              <w:fldChar w:fldCharType="separate"/>
            </w:r>
            <w:r w:rsidR="003265B2">
              <w:t>4</w:t>
            </w:r>
            <w:r w:rsidR="003265B2">
              <w:fldChar w:fldCharType="end"/>
            </w:r>
          </w:hyperlink>
        </w:p>
        <w:p w14:paraId="41ECD42C" w14:textId="77777777" w:rsidR="000F228F" w:rsidRDefault="00000000">
          <w:pPr>
            <w:pStyle w:val="TOC2"/>
            <w:tabs>
              <w:tab w:val="right" w:leader="dot" w:pos="9016"/>
            </w:tabs>
          </w:pPr>
          <w:hyperlink w:anchor="_Toc133272457" w:history="1">
            <w:r w:rsidR="003265B2">
              <w:rPr>
                <w:rStyle w:val="Hyperlink"/>
              </w:rPr>
              <w:t>Challenges in International Financial Markets</w:t>
            </w:r>
            <w:r w:rsidR="003265B2">
              <w:tab/>
            </w:r>
            <w:r w:rsidR="003265B2">
              <w:fldChar w:fldCharType="begin"/>
            </w:r>
            <w:r w:rsidR="003265B2">
              <w:instrText xml:space="preserve"> PAGEREF _Toc133272457 \h </w:instrText>
            </w:r>
            <w:r w:rsidR="003265B2">
              <w:fldChar w:fldCharType="separate"/>
            </w:r>
            <w:r w:rsidR="003265B2">
              <w:t>5</w:t>
            </w:r>
            <w:r w:rsidR="003265B2">
              <w:fldChar w:fldCharType="end"/>
            </w:r>
          </w:hyperlink>
        </w:p>
        <w:p w14:paraId="35946591" w14:textId="77777777" w:rsidR="000F228F" w:rsidRDefault="00000000">
          <w:pPr>
            <w:pStyle w:val="TOC1"/>
            <w:tabs>
              <w:tab w:val="right" w:leader="dot" w:pos="9016"/>
            </w:tabs>
          </w:pPr>
          <w:hyperlink w:anchor="_Toc133272458" w:history="1">
            <w:r w:rsidR="003265B2">
              <w:rPr>
                <w:rStyle w:val="Hyperlink"/>
              </w:rPr>
              <w:t>Market hypothesis theory of Nestle</w:t>
            </w:r>
            <w:r w:rsidR="003265B2">
              <w:tab/>
            </w:r>
            <w:r w:rsidR="003265B2">
              <w:fldChar w:fldCharType="begin"/>
            </w:r>
            <w:r w:rsidR="003265B2">
              <w:instrText xml:space="preserve"> PAGEREF _Toc133272458 \h </w:instrText>
            </w:r>
            <w:r w:rsidR="003265B2">
              <w:fldChar w:fldCharType="separate"/>
            </w:r>
            <w:r w:rsidR="003265B2">
              <w:t>6</w:t>
            </w:r>
            <w:r w:rsidR="003265B2">
              <w:fldChar w:fldCharType="end"/>
            </w:r>
          </w:hyperlink>
        </w:p>
        <w:p w14:paraId="19092D64" w14:textId="77777777" w:rsidR="000F228F" w:rsidRDefault="00000000">
          <w:pPr>
            <w:pStyle w:val="TOC1"/>
            <w:tabs>
              <w:tab w:val="right" w:leader="dot" w:pos="9016"/>
            </w:tabs>
          </w:pPr>
          <w:hyperlink w:anchor="_Toc133272459" w:history="1">
            <w:r w:rsidR="003265B2">
              <w:rPr>
                <w:rStyle w:val="Hyperlink"/>
              </w:rPr>
              <w:t>Methods of appraising projects</w:t>
            </w:r>
            <w:r w:rsidR="003265B2">
              <w:tab/>
            </w:r>
            <w:r w:rsidR="003265B2">
              <w:fldChar w:fldCharType="begin"/>
            </w:r>
            <w:r w:rsidR="003265B2">
              <w:instrText xml:space="preserve"> PAGEREF _Toc133272459 \h </w:instrText>
            </w:r>
            <w:r w:rsidR="003265B2">
              <w:fldChar w:fldCharType="separate"/>
            </w:r>
            <w:r w:rsidR="003265B2">
              <w:t>7</w:t>
            </w:r>
            <w:r w:rsidR="003265B2">
              <w:fldChar w:fldCharType="end"/>
            </w:r>
          </w:hyperlink>
        </w:p>
        <w:p w14:paraId="101F1445" w14:textId="77777777" w:rsidR="000F228F" w:rsidRDefault="00000000">
          <w:pPr>
            <w:pStyle w:val="TOC1"/>
            <w:tabs>
              <w:tab w:val="right" w:leader="dot" w:pos="9016"/>
            </w:tabs>
          </w:pPr>
          <w:hyperlink w:anchor="_Toc133272460" w:history="1">
            <w:r w:rsidR="003265B2">
              <w:rPr>
                <w:rStyle w:val="Hyperlink"/>
              </w:rPr>
              <w:t>Conclusion</w:t>
            </w:r>
            <w:r w:rsidR="003265B2">
              <w:tab/>
            </w:r>
            <w:r w:rsidR="003265B2">
              <w:fldChar w:fldCharType="begin"/>
            </w:r>
            <w:r w:rsidR="003265B2">
              <w:instrText xml:space="preserve"> PAGEREF _Toc133272460 \h </w:instrText>
            </w:r>
            <w:r w:rsidR="003265B2">
              <w:fldChar w:fldCharType="separate"/>
            </w:r>
            <w:r w:rsidR="003265B2">
              <w:t>8</w:t>
            </w:r>
            <w:r w:rsidR="003265B2">
              <w:fldChar w:fldCharType="end"/>
            </w:r>
          </w:hyperlink>
        </w:p>
        <w:p w14:paraId="135964B9" w14:textId="77777777" w:rsidR="000F228F" w:rsidRDefault="00000000">
          <w:pPr>
            <w:pStyle w:val="TOC1"/>
            <w:tabs>
              <w:tab w:val="right" w:leader="dot" w:pos="9016"/>
            </w:tabs>
          </w:pPr>
          <w:hyperlink w:anchor="_Toc133272461" w:history="1">
            <w:r w:rsidR="003265B2">
              <w:rPr>
                <w:rStyle w:val="Hyperlink"/>
              </w:rPr>
              <w:t>References</w:t>
            </w:r>
            <w:r w:rsidR="003265B2">
              <w:tab/>
            </w:r>
            <w:r w:rsidR="003265B2">
              <w:fldChar w:fldCharType="begin"/>
            </w:r>
            <w:r w:rsidR="003265B2">
              <w:instrText xml:space="preserve"> PAGEREF _Toc133272461 \h </w:instrText>
            </w:r>
            <w:r w:rsidR="003265B2">
              <w:fldChar w:fldCharType="separate"/>
            </w:r>
            <w:r w:rsidR="003265B2">
              <w:t>9</w:t>
            </w:r>
            <w:r w:rsidR="003265B2">
              <w:fldChar w:fldCharType="end"/>
            </w:r>
          </w:hyperlink>
        </w:p>
        <w:p w14:paraId="6779D5E3" w14:textId="77777777" w:rsidR="000F228F" w:rsidRDefault="003265B2">
          <w:r>
            <w:rPr>
              <w:b/>
              <w:bCs/>
            </w:rPr>
            <w:fldChar w:fldCharType="end"/>
          </w:r>
        </w:p>
      </w:sdtContent>
    </w:sdt>
    <w:p w14:paraId="480F46A6" w14:textId="77777777" w:rsidR="000F228F" w:rsidRDefault="003265B2">
      <w:pPr>
        <w:spacing w:after="160" w:line="259" w:lineRule="auto"/>
        <w:jc w:val="left"/>
        <w:rPr>
          <w:rFonts w:eastAsiaTheme="majorEastAsia" w:cstheme="majorBidi"/>
          <w:b/>
          <w:sz w:val="28"/>
          <w:szCs w:val="40"/>
        </w:rPr>
      </w:pPr>
      <w:r>
        <w:br w:type="page"/>
      </w:r>
    </w:p>
    <w:p w14:paraId="0D161856" w14:textId="77777777" w:rsidR="000F228F" w:rsidRDefault="003265B2">
      <w:pPr>
        <w:pStyle w:val="Heading1"/>
      </w:pPr>
      <w:bookmarkStart w:id="0" w:name="_Toc133272455"/>
      <w:r>
        <w:lastRenderedPageBreak/>
        <w:t>Introduction</w:t>
      </w:r>
      <w:bookmarkEnd w:id="0"/>
    </w:p>
    <w:p w14:paraId="23B06067" w14:textId="77777777" w:rsidR="000F228F" w:rsidRDefault="003265B2">
      <w:r>
        <w:t>Nestle a multinational company (MNCs) generally count much on IFM- international financial management. In this paper, Nestlé’s general a plan of action the policy of dividends, the concept of efficient markets, and the organization's assessment of initiatives will be analyse IFM in the context of international financial management. Due to its international scope, Nestle must adapt to local financial, political, and legal environments. By controlling its financial assets, minimising risks, and maximising profits, IFM aids Nestle in navigating the intricacies of doing business on a global scale. The impact of Nestle's policy of paying dividends on the company's bottom line is analysed in this research. It also analyses how the effective market hypothesis relates to Nestle's business and how it relates to investment choices. The methodologies Nestle employs for project evaluation are also examined, as is IFM's role in assisting Nestle in making educated investment decisions. The importance of IFM to Nestle's performance as a multinational corporation is emphasised throughout the study.</w:t>
      </w:r>
    </w:p>
    <w:p w14:paraId="406F1BFF" w14:textId="77777777" w:rsidR="000F228F" w:rsidRDefault="003265B2">
      <w:pPr>
        <w:spacing w:after="160" w:line="259" w:lineRule="auto"/>
        <w:jc w:val="left"/>
      </w:pPr>
      <w:r>
        <w:br w:type="page"/>
      </w:r>
    </w:p>
    <w:p w14:paraId="0191D18B" w14:textId="77777777" w:rsidR="000F228F" w:rsidRDefault="003265B2">
      <w:pPr>
        <w:pStyle w:val="Heading1"/>
        <w:rPr>
          <w:rStyle w:val="markedcontent"/>
        </w:rPr>
      </w:pPr>
      <w:bookmarkStart w:id="1" w:name="_Toc133272456"/>
      <w:r>
        <w:rPr>
          <w:rStyle w:val="markedcontent"/>
        </w:rPr>
        <w:lastRenderedPageBreak/>
        <w:t>Dividend distribution policy of Nestle</w:t>
      </w:r>
      <w:bookmarkEnd w:id="1"/>
    </w:p>
    <w:p w14:paraId="5220750C" w14:textId="77777777" w:rsidR="000F228F" w:rsidRDefault="003265B2">
      <w:r>
        <w:t>Given that Nestle Company operates on a global scale, its dividend distribution strategy is crucial for the company's health. This paper aims to analyse and evaluate Nestle's income distribution strategy by analysing the impact of international financial management (IFM) on the performance of multinational corporations such as Nestle.</w:t>
      </w:r>
    </w:p>
    <w:p w14:paraId="42372600" w14:textId="77777777" w:rsidR="000F228F" w:rsidRDefault="003265B2">
      <w:r>
        <w:t>Nestle has historically provided dividends to its stockholders. The corporation's dividend strategy is centred on providing dividends to stockholders forever. Between 47% and 57% of Nestle's annual net income will be distributed as dividends to its shareholders. The company's ability to sustain dividend payments over the years has made it more appealing and popular among investors. Some have asserted that Nestle's dividend payments do not reflect the company's financial success (</w:t>
      </w:r>
      <w:proofErr w:type="spellStart"/>
      <w:r>
        <w:rPr>
          <w:lang w:eastAsia="en-GB"/>
        </w:rPr>
        <w:t>Oloyede</w:t>
      </w:r>
      <w:proofErr w:type="spellEnd"/>
      <w:r>
        <w:rPr>
          <w:lang w:eastAsia="en-GB"/>
        </w:rPr>
        <w:t>, et al., 2018</w:t>
      </w:r>
      <w:r>
        <w:t>). In 2018, for example, the corporation distributed a dividend payment that exceeded its net income. Despite this criticism, Nestle has maintained its compensation and distribution strategy, paying out a substantial portion of its net revenue to shareholders.</w:t>
      </w:r>
    </w:p>
    <w:p w14:paraId="58B9AEBB" w14:textId="77777777" w:rsidR="000F228F" w:rsidRDefault="003265B2">
      <w:r>
        <w:t>Nestle and other multinational conglomerates rely significantly on international financial management (IFM). IFM assists these businesses in a variety of areas, including financial management, risk mitigation, and profit maximisation. Nestle must navigate diverse financial, political, and legal regulations due to its global reach.</w:t>
      </w:r>
    </w:p>
    <w:p w14:paraId="667128E1" w14:textId="77777777" w:rsidR="000F228F" w:rsidRDefault="003265B2">
      <w:r>
        <w:t>In the global financial markets, the risk associated with exchange rates is Nestle's greatest obstacle to surmount. The company's profitability may be impacted by its need to deal with multiple currencies. Nestle employs hedging strategies, such as futures contracts and options, to mitigate the effects of changes in foreign exchange rates. Nestle must also deal with issues regarding compliance with the law and regulations (</w:t>
      </w:r>
      <w:r>
        <w:rPr>
          <w:lang w:eastAsia="en-GB"/>
        </w:rPr>
        <w:t>AJAO</w:t>
      </w:r>
      <w:r>
        <w:t xml:space="preserve"> </w:t>
      </w:r>
      <w:r>
        <w:rPr>
          <w:lang w:eastAsia="en-GB"/>
        </w:rPr>
        <w:t xml:space="preserve">and FATOGUN, </w:t>
      </w:r>
      <w:r>
        <w:t>2019). A business may find it difficult to navigate the multitude of local rules and regulations. Nestle has a specialised compliance team to manage this risk by ensuring the company adheres to all applicable regulations and laws.</w:t>
      </w:r>
    </w:p>
    <w:p w14:paraId="1E3A1DA0" w14:textId="77777777" w:rsidR="000F228F" w:rsidRDefault="003265B2">
      <w:pPr>
        <w:spacing w:after="160" w:line="259" w:lineRule="auto"/>
        <w:jc w:val="left"/>
        <w:rPr>
          <w:rFonts w:eastAsiaTheme="majorEastAsia" w:cstheme="majorBidi"/>
          <w:b/>
          <w:sz w:val="26"/>
          <w:szCs w:val="33"/>
        </w:rPr>
      </w:pPr>
      <w:r>
        <w:br w:type="page"/>
      </w:r>
    </w:p>
    <w:p w14:paraId="368F4D74" w14:textId="77777777" w:rsidR="000F228F" w:rsidRDefault="003265B2">
      <w:pPr>
        <w:pStyle w:val="Heading2"/>
      </w:pPr>
      <w:bookmarkStart w:id="2" w:name="_Toc133272457"/>
      <w:r>
        <w:lastRenderedPageBreak/>
        <w:t>Challenges in International Financial Markets</w:t>
      </w:r>
      <w:bookmarkEnd w:id="2"/>
      <w:r>
        <w:t xml:space="preserve"> </w:t>
      </w:r>
    </w:p>
    <w:p w14:paraId="329B3C2D" w14:textId="77777777" w:rsidR="000F228F" w:rsidRDefault="003265B2">
      <w:r>
        <w:t>Significant hurdles are presented by Nestle's activities in several worldwide markets for finance, and this is backed by applicable IFM theories. That the stock markets are efficiency and that prices accurately represent all relevant information is a central tenet of the effective market concept. However, because to differences in the political, economic, and legal frameworks, this idea may not apply in financial markets worldwide. Because of this, Nestle's ability to acquire information in various markets may be hindered, which might affect the company's ability to make sound financial investments.</w:t>
      </w:r>
    </w:p>
    <w:p w14:paraId="08604672" w14:textId="77777777" w:rsidR="000F228F" w:rsidRDefault="003265B2">
      <w:r>
        <w:t>Transaction cost theory is another framework applicable to Nestle's global accounting strategy. According to this hypothesis, a company's bottom line might be affected by its exposure to other markets due to the costs involved with operating there. Because of its global reach, Nestle has the challenge of juggling varying transaction fees in each country it operates in. Nestle takes precautions against this threat by doing things like centralising its treasury department in order to cut down on transaction expenses (</w:t>
      </w:r>
      <w:proofErr w:type="spellStart"/>
      <w:r>
        <w:rPr>
          <w:lang w:eastAsia="en-GB"/>
        </w:rPr>
        <w:t>Højgaard</w:t>
      </w:r>
      <w:proofErr w:type="spellEnd"/>
      <w:r>
        <w:t xml:space="preserve"> </w:t>
      </w:r>
      <w:r>
        <w:rPr>
          <w:lang w:eastAsia="en-GB"/>
        </w:rPr>
        <w:t xml:space="preserve">and </w:t>
      </w:r>
      <w:proofErr w:type="spellStart"/>
      <w:r>
        <w:rPr>
          <w:lang w:eastAsia="en-GB"/>
        </w:rPr>
        <w:t>Taksar</w:t>
      </w:r>
      <w:proofErr w:type="spellEnd"/>
      <w:r>
        <w:rPr>
          <w:lang w:eastAsia="en-GB"/>
        </w:rPr>
        <w:t xml:space="preserve">, </w:t>
      </w:r>
      <w:r>
        <w:t>2014).</w:t>
      </w:r>
    </w:p>
    <w:p w14:paraId="707B2A73" w14:textId="77777777" w:rsidR="000F228F" w:rsidRDefault="003265B2">
      <w:r>
        <w:t>In summary, dividend payments have always represented a sizable amount of Nestle's net earnings, and this has been the case throughout the company's history. Multinational firms like Nestle rely heavily on global accounting and finance professionals in order to successfully oversee their financial resources, mitigate risks, and maximise earnings across international markets. However, currency rate risk plus regulatory compliance concerns are only a couple of the threats to Nestle's financial performance that it faces in many worldwide markets for securities (</w:t>
      </w:r>
      <w:proofErr w:type="spellStart"/>
      <w:r>
        <w:rPr>
          <w:lang w:eastAsia="en-GB"/>
        </w:rPr>
        <w:t>Asmussen</w:t>
      </w:r>
      <w:proofErr w:type="spellEnd"/>
      <w:r>
        <w:rPr>
          <w:lang w:eastAsia="en-GB"/>
        </w:rPr>
        <w:t>, et al., 2010</w:t>
      </w:r>
      <w:r>
        <w:t>). The relevant IFM concepts, such as the idea of an efficient market theory and the theory of transaction cost, give an outline for comprehending these difficulties and formulating solutions for managing them.</w:t>
      </w:r>
    </w:p>
    <w:p w14:paraId="40186FF8" w14:textId="77777777" w:rsidR="000F228F" w:rsidRDefault="003265B2">
      <w:pPr>
        <w:spacing w:after="160" w:line="259" w:lineRule="auto"/>
        <w:jc w:val="left"/>
      </w:pPr>
      <w:r>
        <w:br w:type="page"/>
      </w:r>
    </w:p>
    <w:p w14:paraId="048C500B" w14:textId="77777777" w:rsidR="000F228F" w:rsidRDefault="003265B2">
      <w:pPr>
        <w:pStyle w:val="Heading1"/>
        <w:rPr>
          <w:rStyle w:val="markedcontent"/>
        </w:rPr>
      </w:pPr>
      <w:bookmarkStart w:id="3" w:name="_Toc133272458"/>
      <w:r>
        <w:rPr>
          <w:rStyle w:val="markedcontent"/>
        </w:rPr>
        <w:lastRenderedPageBreak/>
        <w:t>Market hypothesis theory of Nestle</w:t>
      </w:r>
      <w:bookmarkEnd w:id="3"/>
    </w:p>
    <w:p w14:paraId="15E76C66" w14:textId="77777777" w:rsidR="000F228F" w:rsidRDefault="003265B2">
      <w:r>
        <w:t>The central tenet of what is known as the efficient market hypothesis (EMH) is that financial markets are effective and that prices accurately reflect all pertinent information. This concept may be evaluated within the context of Nestle's business to determine its impact on the company's bottom line. According to EMH, extraordinary stock market profits are difficult to achieve. According to the theory, investors who trade Nestle stock based on publicly available information could consistently outperform the market. This means that investors will have difficulty distinguishing whether Nestle is under-priced or overvalued, as the stock price must already reflect all relevant information (</w:t>
      </w:r>
      <w:proofErr w:type="spellStart"/>
      <w:r>
        <w:rPr>
          <w:lang w:eastAsia="en-GB"/>
        </w:rPr>
        <w:t>Avanzi</w:t>
      </w:r>
      <w:proofErr w:type="spellEnd"/>
      <w:r>
        <w:rPr>
          <w:lang w:eastAsia="en-GB"/>
        </w:rPr>
        <w:t>, 2019</w:t>
      </w:r>
      <w:r>
        <w:t>).</w:t>
      </w:r>
    </w:p>
    <w:p w14:paraId="6A363395" w14:textId="77777777" w:rsidR="000F228F" w:rsidRDefault="003265B2">
      <w:r>
        <w:t>However, some opponents of EMH argue that it cannot be applied to all markets. The theory assumes that shareholders have access to and can interpret all relevant data rationally. Nevertheless, this is rarely the case, especially in international securities financial markets, because shareholders may possess sufficient knowledge or be unwilling to efficiently digest it owing to disparities in the governing political, financial, and legal structures. As a multinational corporation, Nestle's bottom line may be influenced by the socioeconomic, political, and legal climates of the countries in which it conducts business. The value of a stock may not necessarily reflect all firm-related information on all markets. For example, if Nestle announces something in Switzerland but not elsewhere, its stock price may not immediately change. This is due to the fact that merchants in various nations may not have immediate access to the news (</w:t>
      </w:r>
      <w:proofErr w:type="spellStart"/>
      <w:r>
        <w:rPr>
          <w:lang w:eastAsia="en-GB"/>
        </w:rPr>
        <w:t>Malkiel</w:t>
      </w:r>
      <w:proofErr w:type="spellEnd"/>
      <w:r>
        <w:rPr>
          <w:lang w:eastAsia="en-GB"/>
        </w:rPr>
        <w:t>, 2013</w:t>
      </w:r>
      <w:r>
        <w:t>).</w:t>
      </w:r>
    </w:p>
    <w:p w14:paraId="3C65D39D" w14:textId="77777777" w:rsidR="000F228F" w:rsidRDefault="003265B2">
      <w:r>
        <w:t>In the EMH, it is presumed that all investors are rational decision-makers with equal access to information. In practise, investors' access to information may vary, which could affect the price of Nestle stock. Consequently, certain shareholders may experience extraordinary gains from trading company shares. In conclusion, the EMH provides a framework for analysing how financial market stock prices reflect prevalent knowledge. This may not be the case in all financial markets, particularly international ones where data management and accessibility may be impacted by varying political, economic, and legal structures. Difficulties in acquiring and analysing data could lead to disparities in the stock price of Nestle on different markets. Relevant IFM concepts, such as the one about transaction costs and the concept of agency, can provide a foundation for comprehending and addressing such challenges.</w:t>
      </w:r>
    </w:p>
    <w:p w14:paraId="29740ADF" w14:textId="77777777" w:rsidR="000F228F" w:rsidRDefault="000F228F"/>
    <w:p w14:paraId="63D1E8DF" w14:textId="77777777" w:rsidR="000F228F" w:rsidRDefault="003265B2">
      <w:pPr>
        <w:spacing w:after="160" w:line="259" w:lineRule="auto"/>
        <w:jc w:val="left"/>
      </w:pPr>
      <w:r>
        <w:br w:type="page"/>
      </w:r>
    </w:p>
    <w:p w14:paraId="06DFA761" w14:textId="77777777" w:rsidR="000F228F" w:rsidRDefault="003265B2">
      <w:pPr>
        <w:pStyle w:val="Heading1"/>
        <w:rPr>
          <w:rStyle w:val="markedcontent"/>
        </w:rPr>
      </w:pPr>
      <w:bookmarkStart w:id="4" w:name="_Toc133272459"/>
      <w:r>
        <w:rPr>
          <w:rStyle w:val="markedcontent"/>
        </w:rPr>
        <w:lastRenderedPageBreak/>
        <w:t>Methods of appraising projects</w:t>
      </w:r>
      <w:bookmarkEnd w:id="4"/>
    </w:p>
    <w:p w14:paraId="4D24EB16" w14:textId="77777777" w:rsidR="000F228F" w:rsidRDefault="003265B2">
      <w:r>
        <w:t>The net present value (NPV) approach, IRR method, and PBP payback periods are just a few of the ways that Nestle Corporation evaluates potential investments. These techniques offer a framework for assessing the merits and dangers of various investing opportunities.</w:t>
      </w:r>
    </w:p>
    <w:p w14:paraId="1C5B8356" w14:textId="77777777" w:rsidR="000F228F" w:rsidRDefault="003265B2">
      <w:r>
        <w:rPr>
          <w:b/>
          <w:bCs/>
        </w:rPr>
        <w:t>NPV:</w:t>
      </w:r>
      <w:r>
        <w:t xml:space="preserve"> Finance professionals frequently use the NPV formula to estimate the current market value of future revenues. This method takes into account the passage of time by discounting currency flows in the near future. Nestle may determine the most lucrative investment opportunities by calculating their net present values (NPVs) (</w:t>
      </w:r>
      <w:proofErr w:type="spellStart"/>
      <w:r>
        <w:rPr>
          <w:lang w:eastAsia="en-GB"/>
        </w:rPr>
        <w:t>Malkiel</w:t>
      </w:r>
      <w:proofErr w:type="spellEnd"/>
      <w:r>
        <w:rPr>
          <w:lang w:eastAsia="en-GB"/>
        </w:rPr>
        <w:t>, 2012</w:t>
      </w:r>
      <w:r>
        <w:t>).</w:t>
      </w:r>
    </w:p>
    <w:p w14:paraId="7DCA33A2" w14:textId="77777777" w:rsidR="000F228F" w:rsidRDefault="003265B2">
      <w:r>
        <w:rPr>
          <w:b/>
          <w:bCs/>
        </w:rPr>
        <w:t>IRR:</w:t>
      </w:r>
      <w:r>
        <w:t xml:space="preserve"> Analysis of the internal rate of return (IRR) is another common method for valuing initiatives. Determine the rate at which future revenue streams are expected to equal the initial investment. A project with a higher internal rate of return (IRR) is more preferable for investment.</w:t>
      </w:r>
    </w:p>
    <w:p w14:paraId="512BD34C" w14:textId="77777777" w:rsidR="000F228F" w:rsidRDefault="003265B2">
      <w:r>
        <w:rPr>
          <w:b/>
          <w:bCs/>
        </w:rPr>
        <w:t>PBP:</w:t>
      </w:r>
      <w:r>
        <w:t xml:space="preserve"> The repayment period approach is used to determine how long it will take for an endeavour to generate sufficient financial flows to recoup its initial investment. Investing opportunities with a speedier return on investment are more alluring due to the fact that they generate more immediate cash flows and involve less risk.</w:t>
      </w:r>
    </w:p>
    <w:p w14:paraId="1955F7C8" w14:textId="77777777" w:rsidR="000F228F" w:rsidRDefault="003265B2">
      <w:r>
        <w:t>These approaches are supported by theories of financial management with international applicability. Capital planning provides a framework for evaluating investment opportunities according to anticipated return and risk. Banking, workplace, and market-related risks, among others, can be managed more effectively with the theory of managing risks as a guide (</w:t>
      </w:r>
      <w:proofErr w:type="spellStart"/>
      <w:r>
        <w:rPr>
          <w:lang w:eastAsia="en-GB"/>
        </w:rPr>
        <w:t>Eun</w:t>
      </w:r>
      <w:proofErr w:type="spellEnd"/>
      <w:r>
        <w:t xml:space="preserve"> </w:t>
      </w:r>
      <w:r>
        <w:rPr>
          <w:lang w:eastAsia="en-GB"/>
        </w:rPr>
        <w:t xml:space="preserve">and Resnick, </w:t>
      </w:r>
      <w:r>
        <w:t>2015). In sum, Nestle's methodologies for evaluating projects provide a framework for analysing investment opportunities and rating them according to their expected returns and levels of risk (</w:t>
      </w:r>
      <w:r>
        <w:rPr>
          <w:lang w:eastAsia="en-GB"/>
        </w:rPr>
        <w:t>Madura, 2020</w:t>
      </w:r>
      <w:r>
        <w:t>). Relevant IFM theories provide a framework for understanding and managing investment-related risks, thereby bolstering these techniques.</w:t>
      </w:r>
    </w:p>
    <w:p w14:paraId="120F8016" w14:textId="77777777" w:rsidR="000F228F" w:rsidRDefault="003265B2">
      <w:pPr>
        <w:spacing w:after="160" w:line="259" w:lineRule="auto"/>
        <w:jc w:val="left"/>
      </w:pPr>
      <w:r>
        <w:br w:type="page"/>
      </w:r>
    </w:p>
    <w:p w14:paraId="77B189F4" w14:textId="77777777" w:rsidR="000F228F" w:rsidRDefault="003265B2">
      <w:pPr>
        <w:pStyle w:val="Heading1"/>
      </w:pPr>
      <w:bookmarkStart w:id="5" w:name="_Toc133272460"/>
      <w:r>
        <w:lastRenderedPageBreak/>
        <w:t>Conclusion</w:t>
      </w:r>
      <w:bookmarkEnd w:id="5"/>
      <w:r>
        <w:t xml:space="preserve"> </w:t>
      </w:r>
    </w:p>
    <w:p w14:paraId="71065E28" w14:textId="77777777" w:rsidR="000F228F" w:rsidRDefault="003265B2">
      <w:r>
        <w:t>In conclusion, global firms like Nestle rely heavily on world financial leadership since it allows them to face obstacles in many markets and make prudent financial choices. If you're looking for a framework to evaluate possibilities for investments and generate profits, look no further than Nestle's distribution of dividends policy and ways of assessing projects. The hypothesis of an efficient market is a paradigm for thinking about how information that is already out there could affect stock prices. International finance management (IFM) ideas like transaction cost concept and the concept of agency theory offer a framework for handling difficulties in these markets.</w:t>
      </w:r>
    </w:p>
    <w:p w14:paraId="1C5722F0" w14:textId="77777777" w:rsidR="000F228F" w:rsidRDefault="003265B2">
      <w:pPr>
        <w:spacing w:after="160" w:line="259" w:lineRule="auto"/>
        <w:jc w:val="left"/>
      </w:pPr>
      <w:r>
        <w:br w:type="page"/>
      </w:r>
    </w:p>
    <w:p w14:paraId="55E41525" w14:textId="77777777" w:rsidR="000F228F" w:rsidRDefault="003265B2">
      <w:pPr>
        <w:pStyle w:val="Heading1"/>
      </w:pPr>
      <w:bookmarkStart w:id="6" w:name="_Toc133272461"/>
      <w:r>
        <w:lastRenderedPageBreak/>
        <w:t>References</w:t>
      </w:r>
      <w:bookmarkEnd w:id="6"/>
      <w:r>
        <w:t xml:space="preserve"> </w:t>
      </w:r>
    </w:p>
    <w:p w14:paraId="2A0C22FB" w14:textId="77777777" w:rsidR="000F228F" w:rsidRDefault="003265B2">
      <w:pPr>
        <w:rPr>
          <w:lang w:eastAsia="en-GB"/>
        </w:rPr>
      </w:pPr>
      <w:r>
        <w:rPr>
          <w:lang w:eastAsia="en-GB"/>
        </w:rPr>
        <w:t xml:space="preserve">AJAO, C. and FATOGUN, O., 2019. Impact of Corporate Performance on Stock Prices of Consumer good’s Firms in Nigeria Stock Exchange (A Study of Nestle Food Nigerian Plc). </w:t>
      </w:r>
      <w:r>
        <w:rPr>
          <w:i/>
          <w:iCs/>
          <w:lang w:eastAsia="en-GB"/>
        </w:rPr>
        <w:t>JOURNAL OF BUSINESS &amp; EDUCATIONAL POLICIES (A BI-ANNUAL JOURNAL OF THE NATIONAL ASSOCIATION OF POLICY EDUCATORS)</w:t>
      </w:r>
      <w:r>
        <w:rPr>
          <w:lang w:eastAsia="en-GB"/>
        </w:rPr>
        <w:t xml:space="preserve">, </w:t>
      </w:r>
      <w:r>
        <w:rPr>
          <w:i/>
          <w:iCs/>
          <w:lang w:eastAsia="en-GB"/>
        </w:rPr>
        <w:t>15</w:t>
      </w:r>
      <w:r>
        <w:rPr>
          <w:lang w:eastAsia="en-GB"/>
        </w:rPr>
        <w:t>(1), pp.1-12.</w:t>
      </w:r>
    </w:p>
    <w:p w14:paraId="2EA6B84C" w14:textId="77777777" w:rsidR="000F228F" w:rsidRDefault="003265B2">
      <w:pPr>
        <w:rPr>
          <w:lang w:eastAsia="en-GB"/>
        </w:rPr>
      </w:pPr>
      <w:proofErr w:type="spellStart"/>
      <w:r>
        <w:rPr>
          <w:lang w:eastAsia="en-GB"/>
        </w:rPr>
        <w:t>Asmussen</w:t>
      </w:r>
      <w:proofErr w:type="spellEnd"/>
      <w:r>
        <w:rPr>
          <w:lang w:eastAsia="en-GB"/>
        </w:rPr>
        <w:t xml:space="preserve">, S., </w:t>
      </w:r>
      <w:proofErr w:type="spellStart"/>
      <w:r>
        <w:rPr>
          <w:lang w:eastAsia="en-GB"/>
        </w:rPr>
        <w:t>Højgaard</w:t>
      </w:r>
      <w:proofErr w:type="spellEnd"/>
      <w:r>
        <w:rPr>
          <w:lang w:eastAsia="en-GB"/>
        </w:rPr>
        <w:t xml:space="preserve">, B. and </w:t>
      </w:r>
      <w:proofErr w:type="spellStart"/>
      <w:r>
        <w:rPr>
          <w:lang w:eastAsia="en-GB"/>
        </w:rPr>
        <w:t>Taksar</w:t>
      </w:r>
      <w:proofErr w:type="spellEnd"/>
      <w:r>
        <w:rPr>
          <w:lang w:eastAsia="en-GB"/>
        </w:rPr>
        <w:t xml:space="preserve">, M., 2010. Optimal risk control and dividend distribution policies. Example of excess-of loss reinsurance for an insurance corporation. </w:t>
      </w:r>
      <w:r>
        <w:rPr>
          <w:i/>
          <w:iCs/>
          <w:lang w:eastAsia="en-GB"/>
        </w:rPr>
        <w:t>Finance and Stochastics</w:t>
      </w:r>
      <w:r>
        <w:rPr>
          <w:lang w:eastAsia="en-GB"/>
        </w:rPr>
        <w:t xml:space="preserve">, </w:t>
      </w:r>
      <w:r>
        <w:rPr>
          <w:i/>
          <w:iCs/>
          <w:lang w:eastAsia="en-GB"/>
        </w:rPr>
        <w:t>4</w:t>
      </w:r>
      <w:r>
        <w:rPr>
          <w:lang w:eastAsia="en-GB"/>
        </w:rPr>
        <w:t>(3), pp.299-324.</w:t>
      </w:r>
    </w:p>
    <w:p w14:paraId="4CF90F87" w14:textId="77777777" w:rsidR="000F228F" w:rsidRDefault="003265B2">
      <w:pPr>
        <w:rPr>
          <w:lang w:eastAsia="en-GB"/>
        </w:rPr>
      </w:pPr>
      <w:proofErr w:type="spellStart"/>
      <w:r>
        <w:rPr>
          <w:lang w:eastAsia="en-GB"/>
        </w:rPr>
        <w:t>Avanzi</w:t>
      </w:r>
      <w:proofErr w:type="spellEnd"/>
      <w:r>
        <w:rPr>
          <w:lang w:eastAsia="en-GB"/>
        </w:rPr>
        <w:t xml:space="preserve">, B., 2019. Strategies for dividend distribution: A review. </w:t>
      </w:r>
      <w:r>
        <w:rPr>
          <w:i/>
          <w:iCs/>
          <w:lang w:eastAsia="en-GB"/>
        </w:rPr>
        <w:t>North American Actuarial Journal</w:t>
      </w:r>
      <w:r>
        <w:rPr>
          <w:lang w:eastAsia="en-GB"/>
        </w:rPr>
        <w:t xml:space="preserve">, </w:t>
      </w:r>
      <w:r>
        <w:rPr>
          <w:i/>
          <w:iCs/>
          <w:lang w:eastAsia="en-GB"/>
        </w:rPr>
        <w:t>13</w:t>
      </w:r>
      <w:r>
        <w:rPr>
          <w:lang w:eastAsia="en-GB"/>
        </w:rPr>
        <w:t>(2), pp.217-251.</w:t>
      </w:r>
    </w:p>
    <w:p w14:paraId="09D598AB" w14:textId="77777777" w:rsidR="000F228F" w:rsidRDefault="003265B2">
      <w:pPr>
        <w:rPr>
          <w:lang w:eastAsia="en-GB"/>
        </w:rPr>
      </w:pPr>
      <w:proofErr w:type="spellStart"/>
      <w:r>
        <w:rPr>
          <w:lang w:eastAsia="en-GB"/>
        </w:rPr>
        <w:t>Eun</w:t>
      </w:r>
      <w:proofErr w:type="spellEnd"/>
      <w:r>
        <w:rPr>
          <w:lang w:eastAsia="en-GB"/>
        </w:rPr>
        <w:t xml:space="preserve">, C.S. and Resnick, B.G., 2015. </w:t>
      </w:r>
      <w:r>
        <w:rPr>
          <w:i/>
          <w:iCs/>
          <w:lang w:eastAsia="en-GB"/>
        </w:rPr>
        <w:t>International financial management</w:t>
      </w:r>
      <w:r>
        <w:rPr>
          <w:lang w:eastAsia="en-GB"/>
        </w:rPr>
        <w:t>. McGraw-Hill Education.</w:t>
      </w:r>
    </w:p>
    <w:p w14:paraId="624E9DCD" w14:textId="77777777" w:rsidR="000F228F" w:rsidRDefault="003265B2">
      <w:pPr>
        <w:rPr>
          <w:lang w:eastAsia="en-GB"/>
        </w:rPr>
      </w:pPr>
      <w:proofErr w:type="spellStart"/>
      <w:r>
        <w:rPr>
          <w:lang w:eastAsia="en-GB"/>
        </w:rPr>
        <w:t>Højgaard</w:t>
      </w:r>
      <w:proofErr w:type="spellEnd"/>
      <w:r>
        <w:rPr>
          <w:lang w:eastAsia="en-GB"/>
        </w:rPr>
        <w:t xml:space="preserve">, B. and </w:t>
      </w:r>
      <w:proofErr w:type="spellStart"/>
      <w:r>
        <w:rPr>
          <w:lang w:eastAsia="en-GB"/>
        </w:rPr>
        <w:t>Taksar</w:t>
      </w:r>
      <w:proofErr w:type="spellEnd"/>
      <w:r>
        <w:rPr>
          <w:lang w:eastAsia="en-GB"/>
        </w:rPr>
        <w:t xml:space="preserve">, M., 2014. Optimal dynamic portfolio selection for a corporation with controllable risk and dividend distribution policy. </w:t>
      </w:r>
      <w:r>
        <w:rPr>
          <w:i/>
          <w:iCs/>
          <w:lang w:eastAsia="en-GB"/>
        </w:rPr>
        <w:t>Quantitative Finance</w:t>
      </w:r>
      <w:r>
        <w:rPr>
          <w:lang w:eastAsia="en-GB"/>
        </w:rPr>
        <w:t xml:space="preserve">, </w:t>
      </w:r>
      <w:r>
        <w:rPr>
          <w:i/>
          <w:iCs/>
          <w:lang w:eastAsia="en-GB"/>
        </w:rPr>
        <w:t>4</w:t>
      </w:r>
      <w:r>
        <w:rPr>
          <w:lang w:eastAsia="en-GB"/>
        </w:rPr>
        <w:t>(3), p.315.</w:t>
      </w:r>
    </w:p>
    <w:p w14:paraId="7D08BED3" w14:textId="77777777" w:rsidR="000F228F" w:rsidRDefault="003265B2">
      <w:pPr>
        <w:rPr>
          <w:lang w:eastAsia="en-GB"/>
        </w:rPr>
      </w:pPr>
      <w:r>
        <w:rPr>
          <w:lang w:eastAsia="en-GB"/>
        </w:rPr>
        <w:t xml:space="preserve">Madura, J., 2020. </w:t>
      </w:r>
      <w:r>
        <w:rPr>
          <w:i/>
          <w:iCs/>
          <w:lang w:eastAsia="en-GB"/>
        </w:rPr>
        <w:t>International financial management</w:t>
      </w:r>
      <w:r>
        <w:rPr>
          <w:lang w:eastAsia="en-GB"/>
        </w:rPr>
        <w:t>. Cengage Learning.</w:t>
      </w:r>
    </w:p>
    <w:p w14:paraId="538DA06F" w14:textId="77777777" w:rsidR="000F228F" w:rsidRDefault="003265B2">
      <w:pPr>
        <w:rPr>
          <w:lang w:eastAsia="en-GB"/>
        </w:rPr>
      </w:pPr>
      <w:proofErr w:type="spellStart"/>
      <w:r>
        <w:rPr>
          <w:lang w:eastAsia="en-GB"/>
        </w:rPr>
        <w:t>Malkiel</w:t>
      </w:r>
      <w:proofErr w:type="spellEnd"/>
      <w:r>
        <w:rPr>
          <w:lang w:eastAsia="en-GB"/>
        </w:rPr>
        <w:t xml:space="preserve">, B.G., 2012. Efficient market hypothesis. </w:t>
      </w:r>
      <w:r>
        <w:rPr>
          <w:i/>
          <w:iCs/>
          <w:lang w:eastAsia="en-GB"/>
        </w:rPr>
        <w:t>Finance</w:t>
      </w:r>
      <w:r>
        <w:rPr>
          <w:lang w:eastAsia="en-GB"/>
        </w:rPr>
        <w:t>, pp.127-134.</w:t>
      </w:r>
    </w:p>
    <w:p w14:paraId="7B509EDB" w14:textId="77777777" w:rsidR="000F228F" w:rsidRDefault="003265B2">
      <w:pPr>
        <w:rPr>
          <w:lang w:eastAsia="en-GB"/>
        </w:rPr>
      </w:pPr>
      <w:proofErr w:type="spellStart"/>
      <w:r>
        <w:rPr>
          <w:lang w:eastAsia="en-GB"/>
        </w:rPr>
        <w:t>Malkiel</w:t>
      </w:r>
      <w:proofErr w:type="spellEnd"/>
      <w:r>
        <w:rPr>
          <w:lang w:eastAsia="en-GB"/>
        </w:rPr>
        <w:t xml:space="preserve">, B.G., 2013. The efficient market hypothesis and its critics. </w:t>
      </w:r>
      <w:r>
        <w:rPr>
          <w:i/>
          <w:iCs/>
          <w:lang w:eastAsia="en-GB"/>
        </w:rPr>
        <w:t>Journal of economic perspectives</w:t>
      </w:r>
      <w:r>
        <w:rPr>
          <w:lang w:eastAsia="en-GB"/>
        </w:rPr>
        <w:t xml:space="preserve">, </w:t>
      </w:r>
      <w:r>
        <w:rPr>
          <w:i/>
          <w:iCs/>
          <w:lang w:eastAsia="en-GB"/>
        </w:rPr>
        <w:t>17</w:t>
      </w:r>
      <w:r>
        <w:rPr>
          <w:lang w:eastAsia="en-GB"/>
        </w:rPr>
        <w:t>(1), pp.59-82.</w:t>
      </w:r>
    </w:p>
    <w:p w14:paraId="5EEB4446" w14:textId="77777777" w:rsidR="000F228F" w:rsidRDefault="003265B2">
      <w:pPr>
        <w:rPr>
          <w:lang w:eastAsia="en-GB"/>
        </w:rPr>
      </w:pPr>
      <w:proofErr w:type="spellStart"/>
      <w:r>
        <w:rPr>
          <w:lang w:eastAsia="en-GB"/>
        </w:rPr>
        <w:t>Oloyede</w:t>
      </w:r>
      <w:proofErr w:type="spellEnd"/>
      <w:r>
        <w:rPr>
          <w:lang w:eastAsia="en-GB"/>
        </w:rPr>
        <w:t xml:space="preserve">, J.A., </w:t>
      </w:r>
      <w:proofErr w:type="spellStart"/>
      <w:r>
        <w:rPr>
          <w:lang w:eastAsia="en-GB"/>
        </w:rPr>
        <w:t>Olaoye</w:t>
      </w:r>
      <w:proofErr w:type="spellEnd"/>
      <w:r>
        <w:rPr>
          <w:lang w:eastAsia="en-GB"/>
        </w:rPr>
        <w:t xml:space="preserve">, C.O. and </w:t>
      </w:r>
      <w:proofErr w:type="spellStart"/>
      <w:r>
        <w:rPr>
          <w:lang w:eastAsia="en-GB"/>
        </w:rPr>
        <w:t>Oluwaleye</w:t>
      </w:r>
      <w:proofErr w:type="spellEnd"/>
      <w:r>
        <w:rPr>
          <w:lang w:eastAsia="en-GB"/>
        </w:rPr>
        <w:t xml:space="preserve">, T.O., 2018. Impact of corporate taxation on dividend policy of quoted firms in Nigeria. </w:t>
      </w:r>
      <w:r>
        <w:rPr>
          <w:i/>
          <w:iCs/>
          <w:lang w:eastAsia="en-GB"/>
        </w:rPr>
        <w:t>Advances in Social Sciences Research Journal</w:t>
      </w:r>
      <w:r>
        <w:rPr>
          <w:lang w:eastAsia="en-GB"/>
        </w:rPr>
        <w:t xml:space="preserve">, </w:t>
      </w:r>
      <w:r>
        <w:rPr>
          <w:i/>
          <w:iCs/>
          <w:lang w:eastAsia="en-GB"/>
        </w:rPr>
        <w:t>5</w:t>
      </w:r>
      <w:r>
        <w:rPr>
          <w:lang w:eastAsia="en-GB"/>
        </w:rPr>
        <w:t>(3).</w:t>
      </w:r>
    </w:p>
    <w:p w14:paraId="02A71011" w14:textId="77777777" w:rsidR="000F228F" w:rsidRDefault="000F228F"/>
    <w:sectPr w:rsidR="000F228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EDCBE" w14:textId="77777777" w:rsidR="007B3E61" w:rsidRDefault="007B3E61">
      <w:pPr>
        <w:spacing w:line="240" w:lineRule="auto"/>
      </w:pPr>
      <w:r>
        <w:separator/>
      </w:r>
    </w:p>
  </w:endnote>
  <w:endnote w:type="continuationSeparator" w:id="0">
    <w:p w14:paraId="1D12D879" w14:textId="77777777" w:rsidR="007B3E61" w:rsidRDefault="007B3E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honar Bangl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B0CCB" w14:textId="77777777" w:rsidR="000F228F" w:rsidRDefault="000F22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2B5B1" w14:textId="77777777" w:rsidR="000F228F" w:rsidRDefault="000F22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B61CD" w14:textId="77777777" w:rsidR="000F228F" w:rsidRDefault="000F2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85670" w14:textId="77777777" w:rsidR="007B3E61" w:rsidRDefault="007B3E61">
      <w:r>
        <w:separator/>
      </w:r>
    </w:p>
  </w:footnote>
  <w:footnote w:type="continuationSeparator" w:id="0">
    <w:p w14:paraId="04597E5D" w14:textId="77777777" w:rsidR="007B3E61" w:rsidRDefault="007B3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C5B37" w14:textId="77777777" w:rsidR="000F228F" w:rsidRDefault="000F22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72B91" w14:textId="77777777" w:rsidR="000F228F" w:rsidRDefault="000F22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66068" w14:textId="77777777" w:rsidR="000F228F" w:rsidRDefault="000F22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AA1"/>
    <w:rsid w:val="000C4B38"/>
    <w:rsid w:val="000F228F"/>
    <w:rsid w:val="001A53BA"/>
    <w:rsid w:val="001A7251"/>
    <w:rsid w:val="001E111C"/>
    <w:rsid w:val="00220E5E"/>
    <w:rsid w:val="003265B2"/>
    <w:rsid w:val="003B0CBA"/>
    <w:rsid w:val="00404425"/>
    <w:rsid w:val="0045015A"/>
    <w:rsid w:val="004B0E3E"/>
    <w:rsid w:val="005D6F54"/>
    <w:rsid w:val="006202AD"/>
    <w:rsid w:val="00677C2B"/>
    <w:rsid w:val="00700FE3"/>
    <w:rsid w:val="007B3E61"/>
    <w:rsid w:val="0083019E"/>
    <w:rsid w:val="00884C15"/>
    <w:rsid w:val="008E578C"/>
    <w:rsid w:val="00A668E1"/>
    <w:rsid w:val="00A966B0"/>
    <w:rsid w:val="00B671E0"/>
    <w:rsid w:val="00B9767E"/>
    <w:rsid w:val="00CC78DF"/>
    <w:rsid w:val="00D87253"/>
    <w:rsid w:val="00DB6A02"/>
    <w:rsid w:val="00E04AA1"/>
    <w:rsid w:val="00EB26B2"/>
    <w:rsid w:val="00F31E37"/>
    <w:rsid w:val="4F1869D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D7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cs="Shonar Bangla"/>
      <w:sz w:val="24"/>
      <w:szCs w:val="28"/>
      <w:lang w:eastAsia="en-US" w:bidi="bn-BD"/>
    </w:rPr>
  </w:style>
  <w:style w:type="paragraph" w:styleId="Heading1">
    <w:name w:val="heading 1"/>
    <w:basedOn w:val="Normal"/>
    <w:next w:val="Normal"/>
    <w:link w:val="Heading1Char"/>
    <w:uiPriority w:val="9"/>
    <w:qFormat/>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pPr>
      <w:keepNext/>
      <w:keepLines/>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customStyle="1" w:styleId="Heading1Char">
    <w:name w:val="Heading 1 Char"/>
    <w:basedOn w:val="DefaultParagraphFont"/>
    <w:link w:val="Heading1"/>
    <w:uiPriority w:val="9"/>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Pr>
      <w:rFonts w:ascii="Times New Roman" w:eastAsiaTheme="majorEastAsia" w:hAnsi="Times New Roman" w:cstheme="majorBidi"/>
      <w:b/>
      <w:sz w:val="26"/>
      <w:szCs w:val="33"/>
    </w:rPr>
  </w:style>
  <w:style w:type="character" w:customStyle="1" w:styleId="markedcontent">
    <w:name w:val="markedcontent"/>
    <w:basedOn w:val="DefaultParagraphFont"/>
  </w:style>
  <w:style w:type="paragraph" w:styleId="ListParagraph">
    <w:name w:val="List Paragraph"/>
    <w:basedOn w:val="Normal"/>
    <w:uiPriority w:val="34"/>
    <w:qFormat/>
    <w:pPr>
      <w:ind w:left="720"/>
      <w:contextualSpacing/>
    </w:p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hAnsiTheme="majorHAnsi"/>
      <w:b w:val="0"/>
      <w:color w:val="2E74B5" w:themeColor="accent1" w:themeShade="BF"/>
      <w:sz w:val="32"/>
      <w:szCs w:val="32"/>
      <w:lang w:val="en-US" w:bidi="ar-SA"/>
    </w:rPr>
  </w:style>
  <w:style w:type="character" w:customStyle="1" w:styleId="HeaderChar">
    <w:name w:val="Header Char"/>
    <w:basedOn w:val="DefaultParagraphFont"/>
    <w:link w:val="Header"/>
    <w:uiPriority w:val="99"/>
    <w:rPr>
      <w:rFonts w:ascii="Times New Roman" w:hAnsi="Times New Roman" w:cs="Shonar Bangla"/>
      <w:sz w:val="24"/>
    </w:rPr>
  </w:style>
  <w:style w:type="character" w:customStyle="1" w:styleId="FooterChar">
    <w:name w:val="Footer Char"/>
    <w:basedOn w:val="DefaultParagraphFont"/>
    <w:link w:val="Footer"/>
    <w:uiPriority w:val="99"/>
    <w:rPr>
      <w:rFonts w:ascii="Times New Roman" w:hAnsi="Times New Roman" w:cs="Shonar Bangl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5BA6A3-D698-40C6-98DF-995C55BF8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1898</Words>
  <Characters>10819</Characters>
  <Application>Microsoft Office Word</Application>
  <DocSecurity>0</DocSecurity>
  <Lines>90</Lines>
  <Paragraphs>25</Paragraphs>
  <ScaleCrop>false</ScaleCrop>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2023-05-07T22:17:00Z</dcterms:created>
  <dcterms:modified xsi:type="dcterms:W3CDTF">2024-01-03T11:43:00Z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1033-11.2.0.11536</vt:lpwstr>
  </property>
  <property fmtid="{D5CDD505-2E9C-101B-9397-08002B2CF9AE}" pid="3" name="ICV">
    <vt:lpwstr>5D6F887A869C41F1B369F48C89F9D448</vt:lpwstr>
  </property>
</Properties>
</file>