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750665" w14:textId="77777777" w:rsidR="003C72A6" w:rsidRDefault="003C72A6" w:rsidP="003C72A6">
      <w:pPr>
        <w:jc w:val="center"/>
        <w:rPr>
          <w:rFonts w:ascii="Times New Roman" w:hAnsi="Times New Roman" w:cs="Times New Roman"/>
          <w:sz w:val="40"/>
          <w:szCs w:val="40"/>
        </w:rPr>
      </w:pPr>
      <w:r w:rsidRPr="0025599D">
        <w:rPr>
          <w:rFonts w:ascii="Times New Roman" w:hAnsi="Times New Roman" w:cs="Times New Roman"/>
          <w:sz w:val="40"/>
          <w:szCs w:val="40"/>
        </w:rPr>
        <w:t>University of Wales Trinity Saint David</w:t>
      </w:r>
    </w:p>
    <w:p w14:paraId="7F830104" w14:textId="77777777" w:rsidR="003C72A6" w:rsidRDefault="003C72A6" w:rsidP="003C72A6">
      <w:pPr>
        <w:jc w:val="center"/>
        <w:rPr>
          <w:rFonts w:ascii="Times New Roman" w:hAnsi="Times New Roman" w:cs="Times New Roman"/>
          <w:sz w:val="40"/>
          <w:szCs w:val="40"/>
        </w:rPr>
      </w:pPr>
    </w:p>
    <w:p w14:paraId="5FCAFCB9" w14:textId="77777777" w:rsidR="003C72A6" w:rsidRDefault="003C72A6" w:rsidP="003C72A6">
      <w:pPr>
        <w:jc w:val="center"/>
        <w:rPr>
          <w:rFonts w:ascii="Times New Roman" w:hAnsi="Times New Roman" w:cs="Times New Roman"/>
          <w:sz w:val="40"/>
          <w:szCs w:val="40"/>
        </w:rPr>
      </w:pPr>
    </w:p>
    <w:p w14:paraId="094E323B" w14:textId="77777777" w:rsidR="003C72A6" w:rsidRPr="0025599D" w:rsidRDefault="003C72A6" w:rsidP="003C72A6">
      <w:pPr>
        <w:jc w:val="center"/>
        <w:rPr>
          <w:rFonts w:ascii="Times New Roman" w:hAnsi="Times New Roman" w:cs="Times New Roman"/>
          <w:sz w:val="40"/>
          <w:szCs w:val="40"/>
        </w:rPr>
      </w:pPr>
    </w:p>
    <w:p w14:paraId="17E9BFED" w14:textId="77777777" w:rsidR="003C72A6" w:rsidRDefault="003C72A6" w:rsidP="003C72A6">
      <w:pPr>
        <w:rPr>
          <w:rFonts w:ascii="Times New Roman" w:hAnsi="Times New Roman" w:cs="Times New Roman"/>
          <w:sz w:val="40"/>
          <w:szCs w:val="40"/>
        </w:rPr>
      </w:pPr>
    </w:p>
    <w:p w14:paraId="7D74AD4D" w14:textId="77777777" w:rsidR="003C72A6" w:rsidRDefault="003C72A6" w:rsidP="003C72A6">
      <w:pPr>
        <w:rPr>
          <w:rFonts w:ascii="Times New Roman" w:hAnsi="Times New Roman" w:cs="Times New Roman"/>
          <w:sz w:val="40"/>
          <w:szCs w:val="40"/>
        </w:rPr>
      </w:pPr>
    </w:p>
    <w:p w14:paraId="00296ABF" w14:textId="1EEE8B0C" w:rsidR="003C72A6" w:rsidRPr="0025599D" w:rsidRDefault="003C72A6" w:rsidP="003C72A6">
      <w:pPr>
        <w:jc w:val="center"/>
        <w:rPr>
          <w:rFonts w:ascii="Times New Roman" w:hAnsi="Times New Roman" w:cs="Times New Roman"/>
          <w:sz w:val="40"/>
          <w:szCs w:val="40"/>
        </w:rPr>
      </w:pPr>
      <w:r>
        <w:rPr>
          <w:rFonts w:ascii="Times New Roman" w:hAnsi="Times New Roman" w:cs="Times New Roman"/>
          <w:sz w:val="40"/>
          <w:szCs w:val="40"/>
        </w:rPr>
        <w:t>Speaker notes</w:t>
      </w:r>
    </w:p>
    <w:p w14:paraId="4FF0D9F5" w14:textId="77777777" w:rsidR="003C72A6" w:rsidRPr="0025599D" w:rsidRDefault="003C72A6" w:rsidP="003C72A6">
      <w:pPr>
        <w:rPr>
          <w:rFonts w:ascii="Times New Roman" w:hAnsi="Times New Roman" w:cs="Times New Roman"/>
          <w:sz w:val="40"/>
          <w:szCs w:val="40"/>
        </w:rPr>
      </w:pPr>
    </w:p>
    <w:p w14:paraId="65E66B2A" w14:textId="77777777" w:rsidR="003C72A6" w:rsidRPr="0025599D" w:rsidRDefault="003C72A6" w:rsidP="003C72A6">
      <w:pPr>
        <w:rPr>
          <w:rFonts w:ascii="Times New Roman" w:hAnsi="Times New Roman" w:cs="Times New Roman"/>
          <w:sz w:val="40"/>
          <w:szCs w:val="40"/>
        </w:rPr>
      </w:pPr>
    </w:p>
    <w:p w14:paraId="53AA0658" w14:textId="77777777" w:rsidR="003C72A6" w:rsidRPr="0025599D" w:rsidRDefault="003C72A6" w:rsidP="003C72A6">
      <w:pPr>
        <w:rPr>
          <w:rFonts w:ascii="Times New Roman" w:hAnsi="Times New Roman" w:cs="Times New Roman"/>
          <w:sz w:val="40"/>
          <w:szCs w:val="40"/>
        </w:rPr>
      </w:pPr>
    </w:p>
    <w:p w14:paraId="3CC240E0" w14:textId="77777777" w:rsidR="003C72A6" w:rsidRPr="0025599D" w:rsidRDefault="003C72A6" w:rsidP="003C72A6">
      <w:pPr>
        <w:rPr>
          <w:rFonts w:ascii="Times New Roman" w:hAnsi="Times New Roman" w:cs="Times New Roman"/>
          <w:sz w:val="40"/>
          <w:szCs w:val="40"/>
        </w:rPr>
      </w:pPr>
    </w:p>
    <w:p w14:paraId="033FA23A" w14:textId="77777777" w:rsidR="003C72A6" w:rsidRPr="0025599D" w:rsidRDefault="003C72A6" w:rsidP="003C72A6">
      <w:pPr>
        <w:rPr>
          <w:rFonts w:ascii="Times New Roman" w:hAnsi="Times New Roman" w:cs="Times New Roman"/>
          <w:sz w:val="40"/>
          <w:szCs w:val="40"/>
        </w:rPr>
      </w:pPr>
    </w:p>
    <w:p w14:paraId="3B3F3E2C" w14:textId="77777777" w:rsidR="003C72A6" w:rsidRPr="0025599D" w:rsidRDefault="003C72A6" w:rsidP="003C72A6">
      <w:pPr>
        <w:rPr>
          <w:rFonts w:ascii="Times New Roman" w:hAnsi="Times New Roman" w:cs="Times New Roman"/>
          <w:sz w:val="40"/>
          <w:szCs w:val="40"/>
        </w:rPr>
      </w:pPr>
      <w:r>
        <w:rPr>
          <w:rFonts w:ascii="Times New Roman" w:hAnsi="Times New Roman" w:cs="Times New Roman"/>
          <w:sz w:val="40"/>
          <w:szCs w:val="40"/>
        </w:rPr>
        <w:t>Student name: Gabriel Zoita</w:t>
      </w:r>
    </w:p>
    <w:p w14:paraId="0440F32F" w14:textId="77777777" w:rsidR="003C72A6" w:rsidRDefault="003C72A6" w:rsidP="003C72A6">
      <w:pPr>
        <w:rPr>
          <w:rFonts w:ascii="Times New Roman" w:hAnsi="Times New Roman" w:cs="Times New Roman"/>
          <w:sz w:val="40"/>
          <w:szCs w:val="40"/>
        </w:rPr>
      </w:pPr>
      <w:r w:rsidRPr="0025599D">
        <w:rPr>
          <w:rFonts w:ascii="Times New Roman" w:hAnsi="Times New Roman" w:cs="Times New Roman"/>
          <w:sz w:val="40"/>
          <w:szCs w:val="40"/>
        </w:rPr>
        <w:t>Student number : 233086</w:t>
      </w:r>
      <w:r>
        <w:rPr>
          <w:rFonts w:ascii="Times New Roman" w:hAnsi="Times New Roman" w:cs="Times New Roman"/>
          <w:sz w:val="40"/>
          <w:szCs w:val="40"/>
        </w:rPr>
        <w:t>5</w:t>
      </w:r>
    </w:p>
    <w:p w14:paraId="4ABE0A58" w14:textId="77777777" w:rsidR="003C72A6" w:rsidRDefault="003C72A6" w:rsidP="003C72A6">
      <w:pPr>
        <w:rPr>
          <w:rFonts w:ascii="Times New Roman" w:hAnsi="Times New Roman" w:cs="Times New Roman"/>
          <w:sz w:val="40"/>
          <w:szCs w:val="40"/>
        </w:rPr>
      </w:pPr>
    </w:p>
    <w:p w14:paraId="5F704A23" w14:textId="77777777" w:rsidR="0098118C" w:rsidRDefault="0098118C"/>
    <w:p w14:paraId="407D9E81" w14:textId="77777777" w:rsidR="003C72A6" w:rsidRDefault="003C72A6"/>
    <w:p w14:paraId="7FD984B6" w14:textId="77777777" w:rsidR="003C72A6" w:rsidRDefault="003C72A6"/>
    <w:p w14:paraId="699FD369" w14:textId="77777777" w:rsidR="003C72A6" w:rsidRDefault="003C72A6"/>
    <w:p w14:paraId="0FAB220E" w14:textId="77777777" w:rsidR="003C72A6" w:rsidRDefault="003C72A6"/>
    <w:p w14:paraId="25D4CD64" w14:textId="77777777" w:rsidR="003C72A6" w:rsidRDefault="003C72A6"/>
    <w:p w14:paraId="559076C1" w14:textId="77777777" w:rsidR="003C72A6" w:rsidRDefault="003C72A6"/>
    <w:p w14:paraId="56D020F1" w14:textId="77777777" w:rsidR="003C72A6" w:rsidRDefault="003C72A6" w:rsidP="003C72A6">
      <w:pPr>
        <w:spacing w:line="360" w:lineRule="auto"/>
        <w:ind w:firstLine="709"/>
        <w:rPr>
          <w:rFonts w:ascii="Times New Roman" w:hAnsi="Times New Roman" w:cs="Times New Roman"/>
          <w:sz w:val="24"/>
          <w:szCs w:val="24"/>
        </w:rPr>
      </w:pPr>
      <w:r>
        <w:rPr>
          <w:rFonts w:ascii="Times New Roman" w:hAnsi="Times New Roman" w:cs="Times New Roman"/>
          <w:sz w:val="24"/>
          <w:szCs w:val="24"/>
        </w:rPr>
        <w:lastRenderedPageBreak/>
        <w:t>P</w:t>
      </w:r>
      <w:r w:rsidRPr="003C72A6">
        <w:rPr>
          <w:rFonts w:ascii="Times New Roman" w:hAnsi="Times New Roman" w:cs="Times New Roman"/>
          <w:sz w:val="24"/>
          <w:szCs w:val="24"/>
        </w:rPr>
        <w:t>roficient communication skills are essential in the workplace, greatly impacting an organization’s productivity, collaboration, and employee contentment. In the contemporary multifaceted corporate landscape, where cooperation is vital for attaining organisational objectives, proficiency in communication is not only advantageous—it is imperative. This article will analyse the significance of communication skills, delineate its essential components, provide real-world instances, and investigate how these talents might surmount difficulties to improve productivity.</w:t>
      </w:r>
    </w:p>
    <w:p w14:paraId="55D01B1D" w14:textId="77777777" w:rsidR="003C72A6" w:rsidRDefault="003C72A6" w:rsidP="003C72A6">
      <w:pPr>
        <w:spacing w:line="360" w:lineRule="auto"/>
        <w:ind w:firstLine="709"/>
        <w:rPr>
          <w:rFonts w:ascii="Times New Roman" w:hAnsi="Times New Roman" w:cs="Times New Roman"/>
          <w:sz w:val="24"/>
          <w:szCs w:val="24"/>
        </w:rPr>
      </w:pPr>
      <w:r>
        <w:rPr>
          <w:rFonts w:ascii="Times New Roman" w:hAnsi="Times New Roman" w:cs="Times New Roman"/>
          <w:sz w:val="24"/>
          <w:szCs w:val="24"/>
        </w:rPr>
        <w:t>T</w:t>
      </w:r>
      <w:r w:rsidRPr="003C72A6">
        <w:rPr>
          <w:rFonts w:ascii="Times New Roman" w:hAnsi="Times New Roman" w:cs="Times New Roman"/>
          <w:sz w:val="24"/>
          <w:szCs w:val="24"/>
        </w:rPr>
        <w:t>he importance of excellent communication in attaining organisational objectives cannot be overstated. Newnam and Goode (2019) assert that efficient communication promotes teamwork, increases production, and boosts customer satisfaction. Furthermore, communication is highly valued by employers, with a grade of 4.56 out of 5 for its significance from the National Association of Colleges and Employers (Grey, 2021). This underscores the perceived significance of communication in professional settings. Moreover, enhanced communication techniques have been shown to elevate customer satisfaction by 9.5% and contribute to a 5% growth in the organisation (Okoronkwo, 2024a). These figures unequivocally demonstrate that effective communication is a catalyst for success in the corporate realm.</w:t>
      </w:r>
    </w:p>
    <w:p w14:paraId="53F932A4"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Communication encompasses more than just speaking and listening. It also include nonverbal communication, empathy, and active listening, which are vital competencies for successful engagement. UTPB (2024) asserts that up to 93% of communication is nonverbal, highlighting the need of understanding how body language, tone, and intonation influence message reception. For instance, sustaining eye contact and adopting an open body position may markedly improve involvement in talks, facilitating correct message interpretation. Consequently, nonverbal signals significantly contribute to averting misunderstandings and enhancing interpersonal relationships among coworkers.</w:t>
      </w:r>
    </w:p>
    <w:p w14:paraId="6A09B94C"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 xml:space="preserve">Another essential communication ability is active listening, which is concentrating entirely on the speaker and offering comments that indicates comprehension. Ab Rahman et al. (2019) assert that summarising employee problems in one-on-one sessions enhances teamwork and instills a sense of importance in people. This method fosters an environment in which all individuals feel acknowledged and valued, hence facilitating the development of </w:t>
      </w:r>
      <w:r w:rsidRPr="003C72A6">
        <w:rPr>
          <w:rFonts w:ascii="Times New Roman" w:hAnsi="Times New Roman" w:cs="Times New Roman"/>
          <w:sz w:val="24"/>
          <w:szCs w:val="24"/>
        </w:rPr>
        <w:lastRenderedPageBreak/>
        <w:t>trust and team cohesiveness. Moreover, offering constructive comments is vital. Baker (2022) asserts that workers who get positive feedback are 3.9 times more likely to be engaged compared to those who do not. Consequently, providing feedback properly is essential for enhancing staff morale and promoting engagement.</w:t>
      </w:r>
    </w:p>
    <w:p w14:paraId="4E5DA4F4"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Practical examples further demonstrate the significance of communication inside organisations. The failure of Netflix's Qwikster rebranding exemplifies the detrimental effects of ineffective communication. The rebranding, intended to distinguish Netflix's DVD rental from its streaming services, led to consumer misunderstanding and substantial subscription attrition. This scenario underscores the need for clear and effective communication throughout organisational transitions, since even substantial firms may have difficulties due to inadequate communication.</w:t>
      </w:r>
    </w:p>
    <w:p w14:paraId="0FD08AA4"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Communication significantly influences organisational productivity. Ballard (2024) asserts that effective communication may enhance productivity by as much as 25%. Organisations may operate more effectively by minimising time wasted on misunderstandings and mistakes. Establishing explicit objectives, such as "enhancing customer engagement by 15% this quarter," ensures that team members are synchronised and comprehend their expectations. In the absence of this clarity, workers may squander time and resources, thereby affecting productivity. Project.Co (2024) indicates that 68% of workers acknowledge time wastage resulting from inefficient communication, underscoring the urgent need for organisations to rectify communication deficiencies to enhance productivity.</w:t>
      </w:r>
    </w:p>
    <w:p w14:paraId="70CFDAF0"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 xml:space="preserve">Conflict resolution is another domain in which communication is crucial. Okoronkwo (2024b) asserts that more than 85% of workers across all tiers encounter disagreements, which, if unaddressed, may severely impede production and disturb team chemistry. To alleviate tensions, communication tactics include active listening, empathy, and organised talks are necessary. An illustrative instance of this is when a team encountered a discord on project direction, with some members endorsing a rapid resolution while others preferred a quality-centric methodology. This dispute resulted in delays and heightened stress among the crew. By promoting open communication and matching timelines with quality standards, the manager successfully aligned the team's efforts and restored cohesiveness. This scenario </w:t>
      </w:r>
      <w:r w:rsidRPr="003C72A6">
        <w:rPr>
          <w:rFonts w:ascii="Times New Roman" w:hAnsi="Times New Roman" w:cs="Times New Roman"/>
          <w:sz w:val="24"/>
          <w:szCs w:val="24"/>
        </w:rPr>
        <w:lastRenderedPageBreak/>
        <w:t>highlights the need of empathy and comprehension in addressing workplace conflicts, as well as the necessity of adaptability in achieving common goals.</w:t>
      </w:r>
    </w:p>
    <w:p w14:paraId="6B15E265"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Transparent communication positively influences team dynamics. Open communication among team members promotes engagement, alignment, and enhanced morale. This transparency fosters an atmosphere in which people feel esteemed and driven, resulting in enhanced creativity and organisational achievement. Furthermore, it is vital to implement ongoing enhancement procedures for communication across teams. Feedback loops, reflection, and practice facilitate the continual enhancement of communication abilities. Post-project feedback meetings provide team members the chance to evaluate their communication and pinpoint areas for improvement, which is essential for sustaining good cooperation in the long term.</w:t>
      </w:r>
    </w:p>
    <w:p w14:paraId="40F8F6A1" w14:textId="77777777" w:rsidR="003C72A6" w:rsidRDefault="003C72A6" w:rsidP="003C72A6">
      <w:pPr>
        <w:spacing w:line="360" w:lineRule="auto"/>
        <w:ind w:firstLine="709"/>
        <w:rPr>
          <w:rFonts w:ascii="Times New Roman" w:hAnsi="Times New Roman" w:cs="Times New Roman"/>
          <w:sz w:val="24"/>
          <w:szCs w:val="24"/>
        </w:rPr>
      </w:pPr>
      <w:r w:rsidRPr="003C72A6">
        <w:rPr>
          <w:rFonts w:ascii="Times New Roman" w:hAnsi="Times New Roman" w:cs="Times New Roman"/>
          <w:sz w:val="24"/>
          <w:szCs w:val="24"/>
        </w:rPr>
        <w:t>Current developments in workplace communication emphasise the need of adjusting communication tactics to contemporary requirements. As remote work has increased, digital communication platforms like Slack and Microsoft Teams have become essential for collaboration. Furthermore, AI-generated insights may be used to enhance communication by evaluating employee engagement and the efficacy of messages (Okoronkwo, 2024a). Modifying communication strategies to accommodate the distinct preferences of a heterogeneous workforce—where Gen Z workers favour digital communication while older generations prefer in-person interactions—is essential for bridging generational divides and sustaining good team relationships.</w:t>
      </w:r>
    </w:p>
    <w:p w14:paraId="2807951A" w14:textId="4B2E0EC2" w:rsidR="003C72A6" w:rsidRPr="003C72A6" w:rsidRDefault="003C72A6" w:rsidP="003C72A6">
      <w:pPr>
        <w:spacing w:line="360" w:lineRule="auto"/>
        <w:ind w:firstLine="709"/>
      </w:pPr>
      <w:r w:rsidRPr="003C72A6">
        <w:rPr>
          <w:rFonts w:ascii="Times New Roman" w:hAnsi="Times New Roman" w:cs="Times New Roman"/>
          <w:sz w:val="24"/>
          <w:szCs w:val="24"/>
        </w:rPr>
        <w:t>In summary, good communication is fundamental to the success of organisations. It promotes teamwork, increases production, and cultivates trust among team members. Essential communication skills, such as active listening, precise messaging, constructive criticism, nonverbal signals, and empathy, are vital for attaining organisational objectives. Practical instances, such as the unsuccessful rebranding of Qwikster by Netflix, underscore the repercussions of ineffective communication. Going ahead, ongoing education, systematic feedback, and the use of technology might assist organisations in augmenting their communication proficiency, hence resulting in enhanced morale, productivity, and organisational achievement.</w:t>
      </w:r>
      <w:r w:rsidRPr="003C72A6">
        <w:br/>
      </w:r>
    </w:p>
    <w:p w14:paraId="04038A81" w14:textId="4A9C8A5A" w:rsidR="003C72A6" w:rsidRDefault="003C72A6">
      <w:r>
        <w:lastRenderedPageBreak/>
        <w:t>References:</w:t>
      </w:r>
    </w:p>
    <w:p w14:paraId="62367D8C" w14:textId="77777777" w:rsidR="003C72A6" w:rsidRPr="003C72A6" w:rsidRDefault="003C72A6" w:rsidP="003C72A6">
      <w:r w:rsidRPr="003C72A6">
        <w:rPr>
          <w:b/>
          <w:bCs/>
        </w:rPr>
        <w:t>References</w:t>
      </w:r>
    </w:p>
    <w:p w14:paraId="4E848B2B" w14:textId="77777777" w:rsidR="003C72A6" w:rsidRPr="003C72A6" w:rsidRDefault="003C72A6" w:rsidP="003C72A6">
      <w:r w:rsidRPr="003C72A6">
        <w:t>Ab Rahman, F., Mohamed, A.H., Nasir, N.S.A. and Saidin, K., 2019. Exploring perceptions of employers on communication skills among fresh graduates. Practitioner Research, 1, pp.69-85.</w:t>
      </w:r>
    </w:p>
    <w:p w14:paraId="4DDBBFBF" w14:textId="77777777" w:rsidR="003C72A6" w:rsidRPr="003C72A6" w:rsidRDefault="003C72A6" w:rsidP="003C72A6">
      <w:r w:rsidRPr="003C72A6">
        <w:t>Baker, C., 2022. 10 Ways to Increase Employee Retention and Keep Your Best Players. Leaders. [Online] Available at: https://leaders.com/articles/company-culture/employee-retention/</w:t>
      </w:r>
    </w:p>
    <w:p w14:paraId="0257E080" w14:textId="77777777" w:rsidR="003C72A6" w:rsidRPr="003C72A6" w:rsidRDefault="003C72A6" w:rsidP="003C72A6">
      <w:r w:rsidRPr="003C72A6">
        <w:t>Ballard, J., 2024. Communication: Building Productivity And Collaboration. Forbes. [Online] Available at: https://www.forbes.com/councils/forbescoachescouncil/2024/05/20/mastering-the-art-of-effective-communication-building-productivity-and-collaboration/</w:t>
      </w:r>
    </w:p>
    <w:p w14:paraId="004C4760" w14:textId="77777777" w:rsidR="003C72A6" w:rsidRPr="003C72A6" w:rsidRDefault="003C72A6" w:rsidP="003C72A6">
      <w:r w:rsidRPr="003C72A6">
        <w:t>Gray, K., 2021. Competencies: Employers Weigh Importance Versus New Grad Proficiency. National Association of Colleges and Employers. [Online] Available at: https://www.naceweb.org/career-readiness/competencies/competencies-employers-weigh-importance-versus-new-grad-proficiency/</w:t>
      </w:r>
    </w:p>
    <w:p w14:paraId="095ADC30" w14:textId="77777777" w:rsidR="003C72A6" w:rsidRPr="003C72A6" w:rsidRDefault="003C72A6" w:rsidP="003C72A6">
      <w:r w:rsidRPr="003C72A6">
        <w:t>Ilavarasi, I., 2024. Enhancing Workplace Productivity: A Review of Effective Communication Techniques and Their Role in Fostering Team Collaboration and Conflict Resolution. International Journal for Multidimensional Research Perspectives, 2(4), pp.33-45.</w:t>
      </w:r>
    </w:p>
    <w:p w14:paraId="7DBDCB49" w14:textId="77777777" w:rsidR="003C72A6" w:rsidRPr="003C72A6" w:rsidRDefault="003C72A6" w:rsidP="003C72A6">
      <w:r w:rsidRPr="003C72A6">
        <w:t>Newnam, S. and Goode, N., 2019. Communication in the workplace: Defining the conversations of supervisors. Journal of Safety Research, 70, pp.19-23.</w:t>
      </w:r>
    </w:p>
    <w:p w14:paraId="752CA5C3" w14:textId="77777777" w:rsidR="003C72A6" w:rsidRPr="003C72A6" w:rsidRDefault="003C72A6" w:rsidP="003C72A6">
      <w:r w:rsidRPr="003C72A6">
        <w:t>Okoronkwo, V., 2024a. 45+ Interesting Communication Skills Statistics &amp; Huge Trends. Passive Secrets. [Online] Available at: https://passivesecrets.com/communication-skills-statistics/#:~:text=Approximately%2093%25%20of%20effective%20communication,of%20effective%20communication%20is%20silent</w:t>
      </w:r>
    </w:p>
    <w:p w14:paraId="4CE02B17" w14:textId="77777777" w:rsidR="003C72A6" w:rsidRPr="003C72A6" w:rsidRDefault="003C72A6" w:rsidP="003C72A6">
      <w:r w:rsidRPr="003C72A6">
        <w:t>Okoronkwo, V., 2024b. 40+ Top Workplace Conflict Statistics You Should Know [2024]. Passive Secrets. [Online] Available at: https://passivesecrets.com/workplace-conflict-statistics/</w:t>
      </w:r>
    </w:p>
    <w:p w14:paraId="4EE1F7EF" w14:textId="77777777" w:rsidR="003C72A6" w:rsidRPr="003C72A6" w:rsidRDefault="003C72A6" w:rsidP="003C72A6">
      <w:r w:rsidRPr="003C72A6">
        <w:t>Project.co, 2024. Communication Statistics 2024. Project.co. [Online] Available at: https://www.project.co/communication-statistics/</w:t>
      </w:r>
    </w:p>
    <w:p w14:paraId="4DF158DA" w14:textId="77777777" w:rsidR="003C72A6" w:rsidRPr="003C72A6" w:rsidRDefault="003C72A6" w:rsidP="003C72A6">
      <w:r w:rsidRPr="003C72A6">
        <w:t>UTPB, 2024. How Much of Communication Is Nonverbal?. The University of Texas Permian Basin. [Online] Available at: https://online.utpb.edu/about-us/articles/communication/how-much-of-communication-is-nonverbal/</w:t>
      </w:r>
    </w:p>
    <w:p w14:paraId="3EEA728B" w14:textId="77777777" w:rsidR="003C72A6" w:rsidRPr="003C72A6" w:rsidRDefault="003C72A6" w:rsidP="003C72A6">
      <w:r w:rsidRPr="003C72A6">
        <w:t>Zhang, X., 2024. The Impact of Communication Technologies on Modern Business Operations. Journal of Business Communication, 3(2), pp.45-58.</w:t>
      </w:r>
    </w:p>
    <w:p w14:paraId="4339260C" w14:textId="77777777" w:rsidR="003C72A6" w:rsidRPr="003C72A6" w:rsidRDefault="003C72A6" w:rsidP="003C72A6">
      <w:r w:rsidRPr="003C72A6">
        <w:t>Lewis, P. and Jordan, K., 2023. Cross-Generational Communication in the Workplace: Strategies for Bridging Gaps. Workplace Insights, 5(1), pp.112-123.</w:t>
      </w:r>
    </w:p>
    <w:p w14:paraId="639AC1D7" w14:textId="2306CCC5" w:rsidR="003C72A6" w:rsidRPr="003C72A6" w:rsidRDefault="003C72A6" w:rsidP="003C72A6"/>
    <w:p w14:paraId="775E072A" w14:textId="77777777" w:rsidR="003C72A6" w:rsidRDefault="003C72A6"/>
    <w:sectPr w:rsidR="003C72A6">
      <w:headerReference w:type="default" r:id="rId6"/>
      <w:footerReference w:type="default" r:id="rId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34DC67" w14:textId="77777777" w:rsidR="00244157" w:rsidRDefault="00244157" w:rsidP="003C72A6">
      <w:pPr>
        <w:spacing w:after="0" w:line="240" w:lineRule="auto"/>
      </w:pPr>
      <w:r>
        <w:separator/>
      </w:r>
    </w:p>
  </w:endnote>
  <w:endnote w:type="continuationSeparator" w:id="0">
    <w:p w14:paraId="4C6D9328" w14:textId="77777777" w:rsidR="00244157" w:rsidRDefault="00244157" w:rsidP="003C7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6704967"/>
      <w:docPartObj>
        <w:docPartGallery w:val="Page Numbers (Bottom of Page)"/>
        <w:docPartUnique/>
      </w:docPartObj>
    </w:sdtPr>
    <w:sdtContent>
      <w:p w14:paraId="62897242" w14:textId="3B0F4661" w:rsidR="003C72A6" w:rsidRDefault="003C72A6">
        <w:pPr>
          <w:pStyle w:val="Subsol"/>
          <w:jc w:val="center"/>
        </w:pPr>
        <w:r>
          <w:fldChar w:fldCharType="begin"/>
        </w:r>
        <w:r>
          <w:instrText>PAGE   \* MERGEFORMAT</w:instrText>
        </w:r>
        <w:r>
          <w:fldChar w:fldCharType="separate"/>
        </w:r>
        <w:r>
          <w:t>2</w:t>
        </w:r>
        <w:r>
          <w:fldChar w:fldCharType="end"/>
        </w:r>
      </w:p>
    </w:sdtContent>
  </w:sdt>
  <w:p w14:paraId="7BAB9EC8" w14:textId="77777777" w:rsidR="003C72A6" w:rsidRDefault="003C72A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2E8222" w14:textId="77777777" w:rsidR="00244157" w:rsidRDefault="00244157" w:rsidP="003C72A6">
      <w:pPr>
        <w:spacing w:after="0" w:line="240" w:lineRule="auto"/>
      </w:pPr>
      <w:r>
        <w:separator/>
      </w:r>
    </w:p>
  </w:footnote>
  <w:footnote w:type="continuationSeparator" w:id="0">
    <w:p w14:paraId="2D529CDE" w14:textId="77777777" w:rsidR="00244157" w:rsidRDefault="00244157" w:rsidP="003C72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51005F" w14:textId="4898ABF4" w:rsidR="003C72A6" w:rsidRDefault="003C72A6">
    <w:pPr>
      <w:pStyle w:val="Antet"/>
    </w:pPr>
    <w:r w:rsidRPr="00E866BD">
      <w:rPr>
        <w:noProof/>
      </w:rPr>
      <w:drawing>
        <wp:inline distT="0" distB="0" distL="0" distR="0" wp14:anchorId="2D7210FA" wp14:editId="0C021101">
          <wp:extent cx="1535459" cy="609600"/>
          <wp:effectExtent l="0" t="0" r="7620" b="0"/>
          <wp:docPr id="841268645"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1590" cy="616004"/>
                  </a:xfrm>
                  <a:prstGeom prst="rect">
                    <a:avLst/>
                  </a:prstGeom>
                  <a:noFill/>
                  <a:ln>
                    <a:noFill/>
                  </a:ln>
                </pic:spPr>
              </pic:pic>
            </a:graphicData>
          </a:graphic>
        </wp:inline>
      </w:drawing>
    </w:r>
    <w:r>
      <w:rPr>
        <w:noProof/>
      </w:rPr>
      <w:t xml:space="preserve">                                                                                                                        </w:t>
    </w:r>
    <w:r>
      <w:rPr>
        <w:noProof/>
      </w:rPr>
      <w:drawing>
        <wp:inline distT="0" distB="0" distL="0" distR="0" wp14:anchorId="73C62C23" wp14:editId="149832D4">
          <wp:extent cx="807720" cy="898816"/>
          <wp:effectExtent l="0" t="0" r="0" b="0"/>
          <wp:docPr id="720713440" name="Imagin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818687" cy="911020"/>
                  </a:xfrm>
                  <a:prstGeom prst="rect">
                    <a:avLst/>
                  </a:prstGeom>
                  <a:noFill/>
                  <a:ln>
                    <a:noFill/>
                  </a:ln>
                </pic:spPr>
              </pic:pic>
            </a:graphicData>
          </a:graphic>
        </wp:inline>
      </w:drawing>
    </w:r>
  </w:p>
  <w:p w14:paraId="4B683D0B" w14:textId="77777777" w:rsidR="003C72A6" w:rsidRDefault="003C72A6">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099"/>
    <w:rsid w:val="000C225E"/>
    <w:rsid w:val="001242E7"/>
    <w:rsid w:val="00244157"/>
    <w:rsid w:val="003C72A6"/>
    <w:rsid w:val="00427933"/>
    <w:rsid w:val="00505773"/>
    <w:rsid w:val="00674955"/>
    <w:rsid w:val="0098118C"/>
    <w:rsid w:val="00A175F4"/>
    <w:rsid w:val="00D83099"/>
    <w:rsid w:val="00D8500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45252"/>
  <w15:chartTrackingRefBased/>
  <w15:docId w15:val="{F2930748-FBD2-4B64-8B5A-29501B57D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2A6"/>
  </w:style>
  <w:style w:type="paragraph" w:styleId="Titlu1">
    <w:name w:val="heading 1"/>
    <w:basedOn w:val="Normal"/>
    <w:next w:val="Normal"/>
    <w:link w:val="Titlu1Caracter"/>
    <w:uiPriority w:val="9"/>
    <w:qFormat/>
    <w:rsid w:val="00D830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D830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D8309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8309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8309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8309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8309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8309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8309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8309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D8309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D8309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8309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8309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8309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8309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8309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83099"/>
    <w:rPr>
      <w:rFonts w:eastAsiaTheme="majorEastAsia" w:cstheme="majorBidi"/>
      <w:color w:val="272727" w:themeColor="text1" w:themeTint="D8"/>
    </w:rPr>
  </w:style>
  <w:style w:type="paragraph" w:styleId="Titlu">
    <w:name w:val="Title"/>
    <w:basedOn w:val="Normal"/>
    <w:next w:val="Normal"/>
    <w:link w:val="TitluCaracter"/>
    <w:uiPriority w:val="10"/>
    <w:qFormat/>
    <w:rsid w:val="00D830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8309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8309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8309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8309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83099"/>
    <w:rPr>
      <w:i/>
      <w:iCs/>
      <w:color w:val="404040" w:themeColor="text1" w:themeTint="BF"/>
    </w:rPr>
  </w:style>
  <w:style w:type="paragraph" w:styleId="Listparagraf">
    <w:name w:val="List Paragraph"/>
    <w:basedOn w:val="Normal"/>
    <w:uiPriority w:val="34"/>
    <w:qFormat/>
    <w:rsid w:val="00D83099"/>
    <w:pPr>
      <w:ind w:left="720"/>
      <w:contextualSpacing/>
    </w:pPr>
  </w:style>
  <w:style w:type="character" w:styleId="Accentuareintens">
    <w:name w:val="Intense Emphasis"/>
    <w:basedOn w:val="Fontdeparagrafimplicit"/>
    <w:uiPriority w:val="21"/>
    <w:qFormat/>
    <w:rsid w:val="00D83099"/>
    <w:rPr>
      <w:i/>
      <w:iCs/>
      <w:color w:val="0F4761" w:themeColor="accent1" w:themeShade="BF"/>
    </w:rPr>
  </w:style>
  <w:style w:type="paragraph" w:styleId="Citatintens">
    <w:name w:val="Intense Quote"/>
    <w:basedOn w:val="Normal"/>
    <w:next w:val="Normal"/>
    <w:link w:val="CitatintensCaracter"/>
    <w:uiPriority w:val="30"/>
    <w:qFormat/>
    <w:rsid w:val="00D83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83099"/>
    <w:rPr>
      <w:i/>
      <w:iCs/>
      <w:color w:val="0F4761" w:themeColor="accent1" w:themeShade="BF"/>
    </w:rPr>
  </w:style>
  <w:style w:type="character" w:styleId="Referireintens">
    <w:name w:val="Intense Reference"/>
    <w:basedOn w:val="Fontdeparagrafimplicit"/>
    <w:uiPriority w:val="32"/>
    <w:qFormat/>
    <w:rsid w:val="00D83099"/>
    <w:rPr>
      <w:b/>
      <w:bCs/>
      <w:smallCaps/>
      <w:color w:val="0F4761" w:themeColor="accent1" w:themeShade="BF"/>
      <w:spacing w:val="5"/>
    </w:rPr>
  </w:style>
  <w:style w:type="paragraph" w:styleId="Antet">
    <w:name w:val="header"/>
    <w:basedOn w:val="Normal"/>
    <w:link w:val="AntetCaracter"/>
    <w:uiPriority w:val="99"/>
    <w:unhideWhenUsed/>
    <w:rsid w:val="003C72A6"/>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3C72A6"/>
  </w:style>
  <w:style w:type="paragraph" w:styleId="Subsol">
    <w:name w:val="footer"/>
    <w:basedOn w:val="Normal"/>
    <w:link w:val="SubsolCaracter"/>
    <w:uiPriority w:val="99"/>
    <w:unhideWhenUsed/>
    <w:rsid w:val="003C72A6"/>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3C7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626916">
      <w:bodyDiv w:val="1"/>
      <w:marLeft w:val="0"/>
      <w:marRight w:val="0"/>
      <w:marTop w:val="0"/>
      <w:marBottom w:val="0"/>
      <w:divBdr>
        <w:top w:val="none" w:sz="0" w:space="0" w:color="auto"/>
        <w:left w:val="none" w:sz="0" w:space="0" w:color="auto"/>
        <w:bottom w:val="none" w:sz="0" w:space="0" w:color="auto"/>
        <w:right w:val="none" w:sz="0" w:space="0" w:color="auto"/>
      </w:divBdr>
    </w:div>
    <w:div w:id="324091502">
      <w:bodyDiv w:val="1"/>
      <w:marLeft w:val="0"/>
      <w:marRight w:val="0"/>
      <w:marTop w:val="0"/>
      <w:marBottom w:val="0"/>
      <w:divBdr>
        <w:top w:val="none" w:sz="0" w:space="0" w:color="auto"/>
        <w:left w:val="none" w:sz="0" w:space="0" w:color="auto"/>
        <w:bottom w:val="none" w:sz="0" w:space="0" w:color="auto"/>
        <w:right w:val="none" w:sz="0" w:space="0" w:color="auto"/>
      </w:divBdr>
    </w:div>
    <w:div w:id="512426905">
      <w:bodyDiv w:val="1"/>
      <w:marLeft w:val="0"/>
      <w:marRight w:val="0"/>
      <w:marTop w:val="0"/>
      <w:marBottom w:val="0"/>
      <w:divBdr>
        <w:top w:val="none" w:sz="0" w:space="0" w:color="auto"/>
        <w:left w:val="none" w:sz="0" w:space="0" w:color="auto"/>
        <w:bottom w:val="none" w:sz="0" w:space="0" w:color="auto"/>
        <w:right w:val="none" w:sz="0" w:space="0" w:color="auto"/>
      </w:divBdr>
    </w:div>
    <w:div w:id="912619281">
      <w:bodyDiv w:val="1"/>
      <w:marLeft w:val="0"/>
      <w:marRight w:val="0"/>
      <w:marTop w:val="0"/>
      <w:marBottom w:val="0"/>
      <w:divBdr>
        <w:top w:val="none" w:sz="0" w:space="0" w:color="auto"/>
        <w:left w:val="none" w:sz="0" w:space="0" w:color="auto"/>
        <w:bottom w:val="none" w:sz="0" w:space="0" w:color="auto"/>
        <w:right w:val="none" w:sz="0" w:space="0" w:color="auto"/>
      </w:divBdr>
    </w:div>
    <w:div w:id="1242987946">
      <w:bodyDiv w:val="1"/>
      <w:marLeft w:val="0"/>
      <w:marRight w:val="0"/>
      <w:marTop w:val="0"/>
      <w:marBottom w:val="0"/>
      <w:divBdr>
        <w:top w:val="none" w:sz="0" w:space="0" w:color="auto"/>
        <w:left w:val="none" w:sz="0" w:space="0" w:color="auto"/>
        <w:bottom w:val="none" w:sz="0" w:space="0" w:color="auto"/>
        <w:right w:val="none" w:sz="0" w:space="0" w:color="auto"/>
      </w:divBdr>
    </w:div>
    <w:div w:id="1839954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em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1441</Words>
  <Characters>8359</Characters>
  <Application>Microsoft Office Word</Application>
  <DocSecurity>0</DocSecurity>
  <Lines>69</Lines>
  <Paragraphs>19</Paragraphs>
  <ScaleCrop>false</ScaleCrop>
  <Company/>
  <LinksUpToDate>false</LinksUpToDate>
  <CharactersWithSpaces>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Costea</dc:creator>
  <cp:keywords/>
  <dc:description/>
  <cp:lastModifiedBy>Andreea Costea</cp:lastModifiedBy>
  <cp:revision>2</cp:revision>
  <dcterms:created xsi:type="dcterms:W3CDTF">2024-11-29T00:28:00Z</dcterms:created>
  <dcterms:modified xsi:type="dcterms:W3CDTF">2024-11-29T00:33:00Z</dcterms:modified>
</cp:coreProperties>
</file>