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2269A0" w:rsidR="002269A0" w:rsidP="117E7E9F" w:rsidRDefault="002269A0" w14:paraId="5DB65D5D" w14:textId="7E3BBBCB">
      <w:pPr>
        <w:pStyle w:val="Titolo1"/>
        <w:rPr>
          <w:lang w:val="en-GB"/>
        </w:rPr>
      </w:pPr>
      <w:r w:rsidR="2AF31B1B">
        <w:drawing>
          <wp:inline wp14:editId="2B357859" wp14:anchorId="41C45A18">
            <wp:extent cx="3784127" cy="1257143"/>
            <wp:effectExtent l="0" t="0" r="0" b="0"/>
            <wp:docPr id="839545011" name="" title=""/>
            <wp:cNvGraphicFramePr>
              <a:graphicFrameLocks noChangeAspect="1"/>
            </wp:cNvGraphicFramePr>
            <a:graphic>
              <a:graphicData uri="http://schemas.openxmlformats.org/drawingml/2006/picture">
                <pic:pic>
                  <pic:nvPicPr>
                    <pic:cNvPr id="0" name=""/>
                    <pic:cNvPicPr/>
                  </pic:nvPicPr>
                  <pic:blipFill>
                    <a:blip r:embed="Rd916f7f231d14023">
                      <a:extLst>
                        <a:ext xmlns:a="http://schemas.openxmlformats.org/drawingml/2006/main" uri="{28A0092B-C50C-407E-A947-70E740481C1C}">
                          <a14:useLocalDpi val="0"/>
                        </a:ext>
                      </a:extLst>
                    </a:blip>
                    <a:stretch>
                      <a:fillRect/>
                    </a:stretch>
                  </pic:blipFill>
                  <pic:spPr>
                    <a:xfrm>
                      <a:off x="0" y="0"/>
                      <a:ext cx="3784127" cy="1257143"/>
                    </a:xfrm>
                    <a:prstGeom prst="rect">
                      <a:avLst/>
                    </a:prstGeom>
                  </pic:spPr>
                </pic:pic>
              </a:graphicData>
            </a:graphic>
          </wp:inline>
        </w:drawing>
      </w:r>
    </w:p>
    <w:p w:rsidRPr="002269A0" w:rsidR="002269A0" w:rsidP="117E7E9F" w:rsidRDefault="002269A0" w14:paraId="2772E1A2" w14:textId="536FBF72">
      <w:pPr>
        <w:pStyle w:val="Titolo1"/>
        <w:rPr>
          <w:lang w:val="en-GB"/>
        </w:rPr>
      </w:pPr>
    </w:p>
    <w:p w:rsidRPr="002269A0" w:rsidR="002269A0" w:rsidP="117E7E9F" w:rsidRDefault="002269A0" w14:paraId="067994E7" w14:textId="0BA434DA">
      <w:pPr>
        <w:pStyle w:val="Titolo1"/>
        <w:rPr>
          <w:lang w:val="en-GB"/>
        </w:rPr>
      </w:pPr>
    </w:p>
    <w:p w:rsidRPr="002269A0" w:rsidR="002269A0" w:rsidP="117E7E9F" w:rsidRDefault="002269A0" w14:paraId="308E17D2" w14:textId="4D264406">
      <w:pPr>
        <w:pStyle w:val="Titolo"/>
        <w:rPr>
          <w:b w:val="1"/>
          <w:bCs w:val="1"/>
          <w:sz w:val="52"/>
          <w:szCs w:val="52"/>
          <w:lang w:val="en-GB"/>
        </w:rPr>
      </w:pPr>
      <w:bookmarkStart w:name="_Toc972286707" w:id="1278118751"/>
      <w:bookmarkStart w:name="_Toc1958008433" w:id="899519608"/>
      <w:bookmarkStart w:name="_Toc670492025" w:id="1404147078"/>
      <w:bookmarkStart w:name="_Toc657539077" w:id="645192400"/>
      <w:bookmarkStart w:name="_Toc1181342689" w:id="1396449149"/>
      <w:bookmarkStart w:name="_Toc1026479694" w:id="1132878743"/>
      <w:r w:rsidRPr="117E7E9F" w:rsidR="3DDB68CC">
        <w:rPr>
          <w:lang w:val="en-GB"/>
        </w:rPr>
        <w:t>Strategic Management Assessment for</w:t>
      </w:r>
      <w:bookmarkEnd w:id="1278118751"/>
      <w:bookmarkEnd w:id="899519608"/>
      <w:bookmarkEnd w:id="1404147078"/>
      <w:bookmarkEnd w:id="645192400"/>
      <w:bookmarkEnd w:id="1396449149"/>
      <w:bookmarkEnd w:id="1132878743"/>
      <w:r w:rsidRPr="117E7E9F" w:rsidR="3DDB68CC">
        <w:rPr>
          <w:lang w:val="en-GB"/>
        </w:rPr>
        <w:t xml:space="preserve"> </w:t>
      </w:r>
    </w:p>
    <w:p w:rsidRPr="002269A0" w:rsidR="002269A0" w:rsidP="117E7E9F" w:rsidRDefault="002269A0" w14:paraId="20897422" w14:textId="7F580965">
      <w:pPr>
        <w:pStyle w:val="Titolo"/>
        <w:rPr>
          <w:b w:val="1"/>
          <w:bCs w:val="1"/>
          <w:sz w:val="52"/>
          <w:szCs w:val="52"/>
          <w:lang w:val="en-GB"/>
        </w:rPr>
      </w:pPr>
      <w:bookmarkStart w:name="_Toc1673692972" w:id="190076746"/>
      <w:bookmarkStart w:name="_Toc1850721968" w:id="91124501"/>
      <w:bookmarkStart w:name="_Toc69788641" w:id="179628219"/>
      <w:bookmarkStart w:name="_Toc716600408" w:id="65620511"/>
      <w:bookmarkStart w:name="_Toc2146655701" w:id="1493720811"/>
      <w:bookmarkStart w:name="_Toc1339489379" w:id="575571548"/>
      <w:r w:rsidRPr="117E7E9F" w:rsidR="3DDB68CC">
        <w:rPr>
          <w:lang w:val="en-GB"/>
        </w:rPr>
        <w:t>All Saints Dental Clinic</w:t>
      </w:r>
      <w:bookmarkEnd w:id="190076746"/>
      <w:bookmarkEnd w:id="91124501"/>
      <w:bookmarkEnd w:id="179628219"/>
      <w:bookmarkEnd w:id="65620511"/>
      <w:bookmarkEnd w:id="1493720811"/>
      <w:bookmarkEnd w:id="575571548"/>
    </w:p>
    <w:p w:rsidR="117E7E9F" w:rsidP="117E7E9F" w:rsidRDefault="117E7E9F" w14:paraId="1E4DC84C" w14:textId="0BF40C8D">
      <w:pPr>
        <w:pStyle w:val="Titolo"/>
        <w:rPr>
          <w:lang w:val="en-GB"/>
        </w:rPr>
      </w:pPr>
    </w:p>
    <w:p w:rsidR="117E7E9F" w:rsidP="117E7E9F" w:rsidRDefault="117E7E9F" w14:paraId="00A60397" w14:textId="180F9402">
      <w:pPr>
        <w:pStyle w:val="Titolo"/>
        <w:rPr>
          <w:lang w:val="en-GB"/>
        </w:rPr>
      </w:pPr>
    </w:p>
    <w:p w:rsidRPr="00EB353B" w:rsidR="00EB353B" w:rsidP="117E7E9F" w:rsidRDefault="00EB353B" w14:paraId="185A2DC4" w14:textId="77777777" w14:noSpellErr="1">
      <w:pPr>
        <w:pStyle w:val="Titolo"/>
        <w:rPr>
          <w:sz w:val="40"/>
          <w:szCs w:val="40"/>
          <w:lang w:val="en-GB"/>
        </w:rPr>
      </w:pPr>
      <w:bookmarkStart w:name="_Toc1125504343" w:id="290728627"/>
      <w:bookmarkStart w:name="_Toc943013798" w:id="1414324690"/>
      <w:bookmarkStart w:name="_Toc1471932594" w:id="201974946"/>
      <w:bookmarkStart w:name="_Toc1299928776" w:id="30739615"/>
      <w:bookmarkStart w:name="_Toc625522440" w:id="1610890552"/>
      <w:bookmarkStart w:name="_Toc210111427" w:id="372794738"/>
      <w:r w:rsidRPr="117E7E9F" w:rsidR="137A09E4">
        <w:rPr>
          <w:lang w:val="en-GB"/>
        </w:rPr>
        <w:t>Strategic Management for SMEs</w:t>
      </w:r>
      <w:bookmarkEnd w:id="290728627"/>
      <w:bookmarkEnd w:id="1414324690"/>
      <w:bookmarkEnd w:id="201974946"/>
      <w:bookmarkEnd w:id="30739615"/>
      <w:bookmarkEnd w:id="1610890552"/>
      <w:bookmarkEnd w:id="372794738"/>
    </w:p>
    <w:p w:rsidR="117E7E9F" w:rsidP="117E7E9F" w:rsidRDefault="117E7E9F" w14:paraId="3DC1E4D8" w14:textId="142965FD">
      <w:pPr>
        <w:pStyle w:val="Normale"/>
        <w:rPr>
          <w:lang w:val="en-GB"/>
        </w:rPr>
      </w:pPr>
    </w:p>
    <w:p w:rsidR="002269A0" w:rsidP="117E7E9F" w:rsidRDefault="00EB353B" w14:paraId="54390029" w14:textId="01C28DDB">
      <w:pPr>
        <w:pStyle w:val="Titolo"/>
        <w:rPr>
          <w:sz w:val="40"/>
          <w:szCs w:val="40"/>
          <w:lang w:val="en-GB"/>
        </w:rPr>
      </w:pPr>
      <w:bookmarkStart w:name="_Toc1478114837" w:id="2000311932"/>
      <w:bookmarkStart w:name="_Toc1149046608" w:id="1049825629"/>
      <w:bookmarkStart w:name="_Toc1889698134" w:id="1344302681"/>
      <w:bookmarkStart w:name="_Toc706221774" w:id="195034945"/>
      <w:bookmarkStart w:name="_Toc922272487" w:id="1710827366"/>
      <w:bookmarkStart w:name="_Toc1293979055" w:id="2024609095"/>
      <w:r w:rsidRPr="117E7E9F" w:rsidR="137A09E4">
        <w:rPr>
          <w:lang w:val="en-GB"/>
        </w:rPr>
        <w:t>BMSW 6104</w:t>
      </w:r>
      <w:r w:rsidRPr="117E7E9F" w:rsidR="137A09E4">
        <w:rPr>
          <w:lang w:val="en-GB"/>
        </w:rPr>
        <w:t xml:space="preserve">-Simona </w:t>
      </w:r>
      <w:r w:rsidRPr="117E7E9F" w:rsidR="137A09E4">
        <w:rPr>
          <w:lang w:val="en-GB"/>
        </w:rPr>
        <w:t>Pacuraru</w:t>
      </w:r>
      <w:r w:rsidRPr="117E7E9F" w:rsidR="443FB816">
        <w:rPr>
          <w:lang w:val="en-GB"/>
        </w:rPr>
        <w:t>-2126931</w:t>
      </w:r>
      <w:bookmarkEnd w:id="2000311932"/>
      <w:bookmarkEnd w:id="1049825629"/>
      <w:bookmarkEnd w:id="1344302681"/>
      <w:bookmarkEnd w:id="195034945"/>
      <w:bookmarkEnd w:id="1710827366"/>
      <w:bookmarkEnd w:id="2024609095"/>
    </w:p>
    <w:p w:rsidR="00EB353B" w:rsidP="117E7E9F" w:rsidRDefault="00EB353B" w14:paraId="2071D036" w14:textId="77777777" w14:noSpellErr="1">
      <w:pPr>
        <w:pStyle w:val="Titolo"/>
        <w:rPr>
          <w:lang w:val="en-GB"/>
        </w:rPr>
      </w:pPr>
    </w:p>
    <w:p w:rsidR="00EB353B" w:rsidP="00EB353B" w:rsidRDefault="00EB353B" w14:paraId="38E019F1" w14:textId="77777777">
      <w:pPr>
        <w:rPr>
          <w:lang w:val="en-GB"/>
        </w:rPr>
      </w:pPr>
    </w:p>
    <w:p w:rsidRPr="002269A0" w:rsidR="002269A0" w:rsidP="117E7E9F" w:rsidRDefault="002269A0" w14:paraId="5C826C48" w14:textId="77F93DF0">
      <w:pPr>
        <w:rPr>
          <w:rFonts w:ascii="Arial" w:hAnsi="Arial" w:cs="Arial"/>
          <w:lang w:val="en-GB"/>
        </w:rPr>
      </w:pPr>
    </w:p>
    <w:p w:rsidRPr="002269A0" w:rsidR="002269A0" w:rsidP="117E7E9F" w:rsidRDefault="002269A0" w14:paraId="108BA92D" w14:textId="69EFE091">
      <w:pPr>
        <w:rPr>
          <w:rFonts w:ascii="Arial" w:hAnsi="Arial" w:cs="Arial"/>
          <w:lang w:val="en-GB"/>
        </w:rPr>
      </w:pPr>
    </w:p>
    <w:p w:rsidRPr="002269A0" w:rsidR="002269A0" w:rsidP="117E7E9F" w:rsidRDefault="002269A0" w14:paraId="3DFFFE04" w14:textId="5E129E7D">
      <w:pPr>
        <w:pStyle w:val="Titolo1"/>
        <w:bidi w:val="0"/>
        <w:rPr>
          <w:lang w:val="en-GB"/>
        </w:rPr>
      </w:pPr>
    </w:p>
    <w:p w:rsidRPr="002269A0" w:rsidR="002269A0" w:rsidP="117E7E9F" w:rsidRDefault="002269A0" w14:paraId="15FF1E5B" w14:textId="69902717">
      <w:pPr>
        <w:pStyle w:val="Titolo1"/>
        <w:bidi w:val="0"/>
        <w:rPr>
          <w:lang w:val="en-GB"/>
        </w:rPr>
      </w:pPr>
    </w:p>
    <w:p w:rsidRPr="002269A0" w:rsidR="002269A0" w:rsidP="117E7E9F" w:rsidRDefault="002269A0" w14:paraId="70FEFF27" w14:textId="68C52603">
      <w:pPr>
        <w:pStyle w:val="Titolo1"/>
        <w:bidi w:val="0"/>
        <w:rPr>
          <w:lang w:val="en-GB"/>
        </w:rPr>
      </w:pPr>
    </w:p>
    <w:p w:rsidRPr="002269A0" w:rsidR="002269A0" w:rsidP="002269A0" w:rsidRDefault="002269A0" w14:paraId="603EBD28" w14:textId="529BF5DA">
      <w:pPr>
        <w:bidi w:val="0"/>
      </w:pPr>
      <w:r>
        <w:br w:type="page"/>
      </w:r>
    </w:p>
    <w:sdt>
      <w:sdtPr>
        <w:id w:val="1644407460"/>
        <w:docPartObj>
          <w:docPartGallery w:val="Table of Contents"/>
          <w:docPartUnique/>
        </w:docPartObj>
      </w:sdtPr>
      <w:sdtContent>
        <w:p w:rsidRPr="002269A0" w:rsidR="002269A0" w:rsidP="117E7E9F" w:rsidRDefault="002269A0" w14:paraId="78990643" w14:textId="0BCF87EB">
          <w:pPr>
            <w:pStyle w:val="TOC1"/>
            <w:tabs>
              <w:tab w:val="right" w:leader="dot" w:pos="9630"/>
            </w:tabs>
            <w:bidi w:val="0"/>
            <w:rPr>
              <w:rStyle w:val="Hyperlink"/>
            </w:rPr>
          </w:pPr>
          <w:r>
            <w:fldChar w:fldCharType="begin"/>
          </w:r>
          <w:r>
            <w:instrText xml:space="preserve">TOC \o \z \u \h</w:instrText>
          </w:r>
          <w:r>
            <w:fldChar w:fldCharType="separate"/>
          </w:r>
          <w:hyperlink w:anchor="_Toc847286800">
            <w:r w:rsidRPr="117E7E9F" w:rsidR="117E7E9F">
              <w:rPr>
                <w:rStyle w:val="Hyperlink"/>
              </w:rPr>
              <w:t>Introduction</w:t>
            </w:r>
            <w:r>
              <w:tab/>
            </w:r>
            <w:r>
              <w:fldChar w:fldCharType="begin"/>
            </w:r>
            <w:r>
              <w:instrText xml:space="preserve">PAGEREF _Toc847286800 \h</w:instrText>
            </w:r>
            <w:r>
              <w:fldChar w:fldCharType="separate"/>
            </w:r>
            <w:r w:rsidRPr="117E7E9F" w:rsidR="117E7E9F">
              <w:rPr>
                <w:rStyle w:val="Hyperlink"/>
              </w:rPr>
              <w:t>1</w:t>
            </w:r>
            <w:r>
              <w:fldChar w:fldCharType="end"/>
            </w:r>
          </w:hyperlink>
        </w:p>
        <w:p w:rsidRPr="002269A0" w:rsidR="002269A0" w:rsidP="117E7E9F" w:rsidRDefault="002269A0" w14:paraId="4DBF6292" w14:textId="3A10534F">
          <w:pPr>
            <w:pStyle w:val="TOC1"/>
            <w:tabs>
              <w:tab w:val="right" w:leader="dot" w:pos="9630"/>
            </w:tabs>
            <w:bidi w:val="0"/>
            <w:rPr>
              <w:rStyle w:val="Hyperlink"/>
            </w:rPr>
          </w:pPr>
          <w:hyperlink w:anchor="_Toc374339941">
            <w:r w:rsidRPr="117E7E9F" w:rsidR="117E7E9F">
              <w:rPr>
                <w:rStyle w:val="Hyperlink"/>
              </w:rPr>
              <w:t>Critically Appraise Current Strategy</w:t>
            </w:r>
            <w:r>
              <w:tab/>
            </w:r>
            <w:r>
              <w:fldChar w:fldCharType="begin"/>
            </w:r>
            <w:r>
              <w:instrText xml:space="preserve">PAGEREF _Toc374339941 \h</w:instrText>
            </w:r>
            <w:r>
              <w:fldChar w:fldCharType="separate"/>
            </w:r>
            <w:r w:rsidRPr="117E7E9F" w:rsidR="117E7E9F">
              <w:rPr>
                <w:rStyle w:val="Hyperlink"/>
              </w:rPr>
              <w:t>2</w:t>
            </w:r>
            <w:r>
              <w:fldChar w:fldCharType="end"/>
            </w:r>
          </w:hyperlink>
        </w:p>
        <w:p w:rsidRPr="002269A0" w:rsidR="002269A0" w:rsidP="117E7E9F" w:rsidRDefault="002269A0" w14:paraId="7616F27E" w14:textId="7063C306">
          <w:pPr>
            <w:pStyle w:val="TOC1"/>
            <w:tabs>
              <w:tab w:val="right" w:leader="dot" w:pos="9630"/>
            </w:tabs>
            <w:bidi w:val="0"/>
            <w:rPr>
              <w:rStyle w:val="Hyperlink"/>
            </w:rPr>
          </w:pPr>
          <w:hyperlink w:anchor="_Toc491423359">
            <w:r w:rsidRPr="117E7E9F" w:rsidR="117E7E9F">
              <w:rPr>
                <w:rStyle w:val="Hyperlink"/>
              </w:rPr>
              <w:t>Current Strategic Position:</w:t>
            </w:r>
            <w:r>
              <w:tab/>
            </w:r>
            <w:r>
              <w:fldChar w:fldCharType="begin"/>
            </w:r>
            <w:r>
              <w:instrText xml:space="preserve">PAGEREF _Toc491423359 \h</w:instrText>
            </w:r>
            <w:r>
              <w:fldChar w:fldCharType="separate"/>
            </w:r>
            <w:r w:rsidRPr="117E7E9F" w:rsidR="117E7E9F">
              <w:rPr>
                <w:rStyle w:val="Hyperlink"/>
              </w:rPr>
              <w:t>2</w:t>
            </w:r>
            <w:r>
              <w:fldChar w:fldCharType="end"/>
            </w:r>
          </w:hyperlink>
        </w:p>
        <w:p w:rsidRPr="002269A0" w:rsidR="002269A0" w:rsidP="117E7E9F" w:rsidRDefault="002269A0" w14:paraId="7347BA44" w14:textId="46188D70">
          <w:pPr>
            <w:pStyle w:val="TOC1"/>
            <w:tabs>
              <w:tab w:val="right" w:leader="dot" w:pos="9630"/>
            </w:tabs>
            <w:bidi w:val="0"/>
            <w:rPr>
              <w:rStyle w:val="Hyperlink"/>
            </w:rPr>
          </w:pPr>
          <w:hyperlink w:anchor="_Toc335098663">
            <w:r w:rsidRPr="117E7E9F" w:rsidR="117E7E9F">
              <w:rPr>
                <w:rStyle w:val="Hyperlink"/>
              </w:rPr>
              <w:t>Porter’s Five Forces Analysis:</w:t>
            </w:r>
            <w:r>
              <w:tab/>
            </w:r>
            <w:r>
              <w:fldChar w:fldCharType="begin"/>
            </w:r>
            <w:r>
              <w:instrText xml:space="preserve">PAGEREF _Toc335098663 \h</w:instrText>
            </w:r>
            <w:r>
              <w:fldChar w:fldCharType="separate"/>
            </w:r>
            <w:r w:rsidRPr="117E7E9F" w:rsidR="117E7E9F">
              <w:rPr>
                <w:rStyle w:val="Hyperlink"/>
              </w:rPr>
              <w:t>3</w:t>
            </w:r>
            <w:r>
              <w:fldChar w:fldCharType="end"/>
            </w:r>
          </w:hyperlink>
        </w:p>
        <w:p w:rsidRPr="002269A0" w:rsidR="002269A0" w:rsidP="117E7E9F" w:rsidRDefault="002269A0" w14:paraId="061F9484" w14:textId="0385470A">
          <w:pPr>
            <w:pStyle w:val="TOC1"/>
            <w:tabs>
              <w:tab w:val="right" w:leader="dot" w:pos="9630"/>
            </w:tabs>
            <w:bidi w:val="0"/>
            <w:rPr>
              <w:rStyle w:val="Hyperlink"/>
            </w:rPr>
          </w:pPr>
          <w:hyperlink w:anchor="_Toc1743221497">
            <w:r w:rsidRPr="117E7E9F" w:rsidR="117E7E9F">
              <w:rPr>
                <w:rStyle w:val="Hyperlink"/>
              </w:rPr>
              <w:t>PESTLE and SWOT Analysis</w:t>
            </w:r>
            <w:r>
              <w:tab/>
            </w:r>
            <w:r>
              <w:fldChar w:fldCharType="begin"/>
            </w:r>
            <w:r>
              <w:instrText xml:space="preserve">PAGEREF _Toc1743221497 \h</w:instrText>
            </w:r>
            <w:r>
              <w:fldChar w:fldCharType="separate"/>
            </w:r>
            <w:r w:rsidRPr="117E7E9F" w:rsidR="117E7E9F">
              <w:rPr>
                <w:rStyle w:val="Hyperlink"/>
              </w:rPr>
              <w:t>4</w:t>
            </w:r>
            <w:r>
              <w:fldChar w:fldCharType="end"/>
            </w:r>
          </w:hyperlink>
        </w:p>
        <w:p w:rsidRPr="002269A0" w:rsidR="002269A0" w:rsidP="117E7E9F" w:rsidRDefault="002269A0" w14:paraId="302DE8F9" w14:textId="1F144A73">
          <w:pPr>
            <w:pStyle w:val="TOC1"/>
            <w:tabs>
              <w:tab w:val="right" w:leader="dot" w:pos="9630"/>
            </w:tabs>
            <w:bidi w:val="0"/>
            <w:rPr>
              <w:rStyle w:val="Hyperlink"/>
            </w:rPr>
          </w:pPr>
          <w:hyperlink w:anchor="_Toc1590137939">
            <w:r w:rsidRPr="117E7E9F" w:rsidR="117E7E9F">
              <w:rPr>
                <w:rStyle w:val="Hyperlink"/>
              </w:rPr>
              <w:t>Stakeholder Analysis</w:t>
            </w:r>
            <w:r>
              <w:tab/>
            </w:r>
            <w:r>
              <w:fldChar w:fldCharType="begin"/>
            </w:r>
            <w:r>
              <w:instrText xml:space="preserve">PAGEREF _Toc1590137939 \h</w:instrText>
            </w:r>
            <w:r>
              <w:fldChar w:fldCharType="separate"/>
            </w:r>
            <w:r w:rsidRPr="117E7E9F" w:rsidR="117E7E9F">
              <w:rPr>
                <w:rStyle w:val="Hyperlink"/>
              </w:rPr>
              <w:t>6</w:t>
            </w:r>
            <w:r>
              <w:fldChar w:fldCharType="end"/>
            </w:r>
          </w:hyperlink>
        </w:p>
        <w:p w:rsidRPr="002269A0" w:rsidR="002269A0" w:rsidP="117E7E9F" w:rsidRDefault="002269A0" w14:paraId="1F01731A" w14:textId="4222ABCA">
          <w:pPr>
            <w:pStyle w:val="TOC1"/>
            <w:tabs>
              <w:tab w:val="right" w:leader="dot" w:pos="9630"/>
            </w:tabs>
            <w:bidi w:val="0"/>
            <w:rPr>
              <w:rStyle w:val="Hyperlink"/>
            </w:rPr>
          </w:pPr>
          <w:hyperlink w:anchor="_Toc813189321">
            <w:r w:rsidRPr="117E7E9F" w:rsidR="117E7E9F">
              <w:rPr>
                <w:rStyle w:val="Hyperlink"/>
              </w:rPr>
              <w:t>Stakeholder Analysis Grid:</w:t>
            </w:r>
            <w:r>
              <w:tab/>
            </w:r>
            <w:r>
              <w:fldChar w:fldCharType="begin"/>
            </w:r>
            <w:r>
              <w:instrText xml:space="preserve">PAGEREF _Toc813189321 \h</w:instrText>
            </w:r>
            <w:r>
              <w:fldChar w:fldCharType="separate"/>
            </w:r>
            <w:r w:rsidRPr="117E7E9F" w:rsidR="117E7E9F">
              <w:rPr>
                <w:rStyle w:val="Hyperlink"/>
              </w:rPr>
              <w:t>6</w:t>
            </w:r>
            <w:r>
              <w:fldChar w:fldCharType="end"/>
            </w:r>
          </w:hyperlink>
        </w:p>
        <w:p w:rsidRPr="002269A0" w:rsidR="002269A0" w:rsidP="117E7E9F" w:rsidRDefault="002269A0" w14:paraId="2DEFE276" w14:textId="098F3554">
          <w:pPr>
            <w:pStyle w:val="TOC1"/>
            <w:tabs>
              <w:tab w:val="right" w:leader="dot" w:pos="9630"/>
            </w:tabs>
            <w:bidi w:val="0"/>
            <w:rPr>
              <w:rStyle w:val="Hyperlink"/>
            </w:rPr>
          </w:pPr>
          <w:hyperlink w:anchor="_Toc978285583">
            <w:r w:rsidRPr="117E7E9F" w:rsidR="117E7E9F">
              <w:rPr>
                <w:rStyle w:val="Hyperlink"/>
              </w:rPr>
              <w:t>Strategic Growth Options</w:t>
            </w:r>
            <w:r>
              <w:tab/>
            </w:r>
            <w:r>
              <w:fldChar w:fldCharType="begin"/>
            </w:r>
            <w:r>
              <w:instrText xml:space="preserve">PAGEREF _Toc978285583 \h</w:instrText>
            </w:r>
            <w:r>
              <w:fldChar w:fldCharType="separate"/>
            </w:r>
            <w:r w:rsidRPr="117E7E9F" w:rsidR="117E7E9F">
              <w:rPr>
                <w:rStyle w:val="Hyperlink"/>
              </w:rPr>
              <w:t>7</w:t>
            </w:r>
            <w:r>
              <w:fldChar w:fldCharType="end"/>
            </w:r>
          </w:hyperlink>
        </w:p>
        <w:p w:rsidRPr="002269A0" w:rsidR="002269A0" w:rsidP="117E7E9F" w:rsidRDefault="002269A0" w14:paraId="046FA465" w14:textId="1180C409">
          <w:pPr>
            <w:pStyle w:val="TOC1"/>
            <w:tabs>
              <w:tab w:val="right" w:leader="dot" w:pos="9630"/>
            </w:tabs>
            <w:bidi w:val="0"/>
            <w:rPr>
              <w:rStyle w:val="Hyperlink"/>
            </w:rPr>
          </w:pPr>
          <w:hyperlink w:anchor="_Toc1915061465">
            <w:r w:rsidRPr="117E7E9F" w:rsidR="117E7E9F">
              <w:rPr>
                <w:rStyle w:val="Hyperlink"/>
              </w:rPr>
              <w:t>Conclusion</w:t>
            </w:r>
            <w:r>
              <w:tab/>
            </w:r>
            <w:r>
              <w:fldChar w:fldCharType="begin"/>
            </w:r>
            <w:r>
              <w:instrText xml:space="preserve">PAGEREF _Toc1915061465 \h</w:instrText>
            </w:r>
            <w:r>
              <w:fldChar w:fldCharType="separate"/>
            </w:r>
            <w:r w:rsidRPr="117E7E9F" w:rsidR="117E7E9F">
              <w:rPr>
                <w:rStyle w:val="Hyperlink"/>
              </w:rPr>
              <w:t>9</w:t>
            </w:r>
            <w:r>
              <w:fldChar w:fldCharType="end"/>
            </w:r>
          </w:hyperlink>
        </w:p>
        <w:p w:rsidRPr="002269A0" w:rsidR="002269A0" w:rsidP="117E7E9F" w:rsidRDefault="002269A0" w14:paraId="0FA39687" w14:textId="7F64717F">
          <w:pPr>
            <w:pStyle w:val="TOC1"/>
            <w:tabs>
              <w:tab w:val="right" w:leader="dot" w:pos="9630"/>
            </w:tabs>
            <w:bidi w:val="0"/>
            <w:rPr>
              <w:rStyle w:val="Hyperlink"/>
              <w:sz w:val="52"/>
              <w:szCs w:val="52"/>
            </w:rPr>
          </w:pPr>
          <w:hyperlink w:anchor="_Toc1878487673">
            <w:r w:rsidRPr="117E7E9F" w:rsidR="117E7E9F">
              <w:rPr>
                <w:rStyle w:val="Hyperlink"/>
              </w:rPr>
              <w:t>References</w:t>
            </w:r>
            <w:r>
              <w:tab/>
            </w:r>
            <w:r>
              <w:fldChar w:fldCharType="begin"/>
            </w:r>
            <w:r>
              <w:instrText xml:space="preserve">PAGEREF _Toc1878487673 \h</w:instrText>
            </w:r>
            <w:r>
              <w:fldChar w:fldCharType="separate"/>
            </w:r>
            <w:r w:rsidRPr="117E7E9F" w:rsidR="117E7E9F">
              <w:rPr>
                <w:rStyle w:val="Hyperlink"/>
              </w:rPr>
              <w:t>10</w:t>
            </w:r>
            <w:r>
              <w:fldChar w:fldCharType="end"/>
            </w:r>
          </w:hyperlink>
          <w:r>
            <w:fldChar w:fldCharType="end"/>
          </w:r>
        </w:p>
      </w:sdtContent>
    </w:sdt>
    <w:p w:rsidRPr="002269A0" w:rsidR="002269A0" w:rsidP="117E7E9F" w:rsidRDefault="002269A0" w14:paraId="16E07DBA" w14:textId="4FF9406B">
      <w:pPr>
        <w:pStyle w:val="Titolo1"/>
        <w:bidi w:val="0"/>
        <w:rPr>
          <w:lang w:val="en-GB"/>
        </w:rPr>
      </w:pPr>
    </w:p>
    <w:p w:rsidRPr="002269A0" w:rsidR="002269A0" w:rsidP="117E7E9F" w:rsidRDefault="002269A0" w14:paraId="5B262A54" w14:textId="16F49712">
      <w:pPr>
        <w:pStyle w:val="Titolo1"/>
        <w:bidi w:val="0"/>
        <w:rPr>
          <w:lang w:val="en-GB"/>
        </w:rPr>
      </w:pPr>
    </w:p>
    <w:p w:rsidRPr="002269A0" w:rsidR="002269A0" w:rsidP="117E7E9F" w:rsidRDefault="002269A0" w14:paraId="064D5190" w14:textId="50A0824C">
      <w:pPr>
        <w:pStyle w:val="Titolo1"/>
        <w:bidi w:val="0"/>
        <w:rPr>
          <w:lang w:val="en-GB"/>
        </w:rPr>
      </w:pPr>
    </w:p>
    <w:p w:rsidRPr="002269A0" w:rsidR="002269A0" w:rsidP="117E7E9F" w:rsidRDefault="002269A0" w14:paraId="2915ECDC" w14:textId="6EF03E79">
      <w:pPr>
        <w:pStyle w:val="Titolo1"/>
        <w:bidi w:val="0"/>
        <w:rPr>
          <w:lang w:val="en-GB"/>
        </w:rPr>
      </w:pPr>
    </w:p>
    <w:p w:rsidRPr="002269A0" w:rsidR="002269A0" w:rsidP="117E7E9F" w:rsidRDefault="002269A0" w14:paraId="1EF960FD" w14:textId="617F6412">
      <w:pPr>
        <w:pStyle w:val="Titolo1"/>
        <w:bidi w:val="0"/>
        <w:rPr>
          <w:lang w:val="en-GB"/>
        </w:rPr>
      </w:pPr>
    </w:p>
    <w:p w:rsidRPr="002269A0" w:rsidR="002269A0" w:rsidP="117E7E9F" w:rsidRDefault="002269A0" w14:paraId="58D98011" w14:textId="68DD3C54">
      <w:pPr>
        <w:pStyle w:val="Titolo1"/>
        <w:bidi w:val="0"/>
        <w:rPr>
          <w:lang w:val="en-GB"/>
        </w:rPr>
      </w:pPr>
    </w:p>
    <w:p w:rsidRPr="002269A0" w:rsidR="002269A0" w:rsidP="002269A0" w:rsidRDefault="002269A0" w14:paraId="25E72607" w14:textId="3BEBA41C">
      <w:pPr>
        <w:bidi w:val="0"/>
      </w:pPr>
      <w:r>
        <w:br w:type="page"/>
      </w:r>
    </w:p>
    <w:p w:rsidRPr="002269A0" w:rsidR="002269A0" w:rsidP="117E7E9F" w:rsidRDefault="002269A0" w14:paraId="0D62AA23" w14:textId="32C712EE">
      <w:pPr>
        <w:pStyle w:val="Titolo1"/>
        <w:bidi w:val="0"/>
        <w:rPr>
          <w:lang w:val="en-GB"/>
        </w:rPr>
      </w:pPr>
    </w:p>
    <w:p w:rsidRPr="002269A0" w:rsidR="002269A0" w:rsidP="117E7E9F" w:rsidRDefault="002269A0" w14:paraId="29C80D7F" w14:textId="31D54262">
      <w:pPr>
        <w:pStyle w:val="Titolo1"/>
        <w:bidi w:val="0"/>
        <w:rPr>
          <w:rFonts w:ascii="Arial" w:hAnsi="Arial" w:cs="Arial"/>
          <w:color w:val="8EAADB" w:themeColor="accent1" w:themeTint="99" w:themeShade="FF"/>
          <w:lang w:val="en-GB"/>
        </w:rPr>
      </w:pPr>
      <w:bookmarkStart w:name="_Toc1355916032" w:id="1484116223"/>
      <w:bookmarkStart w:name="_Toc123661564" w:id="1520235718"/>
      <w:bookmarkStart w:name="_Toc474444154" w:id="810125816"/>
      <w:bookmarkStart w:name="_Toc1887104932" w:id="905459100"/>
      <w:bookmarkStart w:name="_Toc1610930022" w:id="95721729"/>
      <w:bookmarkStart w:name="_Toc1312830199" w:id="744623925"/>
      <w:bookmarkStart w:name="_Toc847286800" w:id="380704875"/>
      <w:r w:rsidRPr="117E7E9F" w:rsidR="506BC6B5">
        <w:rPr>
          <w:lang w:val="en-GB"/>
        </w:rPr>
        <w:t>I</w:t>
      </w:r>
      <w:r w:rsidRPr="117E7E9F" w:rsidR="3DDB68CC">
        <w:rPr>
          <w:lang w:val="en-GB"/>
        </w:rPr>
        <w:t>ntroduction</w:t>
      </w:r>
      <w:bookmarkEnd w:id="1484116223"/>
      <w:bookmarkEnd w:id="1520235718"/>
      <w:bookmarkEnd w:id="810125816"/>
      <w:bookmarkEnd w:id="905459100"/>
      <w:bookmarkEnd w:id="95721729"/>
      <w:bookmarkEnd w:id="744623925"/>
      <w:bookmarkEnd w:id="380704875"/>
      <w:r w:rsidRPr="117E7E9F" w:rsidR="3DDB68CC">
        <w:rPr>
          <w:lang w:val="en-GB"/>
        </w:rPr>
        <w:t xml:space="preserve"> </w:t>
      </w:r>
    </w:p>
    <w:p w:rsidRPr="002269A0" w:rsidR="002269A0" w:rsidP="002269A0" w:rsidRDefault="002269A0" w14:paraId="7ABA8A7D" w14:textId="77777777">
      <w:pPr>
        <w:rPr>
          <w:rFonts w:ascii="Arial" w:hAnsi="Arial" w:cs="Arial"/>
          <w:lang w:val="en-GB"/>
        </w:rPr>
      </w:pPr>
    </w:p>
    <w:p w:rsidRPr="002269A0" w:rsidR="002269A0" w:rsidP="002269A0" w:rsidRDefault="002269A0" w14:paraId="2364659E" w14:textId="0DBDB77E">
      <w:pPr>
        <w:rPr>
          <w:rFonts w:ascii="Arial" w:hAnsi="Arial" w:cs="Arial"/>
          <w:lang w:val="en-GB"/>
        </w:rPr>
      </w:pPr>
      <w:r w:rsidRPr="002269A0">
        <w:rPr>
          <w:rFonts w:ascii="Arial" w:hAnsi="Arial" w:cs="Arial"/>
          <w:lang w:val="en-GB"/>
        </w:rPr>
        <w:t>All Saints Dental Clinic is a well-established dental practice based in Kings Heath, Birmingham. The clinic provides a wide range of dental services, including general dentistry, orthodontics, and cosmetic treatments such as teeth whitening and Invisalign. The clinic aims to deliver high-quality, affordable oral healthcare to the local community.</w:t>
      </w:r>
      <w:r>
        <w:rPr>
          <w:rFonts w:ascii="Arial" w:hAnsi="Arial" w:cs="Arial"/>
          <w:lang w:val="en-GB"/>
        </w:rPr>
        <w:t xml:space="preserve"> </w:t>
      </w:r>
      <w:r w:rsidRPr="002269A0">
        <w:rPr>
          <w:rFonts w:ascii="Arial" w:hAnsi="Arial" w:cs="Arial"/>
          <w:lang w:val="en-GB"/>
        </w:rPr>
        <w:t>Strategy is defined as the long-term planning to achieve organizational goals, while Strategic Management involves the decisions and actions required to ensure the business meets these objectives (Johnson et al., 2017). This report aims to evaluate the clinic’s strategic position using tools like PESTLE, SWOT, and Porter’s Five Forces to propose sustainable growth strategies.</w:t>
      </w:r>
    </w:p>
    <w:p w:rsidR="002269A0" w:rsidP="002269A0" w:rsidRDefault="002269A0" w14:paraId="5D9B2966" w14:textId="77777777">
      <w:pPr>
        <w:rPr>
          <w:rFonts w:ascii="Arial" w:hAnsi="Arial" w:cs="Arial"/>
          <w:lang w:val="en-GB"/>
        </w:rPr>
      </w:pPr>
    </w:p>
    <w:p w:rsidRPr="002269A0" w:rsidR="002269A0" w:rsidP="002269A0" w:rsidRDefault="002269A0" w14:paraId="268EF7D7" w14:textId="77777777">
      <w:pPr>
        <w:rPr>
          <w:rFonts w:ascii="Arial" w:hAnsi="Arial" w:cs="Arial"/>
          <w:lang w:val="en-GB"/>
        </w:rPr>
      </w:pPr>
    </w:p>
    <w:p w:rsidRPr="002269A0" w:rsidR="002269A0" w:rsidP="117E7E9F" w:rsidRDefault="002269A0" w14:paraId="24902771" w14:textId="1A04A691" w14:noSpellErr="1">
      <w:pPr>
        <w:pStyle w:val="Titolo1"/>
        <w:rPr>
          <w:rFonts w:ascii="Arial" w:hAnsi="Arial" w:cs="Arial"/>
          <w:color w:val="8EAADB" w:themeColor="accent1" w:themeTint="99" w:themeShade="FF"/>
          <w:lang w:val="en-GB"/>
        </w:rPr>
      </w:pPr>
      <w:bookmarkStart w:name="_Toc2042992610" w:id="1527719413"/>
      <w:bookmarkStart w:name="_Toc1073127620" w:id="1900789544"/>
      <w:bookmarkStart w:name="_Toc1199219671" w:id="492245461"/>
      <w:bookmarkStart w:name="_Toc579841230" w:id="1416229766"/>
      <w:bookmarkStart w:name="_Toc526553334" w:id="851760976"/>
      <w:bookmarkStart w:name="_Toc2107701311" w:id="671783668"/>
      <w:bookmarkStart w:name="_Toc374339941" w:id="877751401"/>
      <w:r w:rsidRPr="117E7E9F" w:rsidR="3DDB68CC">
        <w:rPr>
          <w:lang w:val="en-GB"/>
        </w:rPr>
        <w:t>Critically Appraise Current Strategy</w:t>
      </w:r>
      <w:bookmarkEnd w:id="1527719413"/>
      <w:bookmarkEnd w:id="1900789544"/>
      <w:bookmarkEnd w:id="492245461"/>
      <w:bookmarkEnd w:id="1416229766"/>
      <w:bookmarkEnd w:id="851760976"/>
      <w:bookmarkEnd w:id="671783668"/>
      <w:bookmarkEnd w:id="877751401"/>
    </w:p>
    <w:p w:rsidRPr="002269A0" w:rsidR="002269A0" w:rsidP="002269A0" w:rsidRDefault="002269A0" w14:paraId="4945D76B" w14:textId="77777777">
      <w:pPr>
        <w:rPr>
          <w:rFonts w:ascii="Arial" w:hAnsi="Arial" w:cs="Arial"/>
          <w:lang w:val="en-GB"/>
        </w:rPr>
      </w:pPr>
    </w:p>
    <w:p w:rsidRPr="002269A0" w:rsidR="002269A0" w:rsidP="002269A0" w:rsidRDefault="002269A0" w14:paraId="1765F4A6" w14:textId="77777777">
      <w:pPr>
        <w:rPr>
          <w:rFonts w:ascii="Arial" w:hAnsi="Arial" w:cs="Arial"/>
          <w:lang w:val="en-GB"/>
        </w:rPr>
      </w:pPr>
      <w:r w:rsidRPr="002269A0">
        <w:rPr>
          <w:rFonts w:ascii="Arial" w:hAnsi="Arial" w:cs="Arial"/>
          <w:lang w:val="en-GB"/>
        </w:rPr>
        <w:t>Strategic Direction:</w:t>
      </w:r>
    </w:p>
    <w:p w:rsidRPr="002269A0" w:rsidR="002269A0" w:rsidP="002269A0" w:rsidRDefault="002269A0" w14:paraId="3D673070" w14:textId="77777777">
      <w:pPr>
        <w:rPr>
          <w:rFonts w:ascii="Arial" w:hAnsi="Arial" w:cs="Arial"/>
          <w:lang w:val="en-GB"/>
        </w:rPr>
      </w:pPr>
      <w:r w:rsidRPr="002269A0">
        <w:rPr>
          <w:rFonts w:ascii="Arial" w:hAnsi="Arial" w:cs="Arial"/>
          <w:lang w:val="en-GB"/>
        </w:rPr>
        <w:t>The vision of All Saints Dental Clinic is "To keep Birmingham smiling with quality and affordable dental healthcare," while its mission is "To offer professional and accessible oral care using advanced technologies." The main strategic goals include:</w:t>
      </w:r>
    </w:p>
    <w:p w:rsidRPr="002269A0" w:rsidR="002269A0" w:rsidP="002269A0" w:rsidRDefault="002269A0" w14:paraId="3ABA1201" w14:textId="77777777">
      <w:pPr>
        <w:rPr>
          <w:rFonts w:ascii="Arial" w:hAnsi="Arial" w:cs="Arial"/>
          <w:lang w:val="en-GB"/>
        </w:rPr>
      </w:pPr>
    </w:p>
    <w:p w:rsidRPr="002269A0" w:rsidR="002269A0" w:rsidP="002269A0" w:rsidRDefault="002269A0" w14:paraId="0F5177A0" w14:textId="74B862F3">
      <w:pPr>
        <w:pStyle w:val="Paragrafoelenco"/>
        <w:numPr>
          <w:ilvl w:val="0"/>
          <w:numId w:val="2"/>
        </w:numPr>
        <w:rPr>
          <w:rFonts w:ascii="Arial" w:hAnsi="Arial" w:cs="Arial"/>
          <w:lang w:val="en-GB"/>
        </w:rPr>
      </w:pPr>
      <w:r w:rsidRPr="002269A0">
        <w:rPr>
          <w:rFonts w:ascii="Arial" w:hAnsi="Arial" w:cs="Arial"/>
          <w:lang w:val="en-GB"/>
        </w:rPr>
        <w:t>Expanding cosmetic dentistry services, such as Invisalign and advanced teeth whitening, to cater to growing demand (All Saints Dental Clinic, 2024).</w:t>
      </w:r>
    </w:p>
    <w:p w:rsidRPr="002269A0" w:rsidR="002269A0" w:rsidP="002269A0" w:rsidRDefault="002269A0" w14:paraId="4366DEA3" w14:textId="77777777">
      <w:pPr>
        <w:rPr>
          <w:rFonts w:ascii="Arial" w:hAnsi="Arial" w:cs="Arial"/>
          <w:lang w:val="en-GB"/>
        </w:rPr>
      </w:pPr>
    </w:p>
    <w:p w:rsidRPr="002269A0" w:rsidR="002269A0" w:rsidP="002269A0" w:rsidRDefault="002269A0" w14:paraId="5C77DED1" w14:textId="1EEC4CEA">
      <w:pPr>
        <w:pStyle w:val="Paragrafoelenco"/>
        <w:numPr>
          <w:ilvl w:val="0"/>
          <w:numId w:val="2"/>
        </w:numPr>
        <w:rPr>
          <w:rFonts w:ascii="Arial" w:hAnsi="Arial" w:cs="Arial"/>
          <w:lang w:val="en-GB"/>
        </w:rPr>
      </w:pPr>
      <w:r w:rsidRPr="002269A0">
        <w:rPr>
          <w:rFonts w:ascii="Arial" w:hAnsi="Arial" w:cs="Arial"/>
          <w:lang w:val="en-GB"/>
        </w:rPr>
        <w:t>Enhancing patient experience through digital integration, including online booking systems, patient portals, and virtual consultations.</w:t>
      </w:r>
    </w:p>
    <w:p w:rsidRPr="002269A0" w:rsidR="002269A0" w:rsidP="002269A0" w:rsidRDefault="002269A0" w14:paraId="7DABDC54" w14:textId="77777777">
      <w:pPr>
        <w:rPr>
          <w:rFonts w:ascii="Arial" w:hAnsi="Arial" w:cs="Arial"/>
          <w:lang w:val="en-GB"/>
        </w:rPr>
      </w:pPr>
    </w:p>
    <w:p w:rsidRPr="002269A0" w:rsidR="002269A0" w:rsidP="002269A0" w:rsidRDefault="002269A0" w14:paraId="45306BA4" w14:textId="4B453BBE">
      <w:pPr>
        <w:pStyle w:val="Paragrafoelenco"/>
        <w:numPr>
          <w:ilvl w:val="0"/>
          <w:numId w:val="2"/>
        </w:numPr>
        <w:rPr>
          <w:rFonts w:ascii="Arial" w:hAnsi="Arial" w:cs="Arial"/>
          <w:lang w:val="en-GB"/>
        </w:rPr>
      </w:pPr>
      <w:r w:rsidRPr="002269A0">
        <w:rPr>
          <w:rFonts w:ascii="Arial" w:hAnsi="Arial" w:cs="Arial"/>
          <w:lang w:val="en-GB"/>
        </w:rPr>
        <w:t>Increasing patient outreach through targeted local marketing campaigns and community engagement initiatives.</w:t>
      </w:r>
    </w:p>
    <w:p w:rsidR="002269A0" w:rsidP="002269A0" w:rsidRDefault="002269A0" w14:paraId="6D9E466C" w14:textId="77777777">
      <w:pPr>
        <w:rPr>
          <w:rFonts w:ascii="Arial" w:hAnsi="Arial" w:cs="Arial"/>
          <w:lang w:val="en-GB"/>
        </w:rPr>
      </w:pPr>
    </w:p>
    <w:p w:rsidR="002269A0" w:rsidP="002269A0" w:rsidRDefault="002269A0" w14:paraId="370C3CC2" w14:textId="77777777">
      <w:pPr>
        <w:rPr>
          <w:rFonts w:ascii="Arial" w:hAnsi="Arial" w:cs="Arial"/>
          <w:lang w:val="en-GB"/>
        </w:rPr>
      </w:pPr>
    </w:p>
    <w:p w:rsidRPr="002269A0" w:rsidR="002269A0" w:rsidP="117E7E9F" w:rsidRDefault="002269A0" w14:paraId="336BB954" w14:textId="77777777" w14:noSpellErr="1">
      <w:pPr>
        <w:pStyle w:val="Titolo1"/>
        <w:rPr>
          <w:lang w:val="en-GB"/>
        </w:rPr>
      </w:pPr>
    </w:p>
    <w:p w:rsidRPr="002269A0" w:rsidR="002269A0" w:rsidP="117E7E9F" w:rsidRDefault="002269A0" w14:paraId="6C0080E3" w14:textId="77777777" w14:noSpellErr="1">
      <w:pPr>
        <w:pStyle w:val="Titolo1"/>
        <w:rPr>
          <w:rFonts w:ascii="Arial" w:hAnsi="Arial" w:cs="Arial"/>
          <w:color w:val="8EAADB" w:themeColor="accent1" w:themeTint="99" w:themeShade="FF"/>
          <w:lang w:val="en-GB"/>
        </w:rPr>
      </w:pPr>
      <w:bookmarkStart w:name="_Toc236039514" w:id="446309279"/>
      <w:bookmarkStart w:name="_Toc2028448620" w:id="1223191682"/>
      <w:bookmarkStart w:name="_Toc786347242" w:id="150994295"/>
      <w:bookmarkStart w:name="_Toc890602632" w:id="1084496452"/>
      <w:bookmarkStart w:name="_Toc1732577941" w:id="2022275418"/>
      <w:bookmarkStart w:name="_Toc1966755393" w:id="2014133578"/>
      <w:bookmarkStart w:name="_Toc491423359" w:id="495167081"/>
      <w:r w:rsidRPr="117E7E9F" w:rsidR="3DDB68CC">
        <w:rPr>
          <w:lang w:val="en-GB"/>
        </w:rPr>
        <w:t>Current Strategic Position:</w:t>
      </w:r>
      <w:bookmarkEnd w:id="446309279"/>
      <w:bookmarkEnd w:id="1223191682"/>
      <w:bookmarkEnd w:id="150994295"/>
      <w:bookmarkEnd w:id="1084496452"/>
      <w:bookmarkEnd w:id="2022275418"/>
      <w:bookmarkEnd w:id="2014133578"/>
      <w:bookmarkEnd w:id="495167081"/>
    </w:p>
    <w:p w:rsidRPr="002269A0" w:rsidR="002269A0" w:rsidP="002269A0" w:rsidRDefault="002269A0" w14:paraId="09AB69D9" w14:textId="7FB1F452">
      <w:pPr>
        <w:rPr>
          <w:rFonts w:ascii="Arial" w:hAnsi="Arial" w:cs="Arial"/>
          <w:lang w:val="en-GB"/>
        </w:rPr>
      </w:pPr>
      <w:r w:rsidRPr="002269A0">
        <w:rPr>
          <w:rFonts w:ascii="Arial" w:hAnsi="Arial" w:cs="Arial"/>
          <w:lang w:val="en-GB"/>
        </w:rPr>
        <w:t>In Birmingham, there are a number of dental practices that provide services that are comparable to those offered by All Saints Dental Clinic. This makes the climate in which they operate extremely competitive. Affordability, high-quality treatment, and cutting-edge technology have been the primary focusses of the clinic in an effort to separate itself from its competitors. For instance, it provides specialised procedures like as composite bonding and dental implants, both of which are becoming increasingly popular among patients who are looking to improve their appearance (All Saints Dental Clinic, 2024). Additionally, the clinic offers a variety of payment alternatives, including financing at zero percent, which makes it more appealing to a wide range of patient demographics. It is possible for the clinic to serve several patient segments as a result of its strategic positioning as a supplier of dental care that offers comprehensive services. These patient segments include families who require general dentistry as well as younger customers who are looking for orthodontic and cosmetic modifications. Social media presence, particularly on sites such as Instagram, where they publish patient transformations and clinic updates, has also shown to be a powerful technique for attracting younger audiences and developing a client base that is loyal to the dental clinic (All Saints Dental Clinic, 2024).</w:t>
      </w:r>
    </w:p>
    <w:p w:rsidR="002269A0" w:rsidP="002269A0" w:rsidRDefault="002269A0" w14:paraId="65540CBD" w14:textId="77777777">
      <w:pPr>
        <w:rPr>
          <w:rFonts w:ascii="Arial" w:hAnsi="Arial" w:cs="Arial"/>
          <w:lang w:val="en-GB"/>
        </w:rPr>
      </w:pPr>
    </w:p>
    <w:p w:rsidRPr="002269A0" w:rsidR="002269A0" w:rsidP="117E7E9F" w:rsidRDefault="002269A0" w14:paraId="03B22475" w14:textId="77777777" w14:noSpellErr="1">
      <w:pPr>
        <w:pStyle w:val="Titolo1"/>
        <w:rPr>
          <w:color w:val="8EAADB" w:themeColor="accent1" w:themeTint="99" w:themeShade="FF"/>
          <w:lang w:val="en-GB"/>
        </w:rPr>
      </w:pPr>
      <w:bookmarkStart w:name="_Toc686253924" w:id="2014509258"/>
      <w:bookmarkStart w:name="_Toc517669726" w:id="1908946000"/>
      <w:bookmarkStart w:name="_Toc1005964348" w:id="1597773784"/>
      <w:bookmarkStart w:name="_Toc1847703863" w:id="1980319921"/>
      <w:bookmarkStart w:name="_Toc1014401863" w:id="1868530519"/>
      <w:bookmarkStart w:name="_Toc1427452080" w:id="1492617196"/>
      <w:bookmarkStart w:name="_Toc335098663" w:id="144859662"/>
      <w:r w:rsidRPr="117E7E9F" w:rsidR="3DDB68CC">
        <w:rPr>
          <w:lang w:val="en-GB"/>
        </w:rPr>
        <w:t>Porter’s Five Forces Analysis:</w:t>
      </w:r>
      <w:bookmarkEnd w:id="2014509258"/>
      <w:bookmarkEnd w:id="1908946000"/>
      <w:bookmarkEnd w:id="1597773784"/>
      <w:bookmarkEnd w:id="1980319921"/>
      <w:bookmarkEnd w:id="1868530519"/>
      <w:bookmarkEnd w:id="1492617196"/>
      <w:bookmarkEnd w:id="144859662"/>
      <w:r w:rsidRPr="117E7E9F" w:rsidR="3DDB68CC">
        <w:rPr>
          <w:lang w:val="en-GB"/>
        </w:rPr>
        <w:t xml:space="preserve"> </w:t>
      </w:r>
    </w:p>
    <w:p w:rsidRPr="002269A0" w:rsidR="002269A0" w:rsidP="002269A0" w:rsidRDefault="002269A0" w14:paraId="4BE8CBCC" w14:textId="395EC4D6">
      <w:pPr>
        <w:rPr>
          <w:rFonts w:ascii="Arial" w:hAnsi="Arial" w:cs="Arial"/>
          <w:lang w:val="en-GB"/>
        </w:rPr>
      </w:pPr>
      <w:r w:rsidRPr="002269A0">
        <w:rPr>
          <w:rFonts w:ascii="Arial" w:hAnsi="Arial" w:cs="Arial"/>
          <w:lang w:val="en-GB"/>
        </w:rPr>
        <w:t>The dentistry business has high entry hurdles as a result of licensing and regulatory requirements, such as those enforced by the General dentistry Council (GDC). This presents a threat to new entrants. The threat of new entrants is diminished as a result of this; but, smaller private clinics that specialise in a particular speciality still provide a competitive threat, particularly if they are able to differentiate themselves via price or specialised services (Porter, 2008).</w:t>
      </w:r>
    </w:p>
    <w:p w:rsidRPr="002269A0" w:rsidR="002269A0" w:rsidP="002269A0" w:rsidRDefault="002269A0" w14:paraId="0DC64FAD" w14:textId="5674CCE2">
      <w:pPr>
        <w:rPr>
          <w:rFonts w:ascii="Arial" w:hAnsi="Arial" w:cs="Arial"/>
          <w:lang w:val="en-GB"/>
        </w:rPr>
      </w:pPr>
      <w:r w:rsidRPr="002269A0">
        <w:rPr>
          <w:rFonts w:ascii="Arial" w:hAnsi="Arial" w:cs="Arial"/>
          <w:lang w:val="en-GB"/>
        </w:rPr>
        <w:t>The suppliers have a modest amount of bargaining power. The suppliers' bargaining strength is moderate. Suppliers are essential to dental clinics since they provide the necessary equipment, supplies, and technology. The clinic's capacity to swap suppliers is somewhat hindered by the specialised nature of dental supplies, despite the fact that there are a number of vendors available in the market. Another factor that offers suppliers a considerable amount of bargaining leverage is the fact that they are dependent on particular materials, such as aligners for Invisalign.</w:t>
      </w:r>
    </w:p>
    <w:p w:rsidRPr="002269A0" w:rsidR="002269A0" w:rsidP="002269A0" w:rsidRDefault="002269A0" w14:paraId="455A7C7D" w14:textId="384F54CB">
      <w:pPr>
        <w:rPr>
          <w:rFonts w:ascii="Arial" w:hAnsi="Arial" w:cs="Arial"/>
          <w:lang w:val="en-GB"/>
        </w:rPr>
      </w:pPr>
      <w:r w:rsidRPr="002269A0">
        <w:rPr>
          <w:rFonts w:ascii="Arial" w:hAnsi="Arial" w:cs="Arial"/>
          <w:lang w:val="en-GB"/>
        </w:rPr>
        <w:t>When it comes to selecting a dental practitioner, patients have a moderate to high level of bargaining power since they have a wide variety of alternatives available to them. Particularly in the market for cosmetic dentistry, where competition is severe and difference frequently comes down to pricing, quality, and customer experience (Porter, 2008), patients are extremely price-conscious. This is especially true in the cosmetic dental service market.</w:t>
      </w:r>
    </w:p>
    <w:p w:rsidRPr="002269A0" w:rsidR="002269A0" w:rsidP="002269A0" w:rsidRDefault="002269A0" w14:paraId="6C2DBB72" w14:textId="77777777">
      <w:pPr>
        <w:rPr>
          <w:rFonts w:ascii="Arial" w:hAnsi="Arial" w:cs="Arial"/>
          <w:lang w:val="en-GB"/>
        </w:rPr>
      </w:pPr>
      <w:r w:rsidRPr="002269A0">
        <w:rPr>
          <w:rFonts w:ascii="Arial" w:hAnsi="Arial" w:cs="Arial"/>
          <w:lang w:val="en-GB"/>
        </w:rPr>
        <w:t>Threat of Substitutes: The threat of substitutes is quite minimal because professional dental services are needed and cannot be easily substituted by home treatments or goods that are available over-the-counter. On the other hand, Do-It-Yourself teeth whitening kits and other cosmetic treatments that are accessible in retail stores present a certain degree of competition for the services of cosmetic professionals.</w:t>
      </w:r>
    </w:p>
    <w:p w:rsidRPr="002269A0" w:rsidR="002269A0" w:rsidP="002269A0" w:rsidRDefault="002269A0" w14:paraId="0B6E43BF" w14:textId="15494E58">
      <w:pPr>
        <w:rPr>
          <w:rFonts w:ascii="Arial" w:hAnsi="Arial" w:cs="Arial"/>
          <w:lang w:val="en-GB"/>
        </w:rPr>
      </w:pPr>
      <w:r w:rsidRPr="002269A0">
        <w:rPr>
          <w:rFonts w:ascii="Arial" w:hAnsi="Arial" w:cs="Arial"/>
          <w:lang w:val="en-GB"/>
        </w:rPr>
        <w:t>Industry Rivalry: Birmingham is home to a large number of well-established dental clinics that provide services that are comparable to one another, which has led to a high level of industry rivalry. Given that the clinic faces competition from both smaller independent practices and bigger chains, distinctiveness is essential for ensuring the clinic's continued viability over the long run (Porter, 2008).</w:t>
      </w:r>
      <w:r>
        <w:rPr>
          <w:rFonts w:ascii="Arial" w:hAnsi="Arial" w:cs="Arial"/>
          <w:lang w:val="en-GB"/>
        </w:rPr>
        <w:t xml:space="preserve"> </w:t>
      </w:r>
      <w:r w:rsidRPr="002269A0">
        <w:rPr>
          <w:rFonts w:ascii="Arial" w:hAnsi="Arial" w:cs="Arial"/>
          <w:lang w:val="en-GB"/>
        </w:rPr>
        <w:t>The clinic need to concentrate on preserving its competitive advantage by capitalising on its technology skills and broadening the range of services it provides. When it comes to maintaining growth in a market that is extremely competitive, differentiating based on patient experience, innovative treatment choices, and cost will be essential.</w:t>
      </w:r>
    </w:p>
    <w:p w:rsidRPr="002269A0" w:rsidR="002269A0" w:rsidP="002269A0" w:rsidRDefault="002269A0" w14:paraId="790F50E6" w14:textId="77777777">
      <w:pPr>
        <w:rPr>
          <w:rFonts w:ascii="Arial" w:hAnsi="Arial" w:cs="Arial"/>
          <w:lang w:val="en-GB"/>
        </w:rPr>
      </w:pPr>
    </w:p>
    <w:p w:rsidR="117E7E9F" w:rsidP="117E7E9F" w:rsidRDefault="117E7E9F" w14:paraId="23AF89CD" w14:textId="4BD13BA3">
      <w:pPr>
        <w:rPr>
          <w:rFonts w:ascii="Arial" w:hAnsi="Arial" w:cs="Arial"/>
          <w:color w:val="8EAADB" w:themeColor="accent1" w:themeTint="99" w:themeShade="FF"/>
          <w:lang w:val="en-GB"/>
        </w:rPr>
      </w:pPr>
    </w:p>
    <w:p w:rsidR="117E7E9F" w:rsidP="117E7E9F" w:rsidRDefault="117E7E9F" w14:paraId="2DB76369" w14:textId="53450D0D">
      <w:pPr>
        <w:rPr>
          <w:rFonts w:ascii="Arial" w:hAnsi="Arial" w:cs="Arial"/>
          <w:color w:val="8EAADB" w:themeColor="accent1" w:themeTint="99" w:themeShade="FF"/>
          <w:lang w:val="en-GB"/>
        </w:rPr>
      </w:pPr>
    </w:p>
    <w:p w:rsidR="117E7E9F" w:rsidP="117E7E9F" w:rsidRDefault="117E7E9F" w14:paraId="003C9EB9" w14:textId="6B7832D8">
      <w:pPr>
        <w:rPr>
          <w:rFonts w:ascii="Arial" w:hAnsi="Arial" w:cs="Arial"/>
          <w:color w:val="8EAADB" w:themeColor="accent1" w:themeTint="99" w:themeShade="FF"/>
          <w:lang w:val="en-GB"/>
        </w:rPr>
      </w:pPr>
    </w:p>
    <w:p w:rsidR="117E7E9F" w:rsidP="117E7E9F" w:rsidRDefault="117E7E9F" w14:paraId="023C8565" w14:textId="546A412A">
      <w:pPr>
        <w:rPr>
          <w:rFonts w:ascii="Arial" w:hAnsi="Arial" w:cs="Arial"/>
          <w:color w:val="8EAADB" w:themeColor="accent1" w:themeTint="99" w:themeShade="FF"/>
          <w:lang w:val="en-GB"/>
        </w:rPr>
      </w:pPr>
    </w:p>
    <w:p w:rsidR="117E7E9F" w:rsidP="117E7E9F" w:rsidRDefault="117E7E9F" w14:paraId="64D01F35" w14:textId="686CF7AA">
      <w:pPr>
        <w:rPr>
          <w:rFonts w:ascii="Arial" w:hAnsi="Arial" w:cs="Arial"/>
          <w:color w:val="8EAADB" w:themeColor="accent1" w:themeTint="99" w:themeShade="FF"/>
          <w:lang w:val="en-GB"/>
        </w:rPr>
      </w:pPr>
    </w:p>
    <w:p w:rsidR="117E7E9F" w:rsidP="117E7E9F" w:rsidRDefault="117E7E9F" w14:paraId="32BEA667" w14:textId="350D6E31">
      <w:pPr>
        <w:rPr>
          <w:rFonts w:ascii="Arial" w:hAnsi="Arial" w:cs="Arial"/>
          <w:color w:val="8EAADB" w:themeColor="accent1" w:themeTint="99" w:themeShade="FF"/>
          <w:lang w:val="en-GB"/>
        </w:rPr>
      </w:pPr>
    </w:p>
    <w:p w:rsidRPr="002269A0" w:rsidR="002269A0" w:rsidP="117E7E9F" w:rsidRDefault="002269A0" w14:paraId="5B9F6D3B" w14:textId="2C2E475A" w14:noSpellErr="1">
      <w:pPr>
        <w:pStyle w:val="Titolo1"/>
        <w:bidi w:val="0"/>
        <w:rPr>
          <w:rFonts w:ascii="Arial" w:hAnsi="Arial" w:cs="Arial"/>
          <w:color w:val="8EAADB" w:themeColor="accent1" w:themeTint="99" w:themeShade="FF"/>
          <w:lang w:val="en-GB"/>
        </w:rPr>
      </w:pPr>
      <w:bookmarkStart w:name="_Toc1347222785" w:id="1273928135"/>
      <w:bookmarkStart w:name="_Toc165243854" w:id="1985132316"/>
      <w:bookmarkStart w:name="_Toc446392061" w:id="1393275693"/>
      <w:bookmarkStart w:name="_Toc2145040079" w:id="1375426992"/>
      <w:bookmarkStart w:name="_Toc1654592099" w:id="921544310"/>
      <w:bookmarkStart w:name="_Toc1777776584" w:id="1290496764"/>
      <w:bookmarkStart w:name="_Toc1743221497" w:id="273089790"/>
      <w:r w:rsidRPr="117E7E9F" w:rsidR="3DDB68CC">
        <w:rPr>
          <w:lang w:val="en-GB"/>
        </w:rPr>
        <w:t>PESTLE and SWOT Analysis</w:t>
      </w:r>
      <w:bookmarkEnd w:id="1273928135"/>
      <w:bookmarkEnd w:id="1985132316"/>
      <w:bookmarkEnd w:id="1393275693"/>
      <w:bookmarkEnd w:id="1375426992"/>
      <w:bookmarkEnd w:id="921544310"/>
      <w:bookmarkEnd w:id="1290496764"/>
      <w:bookmarkEnd w:id="273089790"/>
      <w:r w:rsidRPr="117E7E9F" w:rsidR="3DDB68CC">
        <w:rPr>
          <w:lang w:val="en-GB"/>
        </w:rPr>
        <w:t xml:space="preserve"> </w:t>
      </w:r>
    </w:p>
    <w:p w:rsidRPr="002269A0" w:rsidR="002269A0" w:rsidP="002269A0" w:rsidRDefault="002269A0" w14:paraId="0E2E5D02" w14:textId="77777777">
      <w:pPr>
        <w:rPr>
          <w:rFonts w:ascii="Arial" w:hAnsi="Arial" w:cs="Arial"/>
          <w:lang w:val="en-GB"/>
        </w:rPr>
      </w:pPr>
    </w:p>
    <w:p w:rsidRPr="002269A0" w:rsidR="002269A0" w:rsidP="002269A0" w:rsidRDefault="002269A0" w14:paraId="23B2D0C6" w14:textId="77777777">
      <w:pPr>
        <w:rPr>
          <w:rFonts w:ascii="Arial" w:hAnsi="Arial" w:cs="Arial"/>
          <w:lang w:val="en-GB"/>
        </w:rPr>
      </w:pPr>
      <w:r w:rsidRPr="002269A0">
        <w:rPr>
          <w:rFonts w:ascii="Arial" w:hAnsi="Arial" w:cs="Arial"/>
          <w:lang w:val="en-GB"/>
        </w:rPr>
        <w:t>PESTLE Analysis:</w:t>
      </w:r>
    </w:p>
    <w:p w:rsidRPr="002269A0" w:rsidR="002269A0" w:rsidP="002269A0" w:rsidRDefault="002269A0" w14:paraId="1DFFF481" w14:textId="77777777">
      <w:pPr>
        <w:rPr>
          <w:rFonts w:ascii="Arial" w:hAnsi="Arial" w:cs="Arial"/>
          <w:lang w:val="en-GB"/>
        </w:rPr>
      </w:pPr>
    </w:p>
    <w:p w:rsidRPr="002269A0" w:rsidR="002269A0" w:rsidP="002269A0" w:rsidRDefault="002269A0" w14:paraId="7F53B1A8" w14:textId="77777777">
      <w:pPr>
        <w:rPr>
          <w:rFonts w:ascii="Arial" w:hAnsi="Arial" w:cs="Arial"/>
          <w:lang w:val="en-GB"/>
        </w:rPr>
      </w:pPr>
      <w:r w:rsidRPr="002269A0">
        <w:rPr>
          <w:rFonts w:ascii="Arial" w:hAnsi="Arial" w:cs="Arial"/>
          <w:lang w:val="en-GB"/>
        </w:rPr>
        <w:t>Political: The UK healthcare sector, including dentistry, is heavily regulated. Regulations from bodies like the GDC ensure compliance with high standards, which helps build trust among patients. However, Brexit has had an impact on the supply chain for dental materials, leading to increased costs and potential delays in obtaining supplies (Gov.uk, 2023). This affects operational efficiency and cost management for clinics like All Saints Dental Clinic.</w:t>
      </w:r>
    </w:p>
    <w:p w:rsidRPr="002269A0" w:rsidR="002269A0" w:rsidP="002269A0" w:rsidRDefault="002269A0" w14:paraId="48D36E18" w14:textId="77777777">
      <w:pPr>
        <w:rPr>
          <w:rFonts w:ascii="Arial" w:hAnsi="Arial" w:cs="Arial"/>
          <w:lang w:val="en-GB"/>
        </w:rPr>
      </w:pPr>
    </w:p>
    <w:p w:rsidRPr="002269A0" w:rsidR="002269A0" w:rsidP="002269A0" w:rsidRDefault="002269A0" w14:paraId="7233767E" w14:textId="77777777">
      <w:pPr>
        <w:rPr>
          <w:rFonts w:ascii="Arial" w:hAnsi="Arial" w:cs="Arial"/>
          <w:lang w:val="en-GB"/>
        </w:rPr>
      </w:pPr>
      <w:r w:rsidRPr="002269A0">
        <w:rPr>
          <w:rFonts w:ascii="Arial" w:hAnsi="Arial" w:cs="Arial"/>
          <w:lang w:val="en-GB"/>
        </w:rPr>
        <w:t>Economic: Rising inflation and economic uncertainty can impact consumer spending, particularly on elective dental treatments such as cosmetic procedures. Many patients may deprioritize non-essential treatments during periods of economic instability. However, the availability of flexible finance options, such as 0% interest payment plans offered by All Saints Dental Clinic, helps mitigate this economic challenge by making treatments more accessible to patients with varying financial capabilities (All Saints Dental Clinic, 2024).</w:t>
      </w:r>
    </w:p>
    <w:p w:rsidRPr="002269A0" w:rsidR="002269A0" w:rsidP="002269A0" w:rsidRDefault="002269A0" w14:paraId="3B55AF91" w14:textId="77777777">
      <w:pPr>
        <w:rPr>
          <w:rFonts w:ascii="Arial" w:hAnsi="Arial" w:cs="Arial"/>
          <w:lang w:val="en-GB"/>
        </w:rPr>
      </w:pPr>
    </w:p>
    <w:p w:rsidRPr="002269A0" w:rsidR="002269A0" w:rsidP="002269A0" w:rsidRDefault="002269A0" w14:paraId="613D27D0" w14:textId="77777777">
      <w:pPr>
        <w:rPr>
          <w:rFonts w:ascii="Arial" w:hAnsi="Arial" w:cs="Arial"/>
          <w:lang w:val="en-GB"/>
        </w:rPr>
      </w:pPr>
      <w:r w:rsidRPr="002269A0">
        <w:rPr>
          <w:rFonts w:ascii="Arial" w:hAnsi="Arial" w:cs="Arial"/>
          <w:lang w:val="en-GB"/>
        </w:rPr>
        <w:t>Social: Growing public awareness of oral health and the rising demand for cosmetic dental treatments are significant social factors influencing the industry. Younger demographics are particularly drawn to cosmetic services like Invisalign and teeth whitening, largely due to social media influence. All Saints Dental Clinic has capitalized on this trend by actively engaging with its audience on platforms like Instagram, showcasing successful patient transformations, and emphasizing the importance of oral aesthetics (All Saints Dental Clinic, 2024).</w:t>
      </w:r>
    </w:p>
    <w:p w:rsidRPr="002269A0" w:rsidR="002269A0" w:rsidP="002269A0" w:rsidRDefault="002269A0" w14:paraId="022D441D" w14:textId="77777777">
      <w:pPr>
        <w:rPr>
          <w:rFonts w:ascii="Arial" w:hAnsi="Arial" w:cs="Arial"/>
          <w:lang w:val="en-GB"/>
        </w:rPr>
      </w:pPr>
    </w:p>
    <w:p w:rsidRPr="002269A0" w:rsidR="002269A0" w:rsidP="002269A0" w:rsidRDefault="002269A0" w14:paraId="1D9AAF14" w14:textId="77777777">
      <w:pPr>
        <w:rPr>
          <w:rFonts w:ascii="Arial" w:hAnsi="Arial" w:cs="Arial"/>
          <w:lang w:val="en-GB"/>
        </w:rPr>
      </w:pPr>
      <w:r w:rsidRPr="002269A0">
        <w:rPr>
          <w:rFonts w:ascii="Arial" w:hAnsi="Arial" w:cs="Arial"/>
          <w:lang w:val="en-GB"/>
        </w:rPr>
        <w:t>Technological: Technological advancements are crucial in maintaining competitive advantage in the dental industry. All Saints Dental Clinic has invested in modern technologies such as intraoral scanners, CAD/CAM systems, and Invisalign, which not only improve efficiency but also enhance patient outcomes and satisfaction. Adopting new technologies is vital for staying ahead of competitors and meeting patient expectations for high-quality care (BDJ, 2023).</w:t>
      </w:r>
    </w:p>
    <w:p w:rsidRPr="002269A0" w:rsidR="002269A0" w:rsidP="002269A0" w:rsidRDefault="002269A0" w14:paraId="523B61FE" w14:textId="77777777">
      <w:pPr>
        <w:rPr>
          <w:rFonts w:ascii="Arial" w:hAnsi="Arial" w:cs="Arial"/>
          <w:lang w:val="en-GB"/>
        </w:rPr>
      </w:pPr>
    </w:p>
    <w:p w:rsidRPr="002269A0" w:rsidR="002269A0" w:rsidP="002269A0" w:rsidRDefault="002269A0" w14:paraId="4B2B21F1" w14:textId="77777777">
      <w:pPr>
        <w:rPr>
          <w:rFonts w:ascii="Arial" w:hAnsi="Arial" w:cs="Arial"/>
          <w:lang w:val="en-GB"/>
        </w:rPr>
      </w:pPr>
      <w:r w:rsidRPr="002269A0">
        <w:rPr>
          <w:rFonts w:ascii="Arial" w:hAnsi="Arial" w:cs="Arial"/>
          <w:lang w:val="en-GB"/>
        </w:rPr>
        <w:t>Legal: The clinic must comply with various legal requirements, including GDPR, to protect patient data and uphold patient confidentiality. Additionally, adherence to GDC standards is mandatory to maintain operational licenses and ensure the quality of care provided. Failure to comply with these regulations can lead to legal consequences and reputational damage.</w:t>
      </w:r>
    </w:p>
    <w:p w:rsidRPr="002269A0" w:rsidR="002269A0" w:rsidP="002269A0" w:rsidRDefault="002269A0" w14:paraId="50C1FE21" w14:textId="77777777">
      <w:pPr>
        <w:rPr>
          <w:rFonts w:ascii="Arial" w:hAnsi="Arial" w:cs="Arial"/>
          <w:lang w:val="en-GB"/>
        </w:rPr>
      </w:pPr>
    </w:p>
    <w:p w:rsidRPr="002269A0" w:rsidR="002269A0" w:rsidP="002269A0" w:rsidRDefault="002269A0" w14:paraId="3D3F2130" w14:textId="77777777">
      <w:pPr>
        <w:rPr>
          <w:rFonts w:ascii="Arial" w:hAnsi="Arial" w:cs="Arial"/>
          <w:lang w:val="en-GB"/>
        </w:rPr>
      </w:pPr>
      <w:r w:rsidRPr="002269A0">
        <w:rPr>
          <w:rFonts w:ascii="Arial" w:hAnsi="Arial" w:cs="Arial"/>
          <w:lang w:val="en-GB"/>
        </w:rPr>
        <w:t>Environmental: Environmental awareness is increasingly influencing consumer preferences, with patients showing interest in healthcare providers that adopt sustainable practices. All Saints Dental Clinic has taken steps to reduce single-use plastics and improve energy efficiency, aligning with broader environmental goals and enhancing its reputation as a responsible healthcare provider (All Saints Dental Clinic, 2024).</w:t>
      </w:r>
    </w:p>
    <w:p w:rsidRPr="002269A0" w:rsidR="002269A0" w:rsidP="002269A0" w:rsidRDefault="002269A0" w14:paraId="4DD2BA17" w14:textId="77777777">
      <w:pPr>
        <w:rPr>
          <w:rFonts w:ascii="Arial" w:hAnsi="Arial" w:cs="Arial"/>
          <w:lang w:val="en-GB"/>
        </w:rPr>
      </w:pPr>
    </w:p>
    <w:p w:rsidR="117E7E9F" w:rsidP="117E7E9F" w:rsidRDefault="117E7E9F" w14:paraId="649F9B8F" w14:textId="3427D66A">
      <w:pPr>
        <w:rPr>
          <w:rFonts w:ascii="Arial" w:hAnsi="Arial" w:cs="Arial"/>
          <w:lang w:val="en-GB"/>
        </w:rPr>
      </w:pPr>
    </w:p>
    <w:p w:rsidRPr="002269A0" w:rsidR="002269A0" w:rsidP="002269A0" w:rsidRDefault="002269A0" w14:paraId="2839E59D" w14:textId="77777777">
      <w:pPr>
        <w:rPr>
          <w:rFonts w:ascii="Arial" w:hAnsi="Arial" w:cs="Arial"/>
          <w:lang w:val="en-GB"/>
        </w:rPr>
      </w:pPr>
      <w:r w:rsidRPr="002269A0">
        <w:rPr>
          <w:rFonts w:ascii="Arial" w:hAnsi="Arial" w:cs="Arial"/>
          <w:lang w:val="en-GB"/>
        </w:rPr>
        <w:t>SWOT Analysis:</w:t>
      </w:r>
    </w:p>
    <w:p w:rsidRPr="002269A0" w:rsidR="002269A0" w:rsidP="002269A0" w:rsidRDefault="002269A0" w14:paraId="502A8908" w14:textId="77777777">
      <w:pPr>
        <w:rPr>
          <w:rFonts w:ascii="Arial" w:hAnsi="Arial" w:cs="Arial"/>
          <w:lang w:val="en-GB"/>
        </w:rPr>
      </w:pPr>
    </w:p>
    <w:p w:rsidR="00EB1FCF" w:rsidP="00EB1FCF" w:rsidRDefault="002269A0" w14:paraId="750D4603" w14:textId="77777777">
      <w:pPr>
        <w:rPr>
          <w:rFonts w:ascii="Arial" w:hAnsi="Arial" w:cs="Arial"/>
          <w:lang w:val="en-GB"/>
        </w:rPr>
      </w:pPr>
      <w:r w:rsidRPr="002269A0">
        <w:rPr>
          <w:rFonts w:ascii="Arial" w:hAnsi="Arial" w:cs="Arial"/>
          <w:lang w:val="en-GB"/>
        </w:rPr>
        <w:t>Strengths:</w:t>
      </w:r>
    </w:p>
    <w:p w:rsidRPr="00EB1FCF" w:rsidR="00EB1FCF" w:rsidP="00EB1FCF" w:rsidRDefault="00EB1FCF" w14:paraId="021199A8" w14:textId="1102CBA0">
      <w:pPr>
        <w:pStyle w:val="Paragrafoelenco"/>
        <w:numPr>
          <w:ilvl w:val="0"/>
          <w:numId w:val="2"/>
        </w:numPr>
        <w:rPr>
          <w:rFonts w:ascii="Arial" w:hAnsi="Arial" w:cs="Arial"/>
          <w:lang w:val="en-GB"/>
        </w:rPr>
      </w:pPr>
      <w:r w:rsidRPr="00EB1FCF">
        <w:rPr>
          <w:lang w:val="en-GB"/>
        </w:rPr>
        <w:t xml:space="preserve"> </w:t>
      </w:r>
      <w:r w:rsidRPr="00EB1FCF">
        <w:rPr>
          <w:rFonts w:ascii="Arial" w:hAnsi="Arial" w:cs="Arial"/>
          <w:lang w:val="en-GB"/>
        </w:rPr>
        <w:t>The clinic employs state-of-the-art technology like Invisalign, digital scanning, and CAD/CAM systems. This improves service quality and patient happiness by providing contemporary and effective treatment alternatives (All Saints Dental Clinic, 2024).</w:t>
      </w:r>
      <w:r w:rsidRPr="00EB1FCF">
        <w:rPr>
          <w:rFonts w:ascii="Arial" w:hAnsi="Arial" w:cs="Arial"/>
          <w:lang w:val="en-GB"/>
        </w:rPr>
        <w:t xml:space="preserve"> </w:t>
      </w:r>
    </w:p>
    <w:p w:rsidR="00EB1FCF" w:rsidP="00EB1FCF" w:rsidRDefault="00EB1FCF" w14:paraId="66EAC8FB" w14:textId="77777777">
      <w:pPr>
        <w:pStyle w:val="Paragrafoelenco"/>
        <w:numPr>
          <w:ilvl w:val="0"/>
          <w:numId w:val="2"/>
        </w:numPr>
        <w:rPr>
          <w:rFonts w:ascii="Arial" w:hAnsi="Arial" w:cs="Arial"/>
          <w:lang w:val="en-GB"/>
        </w:rPr>
      </w:pPr>
      <w:r w:rsidRPr="00EB1FCF">
        <w:rPr>
          <w:rFonts w:ascii="Arial" w:hAnsi="Arial" w:cs="Arial"/>
          <w:lang w:val="en-GB"/>
        </w:rPr>
        <w:t>Elevated Patient Satisfaction: All Saints Dental Clinic has established a reputation for excellence in service and cost-effectiveness, as evidenced by favourable patient evaluations and testimonials. The clinic's emphasis on patient-</w:t>
      </w:r>
      <w:proofErr w:type="spellStart"/>
      <w:r w:rsidRPr="00EB1FCF">
        <w:rPr>
          <w:rFonts w:ascii="Arial" w:hAnsi="Arial" w:cs="Arial"/>
          <w:lang w:val="en-GB"/>
        </w:rPr>
        <w:t>centered</w:t>
      </w:r>
      <w:proofErr w:type="spellEnd"/>
      <w:r w:rsidRPr="00EB1FCF">
        <w:rPr>
          <w:rFonts w:ascii="Arial" w:hAnsi="Arial" w:cs="Arial"/>
          <w:lang w:val="en-GB"/>
        </w:rPr>
        <w:t xml:space="preserve"> services, including adaptable financial alternatives and urgent appointments, enhances satisfaction levels.</w:t>
      </w:r>
      <w:r>
        <w:rPr>
          <w:rFonts w:ascii="Arial" w:hAnsi="Arial" w:cs="Arial"/>
          <w:lang w:val="en-GB"/>
        </w:rPr>
        <w:t>-</w:t>
      </w:r>
    </w:p>
    <w:p w:rsidRPr="00EB1FCF" w:rsidR="00EB1FCF" w:rsidP="00EB1FCF" w:rsidRDefault="00EB1FCF" w14:paraId="03200A1F" w14:textId="0D1E8541">
      <w:pPr>
        <w:pStyle w:val="Paragrafoelenco"/>
        <w:numPr>
          <w:ilvl w:val="0"/>
          <w:numId w:val="2"/>
        </w:numPr>
        <w:rPr>
          <w:rFonts w:ascii="Arial" w:hAnsi="Arial" w:cs="Arial"/>
          <w:lang w:val="en-GB"/>
        </w:rPr>
      </w:pPr>
      <w:r w:rsidRPr="00EB1FCF">
        <w:rPr>
          <w:rFonts w:ascii="Arial" w:hAnsi="Arial" w:cs="Arial"/>
          <w:lang w:val="en-GB"/>
        </w:rPr>
        <w:t>Comprehensive Service Offering: Providing an extensive array of services, from general dentistry to sophisticated cosmetic procedures, establishes the clinic as a singular option for all dental requirements, hence appealing to a varied patient demographic.</w:t>
      </w:r>
    </w:p>
    <w:p w:rsidRPr="00EB1FCF" w:rsidR="00EB1FCF" w:rsidP="00EB1FCF" w:rsidRDefault="00EB1FCF" w14:paraId="7F30E95A" w14:textId="77777777">
      <w:pPr>
        <w:rPr>
          <w:rFonts w:ascii="Arial" w:hAnsi="Arial" w:cs="Arial"/>
          <w:lang w:val="en-GB"/>
        </w:rPr>
      </w:pPr>
    </w:p>
    <w:p w:rsidRPr="00EB1FCF" w:rsidR="00EB1FCF" w:rsidP="00EB1FCF" w:rsidRDefault="00EB1FCF" w14:paraId="2219726B" w14:textId="77777777">
      <w:pPr>
        <w:rPr>
          <w:rFonts w:ascii="Arial" w:hAnsi="Arial" w:cs="Arial"/>
          <w:lang w:val="en-GB"/>
        </w:rPr>
      </w:pPr>
      <w:r w:rsidRPr="00EB1FCF">
        <w:rPr>
          <w:rFonts w:ascii="Arial" w:hAnsi="Arial" w:cs="Arial"/>
          <w:lang w:val="en-GB"/>
        </w:rPr>
        <w:t>Weaknesses:</w:t>
      </w:r>
    </w:p>
    <w:p w:rsidRPr="00EB1FCF" w:rsidR="00EB1FCF" w:rsidP="00EB1FCF" w:rsidRDefault="00EB1FCF" w14:paraId="1EA8DAF0" w14:textId="7CC6D0B3">
      <w:pPr>
        <w:pStyle w:val="Paragrafoelenco"/>
        <w:numPr>
          <w:ilvl w:val="0"/>
          <w:numId w:val="2"/>
        </w:numPr>
        <w:rPr>
          <w:rFonts w:ascii="Arial" w:hAnsi="Arial" w:cs="Arial"/>
          <w:lang w:val="en-GB"/>
        </w:rPr>
      </w:pPr>
      <w:r w:rsidRPr="00EB1FCF">
        <w:rPr>
          <w:rFonts w:ascii="Arial" w:hAnsi="Arial" w:cs="Arial"/>
          <w:lang w:val="en-GB"/>
        </w:rPr>
        <w:t>Restricted Geographical Scope: The clinic predominantly caters to the Birmingham region, hence constraining its market reach. This localised emphasis may impede prospects for broadening its patient demographic outside the nearby area.</w:t>
      </w:r>
    </w:p>
    <w:p w:rsidRPr="00EB1FCF" w:rsidR="00EB1FCF" w:rsidP="00EB1FCF" w:rsidRDefault="00EB1FCF" w14:paraId="158F987D" w14:textId="02618E5A">
      <w:pPr>
        <w:pStyle w:val="Paragrafoelenco"/>
        <w:numPr>
          <w:ilvl w:val="0"/>
          <w:numId w:val="2"/>
        </w:numPr>
        <w:rPr>
          <w:rFonts w:ascii="Arial" w:hAnsi="Arial" w:cs="Arial"/>
          <w:lang w:val="en-GB"/>
        </w:rPr>
      </w:pPr>
      <w:r w:rsidRPr="00EB1FCF">
        <w:rPr>
          <w:rFonts w:ascii="Arial" w:hAnsi="Arial" w:cs="Arial"/>
          <w:lang w:val="en-GB"/>
        </w:rPr>
        <w:t>The clinic's marketing strategy is predominantly reliant on social media and word-of-mouth, perhaps constraining its capacity to engage a wider audience. An enhanced digital marketing plan might augment its visibility.</w:t>
      </w:r>
    </w:p>
    <w:p w:rsidRPr="00EB1FCF" w:rsidR="00EB1FCF" w:rsidP="00EB1FCF" w:rsidRDefault="00EB1FCF" w14:paraId="40D9C30F" w14:textId="77777777">
      <w:pPr>
        <w:rPr>
          <w:rFonts w:ascii="Arial" w:hAnsi="Arial" w:cs="Arial"/>
          <w:lang w:val="en-GB"/>
        </w:rPr>
      </w:pPr>
    </w:p>
    <w:p w:rsidRPr="00EB1FCF" w:rsidR="00EB1FCF" w:rsidP="00EB1FCF" w:rsidRDefault="00EB1FCF" w14:paraId="2DFDA25A" w14:textId="77777777">
      <w:pPr>
        <w:rPr>
          <w:rFonts w:ascii="Arial" w:hAnsi="Arial" w:cs="Arial"/>
          <w:lang w:val="en-GB"/>
        </w:rPr>
      </w:pPr>
      <w:r w:rsidRPr="00EB1FCF">
        <w:rPr>
          <w:rFonts w:ascii="Arial" w:hAnsi="Arial" w:cs="Arial"/>
          <w:lang w:val="en-GB"/>
        </w:rPr>
        <w:t>Opportunities:</w:t>
      </w:r>
    </w:p>
    <w:p w:rsidRPr="00EB1FCF" w:rsidR="00EB1FCF" w:rsidP="00EB1FCF" w:rsidRDefault="00EB1FCF" w14:paraId="68749D5A" w14:textId="36FB6A27">
      <w:pPr>
        <w:pStyle w:val="Paragrafoelenco"/>
        <w:numPr>
          <w:ilvl w:val="0"/>
          <w:numId w:val="2"/>
        </w:numPr>
        <w:rPr>
          <w:rFonts w:ascii="Arial" w:hAnsi="Arial" w:cs="Arial"/>
          <w:lang w:val="en-GB"/>
        </w:rPr>
      </w:pPr>
      <w:r w:rsidRPr="00EB1FCF">
        <w:rPr>
          <w:rFonts w:ascii="Arial" w:hAnsi="Arial" w:cs="Arial"/>
          <w:lang w:val="en-GB"/>
        </w:rPr>
        <w:t>Service Expansion: Augmenting cosmetic offerings, like dermal fillers and sophisticated teeth whitening treatments, may entice new consumers seeking aesthetic dental services. This increase corresponds with the increasing tendency of patients pursuing holistic aesthetic solutions (Market Research, 2023).</w:t>
      </w:r>
    </w:p>
    <w:p w:rsidRPr="00EB1FCF" w:rsidR="00EB1FCF" w:rsidP="00EB1FCF" w:rsidRDefault="00EB1FCF" w14:paraId="51573969" w14:textId="76D49B16">
      <w:pPr>
        <w:pStyle w:val="Paragrafoelenco"/>
        <w:numPr>
          <w:ilvl w:val="0"/>
          <w:numId w:val="2"/>
        </w:numPr>
        <w:rPr>
          <w:rFonts w:ascii="Arial" w:hAnsi="Arial" w:cs="Arial"/>
          <w:lang w:val="en-GB"/>
        </w:rPr>
      </w:pPr>
      <w:r w:rsidRPr="00EB1FCF">
        <w:rPr>
          <w:rFonts w:ascii="Arial" w:hAnsi="Arial" w:cs="Arial"/>
          <w:lang w:val="en-GB"/>
        </w:rPr>
        <w:t>Collaborations with Local Entities: Establishing alliances with local educational institutions, enterprises, and community health initiatives to deliver dental health education and services may augment community involvement and brand allegiance. Such collaborations help establish the clinic as a reputable healthcare provider within the community.</w:t>
      </w:r>
      <w:r w:rsidRPr="00EB1FCF">
        <w:rPr>
          <w:rFonts w:ascii="Times New Roman" w:hAnsi="Times New Roman" w:eastAsia="Times New Roman" w:cs="Times New Roman"/>
          <w:kern w:val="0"/>
          <w:sz w:val="24"/>
          <w:szCs w:val="24"/>
          <w:lang w:val="en-GB" w:eastAsia="it-IT"/>
          <w14:ligatures w14:val="none"/>
        </w:rPr>
        <w:t xml:space="preserve"> </w:t>
      </w:r>
      <w:r w:rsidRPr="00EB1FCF">
        <w:rPr>
          <w:rFonts w:ascii="Arial" w:hAnsi="Arial" w:cs="Arial"/>
          <w:lang w:val="en-GB"/>
        </w:rPr>
        <w:t>Digital Marketing Expansion: Utilising digital platforms for marketing, such as search engine optimisation (SEO) and targeted social media advertisements, may substantially enhance the clinic's exposure and draw a wider patient demographic.</w:t>
      </w:r>
    </w:p>
    <w:p w:rsidRPr="00EB1FCF" w:rsidR="00EB1FCF" w:rsidP="00EB1FCF" w:rsidRDefault="00EB1FCF" w14:paraId="1A425CBF" w14:textId="77777777">
      <w:pPr>
        <w:rPr>
          <w:rFonts w:ascii="Arial" w:hAnsi="Arial" w:cs="Arial"/>
          <w:lang w:val="en-GB"/>
        </w:rPr>
      </w:pPr>
    </w:p>
    <w:p w:rsidRPr="00EB1FCF" w:rsidR="00EB1FCF" w:rsidP="00EB1FCF" w:rsidRDefault="00EB1FCF" w14:paraId="5D0C0CA0" w14:textId="554E9E1E">
      <w:pPr>
        <w:rPr>
          <w:rFonts w:ascii="Arial" w:hAnsi="Arial" w:cs="Arial"/>
          <w:lang w:val="en-GB"/>
        </w:rPr>
      </w:pPr>
      <w:r w:rsidRPr="00EB1FCF">
        <w:rPr>
          <w:rFonts w:ascii="Arial" w:hAnsi="Arial" w:cs="Arial"/>
          <w:lang w:val="en-GB"/>
        </w:rPr>
        <w:t>Threats:</w:t>
      </w:r>
    </w:p>
    <w:p w:rsidRPr="00EB1FCF" w:rsidR="00EB1FCF" w:rsidP="00EB1FCF" w:rsidRDefault="00EB1FCF" w14:paraId="324D34E9" w14:textId="09585F45">
      <w:pPr>
        <w:pStyle w:val="Paragrafoelenco"/>
        <w:numPr>
          <w:ilvl w:val="0"/>
          <w:numId w:val="2"/>
        </w:numPr>
        <w:rPr>
          <w:rFonts w:ascii="Arial" w:hAnsi="Arial" w:cs="Arial"/>
          <w:lang w:val="en-GB"/>
        </w:rPr>
      </w:pPr>
      <w:r w:rsidRPr="00EB1FCF">
        <w:rPr>
          <w:rFonts w:ascii="Arial" w:hAnsi="Arial" w:cs="Arial"/>
          <w:lang w:val="en-GB"/>
        </w:rPr>
        <w:t>Economic downturns can impact patients' financial capacity, especially for discretionary procedures such as cosmetic dentistry. This challenge necessitates the clinic to concentrate on delivering value via cost-effective payment alternatives.</w:t>
      </w:r>
    </w:p>
    <w:p w:rsidRPr="00EB1FCF" w:rsidR="00EB1FCF" w:rsidP="00EB1FCF" w:rsidRDefault="00EB1FCF" w14:paraId="177C5EB5" w14:textId="4ABC475D">
      <w:pPr>
        <w:pStyle w:val="Paragrafoelenco"/>
        <w:numPr>
          <w:ilvl w:val="0"/>
          <w:numId w:val="2"/>
        </w:numPr>
        <w:rPr>
          <w:rFonts w:ascii="Arial" w:hAnsi="Arial" w:cs="Arial"/>
          <w:lang w:val="en-GB"/>
        </w:rPr>
      </w:pPr>
      <w:r w:rsidRPr="00EB1FCF">
        <w:rPr>
          <w:rFonts w:ascii="Arial" w:hAnsi="Arial" w:cs="Arial"/>
          <w:lang w:val="en-GB"/>
        </w:rPr>
        <w:t>Intense Competition: The proliferation of dental clinics in Birmingham heightens competitive pressure. Competitors may provide comparable treatments at competitive rates, necessitating that All Saints Dental Clinic consistently innovates and distinguishes itself.</w:t>
      </w:r>
    </w:p>
    <w:p w:rsidR="710A7E0D" w:rsidP="117E7E9F" w:rsidRDefault="710A7E0D" w14:paraId="4C87329E" w14:textId="29575698">
      <w:pPr>
        <w:rPr>
          <w:rFonts w:ascii="Arial" w:hAnsi="Arial" w:cs="Arial"/>
          <w:lang w:val="en-GB"/>
        </w:rPr>
      </w:pPr>
      <w:r w:rsidRPr="117E7E9F" w:rsidR="710A7E0D">
        <w:rPr>
          <w:rFonts w:ascii="Arial" w:hAnsi="Arial" w:cs="Arial"/>
          <w:lang w:val="en-GB"/>
        </w:rPr>
        <w:t xml:space="preserve">All Saints Dental Clinic ought to utilise its strengths, including modern technology and a comprehensive service portfolio, to exploit possibilities such as service growth and strategic alliances. Mitigating threats from economic issues and competitiveness will need addressing shortcomings, including broadening geographical </w:t>
      </w:r>
      <w:r w:rsidRPr="117E7E9F" w:rsidR="710A7E0D">
        <w:rPr>
          <w:rFonts w:ascii="Arial" w:hAnsi="Arial" w:cs="Arial"/>
          <w:lang w:val="en-GB"/>
        </w:rPr>
        <w:t>reach</w:t>
      </w:r>
      <w:r w:rsidRPr="117E7E9F" w:rsidR="710A7E0D">
        <w:rPr>
          <w:rFonts w:ascii="Arial" w:hAnsi="Arial" w:cs="Arial"/>
          <w:lang w:val="en-GB"/>
        </w:rPr>
        <w:t xml:space="preserve"> and improving marketing methods</w:t>
      </w:r>
    </w:p>
    <w:p w:rsidRPr="00EB1FCF" w:rsidR="002269A0" w:rsidP="117E7E9F" w:rsidRDefault="002269A0" w14:paraId="62001386" w14:textId="4B49068B" w14:noSpellErr="1">
      <w:pPr>
        <w:pStyle w:val="Titolo1"/>
        <w:rPr>
          <w:rFonts w:ascii="Arial" w:hAnsi="Arial" w:cs="Arial"/>
          <w:color w:val="8EAADB" w:themeColor="accent1" w:themeTint="99" w:themeShade="FF"/>
          <w:lang w:val="en-GB"/>
        </w:rPr>
      </w:pPr>
      <w:bookmarkStart w:name="_Toc1124497841" w:id="137639682"/>
      <w:bookmarkStart w:name="_Toc1262454889" w:id="523467589"/>
      <w:bookmarkStart w:name="_Toc223513482" w:id="1864695395"/>
      <w:bookmarkStart w:name="_Toc1377502712" w:id="1179027595"/>
      <w:bookmarkStart w:name="_Toc956031193" w:id="1029658727"/>
      <w:bookmarkStart w:name="_Toc42896720" w:id="1578487841"/>
      <w:bookmarkStart w:name="_Toc1590137939" w:id="168862090"/>
      <w:r w:rsidRPr="117E7E9F" w:rsidR="3DDB68CC">
        <w:rPr>
          <w:lang w:val="en-GB"/>
        </w:rPr>
        <w:t>Stakeholder Analysis</w:t>
      </w:r>
      <w:bookmarkEnd w:id="137639682"/>
      <w:bookmarkEnd w:id="523467589"/>
      <w:bookmarkEnd w:id="1864695395"/>
      <w:bookmarkEnd w:id="1179027595"/>
      <w:bookmarkEnd w:id="1029658727"/>
      <w:bookmarkEnd w:id="1578487841"/>
      <w:bookmarkEnd w:id="168862090"/>
      <w:r w:rsidRPr="117E7E9F" w:rsidR="3DDB68CC">
        <w:rPr>
          <w:lang w:val="en-GB"/>
        </w:rPr>
        <w:t xml:space="preserve"> </w:t>
      </w:r>
    </w:p>
    <w:p w:rsidRPr="002269A0" w:rsidR="002269A0" w:rsidP="002269A0" w:rsidRDefault="002269A0" w14:paraId="6E2EBF4E" w14:textId="4B8CD24B">
      <w:pPr>
        <w:rPr>
          <w:rFonts w:ascii="Arial" w:hAnsi="Arial" w:cs="Arial"/>
          <w:lang w:val="en-GB"/>
        </w:rPr>
      </w:pPr>
      <w:r w:rsidRPr="002269A0">
        <w:rPr>
          <w:rFonts w:ascii="Arial" w:hAnsi="Arial" w:cs="Arial"/>
          <w:lang w:val="en-GB"/>
        </w:rPr>
        <w:t>Stakeholders are individuals or groups who have an interest in the organization’s success or activities and can either affect or be affected by the organization’s actions (Freeman, 1984). For All Saints Dental Clinic, stakeholders play a vital role in shaping its strategic direction and determining its success.</w:t>
      </w:r>
    </w:p>
    <w:p w:rsidRPr="002269A0" w:rsidR="002269A0" w:rsidP="002269A0" w:rsidRDefault="002269A0" w14:paraId="20333206" w14:textId="746C723E">
      <w:pPr>
        <w:rPr>
          <w:rFonts w:ascii="Arial" w:hAnsi="Arial" w:cs="Arial"/>
          <w:lang w:val="en-GB"/>
        </w:rPr>
      </w:pPr>
      <w:r w:rsidRPr="002269A0">
        <w:rPr>
          <w:rFonts w:ascii="Arial" w:hAnsi="Arial" w:cs="Arial"/>
          <w:lang w:val="en-GB"/>
        </w:rPr>
        <w:t>Patients: Patients are the primary stakeholders, as their needs and satisfaction directly influence the clinic's performance. Patients expect high-quality, affordable care, with services that are accessible and delivered efficiently. Their power and interest are both high, which means maintaining patient satisfaction is critical for the clinic’s continued success. The clinic actively engages with patients through social media platforms and seeks regular feedback to improve its services (All Saints Dental Clinic, 2024).</w:t>
      </w:r>
    </w:p>
    <w:p w:rsidRPr="00EB1FCF" w:rsidR="002269A0" w:rsidP="00EB1FCF" w:rsidRDefault="002269A0" w14:paraId="6712C860" w14:textId="488CEF69">
      <w:pPr>
        <w:pStyle w:val="Paragrafoelenco"/>
        <w:numPr>
          <w:ilvl w:val="0"/>
          <w:numId w:val="2"/>
        </w:numPr>
        <w:rPr>
          <w:rFonts w:ascii="Arial" w:hAnsi="Arial" w:cs="Arial"/>
          <w:lang w:val="en-GB"/>
        </w:rPr>
      </w:pPr>
      <w:r w:rsidRPr="00EB1FCF">
        <w:rPr>
          <w:rFonts w:ascii="Arial" w:hAnsi="Arial" w:cs="Arial"/>
          <w:lang w:val="en-GB"/>
        </w:rPr>
        <w:t>Staff: Dentists, hygienists, and administrative personnel are key internal stakeholders. They expect professional development opportunities, job security, and supportive working conditions. High staff satisfaction leads to better patient care and higher retention rates, which directly impacts the clinic's reputation and performance.</w:t>
      </w:r>
    </w:p>
    <w:p w:rsidRPr="00EB1FCF" w:rsidR="002269A0" w:rsidP="00EB1FCF" w:rsidRDefault="002269A0" w14:paraId="03AF42E5" w14:textId="0F79E576">
      <w:pPr>
        <w:pStyle w:val="Paragrafoelenco"/>
        <w:numPr>
          <w:ilvl w:val="0"/>
          <w:numId w:val="2"/>
        </w:numPr>
        <w:rPr>
          <w:rFonts w:ascii="Arial" w:hAnsi="Arial" w:cs="Arial"/>
          <w:lang w:val="en-GB"/>
        </w:rPr>
      </w:pPr>
      <w:r w:rsidRPr="00EB1FCF">
        <w:rPr>
          <w:rFonts w:ascii="Arial" w:hAnsi="Arial" w:cs="Arial"/>
          <w:lang w:val="en-GB"/>
        </w:rPr>
        <w:t>Suppliers: Suppliers provide the necessary materials and equipment for the clinic's operations. They expect consistent orders and timely payments. Maintaining strong relationships with suppliers ensures that the clinic has access to high-quality materials and the latest technologies, which is crucial for delivering advanced dental care.</w:t>
      </w:r>
    </w:p>
    <w:p w:rsidRPr="00EB1FCF" w:rsidR="002269A0" w:rsidP="00EB1FCF" w:rsidRDefault="002269A0" w14:paraId="7DF3A319" w14:textId="55929D19">
      <w:pPr>
        <w:pStyle w:val="Paragrafoelenco"/>
        <w:numPr>
          <w:ilvl w:val="0"/>
          <w:numId w:val="2"/>
        </w:numPr>
        <w:rPr>
          <w:rFonts w:ascii="Arial" w:hAnsi="Arial" w:cs="Arial"/>
          <w:lang w:val="en-GB"/>
        </w:rPr>
      </w:pPr>
      <w:r w:rsidRPr="00EB1FCF">
        <w:rPr>
          <w:rFonts w:ascii="Arial" w:hAnsi="Arial" w:cs="Arial"/>
          <w:lang w:val="en-GB"/>
        </w:rPr>
        <w:t>Local Community: The local community views the clinic as an essential healthcare provider. Engaging with the community through health fairs, educational seminars, and outreach initiatives enhances the clinic’s reputation and builds trust. The community’s support is vital for the clinic's long-term sustainability.</w:t>
      </w:r>
    </w:p>
    <w:p w:rsidRPr="002269A0" w:rsidR="002269A0" w:rsidP="002269A0" w:rsidRDefault="002269A0" w14:paraId="4C09AD33" w14:textId="77777777">
      <w:pPr>
        <w:rPr>
          <w:rFonts w:ascii="Arial" w:hAnsi="Arial" w:cs="Arial"/>
          <w:lang w:val="en-GB"/>
        </w:rPr>
      </w:pPr>
      <w:r w:rsidRPr="002269A0">
        <w:rPr>
          <w:rFonts w:ascii="Arial" w:hAnsi="Arial" w:cs="Arial"/>
          <w:lang w:val="en-GB"/>
        </w:rPr>
        <w:t>Regulatory Bodies: Regulatory bodies such as the GDC and the Care Quality Commission (CQC) are stakeholders that oversee compliance with healthcare standards and regulations. Ensuring compliance with these bodies is crucial for maintaining the clinic’s license to operate and its reputation as a safe and trustworthy provider of dental care.</w:t>
      </w:r>
    </w:p>
    <w:p w:rsidRPr="002269A0" w:rsidR="002269A0" w:rsidP="117E7E9F" w:rsidRDefault="002269A0" w14:paraId="2A4653FF" w14:textId="77777777" w14:noSpellErr="1">
      <w:pPr>
        <w:pStyle w:val="Titolo1"/>
        <w:rPr>
          <w:lang w:val="en-GB"/>
        </w:rPr>
      </w:pPr>
    </w:p>
    <w:p w:rsidRPr="002269A0" w:rsidR="002269A0" w:rsidP="117E7E9F" w:rsidRDefault="002269A0" w14:paraId="1850EE9A" w14:textId="242A00B2" w14:noSpellErr="1">
      <w:pPr>
        <w:pStyle w:val="Titolo1"/>
        <w:tabs>
          <w:tab w:val="left" w:leader="none" w:pos="11695"/>
        </w:tabs>
        <w:rPr>
          <w:rFonts w:ascii="Arial" w:hAnsi="Arial" w:cs="Arial"/>
          <w:lang w:val="en-GB"/>
        </w:rPr>
      </w:pPr>
      <w:bookmarkStart w:name="_Toc70599839" w:id="429876780"/>
      <w:bookmarkStart w:name="_Toc40979629" w:id="1094905272"/>
      <w:bookmarkStart w:name="_Toc629258896" w:id="929795324"/>
      <w:bookmarkStart w:name="_Toc1708600803" w:id="1542013169"/>
      <w:bookmarkStart w:name="_Toc2043129592" w:id="1871044438"/>
      <w:bookmarkStart w:name="_Toc1485469192" w:id="889291367"/>
      <w:bookmarkStart w:name="_Toc813189321" w:id="225985135"/>
      <w:r w:rsidRPr="117E7E9F" w:rsidR="3DDB68CC">
        <w:rPr>
          <w:lang w:val="en-GB"/>
        </w:rPr>
        <w:t>Stakeholder Analysis Grid:</w:t>
      </w:r>
      <w:r>
        <w:tab/>
      </w:r>
      <w:bookmarkEnd w:id="429876780"/>
      <w:bookmarkEnd w:id="1094905272"/>
      <w:bookmarkEnd w:id="929795324"/>
      <w:bookmarkEnd w:id="1542013169"/>
      <w:bookmarkEnd w:id="1871044438"/>
      <w:bookmarkEnd w:id="889291367"/>
      <w:bookmarkEnd w:id="225985135"/>
    </w:p>
    <w:p w:rsidRPr="002269A0" w:rsidR="002269A0" w:rsidP="002269A0" w:rsidRDefault="002269A0" w14:paraId="73DE474F" w14:textId="77777777">
      <w:pPr>
        <w:rPr>
          <w:rFonts w:ascii="Arial" w:hAnsi="Arial" w:cs="Arial"/>
          <w:lang w:val="en-GB"/>
        </w:rPr>
      </w:pPr>
      <w:r w:rsidRPr="002269A0">
        <w:rPr>
          <w:rFonts w:ascii="Arial" w:hAnsi="Arial" w:cs="Arial"/>
          <w:lang w:val="en-GB"/>
        </w:rPr>
        <w:t>Patients: High Power/High Interest – Engage through regular feedback mechanisms, social media interactions, and providing flexible service options. Addressing patient needs promptly and effectively will help retain this key stakeholder group.</w:t>
      </w:r>
    </w:p>
    <w:p w:rsidRPr="002269A0" w:rsidR="002269A0" w:rsidP="002269A0" w:rsidRDefault="002269A0" w14:paraId="316298D6" w14:textId="77777777">
      <w:pPr>
        <w:rPr>
          <w:rFonts w:ascii="Arial" w:hAnsi="Arial" w:cs="Arial"/>
          <w:lang w:val="en-GB"/>
        </w:rPr>
      </w:pPr>
    </w:p>
    <w:p w:rsidRPr="002269A0" w:rsidR="002269A0" w:rsidP="002269A0" w:rsidRDefault="002269A0" w14:paraId="2E8E1C64" w14:textId="77777777">
      <w:pPr>
        <w:rPr>
          <w:rFonts w:ascii="Arial" w:hAnsi="Arial" w:cs="Arial"/>
          <w:lang w:val="en-GB"/>
        </w:rPr>
      </w:pPr>
      <w:r w:rsidRPr="002269A0">
        <w:rPr>
          <w:rFonts w:ascii="Arial" w:hAnsi="Arial" w:cs="Arial"/>
          <w:lang w:val="en-GB"/>
        </w:rPr>
        <w:t>Staff: High Power/Moderate Interest – Regular training programs, professional development opportunities, and ensuring a positive work environment will keep staff motivated and committed. Staff engagement is crucial for delivering consistent, high-quality care to patients.</w:t>
      </w:r>
    </w:p>
    <w:p w:rsidRPr="002269A0" w:rsidR="002269A0" w:rsidP="002269A0" w:rsidRDefault="002269A0" w14:paraId="1CE3E938" w14:textId="77777777">
      <w:pPr>
        <w:rPr>
          <w:rFonts w:ascii="Arial" w:hAnsi="Arial" w:cs="Arial"/>
          <w:lang w:val="en-GB"/>
        </w:rPr>
      </w:pPr>
    </w:p>
    <w:p w:rsidRPr="002269A0" w:rsidR="002269A0" w:rsidP="002269A0" w:rsidRDefault="002269A0" w14:paraId="6E76C85B" w14:textId="77777777">
      <w:pPr>
        <w:rPr>
          <w:rFonts w:ascii="Arial" w:hAnsi="Arial" w:cs="Arial"/>
          <w:lang w:val="en-GB"/>
        </w:rPr>
      </w:pPr>
      <w:r w:rsidRPr="002269A0">
        <w:rPr>
          <w:rFonts w:ascii="Arial" w:hAnsi="Arial" w:cs="Arial"/>
          <w:lang w:val="en-GB"/>
        </w:rPr>
        <w:t>Suppliers: Low Power/Moderate Interest – Maintaining positive relationships through timely payments and effective communication ensures that suppliers continue to provide the materials and technology needed for clinic operations.</w:t>
      </w:r>
    </w:p>
    <w:p w:rsidRPr="002269A0" w:rsidR="002269A0" w:rsidP="002269A0" w:rsidRDefault="002269A0" w14:paraId="5DF1420B" w14:textId="77777777">
      <w:pPr>
        <w:rPr>
          <w:rFonts w:ascii="Arial" w:hAnsi="Arial" w:cs="Arial"/>
          <w:lang w:val="en-GB"/>
        </w:rPr>
      </w:pPr>
    </w:p>
    <w:p w:rsidRPr="002269A0" w:rsidR="002269A0" w:rsidP="002269A0" w:rsidRDefault="002269A0" w14:paraId="0B7F8AEC" w14:textId="77777777">
      <w:pPr>
        <w:rPr>
          <w:rFonts w:ascii="Arial" w:hAnsi="Arial" w:cs="Arial"/>
          <w:lang w:val="en-GB"/>
        </w:rPr>
      </w:pPr>
      <w:r w:rsidRPr="002269A0">
        <w:rPr>
          <w:rFonts w:ascii="Arial" w:hAnsi="Arial" w:cs="Arial"/>
          <w:lang w:val="en-GB"/>
        </w:rPr>
        <w:t>Local Community: Moderate Power/High Interest – Community engagement through partnerships and educational initiatives can strengthen the clinic's reputation and build a loyal patient base. The clinic can leverage community support to enhance its presence and visibility in the area.</w:t>
      </w:r>
    </w:p>
    <w:p w:rsidRPr="002269A0" w:rsidR="002269A0" w:rsidP="002269A0" w:rsidRDefault="002269A0" w14:paraId="37013AEE" w14:textId="77777777">
      <w:pPr>
        <w:rPr>
          <w:rFonts w:ascii="Arial" w:hAnsi="Arial" w:cs="Arial"/>
          <w:lang w:val="en-GB"/>
        </w:rPr>
      </w:pPr>
    </w:p>
    <w:p w:rsidRPr="002269A0" w:rsidR="002269A0" w:rsidP="002269A0" w:rsidRDefault="002269A0" w14:paraId="453E82F8" w14:textId="77777777">
      <w:pPr>
        <w:rPr>
          <w:rFonts w:ascii="Arial" w:hAnsi="Arial" w:cs="Arial"/>
          <w:lang w:val="en-GB"/>
        </w:rPr>
      </w:pPr>
      <w:r w:rsidRPr="002269A0">
        <w:rPr>
          <w:rFonts w:ascii="Arial" w:hAnsi="Arial" w:cs="Arial"/>
          <w:lang w:val="en-GB"/>
        </w:rPr>
        <w:t>Regulatory Bodies: High Power/Low Interest – Compliance with regulatory requirements is non-negotiable. Ensuring that all standards are met and that the clinic operates within legal guidelines helps maintain a positive relationship with these stakeholders.</w:t>
      </w:r>
    </w:p>
    <w:p w:rsidRPr="002269A0" w:rsidR="002269A0" w:rsidP="002269A0" w:rsidRDefault="002269A0" w14:paraId="0A333B04" w14:textId="77777777">
      <w:pPr>
        <w:rPr>
          <w:rFonts w:ascii="Arial" w:hAnsi="Arial" w:cs="Arial"/>
          <w:lang w:val="en-GB"/>
        </w:rPr>
      </w:pPr>
    </w:p>
    <w:p w:rsidRPr="002269A0" w:rsidR="002269A0" w:rsidP="002269A0" w:rsidRDefault="002269A0" w14:paraId="40607ECA" w14:textId="77777777">
      <w:pPr>
        <w:rPr>
          <w:rFonts w:ascii="Arial" w:hAnsi="Arial" w:cs="Arial"/>
          <w:lang w:val="en-GB"/>
        </w:rPr>
      </w:pPr>
    </w:p>
    <w:p w:rsidRPr="00A36EC6" w:rsidR="00A36EC6" w:rsidP="117E7E9F" w:rsidRDefault="002269A0" w14:paraId="2F86577E" w14:textId="49127E97" w14:noSpellErr="1">
      <w:pPr>
        <w:pStyle w:val="Titolo1"/>
        <w:rPr>
          <w:rFonts w:ascii="Arial" w:hAnsi="Arial" w:cs="Arial"/>
          <w:color w:val="8EAADB" w:themeColor="accent1" w:themeTint="99" w:themeShade="FF"/>
          <w:lang w:val="en-GB"/>
        </w:rPr>
      </w:pPr>
      <w:bookmarkStart w:name="_Toc70772020" w:id="1904875736"/>
      <w:bookmarkStart w:name="_Toc1139587842" w:id="921350249"/>
      <w:bookmarkStart w:name="_Toc1232166583" w:id="939130516"/>
      <w:bookmarkStart w:name="_Toc199377516" w:id="543474145"/>
      <w:bookmarkStart w:name="_Toc757955447" w:id="197722003"/>
      <w:bookmarkStart w:name="_Toc2049071407" w:id="303733435"/>
      <w:bookmarkStart w:name="_Toc978285583" w:id="605390886"/>
      <w:r w:rsidRPr="117E7E9F" w:rsidR="3DDB68CC">
        <w:rPr>
          <w:lang w:val="en-GB"/>
        </w:rPr>
        <w:t>Strategic Growth Options</w:t>
      </w:r>
      <w:bookmarkEnd w:id="1904875736"/>
      <w:bookmarkEnd w:id="921350249"/>
      <w:bookmarkEnd w:id="939130516"/>
      <w:bookmarkEnd w:id="543474145"/>
      <w:bookmarkEnd w:id="197722003"/>
      <w:bookmarkEnd w:id="303733435"/>
      <w:bookmarkEnd w:id="605390886"/>
    </w:p>
    <w:p w:rsidRPr="00A36EC6" w:rsidR="00A36EC6" w:rsidP="00A36EC6" w:rsidRDefault="00A36EC6" w14:paraId="4FD759E9" w14:textId="77777777">
      <w:pPr>
        <w:rPr>
          <w:rFonts w:ascii="Arial" w:hAnsi="Arial" w:cs="Arial"/>
          <w:lang w:val="en-GB"/>
        </w:rPr>
      </w:pPr>
      <w:r w:rsidRPr="00A36EC6">
        <w:rPr>
          <w:rFonts w:ascii="Arial" w:hAnsi="Arial" w:cs="Arial"/>
          <w:lang w:val="en-GB"/>
        </w:rPr>
        <w:t>The objective of market penetration is to expand the clinic's share of the present market by recruiting additional patients from the Birmingham region. This is accomplished through the process of market penetration. This is something that may be accomplished through the use of improved digital marketing methods, such as enhancing the clinic's position in search engines and conducting targeted social media campaigns on various platforms, such as Facebook and Instagram. In addition, the implementation of referral incentives for existing patients can stimulate word-of-mouth marketing, which continues to be an effective technique in the healthcare industry.</w:t>
      </w:r>
    </w:p>
    <w:p w:rsidR="00A36EC6" w:rsidP="00A36EC6" w:rsidRDefault="00A36EC6" w14:paraId="2F12A141" w14:textId="77777777">
      <w:pPr>
        <w:rPr>
          <w:rFonts w:ascii="Arial" w:hAnsi="Arial" w:cs="Arial"/>
          <w:lang w:val="en-GB"/>
        </w:rPr>
      </w:pPr>
    </w:p>
    <w:p w:rsidRPr="00A36EC6" w:rsidR="00A36EC6" w:rsidP="00A36EC6" w:rsidRDefault="00A36EC6" w14:paraId="70C0341B" w14:textId="2FB78914">
      <w:pPr>
        <w:rPr>
          <w:rFonts w:ascii="Arial" w:hAnsi="Arial" w:cs="Arial"/>
          <w:lang w:val="en-GB"/>
        </w:rPr>
      </w:pPr>
      <w:r w:rsidRPr="00A36EC6">
        <w:rPr>
          <w:rFonts w:ascii="Arial" w:hAnsi="Arial" w:cs="Arial"/>
          <w:lang w:val="en-GB"/>
        </w:rPr>
        <w:t>As a low-risk strategy that capitalises on the clinic's current strengths and industry expertise, market penetration is a very straightforward approach. All Saints Dental Clinic is able to capitalise on its brand awareness and existing customer loyalty by extending its patient base within its present market. This is accomplished by focussing on expanding its patient base. By increasing the clinic's exposure through digital marketing, the clinic will be able to attract new patients who might not be familiar with the services it provides. In addition, utilising existing patients as advocates through referral programs may be an efficient and cost-effective method of expanding the patient base.</w:t>
      </w:r>
    </w:p>
    <w:p w:rsidR="00A36EC6" w:rsidP="00A36EC6" w:rsidRDefault="00A36EC6" w14:paraId="1EDEFE7C" w14:textId="77777777">
      <w:pPr>
        <w:rPr>
          <w:rFonts w:ascii="Arial" w:hAnsi="Arial" w:cs="Arial"/>
          <w:lang w:val="en-GB"/>
        </w:rPr>
      </w:pPr>
    </w:p>
    <w:p w:rsidRPr="00A36EC6" w:rsidR="00A36EC6" w:rsidP="00A36EC6" w:rsidRDefault="00A36EC6" w14:paraId="16ABEE5D" w14:textId="78C0FE0C">
      <w:pPr>
        <w:rPr>
          <w:rFonts w:ascii="Arial" w:hAnsi="Arial" w:cs="Arial"/>
          <w:lang w:val="en-GB"/>
        </w:rPr>
      </w:pPr>
      <w:r w:rsidRPr="00A36EC6">
        <w:rPr>
          <w:rFonts w:ascii="Arial" w:hAnsi="Arial" w:cs="Arial"/>
          <w:lang w:val="en-GB"/>
        </w:rPr>
        <w:t>Service Expansion: The introduction of more services, particularly in the cosmetic and orthodontic categories, such as dermal fillers, advanced whitening techniques, and other aesthetic upgrades, will assist in attracting a larger audience that is specifically interested in aesthetic enhancements. Cosmetic dental procedures are becoming more and more popular as a result of the culture of social media and the aspiration to have a flawless smile (Market Research, 2023). Through the expansion of these services, the clinic will be able to differentiate itself from ordinary dentistry offices by catering to the rising population of customers who are searching for cosmetic solutions.</w:t>
      </w:r>
    </w:p>
    <w:p w:rsidR="00A36EC6" w:rsidP="00A36EC6" w:rsidRDefault="00A36EC6" w14:paraId="7B6A751B" w14:textId="77777777">
      <w:pPr>
        <w:rPr>
          <w:rFonts w:ascii="Arial" w:hAnsi="Arial" w:cs="Arial"/>
          <w:lang w:val="en-GB"/>
        </w:rPr>
      </w:pPr>
    </w:p>
    <w:p w:rsidRPr="00A36EC6" w:rsidR="00A36EC6" w:rsidP="00A36EC6" w:rsidRDefault="00A36EC6" w14:paraId="219F3E80" w14:textId="6BD592B7">
      <w:pPr>
        <w:rPr>
          <w:rFonts w:ascii="Arial" w:hAnsi="Arial" w:cs="Arial"/>
          <w:lang w:val="en-GB"/>
        </w:rPr>
      </w:pPr>
      <w:r w:rsidRPr="00A36EC6">
        <w:rPr>
          <w:rFonts w:ascii="Arial" w:hAnsi="Arial" w:cs="Arial"/>
          <w:lang w:val="en-GB"/>
        </w:rPr>
        <w:t>When it comes to expanding services, there is a certain degree of risk involved because it necessitates more investments in marketing, training, and equipment. In spite of this, the potential returns are substantial, especially considering the current trend towards cosmetic dental care services. In addition, the clinic's present reputation for providing high-quality medical treatment serves as a strong platform for the promotion of these newly introduced services. Increasing the number of comprehensive care alternatives available to patients is another way that expanding into these high-demand services may help increase patient retention.</w:t>
      </w:r>
    </w:p>
    <w:p w:rsidR="00A36EC6" w:rsidP="00A36EC6" w:rsidRDefault="00A36EC6" w14:paraId="554B6946" w14:textId="77777777">
      <w:pPr>
        <w:rPr>
          <w:rFonts w:ascii="Arial" w:hAnsi="Arial" w:cs="Arial"/>
          <w:lang w:val="en-GB"/>
        </w:rPr>
      </w:pPr>
    </w:p>
    <w:p w:rsidRPr="00A36EC6" w:rsidR="00A36EC6" w:rsidP="00A36EC6" w:rsidRDefault="00A36EC6" w14:paraId="10970B02" w14:textId="0830DAED">
      <w:pPr>
        <w:rPr>
          <w:rFonts w:ascii="Arial" w:hAnsi="Arial" w:cs="Arial"/>
          <w:lang w:val="en-GB"/>
        </w:rPr>
      </w:pPr>
      <w:r w:rsidRPr="00A36EC6">
        <w:rPr>
          <w:rFonts w:ascii="Arial" w:hAnsi="Arial" w:cs="Arial"/>
          <w:lang w:val="en-GB"/>
        </w:rPr>
        <w:t>Strategic alliances and partnerships: Establishing strategic alliances with local healthcare providers, educational institutions, and community organisations can assist in enhancing the recognition and legitimacy of a brand. For instance, establishing All Saints oral Clinic as a community-oriented healthcare provider might be accomplished by forming partnerships with local schools in order to offer oral health workshops or free dental checkups. Additionally, referral networks may be established by collaboration with other healthcare professionals, which will result in the acquisition of new patients and will boost the clinic's reputation.</w:t>
      </w:r>
    </w:p>
    <w:p w:rsidR="00A36EC6" w:rsidP="00A36EC6" w:rsidRDefault="00A36EC6" w14:paraId="370CFC1E" w14:textId="77777777">
      <w:pPr>
        <w:rPr>
          <w:rFonts w:ascii="Arial" w:hAnsi="Arial" w:cs="Arial"/>
          <w:lang w:val="en-GB"/>
        </w:rPr>
      </w:pPr>
    </w:p>
    <w:p w:rsidRPr="00A36EC6" w:rsidR="00A36EC6" w:rsidP="00A36EC6" w:rsidRDefault="00A36EC6" w14:paraId="5064670B" w14:textId="0984646A">
      <w:pPr>
        <w:rPr>
          <w:rFonts w:ascii="Arial" w:hAnsi="Arial" w:cs="Arial"/>
          <w:lang w:val="en-GB"/>
        </w:rPr>
      </w:pPr>
      <w:r w:rsidRPr="00A36EC6">
        <w:rPr>
          <w:rFonts w:ascii="Arial" w:hAnsi="Arial" w:cs="Arial"/>
          <w:lang w:val="en-GB"/>
        </w:rPr>
        <w:t>One strategic approach that may be utilised to increase community participation and brand loyalty is the formation of partnerships and alliances. Building a favourable image that extends beyond the scope of ordinary patient treatment is possible for the clinic if it positions itself as a community-oriented practice from the beginning. In addition to assisting in the recruitment of new patients, these collaborations also contribute to the development of trust and credibility, both of which are crucial in the field of healthcare industry. Because community partnerships sometimes entail the participation of both parties in promotional endeavours, this tactic also has the additional advantage of lowering marketing expenses.</w:t>
      </w:r>
    </w:p>
    <w:p w:rsidR="00A36EC6" w:rsidP="00A36EC6" w:rsidRDefault="00A36EC6" w14:paraId="41DAFF64" w14:textId="77777777">
      <w:pPr>
        <w:rPr>
          <w:rFonts w:ascii="Arial" w:hAnsi="Arial" w:cs="Arial"/>
          <w:lang w:val="en-GB"/>
        </w:rPr>
      </w:pPr>
    </w:p>
    <w:p w:rsidRPr="00A36EC6" w:rsidR="00A36EC6" w:rsidP="00A36EC6" w:rsidRDefault="00A36EC6" w14:paraId="5DA446C2" w14:textId="3E1B8C1D">
      <w:pPr>
        <w:rPr>
          <w:rFonts w:ascii="Arial" w:hAnsi="Arial" w:cs="Arial"/>
          <w:lang w:val="en-GB"/>
        </w:rPr>
      </w:pPr>
      <w:r w:rsidRPr="00A36EC6">
        <w:rPr>
          <w:rFonts w:ascii="Arial" w:hAnsi="Arial" w:cs="Arial"/>
          <w:lang w:val="en-GB"/>
        </w:rPr>
        <w:t>It is recommended that All Saints Dental Clinic choose the Service Expansion plan as the best appropriate growth strategy from the three alternatives that are available to them. This strategy not only helps the clinic separate itself from other dental practices in Birmingham, but it also helps capitalise on the rising need for cosmetic and aesthetic dentistry services which is now in high demand. Younger patients who are particularly interested in cosmetic treatments will be drawn to the clinic as a result of the adoption of sophisticated aesthetic services, which will be combined with the technology capabilities that are already there. It is also important to note that this strategy contributes to long-term sustainability by offering a service with better margins, which has the potential to increase total profitability.</w:t>
      </w:r>
    </w:p>
    <w:p w:rsidRPr="00A36EC6" w:rsidR="00A36EC6" w:rsidP="00A36EC6" w:rsidRDefault="00A36EC6" w14:paraId="023B6DCD" w14:textId="77777777">
      <w:pPr>
        <w:rPr>
          <w:rFonts w:ascii="Arial" w:hAnsi="Arial" w:cs="Arial"/>
          <w:color w:val="8EAADB" w:themeColor="accent1" w:themeTint="99"/>
          <w:lang w:val="en-GB"/>
        </w:rPr>
      </w:pPr>
    </w:p>
    <w:p w:rsidRPr="00A36EC6" w:rsidR="002269A0" w:rsidP="002269A0" w:rsidRDefault="002269A0" w14:paraId="50ECF15C" w14:textId="2F331C30">
      <w:pPr>
        <w:rPr>
          <w:rFonts w:ascii="Arial" w:hAnsi="Arial" w:cs="Arial"/>
          <w:color w:val="8EAADB" w:themeColor="accent1" w:themeTint="99"/>
          <w:lang w:val="en-GB"/>
        </w:rPr>
      </w:pPr>
    </w:p>
    <w:p w:rsidR="00A36EC6" w:rsidP="002269A0" w:rsidRDefault="00A36EC6" w14:paraId="03D2C379" w14:textId="77777777">
      <w:pPr>
        <w:rPr>
          <w:rFonts w:ascii="Arial" w:hAnsi="Arial" w:cs="Arial"/>
          <w:lang w:val="en-GB"/>
        </w:rPr>
      </w:pPr>
      <w:r w:rsidRPr="00A36EC6">
        <w:rPr>
          <w:rFonts w:ascii="Arial" w:hAnsi="Arial" w:cs="Arial"/>
          <w:lang w:val="en-GB"/>
        </w:rPr>
        <w:t xml:space="preserve">Competitors, particularly other clinics situated in Birmingham, may respond to the clinic's extension of its services by providing services that are comparable to those offered by the clinic or by cutting their pricing. It is possible that larger dental chains would expand their marketing efforts in order to recruit patients who fall into the same demographic. In order to counteract these reactions, All Saints Dental </w:t>
      </w:r>
    </w:p>
    <w:p w:rsidR="00A36EC6" w:rsidP="002269A0" w:rsidRDefault="00A36EC6" w14:paraId="2201BD3F" w14:textId="77777777">
      <w:pPr>
        <w:rPr>
          <w:rFonts w:ascii="Arial" w:hAnsi="Arial" w:cs="Arial"/>
          <w:lang w:val="en-GB"/>
        </w:rPr>
      </w:pPr>
    </w:p>
    <w:p w:rsidRPr="002269A0" w:rsidR="002269A0" w:rsidP="002269A0" w:rsidRDefault="00A36EC6" w14:paraId="4C0AA6EF" w14:textId="47A1B74C">
      <w:pPr>
        <w:rPr>
          <w:rFonts w:ascii="Arial" w:hAnsi="Arial" w:cs="Arial"/>
          <w:lang w:val="en-GB"/>
        </w:rPr>
      </w:pPr>
      <w:r w:rsidRPr="00A36EC6">
        <w:rPr>
          <w:rFonts w:ascii="Arial" w:hAnsi="Arial" w:cs="Arial"/>
          <w:lang w:val="en-GB"/>
        </w:rPr>
        <w:t xml:space="preserve">According to the findings of the SWOT analysis, the PESTLE analysis, and the stakeholder analysis, it is suggested that All Saints Dental Clinic concentrate on increasing the number of orthodontic and cosmetic services it provides. By putting into practice Kotter's 8-Step Change Model for change management, you will ensure that the transition to new services and the adaptation of personnel will go extremely well. A further strengthening of the clinic's brand and market position will be achieved through the promotion of flexible payment alternatives and the engagement of patients through social </w:t>
      </w:r>
      <w:proofErr w:type="spellStart"/>
      <w:r w:rsidRPr="00A36EC6">
        <w:rPr>
          <w:rFonts w:ascii="Arial" w:hAnsi="Arial" w:cs="Arial"/>
          <w:lang w:val="en-GB"/>
        </w:rPr>
        <w:t>media.Clinic</w:t>
      </w:r>
      <w:proofErr w:type="spellEnd"/>
      <w:r w:rsidRPr="00A36EC6">
        <w:rPr>
          <w:rFonts w:ascii="Arial" w:hAnsi="Arial" w:cs="Arial"/>
          <w:lang w:val="en-GB"/>
        </w:rPr>
        <w:t xml:space="preserve"> ought to separate itself by putting an emphasis on providing exceptional patient care, giving distinctive service options, and providing flexible payment plans. Additionally, the clinic ought to make use of its presence on social media in order to highlight the excellence of its sophisticated cosmetic therapies and to promote patient success stories (All Saints Dental Clinic, 2024).</w:t>
      </w:r>
    </w:p>
    <w:p w:rsidRPr="00DC0E8C" w:rsidR="00DC0E8C" w:rsidP="00DC0E8C" w:rsidRDefault="00DC0E8C" w14:paraId="53A017CA" w14:textId="77777777">
      <w:pPr>
        <w:rPr>
          <w:rFonts w:ascii="Arial" w:hAnsi="Arial" w:cs="Arial"/>
          <w:lang w:val="en-GB"/>
        </w:rPr>
      </w:pPr>
    </w:p>
    <w:p w:rsidRPr="00DC0E8C" w:rsidR="00DC0E8C" w:rsidP="117E7E9F" w:rsidRDefault="00DC0E8C" w14:paraId="3FBD71D5" w14:textId="44B1AB32" w14:noSpellErr="1">
      <w:pPr>
        <w:pStyle w:val="Titolo1"/>
        <w:bidi w:val="0"/>
        <w:rPr>
          <w:rFonts w:ascii="Arial" w:hAnsi="Arial" w:cs="Arial"/>
          <w:color w:val="8EAADB" w:themeColor="accent1" w:themeTint="99" w:themeShade="FF"/>
          <w:lang w:val="en-GB"/>
        </w:rPr>
      </w:pPr>
      <w:bookmarkStart w:name="_Toc1930154509" w:id="1608192954"/>
      <w:bookmarkStart w:name="_Toc2011283973" w:id="57017221"/>
      <w:bookmarkStart w:name="_Toc886237589" w:id="821569896"/>
      <w:bookmarkStart w:name="_Toc362243452" w:id="2059350686"/>
      <w:bookmarkStart w:name="_Toc382989921" w:id="428727305"/>
      <w:bookmarkStart w:name="_Toc1143044696" w:id="86209703"/>
      <w:bookmarkStart w:name="_Toc1915061465" w:id="559643631"/>
      <w:r w:rsidRPr="117E7E9F" w:rsidR="106DA915">
        <w:rPr>
          <w:lang w:val="en-GB"/>
        </w:rPr>
        <w:t>Conclusion</w:t>
      </w:r>
      <w:bookmarkEnd w:id="1608192954"/>
      <w:bookmarkEnd w:id="57017221"/>
      <w:bookmarkEnd w:id="821569896"/>
      <w:bookmarkEnd w:id="2059350686"/>
      <w:bookmarkEnd w:id="428727305"/>
      <w:bookmarkEnd w:id="86209703"/>
      <w:bookmarkEnd w:id="559643631"/>
      <w:r w:rsidRPr="117E7E9F" w:rsidR="106DA915">
        <w:rPr>
          <w:lang w:val="en-GB"/>
        </w:rPr>
        <w:t xml:space="preserve"> </w:t>
      </w:r>
    </w:p>
    <w:p w:rsidRPr="00DC0E8C" w:rsidR="00DC0E8C" w:rsidP="00DC0E8C" w:rsidRDefault="00F62E68" w14:paraId="61C4BCDD" w14:textId="5C2B8054">
      <w:pPr>
        <w:rPr>
          <w:rFonts w:ascii="Arial" w:hAnsi="Arial" w:cs="Arial"/>
          <w:lang w:val="en-GB"/>
        </w:rPr>
      </w:pPr>
      <w:r w:rsidRPr="00F62E68">
        <w:rPr>
          <w:rFonts w:ascii="Arial" w:hAnsi="Arial" w:cs="Arial"/>
          <w:lang w:val="en-GB"/>
        </w:rPr>
        <w:t>To summarise, All Saints Dental Clinic is in an excellent position to capitalise on development prospects by virtue of the increase of their service offerings and their involvement in the community. The application of strategic techniques, such as Porter's Five Forces, PESTLE, and SWOT, has brought to light crucial areas for development and the necessity of differentiation in a market that is highly competitive. Maintaining its competitive advantage and achieving sustainable growth in Birmingham may be accomplished by the clinic if it places a strong emphasis on increasing its offerings, enhancing the patient experience, and implementing change management strategies that are successful.</w:t>
      </w:r>
    </w:p>
    <w:p w:rsidRPr="00DC0E8C" w:rsidR="00DC0E8C" w:rsidP="00DC0E8C" w:rsidRDefault="00DC0E8C" w14:paraId="13F51002" w14:textId="77777777">
      <w:pPr>
        <w:rPr>
          <w:rFonts w:ascii="Arial" w:hAnsi="Arial" w:cs="Arial"/>
          <w:lang w:val="en-GB"/>
        </w:rPr>
      </w:pPr>
    </w:p>
    <w:p w:rsidRPr="00F62E68" w:rsidR="00DC0E8C" w:rsidP="117E7E9F" w:rsidRDefault="00DC0E8C" w14:paraId="11D35617" w14:textId="62A90E62">
      <w:pPr>
        <w:rPr>
          <w:rFonts w:ascii="Arial" w:hAnsi="Arial" w:cs="Arial"/>
          <w:b w:val="1"/>
          <w:bCs w:val="1"/>
          <w:i w:val="1"/>
          <w:iCs w:val="1"/>
          <w:lang w:val="en-GB"/>
        </w:rPr>
      </w:pPr>
    </w:p>
    <w:p w:rsidRPr="00F62E68" w:rsidR="00DC0E8C" w:rsidP="117E7E9F" w:rsidRDefault="00DC0E8C" w14:paraId="68C7C3E8" w14:textId="08E7B6AF">
      <w:pPr>
        <w:rPr>
          <w:rFonts w:ascii="Arial" w:hAnsi="Arial" w:cs="Arial"/>
          <w:b w:val="1"/>
          <w:bCs w:val="1"/>
          <w:i w:val="1"/>
          <w:iCs w:val="1"/>
          <w:lang w:val="en-GB"/>
        </w:rPr>
      </w:pPr>
    </w:p>
    <w:p w:rsidRPr="00F62E68" w:rsidR="00DC0E8C" w:rsidP="117E7E9F" w:rsidRDefault="00DC0E8C" w14:paraId="28F4E80F" w14:textId="23A0E7E1">
      <w:pPr>
        <w:rPr>
          <w:rFonts w:ascii="Arial" w:hAnsi="Arial" w:cs="Arial"/>
          <w:b w:val="1"/>
          <w:bCs w:val="1"/>
          <w:i w:val="1"/>
          <w:iCs w:val="1"/>
          <w:lang w:val="en-GB"/>
        </w:rPr>
      </w:pPr>
    </w:p>
    <w:p w:rsidRPr="00F62E68" w:rsidR="00DC0E8C" w:rsidP="117E7E9F" w:rsidRDefault="00DC0E8C" w14:paraId="3CA722CB" w14:textId="2A1D4891">
      <w:pPr>
        <w:rPr>
          <w:rFonts w:ascii="Arial" w:hAnsi="Arial" w:cs="Arial"/>
          <w:b w:val="1"/>
          <w:bCs w:val="1"/>
          <w:i w:val="1"/>
          <w:iCs w:val="1"/>
          <w:lang w:val="en-GB"/>
        </w:rPr>
      </w:pPr>
    </w:p>
    <w:p w:rsidRPr="00F62E68" w:rsidR="00DC0E8C" w:rsidP="117E7E9F" w:rsidRDefault="00DC0E8C" w14:paraId="478BD421" w14:textId="4E444B66">
      <w:pPr>
        <w:rPr>
          <w:rFonts w:ascii="Arial" w:hAnsi="Arial" w:cs="Arial"/>
          <w:b w:val="1"/>
          <w:bCs w:val="1"/>
          <w:i w:val="1"/>
          <w:iCs w:val="1"/>
          <w:lang w:val="en-GB"/>
        </w:rPr>
      </w:pPr>
    </w:p>
    <w:p w:rsidRPr="00F62E68" w:rsidR="00DC0E8C" w:rsidP="6ED261B5" w:rsidRDefault="00DC0E8C" w14:paraId="3B73CCE8" w14:textId="313E73B4">
      <w:pPr>
        <w:pStyle w:val="Titolo1"/>
        <w:rPr>
          <w:rFonts w:ascii="Arial" w:hAnsi="Arial" w:cs="Arial"/>
          <w:b w:val="1"/>
          <w:bCs w:val="1"/>
          <w:i w:val="1"/>
          <w:iCs w:val="1"/>
          <w:lang w:val="en-GB"/>
        </w:rPr>
      </w:pPr>
      <w:bookmarkStart w:name="_Toc1884981945" w:id="616926487"/>
      <w:bookmarkStart w:name="_Toc574458286" w:id="1865583516"/>
      <w:bookmarkStart w:name="_Toc772060245" w:id="500087815"/>
      <w:bookmarkStart w:name="_Toc387400689" w:id="1581739880"/>
      <w:bookmarkStart w:name="_Toc1790205131" w:id="821545352"/>
      <w:bookmarkStart w:name="_Toc826691041" w:id="843548684"/>
      <w:bookmarkStart w:name="_Toc1878487673" w:id="934948594"/>
      <w:r w:rsidRPr="6ED261B5" w:rsidR="106DA915">
        <w:rPr>
          <w:lang w:val="en-GB"/>
        </w:rPr>
        <w:t>References</w:t>
      </w:r>
      <w:bookmarkEnd w:id="616926487"/>
      <w:bookmarkEnd w:id="1865583516"/>
      <w:bookmarkEnd w:id="500087815"/>
      <w:bookmarkEnd w:id="1581739880"/>
      <w:bookmarkEnd w:id="821545352"/>
      <w:bookmarkEnd w:id="843548684"/>
      <w:bookmarkEnd w:id="934948594"/>
    </w:p>
    <w:p w:rsidRPr="00F62E68" w:rsidR="00F62E68" w:rsidP="00F62E68" w:rsidRDefault="00F62E68" w14:paraId="6B19FBC0" w14:textId="0D9C7B98">
      <w:pPr>
        <w:pStyle w:val="Paragrafoelenco"/>
        <w:numPr>
          <w:ilvl w:val="0"/>
          <w:numId w:val="3"/>
        </w:numPr>
        <w:rPr>
          <w:rFonts w:ascii="Arial" w:hAnsi="Arial" w:cs="Arial"/>
          <w:b/>
          <w:bCs/>
          <w:i/>
          <w:iCs/>
          <w:lang w:val="en-GB"/>
        </w:rPr>
      </w:pPr>
      <w:r w:rsidRPr="00F62E68">
        <w:rPr>
          <w:rFonts w:ascii="Arial" w:hAnsi="Arial" w:cs="Arial"/>
          <w:b/>
          <w:bCs/>
          <w:i/>
          <w:iCs/>
          <w:lang w:val="en-GB"/>
        </w:rPr>
        <w:t>Johnson, G., Whittington, R., &amp; Scholes, K. (2017). Exploring Strategy (11th ed.). Pearson Education.</w:t>
      </w:r>
    </w:p>
    <w:p w:rsidRPr="00F62E68" w:rsidR="00F62E68" w:rsidP="00F62E68" w:rsidRDefault="00F62E68" w14:paraId="5EDBEDAF" w14:textId="77777777">
      <w:pPr>
        <w:rPr>
          <w:rFonts w:ascii="Arial" w:hAnsi="Arial" w:cs="Arial"/>
          <w:b/>
          <w:bCs/>
          <w:i/>
          <w:iCs/>
          <w:lang w:val="en-GB"/>
        </w:rPr>
      </w:pPr>
    </w:p>
    <w:p w:rsidRPr="00F62E68" w:rsidR="00DC0E8C" w:rsidP="00F62E68" w:rsidRDefault="00F62E68" w14:paraId="6488B240" w14:textId="14A785C4">
      <w:pPr>
        <w:pStyle w:val="Paragrafoelenco"/>
        <w:numPr>
          <w:ilvl w:val="0"/>
          <w:numId w:val="3"/>
        </w:numPr>
        <w:rPr>
          <w:rFonts w:ascii="Arial" w:hAnsi="Arial" w:cs="Arial"/>
          <w:b/>
          <w:bCs/>
          <w:i/>
          <w:iCs/>
          <w:lang w:val="en-GB"/>
        </w:rPr>
      </w:pPr>
      <w:r w:rsidRPr="00F62E68">
        <w:rPr>
          <w:rFonts w:ascii="Arial" w:hAnsi="Arial" w:cs="Arial"/>
          <w:b/>
          <w:bCs/>
          <w:i/>
          <w:iCs/>
          <w:lang w:val="en-GB"/>
        </w:rPr>
        <w:t xml:space="preserve">Porter, M. E. (2008). Competitive Strategy: Techniques for </w:t>
      </w:r>
      <w:proofErr w:type="spellStart"/>
      <w:r w:rsidRPr="00F62E68">
        <w:rPr>
          <w:rFonts w:ascii="Arial" w:hAnsi="Arial" w:cs="Arial"/>
          <w:b/>
          <w:bCs/>
          <w:i/>
          <w:iCs/>
          <w:lang w:val="en-GB"/>
        </w:rPr>
        <w:t>Analyzing</w:t>
      </w:r>
      <w:proofErr w:type="spellEnd"/>
      <w:r w:rsidRPr="00F62E68">
        <w:rPr>
          <w:rFonts w:ascii="Arial" w:hAnsi="Arial" w:cs="Arial"/>
          <w:b/>
          <w:bCs/>
          <w:i/>
          <w:iCs/>
          <w:lang w:val="en-GB"/>
        </w:rPr>
        <w:t xml:space="preserve"> Industries and Competitors. Free Press.</w:t>
      </w:r>
    </w:p>
    <w:p w:rsidR="00DC0E8C" w:rsidP="00DC0E8C" w:rsidRDefault="00DC0E8C" w14:paraId="06C27667" w14:textId="744C598C">
      <w:pPr>
        <w:rPr>
          <w:rFonts w:ascii="Arial" w:hAnsi="Arial" w:cs="Arial"/>
          <w:b/>
          <w:bCs/>
          <w:i/>
          <w:iCs/>
          <w:lang w:val="en-GB"/>
        </w:rPr>
      </w:pPr>
    </w:p>
    <w:p w:rsidRPr="00F62E68" w:rsidR="00F62E68" w:rsidP="00F62E68" w:rsidRDefault="00F62E68" w14:paraId="13385B27" w14:textId="1EDB0306">
      <w:pPr>
        <w:pStyle w:val="Paragrafoelenco"/>
        <w:numPr>
          <w:ilvl w:val="0"/>
          <w:numId w:val="3"/>
        </w:numPr>
        <w:rPr>
          <w:rFonts w:ascii="Arial" w:hAnsi="Arial" w:cs="Arial"/>
          <w:b/>
          <w:bCs/>
          <w:i/>
          <w:iCs/>
          <w:lang w:val="en-GB"/>
        </w:rPr>
      </w:pPr>
      <w:r w:rsidRPr="00F62E68">
        <w:rPr>
          <w:rFonts w:ascii="Arial" w:hAnsi="Arial" w:cs="Arial"/>
          <w:b/>
          <w:bCs/>
          <w:i/>
          <w:iCs/>
          <w:lang w:val="en-GB"/>
        </w:rPr>
        <w:t>Gov.uk (2023). Impact of Brexit on Health and Social Care: Government Response. Available at: https://www.gov.uk/government/publications/government-response-to-report-on-brexit-and-health-and-social-care (Accessed: 1</w:t>
      </w:r>
      <w:r w:rsidRPr="00F62E68">
        <w:rPr>
          <w:rFonts w:ascii="Arial" w:hAnsi="Arial" w:cs="Arial"/>
          <w:b/>
          <w:bCs/>
          <w:i/>
          <w:iCs/>
          <w:lang w:val="en-GB"/>
        </w:rPr>
        <w:t>2</w:t>
      </w:r>
      <w:r w:rsidRPr="00F62E68">
        <w:rPr>
          <w:rFonts w:ascii="Arial" w:hAnsi="Arial" w:cs="Arial"/>
          <w:b/>
          <w:bCs/>
          <w:i/>
          <w:iCs/>
          <w:lang w:val="en-GB"/>
        </w:rPr>
        <w:t xml:space="preserve"> October 2024).</w:t>
      </w:r>
    </w:p>
    <w:p w:rsidRPr="00F62E68" w:rsidR="00DC0E8C" w:rsidP="00DC0E8C" w:rsidRDefault="00DC0E8C" w14:paraId="6D44FEF1" w14:textId="77777777">
      <w:pPr>
        <w:rPr>
          <w:rFonts w:ascii="Arial" w:hAnsi="Arial" w:cs="Arial"/>
          <w:b/>
          <w:bCs/>
          <w:i/>
          <w:iCs/>
          <w:lang w:val="en-GB"/>
        </w:rPr>
      </w:pPr>
    </w:p>
    <w:p w:rsidRPr="00F62E68" w:rsidR="00DC0E8C" w:rsidP="00F62E68" w:rsidRDefault="00DC0E8C" w14:paraId="0AF5663B" w14:textId="789E7ED4">
      <w:pPr>
        <w:pStyle w:val="Paragrafoelenco"/>
        <w:numPr>
          <w:ilvl w:val="0"/>
          <w:numId w:val="3"/>
        </w:numPr>
        <w:rPr>
          <w:rFonts w:ascii="Arial" w:hAnsi="Arial" w:cs="Arial"/>
          <w:b/>
          <w:bCs/>
          <w:i/>
          <w:iCs/>
          <w:lang w:val="en-GB"/>
        </w:rPr>
      </w:pPr>
      <w:r w:rsidRPr="00F62E68">
        <w:rPr>
          <w:rFonts w:ascii="Arial" w:hAnsi="Arial" w:cs="Arial"/>
          <w:b/>
          <w:bCs/>
          <w:i/>
          <w:iCs/>
          <w:lang w:val="en-GB"/>
        </w:rPr>
        <w:t>Freeman, R. E. (1984). Strategic Management: A Stakeholder Approach. Boston: Pitman.</w:t>
      </w:r>
    </w:p>
    <w:p w:rsidRPr="00DC0E8C" w:rsidR="00DC0E8C" w:rsidP="00DC0E8C" w:rsidRDefault="00DC0E8C" w14:paraId="035F9085" w14:textId="77777777">
      <w:pPr>
        <w:rPr>
          <w:rFonts w:ascii="Arial" w:hAnsi="Arial" w:cs="Arial"/>
          <w:lang w:val="en-GB"/>
        </w:rPr>
      </w:pPr>
    </w:p>
    <w:p w:rsidRPr="00F62E68" w:rsidR="00DC0E8C" w:rsidP="00F62E68" w:rsidRDefault="00F62E68" w14:paraId="73D04D0F" w14:textId="68D46533">
      <w:pPr>
        <w:pStyle w:val="Paragrafoelenco"/>
        <w:numPr>
          <w:ilvl w:val="0"/>
          <w:numId w:val="3"/>
        </w:numPr>
        <w:rPr>
          <w:rFonts w:ascii="Arial" w:hAnsi="Arial" w:cs="Arial"/>
          <w:b/>
          <w:bCs/>
          <w:i/>
          <w:iCs/>
          <w:lang w:val="en-GB"/>
        </w:rPr>
      </w:pPr>
      <w:r w:rsidRPr="00F62E68">
        <w:rPr>
          <w:rFonts w:ascii="Arial" w:hAnsi="Arial" w:cs="Arial"/>
          <w:b/>
          <w:bCs/>
          <w:i/>
          <w:iCs/>
          <w:lang w:val="en-GB"/>
        </w:rPr>
        <w:t>Ansoff, I. (1988). Corporate Strategy: Revised Edition. Penguin.</w:t>
      </w:r>
    </w:p>
    <w:p w:rsidRPr="00F62E68" w:rsidR="00F62E68" w:rsidP="00DC0E8C" w:rsidRDefault="00F62E68" w14:paraId="5747B377" w14:textId="77777777">
      <w:pPr>
        <w:rPr>
          <w:rFonts w:ascii="Arial" w:hAnsi="Arial" w:cs="Arial"/>
          <w:b/>
          <w:bCs/>
          <w:i/>
          <w:iCs/>
          <w:lang w:val="en-GB"/>
        </w:rPr>
      </w:pPr>
    </w:p>
    <w:p w:rsidRPr="00F62E68" w:rsidR="00DC0E8C" w:rsidP="00F62E68" w:rsidRDefault="00F62E68" w14:paraId="5B27AA97" w14:textId="404C7CC3">
      <w:pPr>
        <w:pStyle w:val="Paragrafoelenco"/>
        <w:numPr>
          <w:ilvl w:val="0"/>
          <w:numId w:val="3"/>
        </w:numPr>
        <w:rPr>
          <w:rFonts w:ascii="Arial" w:hAnsi="Arial" w:cs="Arial"/>
          <w:b/>
          <w:bCs/>
          <w:i/>
          <w:iCs/>
          <w:lang w:val="en-GB"/>
        </w:rPr>
      </w:pPr>
      <w:r w:rsidRPr="00F62E68">
        <w:rPr>
          <w:rFonts w:ascii="Arial" w:hAnsi="Arial" w:cs="Arial"/>
          <w:b/>
          <w:bCs/>
          <w:i/>
          <w:iCs/>
          <w:lang w:val="en-GB"/>
        </w:rPr>
        <w:t>Kotter, J. P. (1996). Leading Change. Harvard Business School Press.</w:t>
      </w:r>
    </w:p>
    <w:p w:rsidR="00F62E68" w:rsidP="00DC0E8C" w:rsidRDefault="00F62E68" w14:paraId="1FD3CC76" w14:textId="77777777">
      <w:pPr>
        <w:rPr>
          <w:rFonts w:ascii="Arial" w:hAnsi="Arial" w:cs="Arial"/>
          <w:b/>
          <w:bCs/>
          <w:i/>
          <w:iCs/>
          <w:lang w:val="en-GB"/>
        </w:rPr>
      </w:pPr>
    </w:p>
    <w:p w:rsidRPr="00F62E68" w:rsidR="00F62E68" w:rsidP="00F62E68" w:rsidRDefault="00F62E68" w14:paraId="087F71A9" w14:textId="0F55E852">
      <w:pPr>
        <w:pStyle w:val="Paragrafoelenco"/>
        <w:numPr>
          <w:ilvl w:val="0"/>
          <w:numId w:val="3"/>
        </w:numPr>
        <w:rPr>
          <w:rFonts w:ascii="Arial" w:hAnsi="Arial" w:cs="Arial"/>
          <w:b/>
          <w:bCs/>
          <w:i/>
          <w:iCs/>
          <w:lang w:val="en-GB"/>
        </w:rPr>
      </w:pPr>
      <w:r w:rsidRPr="00F62E68">
        <w:rPr>
          <w:rFonts w:ascii="Arial" w:hAnsi="Arial" w:cs="Arial"/>
          <w:b/>
          <w:bCs/>
          <w:i/>
          <w:iCs/>
          <w:lang w:val="en-GB"/>
        </w:rPr>
        <w:t>Lewin, K. (1951). Field Theory in Social Science. Harper and Row.</w:t>
      </w:r>
    </w:p>
    <w:p w:rsidR="00A12BD3" w:rsidP="00DC0E8C" w:rsidRDefault="00A12BD3" w14:paraId="1B2F102F" w14:textId="77777777">
      <w:pPr>
        <w:rPr>
          <w:rFonts w:ascii="Arial" w:hAnsi="Arial" w:cs="Arial"/>
          <w:b/>
          <w:bCs/>
          <w:i/>
          <w:iCs/>
          <w:lang w:val="en-GB"/>
        </w:rPr>
      </w:pPr>
    </w:p>
    <w:p w:rsidRPr="00A12BD3" w:rsidR="00F62E68" w:rsidP="00A12BD3" w:rsidRDefault="00A12BD3" w14:paraId="021C469C" w14:textId="4F068CBF">
      <w:pPr>
        <w:pStyle w:val="Paragrafoelenco"/>
        <w:numPr>
          <w:ilvl w:val="0"/>
          <w:numId w:val="3"/>
        </w:numPr>
        <w:rPr>
          <w:rFonts w:ascii="Arial" w:hAnsi="Arial" w:cs="Arial"/>
          <w:b/>
          <w:bCs/>
          <w:i/>
          <w:iCs/>
          <w:lang w:val="en-GB"/>
        </w:rPr>
      </w:pPr>
      <w:r w:rsidRPr="00A12BD3">
        <w:rPr>
          <w:rFonts w:ascii="Arial" w:hAnsi="Arial" w:cs="Arial"/>
          <w:b/>
          <w:bCs/>
          <w:i/>
          <w:iCs/>
          <w:lang w:val="en-GB"/>
        </w:rPr>
        <w:t>British Dental Journal (BDJ) (2023). Trends in Dental Care and Technological Advances. Available at: https://www.bdj.co.uk (Accessed: 12 October 2024).</w:t>
      </w:r>
    </w:p>
    <w:p w:rsidR="00A12BD3" w:rsidP="00DC0E8C" w:rsidRDefault="00A12BD3" w14:paraId="146B023B" w14:textId="77777777">
      <w:pPr>
        <w:rPr>
          <w:rFonts w:ascii="Arial" w:hAnsi="Arial" w:cs="Arial"/>
          <w:b/>
          <w:bCs/>
          <w:i/>
          <w:iCs/>
          <w:lang w:val="en-GB"/>
        </w:rPr>
      </w:pPr>
    </w:p>
    <w:p w:rsidRPr="00A12BD3" w:rsidR="00DC0E8C" w:rsidP="00A12BD3" w:rsidRDefault="00A12BD3" w14:paraId="6D8AFD9A" w14:textId="483634FC">
      <w:pPr>
        <w:pStyle w:val="Paragrafoelenco"/>
        <w:numPr>
          <w:ilvl w:val="0"/>
          <w:numId w:val="3"/>
        </w:numPr>
        <w:rPr>
          <w:rFonts w:ascii="Arial" w:hAnsi="Arial" w:cs="Arial"/>
          <w:b/>
          <w:bCs/>
          <w:i/>
          <w:iCs/>
          <w:lang w:val="en-GB"/>
        </w:rPr>
      </w:pPr>
      <w:r w:rsidRPr="117E7E9F" w:rsidR="6545E24E">
        <w:rPr>
          <w:rFonts w:ascii="Arial" w:hAnsi="Arial" w:cs="Arial"/>
          <w:b w:val="1"/>
          <w:bCs w:val="1"/>
          <w:i w:val="1"/>
          <w:iCs w:val="1"/>
          <w:lang w:val="en-GB"/>
        </w:rPr>
        <w:t>All Saints Dental Clinic (2024). Available at: https://www.allsaintsdentalclinic.co.uk/about-us/ (Accessed: 12 October 2024).</w:t>
      </w:r>
    </w:p>
    <w:p w:rsidRPr="00DC0E8C" w:rsidR="00383102" w:rsidP="117E7E9F" w:rsidRDefault="00383102" w14:paraId="68D040E9" w14:textId="6BE71178">
      <w:pPr>
        <w:pStyle w:val="Normale"/>
      </w:pPr>
      <w:r>
        <w:br/>
      </w:r>
      <w:r w:rsidR="6DF93F34">
        <w:drawing>
          <wp:inline wp14:editId="3FBE6842" wp14:anchorId="200C8A4F">
            <wp:extent cx="6649197" cy="7027277"/>
            <wp:effectExtent l="0" t="0" r="0" b="0"/>
            <wp:docPr id="532056400" name="" title=""/>
            <wp:cNvGraphicFramePr>
              <a:graphicFrameLocks noChangeAspect="1"/>
            </wp:cNvGraphicFramePr>
            <a:graphic>
              <a:graphicData uri="http://schemas.openxmlformats.org/drawingml/2006/picture">
                <pic:pic>
                  <pic:nvPicPr>
                    <pic:cNvPr id="0" name=""/>
                    <pic:cNvPicPr/>
                  </pic:nvPicPr>
                  <pic:blipFill>
                    <a:blip r:embed="R769a900ba0b54ad1">
                      <a:extLst>
                        <a:ext xmlns:a="http://schemas.openxmlformats.org/drawingml/2006/main" uri="{28A0092B-C50C-407E-A947-70E740481C1C}">
                          <a14:useLocalDpi val="0"/>
                        </a:ext>
                      </a:extLst>
                    </a:blip>
                    <a:stretch>
                      <a:fillRect/>
                    </a:stretch>
                  </pic:blipFill>
                  <pic:spPr>
                    <a:xfrm>
                      <a:off x="0" y="0"/>
                      <a:ext cx="6649197" cy="7027277"/>
                    </a:xfrm>
                    <a:prstGeom prst="rect">
                      <a:avLst/>
                    </a:prstGeom>
                  </pic:spPr>
                </pic:pic>
              </a:graphicData>
            </a:graphic>
          </wp:inline>
        </w:drawing>
      </w:r>
    </w:p>
    <w:sectPr w:rsidRPr="00DC0E8C" w:rsidR="00383102">
      <w:pgSz w:w="11906" w:h="16838" w:orient="portrait"/>
      <w:pgMar w:top="1417" w:right="1134" w:bottom="1134" w:left="1134" w:header="708" w:footer="708" w:gutter="0"/>
      <w:cols w:space="708"/>
      <w:docGrid w:linePitch="360"/>
      <w:headerReference w:type="default" r:id="R5807afef04c54a8e"/>
      <w:footerReference w:type="default" r:id="R3d4067a533a644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ellanormale"/>
      <w:bidiVisual w:val="0"/>
      <w:tblW w:w="0" w:type="auto"/>
      <w:tblLayout w:type="fixed"/>
      <w:tblLook w:val="06A0" w:firstRow="1" w:lastRow="0" w:firstColumn="1" w:lastColumn="0" w:noHBand="1" w:noVBand="1"/>
    </w:tblPr>
    <w:tblGrid>
      <w:gridCol w:w="3210"/>
      <w:gridCol w:w="3210"/>
      <w:gridCol w:w="3210"/>
    </w:tblGrid>
    <w:tr w:rsidR="117E7E9F" w:rsidTr="117E7E9F" w14:paraId="4CF37D96">
      <w:trPr>
        <w:trHeight w:val="300"/>
      </w:trPr>
      <w:tc>
        <w:tcPr>
          <w:tcW w:w="3210" w:type="dxa"/>
          <w:tcMar/>
        </w:tcPr>
        <w:p w:rsidR="117E7E9F" w:rsidP="117E7E9F" w:rsidRDefault="117E7E9F" w14:paraId="49409DF2" w14:textId="6FB21AD4">
          <w:pPr>
            <w:pStyle w:val="Header"/>
            <w:bidi w:val="0"/>
            <w:ind w:left="-115"/>
            <w:jc w:val="left"/>
          </w:pPr>
        </w:p>
      </w:tc>
      <w:tc>
        <w:tcPr>
          <w:tcW w:w="3210" w:type="dxa"/>
          <w:tcMar/>
        </w:tcPr>
        <w:p w:rsidR="117E7E9F" w:rsidP="117E7E9F" w:rsidRDefault="117E7E9F" w14:paraId="306FD219" w14:textId="24A8B88F">
          <w:pPr>
            <w:pStyle w:val="Header"/>
            <w:bidi w:val="0"/>
            <w:jc w:val="center"/>
          </w:pPr>
        </w:p>
      </w:tc>
      <w:tc>
        <w:tcPr>
          <w:tcW w:w="3210" w:type="dxa"/>
          <w:tcMar/>
        </w:tcPr>
        <w:p w:rsidR="117E7E9F" w:rsidP="117E7E9F" w:rsidRDefault="117E7E9F" w14:paraId="4EA10096" w14:textId="1AD424EB">
          <w:pPr>
            <w:pStyle w:val="Header"/>
            <w:bidi w:val="0"/>
            <w:ind w:right="-115"/>
            <w:jc w:val="right"/>
          </w:pPr>
        </w:p>
      </w:tc>
    </w:tr>
  </w:tbl>
  <w:p w:rsidR="117E7E9F" w:rsidP="117E7E9F" w:rsidRDefault="117E7E9F" w14:paraId="3AA9DC7E" w14:textId="555BAAE3">
    <w:pPr>
      <w:pStyle w:val="Footer"/>
      <w:bidi w:val="0"/>
    </w:pPr>
  </w:p>
</w:ftr>
</file>

<file path=word/header.xml><?xml version="1.0" encoding="utf-8"?>
<w:hdr xmlns:w14="http://schemas.microsoft.com/office/word/2010/wordml" xmlns:w="http://schemas.openxmlformats.org/wordprocessingml/2006/main">
  <w:tbl>
    <w:tblPr>
      <w:tblStyle w:val="Tabellanormale"/>
      <w:bidiVisual w:val="0"/>
      <w:tblW w:w="0" w:type="auto"/>
      <w:tblLayout w:type="fixed"/>
      <w:tblLook w:val="06A0" w:firstRow="1" w:lastRow="0" w:firstColumn="1" w:lastColumn="0" w:noHBand="1" w:noVBand="1"/>
    </w:tblPr>
    <w:tblGrid>
      <w:gridCol w:w="3210"/>
      <w:gridCol w:w="3210"/>
      <w:gridCol w:w="3210"/>
    </w:tblGrid>
    <w:tr w:rsidR="117E7E9F" w:rsidTr="117E7E9F" w14:paraId="42917CE4">
      <w:trPr>
        <w:trHeight w:val="300"/>
      </w:trPr>
      <w:tc>
        <w:tcPr>
          <w:tcW w:w="3210" w:type="dxa"/>
          <w:tcMar/>
        </w:tcPr>
        <w:p w:rsidR="117E7E9F" w:rsidP="117E7E9F" w:rsidRDefault="117E7E9F" w14:paraId="745EE3E5" w14:textId="2470AA26">
          <w:pPr>
            <w:pStyle w:val="Header"/>
            <w:bidi w:val="0"/>
            <w:ind w:left="-115"/>
            <w:jc w:val="left"/>
          </w:pPr>
        </w:p>
      </w:tc>
      <w:tc>
        <w:tcPr>
          <w:tcW w:w="3210" w:type="dxa"/>
          <w:tcMar/>
        </w:tcPr>
        <w:p w:rsidR="117E7E9F" w:rsidP="117E7E9F" w:rsidRDefault="117E7E9F" w14:paraId="5083DD80" w14:textId="77E98327">
          <w:pPr>
            <w:pStyle w:val="Header"/>
            <w:bidi w:val="0"/>
            <w:jc w:val="center"/>
          </w:pPr>
        </w:p>
      </w:tc>
      <w:tc>
        <w:tcPr>
          <w:tcW w:w="3210" w:type="dxa"/>
          <w:tcMar/>
        </w:tcPr>
        <w:p w:rsidR="117E7E9F" w:rsidP="117E7E9F" w:rsidRDefault="117E7E9F" w14:paraId="6AB79F86" w14:textId="5ED2BCD4">
          <w:pPr>
            <w:pStyle w:val="Header"/>
            <w:bidi w:val="0"/>
            <w:ind w:right="-115"/>
            <w:jc w:val="right"/>
          </w:pPr>
        </w:p>
      </w:tc>
    </w:tr>
  </w:tbl>
  <w:p w:rsidR="117E7E9F" w:rsidP="117E7E9F" w:rsidRDefault="117E7E9F" w14:paraId="7E757E42" w14:textId="7AAD060A">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EA1BFC"/>
    <w:multiLevelType w:val="hybridMultilevel"/>
    <w:tmpl w:val="4F90D962"/>
    <w:lvl w:ilvl="0" w:tplc="2310840C">
      <w:start w:val="1"/>
      <w:numFmt w:val="bullet"/>
      <w:lvlText w:val=""/>
      <w:lvlJc w:val="left"/>
      <w:pPr>
        <w:ind w:left="720" w:hanging="360"/>
      </w:pPr>
      <w:rPr>
        <w:rFonts w:hint="default" w:ascii="Symbol" w:hAnsi="Symbol" w:cs="Arial" w:eastAsiaTheme="minorHAnsi"/>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 w15:restartNumberingAfterBreak="0">
    <w:nsid w:val="18F76B3D"/>
    <w:multiLevelType w:val="hybridMultilevel"/>
    <w:tmpl w:val="8C96C402"/>
    <w:lvl w:ilvl="0" w:tplc="2EEC8700">
      <w:start w:val="1"/>
      <w:numFmt w:val="bullet"/>
      <w:lvlText w:val="-"/>
      <w:lvlJc w:val="left"/>
      <w:pPr>
        <w:ind w:left="720" w:hanging="360"/>
      </w:pPr>
      <w:rPr>
        <w:rFonts w:hint="default" w:ascii="Arial" w:hAnsi="Arial" w:cs="Arial" w:eastAsiaTheme="minorHAnsi"/>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2" w15:restartNumberingAfterBreak="0">
    <w:nsid w:val="258B0C27"/>
    <w:multiLevelType w:val="hybridMultilevel"/>
    <w:tmpl w:val="30E04FFA"/>
    <w:lvl w:ilvl="0" w:tplc="9ADC76F0">
      <w:start w:val="1"/>
      <w:numFmt w:val="bullet"/>
      <w:lvlText w:val="-"/>
      <w:lvlJc w:val="left"/>
      <w:pPr>
        <w:ind w:left="720" w:hanging="360"/>
      </w:pPr>
      <w:rPr>
        <w:rFonts w:hint="default" w:ascii="Arial" w:hAnsi="Arial" w:cs="Arial" w:eastAsiaTheme="minorHAnsi"/>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num w:numId="1" w16cid:durableId="1217232886">
    <w:abstractNumId w:val="2"/>
  </w:num>
  <w:num w:numId="2" w16cid:durableId="604071562">
    <w:abstractNumId w:val="1"/>
  </w:num>
  <w:num w:numId="3" w16cid:durableId="2073120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trackRevisions w:val="false"/>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73F"/>
    <w:rsid w:val="000E473F"/>
    <w:rsid w:val="002269A0"/>
    <w:rsid w:val="00383102"/>
    <w:rsid w:val="00A12BD3"/>
    <w:rsid w:val="00A36EC6"/>
    <w:rsid w:val="00DC0E8C"/>
    <w:rsid w:val="00EB1FCF"/>
    <w:rsid w:val="00EB353B"/>
    <w:rsid w:val="00F22652"/>
    <w:rsid w:val="00F62E68"/>
    <w:rsid w:val="01A69EE1"/>
    <w:rsid w:val="04979DB9"/>
    <w:rsid w:val="084C8BA0"/>
    <w:rsid w:val="090EA4D3"/>
    <w:rsid w:val="0A518BC7"/>
    <w:rsid w:val="0ACEB225"/>
    <w:rsid w:val="0D0DCFBC"/>
    <w:rsid w:val="0E5B1600"/>
    <w:rsid w:val="0F290615"/>
    <w:rsid w:val="106DA915"/>
    <w:rsid w:val="117E7E9F"/>
    <w:rsid w:val="137A09E4"/>
    <w:rsid w:val="1469624E"/>
    <w:rsid w:val="1B329751"/>
    <w:rsid w:val="1D832EA7"/>
    <w:rsid w:val="1F30BE4C"/>
    <w:rsid w:val="201582E2"/>
    <w:rsid w:val="242D2AF9"/>
    <w:rsid w:val="25E3376B"/>
    <w:rsid w:val="2AF31B1B"/>
    <w:rsid w:val="32A40337"/>
    <w:rsid w:val="37B7FC63"/>
    <w:rsid w:val="3A1B59B1"/>
    <w:rsid w:val="3A6A6408"/>
    <w:rsid w:val="3DDB68CC"/>
    <w:rsid w:val="3E770CEA"/>
    <w:rsid w:val="3F560949"/>
    <w:rsid w:val="40C72DFD"/>
    <w:rsid w:val="40DF0433"/>
    <w:rsid w:val="41889610"/>
    <w:rsid w:val="443FB816"/>
    <w:rsid w:val="4B6E7117"/>
    <w:rsid w:val="4CDCB4DA"/>
    <w:rsid w:val="4D84A18D"/>
    <w:rsid w:val="506BC6B5"/>
    <w:rsid w:val="552A65F7"/>
    <w:rsid w:val="55309FE9"/>
    <w:rsid w:val="5F78B029"/>
    <w:rsid w:val="6072FF87"/>
    <w:rsid w:val="6316E55D"/>
    <w:rsid w:val="6545E24E"/>
    <w:rsid w:val="6B1EE63F"/>
    <w:rsid w:val="6B93D119"/>
    <w:rsid w:val="6DF93F34"/>
    <w:rsid w:val="6ED261B5"/>
    <w:rsid w:val="710A7E0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83A17"/>
  <w15:chartTrackingRefBased/>
  <w15:docId w15:val="{90D5801B-5374-49B5-B94D-DAF023D4E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e" w:default="1">
    <w:name w:val="Normal"/>
    <w:qFormat/>
  </w:style>
  <w:style w:type="paragraph" w:styleId="Titolo1">
    <w:name w:val="heading 1"/>
    <w:basedOn w:val="Normale"/>
    <w:next w:val="Normale"/>
    <w:link w:val="Titolo1Carattere"/>
    <w:uiPriority w:val="9"/>
    <w:qFormat/>
    <w:rsid w:val="000E473F"/>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Titolo2">
    <w:name w:val="heading 2"/>
    <w:basedOn w:val="Normale"/>
    <w:next w:val="Normale"/>
    <w:link w:val="Titolo2Carattere"/>
    <w:uiPriority w:val="9"/>
    <w:unhideWhenUsed/>
    <w:qFormat/>
    <w:rsid w:val="000E473F"/>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0E473F"/>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0E473F"/>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0E473F"/>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0E473F"/>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0E473F"/>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0E473F"/>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0E473F"/>
    <w:pPr>
      <w:keepNext/>
      <w:keepLines/>
      <w:spacing w:after="0"/>
      <w:outlineLvl w:val="8"/>
    </w:pPr>
    <w:rPr>
      <w:rFonts w:eastAsiaTheme="majorEastAsia" w:cstheme="majorBidi"/>
      <w:color w:val="272727" w:themeColor="text1" w:themeTint="D8"/>
    </w:rPr>
  </w:style>
  <w:style w:type="character" w:styleId="Carpredefinitoparagrafo" w:default="1">
    <w:name w:val="Default Paragraph Font"/>
    <w:uiPriority w:val="1"/>
    <w:unhideWhenUsed/>
  </w:style>
  <w:style w:type="table" w:styleId="Tabellanormale" w:default="1">
    <w:name w:val="Normal Table"/>
    <w:uiPriority w:val="99"/>
    <w:semiHidden/>
    <w:unhideWhenUsed/>
    <w:tblPr>
      <w:tblInd w:w="0" w:type="dxa"/>
      <w:tblCellMar>
        <w:top w:w="0" w:type="dxa"/>
        <w:left w:w="108" w:type="dxa"/>
        <w:bottom w:w="0" w:type="dxa"/>
        <w:right w:w="108" w:type="dxa"/>
      </w:tblCellMar>
    </w:tblPr>
  </w:style>
  <w:style w:type="numbering" w:styleId="Nessunelenco" w:default="1">
    <w:name w:val="No List"/>
    <w:uiPriority w:val="99"/>
    <w:semiHidden/>
    <w:unhideWhenUsed/>
  </w:style>
  <w:style w:type="character" w:styleId="Titolo1Carattere" w:customStyle="1">
    <w:name w:val="Titolo 1 Carattere"/>
    <w:basedOn w:val="Carpredefinitoparagrafo"/>
    <w:link w:val="Titolo1"/>
    <w:uiPriority w:val="9"/>
    <w:rsid w:val="000E473F"/>
    <w:rPr>
      <w:rFonts w:asciiTheme="majorHAnsi" w:hAnsiTheme="majorHAnsi" w:eastAsiaTheme="majorEastAsia" w:cstheme="majorBidi"/>
      <w:color w:val="2F5496" w:themeColor="accent1" w:themeShade="BF"/>
      <w:sz w:val="40"/>
      <w:szCs w:val="40"/>
    </w:rPr>
  </w:style>
  <w:style w:type="character" w:styleId="Titolo2Carattere" w:customStyle="1">
    <w:name w:val="Titolo 2 Carattere"/>
    <w:basedOn w:val="Carpredefinitoparagrafo"/>
    <w:link w:val="Titolo2"/>
    <w:uiPriority w:val="9"/>
    <w:rsid w:val="000E473F"/>
    <w:rPr>
      <w:rFonts w:asciiTheme="majorHAnsi" w:hAnsiTheme="majorHAnsi" w:eastAsiaTheme="majorEastAsia" w:cstheme="majorBidi"/>
      <w:color w:val="2F5496" w:themeColor="accent1" w:themeShade="BF"/>
      <w:sz w:val="32"/>
      <w:szCs w:val="32"/>
    </w:rPr>
  </w:style>
  <w:style w:type="character" w:styleId="Titolo3Carattere" w:customStyle="1">
    <w:name w:val="Titolo 3 Carattere"/>
    <w:basedOn w:val="Carpredefinitoparagrafo"/>
    <w:link w:val="Titolo3"/>
    <w:uiPriority w:val="9"/>
    <w:semiHidden/>
    <w:rsid w:val="000E473F"/>
    <w:rPr>
      <w:rFonts w:eastAsiaTheme="majorEastAsia" w:cstheme="majorBidi"/>
      <w:color w:val="2F5496" w:themeColor="accent1" w:themeShade="BF"/>
      <w:sz w:val="28"/>
      <w:szCs w:val="28"/>
    </w:rPr>
  </w:style>
  <w:style w:type="character" w:styleId="Titolo4Carattere" w:customStyle="1">
    <w:name w:val="Titolo 4 Carattere"/>
    <w:basedOn w:val="Carpredefinitoparagrafo"/>
    <w:link w:val="Titolo4"/>
    <w:uiPriority w:val="9"/>
    <w:semiHidden/>
    <w:rsid w:val="000E473F"/>
    <w:rPr>
      <w:rFonts w:eastAsiaTheme="majorEastAsia" w:cstheme="majorBidi"/>
      <w:i/>
      <w:iCs/>
      <w:color w:val="2F5496" w:themeColor="accent1" w:themeShade="BF"/>
    </w:rPr>
  </w:style>
  <w:style w:type="character" w:styleId="Titolo5Carattere" w:customStyle="1">
    <w:name w:val="Titolo 5 Carattere"/>
    <w:basedOn w:val="Carpredefinitoparagrafo"/>
    <w:link w:val="Titolo5"/>
    <w:uiPriority w:val="9"/>
    <w:semiHidden/>
    <w:rsid w:val="000E473F"/>
    <w:rPr>
      <w:rFonts w:eastAsiaTheme="majorEastAsia" w:cstheme="majorBidi"/>
      <w:color w:val="2F5496" w:themeColor="accent1" w:themeShade="BF"/>
    </w:rPr>
  </w:style>
  <w:style w:type="character" w:styleId="Titolo6Carattere" w:customStyle="1">
    <w:name w:val="Titolo 6 Carattere"/>
    <w:basedOn w:val="Carpredefinitoparagrafo"/>
    <w:link w:val="Titolo6"/>
    <w:uiPriority w:val="9"/>
    <w:semiHidden/>
    <w:rsid w:val="000E473F"/>
    <w:rPr>
      <w:rFonts w:eastAsiaTheme="majorEastAsia" w:cstheme="majorBidi"/>
      <w:i/>
      <w:iCs/>
      <w:color w:val="595959" w:themeColor="text1" w:themeTint="A6"/>
    </w:rPr>
  </w:style>
  <w:style w:type="character" w:styleId="Titolo7Carattere" w:customStyle="1">
    <w:name w:val="Titolo 7 Carattere"/>
    <w:basedOn w:val="Carpredefinitoparagrafo"/>
    <w:link w:val="Titolo7"/>
    <w:uiPriority w:val="9"/>
    <w:semiHidden/>
    <w:rsid w:val="000E473F"/>
    <w:rPr>
      <w:rFonts w:eastAsiaTheme="majorEastAsia" w:cstheme="majorBidi"/>
      <w:color w:val="595959" w:themeColor="text1" w:themeTint="A6"/>
    </w:rPr>
  </w:style>
  <w:style w:type="character" w:styleId="Titolo8Carattere" w:customStyle="1">
    <w:name w:val="Titolo 8 Carattere"/>
    <w:basedOn w:val="Carpredefinitoparagrafo"/>
    <w:link w:val="Titolo8"/>
    <w:uiPriority w:val="9"/>
    <w:semiHidden/>
    <w:rsid w:val="000E473F"/>
    <w:rPr>
      <w:rFonts w:eastAsiaTheme="majorEastAsia" w:cstheme="majorBidi"/>
      <w:i/>
      <w:iCs/>
      <w:color w:val="272727" w:themeColor="text1" w:themeTint="D8"/>
    </w:rPr>
  </w:style>
  <w:style w:type="character" w:styleId="Titolo9Carattere" w:customStyle="1">
    <w:name w:val="Titolo 9 Carattere"/>
    <w:basedOn w:val="Carpredefinitoparagrafo"/>
    <w:link w:val="Titolo9"/>
    <w:uiPriority w:val="9"/>
    <w:semiHidden/>
    <w:rsid w:val="000E473F"/>
    <w:rPr>
      <w:rFonts w:eastAsiaTheme="majorEastAsia" w:cstheme="majorBidi"/>
      <w:color w:val="272727" w:themeColor="text1" w:themeTint="D8"/>
    </w:rPr>
  </w:style>
  <w:style w:type="paragraph" w:styleId="Titolo">
    <w:name w:val="Title"/>
    <w:basedOn w:val="Normale"/>
    <w:next w:val="Normale"/>
    <w:link w:val="TitoloCarattere"/>
    <w:uiPriority w:val="10"/>
    <w:qFormat/>
    <w:rsid w:val="000E473F"/>
    <w:pPr>
      <w:spacing w:after="80" w:line="240" w:lineRule="auto"/>
      <w:contextualSpacing/>
    </w:pPr>
    <w:rPr>
      <w:rFonts w:asciiTheme="majorHAnsi" w:hAnsiTheme="majorHAnsi" w:eastAsiaTheme="majorEastAsia" w:cstheme="majorBidi"/>
      <w:spacing w:val="-10"/>
      <w:kern w:val="28"/>
      <w:sz w:val="56"/>
      <w:szCs w:val="56"/>
    </w:rPr>
  </w:style>
  <w:style w:type="character" w:styleId="TitoloCarattere" w:customStyle="1">
    <w:name w:val="Titolo Carattere"/>
    <w:basedOn w:val="Carpredefinitoparagrafo"/>
    <w:link w:val="Titolo"/>
    <w:uiPriority w:val="10"/>
    <w:rsid w:val="000E473F"/>
    <w:rPr>
      <w:rFonts w:asciiTheme="majorHAnsi" w:hAnsiTheme="majorHAnsi" w:eastAsiaTheme="majorEastAsia" w:cstheme="majorBidi"/>
      <w:spacing w:val="-10"/>
      <w:kern w:val="28"/>
      <w:sz w:val="56"/>
      <w:szCs w:val="56"/>
    </w:rPr>
  </w:style>
  <w:style w:type="paragraph" w:styleId="Sottotitolo">
    <w:name w:val="Subtitle"/>
    <w:basedOn w:val="Normale"/>
    <w:next w:val="Normale"/>
    <w:link w:val="SottotitoloCarattere"/>
    <w:uiPriority w:val="11"/>
    <w:qFormat/>
    <w:rsid w:val="000E473F"/>
    <w:pPr>
      <w:numPr>
        <w:ilvl w:val="1"/>
      </w:numPr>
    </w:pPr>
    <w:rPr>
      <w:rFonts w:eastAsiaTheme="majorEastAsia" w:cstheme="majorBidi"/>
      <w:color w:val="595959" w:themeColor="text1" w:themeTint="A6"/>
      <w:spacing w:val="15"/>
      <w:sz w:val="28"/>
      <w:szCs w:val="28"/>
    </w:rPr>
  </w:style>
  <w:style w:type="character" w:styleId="SottotitoloCarattere" w:customStyle="1">
    <w:name w:val="Sottotitolo Carattere"/>
    <w:basedOn w:val="Carpredefinitoparagrafo"/>
    <w:link w:val="Sottotitolo"/>
    <w:uiPriority w:val="11"/>
    <w:rsid w:val="000E473F"/>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0E473F"/>
    <w:pPr>
      <w:spacing w:before="160"/>
      <w:jc w:val="center"/>
    </w:pPr>
    <w:rPr>
      <w:i/>
      <w:iCs/>
      <w:color w:val="404040" w:themeColor="text1" w:themeTint="BF"/>
    </w:rPr>
  </w:style>
  <w:style w:type="character" w:styleId="CitazioneCarattere" w:customStyle="1">
    <w:name w:val="Citazione Carattere"/>
    <w:basedOn w:val="Carpredefinitoparagrafo"/>
    <w:link w:val="Citazione"/>
    <w:uiPriority w:val="29"/>
    <w:rsid w:val="000E473F"/>
    <w:rPr>
      <w:i/>
      <w:iCs/>
      <w:color w:val="404040" w:themeColor="text1" w:themeTint="BF"/>
    </w:rPr>
  </w:style>
  <w:style w:type="paragraph" w:styleId="Paragrafoelenco">
    <w:name w:val="List Paragraph"/>
    <w:basedOn w:val="Normale"/>
    <w:uiPriority w:val="34"/>
    <w:qFormat/>
    <w:rsid w:val="000E473F"/>
    <w:pPr>
      <w:ind w:left="720"/>
      <w:contextualSpacing/>
    </w:pPr>
  </w:style>
  <w:style w:type="character" w:styleId="Enfasiintensa">
    <w:name w:val="Intense Emphasis"/>
    <w:basedOn w:val="Carpredefinitoparagrafo"/>
    <w:uiPriority w:val="21"/>
    <w:qFormat/>
    <w:rsid w:val="000E473F"/>
    <w:rPr>
      <w:i/>
      <w:iCs/>
      <w:color w:val="2F5496" w:themeColor="accent1" w:themeShade="BF"/>
    </w:rPr>
  </w:style>
  <w:style w:type="paragraph" w:styleId="Citazioneintensa">
    <w:name w:val="Intense Quote"/>
    <w:basedOn w:val="Normale"/>
    <w:next w:val="Normale"/>
    <w:link w:val="CitazioneintensaCarattere"/>
    <w:uiPriority w:val="30"/>
    <w:qFormat/>
    <w:rsid w:val="000E473F"/>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CitazioneintensaCarattere" w:customStyle="1">
    <w:name w:val="Citazione intensa Carattere"/>
    <w:basedOn w:val="Carpredefinitoparagrafo"/>
    <w:link w:val="Citazioneintensa"/>
    <w:uiPriority w:val="30"/>
    <w:rsid w:val="000E473F"/>
    <w:rPr>
      <w:i/>
      <w:iCs/>
      <w:color w:val="2F5496" w:themeColor="accent1" w:themeShade="BF"/>
    </w:rPr>
  </w:style>
  <w:style w:type="character" w:styleId="Riferimentointenso">
    <w:name w:val="Intense Reference"/>
    <w:basedOn w:val="Carpredefinitoparagrafo"/>
    <w:uiPriority w:val="32"/>
    <w:qFormat/>
    <w:rsid w:val="000E473F"/>
    <w:rPr>
      <w:b/>
      <w:bCs/>
      <w:smallCaps/>
      <w:color w:val="2F5496"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Carpredefinitoparagrafo"/>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e"/>
    <w:next xmlns:w="http://schemas.openxmlformats.org/wordprocessingml/2006/main" w:val="Normale"/>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http://schemas.openxmlformats.org/wordprocessingml/2006/main" w:type="table" w:styleId="TableGrid">
    <w:name xmlns:w="http://schemas.openxmlformats.org/wordprocessingml/2006/main" w:val="Table Grid"/>
    <w:basedOn xmlns:w="http://schemas.openxmlformats.org/wordprocessingml/2006/main" w:val="Tabellanormale"/>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Carpredefinitoparagrafo"/>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e"/>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Carpredefinitoparagrafo"/>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e"/>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8360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image" Target="/media/image.png" Id="Rd916f7f231d14023" /><Relationship Type="http://schemas.openxmlformats.org/officeDocument/2006/relationships/image" Target="/media/image2.png" Id="R769a900ba0b54ad1" /><Relationship Type="http://schemas.openxmlformats.org/officeDocument/2006/relationships/header" Target="header.xml" Id="R5807afef04c54a8e" /><Relationship Type="http://schemas.openxmlformats.org/officeDocument/2006/relationships/footer" Target="footer.xml" Id="R3d4067a533a64499"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GEORGIANA RAMONA Vasiliu</dc:creator>
  <keywords/>
  <dc:description/>
  <lastModifiedBy>Simona Pacuraru (2126931)</lastModifiedBy>
  <revision>3</revision>
  <dcterms:created xsi:type="dcterms:W3CDTF">2024-10-12T15:29:00.0000000Z</dcterms:created>
  <dcterms:modified xsi:type="dcterms:W3CDTF">2024-11-11T14:38:20.9205180Z</dcterms:modified>
</coreProperties>
</file>