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D7D0F4" w14:textId="69EADB22" w:rsidR="008D1A99" w:rsidRPr="006840AD" w:rsidRDefault="00D13326">
      <w:pPr>
        <w:rPr>
          <w:b/>
          <w:bCs/>
        </w:rPr>
      </w:pPr>
      <w:bookmarkStart w:id="0" w:name="_GoBack"/>
      <w:r w:rsidRPr="006840AD">
        <w:rPr>
          <w:b/>
          <w:bCs/>
          <w:lang w:val="en-US"/>
        </w:rPr>
        <w:t xml:space="preserve"> </w:t>
      </w:r>
      <w:r w:rsidR="008D1A99" w:rsidRPr="006840AD">
        <w:rPr>
          <w:b/>
          <w:bCs/>
        </w:rPr>
        <w:t>LO1</w:t>
      </w:r>
    </w:p>
    <w:p w14:paraId="50E99910" w14:textId="75E2D379" w:rsidR="00B442FD" w:rsidRPr="00BA03BE" w:rsidRDefault="00E713F3">
      <w:r w:rsidRPr="00BA03BE">
        <w:t xml:space="preserve">The CIPD (2018a) </w:t>
      </w:r>
      <w:r w:rsidR="00D74B12" w:rsidRPr="00BA03BE">
        <w:t>describe</w:t>
      </w:r>
      <w:r w:rsidRPr="00BA03BE">
        <w:t xml:space="preserve"> employee engagement</w:t>
      </w:r>
      <w:r w:rsidR="00D74B12" w:rsidRPr="00BA03BE">
        <w:t xml:space="preserve"> as</w:t>
      </w:r>
      <w:r w:rsidRPr="00BA03BE">
        <w:t xml:space="preserve"> a combination of motivation, commitment, high performance and management</w:t>
      </w:r>
      <w:r w:rsidR="006908AF" w:rsidRPr="00BA03BE">
        <w:t xml:space="preserve">; focusing </w:t>
      </w:r>
      <w:r w:rsidRPr="00BA03BE">
        <w:t>on employee wellbeing.</w:t>
      </w:r>
    </w:p>
    <w:p w14:paraId="1B92D7EC" w14:textId="6181E200" w:rsidR="00E713F3" w:rsidRPr="00BA03BE" w:rsidRDefault="004742DA">
      <w:r w:rsidRPr="00BA03BE">
        <w:t>Measuring engagement</w:t>
      </w:r>
      <w:r w:rsidR="00AC19DE" w:rsidRPr="00BA03BE">
        <w:t xml:space="preserve"> can be difficult </w:t>
      </w:r>
      <w:r w:rsidR="00563572" w:rsidRPr="00BA03BE">
        <w:t>when</w:t>
      </w:r>
      <w:r w:rsidR="00AC19DE" w:rsidRPr="00BA03BE">
        <w:t xml:space="preserve"> effective diagnostic tools aren’t used. </w:t>
      </w:r>
      <w:r w:rsidRPr="00BA03BE">
        <w:t>C</w:t>
      </w:r>
      <w:r w:rsidR="00AC19DE" w:rsidRPr="00BA03BE">
        <w:t xml:space="preserve">ommon methods adopted by </w:t>
      </w:r>
      <w:r w:rsidR="00CC14EE" w:rsidRPr="00BA03BE">
        <w:t>organizations</w:t>
      </w:r>
      <w:r w:rsidR="00AC19DE" w:rsidRPr="00BA03BE">
        <w:t xml:space="preserve"> are annua</w:t>
      </w:r>
      <w:r w:rsidR="00563572" w:rsidRPr="00BA03BE">
        <w:t xml:space="preserve">l employee satisfaction surveys, </w:t>
      </w:r>
      <w:r w:rsidR="00AC19DE" w:rsidRPr="00BA03BE">
        <w:t xml:space="preserve">questionnaires and interview frameworks. Engagement can be </w:t>
      </w:r>
      <w:r w:rsidR="00E032FC" w:rsidRPr="00BA03BE">
        <w:t>noted</w:t>
      </w:r>
      <w:r w:rsidR="00AC19DE" w:rsidRPr="00BA03BE">
        <w:t xml:space="preserve"> and monitored </w:t>
      </w:r>
      <w:r w:rsidR="00563572" w:rsidRPr="00BA03BE">
        <w:t>from</w:t>
      </w:r>
      <w:r w:rsidR="00AC19DE" w:rsidRPr="00BA03BE">
        <w:t xml:space="preserve"> </w:t>
      </w:r>
      <w:r w:rsidR="00BA03BE" w:rsidRPr="00BA03BE">
        <w:t>appraisals;</w:t>
      </w:r>
      <w:r w:rsidR="00AC19DE" w:rsidRPr="00BA03BE">
        <w:t xml:space="preserve"> </w:t>
      </w:r>
      <w:r w:rsidR="00BA03BE" w:rsidRPr="00BA03BE">
        <w:t>however,</w:t>
      </w:r>
      <w:r w:rsidR="00AC19DE" w:rsidRPr="00BA03BE">
        <w:t xml:space="preserve"> this </w:t>
      </w:r>
      <w:r w:rsidR="00E032FC" w:rsidRPr="00BA03BE">
        <w:t>takes longer getting</w:t>
      </w:r>
      <w:r w:rsidR="00AC19DE" w:rsidRPr="00BA03BE">
        <w:t xml:space="preserve"> results and doesn’t reflect the entire workforce (Barton, 2016).</w:t>
      </w:r>
    </w:p>
    <w:p w14:paraId="30D5FF2C" w14:textId="22D43AFE" w:rsidR="00563572" w:rsidRPr="00BA03BE" w:rsidRDefault="00AC19DE">
      <w:r w:rsidRPr="00BA03BE">
        <w:t>To ensure successful measurement and use of diagnostic tools, the employer must know what areas/aspects they are measur</w:t>
      </w:r>
      <w:r w:rsidR="00563572" w:rsidRPr="00BA03BE">
        <w:t>ing and align with the organizational vision. The vision must be introduced during day-to-day activities to gain a united and motivated workforce (Gallup, 2019a)</w:t>
      </w:r>
    </w:p>
    <w:p w14:paraId="5D2B5F5E" w14:textId="7F6BC94F" w:rsidR="00AC19DE" w:rsidRPr="00BA03BE" w:rsidRDefault="00AC19DE">
      <w:r w:rsidRPr="00BA03BE">
        <w:t xml:space="preserve">Measuring engagement </w:t>
      </w:r>
      <w:r w:rsidR="00FD0518" w:rsidRPr="00BA03BE">
        <w:t>using</w:t>
      </w:r>
      <w:r w:rsidRPr="00BA03BE">
        <w:t xml:space="preserve"> tools and packages enables employers to determine which areas are contributing towards organisational performance, which are underperforming or disengaged and can reflect trends from one year to another. </w:t>
      </w:r>
    </w:p>
    <w:p w14:paraId="37602A22" w14:textId="03B009CB" w:rsidR="00890B0D" w:rsidRPr="00BA03BE" w:rsidRDefault="00890B0D">
      <w:r w:rsidRPr="00BA03BE">
        <w:t>Engaged employees are influenced by strong and motivating leadership styles and voice (CIPD, 2018a)</w:t>
      </w:r>
      <w:r w:rsidR="00E032FC" w:rsidRPr="00BA03BE">
        <w:t xml:space="preserve">. Also, </w:t>
      </w:r>
      <w:r w:rsidRPr="00BA03BE">
        <w:t>regular feedback from manager’s team can increase engagement within a survey as managers and employees are able to understand one another’s feelings (Son, 2018).</w:t>
      </w:r>
    </w:p>
    <w:p w14:paraId="2837BA94" w14:textId="2784C649" w:rsidR="006908AF" w:rsidRPr="00BA03BE" w:rsidRDefault="006908AF">
      <w:r w:rsidRPr="00BA03BE">
        <w:t xml:space="preserve">Employee questionnaires and surveys are often used in organisations, as staff can maintain anonymity and the feedback gathered can be useful if the right engagement questions are asked (Son, 2018). </w:t>
      </w:r>
    </w:p>
    <w:p w14:paraId="56FBCC22" w14:textId="642025AF" w:rsidR="00F829DC" w:rsidRPr="00BA03BE" w:rsidRDefault="00FD0518">
      <w:r w:rsidRPr="00BA03BE">
        <w:t>The most common</w:t>
      </w:r>
      <w:r w:rsidR="00F829DC" w:rsidRPr="00BA03BE">
        <w:t xml:space="preserve"> survey is</w:t>
      </w:r>
      <w:r w:rsidR="008F7E35" w:rsidRPr="00BA03BE">
        <w:t xml:space="preserve"> the branded diagnostic tool,</w:t>
      </w:r>
      <w:r w:rsidR="00F829DC" w:rsidRPr="00BA03BE">
        <w:t xml:space="preserve"> Gallup’s Q12</w:t>
      </w:r>
      <w:r w:rsidR="008F7E35" w:rsidRPr="00BA03BE">
        <w:t>. This i</w:t>
      </w:r>
      <w:r w:rsidR="00F829DC" w:rsidRPr="00BA03BE">
        <w:t xml:space="preserve">s a questionnaire of 12 questions </w:t>
      </w:r>
      <w:r w:rsidR="00E032FC" w:rsidRPr="00BA03BE">
        <w:t>created following</w:t>
      </w:r>
      <w:r w:rsidR="00F829DC" w:rsidRPr="00BA03BE">
        <w:t xml:space="preserve"> 30 years of research on over 17 million employees. The</w:t>
      </w:r>
      <w:r w:rsidR="00E032FC" w:rsidRPr="00BA03BE">
        <w:t xml:space="preserve"> </w:t>
      </w:r>
      <w:r w:rsidR="00F829DC" w:rsidRPr="00BA03BE">
        <w:t>12 reflect the best statements which were able to draw out employee engagement and performance (Gallup, 1996)</w:t>
      </w:r>
      <w:r w:rsidR="00BD6D27" w:rsidRPr="00BA03BE">
        <w:t>.</w:t>
      </w:r>
    </w:p>
    <w:p w14:paraId="08BA4A49" w14:textId="3CC968E0" w:rsidR="00FD1758" w:rsidRPr="00BA03BE" w:rsidRDefault="0039568A">
      <w:r w:rsidRPr="00BA03BE">
        <w:t>Coleg Ceredigion (CC) conduct biannual appraisals</w:t>
      </w:r>
      <w:r w:rsidR="00FD1758" w:rsidRPr="00BA03BE">
        <w:t xml:space="preserve"> through an online appraisal system</w:t>
      </w:r>
      <w:r w:rsidR="00BA03BE" w:rsidRPr="00BA03BE">
        <w:t>, s</w:t>
      </w:r>
      <w:r w:rsidR="00FD1758" w:rsidRPr="00BA03BE">
        <w:t>ee evidence 1.1) (</w:t>
      </w:r>
      <w:proofErr w:type="spellStart"/>
      <w:r w:rsidR="00FD1758" w:rsidRPr="00BA03BE">
        <w:t>PEPi</w:t>
      </w:r>
      <w:proofErr w:type="spellEnd"/>
      <w:r w:rsidR="00FD1758" w:rsidRPr="00BA03BE">
        <w:t xml:space="preserve"> Coleg Ceredigion, 2019)</w:t>
      </w:r>
      <w:r w:rsidRPr="00BA03BE">
        <w:t xml:space="preserve"> regular performance management reviews with line managers and frequent surveys, however there </w:t>
      </w:r>
      <w:r w:rsidR="00563572" w:rsidRPr="00BA03BE">
        <w:t>haven’t</w:t>
      </w:r>
      <w:r w:rsidRPr="00BA03BE">
        <w:t xml:space="preserve"> been any questionnaires focusing on engagement alone. </w:t>
      </w:r>
    </w:p>
    <w:p w14:paraId="0A207666" w14:textId="7E1DC58E" w:rsidR="00E713F3" w:rsidRPr="00BA03BE" w:rsidRDefault="0039568A">
      <w:r w:rsidRPr="00BA03BE">
        <w:t xml:space="preserve">It was discussed with my line manager that I would establish a questionnaire based on Gallup’s Q12 </w:t>
      </w:r>
      <w:r w:rsidR="00FD1758" w:rsidRPr="00BA03BE">
        <w:t>and taking into consideration the question posed in Son’s (2018)</w:t>
      </w:r>
      <w:r w:rsidR="00FD1758" w:rsidRPr="00BA03BE">
        <w:rPr>
          <w:i/>
        </w:rPr>
        <w:t xml:space="preserve"> Employment engagement survey </w:t>
      </w:r>
      <w:r w:rsidR="00E032FC" w:rsidRPr="00BA03BE">
        <w:rPr>
          <w:i/>
        </w:rPr>
        <w:t>article</w:t>
      </w:r>
      <w:r w:rsidR="00E032FC" w:rsidRPr="00BA03BE">
        <w:t xml:space="preserve"> and</w:t>
      </w:r>
      <w:r w:rsidRPr="00BA03BE">
        <w:t xml:space="preserve"> liaise with my colleague in Coleg Sir Gar </w:t>
      </w:r>
      <w:r w:rsidR="00FD1758" w:rsidRPr="00BA03BE">
        <w:t>(CSG) to ensure appropriateness</w:t>
      </w:r>
      <w:r w:rsidR="00E032FC" w:rsidRPr="00BA03BE">
        <w:t xml:space="preserve">. </w:t>
      </w:r>
      <w:r w:rsidR="00FD1758" w:rsidRPr="00BA03BE">
        <w:t>Evidence 1.2 and 1.3</w:t>
      </w:r>
      <w:r w:rsidRPr="00BA03BE">
        <w:t xml:space="preserve"> shows email correspondence to and from my colleague regarding the questionnaire and </w:t>
      </w:r>
      <w:r w:rsidR="00FD1758" w:rsidRPr="00BA03BE">
        <w:t>Evidence 1.4</w:t>
      </w:r>
      <w:r w:rsidRPr="00BA03BE">
        <w:t xml:space="preserve"> </w:t>
      </w:r>
      <w:r w:rsidR="00403158" w:rsidRPr="00BA03BE">
        <w:t>is</w:t>
      </w:r>
      <w:r w:rsidRPr="00BA03BE">
        <w:t xml:space="preserve"> the final questionnaire sent out to employee’s at CC.</w:t>
      </w:r>
    </w:p>
    <w:p w14:paraId="0603562D" w14:textId="493C29E9" w:rsidR="00FD1758" w:rsidRPr="00BA03BE" w:rsidRDefault="00403158">
      <w:r w:rsidRPr="00BA03BE">
        <w:t>The employee engagement questionnaire seen in evidence 1.4 was sent out to 50% of CC’s workforce. Neuman (2011) suggests following a guideline when choosing a sample size; claiming that the lower the number of staff in the workforce the higher the ratio of sample to population</w:t>
      </w:r>
      <w:r w:rsidR="00BA03BE">
        <w:t>; t</w:t>
      </w:r>
      <w:r w:rsidR="00BA03BE" w:rsidRPr="00BA03BE">
        <w:t>he</w:t>
      </w:r>
      <w:r w:rsidRPr="00BA03BE">
        <w:t xml:space="preserve"> surveys were sent to 85 employees</w:t>
      </w:r>
      <w:r w:rsidR="00E032FC" w:rsidRPr="00BA03BE">
        <w:t>.</w:t>
      </w:r>
    </w:p>
    <w:p w14:paraId="3AA4CAA2" w14:textId="6B005415" w:rsidR="008F7E35" w:rsidRPr="00BA03BE" w:rsidRDefault="0076155C">
      <w:r w:rsidRPr="00BA03BE">
        <w:t>A report was run from the HR database</w:t>
      </w:r>
      <w:r w:rsidR="000F777C" w:rsidRPr="00BA03BE">
        <w:t xml:space="preserve"> (see evidence 1.5)</w:t>
      </w:r>
      <w:r w:rsidRPr="00BA03BE">
        <w:t xml:space="preserve"> to ensure </w:t>
      </w:r>
      <w:r w:rsidR="00E032FC" w:rsidRPr="00BA03BE">
        <w:t>equal amount of</w:t>
      </w:r>
      <w:r w:rsidRPr="00BA03BE">
        <w:t xml:space="preserve"> staff were from Cardigan Campus and the other were from Aberystwyth, </w:t>
      </w:r>
      <w:r w:rsidR="008F7E35" w:rsidRPr="00BA03BE">
        <w:t xml:space="preserve">with an equal business support staff, managers and academic staff. </w:t>
      </w:r>
    </w:p>
    <w:p w14:paraId="1FAB13CD" w14:textId="7366ACB3" w:rsidR="0076155C" w:rsidRPr="00BA03BE" w:rsidRDefault="0076155C">
      <w:r w:rsidRPr="00BA03BE">
        <w:t>It’s importance to ensure appropriate cross section of employees to gather specific information from time by a selected pool of participants with various characteristics, age</w:t>
      </w:r>
      <w:r w:rsidR="00E032FC" w:rsidRPr="00BA03BE">
        <w:t xml:space="preserve"> and gender etc</w:t>
      </w:r>
      <w:r w:rsidRPr="00BA03BE">
        <w:t xml:space="preserve"> (Study,2018)</w:t>
      </w:r>
    </w:p>
    <w:p w14:paraId="24F7D783" w14:textId="06126CE3" w:rsidR="00BD6D27" w:rsidRPr="00BA03BE" w:rsidRDefault="00D74B12">
      <w:r w:rsidRPr="00BA03BE">
        <w:lastRenderedPageBreak/>
        <w:t>A limitation</w:t>
      </w:r>
      <w:r w:rsidR="000F777C" w:rsidRPr="00BA03BE">
        <w:t xml:space="preserve"> to surveys </w:t>
      </w:r>
      <w:r w:rsidRPr="00BA03BE">
        <w:t xml:space="preserve">is that answers are mood dependant; </w:t>
      </w:r>
      <w:proofErr w:type="gramStart"/>
      <w:r w:rsidR="000F777C" w:rsidRPr="00BA03BE">
        <w:t>therefore</w:t>
      </w:r>
      <w:proofErr w:type="gramEnd"/>
      <w:r w:rsidR="000F777C" w:rsidRPr="00BA03BE">
        <w:t xml:space="preserve"> doesn’t give an actual overall truth on how the workforce are engaged as the feeling towards engagement can fluctuate from day to day dependent on the mood of </w:t>
      </w:r>
      <w:r w:rsidR="008F7E35" w:rsidRPr="00BA03BE">
        <w:t>respondents</w:t>
      </w:r>
      <w:r w:rsidR="000F777C" w:rsidRPr="00BA03BE">
        <w:t xml:space="preserve">. </w:t>
      </w:r>
    </w:p>
    <w:p w14:paraId="43025ABC" w14:textId="205D6665" w:rsidR="000F777C" w:rsidRPr="00BA03BE" w:rsidRDefault="000F777C">
      <w:r w:rsidRPr="00BA03BE">
        <w:t xml:space="preserve">As majority of workplace questionnaires aren’t compulsory, it can be difficult to get employees to </w:t>
      </w:r>
      <w:r w:rsidR="004742DA" w:rsidRPr="00BA03BE">
        <w:t xml:space="preserve">participate, </w:t>
      </w:r>
      <w:r w:rsidRPr="00BA03BE">
        <w:t xml:space="preserve">despite them being anonymous. Therefore, those employees with certain views </w:t>
      </w:r>
      <w:r w:rsidR="004742DA" w:rsidRPr="00BA03BE">
        <w:t xml:space="preserve">and feedback, </w:t>
      </w:r>
      <w:r w:rsidRPr="00BA03BE">
        <w:t xml:space="preserve">are often those who don’t participate. </w:t>
      </w:r>
    </w:p>
    <w:p w14:paraId="1926340F" w14:textId="5AEE6457" w:rsidR="000F777C" w:rsidRPr="00BA03BE" w:rsidRDefault="000F777C">
      <w:r w:rsidRPr="00BA03BE">
        <w:t xml:space="preserve">Another limitation is that questionnaires </w:t>
      </w:r>
      <w:r w:rsidR="004742DA" w:rsidRPr="00BA03BE">
        <w:t>can occur</w:t>
      </w:r>
      <w:r w:rsidRPr="00BA03BE">
        <w:t xml:space="preserve"> infrequently; annually and/or biannually and sometimes irregularly; they may only be sent i</w:t>
      </w:r>
      <w:r w:rsidR="004742DA" w:rsidRPr="00BA03BE">
        <w:t xml:space="preserve">f certain reports are needed </w:t>
      </w:r>
      <w:r w:rsidRPr="00BA03BE">
        <w:t xml:space="preserve">etc. This can affect the ‘buy-in’ of the employee and if completed they may not be taken seriously. </w:t>
      </w:r>
    </w:p>
    <w:p w14:paraId="282EE2F4" w14:textId="16C1DA48" w:rsidR="002E7830" w:rsidRPr="00BA03BE" w:rsidRDefault="000F777C">
      <w:r w:rsidRPr="00BA03BE">
        <w:t xml:space="preserve">Not being taken seriously can lead to questionnaires being completed unmeaning fully; employees aren’t necessarily aware or of understanding as to </w:t>
      </w:r>
      <w:r w:rsidR="000D3FD1" w:rsidRPr="00BA03BE">
        <w:t xml:space="preserve">the importance of the content and therefore don’t complete the questionnaires seriously or honestly. </w:t>
      </w:r>
    </w:p>
    <w:p w14:paraId="25DFC80F" w14:textId="47DE8690" w:rsidR="00014274" w:rsidRPr="00BA03BE" w:rsidRDefault="00D74B12">
      <w:r w:rsidRPr="00BA03BE">
        <w:t>A disadvantage to how my questionnaires were sent is that</w:t>
      </w:r>
      <w:r w:rsidR="00014274" w:rsidRPr="00BA03BE">
        <w:t xml:space="preserve"> the questionnaires were sent electronically via email (evidence 1.</w:t>
      </w:r>
      <w:r w:rsidR="00BA03BE">
        <w:t>6</w:t>
      </w:r>
      <w:r w:rsidR="00BA03BE" w:rsidRPr="00BA03BE">
        <w:t>)</w:t>
      </w:r>
      <w:r w:rsidR="00014274" w:rsidRPr="00BA03BE">
        <w:t xml:space="preserve"> and although I considered avoid</w:t>
      </w:r>
      <w:r w:rsidR="00E032FC" w:rsidRPr="00BA03BE">
        <w:t>ing</w:t>
      </w:r>
      <w:r w:rsidR="00014274" w:rsidRPr="00BA03BE">
        <w:t xml:space="preserve"> asking employees w</w:t>
      </w:r>
      <w:r w:rsidR="00E032FC" w:rsidRPr="00BA03BE">
        <w:t xml:space="preserve">ith </w:t>
      </w:r>
      <w:r w:rsidR="00014274" w:rsidRPr="00BA03BE">
        <w:t>limited access to computers to complete the surveys it wouldn’t represent honest and accurate cross section. Therefore, it resulted in delayed and brief responses.</w:t>
      </w:r>
    </w:p>
    <w:p w14:paraId="589FDD6A" w14:textId="0B927C46" w:rsidR="00014274" w:rsidRPr="00BA03BE" w:rsidRDefault="00014274">
      <w:r w:rsidRPr="00BA03BE">
        <w:t xml:space="preserve">Once I received all 85 questionnaires I began collating and looking at the data. However, the responses varied from each participant, some answered the questions with closed answers; Yes and No, whereas others gave lengthy responses (evidence 1.7). I discussed </w:t>
      </w:r>
      <w:r w:rsidR="00103FBB" w:rsidRPr="00BA03BE">
        <w:t>with my line manager on how is best to analyse data that can vary. This discussion was over the phone</w:t>
      </w:r>
      <w:r w:rsidR="00E032FC" w:rsidRPr="00BA03BE">
        <w:t xml:space="preserve">. </w:t>
      </w:r>
      <w:r w:rsidR="00BA03BE">
        <w:t>E</w:t>
      </w:r>
      <w:r w:rsidR="00103FBB" w:rsidRPr="00BA03BE">
        <w:t xml:space="preserve">vidence 1.8 shows notes taken when discussing the steps to </w:t>
      </w:r>
      <w:proofErr w:type="gramStart"/>
      <w:r w:rsidR="00103FBB" w:rsidRPr="00BA03BE">
        <w:t>collating</w:t>
      </w:r>
      <w:proofErr w:type="gramEnd"/>
      <w:r w:rsidR="00103FBB" w:rsidRPr="00BA03BE">
        <w:t xml:space="preserve"> data</w:t>
      </w:r>
      <w:r w:rsidR="00BC4B15" w:rsidRPr="00BA03BE">
        <w:t xml:space="preserve">). </w:t>
      </w:r>
      <w:r w:rsidR="00103FBB" w:rsidRPr="00BA03BE">
        <w:t>Survey Monkey (2019) suggest a data analysis plan which involves looking at the questions, filtering results, examining numbers and drawing conclusions.</w:t>
      </w:r>
    </w:p>
    <w:p w14:paraId="72F9FFF0" w14:textId="232323C4" w:rsidR="00F00812" w:rsidRPr="00BA03BE" w:rsidRDefault="00F00812">
      <w:r w:rsidRPr="00BA03BE">
        <w:t>I analyse</w:t>
      </w:r>
      <w:r w:rsidR="00BC4B15" w:rsidRPr="00BA03BE">
        <w:t>d</w:t>
      </w:r>
      <w:r w:rsidRPr="00BA03BE">
        <w:t xml:space="preserve"> the data by looking at the answers and drawing on themes</w:t>
      </w:r>
      <w:r w:rsidR="00BC4B15" w:rsidRPr="00BA03BE">
        <w:t>;</w:t>
      </w:r>
      <w:r w:rsidRPr="00BA03BE">
        <w:t xml:space="preserve"> using percentages</w:t>
      </w:r>
      <w:r w:rsidR="00BC4B15" w:rsidRPr="00BA03BE">
        <w:t xml:space="preserve"> </w:t>
      </w:r>
      <w:r w:rsidRPr="00BA03BE">
        <w:t>and graphs. Saunders et al (2009) claim</w:t>
      </w:r>
      <w:r w:rsidR="00BC4B15" w:rsidRPr="00BA03BE">
        <w:t>s</w:t>
      </w:r>
      <w:r w:rsidRPr="00BA03BE">
        <w:t xml:space="preserve"> that it’s best to know how data will be analysed before obtaining the data. Although that was one factor that I hadn’t taken into consideration, it’s suggested that primary data such as questionnaires provide greater control on the “type, format and coding”. Evidence 1.9 – 1.1</w:t>
      </w:r>
      <w:r w:rsidR="00BA03BE" w:rsidRPr="00BA03BE">
        <w:t>3</w:t>
      </w:r>
      <w:r w:rsidRPr="00BA03BE">
        <w:t xml:space="preserve"> shows the data obtained from the questionnaire</w:t>
      </w:r>
      <w:r w:rsidR="00BC4B15" w:rsidRPr="00BA03BE">
        <w:t>s</w:t>
      </w:r>
      <w:r w:rsidRPr="00BA03BE">
        <w:t xml:space="preserve">. </w:t>
      </w:r>
    </w:p>
    <w:p w14:paraId="3F4A433B" w14:textId="17211284" w:rsidR="008F7E35" w:rsidRPr="00BA03BE" w:rsidRDefault="008F7E35">
      <w:r w:rsidRPr="00BA03BE">
        <w:t xml:space="preserve">Whilst analysing, it was brought to my attention the split between how respondents were answering the questions; </w:t>
      </w:r>
      <w:r w:rsidR="00BC4B15" w:rsidRPr="00BA03BE">
        <w:t>some</w:t>
      </w:r>
      <w:r w:rsidRPr="00BA03BE">
        <w:t xml:space="preserve"> would answer them openly, with explanations whilst </w:t>
      </w:r>
      <w:r w:rsidR="00BC4B15" w:rsidRPr="00BA03BE">
        <w:t>others</w:t>
      </w:r>
      <w:r w:rsidRPr="00BA03BE">
        <w:t xml:space="preserve"> would answer as a closed question.</w:t>
      </w:r>
    </w:p>
    <w:p w14:paraId="2C86B029" w14:textId="156B7630" w:rsidR="00E1372D" w:rsidRPr="00BA03BE" w:rsidRDefault="00E1372D">
      <w:r w:rsidRPr="00BA03BE">
        <w:rPr>
          <w:noProof/>
          <w:lang w:eastAsia="en-GB"/>
        </w:rPr>
        <w:lastRenderedPageBreak/>
        <w:drawing>
          <wp:anchor distT="0" distB="0" distL="114300" distR="114300" simplePos="0" relativeHeight="251658240" behindDoc="1" locked="0" layoutInCell="1" allowOverlap="1" wp14:anchorId="69874691" wp14:editId="1F6FE309">
            <wp:simplePos x="0" y="0"/>
            <wp:positionH relativeFrom="column">
              <wp:posOffset>-419100</wp:posOffset>
            </wp:positionH>
            <wp:positionV relativeFrom="paragraph">
              <wp:posOffset>0</wp:posOffset>
            </wp:positionV>
            <wp:extent cx="6625590" cy="9159240"/>
            <wp:effectExtent l="0" t="0" r="3810" b="0"/>
            <wp:wrapTight wrapText="bothSides">
              <wp:wrapPolygon edited="0">
                <wp:start x="248" y="0"/>
                <wp:lineTo x="124" y="225"/>
                <wp:lineTo x="311" y="404"/>
                <wp:lineTo x="12048" y="809"/>
                <wp:lineTo x="11117" y="854"/>
                <wp:lineTo x="10868" y="988"/>
                <wp:lineTo x="10868" y="3549"/>
                <wp:lineTo x="10993" y="3684"/>
                <wp:lineTo x="11551" y="3684"/>
                <wp:lineTo x="10930" y="3908"/>
                <wp:lineTo x="10806" y="4043"/>
                <wp:lineTo x="10806" y="4403"/>
                <wp:lineTo x="186" y="4672"/>
                <wp:lineTo x="186" y="5032"/>
                <wp:lineTo x="10868" y="5121"/>
                <wp:lineTo x="10868" y="5795"/>
                <wp:lineTo x="17141" y="5840"/>
                <wp:lineTo x="11179" y="6020"/>
                <wp:lineTo x="10806" y="6065"/>
                <wp:lineTo x="10868" y="6918"/>
                <wp:lineTo x="11179" y="7278"/>
                <wp:lineTo x="10993" y="7278"/>
                <wp:lineTo x="10868" y="7413"/>
                <wp:lineTo x="10806" y="7997"/>
                <wp:lineTo x="0" y="8356"/>
                <wp:lineTo x="0" y="8446"/>
                <wp:lineTo x="124" y="8760"/>
                <wp:lineTo x="10806" y="9434"/>
                <wp:lineTo x="10806" y="9928"/>
                <wp:lineTo x="11365" y="10153"/>
                <wp:lineTo x="10868" y="10243"/>
                <wp:lineTo x="10806" y="10872"/>
                <wp:lineTo x="186" y="10962"/>
                <wp:lineTo x="186" y="11321"/>
                <wp:lineTo x="10868" y="11591"/>
                <wp:lineTo x="10806" y="12309"/>
                <wp:lineTo x="0" y="12579"/>
                <wp:lineTo x="0" y="13028"/>
                <wp:lineTo x="10806" y="13028"/>
                <wp:lineTo x="10806" y="14466"/>
                <wp:lineTo x="0" y="14691"/>
                <wp:lineTo x="0" y="15140"/>
                <wp:lineTo x="10806" y="15185"/>
                <wp:lineTo x="10806" y="16622"/>
                <wp:lineTo x="0" y="16802"/>
                <wp:lineTo x="0" y="17251"/>
                <wp:lineTo x="10868" y="17476"/>
                <wp:lineTo x="10930" y="18060"/>
                <wp:lineTo x="14098" y="18060"/>
                <wp:lineTo x="11117" y="18240"/>
                <wp:lineTo x="10868" y="18285"/>
                <wp:lineTo x="10868" y="18779"/>
                <wp:lineTo x="124" y="19408"/>
                <wp:lineTo x="124" y="19767"/>
                <wp:lineTo x="11179" y="20261"/>
                <wp:lineTo x="10806" y="20306"/>
                <wp:lineTo x="10868" y="21474"/>
                <wp:lineTo x="13228" y="21474"/>
                <wp:lineTo x="13601" y="21384"/>
                <wp:lineTo x="19936" y="20980"/>
                <wp:lineTo x="19936" y="20935"/>
                <wp:lineTo x="20681" y="20441"/>
                <wp:lineTo x="20370" y="20261"/>
                <wp:lineTo x="20619" y="20171"/>
                <wp:lineTo x="20805" y="20037"/>
                <wp:lineTo x="19936" y="19408"/>
                <wp:lineTo x="20246" y="18824"/>
                <wp:lineTo x="20184" y="18779"/>
                <wp:lineTo x="20929" y="18374"/>
                <wp:lineTo x="20681" y="18195"/>
                <wp:lineTo x="20619" y="17341"/>
                <wp:lineTo x="21550" y="17251"/>
                <wp:lineTo x="21488" y="16802"/>
                <wp:lineTo x="10806" y="16622"/>
                <wp:lineTo x="13539" y="16622"/>
                <wp:lineTo x="21053" y="16083"/>
                <wp:lineTo x="21116" y="15319"/>
                <wp:lineTo x="21488" y="15095"/>
                <wp:lineTo x="21488" y="14691"/>
                <wp:lineTo x="10806" y="14466"/>
                <wp:lineTo x="14160" y="14466"/>
                <wp:lineTo x="21053" y="13972"/>
                <wp:lineTo x="21116" y="13208"/>
                <wp:lineTo x="21488" y="12983"/>
                <wp:lineTo x="21488" y="12579"/>
                <wp:lineTo x="10806" y="12309"/>
                <wp:lineTo x="15216" y="12309"/>
                <wp:lineTo x="21178" y="11905"/>
                <wp:lineTo x="21240" y="11186"/>
                <wp:lineTo x="18445" y="10962"/>
                <wp:lineTo x="10806" y="10872"/>
                <wp:lineTo x="14657" y="10692"/>
                <wp:lineTo x="16830" y="10423"/>
                <wp:lineTo x="16582" y="10153"/>
                <wp:lineTo x="19439" y="10153"/>
                <wp:lineTo x="20370" y="9973"/>
                <wp:lineTo x="20122" y="9434"/>
                <wp:lineTo x="20619" y="8715"/>
                <wp:lineTo x="21550" y="8401"/>
                <wp:lineTo x="21302" y="8356"/>
                <wp:lineTo x="10806" y="7997"/>
                <wp:lineTo x="19998" y="7997"/>
                <wp:lineTo x="21053" y="7323"/>
                <wp:lineTo x="20619" y="7278"/>
                <wp:lineTo x="21116" y="6963"/>
                <wp:lineTo x="21053" y="6874"/>
                <wp:lineTo x="20122" y="6559"/>
                <wp:lineTo x="20681" y="6155"/>
                <wp:lineTo x="20557" y="6020"/>
                <wp:lineTo x="19439" y="5840"/>
                <wp:lineTo x="20370" y="5795"/>
                <wp:lineTo x="19811" y="5121"/>
                <wp:lineTo x="20805" y="5077"/>
                <wp:lineTo x="20805" y="4717"/>
                <wp:lineTo x="10806" y="4403"/>
                <wp:lineTo x="16147" y="4133"/>
                <wp:lineTo x="16209" y="3908"/>
                <wp:lineTo x="11862" y="3684"/>
                <wp:lineTo x="20991" y="3684"/>
                <wp:lineTo x="20991" y="2965"/>
                <wp:lineTo x="20805" y="2246"/>
                <wp:lineTo x="21240" y="1527"/>
                <wp:lineTo x="21302" y="1258"/>
                <wp:lineTo x="19749" y="854"/>
                <wp:lineTo x="18445" y="809"/>
                <wp:lineTo x="20432" y="539"/>
                <wp:lineTo x="20557" y="135"/>
                <wp:lineTo x="19501" y="0"/>
                <wp:lineTo x="24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25590" cy="9159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7522F5" w14:textId="4606A4DC" w:rsidR="002F7B39" w:rsidRDefault="002F7B39">
      <w:pPr>
        <w:rPr>
          <w:lang w:eastAsia="en-GB"/>
        </w:rPr>
      </w:pPr>
      <w:r w:rsidRPr="00BA03BE">
        <w:rPr>
          <w:noProof/>
          <w:lang w:eastAsia="en-GB"/>
        </w:rPr>
        <w:lastRenderedPageBreak/>
        <w:drawing>
          <wp:anchor distT="0" distB="0" distL="114300" distR="114300" simplePos="0" relativeHeight="251659264" behindDoc="1" locked="0" layoutInCell="1" allowOverlap="1" wp14:anchorId="4C38DDBE" wp14:editId="1C0D9CB1">
            <wp:simplePos x="0" y="0"/>
            <wp:positionH relativeFrom="margin">
              <wp:posOffset>-129540</wp:posOffset>
            </wp:positionH>
            <wp:positionV relativeFrom="paragraph">
              <wp:posOffset>0</wp:posOffset>
            </wp:positionV>
            <wp:extent cx="6296025" cy="3619500"/>
            <wp:effectExtent l="0" t="0" r="9525" b="0"/>
            <wp:wrapTight wrapText="bothSides">
              <wp:wrapPolygon edited="0">
                <wp:start x="10588" y="0"/>
                <wp:lineTo x="196" y="114"/>
                <wp:lineTo x="196" y="909"/>
                <wp:lineTo x="10588" y="1819"/>
                <wp:lineTo x="10588" y="3638"/>
                <wp:lineTo x="196" y="4093"/>
                <wp:lineTo x="196" y="4888"/>
                <wp:lineTo x="10588" y="5457"/>
                <wp:lineTo x="10588" y="7276"/>
                <wp:lineTo x="196" y="8072"/>
                <wp:lineTo x="196" y="8867"/>
                <wp:lineTo x="10588" y="9095"/>
                <wp:lineTo x="10588" y="14552"/>
                <wp:lineTo x="0" y="14665"/>
                <wp:lineTo x="0" y="15688"/>
                <wp:lineTo x="10588" y="16371"/>
                <wp:lineTo x="10588" y="19895"/>
                <wp:lineTo x="10849" y="19895"/>
                <wp:lineTo x="18626" y="18531"/>
                <wp:lineTo x="18692" y="18189"/>
                <wp:lineTo x="20587" y="16484"/>
                <wp:lineTo x="20587" y="16371"/>
                <wp:lineTo x="21567" y="14665"/>
                <wp:lineTo x="10849" y="14552"/>
                <wp:lineTo x="18561" y="13756"/>
                <wp:lineTo x="18757" y="13187"/>
                <wp:lineTo x="16274" y="12733"/>
                <wp:lineTo x="20783" y="12505"/>
                <wp:lineTo x="20848" y="10573"/>
                <wp:lineTo x="20130" y="9095"/>
                <wp:lineTo x="20652" y="8413"/>
                <wp:lineTo x="20326" y="8185"/>
                <wp:lineTo x="10849" y="7276"/>
                <wp:lineTo x="11764" y="7276"/>
                <wp:lineTo x="19999" y="5684"/>
                <wp:lineTo x="19999" y="5457"/>
                <wp:lineTo x="21306" y="4547"/>
                <wp:lineTo x="21110" y="4206"/>
                <wp:lineTo x="10849" y="3638"/>
                <wp:lineTo x="19018" y="2956"/>
                <wp:lineTo x="20522" y="2728"/>
                <wp:lineTo x="20064" y="1819"/>
                <wp:lineTo x="21110" y="1819"/>
                <wp:lineTo x="20587" y="114"/>
                <wp:lineTo x="10849" y="0"/>
                <wp:lineTo x="10588"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96025" cy="361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EDFA28" w14:textId="57F751B6" w:rsidR="002F7B39" w:rsidRDefault="002F7B39">
      <w:pPr>
        <w:rPr>
          <w:lang w:eastAsia="en-GB"/>
        </w:rPr>
      </w:pPr>
    </w:p>
    <w:p w14:paraId="21292553" w14:textId="6E7D5013" w:rsidR="002F7B39" w:rsidRDefault="002F7B39">
      <w:pPr>
        <w:rPr>
          <w:lang w:eastAsia="en-GB"/>
        </w:rPr>
      </w:pPr>
    </w:p>
    <w:p w14:paraId="360034AA" w14:textId="52A34077" w:rsidR="002F7B39" w:rsidRDefault="002F7B39">
      <w:pPr>
        <w:rPr>
          <w:lang w:eastAsia="en-GB"/>
        </w:rPr>
      </w:pPr>
    </w:p>
    <w:p w14:paraId="01E30F44" w14:textId="098325F6" w:rsidR="002F7B39" w:rsidRDefault="002F7B39">
      <w:pPr>
        <w:rPr>
          <w:lang w:eastAsia="en-GB"/>
        </w:rPr>
      </w:pPr>
    </w:p>
    <w:p w14:paraId="34611F1A" w14:textId="25E57793" w:rsidR="00E1372D" w:rsidRPr="00BA03BE" w:rsidRDefault="00E1372D"/>
    <w:p w14:paraId="713F97FB" w14:textId="2FB6661B" w:rsidR="00E1372D" w:rsidRPr="00BA03BE" w:rsidRDefault="00E1372D"/>
    <w:p w14:paraId="79EDE5F2" w14:textId="369B76B1" w:rsidR="00E1372D" w:rsidRPr="00BA03BE" w:rsidRDefault="00E1372D"/>
    <w:p w14:paraId="05252EDC" w14:textId="7E835721" w:rsidR="00E1372D" w:rsidRPr="00BA03BE" w:rsidRDefault="00E1372D"/>
    <w:p w14:paraId="0FB28973" w14:textId="4C357FE6" w:rsidR="00E1372D" w:rsidRDefault="00E1372D"/>
    <w:p w14:paraId="3B78761E" w14:textId="741351A4" w:rsidR="002F7B39" w:rsidRDefault="002F7B39"/>
    <w:p w14:paraId="242FE55C" w14:textId="5C7EB9BC" w:rsidR="002F7B39" w:rsidRDefault="002F7B39"/>
    <w:p w14:paraId="04A84DCC" w14:textId="47BD3F2F" w:rsidR="002F7B39" w:rsidRDefault="002F7B39"/>
    <w:p w14:paraId="422DD121" w14:textId="72BCBDC5" w:rsidR="002F7B39" w:rsidRDefault="002F7B39"/>
    <w:p w14:paraId="4DC92627" w14:textId="77777777" w:rsidR="002F7B39" w:rsidRPr="00BA03BE" w:rsidRDefault="002F7B39"/>
    <w:p w14:paraId="6C0BD9C5" w14:textId="41AC3A0B" w:rsidR="00AA5F77" w:rsidRPr="00BA03BE" w:rsidRDefault="00AA5F77">
      <w:r w:rsidRPr="00BA03BE">
        <w:t xml:space="preserve">In conclusion to the above analysis and data received, the quantitative approach of questionnaires worked well as </w:t>
      </w:r>
      <w:r w:rsidR="00BC4B15" w:rsidRPr="00BA03BE">
        <w:t xml:space="preserve">there were 100% responses. No employees refused to participate </w:t>
      </w:r>
      <w:r w:rsidRPr="00BA03BE">
        <w:t>which was helped due to confidentiality of answers.</w:t>
      </w:r>
    </w:p>
    <w:p w14:paraId="41FD9654" w14:textId="7E57E896" w:rsidR="005623FF" w:rsidRPr="00BA03BE" w:rsidRDefault="005623FF">
      <w:r w:rsidRPr="00BA03BE">
        <w:t xml:space="preserve">As only 50% of </w:t>
      </w:r>
      <w:r w:rsidR="008D1A99" w:rsidRPr="00BA03BE">
        <w:t>employees</w:t>
      </w:r>
      <w:r w:rsidRPr="00BA03BE">
        <w:t xml:space="preserve"> were able to participate because of time restraints, it could be said that the data </w:t>
      </w:r>
      <w:r w:rsidR="008D1A99" w:rsidRPr="00BA03BE">
        <w:t>doesn’t reflect the entire workforce.</w:t>
      </w:r>
    </w:p>
    <w:p w14:paraId="63241BF9" w14:textId="1BD3FC18" w:rsidR="00AA5F77" w:rsidRPr="00BA03BE" w:rsidRDefault="008D1A99">
      <w:r w:rsidRPr="00BA03BE">
        <w:t>To conclude, there were answers found in each question to say that C</w:t>
      </w:r>
      <w:r w:rsidR="00BC4B15" w:rsidRPr="00BA03BE">
        <w:t xml:space="preserve">C </w:t>
      </w:r>
      <w:r w:rsidRPr="00BA03BE">
        <w:t>does have some engaged employees although overall it suggests that employee engagement must be looked at. Staff have been recently praised in a recent Curriculum Area Meeting (CAT) as enrolment figures for this academic year have been very high</w:t>
      </w:r>
      <w:r w:rsidRPr="008037D2">
        <w:t>. (Evidence 1.1</w:t>
      </w:r>
      <w:r w:rsidR="008037D2" w:rsidRPr="008037D2">
        <w:t>4</w:t>
      </w:r>
      <w:r w:rsidRPr="008037D2">
        <w:t>)</w:t>
      </w:r>
      <w:r w:rsidRPr="00BA03BE">
        <w:t xml:space="preserve"> However, praise, recognition, employee voice, feedback and development doesn’t seem to be a conversation that happens frequently</w:t>
      </w:r>
      <w:r w:rsidR="00BC4B15" w:rsidRPr="00BA03BE">
        <w:t xml:space="preserve">, </w:t>
      </w:r>
      <w:r w:rsidRPr="00BA03BE">
        <w:t>which is important in maintaining engaged employees (CIPD, 2018a).</w:t>
      </w:r>
    </w:p>
    <w:p w14:paraId="75CAF6C7" w14:textId="77777777" w:rsidR="00AA5F77" w:rsidRPr="00BA03BE" w:rsidRDefault="00AA5F77"/>
    <w:tbl>
      <w:tblPr>
        <w:tblW w:w="10161" w:type="dxa"/>
        <w:tblLook w:val="04A0" w:firstRow="1" w:lastRow="0" w:firstColumn="1" w:lastColumn="0" w:noHBand="0" w:noVBand="1"/>
      </w:tblPr>
      <w:tblGrid>
        <w:gridCol w:w="9120"/>
        <w:gridCol w:w="1041"/>
      </w:tblGrid>
      <w:tr w:rsidR="006554B2" w:rsidRPr="00BA03BE" w14:paraId="7AB68460" w14:textId="77777777" w:rsidTr="00EE0130">
        <w:trPr>
          <w:trHeight w:val="297"/>
        </w:trPr>
        <w:tc>
          <w:tcPr>
            <w:tcW w:w="9120" w:type="dxa"/>
            <w:tcBorders>
              <w:top w:val="nil"/>
              <w:left w:val="nil"/>
              <w:bottom w:val="nil"/>
              <w:right w:val="nil"/>
            </w:tcBorders>
            <w:shd w:val="clear" w:color="auto" w:fill="auto"/>
            <w:noWrap/>
            <w:vAlign w:val="bottom"/>
          </w:tcPr>
          <w:p w14:paraId="4A03C29C" w14:textId="73C9A2FF" w:rsidR="00EE0130" w:rsidRPr="00BA03BE" w:rsidRDefault="00EE0130" w:rsidP="00AA5F77">
            <w:pPr>
              <w:rPr>
                <w:rFonts w:ascii="Calibri" w:eastAsia="Times New Roman" w:hAnsi="Calibri" w:cs="Calibri"/>
                <w:color w:val="000000"/>
                <w:lang w:eastAsia="en-GB"/>
              </w:rPr>
            </w:pPr>
          </w:p>
        </w:tc>
        <w:tc>
          <w:tcPr>
            <w:tcW w:w="1041" w:type="dxa"/>
            <w:tcBorders>
              <w:top w:val="nil"/>
              <w:left w:val="nil"/>
              <w:bottom w:val="nil"/>
              <w:right w:val="nil"/>
            </w:tcBorders>
            <w:shd w:val="clear" w:color="auto" w:fill="auto"/>
            <w:noWrap/>
            <w:vAlign w:val="bottom"/>
          </w:tcPr>
          <w:p w14:paraId="0D4DBF74" w14:textId="77777777" w:rsidR="006554B2" w:rsidRPr="00BA03BE" w:rsidRDefault="006554B2" w:rsidP="006554B2">
            <w:pPr>
              <w:spacing w:after="0" w:line="240" w:lineRule="auto"/>
              <w:rPr>
                <w:rFonts w:ascii="Times New Roman" w:eastAsia="Times New Roman" w:hAnsi="Times New Roman" w:cs="Times New Roman"/>
                <w:lang w:eastAsia="en-GB"/>
              </w:rPr>
            </w:pPr>
          </w:p>
        </w:tc>
      </w:tr>
      <w:tr w:rsidR="006554B2" w:rsidRPr="00BA03BE" w14:paraId="22031665" w14:textId="77777777" w:rsidTr="00EE0130">
        <w:trPr>
          <w:trHeight w:val="297"/>
        </w:trPr>
        <w:tc>
          <w:tcPr>
            <w:tcW w:w="9120" w:type="dxa"/>
            <w:tcBorders>
              <w:top w:val="nil"/>
              <w:left w:val="nil"/>
              <w:bottom w:val="nil"/>
              <w:right w:val="nil"/>
            </w:tcBorders>
            <w:shd w:val="clear" w:color="auto" w:fill="auto"/>
            <w:noWrap/>
            <w:vAlign w:val="bottom"/>
          </w:tcPr>
          <w:p w14:paraId="470162C4" w14:textId="3FC920FA" w:rsidR="006554B2" w:rsidRPr="00BA03BE" w:rsidRDefault="006554B2" w:rsidP="006554B2">
            <w:pPr>
              <w:spacing w:after="0" w:line="240" w:lineRule="auto"/>
              <w:rPr>
                <w:rFonts w:ascii="Calibri" w:eastAsia="Times New Roman" w:hAnsi="Calibri" w:cs="Calibri"/>
                <w:color w:val="000000"/>
                <w:lang w:eastAsia="en-GB"/>
              </w:rPr>
            </w:pPr>
          </w:p>
        </w:tc>
        <w:tc>
          <w:tcPr>
            <w:tcW w:w="1041" w:type="dxa"/>
            <w:tcBorders>
              <w:top w:val="nil"/>
              <w:left w:val="nil"/>
              <w:bottom w:val="nil"/>
              <w:right w:val="nil"/>
            </w:tcBorders>
            <w:shd w:val="clear" w:color="auto" w:fill="auto"/>
            <w:noWrap/>
            <w:vAlign w:val="bottom"/>
          </w:tcPr>
          <w:p w14:paraId="1B36D7D7" w14:textId="14B35B7A" w:rsidR="006554B2" w:rsidRPr="00BA03BE" w:rsidRDefault="006554B2" w:rsidP="006554B2">
            <w:pPr>
              <w:spacing w:after="0" w:line="240" w:lineRule="auto"/>
              <w:jc w:val="right"/>
              <w:rPr>
                <w:rFonts w:ascii="Calibri" w:eastAsia="Times New Roman" w:hAnsi="Calibri" w:cs="Calibri"/>
                <w:color w:val="000000"/>
                <w:lang w:eastAsia="en-GB"/>
              </w:rPr>
            </w:pPr>
          </w:p>
        </w:tc>
      </w:tr>
      <w:tr w:rsidR="006554B2" w:rsidRPr="00BA03BE" w14:paraId="7E15DF4A" w14:textId="77777777" w:rsidTr="00EE0130">
        <w:trPr>
          <w:trHeight w:val="297"/>
        </w:trPr>
        <w:tc>
          <w:tcPr>
            <w:tcW w:w="9120" w:type="dxa"/>
            <w:tcBorders>
              <w:top w:val="nil"/>
              <w:left w:val="nil"/>
              <w:bottom w:val="nil"/>
              <w:right w:val="nil"/>
            </w:tcBorders>
            <w:shd w:val="clear" w:color="auto" w:fill="auto"/>
            <w:noWrap/>
            <w:vAlign w:val="bottom"/>
          </w:tcPr>
          <w:p w14:paraId="6B7ED883" w14:textId="634512AE" w:rsidR="006554B2" w:rsidRPr="00BA03BE" w:rsidRDefault="006554B2" w:rsidP="006554B2">
            <w:pPr>
              <w:spacing w:after="0" w:line="240" w:lineRule="auto"/>
              <w:rPr>
                <w:rFonts w:ascii="Calibri" w:eastAsia="Times New Roman" w:hAnsi="Calibri" w:cs="Calibri"/>
                <w:color w:val="000000"/>
                <w:lang w:eastAsia="en-GB"/>
              </w:rPr>
            </w:pPr>
          </w:p>
        </w:tc>
        <w:tc>
          <w:tcPr>
            <w:tcW w:w="1041" w:type="dxa"/>
            <w:tcBorders>
              <w:top w:val="nil"/>
              <w:left w:val="nil"/>
              <w:bottom w:val="nil"/>
              <w:right w:val="nil"/>
            </w:tcBorders>
            <w:shd w:val="clear" w:color="auto" w:fill="auto"/>
            <w:noWrap/>
            <w:vAlign w:val="bottom"/>
          </w:tcPr>
          <w:p w14:paraId="7C44FFCA" w14:textId="2202DF81" w:rsidR="006554B2" w:rsidRPr="00BA03BE" w:rsidRDefault="006554B2" w:rsidP="006554B2">
            <w:pPr>
              <w:spacing w:after="0" w:line="240" w:lineRule="auto"/>
              <w:jc w:val="right"/>
              <w:rPr>
                <w:rFonts w:ascii="Calibri" w:eastAsia="Times New Roman" w:hAnsi="Calibri" w:cs="Calibri"/>
                <w:color w:val="000000"/>
                <w:lang w:eastAsia="en-GB"/>
              </w:rPr>
            </w:pPr>
          </w:p>
        </w:tc>
      </w:tr>
      <w:tr w:rsidR="006554B2" w:rsidRPr="00BA03BE" w14:paraId="7B446725" w14:textId="77777777" w:rsidTr="00EE0130">
        <w:trPr>
          <w:trHeight w:val="297"/>
        </w:trPr>
        <w:tc>
          <w:tcPr>
            <w:tcW w:w="9120" w:type="dxa"/>
            <w:tcBorders>
              <w:top w:val="nil"/>
              <w:left w:val="nil"/>
              <w:bottom w:val="nil"/>
              <w:right w:val="nil"/>
            </w:tcBorders>
            <w:shd w:val="clear" w:color="auto" w:fill="auto"/>
            <w:noWrap/>
            <w:vAlign w:val="bottom"/>
          </w:tcPr>
          <w:p w14:paraId="28242447" w14:textId="3F7F6E4E" w:rsidR="00E1372D" w:rsidRPr="00BA03BE" w:rsidRDefault="00E1372D" w:rsidP="006554B2">
            <w:pPr>
              <w:spacing w:after="0" w:line="240" w:lineRule="auto"/>
              <w:rPr>
                <w:rFonts w:ascii="Calibri" w:eastAsia="Times New Roman" w:hAnsi="Calibri" w:cs="Calibri"/>
                <w:color w:val="000000"/>
                <w:lang w:eastAsia="en-GB"/>
              </w:rPr>
            </w:pPr>
          </w:p>
        </w:tc>
        <w:tc>
          <w:tcPr>
            <w:tcW w:w="1041" w:type="dxa"/>
            <w:tcBorders>
              <w:top w:val="nil"/>
              <w:left w:val="nil"/>
              <w:bottom w:val="nil"/>
              <w:right w:val="nil"/>
            </w:tcBorders>
            <w:shd w:val="clear" w:color="auto" w:fill="auto"/>
            <w:noWrap/>
            <w:vAlign w:val="bottom"/>
          </w:tcPr>
          <w:p w14:paraId="0D907E27" w14:textId="6BEA8D9A" w:rsidR="006554B2" w:rsidRPr="00BA03BE" w:rsidRDefault="006554B2" w:rsidP="006554B2">
            <w:pPr>
              <w:spacing w:after="0" w:line="240" w:lineRule="auto"/>
              <w:jc w:val="right"/>
              <w:rPr>
                <w:rFonts w:ascii="Calibri" w:eastAsia="Times New Roman" w:hAnsi="Calibri" w:cs="Calibri"/>
                <w:color w:val="000000"/>
                <w:lang w:eastAsia="en-GB"/>
              </w:rPr>
            </w:pPr>
          </w:p>
        </w:tc>
      </w:tr>
    </w:tbl>
    <w:p w14:paraId="22672897" w14:textId="7C785037" w:rsidR="00103FBB" w:rsidRPr="006840AD" w:rsidRDefault="008D1A99">
      <w:pPr>
        <w:rPr>
          <w:b/>
          <w:bCs/>
        </w:rPr>
      </w:pPr>
      <w:r w:rsidRPr="006840AD">
        <w:rPr>
          <w:b/>
          <w:bCs/>
        </w:rPr>
        <w:t>LO2</w:t>
      </w:r>
    </w:p>
    <w:p w14:paraId="2EAA54ED" w14:textId="73DC2A56" w:rsidR="008D1A99" w:rsidRPr="00BA03BE" w:rsidRDefault="006D5C0A">
      <w:r w:rsidRPr="00BA03BE">
        <w:t>Unfortunately, CC and CSG have recently gone through redundancies; this has impacted on productivity in the workplace</w:t>
      </w:r>
      <w:r w:rsidR="00BC4B15" w:rsidRPr="00BA03BE">
        <w:t xml:space="preserve">. </w:t>
      </w:r>
      <w:r w:rsidRPr="00BA03BE">
        <w:t>However, the current issue that needs addressing for employee engagement is reducing sickness absence</w:t>
      </w:r>
      <w:r w:rsidR="00BC4B15" w:rsidRPr="00BA03BE">
        <w:t>; possibly linked to the lack of productivity.</w:t>
      </w:r>
    </w:p>
    <w:p w14:paraId="47AF7B93" w14:textId="26A0DBF6" w:rsidR="006D5C0A" w:rsidRPr="00BA03BE" w:rsidRDefault="006D5C0A">
      <w:r w:rsidRPr="00BA03BE">
        <w:t xml:space="preserve">A previous research report enabled me to analyse the current short-term sickness statistics in the College. During the academic year </w:t>
      </w:r>
      <w:r w:rsidR="00BC4B15" w:rsidRPr="00BA03BE">
        <w:t xml:space="preserve">2018-2019, the number of days absent due to sickness were 1322.2 which has increased from previous </w:t>
      </w:r>
      <w:r w:rsidR="00BC4B15" w:rsidRPr="008037D2">
        <w:t>years,</w:t>
      </w:r>
      <w:r w:rsidR="008037D2" w:rsidRPr="008037D2">
        <w:t xml:space="preserve"> </w:t>
      </w:r>
      <w:r w:rsidR="006661B4" w:rsidRPr="008037D2">
        <w:t>as seen in evidence 2.1.</w:t>
      </w:r>
      <w:r w:rsidR="006661B4" w:rsidRPr="00BA03BE">
        <w:t xml:space="preserve"> </w:t>
      </w:r>
    </w:p>
    <w:p w14:paraId="71BAC8E4" w14:textId="4969F305" w:rsidR="006661B4" w:rsidRPr="00BA03BE" w:rsidRDefault="006661B4">
      <w:r w:rsidRPr="00BA03BE">
        <w:t xml:space="preserve">Coleg Ceredigion’s Sickness Absent Management Policy was rebuilt to help reduce the number of sickness absences, alongside this the reporting of absences and sickness recording system were updated and changed, </w:t>
      </w:r>
      <w:r w:rsidRPr="008037D2">
        <w:t>see evidence 2.2, 2.3 and 2.4.</w:t>
      </w:r>
      <w:r w:rsidRPr="00BA03BE">
        <w:t xml:space="preserve"> All policies and procedures are easily accessible to all employees via the College intranet (Gateway, 2019).</w:t>
      </w:r>
    </w:p>
    <w:p w14:paraId="7B1BED3C" w14:textId="5CADFFA0" w:rsidR="00FA20CA" w:rsidRPr="00BA03BE" w:rsidRDefault="00FA20CA">
      <w:r w:rsidRPr="00BA03BE">
        <w:t xml:space="preserve">ACAS claim that staff engagement and health and wellbeing in the workplace are connected; proving that approaches such as flexible working have positive effects on wellbeing (Personnel Today, 2013). </w:t>
      </w:r>
      <w:r w:rsidR="005E0B71" w:rsidRPr="00BA03BE">
        <w:t xml:space="preserve">Flexible working such as reduced or change of hours, stress management </w:t>
      </w:r>
      <w:r w:rsidR="00BC4B15" w:rsidRPr="00BA03BE">
        <w:t>etc</w:t>
      </w:r>
      <w:r w:rsidR="005E0B71" w:rsidRPr="00BA03BE">
        <w:t xml:space="preserve"> improve engagement and prove to encourage staff to willingly go above and beyond. Health and Safety Executive’s management standards state that</w:t>
      </w:r>
      <w:r w:rsidR="00BC4B15" w:rsidRPr="00BA03BE">
        <w:t xml:space="preserve">, </w:t>
      </w:r>
      <w:r w:rsidR="005E0B71" w:rsidRPr="00BA03BE">
        <w:t>employers that score well in their stress audits are those with high employee engagement scores (Boswell, 2013).</w:t>
      </w:r>
    </w:p>
    <w:p w14:paraId="15C0A388" w14:textId="6F478DA2" w:rsidR="005E0B71" w:rsidRPr="00BA03BE" w:rsidRDefault="005E0B71">
      <w:r w:rsidRPr="00BA03BE">
        <w:t xml:space="preserve">The MacLeod (2009) review suggests that line managers should </w:t>
      </w:r>
      <w:r w:rsidR="00BC4B15" w:rsidRPr="00BA03BE">
        <w:t xml:space="preserve">be </w:t>
      </w:r>
      <w:r w:rsidRPr="00BA03BE">
        <w:t>at the centre of employee voice and be “the key enabler of engagement”. Line managers are main instigator</w:t>
      </w:r>
      <w:r w:rsidR="00BC4B15" w:rsidRPr="00BA03BE">
        <w:t>s</w:t>
      </w:r>
      <w:r w:rsidRPr="00BA03BE">
        <w:t xml:space="preserve"> for engagement and must focus on people management</w:t>
      </w:r>
      <w:r w:rsidR="00BC4B15" w:rsidRPr="00BA03BE">
        <w:t>.</w:t>
      </w:r>
    </w:p>
    <w:p w14:paraId="74D2D46E" w14:textId="09187ED3" w:rsidR="00420A3B" w:rsidRPr="00BA03BE" w:rsidRDefault="00420A3B">
      <w:r w:rsidRPr="00BA03BE">
        <w:t xml:space="preserve">Annually, the NHS produce a Staff Survey and record and monitor the findings. The NHS Employers Staff Engagement Toolkit (2013) described engaged employees as people who think and act positively about their work, colleagues and organisation. </w:t>
      </w:r>
    </w:p>
    <w:p w14:paraId="0BC60939" w14:textId="1478020E" w:rsidR="00420A3B" w:rsidRPr="00BA03BE" w:rsidRDefault="00420A3B">
      <w:r w:rsidRPr="00BA03BE">
        <w:t>Following the NHS’s recent survey, their statistics proved than an increase in motivation lead to a decrease in absence rates which also cut down on expenses (Dawson and West, 2018). This report suggests that the NHS leaders should invest time into ensuring positive cultures which will better staff wellbeing and engagement levels.</w:t>
      </w:r>
    </w:p>
    <w:p w14:paraId="2CF9FFB3" w14:textId="2711660E" w:rsidR="00420A3B" w:rsidRPr="00BA03BE" w:rsidRDefault="00420A3B">
      <w:r w:rsidRPr="00BA03BE">
        <w:t>With the literature researched above, it’s clear to see that investing time and research into increasing and maintaining strong levels of employee engagement at CC will affect the levels of sickness absence and will therefore reduce.</w:t>
      </w:r>
    </w:p>
    <w:p w14:paraId="36655B2C" w14:textId="5B990898" w:rsidR="00F65D2E" w:rsidRPr="00BA03BE" w:rsidRDefault="001C7265">
      <w:r w:rsidRPr="00BA03BE">
        <w:t>There are various</w:t>
      </w:r>
      <w:r w:rsidR="00BD05FB" w:rsidRPr="00BA03BE">
        <w:t xml:space="preserve"> culture</w:t>
      </w:r>
      <w:r w:rsidRPr="00BA03BE">
        <w:t xml:space="preserve"> barriers that can affect employee engagement. According to Rothwell (2014) there are 5; No Clarity, Cynicism, Bureaucracy, Lack of Work-Life Balance and Poor Management Decisions. </w:t>
      </w:r>
    </w:p>
    <w:p w14:paraId="33CFAD26" w14:textId="6A004172" w:rsidR="001014A0" w:rsidRPr="00BA03BE" w:rsidRDefault="00BC4B15">
      <w:r w:rsidRPr="00BA03BE">
        <w:t>Employees need clarification on engagement;</w:t>
      </w:r>
      <w:r w:rsidR="001014A0" w:rsidRPr="00BA03BE">
        <w:t xml:space="preserve"> most identify engagement as job satisfaction although it is far more than that. Engaged employees are motivated, loyal and proud of their work and organisation. </w:t>
      </w:r>
    </w:p>
    <w:p w14:paraId="61C5371E" w14:textId="2CBDE050" w:rsidR="001014A0" w:rsidRPr="00BA03BE" w:rsidRDefault="001014A0">
      <w:r w:rsidRPr="00BA03BE">
        <w:t>A cynical view is a negative barrier as those who adopt this view will see engagement as management trying to overwork employees</w:t>
      </w:r>
      <w:r w:rsidR="00BC4B15" w:rsidRPr="00BA03BE">
        <w:t>.</w:t>
      </w:r>
    </w:p>
    <w:p w14:paraId="17AB86E7" w14:textId="32AAE94F" w:rsidR="001014A0" w:rsidRPr="00BA03BE" w:rsidRDefault="001014A0">
      <w:r w:rsidRPr="00BA03BE">
        <w:lastRenderedPageBreak/>
        <w:t xml:space="preserve">Bureaucratic organisations always abide by rules and procedures, irrelevant as to how appropriate they may be. In organisations with this approach, employees loose hope and ambition as their ideas aren’t listened to. </w:t>
      </w:r>
    </w:p>
    <w:p w14:paraId="7598A9BF" w14:textId="5E9A902D" w:rsidR="001014A0" w:rsidRPr="00BA03BE" w:rsidRDefault="001014A0">
      <w:r w:rsidRPr="00BA03BE">
        <w:t xml:space="preserve">Lack of work-life balance means putting work before your personal life. For example, when organisations are going through difficult times financially, similarly to CC’s recent redundancies, employers over work themselves so prevent losing their job. Although in these situations, employees are seen to be working harder, </w:t>
      </w:r>
      <w:r w:rsidR="00BC4B15" w:rsidRPr="00BA03BE">
        <w:t>but not necessarily</w:t>
      </w:r>
      <w:r w:rsidRPr="00BA03BE">
        <w:t xml:space="preserve"> more productive or engaged.</w:t>
      </w:r>
    </w:p>
    <w:p w14:paraId="4361C403" w14:textId="5B7D9C4E" w:rsidR="001014A0" w:rsidRPr="00BA03BE" w:rsidRDefault="001014A0">
      <w:r w:rsidRPr="00BA03BE">
        <w:t xml:space="preserve">Finally, Rothwell’s (2014) fifth barrier is </w:t>
      </w:r>
      <w:r w:rsidR="00AD097A" w:rsidRPr="00BA03BE">
        <w:t>poor management decisions. Managers who make bad decisions and change opinions quickly lead to employees feeling disengaged as they believe their ideas aren’t supported.</w:t>
      </w:r>
    </w:p>
    <w:p w14:paraId="1BEF846A" w14:textId="30A212BD" w:rsidR="00B4290B" w:rsidRPr="00BA03BE" w:rsidRDefault="00BD05FB">
      <w:r w:rsidRPr="00BA03BE">
        <w:t xml:space="preserve">The cultural barriers at CC are recruiting for vacant posts too quickly which can result in </w:t>
      </w:r>
      <w:proofErr w:type="spellStart"/>
      <w:r w:rsidRPr="00BA03BE">
        <w:t>increase</w:t>
      </w:r>
      <w:proofErr w:type="spellEnd"/>
      <w:r w:rsidRPr="00BA03BE">
        <w:t xml:space="preserve"> staff turnover and disengagement. If a candidate is employed to fill a vacant spot instead of holding out for better talent this can lead to disengaged employees as </w:t>
      </w:r>
      <w:r w:rsidR="000E0E4D" w:rsidRPr="00BA03BE">
        <w:t>perhaps,</w:t>
      </w:r>
      <w:r w:rsidRPr="00BA03BE">
        <w:t xml:space="preserve"> they aren’t being managed, and listened to properly, performance reviews and appraisals aren’t conducted accurately and higher levels of absenteeism. The College has recently advertised an internal vacancy for Head of Section: Creativity and Care, where the candidate will be assistant to the Faculty Manager for the section of creativity and care. At the end of the interview process, it was clear that the decision on who to appoint was difficult;</w:t>
      </w:r>
      <w:r w:rsidR="006919CC" w:rsidRPr="00BA03BE">
        <w:t xml:space="preserve"> </w:t>
      </w:r>
      <w:r w:rsidRPr="00BA03BE">
        <w:t>it was decided that the successful candidate will be on a 1 year Fixed-</w:t>
      </w:r>
      <w:r w:rsidRPr="008037D2">
        <w:t xml:space="preserve">Term contract in the first instance, to monitor </w:t>
      </w:r>
      <w:r w:rsidR="000E0E4D" w:rsidRPr="008037D2">
        <w:t>their management skills and suitability for the role (Evidence 2.5 shows the job description for the role and Evidence 2.6 and 2.7 shows the offer letter and contracts).</w:t>
      </w:r>
    </w:p>
    <w:p w14:paraId="2D70F0A3" w14:textId="56692686" w:rsidR="000E0E4D" w:rsidRPr="00BA03BE" w:rsidRDefault="000E0E4D">
      <w:r w:rsidRPr="00BA03BE">
        <w:t xml:space="preserve">Another cultural barrier is the organisations values and behaviours. These aren’t embedded into job descriptions and therefore makes </w:t>
      </w:r>
      <w:r w:rsidR="008037D2" w:rsidRPr="00BA03BE">
        <w:t>self-selection</w:t>
      </w:r>
      <w:r w:rsidRPr="00BA03BE">
        <w:t xml:space="preserve"> difficult. If the College’s vision, values and behaviours are made clear to prospective candidate this would ensure that those shortlisted would have </w:t>
      </w:r>
      <w:r w:rsidR="006919CC" w:rsidRPr="00BA03BE">
        <w:t>personal</w:t>
      </w:r>
      <w:r w:rsidRPr="00BA03BE">
        <w:t xml:space="preserve"> </w:t>
      </w:r>
      <w:r w:rsidRPr="008037D2">
        <w:t xml:space="preserve">values and behaviours </w:t>
      </w:r>
      <w:r w:rsidR="006919CC" w:rsidRPr="008037D2">
        <w:t>aligning</w:t>
      </w:r>
      <w:r w:rsidRPr="008037D2">
        <w:t xml:space="preserve"> to the C</w:t>
      </w:r>
      <w:r w:rsidR="006919CC" w:rsidRPr="008037D2">
        <w:t>C’s</w:t>
      </w:r>
      <w:r w:rsidRPr="008037D2">
        <w:t>’. However, as these aren’t included in the job descriptions this could result in attracting the wrong candidates</w:t>
      </w:r>
      <w:r w:rsidR="006919CC" w:rsidRPr="008037D2">
        <w:t>,</w:t>
      </w:r>
      <w:r w:rsidRPr="008037D2">
        <w:t xml:space="preserve"> and when appointed</w:t>
      </w:r>
      <w:r w:rsidR="006919CC" w:rsidRPr="008037D2">
        <w:t xml:space="preserve">, affecting </w:t>
      </w:r>
      <w:r w:rsidRPr="008037D2">
        <w:t>engagement levels. Evidence 2.</w:t>
      </w:r>
      <w:r w:rsidR="006F5C5D" w:rsidRPr="008037D2">
        <w:t>8 shows a recent vacant job description.</w:t>
      </w:r>
    </w:p>
    <w:p w14:paraId="5830BFC4" w14:textId="38A9D2B8" w:rsidR="006F5C5D" w:rsidRPr="00BA03BE" w:rsidRDefault="006F5C5D">
      <w:r w:rsidRPr="00BA03BE">
        <w:t xml:space="preserve">Finally, </w:t>
      </w:r>
      <w:r w:rsidR="006919CC" w:rsidRPr="00BA03BE">
        <w:t>as</w:t>
      </w:r>
      <w:r w:rsidRPr="00BA03BE">
        <w:t xml:space="preserve"> CC went through a voluntary redundancy (VR) process</w:t>
      </w:r>
      <w:r w:rsidR="006919CC" w:rsidRPr="00BA03BE">
        <w:t xml:space="preserve">, </w:t>
      </w:r>
      <w:r w:rsidRPr="00BA03BE">
        <w:t xml:space="preserve">those who were considering VR would apply and their application would be considered by the Executive Directors of the college. The College had a target amount that they needed to reach with the VR’s otherwise it would revert to compulsory </w:t>
      </w:r>
      <w:r w:rsidRPr="008037D2">
        <w:t>redundancies. As a result of the redundancies there was a big restructure to the organisational structure</w:t>
      </w:r>
      <w:r w:rsidR="008E6F6D" w:rsidRPr="008037D2">
        <w:t xml:space="preserve"> (Evidence 2.9)</w:t>
      </w:r>
      <w:r w:rsidRPr="008037D2">
        <w:t xml:space="preserve"> During</w:t>
      </w:r>
      <w:r w:rsidRPr="00BA03BE">
        <w:t xml:space="preserve"> this period staff morale was low which lead to a negative culture amongst the workforce</w:t>
      </w:r>
      <w:r w:rsidR="006919CC" w:rsidRPr="00BA03BE">
        <w:t xml:space="preserve"> and affecting engagement levels.</w:t>
      </w:r>
    </w:p>
    <w:p w14:paraId="6605BAE0" w14:textId="04DF2202" w:rsidR="006919CC" w:rsidRPr="00BA03BE" w:rsidRDefault="006919CC"/>
    <w:p w14:paraId="7F285926" w14:textId="49F1105F" w:rsidR="006919CC" w:rsidRPr="00BA03BE" w:rsidRDefault="006919CC"/>
    <w:p w14:paraId="400DF93C" w14:textId="731F3BC6" w:rsidR="006919CC" w:rsidRPr="00BA03BE" w:rsidRDefault="006919CC"/>
    <w:p w14:paraId="104517FD" w14:textId="45B5FE88" w:rsidR="006919CC" w:rsidRPr="00BA03BE" w:rsidRDefault="006919CC"/>
    <w:p w14:paraId="71F27507" w14:textId="77777777" w:rsidR="006919CC" w:rsidRPr="00BA03BE" w:rsidRDefault="006919CC"/>
    <w:p w14:paraId="226E872F" w14:textId="0544C9E4" w:rsidR="001014A0" w:rsidRPr="00BA03BE" w:rsidRDefault="001014A0"/>
    <w:p w14:paraId="3B01E750" w14:textId="5313C217" w:rsidR="001014A0" w:rsidRPr="00BA03BE" w:rsidRDefault="001014A0"/>
    <w:p w14:paraId="3809BC3B" w14:textId="6886EF09" w:rsidR="001014A0" w:rsidRPr="00BA03BE" w:rsidRDefault="001014A0"/>
    <w:p w14:paraId="6CBD5770" w14:textId="00313AC0" w:rsidR="001014A0" w:rsidRPr="00BA03BE" w:rsidRDefault="001014A0"/>
    <w:p w14:paraId="7BA781C8" w14:textId="77777777" w:rsidR="004742DA" w:rsidRPr="00BA03BE" w:rsidRDefault="004742DA"/>
    <w:p w14:paraId="74022EA8" w14:textId="12C4E69C" w:rsidR="001014A0" w:rsidRPr="00BA03BE" w:rsidRDefault="001014A0"/>
    <w:p w14:paraId="027D3330" w14:textId="77777777" w:rsidR="003A1E90" w:rsidRPr="006840AD" w:rsidRDefault="003A1E90">
      <w:pPr>
        <w:rPr>
          <w:b/>
          <w:bCs/>
        </w:rPr>
      </w:pPr>
      <w:r w:rsidRPr="006840AD">
        <w:rPr>
          <w:b/>
          <w:bCs/>
        </w:rPr>
        <w:t>LO3</w:t>
      </w:r>
    </w:p>
    <w:p w14:paraId="1E746005" w14:textId="3A49BB85" w:rsidR="00BE6737" w:rsidRPr="00BA03BE" w:rsidRDefault="007974AD">
      <w:r w:rsidRPr="00BA03BE">
        <w:t xml:space="preserve">Gallup’s journal on improving employee engagement (2019) suggests 5 ways of improving engagement; </w:t>
      </w:r>
      <w:r w:rsidR="00930BE3" w:rsidRPr="00BA03BE">
        <w:t>firstly,</w:t>
      </w:r>
      <w:r w:rsidRPr="00BA03BE">
        <w:t xml:space="preserve"> using the correct surveys and ensuring relevant data is collected and then used to improve, develop or change something. Secondly, managers and their employees should want to </w:t>
      </w:r>
      <w:r w:rsidR="00C058B4" w:rsidRPr="00BA03BE">
        <w:t xml:space="preserve">impact their environment; managers can do this by involving employees in identifying and overcoming engagement barriers. Gallup (2019) also reinforces the importance of managers. Successful managers are pro development and success of their employees; they acknowledge and value the contributions of their employees. Appointing effective managers greatly contributes to the level of engagement. </w:t>
      </w:r>
    </w:p>
    <w:p w14:paraId="66C44272" w14:textId="62D4F20B" w:rsidR="00BE6737" w:rsidRPr="00BA03BE" w:rsidRDefault="00C058B4">
      <w:r w:rsidRPr="00BA03BE">
        <w:t>Research conducted by Gallup has shown the responsibility of engagement levels lies with managers. Best practice would be to ensure HR provides managers with support in adopting an active approach to increase engagement amongst employees. Finally, the fifth recommendation by Gallup (2019) is embedding engagement into everyday use; discussing engagement in regular meetings and ensuring engagement is implemented into the organisation’s values; best practice would be to include engagement into the College’s mission, values and/or behaviour and ensuring the organisation doesn’t just ‘walk the talk’.</w:t>
      </w:r>
    </w:p>
    <w:p w14:paraId="27CE2A34" w14:textId="39ABB129" w:rsidR="00BE6737" w:rsidRPr="00BA03BE" w:rsidRDefault="00BE6737">
      <w:r w:rsidRPr="00BA03BE">
        <w:t>MacLeod and Clarke</w:t>
      </w:r>
      <w:r w:rsidR="00930BE3">
        <w:t xml:space="preserve"> </w:t>
      </w:r>
      <w:r w:rsidRPr="00BA03BE">
        <w:t>(2009) identified 4 potential barrier</w:t>
      </w:r>
      <w:r w:rsidR="00E055B2" w:rsidRPr="00BA03BE">
        <w:t xml:space="preserve">s affecting employee engagement; Lack of awareness, uncertainty, management and organisational culture and underestimating engagement. The MacLeod report discovered that many managers were unaware of what employee engagement really meant and were therefore the organisational benefits remained unknown. It was also clear that many organisations didn’t know how to address or initiate employee engagement and therefore avoided the topic. </w:t>
      </w:r>
    </w:p>
    <w:p w14:paraId="42DEC097" w14:textId="100C7D5E" w:rsidR="00E055B2" w:rsidRPr="00BA03BE" w:rsidRDefault="00E055B2">
      <w:r w:rsidRPr="00BA03BE">
        <w:t>Management culture seems to be a barrier to engagement as the approach to managers is often negative, untrusting and disrespectful.</w:t>
      </w:r>
      <w:r w:rsidR="000C7B8B" w:rsidRPr="00BA03BE">
        <w:t xml:space="preserve"> Many of those involved in the MacLeod (2009) report claimed management behaviour as disengaging; with their attitudes towards engagement being negative and seen as a tick box exercise. Employee engagement is an ongoing process and therefore shouldn’t be underestimated and pushed aside once an annual survey had been sent out to employees.</w:t>
      </w:r>
    </w:p>
    <w:p w14:paraId="5C481C26" w14:textId="6BBDFF28" w:rsidR="000C7B8B" w:rsidRPr="00BA03BE" w:rsidRDefault="000C7B8B" w:rsidP="00777A84">
      <w:r w:rsidRPr="00BA03BE">
        <w:t>At Coleg Ceredigion (CC) there is an element of mis</w:t>
      </w:r>
      <w:r w:rsidR="003800FE" w:rsidRPr="00BA03BE">
        <w:t>trust regarding communication. The College adopts the top down approach and as there are 7 campuses, news and information cannot be disclosed to all 7 campuses at the same time, which o</w:t>
      </w:r>
      <w:r w:rsidRPr="00BA03BE">
        <w:t xml:space="preserve">ften </w:t>
      </w:r>
      <w:r w:rsidR="003800FE" w:rsidRPr="00BA03BE">
        <w:t>leads to information coming out before it should or without real explanation or rumours begin which can cause upset and distress amongst employees. A recent example of this would be when the Principal did a ‘roadshow’ around all 7 campuses to explain and discuss the upcoming redundancies.</w:t>
      </w:r>
      <w:r w:rsidR="00777A84" w:rsidRPr="00BA03BE">
        <w:t xml:space="preserve"> </w:t>
      </w:r>
      <w:r w:rsidR="003800FE" w:rsidRPr="00BA03BE">
        <w:t xml:space="preserve">As the campuses cover Llanelli up to Aberystwyth, by the time the final campus </w:t>
      </w:r>
      <w:r w:rsidR="00930BE3" w:rsidRPr="00BA03BE">
        <w:t>was</w:t>
      </w:r>
      <w:r w:rsidR="003800FE" w:rsidRPr="00BA03BE">
        <w:t xml:space="preserve"> told the news, the information had already leaked and as it’s an anxious time for staff there were many jumping to conclusions.</w:t>
      </w:r>
      <w:r w:rsidR="00777A84" w:rsidRPr="00BA03BE">
        <w:t xml:space="preserve"> It was important that I supported the Executive </w:t>
      </w:r>
      <w:r w:rsidR="00777A84" w:rsidRPr="00930BE3">
        <w:t>Director of HR with the process of explaining the VR procedure during drop in sessions with staff. (see evidence 3.</w:t>
      </w:r>
      <w:r w:rsidR="00DF7451" w:rsidRPr="00930BE3">
        <w:t>1</w:t>
      </w:r>
      <w:r w:rsidR="00777A84" w:rsidRPr="00930BE3">
        <w:t>)</w:t>
      </w:r>
    </w:p>
    <w:p w14:paraId="68CECB08" w14:textId="63B73EBD" w:rsidR="00E055B2" w:rsidRPr="00BA03BE" w:rsidRDefault="00777A84">
      <w:r w:rsidRPr="00BA03BE">
        <w:t xml:space="preserve">The miscommunication has been identified by staff following Tuesday staff briefings. As the College adopts the top-down management style it’s important that information is circulated correctly and </w:t>
      </w:r>
      <w:r w:rsidRPr="00BA03BE">
        <w:lastRenderedPageBreak/>
        <w:t>accurately. Following the restructure CC now only has one Faculty Manager with two assistants; one on Aberystwyth campus and one on Cardigans. Therefore, staff picked up on the importance of sharing the Faculty Manager’s presence between the two weekly meetings to ensure information is passed on correctly and that he’s there to answer questions and show approachability to the employees. Evidence 3.</w:t>
      </w:r>
      <w:r w:rsidR="00930BE3">
        <w:t>2</w:t>
      </w:r>
      <w:r w:rsidRPr="00BA03BE">
        <w:t xml:space="preserve"> Shows the Faculty Manager acknowledging the importance of alternating his presence at the staff briefings </w:t>
      </w:r>
    </w:p>
    <w:p w14:paraId="2F6ECF70" w14:textId="5E01FF19" w:rsidR="007A6E16" w:rsidRPr="00BA03BE" w:rsidRDefault="007A6E16">
      <w:r w:rsidRPr="00BA03BE">
        <w:t xml:space="preserve">Implementing engagement strategies as it’s seen to be ‘the right thing to’ is in fact the wrong things. Introducing such strategies should only be done when the organisation can identify a strong case to do so. Otherwise, the organisation is at risk of </w:t>
      </w:r>
      <w:r w:rsidR="00286E78" w:rsidRPr="00BA03BE">
        <w:t>creating further disengagement as those unwilling to adopt change won’t buy in to strategy and will block engagement if they believe its unjustified (Johns and Ellis, 2016).</w:t>
      </w:r>
    </w:p>
    <w:p w14:paraId="54BE0B2C" w14:textId="77777777" w:rsidR="003D209E" w:rsidRPr="00BA03BE" w:rsidRDefault="00286E78">
      <w:r w:rsidRPr="00BA03BE">
        <w:t>Guest (2015) suggests engagement strategies should include implementation of engagement by management to promote engagement values, designing a culture of engagement by treating employees with trust, fairness and respect; reinforcing engagement during recruitment processes and monitoring engagement levels though surveys and questionnaires, feedbacks and target planning.</w:t>
      </w:r>
    </w:p>
    <w:p w14:paraId="0DA45015" w14:textId="6F059ED8" w:rsidR="00286E78" w:rsidRPr="00BA03BE" w:rsidRDefault="003D209E">
      <w:r w:rsidRPr="00BA03BE">
        <w:t xml:space="preserve">CC and CSG’s values and behaviours are “Purpose, Passion and Professionalism” ‘(Coleg Ceredigion, 2019). These are </w:t>
      </w:r>
      <w:r w:rsidRPr="00930BE3">
        <w:t>displayed in a video and are accessible via the College website and staff and student intranet (evidence 3.</w:t>
      </w:r>
      <w:r w:rsidR="00930BE3" w:rsidRPr="00930BE3">
        <w:t>3</w:t>
      </w:r>
      <w:r w:rsidR="00DF7451" w:rsidRPr="00930BE3">
        <w:t>)</w:t>
      </w:r>
      <w:r w:rsidR="00286E78" w:rsidRPr="00BA03BE">
        <w:t xml:space="preserve"> </w:t>
      </w:r>
    </w:p>
    <w:p w14:paraId="346AA4E6" w14:textId="5D199277" w:rsidR="001014A0" w:rsidRPr="00BA03BE" w:rsidRDefault="00B349C1">
      <w:r w:rsidRPr="00BA03BE">
        <w:t xml:space="preserve">Following a discussion with my line </w:t>
      </w:r>
      <w:r w:rsidRPr="00930BE3">
        <w:t>manager (evidence 3.</w:t>
      </w:r>
      <w:r w:rsidR="00930BE3" w:rsidRPr="00930BE3">
        <w:t>4</w:t>
      </w:r>
      <w:r w:rsidRPr="00930BE3">
        <w:t>), it was</w:t>
      </w:r>
      <w:r w:rsidRPr="00BA03BE">
        <w:t xml:space="preserve"> agreed t</w:t>
      </w:r>
      <w:r w:rsidR="00D018A3" w:rsidRPr="00BA03BE">
        <w:t xml:space="preserve">hat the main barrier is </w:t>
      </w:r>
      <w:r w:rsidR="00930BE3" w:rsidRPr="00BA03BE">
        <w:t>mistrust</w:t>
      </w:r>
      <w:r w:rsidR="00D018A3" w:rsidRPr="00BA03BE">
        <w:t xml:space="preserve"> regarding communication which confirmed to us that would be out first barrier to tackle. We first agreed that Tuesday’s staff briefings could be divided into departments to ensure staff are informed of information, issues etc that involve and affect them. Secondly, we decided to </w:t>
      </w:r>
      <w:r w:rsidR="00930BE3" w:rsidRPr="00BA03BE">
        <w:t>investigate</w:t>
      </w:r>
      <w:r w:rsidR="00D018A3" w:rsidRPr="00BA03BE">
        <w:t xml:space="preserve"> creating and employee suggestion scheme; where staff </w:t>
      </w:r>
      <w:r w:rsidR="00D018A3" w:rsidRPr="00930BE3">
        <w:t>could anonymously submit suggestions to HR which will then be sent to the Executive meetings for consideration. Evidence 3.</w:t>
      </w:r>
      <w:r w:rsidR="00930BE3" w:rsidRPr="00930BE3">
        <w:t>5</w:t>
      </w:r>
      <w:r w:rsidR="00D018A3" w:rsidRPr="00930BE3">
        <w:t xml:space="preserve"> shows a discussion between </w:t>
      </w:r>
      <w:r w:rsidR="00930BE3" w:rsidRPr="00930BE3">
        <w:t>me</w:t>
      </w:r>
      <w:r w:rsidR="00D018A3" w:rsidRPr="00930BE3">
        <w:t xml:space="preserve"> and the campus manager regarding the setup of </w:t>
      </w:r>
      <w:r w:rsidR="004742DA" w:rsidRPr="00930BE3">
        <w:t xml:space="preserve">the </w:t>
      </w:r>
      <w:r w:rsidR="00D018A3" w:rsidRPr="00930BE3">
        <w:t>scheme.</w:t>
      </w:r>
      <w:r w:rsidR="00D018A3" w:rsidRPr="00BA03BE">
        <w:t xml:space="preserve"> </w:t>
      </w:r>
    </w:p>
    <w:p w14:paraId="3D442658" w14:textId="7A7FC021" w:rsidR="001014A0" w:rsidRPr="00BA03BE" w:rsidRDefault="001014A0"/>
    <w:p w14:paraId="11FA9ABE" w14:textId="560F1C1A" w:rsidR="001014A0" w:rsidRPr="00BA03BE" w:rsidRDefault="001014A0"/>
    <w:p w14:paraId="1CB5EA50" w14:textId="09EAC2E0" w:rsidR="001014A0" w:rsidRPr="00BA03BE" w:rsidRDefault="001014A0"/>
    <w:p w14:paraId="0E42CD9D" w14:textId="33D6C964" w:rsidR="001014A0" w:rsidRPr="00BA03BE" w:rsidRDefault="001014A0"/>
    <w:p w14:paraId="51F8D47F" w14:textId="51FCFDCD" w:rsidR="001014A0" w:rsidRPr="00BA03BE" w:rsidRDefault="001014A0"/>
    <w:p w14:paraId="71A1905D" w14:textId="5E2C3964" w:rsidR="001014A0" w:rsidRPr="00BA03BE" w:rsidRDefault="001014A0"/>
    <w:p w14:paraId="61A2AA09" w14:textId="38620D03" w:rsidR="001014A0" w:rsidRPr="00BA03BE" w:rsidRDefault="001014A0"/>
    <w:p w14:paraId="2499FB97" w14:textId="42559EFB" w:rsidR="001014A0" w:rsidRPr="00BA03BE" w:rsidRDefault="001014A0"/>
    <w:p w14:paraId="69C0D5D4" w14:textId="25D80D45" w:rsidR="001014A0" w:rsidRPr="00BA03BE" w:rsidRDefault="001014A0"/>
    <w:p w14:paraId="6C81CF14" w14:textId="4AF22940" w:rsidR="001014A0" w:rsidRDefault="001014A0"/>
    <w:p w14:paraId="4725672C" w14:textId="00F3E48C" w:rsidR="001014A0" w:rsidRDefault="001014A0"/>
    <w:p w14:paraId="27936F01" w14:textId="5E165048" w:rsidR="001014A0" w:rsidRDefault="001014A0"/>
    <w:p w14:paraId="1912B41C" w14:textId="7D945F26" w:rsidR="001014A0" w:rsidRDefault="001014A0"/>
    <w:p w14:paraId="45082DB3" w14:textId="746505E7" w:rsidR="001014A0" w:rsidRDefault="001014A0"/>
    <w:p w14:paraId="756341B0" w14:textId="77777777" w:rsidR="006840AD" w:rsidRPr="006840AD" w:rsidRDefault="006840AD">
      <w:pPr>
        <w:rPr>
          <w:b/>
          <w:bCs/>
        </w:rPr>
      </w:pPr>
      <w:r w:rsidRPr="006840AD">
        <w:rPr>
          <w:b/>
          <w:bCs/>
        </w:rPr>
        <w:t>Reflection</w:t>
      </w:r>
    </w:p>
    <w:p w14:paraId="62A06F58" w14:textId="55493AD8" w:rsidR="00AF6464" w:rsidRDefault="00AF6464">
      <w:r>
        <w:t xml:space="preserve">Gibbs (1988) reflective cycle is made of 6 steps; description, feelings, evaluation, analysis, conclusion and action plan. I will use this reflective cycle as a framework to my reflection. </w:t>
      </w:r>
    </w:p>
    <w:p w14:paraId="0AEC84C5" w14:textId="709743E4" w:rsidR="00AF6464" w:rsidRDefault="00AF6464">
      <w:r>
        <w:t xml:space="preserve">Whilst researching how to contribute to employee engagement, I have realised the importance of engagement; the more engaged employees are the higher the productivity, attendance, performance levels and organisational objectives are met. </w:t>
      </w:r>
    </w:p>
    <w:p w14:paraId="76147E6E" w14:textId="7C1F48A2" w:rsidR="00AF6464" w:rsidRDefault="00AF6464">
      <w:r>
        <w:t>I’m aware that the surveys were only sent out to a proportion of the employees at Coleg Ceredigion and therefore could be argued that the results aren’t an accurate representation of the entire workforce. Therefore, in future, when devising and sending out an employee engagement questionnaire I will allow more time to ensure all employees are able to contribute to the end results.</w:t>
      </w:r>
      <w:r w:rsidR="006840AD">
        <w:t xml:space="preserve"> </w:t>
      </w:r>
    </w:p>
    <w:p w14:paraId="57326F34" w14:textId="668D804A" w:rsidR="006840AD" w:rsidRDefault="006840AD">
      <w:r>
        <w:t xml:space="preserve">I would also commit more time in interviewing staff as well as the questionnaires, either one to one or through a focus group to open up a </w:t>
      </w:r>
      <w:proofErr w:type="gramStart"/>
      <w:r>
        <w:t>2 way</w:t>
      </w:r>
      <w:proofErr w:type="gramEnd"/>
      <w:r>
        <w:t xml:space="preserve"> honest dialogue where employees can voice their opinions and have their say. It is important that managers listened to their staff and implement suggestions; giving staff the feeling of involvement (CIPD, 2019). </w:t>
      </w:r>
    </w:p>
    <w:p w14:paraId="0E16CCE5" w14:textId="6DBA7DB3" w:rsidR="006840AD" w:rsidRDefault="006840AD"/>
    <w:p w14:paraId="26753C75" w14:textId="7A9D14DD" w:rsidR="006840AD" w:rsidRDefault="006840AD"/>
    <w:p w14:paraId="7736639C" w14:textId="7C98454A" w:rsidR="006840AD" w:rsidRDefault="006840AD"/>
    <w:p w14:paraId="78A71E31" w14:textId="3E3E36CF" w:rsidR="006840AD" w:rsidRDefault="006840AD"/>
    <w:bookmarkEnd w:id="0"/>
    <w:p w14:paraId="73C98A86" w14:textId="15D42307" w:rsidR="006840AD" w:rsidRDefault="006840AD"/>
    <w:p w14:paraId="06509033" w14:textId="5BB8A109" w:rsidR="006840AD" w:rsidRDefault="006840AD"/>
    <w:p w14:paraId="5506AC10" w14:textId="7C03BAD3" w:rsidR="006840AD" w:rsidRDefault="006840AD"/>
    <w:p w14:paraId="362328C3" w14:textId="7DDFA145" w:rsidR="006840AD" w:rsidRDefault="006840AD"/>
    <w:p w14:paraId="073ACB82" w14:textId="759DDC04" w:rsidR="006840AD" w:rsidRDefault="006840AD"/>
    <w:p w14:paraId="440E8295" w14:textId="7BB47527" w:rsidR="006840AD" w:rsidRDefault="006840AD"/>
    <w:p w14:paraId="54FF5001" w14:textId="61AD137F" w:rsidR="006840AD" w:rsidRDefault="006840AD"/>
    <w:p w14:paraId="47D1E6DF" w14:textId="5A92DCE4" w:rsidR="006840AD" w:rsidRDefault="006840AD"/>
    <w:p w14:paraId="4F30F589" w14:textId="24487964" w:rsidR="006840AD" w:rsidRDefault="006840AD"/>
    <w:p w14:paraId="0B65A508" w14:textId="5578E41E" w:rsidR="006840AD" w:rsidRDefault="006840AD"/>
    <w:p w14:paraId="19D4464A" w14:textId="7F99543A" w:rsidR="006840AD" w:rsidRDefault="006840AD"/>
    <w:p w14:paraId="384142FC" w14:textId="3AB39896" w:rsidR="006840AD" w:rsidRDefault="006840AD"/>
    <w:p w14:paraId="2779FE29" w14:textId="0E184363" w:rsidR="006840AD" w:rsidRDefault="006840AD"/>
    <w:p w14:paraId="53DDF44C" w14:textId="77777777" w:rsidR="006840AD" w:rsidRDefault="006840AD"/>
    <w:p w14:paraId="7E0E1EE6" w14:textId="00802AC6" w:rsidR="00E713F3" w:rsidRPr="006840AD" w:rsidRDefault="00E713F3">
      <w:pPr>
        <w:rPr>
          <w:b/>
          <w:bCs/>
          <w:lang w:val="en-US"/>
        </w:rPr>
      </w:pPr>
      <w:r w:rsidRPr="006840AD">
        <w:rPr>
          <w:b/>
          <w:bCs/>
          <w:lang w:val="en-US"/>
        </w:rPr>
        <w:t>Bibliography</w:t>
      </w:r>
    </w:p>
    <w:p w14:paraId="0237ADCB" w14:textId="77777777" w:rsidR="006840AD" w:rsidRDefault="006840AD">
      <w:r>
        <w:t xml:space="preserve">Barton, T. (2016) </w:t>
      </w:r>
      <w:r w:rsidRPr="00AC19DE">
        <w:rPr>
          <w:i/>
          <w:iCs/>
        </w:rPr>
        <w:t>What are the best approaches in measuring employee engagement?</w:t>
      </w:r>
      <w:r>
        <w:t xml:space="preserve"> In Employee Benefits. Available at: </w:t>
      </w:r>
      <w:hyperlink r:id="rId7" w:history="1">
        <w:r>
          <w:rPr>
            <w:rStyle w:val="Hyperlink"/>
          </w:rPr>
          <w:t>https://www.employeebenefits.co.uk/issues/june-2016-2/what-are-the-best-approaches-to-measuring-employee-engagement/</w:t>
        </w:r>
      </w:hyperlink>
      <w:r>
        <w:t xml:space="preserve"> [Accessed 20 August 2019]</w:t>
      </w:r>
    </w:p>
    <w:p w14:paraId="2D13087C" w14:textId="77777777" w:rsidR="006840AD" w:rsidRDefault="006840AD" w:rsidP="00890B0D">
      <w:r>
        <w:t xml:space="preserve">Boswell, M. (2013) Director of ACAS in </w:t>
      </w:r>
      <w:r w:rsidRPr="005E0B71">
        <w:rPr>
          <w:i/>
          <w:iCs/>
        </w:rPr>
        <w:t>ACAS: Linking Employee Wellbeing and Engagement</w:t>
      </w:r>
      <w:r>
        <w:t xml:space="preserve">. Available at: </w:t>
      </w:r>
      <w:hyperlink r:id="rId8" w:history="1">
        <w:r>
          <w:rPr>
            <w:rStyle w:val="Hyperlink"/>
          </w:rPr>
          <w:t>https://www.personneltoday.com/hr/acas-linking-employee-wellbeing-and-engagement/</w:t>
        </w:r>
      </w:hyperlink>
      <w:r>
        <w:t xml:space="preserve"> [Accessed: 30 August 2019]</w:t>
      </w:r>
    </w:p>
    <w:p w14:paraId="4E393851" w14:textId="77777777" w:rsidR="006840AD" w:rsidRDefault="006840AD">
      <w:r>
        <w:rPr>
          <w:lang w:val="en-US"/>
        </w:rPr>
        <w:t xml:space="preserve">CIPD (2018a) </w:t>
      </w:r>
      <w:r w:rsidRPr="00AC19DE">
        <w:rPr>
          <w:i/>
          <w:iCs/>
          <w:lang w:val="en-US"/>
        </w:rPr>
        <w:t>Employee Engagement and Motivation</w:t>
      </w:r>
      <w:r>
        <w:rPr>
          <w:lang w:val="en-US"/>
        </w:rPr>
        <w:t xml:space="preserve">. Available at: </w:t>
      </w:r>
      <w:hyperlink r:id="rId9" w:history="1">
        <w:r>
          <w:rPr>
            <w:rStyle w:val="Hyperlink"/>
          </w:rPr>
          <w:t>https://www.cipd.co.uk/knowledge/fundamentals/relations/engagement/factsheet</w:t>
        </w:r>
      </w:hyperlink>
      <w:r>
        <w:t xml:space="preserve"> [Accessed: 20 August 2019]</w:t>
      </w:r>
    </w:p>
    <w:p w14:paraId="04325FE9" w14:textId="77777777" w:rsidR="006840AD" w:rsidRDefault="006840AD" w:rsidP="006840AD">
      <w:r>
        <w:t xml:space="preserve">CIPD (2019) Employee Voice. Available at: </w:t>
      </w:r>
      <w:hyperlink r:id="rId10" w:history="1">
        <w:r>
          <w:rPr>
            <w:rStyle w:val="Hyperlink"/>
          </w:rPr>
          <w:t>https://www.cipd.co.uk/knowledge/fundamentals/relations/communication/voice-factsheet</w:t>
        </w:r>
      </w:hyperlink>
      <w:r>
        <w:t xml:space="preserve"> [Accessed: 17 September 2019]</w:t>
      </w:r>
    </w:p>
    <w:p w14:paraId="1B961103" w14:textId="77777777" w:rsidR="006840AD" w:rsidRDefault="006840AD" w:rsidP="00890B0D">
      <w:r>
        <w:t xml:space="preserve">Dawson, J. and West, M. (2018) Employee Engagement, Sickness Absence and Agency Spend in NHS trusts. Available at: </w:t>
      </w:r>
      <w:hyperlink r:id="rId11" w:history="1">
        <w:r>
          <w:rPr>
            <w:rStyle w:val="Hyperlink"/>
          </w:rPr>
          <w:t>https://www.england.nhs.uk/wp-content/uploads/2018/03/wres-engagement-absence-agency-spend.pdf</w:t>
        </w:r>
      </w:hyperlink>
      <w:r>
        <w:t xml:space="preserve"> [Accessed: 14 September 2019]</w:t>
      </w:r>
    </w:p>
    <w:p w14:paraId="67176FBD" w14:textId="77777777" w:rsidR="006840AD" w:rsidRDefault="006840AD" w:rsidP="00890B0D">
      <w:r>
        <w:t xml:space="preserve">Gallop (2019) </w:t>
      </w:r>
      <w:r w:rsidRPr="007974AD">
        <w:rPr>
          <w:i/>
        </w:rPr>
        <w:t xml:space="preserve">Five Ways </w:t>
      </w:r>
      <w:proofErr w:type="gramStart"/>
      <w:r w:rsidRPr="007974AD">
        <w:rPr>
          <w:i/>
        </w:rPr>
        <w:t>To</w:t>
      </w:r>
      <w:proofErr w:type="gramEnd"/>
      <w:r w:rsidRPr="007974AD">
        <w:rPr>
          <w:i/>
        </w:rPr>
        <w:t xml:space="preserve"> Improve Employee Engagement Now</w:t>
      </w:r>
      <w:r>
        <w:t xml:space="preserve">. Available at: </w:t>
      </w:r>
      <w:hyperlink r:id="rId12" w:history="1">
        <w:r w:rsidRPr="00B71244">
          <w:rPr>
            <w:rStyle w:val="Hyperlink"/>
          </w:rPr>
          <w:t>https://www.gallup.com/workplace/231581/five-ways-improve-employee-engagement.aspx</w:t>
        </w:r>
      </w:hyperlink>
      <w:r>
        <w:t xml:space="preserve"> [Accessed: 16 September 2019]</w:t>
      </w:r>
    </w:p>
    <w:p w14:paraId="092682BA" w14:textId="77777777" w:rsidR="006840AD" w:rsidRDefault="006840AD">
      <w:r w:rsidRPr="00563572">
        <w:rPr>
          <w:rStyle w:val="Hyperlink"/>
          <w:color w:val="auto"/>
          <w:u w:val="none"/>
        </w:rPr>
        <w:t xml:space="preserve">Gallup (2019a) The Future of Your Workplace Depends on Your Purpose. </w:t>
      </w:r>
      <w:r>
        <w:rPr>
          <w:rStyle w:val="Hyperlink"/>
          <w:color w:val="auto"/>
          <w:u w:val="none"/>
        </w:rPr>
        <w:t xml:space="preserve">Available at: </w:t>
      </w:r>
      <w:hyperlink r:id="rId13" w:history="1">
        <w:r>
          <w:rPr>
            <w:rStyle w:val="Hyperlink"/>
          </w:rPr>
          <w:t>https://www.gallup.com/workplace/257744/future-workplace-depends-purpose.aspx?utm_source=workplace-newsletter&amp;utm_medium=email&amp;utm_campaign=WorkplaceNewsletter_June_060419&amp;utm_content=doyoulivepurpose-CTA-1&amp;elqTrackId=1b7ed4fec3704fce88994df050807937&amp;elq=b0c44aca718942efbec85b5bacd391fb&amp;elqaid=1699&amp;elqat=1&amp;elqCampaignId=385</w:t>
        </w:r>
      </w:hyperlink>
      <w:r>
        <w:t xml:space="preserve"> [Accessed: 21 August 2019]</w:t>
      </w:r>
    </w:p>
    <w:p w14:paraId="2571BD9D" w14:textId="77777777" w:rsidR="006840AD" w:rsidRDefault="006840AD">
      <w:pPr>
        <w:rPr>
          <w:rStyle w:val="Hyperlink"/>
        </w:rPr>
      </w:pPr>
      <w:r>
        <w:t xml:space="preserve">Gallup Q12 (1996) Available at: </w:t>
      </w:r>
      <w:hyperlink r:id="rId14" w:history="1">
        <w:r w:rsidRPr="00601968">
          <w:rPr>
            <w:rStyle w:val="Hyperlink"/>
          </w:rPr>
          <w:t>https://q12.gallup.com/</w:t>
        </w:r>
      </w:hyperlink>
    </w:p>
    <w:p w14:paraId="1783F1AD" w14:textId="77777777" w:rsidR="006840AD" w:rsidRDefault="006840AD" w:rsidP="00890B0D">
      <w:r>
        <w:t xml:space="preserve">Gateway (2019) Available at: </w:t>
      </w:r>
      <w:hyperlink r:id="rId15" w:history="1">
        <w:r>
          <w:rPr>
            <w:rStyle w:val="Hyperlink"/>
          </w:rPr>
          <w:t>http://gateway.colegsirgar.ac.uk/index.php</w:t>
        </w:r>
      </w:hyperlink>
      <w:r>
        <w:t xml:space="preserve"> [Accessed: 28 August 2019]</w:t>
      </w:r>
    </w:p>
    <w:p w14:paraId="3BDB31D2" w14:textId="77777777" w:rsidR="006840AD" w:rsidRDefault="006840AD" w:rsidP="006840AD">
      <w:r>
        <w:t xml:space="preserve">Gibbs, G. (1988) </w:t>
      </w:r>
      <w:r w:rsidRPr="002C3FC3">
        <w:rPr>
          <w:i/>
        </w:rPr>
        <w:t>Learning by Doing: a guide to teaching and learning methods</w:t>
      </w:r>
      <w:r>
        <w:t>. London: Oxford Brooks University.</w:t>
      </w:r>
    </w:p>
    <w:p w14:paraId="63131310" w14:textId="77777777" w:rsidR="006840AD" w:rsidRDefault="006840AD" w:rsidP="00890B0D">
      <w:r>
        <w:t xml:space="preserve">Guest, D. (2015) </w:t>
      </w:r>
      <w:r w:rsidRPr="00286E78">
        <w:rPr>
          <w:i/>
        </w:rPr>
        <w:t>Presentation on “Employee Engagement: A Path to Organisation Success?” made at the Lead, Engage, Perform expert meeting on public sector leadership, PECD</w:t>
      </w:r>
      <w:r>
        <w:t xml:space="preserve">, 21-22 January 2015. </w:t>
      </w:r>
    </w:p>
    <w:p w14:paraId="6DCF3B7B" w14:textId="77777777" w:rsidR="006840AD" w:rsidRDefault="006840AD" w:rsidP="00890B0D">
      <w:r>
        <w:t xml:space="preserve">Johns, T. and Ellis, C. (2016) </w:t>
      </w:r>
      <w:r w:rsidRPr="00286E78">
        <w:rPr>
          <w:i/>
        </w:rPr>
        <w:t>Employee Engagement</w:t>
      </w:r>
      <w:r>
        <w:t xml:space="preserve"> in Taylor, S. and Woodhams, C. (2016) Human Resource Management: People and Organisations. 2</w:t>
      </w:r>
      <w:r w:rsidRPr="00286E78">
        <w:rPr>
          <w:vertAlign w:val="superscript"/>
        </w:rPr>
        <w:t>nd</w:t>
      </w:r>
      <w:r>
        <w:t xml:space="preserve"> ed. London: Chartered Institute of Personnel and Development.</w:t>
      </w:r>
    </w:p>
    <w:p w14:paraId="4229C263" w14:textId="77777777" w:rsidR="006840AD" w:rsidRDefault="006840AD" w:rsidP="00890B0D">
      <w:r>
        <w:t xml:space="preserve">MacLeod, D. (2009) </w:t>
      </w:r>
      <w:r w:rsidRPr="00E055B2">
        <w:rPr>
          <w:i/>
        </w:rPr>
        <w:t xml:space="preserve">Engaging for Success, Enhancing Performance </w:t>
      </w:r>
      <w:r>
        <w:rPr>
          <w:i/>
        </w:rPr>
        <w:t>T</w:t>
      </w:r>
      <w:r w:rsidRPr="00E055B2">
        <w:rPr>
          <w:i/>
        </w:rPr>
        <w:t>hrough Employee Engagement</w:t>
      </w:r>
      <w:r>
        <w:t xml:space="preserve"> Available at: </w:t>
      </w:r>
      <w:hyperlink r:id="rId16" w:history="1">
        <w:r>
          <w:rPr>
            <w:rStyle w:val="Hyperlink"/>
          </w:rPr>
          <w:t>https://engageforsuccess.org/wp-content/uploads/2015/08/file52215.pdf</w:t>
        </w:r>
      </w:hyperlink>
      <w:r>
        <w:t xml:space="preserve"> [Accessed: 14 September 2019]</w:t>
      </w:r>
    </w:p>
    <w:p w14:paraId="57132E99" w14:textId="77777777" w:rsidR="006840AD" w:rsidRDefault="006840AD" w:rsidP="00890B0D">
      <w:r>
        <w:lastRenderedPageBreak/>
        <w:t xml:space="preserve">MacLeod, D. and Clarke, N. (2009) </w:t>
      </w:r>
      <w:r w:rsidRPr="005E0B71">
        <w:rPr>
          <w:i/>
          <w:iCs/>
        </w:rPr>
        <w:t>Engaging for success: Enhancing performance through employee engagement</w:t>
      </w:r>
      <w:r>
        <w:t xml:space="preserve">. Available at: </w:t>
      </w:r>
      <w:hyperlink r:id="rId17" w:history="1">
        <w:r>
          <w:rPr>
            <w:rStyle w:val="Hyperlink"/>
          </w:rPr>
          <w:t>https://dera.ioe.ac.uk/1810/1/file52215.pdf</w:t>
        </w:r>
      </w:hyperlink>
      <w:r>
        <w:t xml:space="preserve"> [Accessed: 14 September 2019]</w:t>
      </w:r>
    </w:p>
    <w:p w14:paraId="15EF8D3C" w14:textId="77777777" w:rsidR="006840AD" w:rsidRPr="00195300" w:rsidRDefault="006840AD" w:rsidP="0076155C">
      <w:pPr>
        <w:rPr>
          <w:color w:val="FF0000"/>
        </w:rPr>
      </w:pPr>
      <w:r>
        <w:t xml:space="preserve">Neuman, W. (2011) </w:t>
      </w:r>
      <w:r w:rsidRPr="00EA4268">
        <w:rPr>
          <w:i/>
        </w:rPr>
        <w:t>Basics of social research: qualitative and quantitative approaches</w:t>
      </w:r>
      <w:r>
        <w:t>. International edition. Harlow: Pearson Education.</w:t>
      </w:r>
    </w:p>
    <w:p w14:paraId="2209EE9F" w14:textId="77777777" w:rsidR="006840AD" w:rsidRDefault="006840AD" w:rsidP="00890B0D">
      <w:r>
        <w:t xml:space="preserve">NHS Staff Engagement Toolkit (2013) Available at: </w:t>
      </w:r>
      <w:hyperlink r:id="rId18" w:history="1">
        <w:r>
          <w:rPr>
            <w:rStyle w:val="Hyperlink"/>
          </w:rPr>
          <w:t>https://www.nhsemployers.org/~/media/Employers/Documents/SiteCollectionDocuments/staff-engagement-toolkit.pdf</w:t>
        </w:r>
      </w:hyperlink>
      <w:r>
        <w:t xml:space="preserve"> [Accessed 14 September 2019]</w:t>
      </w:r>
    </w:p>
    <w:p w14:paraId="72140999" w14:textId="77777777" w:rsidR="006840AD" w:rsidRDefault="006840AD" w:rsidP="00890B0D">
      <w:proofErr w:type="spellStart"/>
      <w:r>
        <w:t>PEPi</w:t>
      </w:r>
      <w:proofErr w:type="spellEnd"/>
      <w:r>
        <w:t xml:space="preserve">, Coleg Ceredigion (2019) Available at: </w:t>
      </w:r>
      <w:hyperlink r:id="rId19" w:history="1">
        <w:r>
          <w:rPr>
            <w:rStyle w:val="Hyperlink"/>
          </w:rPr>
          <w:t>https://pepi.colegsirgar.ac.uk/pepi/pages/main</w:t>
        </w:r>
      </w:hyperlink>
      <w:r>
        <w:t xml:space="preserve"> [Accessed: 20 August]</w:t>
      </w:r>
    </w:p>
    <w:p w14:paraId="05C1297F" w14:textId="77777777" w:rsidR="006840AD" w:rsidRDefault="006840AD" w:rsidP="00890B0D">
      <w:r>
        <w:t xml:space="preserve">Personnel Today (2013) </w:t>
      </w:r>
      <w:r w:rsidRPr="00FA20CA">
        <w:rPr>
          <w:i/>
          <w:iCs/>
        </w:rPr>
        <w:t>ACAS: Linking Employee Wellbeing and Engagement</w:t>
      </w:r>
      <w:r>
        <w:t>. Available at :</w:t>
      </w:r>
      <w:r w:rsidRPr="00FA20CA">
        <w:t xml:space="preserve"> </w:t>
      </w:r>
      <w:hyperlink r:id="rId20" w:history="1">
        <w:r>
          <w:rPr>
            <w:rStyle w:val="Hyperlink"/>
          </w:rPr>
          <w:t>https://www.personneltoday.com/hr/acas-linking-employee-wellbeing-and-engagement/</w:t>
        </w:r>
      </w:hyperlink>
      <w:r>
        <w:t xml:space="preserve"> [Accessed: 30 August 2019]</w:t>
      </w:r>
    </w:p>
    <w:p w14:paraId="5E61AACD" w14:textId="77777777" w:rsidR="006840AD" w:rsidRDefault="006840AD" w:rsidP="00890B0D">
      <w:r>
        <w:t xml:space="preserve">Rothwell, W. (2014) 5 Barriers to Employee Engagement. Available at: </w:t>
      </w:r>
      <w:hyperlink r:id="rId21" w:history="1">
        <w:r>
          <w:rPr>
            <w:rStyle w:val="Hyperlink"/>
          </w:rPr>
          <w:t>https://www.bestpracticeinstitute.org/blog/5-barriers-to-employee-engagement/</w:t>
        </w:r>
      </w:hyperlink>
      <w:r>
        <w:t xml:space="preserve"> [Available 1 September 2019]</w:t>
      </w:r>
    </w:p>
    <w:p w14:paraId="63E2671E" w14:textId="77777777" w:rsidR="006840AD" w:rsidRDefault="006840AD" w:rsidP="00F00812">
      <w:r>
        <w:t xml:space="preserve">Saunders, M. Lewis, P. and Thornhill, A. (2009) </w:t>
      </w:r>
      <w:r w:rsidRPr="007C3B9E">
        <w:rPr>
          <w:i/>
        </w:rPr>
        <w:t>Research Methods for Business Students</w:t>
      </w:r>
      <w:r>
        <w:t>. (5</w:t>
      </w:r>
      <w:r w:rsidRPr="007C3B9E">
        <w:rPr>
          <w:vertAlign w:val="superscript"/>
        </w:rPr>
        <w:t>th</w:t>
      </w:r>
      <w:r>
        <w:t xml:space="preserve"> edition). Essex: Pearson.</w:t>
      </w:r>
    </w:p>
    <w:p w14:paraId="7F9AD245" w14:textId="77777777" w:rsidR="006840AD" w:rsidRDefault="006840AD" w:rsidP="00890B0D">
      <w:r>
        <w:t xml:space="preserve">Son, S. (2018) </w:t>
      </w:r>
      <w:r w:rsidRPr="0076155C">
        <w:rPr>
          <w:i/>
        </w:rPr>
        <w:t>20 Essential Employee Engagement Survey Questions</w:t>
      </w:r>
      <w:r>
        <w:t xml:space="preserve">. Available at: </w:t>
      </w:r>
      <w:hyperlink r:id="rId22" w:history="1">
        <w:r w:rsidRPr="00433560">
          <w:rPr>
            <w:rStyle w:val="Hyperlink"/>
          </w:rPr>
          <w:t>https://www.tinypulse.com/blog/sk-employee-engagement-survey-questions</w:t>
        </w:r>
      </w:hyperlink>
      <w:r>
        <w:t xml:space="preserve"> [Accessed: 20 August 2019]</w:t>
      </w:r>
    </w:p>
    <w:p w14:paraId="7181A23D" w14:textId="77777777" w:rsidR="006840AD" w:rsidRDefault="006840AD" w:rsidP="00890B0D">
      <w:r>
        <w:t xml:space="preserve">Study.com (2019) </w:t>
      </w:r>
      <w:r w:rsidRPr="0076155C">
        <w:rPr>
          <w:i/>
        </w:rPr>
        <w:t>Cross-Sectional Study: Definition, Advantages, Disadvantages and Example</w:t>
      </w:r>
      <w:r>
        <w:t xml:space="preserve">. Available at: </w:t>
      </w:r>
      <w:hyperlink r:id="rId23" w:history="1">
        <w:r>
          <w:rPr>
            <w:rStyle w:val="Hyperlink"/>
          </w:rPr>
          <w:t>https://study.com/academy/lesson/cross-sectional-study-definition-advantages-disadvantages-example.html</w:t>
        </w:r>
      </w:hyperlink>
    </w:p>
    <w:p w14:paraId="153A040F" w14:textId="77777777" w:rsidR="006840AD" w:rsidRDefault="006840AD" w:rsidP="00890B0D">
      <w:r>
        <w:t xml:space="preserve">Survey Monkey (2019) </w:t>
      </w:r>
      <w:r w:rsidRPr="00103FBB">
        <w:rPr>
          <w:i/>
        </w:rPr>
        <w:t>How to analyse survey data.</w:t>
      </w:r>
      <w:r>
        <w:t xml:space="preserve"> Available at: </w:t>
      </w:r>
      <w:hyperlink r:id="rId24" w:history="1">
        <w:r>
          <w:rPr>
            <w:rStyle w:val="Hyperlink"/>
          </w:rPr>
          <w:t>https://www.surveymonkey.com/mp/how-to-analyze-survey-data/</w:t>
        </w:r>
      </w:hyperlink>
      <w:r>
        <w:t xml:space="preserve"> [Accessed: 20 August 2019]</w:t>
      </w:r>
    </w:p>
    <w:p w14:paraId="53566689" w14:textId="77777777" w:rsidR="006840AD" w:rsidRPr="00FA20CA" w:rsidRDefault="006840AD" w:rsidP="00890B0D"/>
    <w:sectPr w:rsidR="006840AD" w:rsidRPr="00FA20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A0182"/>
    <w:multiLevelType w:val="hybridMultilevel"/>
    <w:tmpl w:val="0F72E644"/>
    <w:lvl w:ilvl="0" w:tplc="49E41FD0">
      <w:start w:val="1"/>
      <w:numFmt w:val="bullet"/>
      <w:lvlText w:val="•"/>
      <w:lvlJc w:val="left"/>
      <w:pPr>
        <w:tabs>
          <w:tab w:val="num" w:pos="720"/>
        </w:tabs>
        <w:ind w:left="720" w:hanging="360"/>
      </w:pPr>
      <w:rPr>
        <w:rFonts w:ascii="Arial" w:hAnsi="Arial" w:hint="default"/>
      </w:rPr>
    </w:lvl>
    <w:lvl w:ilvl="1" w:tplc="E2B261E2" w:tentative="1">
      <w:start w:val="1"/>
      <w:numFmt w:val="bullet"/>
      <w:lvlText w:val="•"/>
      <w:lvlJc w:val="left"/>
      <w:pPr>
        <w:tabs>
          <w:tab w:val="num" w:pos="1440"/>
        </w:tabs>
        <w:ind w:left="1440" w:hanging="360"/>
      </w:pPr>
      <w:rPr>
        <w:rFonts w:ascii="Arial" w:hAnsi="Arial" w:hint="default"/>
      </w:rPr>
    </w:lvl>
    <w:lvl w:ilvl="2" w:tplc="7C30B3E2" w:tentative="1">
      <w:start w:val="1"/>
      <w:numFmt w:val="bullet"/>
      <w:lvlText w:val="•"/>
      <w:lvlJc w:val="left"/>
      <w:pPr>
        <w:tabs>
          <w:tab w:val="num" w:pos="2160"/>
        </w:tabs>
        <w:ind w:left="2160" w:hanging="360"/>
      </w:pPr>
      <w:rPr>
        <w:rFonts w:ascii="Arial" w:hAnsi="Arial" w:hint="default"/>
      </w:rPr>
    </w:lvl>
    <w:lvl w:ilvl="3" w:tplc="6716122E" w:tentative="1">
      <w:start w:val="1"/>
      <w:numFmt w:val="bullet"/>
      <w:lvlText w:val="•"/>
      <w:lvlJc w:val="left"/>
      <w:pPr>
        <w:tabs>
          <w:tab w:val="num" w:pos="2880"/>
        </w:tabs>
        <w:ind w:left="2880" w:hanging="360"/>
      </w:pPr>
      <w:rPr>
        <w:rFonts w:ascii="Arial" w:hAnsi="Arial" w:hint="default"/>
      </w:rPr>
    </w:lvl>
    <w:lvl w:ilvl="4" w:tplc="B314B86C" w:tentative="1">
      <w:start w:val="1"/>
      <w:numFmt w:val="bullet"/>
      <w:lvlText w:val="•"/>
      <w:lvlJc w:val="left"/>
      <w:pPr>
        <w:tabs>
          <w:tab w:val="num" w:pos="3600"/>
        </w:tabs>
        <w:ind w:left="3600" w:hanging="360"/>
      </w:pPr>
      <w:rPr>
        <w:rFonts w:ascii="Arial" w:hAnsi="Arial" w:hint="default"/>
      </w:rPr>
    </w:lvl>
    <w:lvl w:ilvl="5" w:tplc="82BC03BC" w:tentative="1">
      <w:start w:val="1"/>
      <w:numFmt w:val="bullet"/>
      <w:lvlText w:val="•"/>
      <w:lvlJc w:val="left"/>
      <w:pPr>
        <w:tabs>
          <w:tab w:val="num" w:pos="4320"/>
        </w:tabs>
        <w:ind w:left="4320" w:hanging="360"/>
      </w:pPr>
      <w:rPr>
        <w:rFonts w:ascii="Arial" w:hAnsi="Arial" w:hint="default"/>
      </w:rPr>
    </w:lvl>
    <w:lvl w:ilvl="6" w:tplc="B49A2DDA" w:tentative="1">
      <w:start w:val="1"/>
      <w:numFmt w:val="bullet"/>
      <w:lvlText w:val="•"/>
      <w:lvlJc w:val="left"/>
      <w:pPr>
        <w:tabs>
          <w:tab w:val="num" w:pos="5040"/>
        </w:tabs>
        <w:ind w:left="5040" w:hanging="360"/>
      </w:pPr>
      <w:rPr>
        <w:rFonts w:ascii="Arial" w:hAnsi="Arial" w:hint="default"/>
      </w:rPr>
    </w:lvl>
    <w:lvl w:ilvl="7" w:tplc="589E422A" w:tentative="1">
      <w:start w:val="1"/>
      <w:numFmt w:val="bullet"/>
      <w:lvlText w:val="•"/>
      <w:lvlJc w:val="left"/>
      <w:pPr>
        <w:tabs>
          <w:tab w:val="num" w:pos="5760"/>
        </w:tabs>
        <w:ind w:left="5760" w:hanging="360"/>
      </w:pPr>
      <w:rPr>
        <w:rFonts w:ascii="Arial" w:hAnsi="Arial" w:hint="default"/>
      </w:rPr>
    </w:lvl>
    <w:lvl w:ilvl="8" w:tplc="957A10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F0B7143"/>
    <w:multiLevelType w:val="multilevel"/>
    <w:tmpl w:val="D0723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3F3"/>
    <w:rsid w:val="00014274"/>
    <w:rsid w:val="0002639D"/>
    <w:rsid w:val="000755F5"/>
    <w:rsid w:val="000C7B8B"/>
    <w:rsid w:val="000D3FD1"/>
    <w:rsid w:val="000E0E4D"/>
    <w:rsid w:val="000F777C"/>
    <w:rsid w:val="001014A0"/>
    <w:rsid w:val="00103FBB"/>
    <w:rsid w:val="0014604A"/>
    <w:rsid w:val="0014716C"/>
    <w:rsid w:val="001C7265"/>
    <w:rsid w:val="00286E78"/>
    <w:rsid w:val="002E7830"/>
    <w:rsid w:val="002F7B39"/>
    <w:rsid w:val="003800FE"/>
    <w:rsid w:val="0039568A"/>
    <w:rsid w:val="003A1E90"/>
    <w:rsid w:val="003D209E"/>
    <w:rsid w:val="00403158"/>
    <w:rsid w:val="00420A3B"/>
    <w:rsid w:val="004742DA"/>
    <w:rsid w:val="005623FF"/>
    <w:rsid w:val="00563572"/>
    <w:rsid w:val="005E0B71"/>
    <w:rsid w:val="006554B2"/>
    <w:rsid w:val="006661B4"/>
    <w:rsid w:val="006840AD"/>
    <w:rsid w:val="006908AF"/>
    <w:rsid w:val="006919CC"/>
    <w:rsid w:val="006D5C0A"/>
    <w:rsid w:val="006F5C5D"/>
    <w:rsid w:val="00756A09"/>
    <w:rsid w:val="0076155C"/>
    <w:rsid w:val="00777A84"/>
    <w:rsid w:val="007974AD"/>
    <w:rsid w:val="007A6E16"/>
    <w:rsid w:val="008037D2"/>
    <w:rsid w:val="00843950"/>
    <w:rsid w:val="008638A8"/>
    <w:rsid w:val="00890B0D"/>
    <w:rsid w:val="008D1A99"/>
    <w:rsid w:val="008E6F6D"/>
    <w:rsid w:val="008F7E35"/>
    <w:rsid w:val="00930BE3"/>
    <w:rsid w:val="00AA5F77"/>
    <w:rsid w:val="00AC19DE"/>
    <w:rsid w:val="00AD097A"/>
    <w:rsid w:val="00AF6464"/>
    <w:rsid w:val="00B349C1"/>
    <w:rsid w:val="00B4290B"/>
    <w:rsid w:val="00B442FD"/>
    <w:rsid w:val="00BA03BE"/>
    <w:rsid w:val="00BC4B15"/>
    <w:rsid w:val="00BD05FB"/>
    <w:rsid w:val="00BD6D27"/>
    <w:rsid w:val="00BE6737"/>
    <w:rsid w:val="00C058B4"/>
    <w:rsid w:val="00C177AE"/>
    <w:rsid w:val="00CC14EE"/>
    <w:rsid w:val="00CD21F6"/>
    <w:rsid w:val="00D018A3"/>
    <w:rsid w:val="00D13326"/>
    <w:rsid w:val="00D13714"/>
    <w:rsid w:val="00D564DE"/>
    <w:rsid w:val="00D74B12"/>
    <w:rsid w:val="00D777DA"/>
    <w:rsid w:val="00D93919"/>
    <w:rsid w:val="00DF7451"/>
    <w:rsid w:val="00E032FC"/>
    <w:rsid w:val="00E055B2"/>
    <w:rsid w:val="00E1372D"/>
    <w:rsid w:val="00E713F3"/>
    <w:rsid w:val="00E9321C"/>
    <w:rsid w:val="00EE0130"/>
    <w:rsid w:val="00F00812"/>
    <w:rsid w:val="00F65D2E"/>
    <w:rsid w:val="00F73F2B"/>
    <w:rsid w:val="00F829DC"/>
    <w:rsid w:val="00FA20CA"/>
    <w:rsid w:val="00FD0518"/>
    <w:rsid w:val="00FD1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7CBC9"/>
  <w15:chartTrackingRefBased/>
  <w15:docId w15:val="{EB6C17B1-C9CF-44C3-9225-E07EA5FF9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76155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C72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13F3"/>
    <w:rPr>
      <w:color w:val="0000FF"/>
      <w:u w:val="single"/>
    </w:rPr>
  </w:style>
  <w:style w:type="paragraph" w:styleId="NormalWeb">
    <w:name w:val="Normal (Web)"/>
    <w:basedOn w:val="Normal"/>
    <w:uiPriority w:val="99"/>
    <w:semiHidden/>
    <w:unhideWhenUsed/>
    <w:rsid w:val="00E713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F829DC"/>
    <w:rPr>
      <w:color w:val="605E5C"/>
      <w:shd w:val="clear" w:color="auto" w:fill="E1DFDD"/>
    </w:rPr>
  </w:style>
  <w:style w:type="character" w:customStyle="1" w:styleId="Heading1Char">
    <w:name w:val="Heading 1 Char"/>
    <w:basedOn w:val="DefaultParagraphFont"/>
    <w:link w:val="Heading1"/>
    <w:uiPriority w:val="9"/>
    <w:rsid w:val="0076155C"/>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5E0B71"/>
    <w:rPr>
      <w:b/>
      <w:bCs/>
    </w:rPr>
  </w:style>
  <w:style w:type="character" w:customStyle="1" w:styleId="Heading2Char">
    <w:name w:val="Heading 2 Char"/>
    <w:basedOn w:val="DefaultParagraphFont"/>
    <w:link w:val="Heading2"/>
    <w:uiPriority w:val="9"/>
    <w:semiHidden/>
    <w:rsid w:val="001C726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82420">
      <w:bodyDiv w:val="1"/>
      <w:marLeft w:val="0"/>
      <w:marRight w:val="0"/>
      <w:marTop w:val="0"/>
      <w:marBottom w:val="0"/>
      <w:divBdr>
        <w:top w:val="none" w:sz="0" w:space="0" w:color="auto"/>
        <w:left w:val="none" w:sz="0" w:space="0" w:color="auto"/>
        <w:bottom w:val="none" w:sz="0" w:space="0" w:color="auto"/>
        <w:right w:val="none" w:sz="0" w:space="0" w:color="auto"/>
      </w:divBdr>
    </w:div>
    <w:div w:id="462160357">
      <w:bodyDiv w:val="1"/>
      <w:marLeft w:val="0"/>
      <w:marRight w:val="0"/>
      <w:marTop w:val="0"/>
      <w:marBottom w:val="0"/>
      <w:divBdr>
        <w:top w:val="none" w:sz="0" w:space="0" w:color="auto"/>
        <w:left w:val="none" w:sz="0" w:space="0" w:color="auto"/>
        <w:bottom w:val="none" w:sz="0" w:space="0" w:color="auto"/>
        <w:right w:val="none" w:sz="0" w:space="0" w:color="auto"/>
      </w:divBdr>
    </w:div>
    <w:div w:id="621035035">
      <w:bodyDiv w:val="1"/>
      <w:marLeft w:val="0"/>
      <w:marRight w:val="0"/>
      <w:marTop w:val="0"/>
      <w:marBottom w:val="0"/>
      <w:divBdr>
        <w:top w:val="none" w:sz="0" w:space="0" w:color="auto"/>
        <w:left w:val="none" w:sz="0" w:space="0" w:color="auto"/>
        <w:bottom w:val="none" w:sz="0" w:space="0" w:color="auto"/>
        <w:right w:val="none" w:sz="0" w:space="0" w:color="auto"/>
      </w:divBdr>
    </w:div>
    <w:div w:id="645473400">
      <w:bodyDiv w:val="1"/>
      <w:marLeft w:val="0"/>
      <w:marRight w:val="0"/>
      <w:marTop w:val="0"/>
      <w:marBottom w:val="0"/>
      <w:divBdr>
        <w:top w:val="none" w:sz="0" w:space="0" w:color="auto"/>
        <w:left w:val="none" w:sz="0" w:space="0" w:color="auto"/>
        <w:bottom w:val="none" w:sz="0" w:space="0" w:color="auto"/>
        <w:right w:val="none" w:sz="0" w:space="0" w:color="auto"/>
      </w:divBdr>
    </w:div>
    <w:div w:id="675502719">
      <w:bodyDiv w:val="1"/>
      <w:marLeft w:val="0"/>
      <w:marRight w:val="0"/>
      <w:marTop w:val="0"/>
      <w:marBottom w:val="0"/>
      <w:divBdr>
        <w:top w:val="none" w:sz="0" w:space="0" w:color="auto"/>
        <w:left w:val="none" w:sz="0" w:space="0" w:color="auto"/>
        <w:bottom w:val="none" w:sz="0" w:space="0" w:color="auto"/>
        <w:right w:val="none" w:sz="0" w:space="0" w:color="auto"/>
      </w:divBdr>
    </w:div>
    <w:div w:id="683828310">
      <w:bodyDiv w:val="1"/>
      <w:marLeft w:val="0"/>
      <w:marRight w:val="0"/>
      <w:marTop w:val="0"/>
      <w:marBottom w:val="0"/>
      <w:divBdr>
        <w:top w:val="none" w:sz="0" w:space="0" w:color="auto"/>
        <w:left w:val="none" w:sz="0" w:space="0" w:color="auto"/>
        <w:bottom w:val="none" w:sz="0" w:space="0" w:color="auto"/>
        <w:right w:val="none" w:sz="0" w:space="0" w:color="auto"/>
      </w:divBdr>
    </w:div>
    <w:div w:id="754519604">
      <w:bodyDiv w:val="1"/>
      <w:marLeft w:val="0"/>
      <w:marRight w:val="0"/>
      <w:marTop w:val="0"/>
      <w:marBottom w:val="0"/>
      <w:divBdr>
        <w:top w:val="none" w:sz="0" w:space="0" w:color="auto"/>
        <w:left w:val="none" w:sz="0" w:space="0" w:color="auto"/>
        <w:bottom w:val="none" w:sz="0" w:space="0" w:color="auto"/>
        <w:right w:val="none" w:sz="0" w:space="0" w:color="auto"/>
      </w:divBdr>
      <w:divsChild>
        <w:div w:id="1361515496">
          <w:marLeft w:val="547"/>
          <w:marRight w:val="0"/>
          <w:marTop w:val="144"/>
          <w:marBottom w:val="0"/>
          <w:divBdr>
            <w:top w:val="none" w:sz="0" w:space="0" w:color="auto"/>
            <w:left w:val="none" w:sz="0" w:space="0" w:color="auto"/>
            <w:bottom w:val="none" w:sz="0" w:space="0" w:color="auto"/>
            <w:right w:val="none" w:sz="0" w:space="0" w:color="auto"/>
          </w:divBdr>
        </w:div>
      </w:divsChild>
    </w:div>
    <w:div w:id="763768796">
      <w:bodyDiv w:val="1"/>
      <w:marLeft w:val="0"/>
      <w:marRight w:val="0"/>
      <w:marTop w:val="0"/>
      <w:marBottom w:val="0"/>
      <w:divBdr>
        <w:top w:val="none" w:sz="0" w:space="0" w:color="auto"/>
        <w:left w:val="none" w:sz="0" w:space="0" w:color="auto"/>
        <w:bottom w:val="none" w:sz="0" w:space="0" w:color="auto"/>
        <w:right w:val="none" w:sz="0" w:space="0" w:color="auto"/>
      </w:divBdr>
    </w:div>
    <w:div w:id="836261802">
      <w:bodyDiv w:val="1"/>
      <w:marLeft w:val="0"/>
      <w:marRight w:val="0"/>
      <w:marTop w:val="0"/>
      <w:marBottom w:val="0"/>
      <w:divBdr>
        <w:top w:val="none" w:sz="0" w:space="0" w:color="auto"/>
        <w:left w:val="none" w:sz="0" w:space="0" w:color="auto"/>
        <w:bottom w:val="none" w:sz="0" w:space="0" w:color="auto"/>
        <w:right w:val="none" w:sz="0" w:space="0" w:color="auto"/>
      </w:divBdr>
    </w:div>
    <w:div w:id="1067267664">
      <w:bodyDiv w:val="1"/>
      <w:marLeft w:val="0"/>
      <w:marRight w:val="0"/>
      <w:marTop w:val="0"/>
      <w:marBottom w:val="0"/>
      <w:divBdr>
        <w:top w:val="none" w:sz="0" w:space="0" w:color="auto"/>
        <w:left w:val="none" w:sz="0" w:space="0" w:color="auto"/>
        <w:bottom w:val="none" w:sz="0" w:space="0" w:color="auto"/>
        <w:right w:val="none" w:sz="0" w:space="0" w:color="auto"/>
      </w:divBdr>
    </w:div>
    <w:div w:id="1307472020">
      <w:bodyDiv w:val="1"/>
      <w:marLeft w:val="0"/>
      <w:marRight w:val="0"/>
      <w:marTop w:val="0"/>
      <w:marBottom w:val="0"/>
      <w:divBdr>
        <w:top w:val="none" w:sz="0" w:space="0" w:color="auto"/>
        <w:left w:val="none" w:sz="0" w:space="0" w:color="auto"/>
        <w:bottom w:val="none" w:sz="0" w:space="0" w:color="auto"/>
        <w:right w:val="none" w:sz="0" w:space="0" w:color="auto"/>
      </w:divBdr>
    </w:div>
    <w:div w:id="1497571629">
      <w:bodyDiv w:val="1"/>
      <w:marLeft w:val="0"/>
      <w:marRight w:val="0"/>
      <w:marTop w:val="0"/>
      <w:marBottom w:val="0"/>
      <w:divBdr>
        <w:top w:val="none" w:sz="0" w:space="0" w:color="auto"/>
        <w:left w:val="none" w:sz="0" w:space="0" w:color="auto"/>
        <w:bottom w:val="none" w:sz="0" w:space="0" w:color="auto"/>
        <w:right w:val="none" w:sz="0" w:space="0" w:color="auto"/>
      </w:divBdr>
    </w:div>
    <w:div w:id="1511945781">
      <w:bodyDiv w:val="1"/>
      <w:marLeft w:val="0"/>
      <w:marRight w:val="0"/>
      <w:marTop w:val="0"/>
      <w:marBottom w:val="0"/>
      <w:divBdr>
        <w:top w:val="none" w:sz="0" w:space="0" w:color="auto"/>
        <w:left w:val="none" w:sz="0" w:space="0" w:color="auto"/>
        <w:bottom w:val="none" w:sz="0" w:space="0" w:color="auto"/>
        <w:right w:val="none" w:sz="0" w:space="0" w:color="auto"/>
      </w:divBdr>
    </w:div>
    <w:div w:id="1657605409">
      <w:bodyDiv w:val="1"/>
      <w:marLeft w:val="0"/>
      <w:marRight w:val="0"/>
      <w:marTop w:val="0"/>
      <w:marBottom w:val="0"/>
      <w:divBdr>
        <w:top w:val="none" w:sz="0" w:space="0" w:color="auto"/>
        <w:left w:val="none" w:sz="0" w:space="0" w:color="auto"/>
        <w:bottom w:val="none" w:sz="0" w:space="0" w:color="auto"/>
        <w:right w:val="none" w:sz="0" w:space="0" w:color="auto"/>
      </w:divBdr>
    </w:div>
    <w:div w:id="1767454466">
      <w:bodyDiv w:val="1"/>
      <w:marLeft w:val="0"/>
      <w:marRight w:val="0"/>
      <w:marTop w:val="0"/>
      <w:marBottom w:val="0"/>
      <w:divBdr>
        <w:top w:val="none" w:sz="0" w:space="0" w:color="auto"/>
        <w:left w:val="none" w:sz="0" w:space="0" w:color="auto"/>
        <w:bottom w:val="none" w:sz="0" w:space="0" w:color="auto"/>
        <w:right w:val="none" w:sz="0" w:space="0" w:color="auto"/>
      </w:divBdr>
    </w:div>
    <w:div w:id="1801193167">
      <w:bodyDiv w:val="1"/>
      <w:marLeft w:val="0"/>
      <w:marRight w:val="0"/>
      <w:marTop w:val="0"/>
      <w:marBottom w:val="0"/>
      <w:divBdr>
        <w:top w:val="none" w:sz="0" w:space="0" w:color="auto"/>
        <w:left w:val="none" w:sz="0" w:space="0" w:color="auto"/>
        <w:bottom w:val="none" w:sz="0" w:space="0" w:color="auto"/>
        <w:right w:val="none" w:sz="0" w:space="0" w:color="auto"/>
      </w:divBdr>
    </w:div>
    <w:div w:id="1955748063">
      <w:bodyDiv w:val="1"/>
      <w:marLeft w:val="0"/>
      <w:marRight w:val="0"/>
      <w:marTop w:val="0"/>
      <w:marBottom w:val="0"/>
      <w:divBdr>
        <w:top w:val="none" w:sz="0" w:space="0" w:color="auto"/>
        <w:left w:val="none" w:sz="0" w:space="0" w:color="auto"/>
        <w:bottom w:val="none" w:sz="0" w:space="0" w:color="auto"/>
        <w:right w:val="none" w:sz="0" w:space="0" w:color="auto"/>
      </w:divBdr>
    </w:div>
    <w:div w:id="210541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sonneltoday.com/hr/acas-linking-employee-wellbeing-and-engagement/" TargetMode="External"/><Relationship Id="rId13" Type="http://schemas.openxmlformats.org/officeDocument/2006/relationships/hyperlink" Target="https://www.gallup.com/workplace/257744/future-workplace-depends-purpose.aspx?utm_source=workplace-newsletter&amp;utm_medium=email&amp;utm_campaign=WorkplaceNewsletter_June_060419&amp;utm_content=doyoulivepurpose-CTA-1&amp;elqTrackId=1b7ed4fec3704fce88994df050807937&amp;elq=b0c44aca718942efbec85b5bacd391fb&amp;elqaid=1699&amp;elqat=1&amp;elqCampaignId=385" TargetMode="External"/><Relationship Id="rId18" Type="http://schemas.openxmlformats.org/officeDocument/2006/relationships/hyperlink" Target="https://www.nhsemployers.org/~/media/Employers/Documents/SiteCollectionDocuments/staff-engagement-toolkit.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estpracticeinstitute.org/blog/5-barriers-to-employee-engagement/" TargetMode="External"/><Relationship Id="rId7" Type="http://schemas.openxmlformats.org/officeDocument/2006/relationships/hyperlink" Target="https://www.employeebenefits.co.uk/issues/june-2016-2/what-are-the-best-approaches-to-measuring-employee-engagement/" TargetMode="External"/><Relationship Id="rId12" Type="http://schemas.openxmlformats.org/officeDocument/2006/relationships/hyperlink" Target="https://www.gallup.com/workplace/231581/five-ways-improve-employee-engagement.aspx" TargetMode="External"/><Relationship Id="rId17" Type="http://schemas.openxmlformats.org/officeDocument/2006/relationships/hyperlink" Target="https://dera.ioe.ac.uk/1810/1/file52215.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gageforsuccess.org/wp-content/uploads/2015/08/file52215.pdf" TargetMode="External"/><Relationship Id="rId20" Type="http://schemas.openxmlformats.org/officeDocument/2006/relationships/hyperlink" Target="https://www.personneltoday.com/hr/acas-linking-employee-wellbeing-and-engagement/"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www.england.nhs.uk/wp-content/uploads/2018/03/wres-engagement-absence-agency-spend.pdf" TargetMode="External"/><Relationship Id="rId24" Type="http://schemas.openxmlformats.org/officeDocument/2006/relationships/hyperlink" Target="https://www.surveymonkey.com/mp/how-to-analyze-survey-data/" TargetMode="External"/><Relationship Id="rId5" Type="http://schemas.openxmlformats.org/officeDocument/2006/relationships/image" Target="media/image1.emf"/><Relationship Id="rId15" Type="http://schemas.openxmlformats.org/officeDocument/2006/relationships/hyperlink" Target="http://gateway.colegsirgar.ac.uk/index.php" TargetMode="External"/><Relationship Id="rId23" Type="http://schemas.openxmlformats.org/officeDocument/2006/relationships/hyperlink" Target="https://study.com/academy/lesson/cross-sectional-study-definition-advantages-disadvantages-example.html" TargetMode="External"/><Relationship Id="rId10" Type="http://schemas.openxmlformats.org/officeDocument/2006/relationships/hyperlink" Target="https://www.cipd.co.uk/knowledge/fundamentals/relations/communication/voice-factsheet" TargetMode="External"/><Relationship Id="rId19" Type="http://schemas.openxmlformats.org/officeDocument/2006/relationships/hyperlink" Target="https://pepi.colegsirgar.ac.uk/pepi/pages/main" TargetMode="External"/><Relationship Id="rId4" Type="http://schemas.openxmlformats.org/officeDocument/2006/relationships/webSettings" Target="webSettings.xml"/><Relationship Id="rId9" Type="http://schemas.openxmlformats.org/officeDocument/2006/relationships/hyperlink" Target="https://www.cipd.co.uk/knowledge/fundamentals/relations/engagement/factsheet" TargetMode="External"/><Relationship Id="rId14" Type="http://schemas.openxmlformats.org/officeDocument/2006/relationships/hyperlink" Target="https://q12.gallup.com/" TargetMode="External"/><Relationship Id="rId22" Type="http://schemas.openxmlformats.org/officeDocument/2006/relationships/hyperlink" Target="https://www.tinypulse.com/blog/sk-employee-engagement-survey-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857</TotalTime>
  <Pages>11</Pages>
  <Words>3826</Words>
  <Characters>21813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Barron</dc:creator>
  <cp:keywords/>
  <dc:description/>
  <cp:lastModifiedBy>Katy Barron</cp:lastModifiedBy>
  <cp:revision>24</cp:revision>
  <cp:lastPrinted>2019-09-18T17:49:00Z</cp:lastPrinted>
  <dcterms:created xsi:type="dcterms:W3CDTF">2019-09-11T17:09:00Z</dcterms:created>
  <dcterms:modified xsi:type="dcterms:W3CDTF">2019-09-18T18:06:00Z</dcterms:modified>
</cp:coreProperties>
</file>