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28A827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4054A">
              <w:rPr>
                <w:rFonts w:ascii="Times New Roman" w:hAnsi="Times New Roman" w:cs="Times New Roman"/>
                <w:b/>
                <w:color w:val="auto"/>
                <w:sz w:val="48"/>
              </w:rPr>
              <w:t>Debbie Piercy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C303AB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4054A">
              <w:rPr>
                <w:rFonts w:ascii="Times New Roman" w:hAnsi="Times New Roman" w:cs="Times New Roman"/>
                <w:b/>
                <w:sz w:val="48"/>
              </w:rPr>
              <w:t xml:space="preserve"> 2421171@student.uwtsd.ac.uk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A47BEA2" w14:textId="4D690413" w:rsidR="0004054A" w:rsidRPr="005D3F07" w:rsidRDefault="0004054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2421171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BFFBE67" w14:textId="77777777" w:rsidR="002D36FE" w:rsidRDefault="002D36FE" w:rsidP="00FF7EBB">
            <w:pPr>
              <w:jc w:val="both"/>
              <w:rPr>
                <w:sz w:val="24"/>
                <w:szCs w:val="24"/>
              </w:rPr>
            </w:pPr>
          </w:p>
          <w:p w14:paraId="6AD16CE3" w14:textId="77777777" w:rsidR="002D36FE" w:rsidRDefault="002D36FE" w:rsidP="002D36FE">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2DC7F366" w14:textId="77777777" w:rsidR="002D36FE" w:rsidRDefault="002D36FE" w:rsidP="00FF7EBB">
            <w:pPr>
              <w:jc w:val="both"/>
              <w:rPr>
                <w:sz w:val="24"/>
                <w:szCs w:val="24"/>
              </w:rPr>
            </w:pPr>
          </w:p>
          <w:p w14:paraId="1FBBCFA0" w14:textId="77777777" w:rsidR="006108C9" w:rsidRDefault="006108C9" w:rsidP="00FF7EBB">
            <w:pPr>
              <w:jc w:val="both"/>
              <w:rPr>
                <w:sz w:val="24"/>
                <w:szCs w:val="24"/>
              </w:rPr>
            </w:pPr>
          </w:p>
          <w:p w14:paraId="7474468F" w14:textId="77777777" w:rsidR="00502488" w:rsidRPr="00502488" w:rsidRDefault="00502488" w:rsidP="00502488">
            <w:pPr>
              <w:jc w:val="both"/>
              <w:rPr>
                <w:sz w:val="24"/>
                <w:szCs w:val="24"/>
              </w:rPr>
            </w:pPr>
            <w:r w:rsidRPr="00502488">
              <w:rPr>
                <w:sz w:val="24"/>
                <w:szCs w:val="24"/>
              </w:rPr>
              <w:t>As my main area of practice is safeguarding children, this section concentrates on safeguarding adults at risk. Adult safeguarding in Wales is mainly supported by the Social Services and Well-being (Wales) Act (2014) (SSWB(W)A 2014), the specific statutory safeguarding framework in Part 7. Section 126 defines an adult at risk as a person who is experiencing, or is at risk of, abuse or neglect, and needs care and support and, as a result, cannot protect themselves from the abuse or neglect (SSWB(W)A, 2014). Where there is reasonable cause to suspect an adult is at risk, the local authority has a statutory duty to make, or cause to be made, whatever enquiries it considers necessary to determine whether action is needed. That is where safeguarding is legal and the decision making is proportionate and person centred.</w:t>
            </w:r>
          </w:p>
          <w:p w14:paraId="2BC3CBAB" w14:textId="77777777" w:rsidR="00502488" w:rsidRPr="00502488" w:rsidRDefault="00502488" w:rsidP="00502488">
            <w:pPr>
              <w:jc w:val="both"/>
              <w:rPr>
                <w:sz w:val="24"/>
                <w:szCs w:val="24"/>
              </w:rPr>
            </w:pPr>
            <w:r w:rsidRPr="00502488">
              <w:rPr>
                <w:sz w:val="24"/>
                <w:szCs w:val="24"/>
              </w:rPr>
              <w:t>The national framework is in line with Working Together to Safeguard People: Volume 6 – Handling Individual Cases to Protect Adults at Risk (Welsh Government, 2019), which provides statutory guidance for the response to individual safeguarding concerns. The Wales Safeguarding Procedures (2019) apply and work as the standard practice for practitioners in social care, health, police and other agencies. The processes involve identifying concerns, gathering information, assessing risk, making recommendations for intervention and reviewing results. Enquiries should be person centred, the adult’s wishes, views and feelings must be considered and their desired personal outcomes identified (Wales Safeguarding Procedures, 2019).</w:t>
            </w:r>
          </w:p>
          <w:p w14:paraId="1169325F" w14:textId="77777777" w:rsidR="00502488" w:rsidRPr="00502488" w:rsidRDefault="00502488" w:rsidP="00502488">
            <w:pPr>
              <w:jc w:val="both"/>
              <w:rPr>
                <w:sz w:val="24"/>
                <w:szCs w:val="24"/>
              </w:rPr>
            </w:pPr>
            <w:r w:rsidRPr="00502488">
              <w:rPr>
                <w:sz w:val="24"/>
                <w:szCs w:val="24"/>
              </w:rPr>
              <w:t xml:space="preserve">Other legislation could be a factor in safeguarding decisions. The Mental Capacity Act (2005) is particularly important when it comes to adult capacity for making decisions about their safety and practitioners have to weigh capacity and the least restrictive approach. The Human Rights Act (1998) has a further rights-based framework in place such as protection against inhuman or degrading treatment in Article 3 and respect for private and family life in Article 8. The Equality Act (2010) is relevant to making sure safeguarding responses do not disadvantage adults because of protected characteristics. The Welsh Language (Wales) Measure (2011) </w:t>
            </w:r>
            <w:r w:rsidRPr="00502488">
              <w:rPr>
                <w:sz w:val="24"/>
                <w:szCs w:val="24"/>
              </w:rPr>
              <w:lastRenderedPageBreak/>
              <w:t>and More than Just Words (Welsh Government, 2022) also point to the need for appropriate and accessible communication to be a part of Welsh social care.</w:t>
            </w:r>
          </w:p>
          <w:p w14:paraId="12298DFF" w14:textId="7BD4A851" w:rsidR="00F607F8" w:rsidRPr="00F607F8" w:rsidRDefault="00F607F8" w:rsidP="00F607F8">
            <w:pPr>
              <w:jc w:val="both"/>
              <w:rPr>
                <w:sz w:val="24"/>
                <w:szCs w:val="24"/>
              </w:rPr>
            </w:pPr>
            <w:r w:rsidRPr="00F607F8">
              <w:rPr>
                <w:sz w:val="24"/>
                <w:szCs w:val="24"/>
              </w:rPr>
              <w:t>At local and organisational level, XXXX Local Authority operates an Adult Protection Policy alongside the Wales Safeguarding Procedures</w:t>
            </w:r>
            <w:r w:rsidR="002D36FE">
              <w:rPr>
                <w:sz w:val="24"/>
                <w:szCs w:val="24"/>
              </w:rPr>
              <w:t xml:space="preserve"> (2019)</w:t>
            </w:r>
            <w:r w:rsidRPr="00F607F8">
              <w:rPr>
                <w:sz w:val="24"/>
                <w:szCs w:val="24"/>
              </w:rPr>
              <w:t>. The policy sets out arrangements for responding to concerns, making enquiries and working with partner agencies. The XXXX Corporate Safeguarding Policy establishes safeguarding responsibilities across the organisation, recognising that safeguarding is not solely the responsibility of social services. Practitioners are expected to recognise concerns, record information accurately, report through appropriate safeguarding routes, share information lawfully and contribute to multi-agency assessment and intervention. The local Adult Safeguarding Team considers reports and, where appropriate, progresses concerns through the adult safeguarding process (XXXX Local Authority, 2020; XXXX Local Authority, 2024).</w:t>
            </w:r>
          </w:p>
          <w:p w14:paraId="5F3924B9" w14:textId="4EDA4257" w:rsidR="00F607F8" w:rsidRPr="00F607F8" w:rsidRDefault="00F607F8" w:rsidP="00F607F8">
            <w:pPr>
              <w:jc w:val="both"/>
              <w:rPr>
                <w:sz w:val="24"/>
                <w:szCs w:val="24"/>
              </w:rPr>
            </w:pPr>
            <w:r>
              <w:rPr>
                <w:sz w:val="24"/>
                <w:szCs w:val="24"/>
              </w:rPr>
              <w:t>A</w:t>
            </w:r>
            <w:r w:rsidRPr="00F607F8">
              <w:rPr>
                <w:sz w:val="24"/>
                <w:szCs w:val="24"/>
              </w:rPr>
              <w:t>dult safeguarding in Wales requires practitioners to balance protection from abuse and neglect with autonomy, consent, capacity, human rights and the outcomes identified by the adult. This demonstrates the interrelationship between Welsh legislation, national safeguarding procedures and local organisational arrangements.</w:t>
            </w:r>
          </w:p>
          <w:p w14:paraId="0318E819" w14:textId="77777777" w:rsidR="00FC0334" w:rsidRDefault="00FC0334" w:rsidP="00FF7EBB">
            <w:pPr>
              <w:jc w:val="both"/>
              <w:rPr>
                <w:sz w:val="24"/>
                <w:szCs w:val="24"/>
              </w:rPr>
            </w:pPr>
          </w:p>
          <w:p w14:paraId="6D8CB8AF" w14:textId="36AB89A9" w:rsidR="00FC0334" w:rsidRPr="00F607F8" w:rsidRDefault="00F607F8" w:rsidP="00FF7EBB">
            <w:pPr>
              <w:jc w:val="both"/>
              <w:rPr>
                <w:b/>
                <w:bCs/>
                <w:sz w:val="24"/>
                <w:szCs w:val="24"/>
              </w:rPr>
            </w:pPr>
            <w:r>
              <w:rPr>
                <w:b/>
                <w:bCs/>
                <w:sz w:val="24"/>
                <w:szCs w:val="24"/>
              </w:rPr>
              <w:t xml:space="preserve">Word Count: </w:t>
            </w:r>
            <w:r w:rsidR="005063E2">
              <w:rPr>
                <w:b/>
                <w:bCs/>
                <w:sz w:val="24"/>
                <w:szCs w:val="24"/>
              </w:rPr>
              <w:t>503</w:t>
            </w: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03BD6D93" w14:textId="56AD433A" w:rsidR="007A628F" w:rsidRPr="008B28E7" w:rsidRDefault="007A628F" w:rsidP="002D36FE">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7B7B4827" w14:textId="07E2D080"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32ED3E3" w14:textId="77777777" w:rsidR="00FC0334" w:rsidRDefault="00FC0334" w:rsidP="00FC0334">
            <w:pPr>
              <w:jc w:val="both"/>
              <w:rPr>
                <w:sz w:val="24"/>
                <w:szCs w:val="24"/>
              </w:rPr>
            </w:pPr>
          </w:p>
          <w:p w14:paraId="6A3425D5" w14:textId="77777777" w:rsidR="000116D4" w:rsidRDefault="000116D4" w:rsidP="00FC0334">
            <w:pPr>
              <w:jc w:val="both"/>
              <w:rPr>
                <w:sz w:val="24"/>
                <w:szCs w:val="24"/>
              </w:rPr>
            </w:pPr>
          </w:p>
          <w:p w14:paraId="62523FBD" w14:textId="77777777" w:rsidR="00D944A3" w:rsidRPr="00D944A3" w:rsidRDefault="00D944A3" w:rsidP="00D944A3">
            <w:pPr>
              <w:jc w:val="both"/>
              <w:rPr>
                <w:sz w:val="24"/>
                <w:szCs w:val="24"/>
              </w:rPr>
            </w:pPr>
            <w:r w:rsidRPr="00D944A3">
              <w:rPr>
                <w:sz w:val="24"/>
                <w:szCs w:val="24"/>
              </w:rPr>
              <w:t>Reflecting on safeguarding children and adults has helped me understand that, although both aim to protect people from abuse, neglect and harm, risk is understood differently. The main difference is between protection and autonomy. Children are generally more dependent on adults and less able to protect themselves, while adult safeguarding places greater emphasis on rights, choices and control.</w:t>
            </w:r>
          </w:p>
          <w:p w14:paraId="08641798" w14:textId="0D7E0361" w:rsidR="00D944A3" w:rsidRDefault="00D944A3" w:rsidP="00D944A3">
            <w:pPr>
              <w:jc w:val="both"/>
              <w:rPr>
                <w:sz w:val="24"/>
                <w:szCs w:val="24"/>
              </w:rPr>
            </w:pPr>
            <w:r w:rsidRPr="00D944A3">
              <w:rPr>
                <w:sz w:val="24"/>
                <w:szCs w:val="24"/>
              </w:rPr>
              <w:t xml:space="preserve">In children’s safeguarding, the child’s welfare is paramount under the Children Act </w:t>
            </w:r>
            <w:r>
              <w:rPr>
                <w:sz w:val="24"/>
                <w:szCs w:val="24"/>
              </w:rPr>
              <w:t>(</w:t>
            </w:r>
            <w:r w:rsidRPr="00D944A3">
              <w:rPr>
                <w:sz w:val="24"/>
                <w:szCs w:val="24"/>
              </w:rPr>
              <w:t>1989</w:t>
            </w:r>
            <w:r>
              <w:rPr>
                <w:sz w:val="24"/>
                <w:szCs w:val="24"/>
              </w:rPr>
              <w:t>)</w:t>
            </w:r>
            <w:r w:rsidRPr="00D944A3">
              <w:rPr>
                <w:sz w:val="24"/>
                <w:szCs w:val="24"/>
              </w:rPr>
              <w:t xml:space="preserve">. Professionals have a </w:t>
            </w:r>
            <w:r>
              <w:rPr>
                <w:sz w:val="24"/>
                <w:szCs w:val="24"/>
              </w:rPr>
              <w:t>duty</w:t>
            </w:r>
            <w:r w:rsidRPr="00D944A3">
              <w:rPr>
                <w:sz w:val="24"/>
                <w:szCs w:val="24"/>
              </w:rPr>
              <w:t xml:space="preserve"> to protect children and may need to make decisions on their behalf where there are concerns about significant harm. Children’s wishes and feelings remain important but may not determine the outcome where professionals believe the child is unsafe. Gillick competency recognises a child’s developing ability to make decisions, while the Fraser guidelines relate specifically to contraception and sexual health advice for under-16s (</w:t>
            </w:r>
            <w:r w:rsidRPr="00D944A3">
              <w:rPr>
                <w:i/>
                <w:iCs/>
                <w:sz w:val="24"/>
                <w:szCs w:val="24"/>
              </w:rPr>
              <w:t>Gillick v West Norfolk and Wisbech Area Health Authority</w:t>
            </w:r>
            <w:r w:rsidRPr="00D944A3">
              <w:rPr>
                <w:sz w:val="24"/>
                <w:szCs w:val="24"/>
              </w:rPr>
              <w:t xml:space="preserve"> [1986] AC 112). This demonstrates that children’s autonomy is recognised alongside a strong duty to protect.</w:t>
            </w:r>
          </w:p>
          <w:p w14:paraId="5B41EEFB" w14:textId="77777777" w:rsidR="00D944A3" w:rsidRPr="00D944A3" w:rsidRDefault="00D944A3" w:rsidP="00D944A3">
            <w:pPr>
              <w:jc w:val="both"/>
              <w:rPr>
                <w:sz w:val="24"/>
                <w:szCs w:val="24"/>
              </w:rPr>
            </w:pPr>
          </w:p>
          <w:p w14:paraId="02E9E535" w14:textId="26F088CB" w:rsidR="00D944A3" w:rsidRDefault="00D944A3" w:rsidP="00D944A3">
            <w:pPr>
              <w:jc w:val="both"/>
              <w:rPr>
                <w:sz w:val="24"/>
                <w:szCs w:val="24"/>
              </w:rPr>
            </w:pPr>
            <w:r w:rsidRPr="00D944A3">
              <w:rPr>
                <w:sz w:val="24"/>
                <w:szCs w:val="24"/>
              </w:rPr>
              <w:t xml:space="preserve">Adult safeguarding differs because adults are generally presumed to have capacity and autonomy unless there is </w:t>
            </w:r>
            <w:proofErr w:type="gramStart"/>
            <w:r w:rsidRPr="00D944A3">
              <w:rPr>
                <w:sz w:val="24"/>
                <w:szCs w:val="24"/>
              </w:rPr>
              <w:t>evidence</w:t>
            </w:r>
            <w:proofErr w:type="gramEnd"/>
            <w:r w:rsidRPr="00D944A3">
              <w:rPr>
                <w:sz w:val="24"/>
                <w:szCs w:val="24"/>
              </w:rPr>
              <w:t xml:space="preserve"> they lack capacity under the Mental Capacity Act 2005. A </w:t>
            </w:r>
            <w:r w:rsidRPr="00D944A3">
              <w:rPr>
                <w:sz w:val="24"/>
                <w:szCs w:val="24"/>
              </w:rPr>
              <w:lastRenderedPageBreak/>
              <w:t>capacit</w:t>
            </w:r>
            <w:r>
              <w:rPr>
                <w:sz w:val="24"/>
                <w:szCs w:val="24"/>
              </w:rPr>
              <w:t>ating</w:t>
            </w:r>
            <w:r w:rsidRPr="00D944A3">
              <w:rPr>
                <w:sz w:val="24"/>
                <w:szCs w:val="24"/>
              </w:rPr>
              <w:t xml:space="preserve"> adult can </w:t>
            </w:r>
            <w:proofErr w:type="gramStart"/>
            <w:r w:rsidRPr="00D944A3">
              <w:rPr>
                <w:sz w:val="24"/>
                <w:szCs w:val="24"/>
              </w:rPr>
              <w:t>make a decision</w:t>
            </w:r>
            <w:proofErr w:type="gramEnd"/>
            <w:r w:rsidRPr="00D944A3">
              <w:rPr>
                <w:sz w:val="24"/>
                <w:szCs w:val="24"/>
              </w:rPr>
              <w:t xml:space="preserve"> professionals consider unwise, including remaining in a situation where there is a risk of abuse or neglect. Capacity is decision-specific and should be assessed when required (Mental Capacity Act 2005; 39 Essex Chambers, 2025). This creates tension because professional concerns about risk do not automatically justify overriding an adult’s wishes.</w:t>
            </w:r>
          </w:p>
          <w:p w14:paraId="64007E33" w14:textId="77777777" w:rsidR="00D944A3" w:rsidRPr="00D944A3" w:rsidRDefault="00D944A3" w:rsidP="00D944A3">
            <w:pPr>
              <w:jc w:val="both"/>
              <w:rPr>
                <w:sz w:val="24"/>
                <w:szCs w:val="24"/>
              </w:rPr>
            </w:pPr>
          </w:p>
          <w:p w14:paraId="620AE490" w14:textId="77777777" w:rsidR="00D944A3" w:rsidRPr="00D944A3" w:rsidRDefault="00D944A3" w:rsidP="00D944A3">
            <w:pPr>
              <w:jc w:val="both"/>
              <w:rPr>
                <w:sz w:val="24"/>
                <w:szCs w:val="24"/>
              </w:rPr>
            </w:pPr>
            <w:r w:rsidRPr="00D944A3">
              <w:rPr>
                <w:sz w:val="24"/>
                <w:szCs w:val="24"/>
              </w:rPr>
              <w:t>Consent is therefore particularly important in adult safeguarding. Practitioners should establish the adult’s preferred outcomes and work towards safety while respecting their choices. Where an adult lacks capacity, decisions may be made in their best interests while remaining proportionate and least restrictive. In children’s safeguarding, protective action can be taken without agreement where necessary to prevent significant harm.</w:t>
            </w:r>
          </w:p>
          <w:p w14:paraId="56EF5F00" w14:textId="77777777" w:rsidR="00D944A3" w:rsidRDefault="00D944A3" w:rsidP="00D944A3">
            <w:pPr>
              <w:jc w:val="both"/>
              <w:rPr>
                <w:sz w:val="24"/>
                <w:szCs w:val="24"/>
              </w:rPr>
            </w:pPr>
            <w:r w:rsidRPr="00D944A3">
              <w:rPr>
                <w:sz w:val="24"/>
                <w:szCs w:val="24"/>
              </w:rPr>
              <w:t>Financial abuse is recognised within adult safeguarding, and adults may experience abuse while retaining control over their decisions. This can make risk management complex because removing someone from a situation may not be appropriate simply because professionals consider the decision unsafe. Children may, however, be subject to statutory intervention, including court orders, where necessary.</w:t>
            </w:r>
          </w:p>
          <w:p w14:paraId="606706C3" w14:textId="77777777" w:rsidR="00D944A3" w:rsidRPr="00D944A3" w:rsidRDefault="00D944A3" w:rsidP="00D944A3">
            <w:pPr>
              <w:jc w:val="both"/>
              <w:rPr>
                <w:sz w:val="24"/>
                <w:szCs w:val="24"/>
              </w:rPr>
            </w:pPr>
          </w:p>
          <w:p w14:paraId="381C690E" w14:textId="77777777" w:rsidR="00D944A3" w:rsidRDefault="00D944A3" w:rsidP="00D944A3">
            <w:pPr>
              <w:jc w:val="both"/>
              <w:rPr>
                <w:sz w:val="24"/>
                <w:szCs w:val="24"/>
              </w:rPr>
            </w:pPr>
            <w:r w:rsidRPr="00D944A3">
              <w:rPr>
                <w:sz w:val="24"/>
                <w:szCs w:val="24"/>
              </w:rPr>
              <w:t>This reflection has helped me understand that adult safeguarding is not simply about reducing risk. It involves working alongside the adult, understanding what matters to them and balancing protection with human rights and autonomy. Children’s safeguarding has a stronger protective emphasis because of age, development and vulnerability. Both require professional curiosity, evidence-based assessment and multi-agency working, but the professional role differs: with children, practitioners may need to act protectively, whereas with adults, the starting point is often supporting informed choices about their safety.</w:t>
            </w:r>
          </w:p>
          <w:p w14:paraId="7D622054" w14:textId="77777777" w:rsidR="00D944A3" w:rsidRDefault="00D944A3" w:rsidP="00D944A3">
            <w:pPr>
              <w:jc w:val="both"/>
              <w:rPr>
                <w:sz w:val="24"/>
                <w:szCs w:val="24"/>
              </w:rPr>
            </w:pPr>
          </w:p>
          <w:p w14:paraId="7FFC09B3" w14:textId="0F0DF497" w:rsidR="00D944A3" w:rsidRPr="00D944A3" w:rsidRDefault="00D944A3" w:rsidP="00D944A3">
            <w:pPr>
              <w:jc w:val="both"/>
              <w:rPr>
                <w:b/>
                <w:bCs/>
                <w:sz w:val="24"/>
                <w:szCs w:val="24"/>
              </w:rPr>
            </w:pPr>
            <w:r>
              <w:rPr>
                <w:b/>
                <w:bCs/>
                <w:sz w:val="24"/>
                <w:szCs w:val="24"/>
              </w:rPr>
              <w:t>Word Count:440</w:t>
            </w:r>
          </w:p>
          <w:p w14:paraId="1F55EDBA" w14:textId="26687084" w:rsidR="00D944A3" w:rsidRPr="00D944A3" w:rsidRDefault="00D944A3" w:rsidP="00D944A3">
            <w:pPr>
              <w:jc w:val="both"/>
              <w:rPr>
                <w:sz w:val="24"/>
                <w:szCs w:val="24"/>
              </w:rPr>
            </w:pPr>
          </w:p>
          <w:p w14:paraId="08760B3D" w14:textId="77777777" w:rsidR="000116D4" w:rsidRPr="006108C9" w:rsidRDefault="000116D4" w:rsidP="000116D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4CD26" w14:textId="77777777" w:rsidR="00B5685B" w:rsidRDefault="00B5685B">
      <w:r>
        <w:separator/>
      </w:r>
    </w:p>
  </w:endnote>
  <w:endnote w:type="continuationSeparator" w:id="0">
    <w:p w14:paraId="7A61833B" w14:textId="77777777" w:rsidR="00B5685B" w:rsidRDefault="00B56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F8DF2" w14:textId="77777777" w:rsidR="00B5685B" w:rsidRDefault="00B5685B">
      <w:r>
        <w:separator/>
      </w:r>
    </w:p>
  </w:footnote>
  <w:footnote w:type="continuationSeparator" w:id="0">
    <w:p w14:paraId="209E16BE" w14:textId="77777777" w:rsidR="00B5685B" w:rsidRDefault="00B56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6D4"/>
    <w:rsid w:val="00011F6E"/>
    <w:rsid w:val="00012B16"/>
    <w:rsid w:val="00020EEC"/>
    <w:rsid w:val="0002440E"/>
    <w:rsid w:val="0002759A"/>
    <w:rsid w:val="00027B1F"/>
    <w:rsid w:val="0003088B"/>
    <w:rsid w:val="000325D9"/>
    <w:rsid w:val="000372B2"/>
    <w:rsid w:val="0004054A"/>
    <w:rsid w:val="0004079F"/>
    <w:rsid w:val="00043543"/>
    <w:rsid w:val="00045B87"/>
    <w:rsid w:val="00045C07"/>
    <w:rsid w:val="00045C40"/>
    <w:rsid w:val="00046861"/>
    <w:rsid w:val="00054A07"/>
    <w:rsid w:val="00055D43"/>
    <w:rsid w:val="00056FAC"/>
    <w:rsid w:val="00057751"/>
    <w:rsid w:val="00062E39"/>
    <w:rsid w:val="00064063"/>
    <w:rsid w:val="0006581A"/>
    <w:rsid w:val="0007438B"/>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47AC"/>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36FE"/>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488"/>
    <w:rsid w:val="00502A14"/>
    <w:rsid w:val="005042F1"/>
    <w:rsid w:val="0050481B"/>
    <w:rsid w:val="005063E2"/>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544A"/>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56C0"/>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91E"/>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685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44A3"/>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07F8"/>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1199</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Debbie1 Piercy</cp:lastModifiedBy>
  <cp:revision>5</cp:revision>
  <cp:lastPrinted>2020-02-11T19:20:00Z</cp:lastPrinted>
  <dcterms:created xsi:type="dcterms:W3CDTF">2026-10-05T19:10:00Z</dcterms:created>
  <dcterms:modified xsi:type="dcterms:W3CDTF">2026-10-06T12:44:00Z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