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rFonts w:ascii="Times New Roman" w:cs="Times New Roman" w:eastAsia="Times New Roman" w:hAnsi="Times New Roman"/>
          <w:b/>
          <w:bCs/>
          <w:color w:val="000000"/>
          <w:sz w:val="40"/>
          <w:szCs w:val="40"/>
        </w:rPr>
      </w:pPr>
    </w:p>
    <w:p>
      <w:pPr>
        <w:pStyle w:val="style0"/>
        <w:spacing w:lineRule="auto" w:line="360"/>
        <w:jc w:val="center"/>
        <w:rPr>
          <w:rFonts w:ascii="Times New Roman" w:cs="Times New Roman" w:eastAsia="Times New Roman" w:hAnsi="Times New Roman"/>
          <w:b/>
          <w:bCs/>
          <w:color w:val="000000"/>
          <w:sz w:val="40"/>
          <w:szCs w:val="40"/>
        </w:rPr>
      </w:pPr>
    </w:p>
    <w:p>
      <w:pPr>
        <w:pStyle w:val="style0"/>
        <w:spacing w:lineRule="auto" w:line="360"/>
        <w:jc w:val="center"/>
        <w:rPr>
          <w:rFonts w:ascii="Times New Roman" w:cs="Times New Roman" w:eastAsia="Times New Roman" w:hAnsi="Times New Roman"/>
          <w:b/>
          <w:bCs/>
          <w:color w:val="000000"/>
          <w:sz w:val="40"/>
          <w:szCs w:val="40"/>
        </w:rPr>
      </w:pPr>
    </w:p>
    <w:p>
      <w:pPr>
        <w:pStyle w:val="style0"/>
        <w:spacing w:lineRule="auto" w:line="360"/>
        <w:jc w:val="center"/>
        <w:rPr>
          <w:rFonts w:ascii="Times New Roman" w:cs="Times New Roman" w:eastAsia="Times New Roman" w:hAnsi="Times New Roman"/>
          <w:b/>
          <w:bCs/>
          <w:color w:val="000000"/>
          <w:sz w:val="40"/>
          <w:szCs w:val="40"/>
        </w:rPr>
      </w:pPr>
      <w:r>
        <w:rPr>
          <w:rFonts w:ascii="Times New Roman" w:cs="Times New Roman" w:eastAsia="Times New Roman" w:hAnsi="Times New Roman"/>
          <w:b/>
          <w:bCs/>
          <w:color w:val="000000"/>
          <w:sz w:val="40"/>
          <w:szCs w:val="40"/>
        </w:rPr>
        <w:t>MARKET ENTRY BARRIERS AND FOREIGN MARKET ENTRY STRATEGY OF TESLA IN EMERGING ECONOMIES: A STRATEGIC ANALYSIS USING DUNNING’S OLI FRAMEWORK</w:t>
      </w:r>
    </w:p>
    <w:p>
      <w:pPr>
        <w:pStyle w:val="style0"/>
        <w:spacing w:lineRule="auto" w:line="360"/>
        <w:rPr>
          <w:rFonts w:ascii="Times New Roman" w:cs="Times New Roman" w:eastAsia="Times New Roman" w:hAnsi="Times New Roman"/>
          <w:b/>
          <w:bCs/>
          <w:color w:val="000000"/>
          <w:sz w:val="40"/>
          <w:szCs w:val="40"/>
        </w:rPr>
      </w:pPr>
      <w:r>
        <w:rPr>
          <w:color w:val="000000"/>
        </w:rPr>
        <w:br w:type="page"/>
      </w:r>
    </w:p>
    <w:p>
      <w:pPr>
        <w:pStyle w:val="style0"/>
        <w:keepNext/>
        <w:keepLines/>
        <w:pBdr>
          <w:left w:val="nil"/>
          <w:right w:val="nil"/>
          <w:top w:val="nil"/>
          <w:bottom w:val="nil"/>
          <w:between w:val="nil"/>
        </w:pBdr>
        <w:spacing w:before="480" w:lineRule="auto" w:line="360"/>
        <w:jc w:val="center"/>
        <w:rPr>
          <w:rFonts w:ascii="Times New Roman" w:cs="Times New Roman" w:eastAsia="Times New Roman" w:hAnsi="Times New Roman"/>
          <w:b/>
          <w:bCs/>
          <w:color w:val="000000"/>
          <w:sz w:val="28"/>
          <w:szCs w:val="28"/>
        </w:rPr>
      </w:pPr>
      <w:r>
        <w:rPr>
          <w:rFonts w:ascii="Times New Roman" w:cs="Times New Roman" w:eastAsia="Times New Roman" w:hAnsi="Times New Roman"/>
          <w:b/>
          <w:bCs/>
          <w:color w:val="000000"/>
          <w:sz w:val="28"/>
          <w:szCs w:val="28"/>
        </w:rPr>
        <w:t>Table of Contents</w:t>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TOC \h \u \z \t "Heading 1,1,Heading 2,2,Heading 3,3,"</w:instrText>
      </w:r>
      <w:r>
        <w:rPr>
          <w:color w:val="000000"/>
        </w:rPr>
        <w:fldChar w:fldCharType="separate"/>
      </w:r>
      <w:r>
        <w:rPr>
          <w:color w:val="000000"/>
        </w:rPr>
        <w:fldChar w:fldCharType="begin"/>
      </w:r>
      <w:r>
        <w:rPr>
          <w:color w:val="000000"/>
        </w:rPr>
        <w:instrText xml:space="preserve"> HYPERLINK \l "_Toc222206439" </w:instrText>
      </w:r>
      <w:r>
        <w:rPr>
          <w:color w:val="000000"/>
        </w:rPr>
        <w:fldChar w:fldCharType="separate"/>
      </w:r>
      <w:r>
        <w:rPr>
          <w:rStyle w:val="style85"/>
          <w:rFonts w:ascii="Times New Roman" w:cs="Times New Roman" w:hAnsi="Times New Roman"/>
          <w:noProof/>
          <w:color w:val="000000"/>
          <w:sz w:val="24"/>
          <w:szCs w:val="24"/>
        </w:rPr>
        <w:t>1. Introduction/Background/Research problem</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_Toc222206439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3</w:t>
      </w:r>
      <w:r>
        <w:rPr>
          <w:rFonts w:ascii="Times New Roman" w:cs="Times New Roman" w:hAnsi="Times New Roman"/>
          <w:noProof/>
          <w:webHidden/>
          <w:color w:val="000000"/>
          <w:sz w:val="24"/>
          <w:szCs w:val="24"/>
        </w:rPr>
        <w:fldChar w:fldCharType="end"/>
      </w:r>
      <w:r>
        <w:rPr>
          <w:color w:val="000000"/>
        </w:rPr>
        <w:fldChar w:fldCharType="end"/>
      </w:r>
    </w:p>
    <w:p>
      <w:pPr>
        <w:pStyle w:val="style20"/>
        <w:tabs>
          <w:tab w:val="right" w:leader="dot" w:pos="9350"/>
        </w:tabs>
        <w:spacing w:lineRule="auto" w:line="360"/>
        <w:jc w:val="both"/>
        <w:rPr>
          <w:rFonts w:ascii="Times New Roman" w:cs="Times New Roman" w:hAnsi="Times New Roman"/>
          <w:noProof/>
          <w:color w:val="000000"/>
          <w:sz w:val="24"/>
          <w:szCs w:val="24"/>
        </w:rPr>
      </w:pPr>
      <w:r>
        <w:rPr>
          <w:color w:val="000000"/>
        </w:rPr>
        <w:fldChar w:fldCharType="begin"/>
      </w:r>
      <w:r>
        <w:rPr>
          <w:color w:val="000000"/>
        </w:rPr>
        <w:instrText xml:space="preserve"> HYPERLINK \l "_Toc222206442" </w:instrText>
      </w:r>
      <w:r>
        <w:rPr>
          <w:color w:val="000000"/>
        </w:rPr>
        <w:fldChar w:fldCharType="separate"/>
      </w:r>
      <w:r>
        <w:rPr>
          <w:rStyle w:val="style85"/>
          <w:rFonts w:ascii="Times New Roman" w:cs="Times New Roman" w:hAnsi="Times New Roman"/>
          <w:noProof/>
          <w:color w:val="000000"/>
          <w:sz w:val="24"/>
          <w:szCs w:val="24"/>
        </w:rPr>
        <w:t>Research Problem and Rationale.</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_Toc222206442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4</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HYPERLINK \l "_Toc222206443" </w:instrText>
      </w:r>
      <w:r>
        <w:rPr>
          <w:color w:val="000000"/>
        </w:rPr>
        <w:fldChar w:fldCharType="separate"/>
      </w:r>
      <w:r>
        <w:rPr>
          <w:rStyle w:val="style85"/>
          <w:rFonts w:ascii="Times New Roman" w:cs="Times New Roman" w:hAnsi="Times New Roman"/>
          <w:noProof/>
          <w:color w:val="000000"/>
          <w:sz w:val="24"/>
          <w:szCs w:val="24"/>
        </w:rPr>
        <w:t>2. Research Aim</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_Toc222206443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4</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HYPERLINK \l "_Toc222206444" </w:instrText>
      </w:r>
      <w:r>
        <w:rPr>
          <w:color w:val="000000"/>
        </w:rPr>
        <w:fldChar w:fldCharType="separate"/>
      </w:r>
      <w:r>
        <w:rPr>
          <w:rStyle w:val="style85"/>
          <w:rFonts w:ascii="Times New Roman" w:cs="Times New Roman" w:hAnsi="Times New Roman"/>
          <w:noProof/>
          <w:color w:val="000000"/>
          <w:sz w:val="24"/>
          <w:szCs w:val="24"/>
        </w:rPr>
        <w:t>3. Research Objectives (OLI-Aligned)</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_Toc222206444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4</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HYPERLINK \l "_Toc222206445" </w:instrText>
      </w:r>
      <w:r>
        <w:rPr>
          <w:color w:val="000000"/>
        </w:rPr>
        <w:fldChar w:fldCharType="separate"/>
      </w:r>
      <w:r>
        <w:rPr>
          <w:rStyle w:val="style85"/>
          <w:rFonts w:ascii="Times New Roman" w:cs="Times New Roman" w:hAnsi="Times New Roman"/>
          <w:noProof/>
          <w:color w:val="000000"/>
          <w:sz w:val="24"/>
          <w:szCs w:val="24"/>
        </w:rPr>
        <w:t>4. Research question</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_Toc222206445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5</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HYPERLINK \l "_Toc222206446" </w:instrText>
      </w:r>
      <w:r>
        <w:rPr>
          <w:color w:val="000000"/>
        </w:rPr>
        <w:fldChar w:fldCharType="separate"/>
      </w:r>
      <w:r>
        <w:rPr>
          <w:rStyle w:val="style85"/>
          <w:rFonts w:ascii="Times New Roman" w:cs="Times New Roman" w:hAnsi="Times New Roman"/>
          <w:noProof/>
          <w:color w:val="000000"/>
          <w:sz w:val="24"/>
          <w:szCs w:val="24"/>
        </w:rPr>
        <w:t>5. Literature Review</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_Toc222206446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5</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HYPERLINK \l "_Toc222206447" </w:instrText>
      </w:r>
      <w:r>
        <w:rPr>
          <w:color w:val="000000"/>
        </w:rPr>
        <w:fldChar w:fldCharType="separate"/>
      </w:r>
      <w:r>
        <w:rPr>
          <w:rStyle w:val="style85"/>
          <w:rFonts w:ascii="Times New Roman" w:cs="Times New Roman" w:hAnsi="Times New Roman"/>
          <w:noProof/>
          <w:color w:val="000000"/>
          <w:sz w:val="24"/>
          <w:szCs w:val="24"/>
        </w:rPr>
        <w:t>6. Research Methodology</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_Toc222206447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7</w:t>
      </w:r>
      <w:r>
        <w:rPr>
          <w:rFonts w:ascii="Times New Roman" w:cs="Times New Roman" w:hAnsi="Times New Roman"/>
          <w:noProof/>
          <w:webHidden/>
          <w:color w:val="000000"/>
          <w:sz w:val="24"/>
          <w:szCs w:val="24"/>
        </w:rPr>
        <w:fldChar w:fldCharType="end"/>
      </w:r>
      <w:r>
        <w:rPr>
          <w:color w:val="000000"/>
        </w:rPr>
        <w:fldChar w:fldCharType="end"/>
      </w:r>
    </w:p>
    <w:p>
      <w:pPr>
        <w:pStyle w:val="style20"/>
        <w:tabs>
          <w:tab w:val="right" w:leader="dot" w:pos="9350"/>
        </w:tabs>
        <w:spacing w:lineRule="auto" w:line="360"/>
        <w:jc w:val="both"/>
        <w:rPr>
          <w:rFonts w:ascii="Times New Roman" w:cs="Times New Roman" w:hAnsi="Times New Roman"/>
          <w:noProof/>
          <w:color w:val="000000"/>
          <w:sz w:val="24"/>
          <w:szCs w:val="24"/>
        </w:rPr>
      </w:pPr>
      <w:r>
        <w:rPr>
          <w:color w:val="000000"/>
        </w:rPr>
        <w:fldChar w:fldCharType="begin"/>
      </w:r>
      <w:r>
        <w:rPr>
          <w:color w:val="000000"/>
        </w:rPr>
        <w:instrText xml:space="preserve"> HYPERLINK \l "_Toc222206448" </w:instrText>
      </w:r>
      <w:r>
        <w:rPr>
          <w:color w:val="000000"/>
        </w:rPr>
        <w:fldChar w:fldCharType="separate"/>
      </w:r>
      <w:r>
        <w:rPr>
          <w:rStyle w:val="style85"/>
          <w:rFonts w:ascii="Times New Roman" w:cs="Times New Roman" w:eastAsia="Times New Roman" w:hAnsi="Times New Roman"/>
          <w:noProof/>
          <w:color w:val="000000"/>
          <w:sz w:val="24"/>
          <w:szCs w:val="24"/>
        </w:rPr>
        <w:t>Data Analysis Process and Data Collection</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_Toc222206448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8</w:t>
      </w:r>
      <w:r>
        <w:rPr>
          <w:rFonts w:ascii="Times New Roman" w:cs="Times New Roman" w:hAnsi="Times New Roman"/>
          <w:noProof/>
          <w:webHidden/>
          <w:color w:val="000000"/>
          <w:sz w:val="24"/>
          <w:szCs w:val="24"/>
        </w:rPr>
        <w:fldChar w:fldCharType="end"/>
      </w:r>
      <w:r>
        <w:rPr>
          <w:color w:val="000000"/>
        </w:rPr>
        <w:fldChar w:fldCharType="end"/>
      </w:r>
    </w:p>
    <w:p>
      <w:pPr>
        <w:pStyle w:val="style20"/>
        <w:tabs>
          <w:tab w:val="right" w:leader="dot" w:pos="9350"/>
        </w:tabs>
        <w:spacing w:lineRule="auto" w:line="360"/>
        <w:jc w:val="both"/>
        <w:rPr>
          <w:rFonts w:ascii="Times New Roman" w:cs="Times New Roman" w:hAnsi="Times New Roman"/>
          <w:noProof/>
          <w:color w:val="000000"/>
          <w:sz w:val="24"/>
          <w:szCs w:val="24"/>
        </w:rPr>
      </w:pPr>
      <w:r>
        <w:rPr>
          <w:color w:val="000000"/>
        </w:rPr>
        <w:fldChar w:fldCharType="begin"/>
      </w:r>
      <w:r>
        <w:rPr>
          <w:color w:val="000000"/>
        </w:rPr>
        <w:instrText xml:space="preserve"> HYPERLINK \l "_Toc222206449" </w:instrText>
      </w:r>
      <w:r>
        <w:rPr>
          <w:color w:val="000000"/>
        </w:rPr>
        <w:fldChar w:fldCharType="separate"/>
      </w:r>
      <w:r>
        <w:rPr>
          <w:rStyle w:val="style85"/>
          <w:rFonts w:ascii="Times New Roman" w:cs="Times New Roman" w:hAnsi="Times New Roman"/>
          <w:noProof/>
          <w:color w:val="000000"/>
          <w:sz w:val="24"/>
          <w:szCs w:val="24"/>
        </w:rPr>
        <w:t>Research Ethics</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_Toc222206449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9</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HYPERLINK \l "_Toc222206450" </w:instrText>
      </w:r>
      <w:r>
        <w:rPr>
          <w:color w:val="000000"/>
        </w:rPr>
        <w:fldChar w:fldCharType="separate"/>
      </w:r>
      <w:r>
        <w:rPr>
          <w:rStyle w:val="style85"/>
          <w:rFonts w:ascii="Times New Roman" w:cs="Times New Roman" w:hAnsi="Times New Roman"/>
          <w:noProof/>
          <w:color w:val="000000"/>
          <w:sz w:val="24"/>
          <w:szCs w:val="24"/>
        </w:rPr>
        <w:t>7. Risks</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_Toc222206450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9</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Times New Roman" w:cs="Times New Roman" w:eastAsia="宋体" w:hAnsi="Times New Roman"/>
          <w:noProof/>
          <w:color w:val="000000"/>
          <w:sz w:val="24"/>
          <w:szCs w:val="24"/>
        </w:rPr>
      </w:pPr>
      <w:r>
        <w:rPr>
          <w:color w:val="000000"/>
        </w:rPr>
        <w:fldChar w:fldCharType="begin"/>
      </w:r>
      <w:r>
        <w:rPr>
          <w:color w:val="000000"/>
        </w:rPr>
        <w:instrText xml:space="preserve"> HYPERLINK \l "_Toc222206451" </w:instrText>
      </w:r>
      <w:r>
        <w:rPr>
          <w:color w:val="000000"/>
        </w:rPr>
        <w:fldChar w:fldCharType="separate"/>
      </w:r>
      <w:r>
        <w:rPr>
          <w:rStyle w:val="style85"/>
          <w:rFonts w:ascii="Times New Roman" w:cs="Times New Roman" w:hAnsi="Times New Roman"/>
          <w:noProof/>
          <w:color w:val="000000"/>
          <w:sz w:val="24"/>
          <w:szCs w:val="24"/>
        </w:rPr>
        <w:t>8. Timeline (Gantt chart)</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_Toc222206451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10</w:t>
      </w:r>
      <w:r>
        <w:rPr>
          <w:rFonts w:ascii="Times New Roman" w:cs="Times New Roman" w:hAnsi="Times New Roman"/>
          <w:noProof/>
          <w:webHidden/>
          <w:color w:val="000000"/>
          <w:sz w:val="24"/>
          <w:szCs w:val="24"/>
        </w:rPr>
        <w:fldChar w:fldCharType="end"/>
      </w:r>
      <w:r>
        <w:rPr>
          <w:color w:val="000000"/>
        </w:rPr>
        <w:fldChar w:fldCharType="end"/>
      </w:r>
    </w:p>
    <w:p>
      <w:pPr>
        <w:pStyle w:val="style19"/>
        <w:tabs>
          <w:tab w:val="right" w:leader="dot" w:pos="9350"/>
        </w:tabs>
        <w:spacing w:lineRule="auto" w:line="360"/>
        <w:jc w:val="both"/>
        <w:rPr>
          <w:rFonts w:ascii="Cambria" w:cs="宋体" w:eastAsia="宋体" w:hAnsi="Cambria"/>
          <w:noProof/>
          <w:color w:val="000000"/>
        </w:rPr>
      </w:pPr>
      <w:r>
        <w:rPr>
          <w:color w:val="000000"/>
        </w:rPr>
        <w:fldChar w:fldCharType="begin"/>
      </w:r>
      <w:r>
        <w:rPr>
          <w:color w:val="000000"/>
        </w:rPr>
        <w:instrText xml:space="preserve"> HYPERLINK \l "_Toc222206452" </w:instrText>
      </w:r>
      <w:r>
        <w:rPr>
          <w:color w:val="000000"/>
        </w:rPr>
        <w:fldChar w:fldCharType="separate"/>
      </w:r>
      <w:r>
        <w:rPr>
          <w:rStyle w:val="style85"/>
          <w:rFonts w:ascii="Times New Roman" w:cs="Times New Roman" w:hAnsi="Times New Roman"/>
          <w:noProof/>
          <w:color w:val="000000"/>
          <w:sz w:val="24"/>
          <w:szCs w:val="24"/>
        </w:rPr>
        <w:t>9. References</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_Toc222206452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11</w:t>
      </w:r>
      <w:r>
        <w:rPr>
          <w:rFonts w:ascii="Times New Roman" w:cs="Times New Roman" w:hAnsi="Times New Roman"/>
          <w:noProof/>
          <w:webHidden/>
          <w:color w:val="000000"/>
          <w:sz w:val="24"/>
          <w:szCs w:val="24"/>
        </w:rPr>
        <w:fldChar w:fldCharType="end"/>
      </w:r>
      <w:r>
        <w:rPr>
          <w:color w:val="000000"/>
        </w:rPr>
        <w:fldChar w:fldCharType="end"/>
      </w:r>
    </w:p>
    <w:p>
      <w:pPr>
        <w:pStyle w:val="style0"/>
        <w:spacing w:lineRule="auto" w:line="360"/>
        <w:rPr>
          <w:rFonts w:ascii="Times New Roman" w:cs="Times New Roman" w:eastAsia="Times New Roman" w:hAnsi="Times New Roman"/>
          <w:color w:val="000000"/>
          <w:sz w:val="24"/>
          <w:szCs w:val="24"/>
        </w:rPr>
      </w:pPr>
      <w:r>
        <w:rPr>
          <w:color w:val="000000"/>
        </w:rPr>
        <w:fldChar w:fldCharType="end"/>
      </w:r>
    </w:p>
    <w:p>
      <w:pPr>
        <w:pStyle w:val="style0"/>
        <w:spacing w:lineRule="auto" w:line="360"/>
        <w:jc w:val="center"/>
        <w:rPr>
          <w:rFonts w:ascii="Times New Roman" w:cs="Times New Roman" w:eastAsia="Times New Roman" w:hAnsi="Times New Roman"/>
          <w:b/>
          <w:bCs/>
          <w:color w:val="000000"/>
          <w:sz w:val="24"/>
          <w:szCs w:val="24"/>
        </w:rPr>
      </w:pPr>
    </w:p>
    <w:bookmarkStart w:id="0" w:name="_heading=h.w8xo5e8ppt4x" w:colFirst="0" w:colLast="0"/>
    <w:bookmarkEnd w:id="0"/>
    <w:p>
      <w:pPr>
        <w:pStyle w:val="style0"/>
        <w:spacing w:lineRule="auto" w:line="360"/>
        <w:jc w:val="center"/>
        <w:rPr>
          <w:rFonts w:ascii="Times New Roman" w:cs="Times New Roman" w:eastAsia="Times New Roman" w:hAnsi="Times New Roman"/>
          <w:b/>
          <w:bCs/>
          <w:color w:val="000000"/>
          <w:sz w:val="40"/>
          <w:szCs w:val="40"/>
        </w:rPr>
      </w:pPr>
      <w:r>
        <w:rPr>
          <w:color w:val="000000"/>
        </w:rPr>
        <w:br w:type="page"/>
      </w:r>
    </w:p>
    <w:bookmarkStart w:id="1" w:name="_Toc222206439"/>
    <w:p>
      <w:pPr>
        <w:pStyle w:val="style1"/>
        <w:rPr>
          <w:color w:val="000000"/>
        </w:rPr>
      </w:pPr>
      <w:r>
        <w:rPr>
          <w:color w:val="000000"/>
        </w:rPr>
        <w:t>1. Introduction/Background/Research problem</w:t>
      </w:r>
      <w:bookmarkEnd w:id="1"/>
      <w:r>
        <w:rPr>
          <w:color w:val="000000"/>
        </w:rPr>
        <w:t xml:space="preserve"> </w:t>
      </w:r>
    </w:p>
    <w:p>
      <w:pPr>
        <w:pStyle w:val="style0"/>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 xml:space="preserve">Tesla has already become a leading brand in innovating electric vehicles in the global market with the use of high-quality technology, brand equity, and sustainability-driven policies. Although the company has been enjoying a successful expansion in the developed markets, its penetration in emerging economies like India, Turkey, and Malaysia has been weak. These markets have high potential in long-term growth but are marked by a complicated regulatory environment, infrastructural imbalance and protectionist trade policies which affect foreign market entry decision making </w:t>
      </w:r>
      <w:r>
        <w:rPr>
          <w:rFonts w:ascii="Times New Roman" w:cs="Times New Roman" w:eastAsia="Times New Roman" w:hAnsi="Times New Roman"/>
          <w:color w:val="000000"/>
          <w:sz w:val="24"/>
          <w:szCs w:val="24"/>
        </w:rPr>
        <w:t>(Chernykhovskaya, 2024)</w:t>
      </w:r>
      <w:r>
        <w:rPr>
          <w:rFonts w:ascii="Times New Roman" w:cs="Times New Roman" w:eastAsia="Times New Roman" w:hAnsi="Times New Roman"/>
          <w:color w:val="000000"/>
        </w:rPr>
        <w:t>.</w:t>
      </w:r>
    </w:p>
    <w:p>
      <w:pPr>
        <w:pStyle w:val="style0"/>
        <w:spacing w:lineRule="auto" w:line="360"/>
        <w:jc w:val="center"/>
        <w:rPr>
          <w:rFonts w:ascii="Times New Roman" w:cs="Times New Roman" w:eastAsia="Times New Roman" w:hAnsi="Times New Roman"/>
          <w:color w:val="000000"/>
        </w:rPr>
      </w:pPr>
      <w:r>
        <w:rPr>
          <w:rFonts w:ascii="Times New Roman" w:cs="Times New Roman" w:eastAsia="Times New Roman" w:hAnsi="Times New Roman"/>
          <w:noProof/>
          <w:color w:val="000000"/>
        </w:rPr>
        <w:drawing>
          <wp:inline distL="0" distT="0" distB="0" distR="0">
            <wp:extent cx="5943600" cy="3340100"/>
            <wp:effectExtent l="0" t="0" r="0" b="0"/>
            <wp:docPr id="1026"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2" cstate="print"/>
                    <a:srcRect l="0" t="0" r="0" b="0"/>
                    <a:stretch/>
                  </pic:blipFill>
                  <pic:spPr>
                    <a:xfrm rot="0">
                      <a:off x="0" y="0"/>
                      <a:ext cx="5943600" cy="33401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bCs/>
          <w:color w:val="000000"/>
        </w:rPr>
      </w:pPr>
      <w:r>
        <w:rPr>
          <w:rFonts w:ascii="Times New Roman" w:cs="Times New Roman" w:eastAsia="Times New Roman" w:hAnsi="Times New Roman"/>
          <w:b/>
          <w:bCs/>
          <w:color w:val="000000"/>
        </w:rPr>
        <w:t xml:space="preserve">Figure 1: strategies for overcoming market entry barriers </w:t>
      </w:r>
    </w:p>
    <w:p>
      <w:pPr>
        <w:pStyle w:val="style0"/>
        <w:spacing w:lineRule="auto" w:line="360"/>
        <w:jc w:val="center"/>
        <w:rPr>
          <w:rFonts w:ascii="Times New Roman" w:cs="Times New Roman" w:eastAsia="Times New Roman" w:hAnsi="Times New Roman"/>
          <w:color w:val="000000"/>
        </w:rPr>
      </w:pPr>
      <w:r>
        <w:rPr>
          <w:rFonts w:ascii="Times New Roman" w:cs="Times New Roman" w:eastAsia="Times New Roman" w:hAnsi="Times New Roman"/>
          <w:color w:val="000000"/>
        </w:rPr>
        <w:t xml:space="preserve">(Source: </w:t>
      </w:r>
      <w:r>
        <w:rPr>
          <w:color w:val="000000"/>
        </w:rPr>
        <w:fldChar w:fldCharType="begin"/>
      </w:r>
      <w:r>
        <w:rPr>
          <w:color w:val="000000"/>
        </w:rPr>
        <w:instrText xml:space="preserve"> HYPERLINK "https://fastercapital.com/topics/identifying-market-entry-barriers.html/1" </w:instrText>
      </w:r>
      <w:r>
        <w:rPr>
          <w:color w:val="000000"/>
        </w:rPr>
        <w:fldChar w:fldCharType="separate"/>
      </w:r>
      <w:r>
        <w:rPr>
          <w:rFonts w:ascii="Times New Roman" w:cs="Times New Roman" w:eastAsia="Times New Roman" w:hAnsi="Times New Roman"/>
          <w:color w:val="000000"/>
          <w:u w:val="single"/>
        </w:rPr>
        <w:t>https://fastercapital.com/topics/identifying-market-entry-barriers.html/1</w:t>
      </w:r>
      <w:r>
        <w:rPr>
          <w:color w:val="000000"/>
        </w:rPr>
        <w:fldChar w:fldCharType="end"/>
      </w:r>
      <w:r>
        <w:rPr>
          <w:rFonts w:ascii="Times New Roman" w:cs="Times New Roman" w:eastAsia="Times New Roman" w:hAnsi="Times New Roman"/>
          <w:color w:val="000000"/>
        </w:rPr>
        <w:t xml:space="preserve">) </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rPr>
        <w:t xml:space="preserve">Although Tesla has competitive ownership advantages, it faces significant market entry opportunities in the emerging economies such as tariffs of high importation, regulatory uncertainties, and electric vehicle infrastructural development </w:t>
      </w:r>
      <w:r>
        <w:rPr>
          <w:rFonts w:ascii="Times New Roman" w:cs="Times New Roman" w:eastAsia="Times New Roman" w:hAnsi="Times New Roman"/>
          <w:color w:val="000000"/>
          <w:sz w:val="24"/>
          <w:szCs w:val="24"/>
        </w:rPr>
        <w:t>(Mostafa, 2025)</w:t>
      </w:r>
      <w:r>
        <w:rPr>
          <w:rFonts w:ascii="Times New Roman" w:cs="Times New Roman" w:eastAsia="Times New Roman" w:hAnsi="Times New Roman"/>
          <w:color w:val="000000"/>
        </w:rPr>
        <w:t xml:space="preserve">. Therefore, it is not clear as to whether exporting of vehicles or the investment on the manufacture of the localised manufacturing is the best approach towards curbing these obstacles. In this study, the research problem will be assessed through the implementation of the OLI framework developed by Dunning to identify the most feasible foreign market entry strategy that Tesla will use in the emerging economies. </w:t>
      </w:r>
      <w:r>
        <w:rPr>
          <w:rFonts w:ascii="Times New Roman" w:cs="Times New Roman" w:eastAsia="Times New Roman" w:hAnsi="Times New Roman"/>
          <w:color w:val="000000"/>
          <w:sz w:val="24"/>
          <w:szCs w:val="24"/>
        </w:rPr>
        <w:t>The world market of electric vehicles (EV) has been expanding at an alarming rate, and as of 2023, EV sales amounted to more than 14 million vehicles, which represents about 18 percent of all vehicles sold in the world. Tesla is also among the most popular producers of EVs, providing more than 1.8 million cars per year around the world in 2023. Although Tesla has experienced high market penetration in the developed economies like the United States and Europe, there is a big growth in the emerging economies. Countries such as India target EV adoption of 30% in 2030, but intend to place import levies of as much as 100 percent on fully assembled vehicles. These forms of regulations and infrastructure pose a significant impact on the Tesla choices in foreign market entry strategy.</w:t>
      </w:r>
    </w:p>
    <w:bookmarkStart w:id="2" w:name="_heading=h.9nu0gqz3sdg7" w:colFirst="0" w:colLast="0"/>
    <w:bookmarkStart w:id="3" w:name="_Toc222206442"/>
    <w:bookmarkEnd w:id="2"/>
    <w:p>
      <w:pPr>
        <w:pStyle w:val="style2"/>
        <w:rPr>
          <w:color w:val="000000"/>
        </w:rPr>
      </w:pPr>
      <w:r>
        <w:rPr>
          <w:color w:val="000000"/>
        </w:rPr>
        <w:t>Research Problem and Rationale.</w:t>
      </w:r>
      <w:bookmarkEnd w:id="3"/>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The main research question in this study is to ascertain how Tesla can successfully circumvent market entry obstacles in the economies under analysis and, as per the framework of Dunning, which strategy of exportation and domestic production gives a more sustainable competitive advantage, OLI. Even though Tesla has secured a good market share in the developed economies, the company has not penetrated the emerging markets in India, Turkey and Malaysia because there are high import tariffs, uncertainty about regulation, the lack of infrastructure and protectionist policies </w:t>
      </w:r>
      <w:r>
        <w:rPr>
          <w:rFonts w:ascii="Times New Roman" w:cs="Times New Roman" w:eastAsia="Times New Roman" w:hAnsi="Times New Roman"/>
          <w:color w:val="000000"/>
        </w:rPr>
        <w:t>(Xin, 2025)</w:t>
      </w:r>
      <w:r>
        <w:rPr>
          <w:rFonts w:ascii="Times New Roman" w:cs="Times New Roman" w:eastAsia="Times New Roman" w:hAnsi="Times New Roman"/>
          <w:color w:val="000000"/>
          <w:sz w:val="24"/>
          <w:szCs w:val="24"/>
        </w:rPr>
        <w:t>. Such structural barriers result in uncertainty in strategies when it comes to the mode of foreign market entry that is the most appropriate.</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The aim of the research is justified by a gap in the existing literature that generally addresses the subject of internationalisation strategies and the OLI paradigm without significant Tesla specificity in emerging economies </w:t>
      </w:r>
      <w:r>
        <w:rPr>
          <w:rFonts w:ascii="Times New Roman" w:cs="Times New Roman" w:eastAsia="Times New Roman" w:hAnsi="Times New Roman"/>
          <w:color w:val="000000"/>
        </w:rPr>
        <w:t xml:space="preserve">(Nomani </w:t>
      </w:r>
      <w:r>
        <w:rPr>
          <w:rFonts w:ascii="Times New Roman" w:cs="Times New Roman" w:eastAsia="Times New Roman" w:hAnsi="Times New Roman"/>
          <w:i/>
          <w:iCs/>
          <w:color w:val="000000"/>
        </w:rPr>
        <w:t xml:space="preserve">et al., </w:t>
      </w:r>
      <w:r>
        <w:rPr>
          <w:rFonts w:ascii="Times New Roman" w:cs="Times New Roman" w:eastAsia="Times New Roman" w:hAnsi="Times New Roman"/>
          <w:color w:val="000000"/>
        </w:rPr>
        <w:t>2025)</w:t>
      </w:r>
      <w:r>
        <w:rPr>
          <w:rFonts w:ascii="Times New Roman" w:cs="Times New Roman" w:eastAsia="Times New Roman" w:hAnsi="Times New Roman"/>
          <w:color w:val="000000"/>
          <w:sz w:val="24"/>
          <w:szCs w:val="24"/>
        </w:rPr>
        <w:t>. Considering the high expansion rate of these markets and rising demand of EVs in the entire world, it is important to know the strategic fitness between the benefits of ownership, location, and internalisation. This paper thus seeks to offer evidence-based strategic findings on the best market entry strategy of Tesla.</w:t>
      </w:r>
    </w:p>
    <w:bookmarkStart w:id="4" w:name="_Toc222206443"/>
    <w:p>
      <w:pPr>
        <w:pStyle w:val="style1"/>
        <w:rPr>
          <w:color w:val="000000"/>
        </w:rPr>
      </w:pPr>
      <w:r>
        <w:rPr>
          <w:color w:val="000000"/>
        </w:rPr>
        <w:t>2. Research Aim</w:t>
      </w:r>
      <w:bookmarkEnd w:id="4"/>
    </w:p>
    <w:p>
      <w:pPr>
        <w:pStyle w:val="style0"/>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This research is going to focus on critically analysing the barriers of entering the market by Tesla in the selected emerging economies, as well as comparing and contrasting whether localised production is a viable and sustainable competitive advantage against exporting as a form of foreign market entry.</w:t>
      </w:r>
    </w:p>
    <w:bookmarkStart w:id="5" w:name="_Toc222206444"/>
    <w:p>
      <w:pPr>
        <w:pStyle w:val="style1"/>
        <w:rPr>
          <w:color w:val="000000"/>
        </w:rPr>
      </w:pPr>
      <w:r>
        <w:rPr>
          <w:color w:val="000000"/>
        </w:rPr>
        <w:t>3. Research Objectives (OLI-Aligned)</w:t>
      </w:r>
      <w:bookmarkEnd w:id="5"/>
    </w:p>
    <w:p>
      <w:pPr>
        <w:pStyle w:val="style0"/>
        <w:numPr>
          <w:ilvl w:val="0"/>
          <w:numId w:val="1"/>
        </w:numPr>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To identify and critically analyze the major barriers to market entry experienced by Tesla in the chosen emerging economies such as India, Turkey and Malaysia.</w:t>
      </w:r>
    </w:p>
    <w:p>
      <w:pPr>
        <w:pStyle w:val="style0"/>
        <w:numPr>
          <w:ilvl w:val="0"/>
          <w:numId w:val="1"/>
        </w:numPr>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To examine the political, economic, and infrastructural elements that can drive Tesla to make a strategic decision on whether to export cars or build them locally.</w:t>
      </w:r>
    </w:p>
    <w:p>
      <w:pPr>
        <w:pStyle w:val="style0"/>
        <w:numPr>
          <w:ilvl w:val="0"/>
          <w:numId w:val="1"/>
        </w:numPr>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To analyse the benefit of Ownership that Tesla has including technological innovation, brand equity, and proprietary capabilities in the framework of the emerging markets.</w:t>
      </w:r>
    </w:p>
    <w:p>
      <w:pPr>
        <w:pStyle w:val="style0"/>
        <w:numPr>
          <w:ilvl w:val="0"/>
          <w:numId w:val="1"/>
        </w:numPr>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To evaluate location-specific advantages and constraints on the feasibility and desirability of localised manufacturing in emerging economies.</w:t>
      </w:r>
    </w:p>
    <w:p>
      <w:pPr>
        <w:pStyle w:val="style0"/>
        <w:numPr>
          <w:ilvl w:val="0"/>
          <w:numId w:val="1"/>
        </w:numPr>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 xml:space="preserve">To assess the benefits of Internalisation, it is necessary to find out whether local production would allow a company to be cost-effective, exercise control in operations, and flexibility in strategies, as compared to exporting. </w:t>
      </w:r>
    </w:p>
    <w:p>
      <w:pPr>
        <w:pStyle w:val="style0"/>
        <w:numPr>
          <w:ilvl w:val="0"/>
          <w:numId w:val="1"/>
        </w:numPr>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To provide evidence-based strategic insights on whether localised manufacturing can give Tesla sustainable competitive advantage in the emerging economies.</w:t>
      </w:r>
    </w:p>
    <w:bookmarkStart w:id="6" w:name="_Toc222206445"/>
    <w:p>
      <w:pPr>
        <w:pStyle w:val="style1"/>
        <w:rPr>
          <w:color w:val="000000"/>
        </w:rPr>
      </w:pPr>
      <w:r>
        <w:rPr>
          <w:color w:val="000000"/>
        </w:rPr>
        <w:t>4. Research question</w:t>
      </w:r>
      <w:bookmarkEnd w:id="6"/>
      <w:r>
        <w:rPr>
          <w:color w:val="000000"/>
        </w:rPr>
        <w:t xml:space="preserve"> </w:t>
      </w:r>
    </w:p>
    <w:p>
      <w:pPr>
        <w:pStyle w:val="style0"/>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Which are the ways that Tesla can overcome barriers to market entry in the emerging markets as well as how far can localised manufacturing, as compared to exporting, offer a sustainable competitive advantage under the OLI model developed by Dunning?</w:t>
      </w:r>
    </w:p>
    <w:bookmarkStart w:id="7" w:name="_Toc222206446"/>
    <w:p>
      <w:pPr>
        <w:pStyle w:val="style1"/>
        <w:rPr>
          <w:color w:val="000000"/>
        </w:rPr>
      </w:pPr>
      <w:r>
        <w:rPr>
          <w:color w:val="000000"/>
        </w:rPr>
        <w:t>5. Literature Review</w:t>
      </w:r>
      <w:bookmarkEnd w:id="7"/>
      <w:r>
        <w:rPr>
          <w:color w:val="000000"/>
        </w:rPr>
        <w:t xml:space="preserve"> </w:t>
      </w:r>
    </w:p>
    <w:p>
      <w:pPr>
        <w:pStyle w:val="style0"/>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b/>
          <w:bCs/>
          <w:i/>
          <w:iCs/>
          <w:color w:val="000000"/>
        </w:rPr>
        <w:t xml:space="preserve">Madhavi Keshri (2024) </w:t>
      </w:r>
      <w:r>
        <w:rPr>
          <w:rFonts w:ascii="Times New Roman" w:cs="Times New Roman" w:eastAsia="Times New Roman" w:hAnsi="Times New Roman"/>
          <w:color w:val="000000"/>
        </w:rPr>
        <w:t xml:space="preserve">explores the complexities Tesla is likely to face entering foreign markets, such as regulatory barriers, tariff barriers, inadequate infrastructure and competitive forces. Some of the major entry barriers found include entry by being costly in compliance, existence of institutional rigidities and strategic constraints to global entry </w:t>
      </w:r>
      <w:r>
        <w:rPr>
          <w:rFonts w:ascii="Times New Roman" w:cs="Times New Roman" w:eastAsia="Times New Roman" w:hAnsi="Times New Roman"/>
          <w:color w:val="000000"/>
          <w:sz w:val="24"/>
          <w:szCs w:val="24"/>
        </w:rPr>
        <w:t>(Keshri, 2024)</w:t>
      </w:r>
      <w:r>
        <w:rPr>
          <w:rFonts w:ascii="Times New Roman" w:cs="Times New Roman" w:eastAsia="Times New Roman" w:hAnsi="Times New Roman"/>
          <w:color w:val="000000"/>
        </w:rPr>
        <w:t>. This study also tackles the importance of strategic planning of market entry and dynamic internationalisation strategies to companies such as Tesla that aim to grow sustainably beyond the developed economies.</w:t>
      </w:r>
    </w:p>
    <w:p>
      <w:pPr>
        <w:pStyle w:val="style0"/>
        <w:spacing w:lineRule="auto" w:line="360"/>
        <w:jc w:val="both"/>
        <w:rPr>
          <w:rFonts w:ascii="Times New Roman" w:cs="Times New Roman" w:eastAsia="Times New Roman" w:hAnsi="Times New Roman"/>
          <w:b/>
          <w:bCs/>
          <w:i/>
          <w:iCs/>
          <w:color w:val="000000"/>
        </w:rPr>
      </w:pPr>
      <w:r>
        <w:rPr>
          <w:rFonts w:ascii="Times New Roman" w:cs="Times New Roman" w:eastAsia="Times New Roman" w:hAnsi="Times New Roman"/>
          <w:b/>
          <w:bCs/>
          <w:i/>
          <w:iCs/>
          <w:color w:val="000000"/>
        </w:rPr>
        <w:t>In this study, Cai (2025) e</w:t>
      </w:r>
      <w:r>
        <w:rPr>
          <w:rFonts w:ascii="Times New Roman" w:cs="Times New Roman" w:eastAsia="Times New Roman" w:hAnsi="Times New Roman"/>
          <w:color w:val="000000"/>
        </w:rPr>
        <w:t xml:space="preserve">xplores internationalization strategies in the electric vehicle sector based on a case study of Tesla to describe how global EV companies overcome structural and strategic challenges. The paper underlines the significance of these modes of entry into foreign nations, cross-border decision-making in production and adaptation to local policy conditions </w:t>
      </w:r>
      <w:r>
        <w:rPr>
          <w:rFonts w:ascii="Times New Roman" w:cs="Times New Roman" w:eastAsia="Times New Roman" w:hAnsi="Times New Roman"/>
          <w:color w:val="000000"/>
          <w:sz w:val="24"/>
          <w:szCs w:val="24"/>
        </w:rPr>
        <w:t>(Cai, 2025)</w:t>
      </w:r>
      <w:r>
        <w:rPr>
          <w:rFonts w:ascii="Times New Roman" w:cs="Times New Roman" w:eastAsia="Times New Roman" w:hAnsi="Times New Roman"/>
          <w:color w:val="000000"/>
        </w:rPr>
        <w:t xml:space="preserve">. Limited studies mainly apply the OLI framework for assessing whether exporting or localised manufacturing offers sustainable competitive advantage. </w:t>
      </w:r>
      <w:r>
        <w:rPr>
          <w:rFonts w:ascii="Times New Roman" w:cs="Times New Roman" w:eastAsia="Times New Roman" w:hAnsi="Times New Roman"/>
          <w:b/>
          <w:bCs/>
          <w:i/>
          <w:iCs/>
          <w:color w:val="000000"/>
        </w:rPr>
        <w:t xml:space="preserve">This particular research aims to fill this gap[ by giving evidence based insights for tesla’s market entry strategy. </w:t>
      </w:r>
    </w:p>
    <w:p>
      <w:pPr>
        <w:pStyle w:val="style0"/>
        <w:spacing w:lineRule="auto" w:line="360"/>
        <w:jc w:val="center"/>
        <w:rPr>
          <w:rFonts w:ascii="Times New Roman" w:cs="Times New Roman" w:eastAsia="Times New Roman" w:hAnsi="Times New Roman"/>
          <w:b/>
          <w:bCs/>
          <w:i/>
          <w:iCs/>
          <w:color w:val="000000"/>
        </w:rPr>
      </w:pPr>
      <w:r>
        <w:rPr>
          <w:rFonts w:ascii="Times New Roman" w:cs="Times New Roman" w:eastAsia="Times New Roman" w:hAnsi="Times New Roman"/>
          <w:b/>
          <w:bCs/>
          <w:i/>
          <w:iCs/>
          <w:noProof/>
          <w:color w:val="000000"/>
        </w:rPr>
        <w:drawing>
          <wp:inline distL="0" distT="0" distB="0" distR="0">
            <wp:extent cx="2857500" cy="1600200"/>
            <wp:effectExtent l="0" t="0" r="0" b="0"/>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2857500" cy="16002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bCs/>
          <w:color w:val="000000"/>
        </w:rPr>
      </w:pPr>
      <w:r>
        <w:rPr>
          <w:rFonts w:ascii="Times New Roman" w:cs="Times New Roman" w:eastAsia="Times New Roman" w:hAnsi="Times New Roman"/>
          <w:b/>
          <w:bCs/>
          <w:color w:val="000000"/>
        </w:rPr>
        <w:t xml:space="preserve">Figure 2: OLI Framework </w:t>
      </w:r>
    </w:p>
    <w:p>
      <w:pPr>
        <w:pStyle w:val="style0"/>
        <w:spacing w:lineRule="auto" w:line="360"/>
        <w:jc w:val="center"/>
        <w:rPr>
          <w:rFonts w:ascii="Times New Roman" w:cs="Times New Roman" w:eastAsia="Times New Roman" w:hAnsi="Times New Roman"/>
          <w:i/>
          <w:iCs/>
          <w:color w:val="000000"/>
        </w:rPr>
      </w:pPr>
      <w:r>
        <w:rPr>
          <w:rFonts w:ascii="Times New Roman" w:cs="Times New Roman" w:eastAsia="Times New Roman" w:hAnsi="Times New Roman"/>
          <w:i/>
          <w:iCs/>
          <w:color w:val="000000"/>
        </w:rPr>
        <w:t xml:space="preserve">(Source: </w:t>
      </w:r>
      <w:r>
        <w:rPr>
          <w:color w:val="000000"/>
        </w:rPr>
        <w:fldChar w:fldCharType="begin"/>
      </w:r>
      <w:r>
        <w:rPr>
          <w:color w:val="000000"/>
        </w:rPr>
        <w:instrText xml:space="preserve"> HYPERLINK "https://www.business-to-you.com/choosing-the-right-entry-mode-strategy/" </w:instrText>
      </w:r>
      <w:r>
        <w:rPr>
          <w:color w:val="000000"/>
        </w:rPr>
        <w:fldChar w:fldCharType="separate"/>
      </w:r>
      <w:r>
        <w:rPr>
          <w:rFonts w:ascii="Times New Roman" w:cs="Times New Roman" w:eastAsia="Times New Roman" w:hAnsi="Times New Roman"/>
          <w:i/>
          <w:iCs/>
          <w:color w:val="000000"/>
          <w:u w:val="single"/>
        </w:rPr>
        <w:t>https://www.business-to-you.com/choosing-the-right-entry-mode-strategy/</w:t>
      </w:r>
      <w:r>
        <w:rPr>
          <w:color w:val="000000"/>
        </w:rPr>
        <w:fldChar w:fldCharType="end"/>
      </w:r>
      <w:r>
        <w:rPr>
          <w:rFonts w:ascii="Times New Roman" w:cs="Times New Roman" w:eastAsia="Times New Roman" w:hAnsi="Times New Roman"/>
          <w:i/>
          <w:iCs/>
          <w:color w:val="000000"/>
        </w:rPr>
        <w:t xml:space="preserve">) </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Prejudication and strategy reports state that the OLI paradigm provided by Dunning provides a systematic approach to examining entry barriers and entry mode choice of the multinationals in the host economies (Amiraslanov 2025). The author maintains that companies will participate in a foreign direct investment because they consider that they have powerful Ownership advantages, can find favourable Location advantages, and enjoy Internalisation advantages. In the emerging economy setting, Amiraslanov (2025) points out that location-specific disadvantages such as political risk, business instability, poor infrastructure and protectionist trade policies can add around 30-40 percent to the uncertainty in the operations than in the developed economies. Such conditions are directly applicable to the diversification of Tesla into the emerging markets of India and Turkey where the presence of a high import duty and regulatory barriers influence entry strategy choices greatly. The research also observes that regimes of high tariff refers to a tariff regime which increases the price of goods by 20-35 percent when the companies sell their products only through exportation (Amiraslanov, 2025). In the case of Tesla, it can decrease cost-sensitive new market price competitiveness. Thus, the application of the OLI framework indicates that Tesla has strong Ownership benefits due to its innovative battery technology and brand equity, but to break through the entry barriers, it is necessary to use the strengths of Place factors by means of localised production. Moreover, Internalisation benefits allow Tesla to secure proprietary EV technology and have operation control that is crucial in ensuring competitive advantage in high-technology industries.</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Mostafa (2025) elaborates that, as MNEs vie to invest in a new emerging market, they have to deal with institutional volatility, trade protectionism, and competition intensity factors, which are significantly pertinent to the Tesla expansion policy. The author clarifies that the policy instability rates are almost 30 times higher in the emerging markets compared with the developed economies making foreign automotive firms more uncertain about their control by new regulations. In the case of Tesla, the volatility directly impacts on exporting as opposed to establishing local manufacturing plants. Mostafa (2025) also observes that companies that export alone are likely to have up to 20-40 percent disadvantage in the form of tariffs as well as costs of logistics and changes in the exchange rates thus situations that are highly disadvantageous to the premium electric vehicles such as Tesla in markets that have a high burden of tariffs like India </w:t>
      </w:r>
      <w:r>
        <w:rPr>
          <w:rFonts w:ascii="Times New Roman" w:cs="Times New Roman" w:eastAsia="Times New Roman" w:hAnsi="Times New Roman"/>
          <w:color w:val="000000"/>
        </w:rPr>
        <w:t>(Mostafa, 2025)</w:t>
      </w:r>
      <w:r>
        <w:rPr>
          <w:rFonts w:ascii="Times New Roman" w:cs="Times New Roman" w:eastAsia="Times New Roman" w:hAnsi="Times New Roman"/>
          <w:color w:val="000000"/>
          <w:sz w:val="24"/>
          <w:szCs w:val="24"/>
        </w:rPr>
        <w:t>.Using the OLI framework developed by Dunning, according to Mostafa (2025), the firms that are strong in Ownership advantages such as highly developed proprietary technology, battery innovation, and international brand equity, the features that Tesla is strongly related to become more innovative in absorbing the risk of entry. Nevertheless, the author underlines that the sustainable success relies on the Location advantages, i.e., the labour cost differentials, which are 40-60 percent less than those in the developed markets and the growth rates of emerging markets are 6-8 percent/year on average. Moreover, the benefits of Internalisation, Tesla can safeguard its battery technology and have a quality control instrument by means of localised production. Thus, Mostafa (2025) subtly suggests that foreign direct investment is likely to be more important as a long-term competitive edge that Tesla can have in the growing economies than the concept of pure exporting.</w:t>
      </w:r>
    </w:p>
    <w:p>
      <w:pPr>
        <w:pStyle w:val="style0"/>
        <w:spacing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Literature Gap</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Even though the current literature covers Tesla globalisation strategies and the OLI model by Dunning respectively, there is a lack of research on how both perspectives can work together to assess the market entry barriers that Tesla faces when venturing into emerging economies. The existing literature pays much attention to the developed markets, or the general approaches to internationalisation, and does not present a comparative analysis of exporting and localised manufacturing of Tesla. Thus, Tesla-specific, OLI-based analysis of sustainable competitive advantage in emerging economies is still insufficient.</w:t>
      </w:r>
    </w:p>
    <w:bookmarkStart w:id="8" w:name="_Toc222206447"/>
    <w:p>
      <w:pPr>
        <w:pStyle w:val="style1"/>
        <w:rPr>
          <w:color w:val="000000"/>
        </w:rPr>
      </w:pPr>
      <w:r>
        <w:rPr>
          <w:color w:val="000000"/>
        </w:rPr>
        <w:t>6. Research Methodology</w:t>
      </w:r>
      <w:bookmarkEnd w:id="8"/>
      <w:r>
        <w:rPr>
          <w:color w:val="000000"/>
        </w:rPr>
        <w:t xml:space="preserve"> </w:t>
      </w:r>
    </w:p>
    <w:p>
      <w:pPr>
        <w:pStyle w:val="style0"/>
        <w:spacing w:lineRule="auto" w:line="360"/>
        <w:jc w:val="both"/>
        <w:rPr>
          <w:rFonts w:ascii="Times New Roman" w:cs="Times New Roman" w:eastAsia="Times New Roman" w:hAnsi="Times New Roman"/>
          <w:color w:val="000000"/>
        </w:rPr>
      </w:pPr>
      <w:r>
        <w:rPr>
          <w:rFonts w:ascii="Times New Roman" w:cs="Times New Roman" w:eastAsia="Times New Roman" w:hAnsi="Times New Roman"/>
          <w:color w:val="000000"/>
        </w:rPr>
        <w:t>The type of the research study is</w:t>
      </w:r>
      <w:r>
        <w:rPr>
          <w:rFonts w:ascii="Times New Roman" w:cs="Times New Roman" w:eastAsia="Times New Roman" w:hAnsi="Times New Roman"/>
          <w:b/>
          <w:bCs/>
          <w:i/>
          <w:iCs/>
          <w:color w:val="000000"/>
        </w:rPr>
        <w:t xml:space="preserve"> qualitative, secondary research study,</w:t>
      </w:r>
      <w:r>
        <w:rPr>
          <w:rFonts w:ascii="Times New Roman" w:cs="Times New Roman" w:eastAsia="Times New Roman" w:hAnsi="Times New Roman"/>
          <w:color w:val="000000"/>
        </w:rPr>
        <w:t xml:space="preserve"> which is a systematic review and analysis of the existing academic journal articles, industry reports, strategic business reviews, and reputable media articles concerning the Tesla market entry strategies and the OLI framework. T</w:t>
      </w:r>
      <w:r>
        <w:rPr>
          <w:rFonts w:ascii="Times New Roman" w:cs="Times New Roman" w:eastAsia="Times New Roman" w:hAnsi="Times New Roman"/>
          <w:b/>
          <w:bCs/>
          <w:i/>
          <w:iCs/>
          <w:color w:val="000000"/>
        </w:rPr>
        <w:t>he deductive approach</w:t>
      </w:r>
      <w:r>
        <w:rPr>
          <w:rFonts w:ascii="Times New Roman" w:cs="Times New Roman" w:eastAsia="Times New Roman" w:hAnsi="Times New Roman"/>
          <w:color w:val="000000"/>
        </w:rPr>
        <w:t xml:space="preserve"> will be considered and will commence with the existing theory (the OLI model formulated by Dunning) and its application to the scenario presented in the case of Tesla and its experience in the new markets </w:t>
      </w:r>
      <w:r>
        <w:rPr>
          <w:rFonts w:ascii="Times New Roman" w:cs="Times New Roman" w:eastAsia="Times New Roman" w:hAnsi="Times New Roman"/>
          <w:color w:val="000000"/>
          <w:sz w:val="24"/>
          <w:szCs w:val="24"/>
        </w:rPr>
        <w:t>(Brenda, 2023)</w:t>
      </w:r>
      <w:r>
        <w:rPr>
          <w:rFonts w:ascii="Times New Roman" w:cs="Times New Roman" w:eastAsia="Times New Roman" w:hAnsi="Times New Roman"/>
          <w:color w:val="000000"/>
        </w:rPr>
        <w:t xml:space="preserve">. </w:t>
      </w:r>
      <w:r>
        <w:rPr>
          <w:rFonts w:ascii="Times New Roman" w:cs="Times New Roman" w:eastAsia="Times New Roman" w:hAnsi="Times New Roman"/>
          <w:b/>
          <w:bCs/>
          <w:i/>
          <w:iCs/>
          <w:color w:val="000000"/>
        </w:rPr>
        <w:t xml:space="preserve">The research is also based on interpretivism philosophy </w:t>
      </w:r>
      <w:r>
        <w:rPr>
          <w:rFonts w:ascii="Times New Roman" w:cs="Times New Roman" w:eastAsia="Times New Roman" w:hAnsi="Times New Roman"/>
          <w:color w:val="000000"/>
        </w:rPr>
        <w:t xml:space="preserve">that aims to comprehend the subtle strategic decision-making and situational factors influencing the decision made by Tesla. </w:t>
      </w:r>
      <w:r>
        <w:rPr>
          <w:rFonts w:ascii="Times New Roman" w:cs="Times New Roman" w:eastAsia="Times New Roman" w:hAnsi="Times New Roman"/>
          <w:b/>
          <w:bCs/>
          <w:i/>
          <w:iCs/>
          <w:color w:val="000000"/>
        </w:rPr>
        <w:t>The secondary qualitative analysis</w:t>
      </w:r>
      <w:r>
        <w:rPr>
          <w:rFonts w:ascii="Times New Roman" w:cs="Times New Roman" w:eastAsia="Times New Roman" w:hAnsi="Times New Roman"/>
          <w:color w:val="000000"/>
        </w:rPr>
        <w:t xml:space="preserve"> will fit in this case since primary field research is not feasible with the multi-national scale and resource capacity of Tesla.</w:t>
      </w:r>
    </w:p>
    <w:bookmarkStart w:id="9" w:name="_heading=h.jbh6i2tfgh24" w:colFirst="0" w:colLast="0"/>
    <w:bookmarkStart w:id="10" w:name="_Toc222206448"/>
    <w:bookmarkEnd w:id="9"/>
    <w:p>
      <w:pPr>
        <w:pStyle w:val="style2"/>
        <w:rPr>
          <w:rFonts w:cs="Times New Roman" w:eastAsia="Times New Roman"/>
          <w:color w:val="000000"/>
        </w:rPr>
      </w:pPr>
      <w:r>
        <w:rPr>
          <w:rFonts w:cs="Times New Roman" w:eastAsia="Times New Roman"/>
          <w:color w:val="000000"/>
        </w:rPr>
        <w:t>Data Analysis Process and Data Collection</w:t>
      </w:r>
      <w:bookmarkEnd w:id="10"/>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The proposed research employs a secondary data study design, which is qualitative. Peer-reviewed academic journals, reports published by industries, government publications and international organisations which include the International Energy Agency (IEA), World Bank and World Trade Organization (WTO) will be used to collect data. The literature with publications starting in the year 2019 and onward shall be considered in the study to have current and relevant information </w:t>
      </w:r>
      <w:r>
        <w:rPr>
          <w:rFonts w:ascii="Times New Roman" w:cs="Times New Roman" w:eastAsia="Times New Roman" w:hAnsi="Times New Roman"/>
          <w:color w:val="000000"/>
        </w:rPr>
        <w:t>(Jawahdou, 2023.)</w:t>
      </w:r>
      <w:r>
        <w:rPr>
          <w:rFonts w:ascii="Times New Roman" w:cs="Times New Roman" w:eastAsia="Times New Roman" w:hAnsi="Times New Roman"/>
          <w:color w:val="000000"/>
          <w:sz w:val="24"/>
          <w:szCs w:val="24"/>
        </w:rPr>
        <w:t xml:space="preserve">. Information that will be reviewed in order will be the data on import tariffs, EV penetration, infrastructure development, foreign direct investment (FDI) policies, and labour cost arrangements in such emerging economies as India, Turkey, and Malaysia </w:t>
      </w:r>
      <w:r>
        <w:rPr>
          <w:rFonts w:ascii="Times New Roman" w:cs="Times New Roman" w:eastAsia="Times New Roman" w:hAnsi="Times New Roman"/>
          <w:color w:val="000000"/>
        </w:rPr>
        <w:t>(Ng, 2024)</w:t>
      </w:r>
      <w:r>
        <w:rPr>
          <w:rFonts w:ascii="Times New Roman" w:cs="Times New Roman" w:eastAsia="Times New Roman" w:hAnsi="Times New Roman"/>
          <w:color w:val="000000"/>
          <w:sz w:val="24"/>
          <w:szCs w:val="24"/>
        </w:rPr>
        <w:t>. The study shall employ the thematic analysis methodology of data analysis after a systematic process of coding. In the first place, the relevant data will be extracted and familiarised. Second, preliminary codes will be developed. Third, there will be five major themes of codes:</w:t>
      </w:r>
    </w:p>
    <w:p>
      <w:pPr>
        <w:pStyle w:val="style0"/>
        <w:spacing w:lineRule="auto" w:line="360"/>
        <w:jc w:val="both"/>
        <w:rPr>
          <w:rFonts w:ascii="Times New Roman" w:cs="Times New Roman" w:eastAsia="Times New Roman" w:hAnsi="Times New Roman"/>
          <w:b/>
          <w:bCs/>
          <w:i/>
          <w:iCs/>
          <w:color w:val="000000"/>
          <w:sz w:val="24"/>
          <w:szCs w:val="24"/>
        </w:rPr>
      </w:pPr>
      <w:r>
        <w:rPr>
          <w:rFonts w:ascii="Times New Roman" w:cs="Times New Roman" w:eastAsia="Times New Roman" w:hAnsi="Times New Roman"/>
          <w:b/>
          <w:bCs/>
          <w:i/>
          <w:iCs/>
          <w:color w:val="000000"/>
          <w:sz w:val="24"/>
          <w:szCs w:val="24"/>
        </w:rPr>
        <w:t>Theme 1: Impact of Protectionist Trade Policies and Import Tariff Structures on Tesla’s Market Entry</w:t>
        <w:br/>
        <w:t>Theme 2:EV Charging Infrastructure Capacity and Institutional Support for Electric Mobility Development</w:t>
        <w:br/>
        <w:t>Theme 3:Tesla’s Ownership-Specific Advantages: Technological Innovation, Battery Capability, and Global Brand Equity</w:t>
        <w:br/>
        <w:t>Theme 4:Host-Country Location Determinants: Labour Costs, Market Growth Potential, and Investment Incentives</w:t>
        <w:br/>
        <w:t>Theme 5:Comparative Evaluation of Exporting versus Localised Manufacturing under Internalisation Advantages</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The above themes will be analysed using Dunning’s OLI framework to evaluate Tesla’s most sustainable foreign market entry strategy.</w:t>
      </w:r>
    </w:p>
    <w:p>
      <w:pPr>
        <w:pStyle w:val="style0"/>
        <w:spacing w:lineRule="auto" w:line="360"/>
        <w:jc w:val="both"/>
        <w:rPr>
          <w:rFonts w:ascii="Times New Roman" w:cs="Times New Roman" w:eastAsia="Times New Roman" w:hAnsi="Times New Roman"/>
          <w:color w:val="000000"/>
        </w:rPr>
      </w:pPr>
    </w:p>
    <w:bookmarkStart w:id="11" w:name="_heading=h.sciir0jax10b" w:colFirst="0" w:colLast="0"/>
    <w:bookmarkStart w:id="12" w:name="_Toc222206449"/>
    <w:bookmarkEnd w:id="11"/>
    <w:p>
      <w:pPr>
        <w:pStyle w:val="style2"/>
        <w:rPr>
          <w:color w:val="000000"/>
        </w:rPr>
      </w:pPr>
      <w:r>
        <w:rPr>
          <w:color w:val="000000"/>
        </w:rPr>
        <w:t>Research Ethics</w:t>
      </w:r>
      <w:bookmarkEnd w:id="12"/>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This study will comply  with the ethics of academic research, since it relies fully on the free secondary data presented publicly, such as peer-reviewed journal articles, industrial publications of reputable institutions. There will be no primary data with the human participants, hence no concern of consent issues, confidentiality, and personal data protection </w:t>
      </w:r>
      <w:r>
        <w:rPr>
          <w:rFonts w:ascii="Times New Roman" w:cs="Times New Roman" w:eastAsia="Times New Roman" w:hAnsi="Times New Roman"/>
          <w:color w:val="000000"/>
        </w:rPr>
        <w:t>(Guven, 2026)</w:t>
      </w:r>
      <w:r>
        <w:rPr>
          <w:rFonts w:ascii="Times New Roman" w:cs="Times New Roman" w:eastAsia="Times New Roman" w:hAnsi="Times New Roman"/>
          <w:color w:val="000000"/>
          <w:sz w:val="24"/>
          <w:szCs w:val="24"/>
        </w:rPr>
        <w:t>. The sources will be referenced and cited in the most appropriate ways to prevent plagiarism and intellectual integrity. In its research, the study will remain objective because it will be a critical analysis of various views and it would not be biased in its interpretation. Also, no trade secrets, proprietary or business sensitive data will be applied concerning Tesla or other companies.</w:t>
      </w:r>
    </w:p>
    <w:bookmarkStart w:id="13" w:name="_Toc222206450"/>
    <w:p>
      <w:pPr>
        <w:pStyle w:val="style1"/>
        <w:rPr>
          <w:color w:val="000000"/>
        </w:rPr>
      </w:pPr>
      <w:r>
        <w:rPr>
          <w:color w:val="000000"/>
        </w:rPr>
        <w:t>7. Risks</w:t>
      </w:r>
      <w:bookmarkEnd w:id="13"/>
      <w:r>
        <w:rPr>
          <w:color w:val="000000"/>
        </w:rPr>
        <w:t xml:space="preserve"> </w:t>
      </w:r>
    </w:p>
    <w:tbl>
      <w:tblPr>
        <w:tblStyle w:val="style4103"/>
        <w:tblW w:w="883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770"/>
        <w:gridCol w:w="2820"/>
        <w:gridCol w:w="1080"/>
        <w:gridCol w:w="3165"/>
      </w:tblGrid>
      <w:tr>
        <w:trPr>
          <w:trHeight w:val="585" w:hRule="atLeast"/>
        </w:trPr>
        <w:tc>
          <w:tcPr>
            <w:tcW w:w="1770" w:type="dxa"/>
            <w:tcBorders>
              <w:top w:val="single" w:sz="8" w:space="0" w:color="9f8ab9"/>
              <w:left w:val="single" w:sz="8" w:space="0" w:color="9f8ab9"/>
              <w:bottom w:val="single" w:sz="8" w:space="0" w:color="9f8ab9"/>
              <w:right w:val="nil"/>
            </w:tcBorders>
            <w:shd w:val="clear" w:color="auto" w:fill="8064a2"/>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Risk Category</w:t>
            </w:r>
          </w:p>
        </w:tc>
        <w:tc>
          <w:tcPr>
            <w:tcW w:w="2820" w:type="dxa"/>
            <w:tcBorders>
              <w:top w:val="single" w:sz="8" w:space="0" w:color="9f8ab9"/>
              <w:left w:val="nil"/>
              <w:bottom w:val="single" w:sz="8" w:space="0" w:color="9f8ab9"/>
              <w:right w:val="nil"/>
            </w:tcBorders>
            <w:shd w:val="clear" w:color="auto" w:fill="8064a2"/>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Description</w:t>
            </w:r>
          </w:p>
        </w:tc>
        <w:tc>
          <w:tcPr>
            <w:tcW w:w="1080" w:type="dxa"/>
            <w:tcBorders>
              <w:top w:val="single" w:sz="8" w:space="0" w:color="9f8ab9"/>
              <w:left w:val="nil"/>
              <w:bottom w:val="single" w:sz="8" w:space="0" w:color="9f8ab9"/>
              <w:right w:val="nil"/>
            </w:tcBorders>
            <w:shd w:val="clear" w:color="auto" w:fill="8064a2"/>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Risk Level</w:t>
            </w:r>
          </w:p>
        </w:tc>
        <w:tc>
          <w:tcPr>
            <w:tcW w:w="3165" w:type="dxa"/>
            <w:tcBorders>
              <w:top w:val="single" w:sz="8" w:space="0" w:color="9f8ab9"/>
              <w:left w:val="nil"/>
              <w:bottom w:val="single" w:sz="8" w:space="0" w:color="9f8ab9"/>
              <w:right w:val="single" w:sz="8" w:space="0" w:color="9f8ab9"/>
            </w:tcBorders>
            <w:shd w:val="clear" w:color="auto" w:fill="8064a2"/>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Mitigation Strategy</w:t>
            </w:r>
          </w:p>
        </w:tc>
      </w:tr>
      <w:tr>
        <w:tblPrEx/>
        <w:trPr>
          <w:trHeight w:val="1140" w:hRule="atLeast"/>
        </w:trPr>
        <w:tc>
          <w:tcPr>
            <w:tcW w:w="1770" w:type="dxa"/>
            <w:tcBorders>
              <w:top w:val="nil"/>
              <w:left w:val="single" w:sz="8" w:space="0" w:color="9f8ab9"/>
              <w:bottom w:val="single" w:sz="8" w:space="0" w:color="9f8ab9"/>
              <w:right w:val="nil"/>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Data Validity</w:t>
            </w:r>
          </w:p>
        </w:tc>
        <w:tc>
          <w:tcPr>
            <w:tcW w:w="2820" w:type="dxa"/>
            <w:tcBorders>
              <w:top w:val="nil"/>
              <w:left w:val="nil"/>
              <w:bottom w:val="single" w:sz="8" w:space="0" w:color="9f8ab9"/>
              <w:right w:val="nil"/>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Reliance on secondary sources may include bias or outdated information.</w:t>
            </w:r>
          </w:p>
        </w:tc>
        <w:tc>
          <w:tcPr>
            <w:tcW w:w="1080" w:type="dxa"/>
            <w:tcBorders>
              <w:top w:val="nil"/>
              <w:left w:val="nil"/>
              <w:bottom w:val="single" w:sz="8" w:space="0" w:color="9f8ab9"/>
              <w:right w:val="nil"/>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Medium</w:t>
            </w:r>
          </w:p>
        </w:tc>
        <w:tc>
          <w:tcPr>
            <w:tcW w:w="3165" w:type="dxa"/>
            <w:tcBorders>
              <w:top w:val="nil"/>
              <w:left w:val="nil"/>
              <w:bottom w:val="single" w:sz="8" w:space="0" w:color="9f8ab9"/>
              <w:right w:val="single" w:sz="8" w:space="0" w:color="9f8ab9"/>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Use only peer-reviewed academic literature and highly credible sources published between 2019–2025.</w:t>
            </w:r>
          </w:p>
        </w:tc>
      </w:tr>
      <w:tr>
        <w:tblPrEx/>
        <w:trPr>
          <w:trHeight w:val="1140" w:hRule="atLeast"/>
        </w:trPr>
        <w:tc>
          <w:tcPr>
            <w:tcW w:w="1770" w:type="dxa"/>
            <w:tcBorders>
              <w:top w:val="nil"/>
              <w:left w:val="single" w:sz="8" w:space="0" w:color="9f8ab9"/>
              <w:bottom w:val="single" w:sz="8" w:space="0" w:color="9f8ab9"/>
              <w:right w:val="nil"/>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Scope Creep</w:t>
            </w:r>
          </w:p>
        </w:tc>
        <w:tc>
          <w:tcPr>
            <w:tcW w:w="2820" w:type="dxa"/>
            <w:tcBorders>
              <w:top w:val="nil"/>
              <w:left w:val="nil"/>
              <w:bottom w:val="single" w:sz="8" w:space="0" w:color="9f8ab9"/>
              <w:right w:val="nil"/>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Excessive expansion beyond the defined emerging economies.</w:t>
            </w:r>
          </w:p>
        </w:tc>
        <w:tc>
          <w:tcPr>
            <w:tcW w:w="1080" w:type="dxa"/>
            <w:tcBorders>
              <w:top w:val="nil"/>
              <w:left w:val="nil"/>
              <w:bottom w:val="single" w:sz="8" w:space="0" w:color="9f8ab9"/>
              <w:right w:val="nil"/>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Low</w:t>
            </w:r>
          </w:p>
        </w:tc>
        <w:tc>
          <w:tcPr>
            <w:tcW w:w="3165" w:type="dxa"/>
            <w:tcBorders>
              <w:top w:val="nil"/>
              <w:left w:val="nil"/>
              <w:bottom w:val="single" w:sz="8" w:space="0" w:color="9f8ab9"/>
              <w:right w:val="single" w:sz="8" w:space="0" w:color="9f8ab9"/>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Apply strict inclusion criteria focusing only on selected countries such as India, Turkey, and Malaysia.</w:t>
            </w:r>
          </w:p>
        </w:tc>
      </w:tr>
      <w:tr>
        <w:tblPrEx/>
        <w:trPr>
          <w:trHeight w:val="1140" w:hRule="atLeast"/>
        </w:trPr>
        <w:tc>
          <w:tcPr>
            <w:tcW w:w="1770" w:type="dxa"/>
            <w:tcBorders>
              <w:top w:val="nil"/>
              <w:left w:val="single" w:sz="8" w:space="0" w:color="9f8ab9"/>
              <w:bottom w:val="single" w:sz="8" w:space="0" w:color="9f8ab9"/>
              <w:right w:val="nil"/>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Interpretation Bias</w:t>
            </w:r>
          </w:p>
        </w:tc>
        <w:tc>
          <w:tcPr>
            <w:tcW w:w="2820" w:type="dxa"/>
            <w:tcBorders>
              <w:top w:val="nil"/>
              <w:left w:val="nil"/>
              <w:bottom w:val="single" w:sz="8" w:space="0" w:color="9f8ab9"/>
              <w:right w:val="nil"/>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Potential misinterpretation of qualitative secondary data.</w:t>
            </w:r>
          </w:p>
          <w:p>
            <w:pPr>
              <w:pStyle w:val="style0"/>
              <w:spacing w:before="240" w:lineRule="auto" w:line="360"/>
              <w:jc w:val="both"/>
              <w:rPr>
                <w:rFonts w:ascii="Times New Roman" w:cs="Times New Roman" w:eastAsia="Times New Roman" w:hAnsi="Times New Roman"/>
                <w:color w:val="000000"/>
                <w:sz w:val="24"/>
                <w:szCs w:val="24"/>
              </w:rPr>
            </w:pPr>
          </w:p>
        </w:tc>
        <w:tc>
          <w:tcPr>
            <w:tcW w:w="1080" w:type="dxa"/>
            <w:tcBorders>
              <w:top w:val="nil"/>
              <w:left w:val="nil"/>
              <w:bottom w:val="single" w:sz="8" w:space="0" w:color="9f8ab9"/>
              <w:right w:val="nil"/>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Medium</w:t>
            </w:r>
          </w:p>
        </w:tc>
        <w:tc>
          <w:tcPr>
            <w:tcW w:w="3165" w:type="dxa"/>
            <w:tcBorders>
              <w:top w:val="nil"/>
              <w:left w:val="nil"/>
              <w:bottom w:val="single" w:sz="8" w:space="0" w:color="9f8ab9"/>
              <w:right w:val="single" w:sz="8" w:space="0" w:color="9f8ab9"/>
            </w:tcBorders>
            <w:shd w:val="clear" w:color="auto" w:fill="dfd8e8"/>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Cross-validate findings across multiple sources and apply the OLI framework systematically.</w:t>
            </w:r>
          </w:p>
        </w:tc>
      </w:tr>
      <w:tr>
        <w:tblPrEx/>
        <w:trPr>
          <w:trHeight w:val="1140" w:hRule="atLeast"/>
        </w:trPr>
        <w:tc>
          <w:tcPr>
            <w:tcW w:w="1770" w:type="dxa"/>
            <w:tcBorders>
              <w:top w:val="nil"/>
              <w:left w:val="single" w:sz="8" w:space="0" w:color="9f8ab9"/>
              <w:bottom w:val="single" w:sz="8" w:space="0" w:color="9f8ab9"/>
              <w:right w:val="nil"/>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Ethical Issues</w:t>
            </w:r>
          </w:p>
        </w:tc>
        <w:tc>
          <w:tcPr>
            <w:tcW w:w="2820" w:type="dxa"/>
            <w:tcBorders>
              <w:top w:val="nil"/>
              <w:left w:val="nil"/>
              <w:bottom w:val="single" w:sz="8" w:space="0" w:color="9f8ab9"/>
              <w:right w:val="nil"/>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Risk of improper citation or use of proprietary or confidential data.</w:t>
            </w:r>
          </w:p>
        </w:tc>
        <w:tc>
          <w:tcPr>
            <w:tcW w:w="1080" w:type="dxa"/>
            <w:tcBorders>
              <w:top w:val="nil"/>
              <w:left w:val="nil"/>
              <w:bottom w:val="single" w:sz="8" w:space="0" w:color="9f8ab9"/>
              <w:right w:val="nil"/>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Low</w:t>
            </w:r>
          </w:p>
        </w:tc>
        <w:tc>
          <w:tcPr>
            <w:tcW w:w="3165" w:type="dxa"/>
            <w:tcBorders>
              <w:top w:val="nil"/>
              <w:left w:val="nil"/>
              <w:bottom w:val="single" w:sz="8" w:space="0" w:color="9f8ab9"/>
              <w:right w:val="single" w:sz="8" w:space="0" w:color="9f8ab9"/>
            </w:tcBorders>
            <w:tcMar>
              <w:top w:w="0" w:type="dxa"/>
              <w:left w:w="100" w:type="dxa"/>
              <w:bottom w:w="0" w:type="dxa"/>
              <w:right w:w="100" w:type="dxa"/>
            </w:tcMar>
          </w:tcPr>
          <w:p>
            <w:pPr>
              <w:pStyle w:val="style0"/>
              <w:spacing w:before="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Follow strict academic referencing standards and rely solely on publicly available information.</w:t>
            </w:r>
          </w:p>
          <w:bookmarkStart w:id="14" w:name="_GoBack"/>
          <w:bookmarkEnd w:id="14"/>
        </w:tc>
      </w:tr>
    </w:tbl>
    <w:p>
      <w:pPr>
        <w:pStyle w:val="style0"/>
        <w:spacing w:lineRule="auto" w:line="360"/>
        <w:jc w:val="both"/>
        <w:rPr>
          <w:rFonts w:ascii="Times New Roman" w:cs="Times New Roman" w:eastAsia="Times New Roman" w:hAnsi="Times New Roman"/>
          <w:color w:val="000000"/>
        </w:rPr>
      </w:pPr>
    </w:p>
    <w:bookmarkStart w:id="15" w:name="_Toc222206451"/>
    <w:p>
      <w:pPr>
        <w:pStyle w:val="style1"/>
        <w:rPr>
          <w:color w:val="000000"/>
        </w:rPr>
      </w:pPr>
      <w:r>
        <w:rPr>
          <w:color w:val="000000"/>
        </w:rPr>
        <w:t>8. Timeline (Gantt chart)</w:t>
      </w:r>
      <w:bookmarkEnd w:id="15"/>
      <w:r>
        <w:rPr>
          <w:color w:val="000000"/>
        </w:rPr>
        <w:t xml:space="preserve"> </w:t>
      </w:r>
    </w:p>
    <w:p>
      <w:pPr>
        <w:pStyle w:val="style0"/>
        <w:spacing w:lineRule="auto" w:line="360"/>
        <w:jc w:val="center"/>
        <w:rPr>
          <w:rFonts w:ascii="Times New Roman" w:cs="Times New Roman" w:eastAsia="Times New Roman" w:hAnsi="Times New Roman"/>
          <w:color w:val="000000"/>
        </w:rPr>
      </w:pPr>
      <w:r>
        <w:rPr>
          <w:rFonts w:ascii="Times New Roman" w:cs="Times New Roman" w:eastAsia="Times New Roman" w:hAnsi="Times New Roman"/>
          <w:color w:val="000000"/>
        </w:rPr>
        <w:drawing>
          <wp:inline distL="0" distT="0" distB="0" distR="0">
            <wp:extent cx="5943600" cy="911860"/>
            <wp:effectExtent l="0" t="0" r="0" b="254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943600" cy="911860"/>
                    </a:xfrm>
                    <a:prstGeom prst="rect"/>
                  </pic:spPr>
                </pic:pic>
              </a:graphicData>
            </a:graphic>
          </wp:inline>
        </w:drawing>
      </w:r>
    </w:p>
    <w:p>
      <w:pPr>
        <w:pStyle w:val="style0"/>
        <w:spacing w:lineRule="auto" w:line="360"/>
        <w:jc w:val="center"/>
        <w:rPr>
          <w:rFonts w:ascii="Times New Roman" w:cs="Times New Roman" w:eastAsia="Times New Roman" w:hAnsi="Times New Roman"/>
          <w:b/>
          <w:bCs/>
          <w:color w:val="000000"/>
        </w:rPr>
      </w:pPr>
      <w:r>
        <w:rPr>
          <w:rFonts w:ascii="Times New Roman" w:cs="Times New Roman" w:eastAsia="Times New Roman" w:hAnsi="Times New Roman"/>
          <w:b/>
          <w:bCs/>
          <w:color w:val="000000"/>
        </w:rPr>
        <w:t xml:space="preserve">Figure 1: Timeline </w:t>
      </w:r>
    </w:p>
    <w:p>
      <w:pPr>
        <w:pStyle w:val="style0"/>
        <w:spacing w:lineRule="auto" w:line="360"/>
        <w:jc w:val="center"/>
        <w:rPr>
          <w:rFonts w:ascii="Times New Roman" w:cs="Times New Roman" w:eastAsia="Times New Roman" w:hAnsi="Times New Roman"/>
          <w:color w:val="000000"/>
        </w:rPr>
      </w:pPr>
      <w:r>
        <w:rPr>
          <w:rFonts w:ascii="Times New Roman" w:cs="Times New Roman" w:eastAsia="Times New Roman" w:hAnsi="Times New Roman"/>
          <w:color w:val="000000"/>
        </w:rPr>
        <w:t xml:space="preserve">(Source: Self-created) </w:t>
      </w:r>
      <w:r>
        <w:rPr>
          <w:color w:val="000000"/>
        </w:rPr>
        <w:br w:type="page"/>
      </w:r>
    </w:p>
    <w:bookmarkStart w:id="16" w:name="_Toc222206452"/>
    <w:p>
      <w:pPr>
        <w:pStyle w:val="style1"/>
        <w:rPr>
          <w:color w:val="000000"/>
        </w:rPr>
      </w:pPr>
      <w:r>
        <w:rPr>
          <w:color w:val="000000"/>
        </w:rPr>
        <w:t>9. References</w:t>
      </w:r>
      <w:bookmarkEnd w:id="16"/>
      <w:r>
        <w:rPr>
          <w:color w:val="000000"/>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Amiraslanov, K. T. (2025). </w:t>
      </w:r>
      <w:r>
        <w:rPr>
          <w:rFonts w:ascii="Times New Roman" w:cs="Times New Roman" w:eastAsia="Times New Roman" w:hAnsi="Times New Roman"/>
          <w:i/>
          <w:iCs/>
          <w:color w:val="000000"/>
          <w:sz w:val="24"/>
          <w:szCs w:val="24"/>
          <w:highlight w:val="white"/>
        </w:rPr>
        <w:t>Entry Conditions for Transnational Corporations in Host Economies: An Analysis of the OLI Paradigm and Porter’s Diamond Model</w:t>
      </w:r>
      <w:r>
        <w:rPr>
          <w:rFonts w:ascii="Times New Roman" w:cs="Times New Roman" w:eastAsia="Times New Roman" w:hAnsi="Times New Roman"/>
          <w:color w:val="000000"/>
          <w:sz w:val="24"/>
          <w:szCs w:val="24"/>
          <w:highlight w:val="white"/>
        </w:rPr>
        <w:t>.</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Amiraslanov, K. T. ENTRY CONDITIONS FOR TRANSNATIONAL CORPORATIONS IN HOST ECONOMIES: AN ANALYSIS OF THE OLI PARADIGM AND PORTER’S DIAMOND MODEL.</w:t>
      </w:r>
      <w:r>
        <w:rPr>
          <w:color w:val="000000"/>
        </w:rPr>
        <w:fldChar w:fldCharType="begin"/>
      </w:r>
      <w:r>
        <w:rPr>
          <w:color w:val="000000"/>
        </w:rPr>
        <w:instrText xml:space="preserve"> HYPERLINK "https://journal.adau.edu.az/back/uploads/20251030081110ENTRY%20CONDITIONS%20FOR%20TRANSNATIONAL%20CORPORATIONS.pdf" </w:instrText>
      </w:r>
      <w:r>
        <w:rPr>
          <w:color w:val="000000"/>
        </w:rPr>
        <w:fldChar w:fldCharType="separate"/>
      </w:r>
      <w:r>
        <w:rPr>
          <w:rFonts w:ascii="Times New Roman" w:cs="Times New Roman" w:eastAsia="Times New Roman" w:hAnsi="Times New Roman"/>
          <w:color w:val="000000"/>
          <w:sz w:val="24"/>
          <w:szCs w:val="24"/>
          <w:highlight w:val="white"/>
          <w:u w:val="single"/>
        </w:rPr>
        <w:t>https://journal.adau.edu.az/back/uploads/20251030081110ENTRY%20CONDITIONS%20FOR%20TRANSNATIONAL%20CORPORATIONS.pdf</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Available at:</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Available at:</w:t>
      </w:r>
      <w:r>
        <w:rPr>
          <w:color w:val="000000"/>
        </w:rPr>
        <w:fldChar w:fldCharType="begin"/>
      </w:r>
      <w:r>
        <w:rPr>
          <w:color w:val="000000"/>
        </w:rPr>
        <w:instrText xml:space="preserve"> HYPERLINK "https://papers.ssrn.com/sol3/papers.cfm?abstract_id=5118307" </w:instrText>
      </w:r>
      <w:r>
        <w:rPr>
          <w:color w:val="000000"/>
        </w:rPr>
        <w:fldChar w:fldCharType="separate"/>
      </w:r>
      <w:r>
        <w:rPr>
          <w:rFonts w:ascii="Times New Roman" w:cs="Times New Roman" w:eastAsia="Times New Roman" w:hAnsi="Times New Roman"/>
          <w:color w:val="000000"/>
          <w:sz w:val="24"/>
          <w:szCs w:val="24"/>
          <w:highlight w:val="white"/>
        </w:rPr>
        <w:t xml:space="preserve"> </w:t>
      </w:r>
      <w:r>
        <w:rPr>
          <w:color w:val="000000"/>
        </w:rPr>
        <w:fldChar w:fldCharType="end"/>
      </w:r>
      <w:r>
        <w:rPr>
          <w:color w:val="000000"/>
        </w:rPr>
        <w:fldChar w:fldCharType="begin"/>
      </w:r>
      <w:r>
        <w:rPr>
          <w:color w:val="000000"/>
        </w:rPr>
        <w:instrText xml:space="preserve"> HYPERLINK "https://papers.ssrn.com/sol3/papers.cfm?abstract_id=5118307" </w:instrText>
      </w:r>
      <w:r>
        <w:rPr>
          <w:color w:val="000000"/>
        </w:rPr>
        <w:fldChar w:fldCharType="separate"/>
      </w:r>
      <w:r>
        <w:rPr>
          <w:rFonts w:ascii="Times New Roman" w:cs="Times New Roman" w:eastAsia="Times New Roman" w:hAnsi="Times New Roman"/>
          <w:color w:val="000000"/>
          <w:sz w:val="24"/>
          <w:szCs w:val="24"/>
          <w:highlight w:val="white"/>
          <w:u w:val="single"/>
        </w:rPr>
        <w:t>https://papers.ssrn.com/sol3/papers.cfm?abstract_id=5118307</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Brenda, A. M. (2023). Global Strategy Entry Mode Development: Case study of Electric Vehicle Market in Africa. </w:t>
      </w:r>
      <w:r>
        <w:rPr>
          <w:rFonts w:ascii="Times New Roman" w:cs="Times New Roman" w:eastAsia="Times New Roman" w:hAnsi="Times New Roman"/>
          <w:i/>
          <w:iCs/>
          <w:color w:val="000000"/>
          <w:sz w:val="24"/>
          <w:szCs w:val="24"/>
          <w:highlight w:val="white"/>
        </w:rPr>
        <w:t>International Journal of Advanced Culture Technology</w:t>
      </w:r>
      <w:r>
        <w:rPr>
          <w:rFonts w:ascii="Times New Roman" w:cs="Times New Roman" w:eastAsia="Times New Roman" w:hAnsi="Times New Roman"/>
          <w:color w:val="000000"/>
          <w:sz w:val="24"/>
          <w:szCs w:val="24"/>
          <w:highlight w:val="white"/>
        </w:rPr>
        <w:t xml:space="preserve">, </w:t>
      </w:r>
      <w:r>
        <w:rPr>
          <w:rFonts w:ascii="Times New Roman" w:cs="Times New Roman" w:eastAsia="Times New Roman" w:hAnsi="Times New Roman"/>
          <w:i/>
          <w:iCs/>
          <w:color w:val="000000"/>
          <w:sz w:val="24"/>
          <w:szCs w:val="24"/>
          <w:highlight w:val="white"/>
        </w:rPr>
        <w:t>11</w:t>
      </w:r>
      <w:r>
        <w:rPr>
          <w:rFonts w:ascii="Times New Roman" w:cs="Times New Roman" w:eastAsia="Times New Roman" w:hAnsi="Times New Roman"/>
          <w:color w:val="000000"/>
          <w:sz w:val="24"/>
          <w:szCs w:val="24"/>
          <w:highlight w:val="white"/>
        </w:rPr>
        <w:t>(2), 330-344.</w:t>
      </w:r>
      <w:r>
        <w:rPr>
          <w:color w:val="000000"/>
        </w:rPr>
        <w:fldChar w:fldCharType="begin"/>
      </w:r>
      <w:r>
        <w:rPr>
          <w:color w:val="000000"/>
        </w:rPr>
        <w:instrText xml:space="preserve"> HYPERLINK "https://koreascience.kr/article/JAKO202319950128523.page" </w:instrText>
      </w:r>
      <w:r>
        <w:rPr>
          <w:color w:val="000000"/>
        </w:rPr>
        <w:fldChar w:fldCharType="separate"/>
      </w:r>
      <w:r>
        <w:rPr>
          <w:rFonts w:ascii="Times New Roman" w:cs="Times New Roman" w:eastAsia="Times New Roman" w:hAnsi="Times New Roman"/>
          <w:color w:val="000000"/>
          <w:sz w:val="24"/>
          <w:szCs w:val="24"/>
          <w:highlight w:val="white"/>
          <w:u w:val="single"/>
        </w:rPr>
        <w:t>https://koreascience.kr/article/JAKO202319950128523.page</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color w:val="000000"/>
          <w:sz w:val="24"/>
          <w:szCs w:val="24"/>
        </w:rPr>
        <w:t xml:space="preserve">Cai, B. (2025) </w:t>
      </w:r>
      <w:r>
        <w:rPr>
          <w:rFonts w:ascii="Times New Roman" w:cs="Times New Roman" w:eastAsia="Times New Roman" w:hAnsi="Times New Roman"/>
          <w:i/>
          <w:iCs/>
          <w:color w:val="000000"/>
          <w:sz w:val="24"/>
          <w:szCs w:val="24"/>
        </w:rPr>
        <w:t>Impact of Internationalization Strategies in the Electric Vehicle Industry: A Case Study of Tesla</w:t>
      </w:r>
      <w:r>
        <w:rPr>
          <w:rFonts w:ascii="Times New Roman" w:cs="Times New Roman" w:eastAsia="Times New Roman" w:hAnsi="Times New Roman"/>
          <w:color w:val="000000"/>
          <w:sz w:val="24"/>
          <w:szCs w:val="24"/>
        </w:rPr>
        <w:t xml:space="preserve">, Advances in Economics, Management and Political Sciences, 184, pp. 174–179. DOI: </w:t>
      </w:r>
      <w:r>
        <w:rPr>
          <w:color w:val="000000"/>
        </w:rPr>
        <w:fldChar w:fldCharType="begin"/>
      </w:r>
      <w:r>
        <w:rPr>
          <w:color w:val="000000"/>
        </w:rPr>
        <w:instrText xml:space="preserve"> HYPERLINK "https://doi.org/10.54254/2754-1169/2025.BL23503" </w:instrText>
      </w:r>
      <w:r>
        <w:rPr>
          <w:color w:val="000000"/>
        </w:rPr>
        <w:fldChar w:fldCharType="separate"/>
      </w:r>
      <w:r>
        <w:rPr>
          <w:rFonts w:ascii="Times New Roman" w:cs="Times New Roman" w:eastAsia="Times New Roman" w:hAnsi="Times New Roman"/>
          <w:color w:val="000000"/>
          <w:sz w:val="24"/>
          <w:szCs w:val="24"/>
          <w:highlight w:val="white"/>
          <w:u w:val="single"/>
        </w:rPr>
        <w:t>https://doi.org/10.54254/2754-1169/2025.BL23503</w:t>
      </w:r>
      <w:r>
        <w:rPr>
          <w:color w:val="000000"/>
        </w:rPr>
        <w:fldChar w:fldCharType="end"/>
      </w:r>
      <w:r>
        <w:rPr>
          <w:rFonts w:ascii="Times New Roman" w:cs="Times New Roman" w:eastAsia="Times New Roman" w:hAnsi="Times New Roman"/>
          <w:color w:val="000000"/>
          <w:sz w:val="24"/>
          <w:szCs w:val="24"/>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Chernykhovskaya, N. (2024). Theoretical Framework for Electric Vehicle Adoption: Strategic Market Entry.</w:t>
      </w:r>
      <w:r>
        <w:rPr>
          <w:color w:val="000000"/>
        </w:rPr>
        <w:fldChar w:fldCharType="begin"/>
      </w:r>
      <w:r>
        <w:rPr>
          <w:color w:val="000000"/>
        </w:rPr>
        <w:instrText xml:space="preserve"> HYPERLINK "https://unitesi.unive.it/handle/20.500.14247/23999" </w:instrText>
      </w:r>
      <w:r>
        <w:rPr>
          <w:color w:val="000000"/>
        </w:rPr>
        <w:fldChar w:fldCharType="separate"/>
      </w:r>
      <w:r>
        <w:rPr>
          <w:rFonts w:ascii="Times New Roman" w:cs="Times New Roman" w:eastAsia="Times New Roman" w:hAnsi="Times New Roman"/>
          <w:color w:val="000000"/>
          <w:sz w:val="24"/>
          <w:szCs w:val="24"/>
          <w:highlight w:val="white"/>
          <w:u w:val="single"/>
        </w:rPr>
        <w:t>https://unitesi.unive.it/handle/20.500.14247/23999</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Guven, A. A. (2026). Global Marketing Strategy. In </w:t>
      </w:r>
      <w:r>
        <w:rPr>
          <w:rFonts w:ascii="Times New Roman" w:cs="Times New Roman" w:eastAsia="Times New Roman" w:hAnsi="Times New Roman"/>
          <w:i/>
          <w:iCs/>
          <w:color w:val="000000"/>
          <w:sz w:val="24"/>
          <w:szCs w:val="24"/>
          <w:highlight w:val="white"/>
        </w:rPr>
        <w:t>Bridging Traditional Theory and Emerging Corporate Strategies</w:t>
      </w:r>
      <w:r>
        <w:rPr>
          <w:rFonts w:ascii="Times New Roman" w:cs="Times New Roman" w:eastAsia="Times New Roman" w:hAnsi="Times New Roman"/>
          <w:color w:val="000000"/>
          <w:sz w:val="24"/>
          <w:szCs w:val="24"/>
          <w:highlight w:val="white"/>
        </w:rPr>
        <w:t xml:space="preserve"> (pp. 67-110). IGI Global Scientific Publishing.</w:t>
      </w:r>
      <w:r>
        <w:rPr>
          <w:color w:val="000000"/>
        </w:rPr>
        <w:fldChar w:fldCharType="begin"/>
      </w:r>
      <w:r>
        <w:rPr>
          <w:color w:val="000000"/>
        </w:rPr>
        <w:instrText xml:space="preserve"> HYPERLINK "https://www.igi-global.com/chapter/global-marketing-strategy/401433" </w:instrText>
      </w:r>
      <w:r>
        <w:rPr>
          <w:color w:val="000000"/>
        </w:rPr>
        <w:fldChar w:fldCharType="separate"/>
      </w:r>
      <w:r>
        <w:rPr>
          <w:rFonts w:ascii="Times New Roman" w:cs="Times New Roman" w:eastAsia="Times New Roman" w:hAnsi="Times New Roman"/>
          <w:color w:val="000000"/>
          <w:sz w:val="24"/>
          <w:szCs w:val="24"/>
          <w:highlight w:val="white"/>
          <w:u w:val="single"/>
        </w:rPr>
        <w:t>https://www.igi-global.com/chapter/global-marketing-strategy/401433</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color w:val="000000"/>
        </w:rPr>
        <w:fldChar w:fldCharType="begin"/>
      </w:r>
      <w:r>
        <w:rPr>
          <w:color w:val="000000"/>
        </w:rPr>
        <w:instrText xml:space="preserve"> HYPERLINK "https://journal.adau.edu.az/back/uploads/20251030081110ENTRY%20CONDITIONS%20FOR%20TRANSNATIONAL%20CORPORATIONS.pdf" </w:instrText>
      </w:r>
      <w:r>
        <w:rPr>
          <w:color w:val="000000"/>
        </w:rPr>
        <w:fldChar w:fldCharType="separate"/>
      </w:r>
      <w:r>
        <w:rPr>
          <w:rFonts w:ascii="Times New Roman" w:cs="Times New Roman" w:eastAsia="Times New Roman" w:hAnsi="Times New Roman"/>
          <w:color w:val="000000"/>
          <w:sz w:val="24"/>
          <w:szCs w:val="24"/>
          <w:highlight w:val="white"/>
          <w:u w:val="single"/>
        </w:rPr>
        <w:t>https://journal.adau.edu.az/back/uploads/20251030081110ENTRY%20CONDITIONS%20FOR%20TRANSNATIONAL%20CORPORATIONS.pdf</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Jawahdou, A. The Role of FDI in Accelerating Technology Transfer in Emerging Economies: A Comparative Study of China and Argentina.</w:t>
      </w:r>
      <w:r>
        <w:rPr>
          <w:color w:val="000000"/>
        </w:rPr>
        <w:fldChar w:fldCharType="begin"/>
      </w:r>
      <w:r>
        <w:rPr>
          <w:color w:val="000000"/>
        </w:rPr>
        <w:instrText xml:space="preserve"> HYPERLINK "https://dolgozattar.uni-bge.hu/id/eprint/58891" </w:instrText>
      </w:r>
      <w:r>
        <w:rPr>
          <w:color w:val="000000"/>
        </w:rPr>
        <w:fldChar w:fldCharType="separate"/>
      </w:r>
      <w:r>
        <w:rPr>
          <w:rFonts w:ascii="Times New Roman" w:cs="Times New Roman" w:eastAsia="Times New Roman" w:hAnsi="Times New Roman"/>
          <w:color w:val="000000"/>
          <w:sz w:val="24"/>
          <w:szCs w:val="24"/>
          <w:highlight w:val="white"/>
          <w:u w:val="single"/>
        </w:rPr>
        <w:t>https://dolgozattar.uni-bge.hu/id/eprint/58891</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Keshri, M. (2024) ‘To study the barriers and challenges of international market: A specific study of company Tesla’, </w:t>
      </w:r>
      <w:r>
        <w:rPr>
          <w:rFonts w:ascii="Times New Roman" w:cs="Times New Roman" w:eastAsia="Times New Roman" w:hAnsi="Times New Roman"/>
          <w:i/>
          <w:iCs/>
          <w:color w:val="000000"/>
          <w:sz w:val="24"/>
          <w:szCs w:val="24"/>
        </w:rPr>
        <w:t>International Journal of Progressive Research in Engineering Management and Science</w:t>
      </w:r>
      <w:r>
        <w:rPr>
          <w:rFonts w:ascii="Times New Roman" w:cs="Times New Roman" w:eastAsia="Times New Roman" w:hAnsi="Times New Roman"/>
          <w:color w:val="000000"/>
          <w:sz w:val="24"/>
          <w:szCs w:val="24"/>
        </w:rPr>
        <w:t xml:space="preserve">, 4(04), pp. 1516–1519 </w:t>
      </w:r>
      <w:r>
        <w:rPr>
          <w:color w:val="000000"/>
        </w:rPr>
        <w:fldChar w:fldCharType="begin"/>
      </w:r>
      <w:r>
        <w:rPr>
          <w:color w:val="000000"/>
        </w:rPr>
        <w:instrText xml:space="preserve"> HYPERLINK </w:instrText>
      </w:r>
      <w:r>
        <w:rPr>
          <w:color w:val="000000"/>
        </w:rPr>
        <w:fldChar w:fldCharType="separate"/>
      </w:r>
      <w:r>
        <w:rPr>
          <w:rFonts w:ascii="Times New Roman" w:cs="Times New Roman" w:eastAsia="Times New Roman" w:hAnsi="Times New Roman"/>
          <w:color w:val="000000"/>
          <w:sz w:val="24"/>
          <w:szCs w:val="24"/>
          <w:u w:val="single"/>
        </w:rPr>
        <w:t>https://www.researchgate.net/publication/381563897_A_Study_of_Tesla's_International_Marketing_Strategy_Based_on_the_STEPPS_Model</w:t>
      </w:r>
      <w:r>
        <w:rPr>
          <w:color w:val="000000"/>
        </w:rPr>
        <w:fldChar w:fldCharType="end"/>
      </w:r>
      <w:r>
        <w:rPr>
          <w:rFonts w:ascii="Times New Roman" w:cs="Times New Roman" w:eastAsia="Times New Roman" w:hAnsi="Times New Roman"/>
          <w:color w:val="000000"/>
          <w:sz w:val="24"/>
          <w:szCs w:val="24"/>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Mostafa, M. A. M. (2025). Beyond Borders: How Strategic Adaptations Shape Global Market Entry Success. </w:t>
      </w:r>
      <w:r>
        <w:rPr>
          <w:rFonts w:ascii="Times New Roman" w:cs="Times New Roman" w:eastAsia="Times New Roman" w:hAnsi="Times New Roman"/>
          <w:i/>
          <w:iCs/>
          <w:color w:val="000000"/>
          <w:sz w:val="24"/>
          <w:szCs w:val="24"/>
          <w:highlight w:val="white"/>
        </w:rPr>
        <w:t>Available at SSRN 5118307</w:t>
      </w:r>
      <w:r>
        <w:rPr>
          <w:rFonts w:ascii="Times New Roman" w:cs="Times New Roman" w:eastAsia="Times New Roman" w:hAnsi="Times New Roman"/>
          <w:color w:val="000000"/>
          <w:sz w:val="24"/>
          <w:szCs w:val="24"/>
          <w:highlight w:val="white"/>
        </w:rPr>
        <w:t>.</w:t>
      </w:r>
      <w:r>
        <w:rPr>
          <w:color w:val="000000"/>
        </w:rPr>
        <w:fldChar w:fldCharType="begin"/>
      </w:r>
      <w:r>
        <w:rPr>
          <w:color w:val="000000"/>
        </w:rPr>
        <w:instrText xml:space="preserve"> HYPERLINK "https://papers.ssrn.com/sol3/papers.cfm?abstract_id=5118307" </w:instrText>
      </w:r>
      <w:r>
        <w:rPr>
          <w:color w:val="000000"/>
        </w:rPr>
        <w:fldChar w:fldCharType="separate"/>
      </w:r>
      <w:r>
        <w:rPr>
          <w:rFonts w:ascii="Times New Roman" w:cs="Times New Roman" w:eastAsia="Times New Roman" w:hAnsi="Times New Roman"/>
          <w:color w:val="000000"/>
          <w:sz w:val="24"/>
          <w:szCs w:val="24"/>
          <w:highlight w:val="white"/>
          <w:u w:val="single"/>
        </w:rPr>
        <w:t>https://papers.ssrn.com/sol3/papers.cfm?abstract_id=5118307</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Mostafa, M. A. M. (2025). </w:t>
      </w:r>
      <w:r>
        <w:rPr>
          <w:rFonts w:ascii="Times New Roman" w:cs="Times New Roman" w:eastAsia="Times New Roman" w:hAnsi="Times New Roman"/>
          <w:i/>
          <w:iCs/>
          <w:color w:val="000000"/>
          <w:sz w:val="24"/>
          <w:szCs w:val="24"/>
          <w:highlight w:val="white"/>
        </w:rPr>
        <w:t>Beyond Borders: How Strategic Adaptations Shape Global Market Entry Success</w:t>
      </w:r>
      <w:r>
        <w:rPr>
          <w:rFonts w:ascii="Times New Roman" w:cs="Times New Roman" w:eastAsia="Times New Roman" w:hAnsi="Times New Roman"/>
          <w:color w:val="000000"/>
          <w:sz w:val="24"/>
          <w:szCs w:val="24"/>
          <w:highlight w:val="white"/>
        </w:rPr>
        <w:t>.</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NG, L. K. (2024). Internationalization of Firms: Assessing Liability of Foreignness in China's Electric Vehicle Industry. </w:t>
      </w:r>
      <w:r>
        <w:rPr>
          <w:rFonts w:ascii="Times New Roman" w:cs="Times New Roman" w:eastAsia="Times New Roman" w:hAnsi="Times New Roman"/>
          <w:i/>
          <w:iCs/>
          <w:color w:val="000000"/>
          <w:sz w:val="24"/>
          <w:szCs w:val="24"/>
          <w:highlight w:val="white"/>
        </w:rPr>
        <w:t>Asian Journal of Business Environment</w:t>
      </w:r>
      <w:r>
        <w:rPr>
          <w:rFonts w:ascii="Times New Roman" w:cs="Times New Roman" w:eastAsia="Times New Roman" w:hAnsi="Times New Roman"/>
          <w:color w:val="000000"/>
          <w:sz w:val="24"/>
          <w:szCs w:val="24"/>
          <w:highlight w:val="white"/>
        </w:rPr>
        <w:t xml:space="preserve">, </w:t>
      </w:r>
      <w:r>
        <w:rPr>
          <w:rFonts w:ascii="Times New Roman" w:cs="Times New Roman" w:eastAsia="Times New Roman" w:hAnsi="Times New Roman"/>
          <w:i/>
          <w:iCs/>
          <w:color w:val="000000"/>
          <w:sz w:val="24"/>
          <w:szCs w:val="24"/>
          <w:highlight w:val="white"/>
        </w:rPr>
        <w:t>14</w:t>
      </w:r>
      <w:r>
        <w:rPr>
          <w:rFonts w:ascii="Times New Roman" w:cs="Times New Roman" w:eastAsia="Times New Roman" w:hAnsi="Times New Roman"/>
          <w:color w:val="000000"/>
          <w:sz w:val="24"/>
          <w:szCs w:val="24"/>
          <w:highlight w:val="white"/>
        </w:rPr>
        <w:t>(4), 1-11.</w:t>
      </w:r>
      <w:r>
        <w:rPr>
          <w:color w:val="000000"/>
        </w:rPr>
        <w:fldChar w:fldCharType="begin"/>
      </w:r>
      <w:r>
        <w:rPr>
          <w:color w:val="000000"/>
        </w:rPr>
        <w:instrText xml:space="preserve"> HYPERLINK "https://koreascience.kr/article/JAKO202432438364699.page" </w:instrText>
      </w:r>
      <w:r>
        <w:rPr>
          <w:color w:val="000000"/>
        </w:rPr>
        <w:fldChar w:fldCharType="separate"/>
      </w:r>
      <w:r>
        <w:rPr>
          <w:rFonts w:ascii="Times New Roman" w:cs="Times New Roman" w:eastAsia="Times New Roman" w:hAnsi="Times New Roman"/>
          <w:color w:val="000000"/>
          <w:sz w:val="24"/>
          <w:szCs w:val="24"/>
          <w:highlight w:val="white"/>
          <w:u w:val="single"/>
        </w:rPr>
        <w:t>https://koreascience.kr/article/JAKO202432438364699.page</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Nomani, A., Rithi, S. R., &amp; Negi, R. (2025). Mapping the Foreign Investments (OFDI) from emerging economies toward developed nations: a consequential convergence of investment outflows and the oli paradigm. </w:t>
      </w:r>
      <w:r>
        <w:rPr>
          <w:rFonts w:ascii="Times New Roman" w:cs="Times New Roman" w:eastAsia="Times New Roman" w:hAnsi="Times New Roman"/>
          <w:i/>
          <w:iCs/>
          <w:color w:val="000000"/>
          <w:sz w:val="24"/>
          <w:szCs w:val="24"/>
          <w:highlight w:val="white"/>
        </w:rPr>
        <w:t>Thunderbird International Business Review</w:t>
      </w:r>
      <w:r>
        <w:rPr>
          <w:rFonts w:ascii="Times New Roman" w:cs="Times New Roman" w:eastAsia="Times New Roman" w:hAnsi="Times New Roman"/>
          <w:color w:val="000000"/>
          <w:sz w:val="24"/>
          <w:szCs w:val="24"/>
          <w:highlight w:val="white"/>
        </w:rPr>
        <w:t xml:space="preserve">, </w:t>
      </w:r>
      <w:r>
        <w:rPr>
          <w:rFonts w:ascii="Times New Roman" w:cs="Times New Roman" w:eastAsia="Times New Roman" w:hAnsi="Times New Roman"/>
          <w:i/>
          <w:iCs/>
          <w:color w:val="000000"/>
          <w:sz w:val="24"/>
          <w:szCs w:val="24"/>
          <w:highlight w:val="white"/>
        </w:rPr>
        <w:t>67</w:t>
      </w:r>
      <w:r>
        <w:rPr>
          <w:rFonts w:ascii="Times New Roman" w:cs="Times New Roman" w:eastAsia="Times New Roman" w:hAnsi="Times New Roman"/>
          <w:color w:val="000000"/>
          <w:sz w:val="24"/>
          <w:szCs w:val="24"/>
          <w:highlight w:val="white"/>
        </w:rPr>
        <w:t>(4), 431-448.</w:t>
      </w:r>
      <w:r>
        <w:rPr>
          <w:color w:val="000000"/>
        </w:rPr>
        <w:fldChar w:fldCharType="begin"/>
      </w:r>
      <w:r>
        <w:rPr>
          <w:color w:val="000000"/>
        </w:rPr>
        <w:instrText xml:space="preserve"> HYPERLINK "https://onlinelibrary.wiley.com/doi/abs/10.1002/tie.22435" </w:instrText>
      </w:r>
      <w:r>
        <w:rPr>
          <w:color w:val="000000"/>
        </w:rPr>
        <w:fldChar w:fldCharType="separate"/>
      </w:r>
      <w:r>
        <w:rPr>
          <w:rFonts w:ascii="Times New Roman" w:cs="Times New Roman" w:eastAsia="Times New Roman" w:hAnsi="Times New Roman"/>
          <w:color w:val="000000"/>
          <w:sz w:val="24"/>
          <w:szCs w:val="24"/>
          <w:highlight w:val="white"/>
          <w:u w:val="single"/>
        </w:rPr>
        <w:t>https://onlinelibrary.wiley.com/doi/abs/10.1002/tie.22435</w:t>
      </w:r>
      <w:r>
        <w:rPr>
          <w:color w:val="000000"/>
        </w:rPr>
        <w:fldChar w:fldCharType="end"/>
      </w:r>
      <w:r>
        <w:rPr>
          <w:rFonts w:ascii="Times New Roman" w:cs="Times New Roman" w:eastAsia="Times New Roman" w:hAnsi="Times New Roman"/>
          <w:color w:val="000000"/>
          <w:sz w:val="24"/>
          <w:szCs w:val="24"/>
          <w:highlight w:val="white"/>
        </w:rPr>
        <w:t xml:space="preserve"> </w:t>
      </w:r>
    </w:p>
    <w:p>
      <w:pPr>
        <w:pStyle w:val="style0"/>
        <w:spacing w:lineRule="auto" w:line="360"/>
        <w:jc w:val="both"/>
        <w:rPr>
          <w:rFonts w:ascii="Times New Roman" w:cs="Times New Roman" w:eastAsia="Times New Roman" w:hAnsi="Times New Roman"/>
          <w:color w:val="000000"/>
          <w:sz w:val="24"/>
          <w:szCs w:val="24"/>
          <w:highlight w:val="white"/>
        </w:rPr>
      </w:pPr>
      <w:r>
        <w:rPr>
          <w:rFonts w:ascii="Times New Roman" w:cs="Times New Roman" w:eastAsia="Times New Roman" w:hAnsi="Times New Roman"/>
          <w:color w:val="000000"/>
          <w:sz w:val="24"/>
          <w:szCs w:val="24"/>
          <w:highlight w:val="white"/>
        </w:rPr>
        <w:t xml:space="preserve">Xin, C. (2025). From China to the World BYD’s Distinctive Path to Internationalization in the NEV Market. </w:t>
      </w:r>
      <w:r>
        <w:rPr>
          <w:rFonts w:ascii="Times New Roman" w:cs="Times New Roman" w:eastAsia="Times New Roman" w:hAnsi="Times New Roman"/>
          <w:i/>
          <w:iCs/>
          <w:color w:val="000000"/>
          <w:sz w:val="24"/>
          <w:szCs w:val="24"/>
          <w:highlight w:val="white"/>
        </w:rPr>
        <w:t>Journal of Asian Management Studies</w:t>
      </w:r>
      <w:r>
        <w:rPr>
          <w:rFonts w:ascii="Times New Roman" w:cs="Times New Roman" w:eastAsia="Times New Roman" w:hAnsi="Times New Roman"/>
          <w:color w:val="000000"/>
          <w:sz w:val="24"/>
          <w:szCs w:val="24"/>
          <w:highlight w:val="white"/>
        </w:rPr>
        <w:t xml:space="preserve">, </w:t>
      </w:r>
      <w:r>
        <w:rPr>
          <w:rFonts w:ascii="Times New Roman" w:cs="Times New Roman" w:eastAsia="Times New Roman" w:hAnsi="Times New Roman"/>
          <w:i/>
          <w:iCs/>
          <w:color w:val="000000"/>
          <w:sz w:val="24"/>
          <w:szCs w:val="24"/>
          <w:highlight w:val="white"/>
        </w:rPr>
        <w:t>31</w:t>
      </w:r>
      <w:r>
        <w:rPr>
          <w:rFonts w:ascii="Times New Roman" w:cs="Times New Roman" w:eastAsia="Times New Roman" w:hAnsi="Times New Roman"/>
          <w:color w:val="000000"/>
          <w:sz w:val="24"/>
          <w:szCs w:val="24"/>
          <w:highlight w:val="white"/>
        </w:rPr>
        <w:t>, 3-28.</w:t>
      </w:r>
      <w:r>
        <w:rPr>
          <w:color w:val="000000"/>
        </w:rPr>
        <w:fldChar w:fldCharType="begin"/>
      </w:r>
      <w:r>
        <w:rPr>
          <w:color w:val="000000"/>
        </w:rPr>
        <w:instrText xml:space="preserve"> HYPERLINK "https://www.jstage.jst.go.jp/article/jamsjsaam/31/0/31_3/_article/-char/ja/" </w:instrText>
      </w:r>
      <w:r>
        <w:rPr>
          <w:color w:val="000000"/>
        </w:rPr>
        <w:fldChar w:fldCharType="separate"/>
      </w:r>
      <w:r>
        <w:rPr>
          <w:rFonts w:ascii="Times New Roman" w:cs="Times New Roman" w:eastAsia="Times New Roman" w:hAnsi="Times New Roman"/>
          <w:color w:val="000000"/>
          <w:sz w:val="24"/>
          <w:szCs w:val="24"/>
          <w:highlight w:val="white"/>
          <w:u w:val="single"/>
        </w:rPr>
        <w:t>https://www.jstage.jst.go.jp/article/jamsjsaam/31/0/31_3/_article/-char/ja/</w:t>
      </w:r>
      <w:r>
        <w:rPr>
          <w:color w:val="000000"/>
        </w:rPr>
        <w:fldChar w:fldCharType="end"/>
      </w:r>
      <w:r>
        <w:rPr>
          <w:rFonts w:ascii="Times New Roman" w:cs="Times New Roman" w:eastAsia="Times New Roman" w:hAnsi="Times New Roman"/>
          <w:color w:val="000000"/>
          <w:sz w:val="24"/>
          <w:szCs w:val="24"/>
          <w:highlight w:val="white"/>
        </w:rPr>
        <w:t xml:space="preserve"> </w:t>
      </w:r>
    </w:p>
    <w:sectPr>
      <w:footerReference w:type="default" r:id="rId5"/>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lineRule="auto" w:line="240"/>
      <w:jc w:val="center"/>
      <w:rPr>
        <w:color w:val="000000"/>
      </w:rPr>
    </w:pPr>
    <w:r>
      <w:rPr>
        <w:color w:val="000000"/>
      </w:rPr>
      <w:fldChar w:fldCharType="begin"/>
    </w:r>
    <w:r>
      <w:rPr>
        <w:color w:val="000000"/>
      </w:rPr>
      <w:instrText>PAGE</w:instrText>
    </w:r>
    <w:r>
      <w:rPr>
        <w:color w:val="000000"/>
      </w:rPr>
      <w:fldChar w:fldCharType="separate"/>
    </w:r>
    <w:r>
      <w:rPr>
        <w:noProof/>
        <w:color w:val="000000"/>
      </w:rPr>
      <w:t>10</w:t>
    </w:r>
    <w:r>
      <w:rPr>
        <w:color w:val="000000"/>
      </w:rPr>
      <w:fldChar w:fldCharType="end"/>
    </w:r>
  </w:p>
  <w:p>
    <w:pPr>
      <w:pStyle w:val="style0"/>
      <w:pBdr>
        <w:left w:val="nil"/>
        <w:right w:val="nil"/>
        <w:top w:val="nil"/>
        <w:bottom w:val="nil"/>
        <w:between w:val="nil"/>
      </w:pBdr>
      <w:tabs>
        <w:tab w:val="center" w:leader="none" w:pos="4513"/>
        <w:tab w:val="right" w:leader="none" w:pos="9026"/>
      </w:tabs>
      <w:spacing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28722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IN" w:bidi="ar-SA" w:eastAsia="en-IN"/>
      </w:rPr>
    </w:rPrDefault>
    <w:pPrDefault>
      <w:pPr>
        <w:spacing w:lineRule="auto" w:line="276"/>
      </w:pPr>
    </w:pPrDefault>
  </w:docDefaults>
  <w:style w:type="paragraph" w:default="1" w:styleId="style0">
    <w:name w:val="Normal"/>
    <w:next w:val="style0"/>
    <w:pPr/>
  </w:style>
  <w:style w:type="paragraph" w:styleId="style1">
    <w:name w:val="heading 1"/>
    <w:basedOn w:val="style0"/>
    <w:next w:val="style0"/>
    <w:pPr>
      <w:keepNext/>
      <w:keepLines/>
      <w:spacing w:before="400" w:after="120" w:lineRule="auto" w:line="360"/>
      <w:jc w:val="both"/>
      <w:outlineLvl w:val="0"/>
    </w:pPr>
    <w:rPr>
      <w:rFonts w:ascii="Times New Roman" w:cs="Times New Roman" w:eastAsia="Times New Roman" w:hAnsi="Times New Roman"/>
      <w:b/>
      <w:bCs/>
      <w:sz w:val="28"/>
      <w:szCs w:val="28"/>
    </w:rPr>
  </w:style>
  <w:style w:type="paragraph" w:styleId="style2">
    <w:name w:val="heading 2"/>
    <w:basedOn w:val="style0"/>
    <w:next w:val="style0"/>
    <w:pPr>
      <w:keepNext/>
      <w:keepLines/>
      <w:spacing w:before="360" w:after="120" w:lineRule="auto" w:line="360"/>
      <w:jc w:val="both"/>
      <w:outlineLvl w:val="1"/>
    </w:pPr>
    <w:rPr>
      <w:rFonts w:ascii="Times New Roman" w:hAnsi="Times New Roman"/>
      <w:b/>
      <w:sz w:val="28"/>
      <w:szCs w:val="32"/>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table" w:customStyle="1" w:styleId="style4098">
    <w:name w:val="TableNormal"/>
    <w:next w:val="style4098"/>
    <w:pPr/>
    <w:rPr/>
    <w:tblPr>
      <w:tblCellMar>
        <w:top w:w="100" w:type="dxa"/>
        <w:left w:w="100" w:type="dxa"/>
        <w:bottom w:w="100" w:type="dxa"/>
        <w:right w:w="100" w:type="dxa"/>
      </w:tblCellMar>
    </w:tblPr>
    <w:tcPr>
      <w:tcBorders/>
    </w:tcPr>
  </w:style>
  <w:style w:type="table" w:customStyle="1" w:styleId="style4099">
    <w:basedOn w:val="style4098"/>
    <w:next w:val="style4099"/>
    <w:pPr/>
    <w:rPr/>
    <w:tblPr>
      <w:tblStyleRowBandSize w:val="1"/>
      <w:tblStyleColBandSize w:val="1"/>
    </w:tblPr>
    <w:tcPr>
      <w:tcBorders/>
    </w:tcPr>
  </w:style>
  <w:style w:type="paragraph" w:styleId="style153">
    <w:name w:val="Balloon Text"/>
    <w:basedOn w:val="style0"/>
    <w:next w:val="style153"/>
    <w:link w:val="style4100"/>
    <w:uiPriority w:val="99"/>
    <w:pPr>
      <w:spacing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spacing w:before="480" w:after="0"/>
      <w:outlineLvl w:val="9"/>
    </w:pPr>
    <w:rPr>
      <w:rFonts w:ascii="Calibri" w:cs="宋体" w:eastAsia="宋体" w:hAnsi="Calibri"/>
      <w:b w:val="false"/>
      <w:color w:val="365f91"/>
      <w:lang w:val="en-US" w:eastAsia="ja-JP"/>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1"/>
    <w:uiPriority w:val="99"/>
    <w:pPr>
      <w:tabs>
        <w:tab w:val="center" w:leader="none" w:pos="4513"/>
        <w:tab w:val="right" w:leader="none" w:pos="9026"/>
      </w:tabs>
      <w:spacing w:lineRule="auto" w:line="240"/>
    </w:pPr>
    <w:rPr/>
  </w:style>
  <w:style w:type="character" w:customStyle="1" w:styleId="style4101">
    <w:name w:val="Header Char_1b23221a-906f-4d3a-9b02-547dac97562d"/>
    <w:basedOn w:val="style65"/>
    <w:next w:val="style4101"/>
    <w:link w:val="style31"/>
    <w:uiPriority w:val="99"/>
  </w:style>
  <w:style w:type="paragraph" w:styleId="style32">
    <w:name w:val="footer"/>
    <w:basedOn w:val="style0"/>
    <w:next w:val="style32"/>
    <w:link w:val="style4102"/>
    <w:uiPriority w:val="99"/>
    <w:pPr>
      <w:tabs>
        <w:tab w:val="center" w:leader="none" w:pos="4513"/>
        <w:tab w:val="right" w:leader="none" w:pos="9026"/>
      </w:tabs>
      <w:spacing w:lineRule="auto" w:line="240"/>
    </w:pPr>
    <w:rPr/>
  </w:style>
  <w:style w:type="character" w:customStyle="1" w:styleId="style4102">
    <w:name w:val="Footer Char_0af17276-d21a-4a0e-82e7-696262b9db0b"/>
    <w:basedOn w:val="style65"/>
    <w:next w:val="style4102"/>
    <w:link w:val="style32"/>
    <w:uiPriority w:val="99"/>
  </w:style>
  <w:style w:type="paragraph" w:styleId="style74">
    <w:name w:val="Subtitle"/>
    <w:basedOn w:val="style0"/>
    <w:next w:val="style0"/>
    <w:pPr>
      <w:keepNext/>
      <w:keepLines/>
      <w:spacing w:after="320"/>
    </w:pPr>
    <w:rPr>
      <w:color w:val="666666"/>
      <w:sz w:val="30"/>
      <w:szCs w:val="30"/>
    </w:rPr>
  </w:style>
  <w:style w:type="table" w:customStyle="1" w:styleId="style4103">
    <w:basedOn w:val="style105"/>
    <w:next w:val="style4103"/>
    <w:pPr/>
    <w:rPr/>
    <w:tblPr>
      <w:tblStyleRowBandSize w:val="1"/>
      <w:tblStyleColBandSize w:val="1"/>
      <w:tblCellMar>
        <w:top w:w="100" w:type="dxa"/>
        <w:left w:w="100" w:type="dxa"/>
        <w:bottom w:w="100" w:type="dxa"/>
        <w:right w:w="100" w:type="dxa"/>
      </w:tblCellMar>
    </w:tblPr>
    <w:tcPr>
      <w:tcBorders/>
    </w:tcPr>
  </w:style>
  <w:style w:type="paragraph" w:styleId="style20">
    <w:name w:val="toc 2"/>
    <w:basedOn w:val="style0"/>
    <w:next w:val="style0"/>
    <w:uiPriority w:val="39"/>
    <w:pPr>
      <w:spacing w:after="100"/>
      <w:ind w:left="22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1.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CxgQcKijVHN0ycQScyJv7L/wA==">CgMxLjAyDmgudzh4bzVlOHBwdDR4Mg5oLmNpNm5kaDlhYjZsajIOaC45bnUwZ3F6M3NkZzcyDmguZ2VzbGNicGE5ZGk4Mg5oLm5la21ubjF3b29odDINaC56MzNpb3VybGg3bTIOaC5lNWZtOTlhd3dwMTIyDmguNnJkb3g1d3JwZnN6Mg5oLmpiaDZpMnRmZ2gyNDIOaC5zY2lpcjBqYXgxMGIyDmguMjdhc3dncml5ZzdtMg5oLnF5Ymd5djFyZWRtczINaC5yd3YzeG10OWptazgAciExM1lpdXlfN1lnMElObFpsQVBEdnloWlNtREhic0VPc2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2579</Words>
  <Pages>12</Pages>
  <Characters>16273</Characters>
  <Application>WPS Office</Application>
  <DocSecurity>0</DocSecurity>
  <Paragraphs>112</Paragraphs>
  <ScaleCrop>false</ScaleCrop>
  <LinksUpToDate>false</LinksUpToDate>
  <CharactersWithSpaces>18786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2026-02-18T10:43:17Z</dcterms:created>
  <dc:creator>WIN 11 PRO</dc:creator>
  <lastModifiedBy>2107113SI</lastModifiedBy>
  <dcterms:modified xsi:type="dcterms:W3CDTF">2026-02-18T10:43:17Z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3a7e844d9e464b09819f6db7ba6d1498</vt:lpwstr>
  </property>
</Properties>
</file>