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4B2236" w14:textId="77777777" w:rsidR="002E2072" w:rsidRPr="002E2072" w:rsidRDefault="002E2072" w:rsidP="002E2072">
      <w:pPr>
        <w:rPr>
          <w:b/>
          <w:bCs/>
        </w:rPr>
      </w:pPr>
      <w:r w:rsidRPr="002E2072">
        <w:rPr>
          <w:b/>
          <w:bCs/>
        </w:rPr>
        <w:t>Evaluation of a 100 Square Mat as a Tool for Inclusive Learning and Teaching</w:t>
      </w:r>
    </w:p>
    <w:p w14:paraId="326C5460" w14:textId="77777777" w:rsidR="002E2072" w:rsidRPr="002E2072" w:rsidRDefault="002E2072" w:rsidP="002E2072">
      <w:pPr>
        <w:rPr>
          <w:b/>
          <w:bCs/>
        </w:rPr>
      </w:pPr>
      <w:r w:rsidRPr="002E2072">
        <w:rPr>
          <w:b/>
          <w:bCs/>
        </w:rPr>
        <w:t>The Purpose of the Resource</w:t>
      </w:r>
    </w:p>
    <w:p w14:paraId="00EDA9CA" w14:textId="04E0EC49" w:rsidR="002E2072" w:rsidRPr="002E2072" w:rsidRDefault="002E2072" w:rsidP="002E2072">
      <w:r w:rsidRPr="002E2072">
        <w:t xml:space="preserve">A 100 Square Mat is a visual numeracy resource that displays numbers from 1 to 100 in a structured grid. Its purpose is to support learners' understanding of number recognition, sequencing, place value, counting, addition, subtraction, multiplication patterns and problem-solving skills. </w:t>
      </w:r>
      <w:r w:rsidR="00102A4B">
        <w:t xml:space="preserve">It </w:t>
      </w:r>
      <w:r w:rsidRPr="002E2072">
        <w:t>provides a visual representation of numerical relationships, helping learners to identify patterns and make connections between numbers.</w:t>
      </w:r>
    </w:p>
    <w:p w14:paraId="389765BA" w14:textId="4497EBBA" w:rsidR="002E2072" w:rsidRPr="002E2072" w:rsidRDefault="00102A4B" w:rsidP="002E2072">
      <w:r>
        <w:t xml:space="preserve">It </w:t>
      </w:r>
      <w:r w:rsidR="002E2072" w:rsidRPr="002E2072">
        <w:t>can be used in a variety of ways, inclu</w:t>
      </w:r>
      <w:r>
        <w:t xml:space="preserve">ding </w:t>
      </w:r>
      <w:r w:rsidR="002E2072" w:rsidRPr="002E2072">
        <w:t>paired activities and independent learning tasks. Learners can physically move along the mat, point to numbers, use counters or engage in games that reinforce mathematical understanding. This makes the resource valuable as it transforms abstract mathematical concepts into a concrete and visual learning experience</w:t>
      </w:r>
      <w:r>
        <w:t>s</w:t>
      </w:r>
      <w:r w:rsidR="000E361E">
        <w:t xml:space="preserve">, which aid </w:t>
      </w:r>
      <w:r>
        <w:t xml:space="preserve">strong </w:t>
      </w:r>
      <w:r w:rsidR="000E361E">
        <w:t>understanding (Piaget, 1952)</w:t>
      </w:r>
      <w:r w:rsidR="002E2072" w:rsidRPr="002E2072">
        <w:t>.</w:t>
      </w:r>
    </w:p>
    <w:p w14:paraId="23266505" w14:textId="4B48F53C" w:rsidR="002E2072" w:rsidRPr="002E2072" w:rsidRDefault="00102A4B" w:rsidP="002E2072">
      <w:r>
        <w:t>T</w:t>
      </w:r>
      <w:r w:rsidR="002E2072" w:rsidRPr="002E2072">
        <w:t xml:space="preserve">he 100 Square Mat </w:t>
      </w:r>
      <w:r w:rsidR="000E361E">
        <w:t xml:space="preserve">can </w:t>
      </w:r>
      <w:r w:rsidR="002E2072" w:rsidRPr="002E2072">
        <w:t>act as a scaffold that supports understanding</w:t>
      </w:r>
      <w:r w:rsidR="000E361E">
        <w:t xml:space="preserve"> </w:t>
      </w:r>
      <w:r w:rsidR="000E361E">
        <w:t>(Vygotsky, 1978)</w:t>
      </w:r>
      <w:r w:rsidR="002E2072" w:rsidRPr="002E2072">
        <w:t xml:space="preserve"> and reduces anxiety associated with numeracy tasks</w:t>
      </w:r>
      <w:r w:rsidR="000E361E">
        <w:t xml:space="preserve"> </w:t>
      </w:r>
      <w:r w:rsidR="002E2072" w:rsidRPr="002E2072">
        <w:t>. The clear organisation of numbers helps learners develop confidence and independence while engaging with mathematical concepts.</w:t>
      </w:r>
    </w:p>
    <w:p w14:paraId="12FE2498" w14:textId="508ED08D" w:rsidR="002E2072" w:rsidRPr="002E2072" w:rsidRDefault="002E2072" w:rsidP="002E2072"/>
    <w:p w14:paraId="3ACEA267" w14:textId="3104C921" w:rsidR="002E2072" w:rsidRPr="002E2072" w:rsidRDefault="002E2072" w:rsidP="002E2072">
      <w:pPr>
        <w:rPr>
          <w:b/>
          <w:bCs/>
        </w:rPr>
      </w:pPr>
      <w:r w:rsidRPr="002E2072">
        <w:rPr>
          <w:b/>
          <w:bCs/>
        </w:rPr>
        <w:t>Suitability for Inclusive Practice</w:t>
      </w:r>
    </w:p>
    <w:p w14:paraId="24391253" w14:textId="6920795B" w:rsidR="002E2072" w:rsidRPr="002E2072" w:rsidRDefault="002E2072" w:rsidP="002E2072">
      <w:r w:rsidRPr="002E2072">
        <w:t>The 100 Square Mat is highly suitable for inclusive practice because it can be adapted to meet the needs of a wide range of learners. Inclusive practice aims to ensure that all learners can access learning opportunities regardless of ability, need or background and the flexibility of the resource supports this</w:t>
      </w:r>
      <w:r w:rsidR="00102A4B">
        <w:t>.</w:t>
      </w:r>
      <w:r w:rsidR="000E361E">
        <w:t xml:space="preserve"> (Welsh Government, 2025)</w:t>
      </w:r>
      <w:r w:rsidRPr="002E2072">
        <w:t>.</w:t>
      </w:r>
    </w:p>
    <w:p w14:paraId="3C80C9E0" w14:textId="1249C4AF" w:rsidR="002E2072" w:rsidRPr="002E2072" w:rsidRDefault="00102A4B" w:rsidP="002E2072">
      <w:r>
        <w:t>A</w:t>
      </w:r>
      <w:r w:rsidR="002E2072" w:rsidRPr="002E2072">
        <w:t xml:space="preserve"> strengths of the mat is its visual nature. </w:t>
      </w:r>
      <w:r>
        <w:t>Some l</w:t>
      </w:r>
      <w:r w:rsidR="002E2072" w:rsidRPr="002E2072">
        <w:t>earners with ALN, including those with dyslexia, ADHD and ASD, benefit from visual supports that reduce reliance on verbal instruction</w:t>
      </w:r>
      <w:r w:rsidR="000E361E">
        <w:t xml:space="preserve"> (Baron-Cohen, 1995)</w:t>
      </w:r>
      <w:r w:rsidR="002E2072" w:rsidRPr="002E2072">
        <w:t>. The layout provides a predictable structure which helps learners understand number sequences and patterns.</w:t>
      </w:r>
    </w:p>
    <w:p w14:paraId="33CD7A68" w14:textId="5D632D82" w:rsidR="002E2072" w:rsidRPr="002E2072" w:rsidRDefault="002E2072" w:rsidP="002E2072">
      <w:r w:rsidRPr="002E2072">
        <w:t>The use of colour further enhance</w:t>
      </w:r>
      <w:r w:rsidR="00102A4B">
        <w:t>s</w:t>
      </w:r>
      <w:r w:rsidRPr="002E2072">
        <w:t xml:space="preserve"> accessibility. Different colours can be used to highlight number patterns. Colour coding can support memory retention and help learners identify mathematical relationships more easily</w:t>
      </w:r>
      <w:r w:rsidR="003B6301">
        <w:t xml:space="preserve"> (Sousa, 2017)</w:t>
      </w:r>
      <w:r w:rsidRPr="002E2072">
        <w:t>.</w:t>
      </w:r>
    </w:p>
    <w:p w14:paraId="6CDDAE10" w14:textId="1418AC8E" w:rsidR="002E2072" w:rsidRPr="002E2072" w:rsidRDefault="002E2072" w:rsidP="002E2072">
      <w:r w:rsidRPr="002E2072">
        <w:t>The resource can support multisensory learning. Learners can physically stand on numbers, move counters across the mat, say numbers aloud or listen to counting songs while using the resource. This engagement of visual, auditory and kinaesthetic learning styles increases participation and understanding</w:t>
      </w:r>
      <w:r w:rsidR="00102A4B">
        <w:t xml:space="preserve"> (Gardner, 1983)</w:t>
      </w:r>
      <w:r w:rsidRPr="002E2072">
        <w:t>.</w:t>
      </w:r>
    </w:p>
    <w:p w14:paraId="0F6B8431" w14:textId="548D35C5" w:rsidR="002E2072" w:rsidRPr="002E2072" w:rsidRDefault="002E2072" w:rsidP="002E2072">
      <w:r w:rsidRPr="002E2072">
        <w:t xml:space="preserve">The clear start and end points </w:t>
      </w:r>
      <w:r w:rsidR="00102A4B">
        <w:t>(</w:t>
      </w:r>
      <w:r w:rsidRPr="002E2072">
        <w:t>numbers 1 and 100</w:t>
      </w:r>
      <w:r w:rsidR="00102A4B">
        <w:t>)</w:t>
      </w:r>
      <w:r w:rsidRPr="002E2072">
        <w:t xml:space="preserve"> can be beneficial for learners who require structure and routine. Many learners feel more comfortable when activities have clear boundaries and expectations</w:t>
      </w:r>
      <w:r w:rsidR="003B6301">
        <w:t xml:space="preserve"> (Skinner, 1938)</w:t>
      </w:r>
      <w:r w:rsidRPr="002E2072">
        <w:t>. The predictable layout reduces uncertainty and allows learners to focus on the learning objective.</w:t>
      </w:r>
    </w:p>
    <w:p w14:paraId="2ABB0054" w14:textId="2ABEC589" w:rsidR="002E2072" w:rsidRPr="002E2072" w:rsidRDefault="003B6301" w:rsidP="002E2072">
      <w:r>
        <w:t>T</w:t>
      </w:r>
      <w:r w:rsidR="002E2072" w:rsidRPr="002E2072">
        <w:t xml:space="preserve">he 100 Square Mat can be differentiated according to individual needs. Some learners may use the full square while others focus on sections such as 1-20 or 1-50. This flexibility allows </w:t>
      </w:r>
      <w:r w:rsidR="00102A4B">
        <w:t>educato</w:t>
      </w:r>
      <w:r w:rsidR="002E2072" w:rsidRPr="002E2072">
        <w:t>rs to provide appropriate challenge while maintaining inclusion.</w:t>
      </w:r>
    </w:p>
    <w:p w14:paraId="51F13117" w14:textId="428912E3" w:rsidR="002E2072" w:rsidRPr="002E2072" w:rsidRDefault="002E2072" w:rsidP="002E2072"/>
    <w:p w14:paraId="2CF512D4" w14:textId="2BD29A87" w:rsidR="002E2072" w:rsidRPr="002E2072" w:rsidRDefault="002E2072" w:rsidP="002E2072">
      <w:pPr>
        <w:rPr>
          <w:b/>
          <w:bCs/>
        </w:rPr>
      </w:pPr>
      <w:r w:rsidRPr="002E2072">
        <w:rPr>
          <w:b/>
          <w:bCs/>
        </w:rPr>
        <w:t>Links to Educational Theory</w:t>
      </w:r>
    </w:p>
    <w:p w14:paraId="3ECC166D" w14:textId="1630D929" w:rsidR="002E2072" w:rsidRPr="002E2072" w:rsidRDefault="002E2072" w:rsidP="002E2072">
      <w:pPr>
        <w:rPr>
          <w:b/>
          <w:bCs/>
        </w:rPr>
      </w:pPr>
      <w:r w:rsidRPr="002E2072">
        <w:rPr>
          <w:b/>
          <w:bCs/>
        </w:rPr>
        <w:t>Piaget's Cognitive Development Theory</w:t>
      </w:r>
      <w:r w:rsidR="003B6301">
        <w:rPr>
          <w:b/>
          <w:bCs/>
        </w:rPr>
        <w:t xml:space="preserve"> (1952)</w:t>
      </w:r>
    </w:p>
    <w:p w14:paraId="36852858" w14:textId="4A4C6A39" w:rsidR="002E2072" w:rsidRPr="002E2072" w:rsidRDefault="002E2072" w:rsidP="002E2072">
      <w:r w:rsidRPr="002E2072">
        <w:t xml:space="preserve">Piaget argued that children develop understanding through active exploration and concrete experiences before progressing to abstract thought. The 100 Square Mat supports learners in the concrete operational stage by providing a </w:t>
      </w:r>
      <w:r w:rsidR="003B6301">
        <w:t>physical</w:t>
      </w:r>
      <w:r w:rsidRPr="002E2072">
        <w:t xml:space="preserve"> representation of number concepts. Learners can physically interact with numbers and observe mathematical patterns rather than abstract calculations.</w:t>
      </w:r>
    </w:p>
    <w:p w14:paraId="2D697C28" w14:textId="17D5DD18" w:rsidR="002E2072" w:rsidRPr="002E2072" w:rsidRDefault="002E2072" w:rsidP="002E2072">
      <w:pPr>
        <w:rPr>
          <w:b/>
          <w:bCs/>
        </w:rPr>
      </w:pPr>
      <w:r w:rsidRPr="002E2072">
        <w:rPr>
          <w:b/>
          <w:bCs/>
        </w:rPr>
        <w:t>Vygotsky's Social Constructivist Theory</w:t>
      </w:r>
      <w:r w:rsidR="003B6301">
        <w:rPr>
          <w:b/>
          <w:bCs/>
        </w:rPr>
        <w:t xml:space="preserve"> (1978)</w:t>
      </w:r>
    </w:p>
    <w:p w14:paraId="42CCC93F" w14:textId="63306D75" w:rsidR="002E2072" w:rsidRPr="002E2072" w:rsidRDefault="002E2072" w:rsidP="002E2072">
      <w:r w:rsidRPr="002E2072">
        <w:t xml:space="preserve">Vygotsky emphasised the importance of social interaction and scaffolding within the Zone of Proximal Development (ZPD). The 100 Square Mat acts as a scaffold that supports learners as they build mathematical understanding. </w:t>
      </w:r>
      <w:r w:rsidR="003B6301">
        <w:t xml:space="preserve">Educators and peers </w:t>
      </w:r>
      <w:r w:rsidRPr="002E2072">
        <w:t>can model strategies and guide learners. As understanding develops, support can gradually be reduced.</w:t>
      </w:r>
    </w:p>
    <w:p w14:paraId="76822556" w14:textId="77777777" w:rsidR="003B6301" w:rsidRDefault="003B6301" w:rsidP="002E2072"/>
    <w:p w14:paraId="2ECC1A5C" w14:textId="69E7A3C1" w:rsidR="002E2072" w:rsidRPr="002E2072" w:rsidRDefault="002E2072" w:rsidP="002E2072">
      <w:pPr>
        <w:rPr>
          <w:b/>
          <w:bCs/>
        </w:rPr>
      </w:pPr>
      <w:r w:rsidRPr="002E2072">
        <w:rPr>
          <w:b/>
          <w:bCs/>
        </w:rPr>
        <w:t xml:space="preserve"> Links to Welsh Government Policy</w:t>
      </w:r>
    </w:p>
    <w:p w14:paraId="3B79BC3D" w14:textId="16B16941" w:rsidR="002E2072" w:rsidRPr="002E2072" w:rsidRDefault="002E2072" w:rsidP="002E2072">
      <w:pPr>
        <w:rPr>
          <w:b/>
          <w:bCs/>
        </w:rPr>
      </w:pPr>
      <w:r w:rsidRPr="002E2072">
        <w:rPr>
          <w:b/>
          <w:bCs/>
        </w:rPr>
        <w:t>Curriculum for Wales</w:t>
      </w:r>
      <w:r w:rsidR="003B6301">
        <w:rPr>
          <w:b/>
          <w:bCs/>
        </w:rPr>
        <w:t xml:space="preserve"> (2022)</w:t>
      </w:r>
    </w:p>
    <w:p w14:paraId="483730D3" w14:textId="77777777" w:rsidR="002E2072" w:rsidRPr="002E2072" w:rsidRDefault="002E2072" w:rsidP="002E2072">
      <w:r w:rsidRPr="002E2072">
        <w:t>The Curriculum for Wales promotes progression, equity and learner-centred approaches. Within the Mathematics and Numeracy Area of Learning and Experience, learners are expected to develop confidence and competence in number skills. The 100 Square Mat supports these aims by encouraging exploration, reasoning and problem-solving while allowing learning to be adapted to meet individual needs.</w:t>
      </w:r>
    </w:p>
    <w:p w14:paraId="0858DF21" w14:textId="7C7C6C71" w:rsidR="002E2072" w:rsidRPr="002E2072" w:rsidRDefault="002E2072" w:rsidP="002E2072">
      <w:pPr>
        <w:rPr>
          <w:b/>
          <w:bCs/>
        </w:rPr>
      </w:pPr>
      <w:r w:rsidRPr="002E2072">
        <w:rPr>
          <w:b/>
          <w:bCs/>
        </w:rPr>
        <w:t xml:space="preserve">Additional Learning Needs and Education Tribunal (Wales) Act </w:t>
      </w:r>
      <w:r w:rsidR="003B6301">
        <w:rPr>
          <w:b/>
          <w:bCs/>
        </w:rPr>
        <w:t>(</w:t>
      </w:r>
      <w:r w:rsidRPr="002E2072">
        <w:rPr>
          <w:b/>
          <w:bCs/>
        </w:rPr>
        <w:t>20</w:t>
      </w:r>
      <w:r w:rsidR="003B6301">
        <w:rPr>
          <w:b/>
          <w:bCs/>
        </w:rPr>
        <w:t>21)</w:t>
      </w:r>
    </w:p>
    <w:p w14:paraId="5474AB9C" w14:textId="0295AA71" w:rsidR="002E2072" w:rsidRPr="002E2072" w:rsidRDefault="002E2072" w:rsidP="002E2072">
      <w:r w:rsidRPr="002E2072">
        <w:t>The ALN Act places a</w:t>
      </w:r>
      <w:r w:rsidR="00102A4B">
        <w:t xml:space="preserve">n </w:t>
      </w:r>
      <w:r w:rsidRPr="002E2072">
        <w:t xml:space="preserve">emphasis on person-centred practice and ensuring that learners with additional learning needs can access the curriculum effectively. The adaptable nature of the 100 Square Mat supports this because it can be modified according to individual learner </w:t>
      </w:r>
      <w:r w:rsidR="00102A4B">
        <w:t>needs</w:t>
      </w:r>
      <w:r w:rsidRPr="002E2072">
        <w:t>.</w:t>
      </w:r>
    </w:p>
    <w:p w14:paraId="1AE86979" w14:textId="2AE5DC39" w:rsidR="002E2072" w:rsidRPr="002E2072" w:rsidRDefault="002E2072" w:rsidP="002E2072">
      <w:pPr>
        <w:rPr>
          <w:b/>
          <w:bCs/>
        </w:rPr>
      </w:pPr>
      <w:r w:rsidRPr="002E2072">
        <w:rPr>
          <w:b/>
          <w:bCs/>
        </w:rPr>
        <w:t>United Nations Convention on the Rights of the Child (UNCRC)</w:t>
      </w:r>
      <w:r w:rsidR="003B6301">
        <w:rPr>
          <w:b/>
          <w:bCs/>
        </w:rPr>
        <w:t xml:space="preserve"> (1989)</w:t>
      </w:r>
    </w:p>
    <w:p w14:paraId="61230CB7" w14:textId="54D95366" w:rsidR="002E2072" w:rsidRPr="002E2072" w:rsidRDefault="002E2072" w:rsidP="002E2072">
      <w:r w:rsidRPr="002E2072">
        <w:t>Article 28 highlights every child's right to education, while Article 29 emphasises developing each child's abilities to their fullest potential. The 100 Square Mat contributes to these aims by providing an accessible method of supporting participation and achievement in math</w:t>
      </w:r>
      <w:r w:rsidR="00102A4B">
        <w:t>s</w:t>
      </w:r>
      <w:r w:rsidRPr="002E2072">
        <w:t>.</w:t>
      </w:r>
    </w:p>
    <w:p w14:paraId="18ABA671" w14:textId="409C6C06" w:rsidR="002E2072" w:rsidRPr="002E2072" w:rsidRDefault="002E2072" w:rsidP="002E2072">
      <w:pPr>
        <w:rPr>
          <w:b/>
          <w:bCs/>
        </w:rPr>
      </w:pPr>
      <w:r w:rsidRPr="002E2072">
        <w:rPr>
          <w:b/>
          <w:bCs/>
        </w:rPr>
        <w:t>Inclusion and Equity in Education</w:t>
      </w:r>
      <w:r w:rsidR="005630B4">
        <w:rPr>
          <w:b/>
          <w:bCs/>
        </w:rPr>
        <w:t xml:space="preserve"> </w:t>
      </w:r>
    </w:p>
    <w:p w14:paraId="0C1D0E5A" w14:textId="113B05C3" w:rsidR="002E2072" w:rsidRPr="002E2072" w:rsidRDefault="002E2072" w:rsidP="002E2072">
      <w:r w:rsidRPr="002E2072">
        <w:t>Welsh Government guidance promotes removing barriers to learning and ensuring equitable access to educational experiences. The 100 Square Mat can help remove barriers by presenting information visually, reducing cognitive demands and providing opportunities for differentiated learning</w:t>
      </w:r>
      <w:r w:rsidR="005630B4">
        <w:t xml:space="preserve"> (Welsh Government, 2025)</w:t>
      </w:r>
    </w:p>
    <w:p w14:paraId="51BC493E" w14:textId="389DAED3" w:rsidR="002E2072" w:rsidRPr="002E2072" w:rsidRDefault="002E2072" w:rsidP="002E2072"/>
    <w:p w14:paraId="3F52B25B" w14:textId="77777777" w:rsidR="002E2072" w:rsidRPr="002E2072" w:rsidRDefault="002E2072" w:rsidP="002E2072">
      <w:pPr>
        <w:rPr>
          <w:b/>
          <w:bCs/>
        </w:rPr>
      </w:pPr>
      <w:r w:rsidRPr="002E2072">
        <w:rPr>
          <w:b/>
          <w:bCs/>
        </w:rPr>
        <w:t>Consider How It Could Be Improved to Better Support Inclusive Practice for Learners with an ALN</w:t>
      </w:r>
    </w:p>
    <w:p w14:paraId="629116F0" w14:textId="340F73F1" w:rsidR="002E2072" w:rsidRPr="002E2072" w:rsidRDefault="002E2072" w:rsidP="002E2072">
      <w:r w:rsidRPr="002E2072">
        <w:t xml:space="preserve">Although the 100 Square Mat is a valuable inclusive resource, several adaptations could improve its effectiveness for </w:t>
      </w:r>
      <w:r w:rsidR="005630B4">
        <w:t>inclusive practice.</w:t>
      </w:r>
      <w:r w:rsidRPr="002E2072">
        <w:t>.</w:t>
      </w:r>
    </w:p>
    <w:p w14:paraId="7329D2C5" w14:textId="37846D39" w:rsidR="002E2072" w:rsidRPr="002E2072" w:rsidRDefault="002E2072" w:rsidP="002E2072">
      <w:r w:rsidRPr="002E2072">
        <w:t xml:space="preserve">For </w:t>
      </w:r>
      <w:r w:rsidR="005630B4">
        <w:t xml:space="preserve">some </w:t>
      </w:r>
      <w:r w:rsidRPr="002E2072">
        <w:t>learners, visual clutter can sometimes be overwhelming. A simplified version could be introduced, showing smaller sections of the number square or using visual masking tools to focus attention on specific numbers. This may reduce cognitive overload and support concentration</w:t>
      </w:r>
      <w:r w:rsidR="005630B4">
        <w:t xml:space="preserve"> (Baron-Cohen, 1995)</w:t>
      </w:r>
      <w:r w:rsidRPr="002E2072">
        <w:t>.</w:t>
      </w:r>
    </w:p>
    <w:p w14:paraId="2687CAC0" w14:textId="14DBE6CC" w:rsidR="002E2072" w:rsidRPr="002E2072" w:rsidRDefault="002E2072" w:rsidP="002E2072">
      <w:r w:rsidRPr="002E2072">
        <w:t>Additional visual supports could also be incorporated. Arrows indicating counting forwards and backwards, symbols representing mathematical operations and highlighted rows or columns could provide greater clarity. Explicit visual prompts are often beneficial for learners who have difficulties processing verbal instructions</w:t>
      </w:r>
      <w:r w:rsidR="005630B4">
        <w:t xml:space="preserve"> (Hodgdon, 1995)</w:t>
      </w:r>
      <w:r w:rsidRPr="002E2072">
        <w:t>.</w:t>
      </w:r>
    </w:p>
    <w:p w14:paraId="4279F2E7" w14:textId="52A6857F" w:rsidR="002E2072" w:rsidRPr="002E2072" w:rsidRDefault="002E2072" w:rsidP="002E2072">
      <w:r w:rsidRPr="002E2072">
        <w:t>Colour choices should be carefully considered. While colour coding can enhance learning, excessive use of bright colours may cause sensory overload for some learners</w:t>
      </w:r>
      <w:r w:rsidR="005630B4">
        <w:t xml:space="preserve"> (Baron-Cohen, 1995)</w:t>
      </w:r>
      <w:r w:rsidRPr="002E2072">
        <w:t>. Using consistent, muted colours and ensuring high contrast between numbers and backgrounds can improve accessibility.</w:t>
      </w:r>
    </w:p>
    <w:p w14:paraId="5B6868E0" w14:textId="77777777" w:rsidR="002E2072" w:rsidRPr="002E2072" w:rsidRDefault="002E2072" w:rsidP="002E2072">
      <w:r w:rsidRPr="002E2072">
        <w:t>Technology could further enhance the resource. Interactive digital versions could include speech output, touch-screen interaction, adjustable colours, enlarged text and personalised settings. These features would support learners with sensory needs, visual impairments or communication difficulties.</w:t>
      </w:r>
    </w:p>
    <w:p w14:paraId="4F8C34DD" w14:textId="77777777" w:rsidR="002E2072" w:rsidRPr="002E2072" w:rsidRDefault="002E2072" w:rsidP="002E2072">
      <w:r w:rsidRPr="002E2072">
        <w:t>Opportunities for individualised learning could also be increased. For example, numbers could be linked to learners' interests, such as animals, sports or transport themes, which may enhance motivation and engagement, particularly for autistic learners.</w:t>
      </w:r>
    </w:p>
    <w:p w14:paraId="50D4D3CE" w14:textId="139BFFA0" w:rsidR="002E2072" w:rsidRPr="002E2072" w:rsidRDefault="002E2072" w:rsidP="002E2072">
      <w:r w:rsidRPr="002E2072">
        <w:t>Finally, using tactile elements such as raised numbers, textured surfaces or movable number tiles would support learners who benefit from sensory and kinaesthetic experiences. This would make the resource more accessible for learners with visual impairments and those who learn most effectively through hands-on activities</w:t>
      </w:r>
      <w:r w:rsidR="005630B4">
        <w:t xml:space="preserve"> (Gardner, 1983).</w:t>
      </w:r>
    </w:p>
    <w:p w14:paraId="0FCE77A8" w14:textId="2ADB42C8" w:rsidR="002E2072" w:rsidRPr="002E2072" w:rsidRDefault="002E2072" w:rsidP="002E2072"/>
    <w:p w14:paraId="7ED11822" w14:textId="77777777" w:rsidR="002E2072" w:rsidRPr="002E2072" w:rsidRDefault="002E2072" w:rsidP="002E2072">
      <w:pPr>
        <w:rPr>
          <w:b/>
          <w:bCs/>
        </w:rPr>
      </w:pPr>
      <w:r w:rsidRPr="002E2072">
        <w:rPr>
          <w:b/>
          <w:bCs/>
        </w:rPr>
        <w:t>Conclusion</w:t>
      </w:r>
    </w:p>
    <w:p w14:paraId="3697C1B8" w14:textId="72F23614" w:rsidR="002E2072" w:rsidRDefault="005630B4" w:rsidP="002E2072">
      <w:r>
        <w:t>Overall, t</w:t>
      </w:r>
      <w:r w:rsidR="002E2072" w:rsidRPr="002E2072">
        <w:t xml:space="preserve">he 100 Square Mat is an effective and versatile numeracy resource that strongly supports inclusive learning and teaching. </w:t>
      </w:r>
    </w:p>
    <w:p w14:paraId="50232BB6" w14:textId="77777777" w:rsidR="00102A4B" w:rsidRPr="002E2072" w:rsidRDefault="00102A4B" w:rsidP="00102A4B"/>
    <w:p w14:paraId="7050C9BE" w14:textId="77777777" w:rsidR="00102A4B" w:rsidRPr="000E361E" w:rsidRDefault="00102A4B" w:rsidP="00102A4B">
      <w:pPr>
        <w:rPr>
          <w:b/>
          <w:bCs/>
          <w:u w:val="single"/>
        </w:rPr>
      </w:pPr>
      <w:r w:rsidRPr="000E361E">
        <w:rPr>
          <w:b/>
          <w:bCs/>
          <w:u w:val="single"/>
        </w:rPr>
        <w:t>Reference List</w:t>
      </w:r>
    </w:p>
    <w:p w14:paraId="66587C0D" w14:textId="77777777" w:rsidR="00102A4B" w:rsidRDefault="00102A4B" w:rsidP="00102A4B">
      <w:pPr>
        <w:rPr>
          <w:rFonts w:ascii="Calibri" w:hAnsi="Calibri" w:cs="Calibri"/>
        </w:rPr>
      </w:pPr>
      <w:r w:rsidRPr="000E361E">
        <w:rPr>
          <w:rFonts w:ascii="Calibri" w:hAnsi="Calibri" w:cs="Calibri"/>
        </w:rPr>
        <w:t xml:space="preserve">Baron-Cohen, S. (1995) </w:t>
      </w:r>
      <w:proofErr w:type="spellStart"/>
      <w:r w:rsidRPr="000E361E">
        <w:rPr>
          <w:rFonts w:ascii="Calibri" w:hAnsi="Calibri" w:cs="Calibri"/>
          <w:i/>
          <w:iCs/>
        </w:rPr>
        <w:t>Mindblindness</w:t>
      </w:r>
      <w:proofErr w:type="spellEnd"/>
      <w:r w:rsidRPr="000E361E">
        <w:rPr>
          <w:rFonts w:ascii="Calibri" w:hAnsi="Calibri" w:cs="Calibri"/>
          <w:i/>
          <w:iCs/>
        </w:rPr>
        <w:t>: An Essay on Autism and Theory of Mind</w:t>
      </w:r>
      <w:r w:rsidRPr="000E361E">
        <w:rPr>
          <w:rFonts w:ascii="Calibri" w:hAnsi="Calibri" w:cs="Calibri"/>
        </w:rPr>
        <w:t>. Cambridge, MA: MIT Press.</w:t>
      </w:r>
    </w:p>
    <w:p w14:paraId="6B9BECA4" w14:textId="77777777" w:rsidR="00102A4B" w:rsidRDefault="00102A4B" w:rsidP="00102A4B">
      <w:pPr>
        <w:rPr>
          <w:rFonts w:ascii="Calibri" w:hAnsi="Calibri" w:cs="Calibri"/>
        </w:rPr>
      </w:pPr>
      <w:r w:rsidRPr="005630B4">
        <w:rPr>
          <w:rFonts w:ascii="Calibri" w:hAnsi="Calibri" w:cs="Calibri"/>
        </w:rPr>
        <w:t xml:space="preserve">Gardner, H. (1983) </w:t>
      </w:r>
      <w:r w:rsidRPr="005630B4">
        <w:rPr>
          <w:rFonts w:ascii="Calibri" w:hAnsi="Calibri" w:cs="Calibri"/>
          <w:i/>
          <w:iCs/>
        </w:rPr>
        <w:t>Frames of Mind: The Theory of Multiple Intelligences</w:t>
      </w:r>
      <w:r w:rsidRPr="005630B4">
        <w:rPr>
          <w:rFonts w:ascii="Calibri" w:hAnsi="Calibri" w:cs="Calibri"/>
        </w:rPr>
        <w:t>. New York: Basic Book</w:t>
      </w:r>
      <w:r>
        <w:rPr>
          <w:rFonts w:ascii="Calibri" w:hAnsi="Calibri" w:cs="Calibri"/>
        </w:rPr>
        <w:t>s</w:t>
      </w:r>
    </w:p>
    <w:p w14:paraId="57D23B53" w14:textId="77777777" w:rsidR="00102A4B" w:rsidRDefault="00102A4B" w:rsidP="00102A4B">
      <w:pPr>
        <w:rPr>
          <w:rFonts w:ascii="Calibri" w:hAnsi="Calibri" w:cs="Calibri"/>
        </w:rPr>
      </w:pPr>
      <w:r w:rsidRPr="005630B4">
        <w:rPr>
          <w:rFonts w:ascii="Calibri" w:hAnsi="Calibri" w:cs="Calibri"/>
        </w:rPr>
        <w:t xml:space="preserve">Hodgdon, L.Q. (1995) </w:t>
      </w:r>
      <w:r w:rsidRPr="005630B4">
        <w:rPr>
          <w:rFonts w:ascii="Calibri" w:hAnsi="Calibri" w:cs="Calibri"/>
          <w:i/>
          <w:iCs/>
        </w:rPr>
        <w:t>Visual Strategies for Improving Communication: Practical Supports for School and Home</w:t>
      </w:r>
      <w:r w:rsidRPr="005630B4">
        <w:rPr>
          <w:rFonts w:ascii="Calibri" w:hAnsi="Calibri" w:cs="Calibri"/>
        </w:rPr>
        <w:t xml:space="preserve">. Troy, MI: </w:t>
      </w:r>
      <w:proofErr w:type="spellStart"/>
      <w:r w:rsidRPr="005630B4">
        <w:rPr>
          <w:rFonts w:ascii="Calibri" w:hAnsi="Calibri" w:cs="Calibri"/>
        </w:rPr>
        <w:t>QuirkRoberts</w:t>
      </w:r>
      <w:proofErr w:type="spellEnd"/>
      <w:r w:rsidRPr="005630B4">
        <w:rPr>
          <w:rFonts w:ascii="Calibri" w:hAnsi="Calibri" w:cs="Calibri"/>
        </w:rPr>
        <w:t xml:space="preserve"> Publishing</w:t>
      </w:r>
    </w:p>
    <w:p w14:paraId="373AC0C9" w14:textId="77777777" w:rsidR="00102A4B" w:rsidRDefault="00102A4B" w:rsidP="00102A4B">
      <w:pPr>
        <w:rPr>
          <w:rFonts w:ascii="Calibri" w:hAnsi="Calibri" w:cs="Calibri"/>
        </w:rPr>
      </w:pPr>
      <w:r w:rsidRPr="000E361E">
        <w:rPr>
          <w:rFonts w:ascii="Calibri" w:hAnsi="Calibri" w:cs="Calibri"/>
        </w:rPr>
        <w:t xml:space="preserve">Piaget, J. (1952) </w:t>
      </w:r>
      <w:r w:rsidRPr="000E361E">
        <w:rPr>
          <w:rFonts w:ascii="Calibri" w:hAnsi="Calibri" w:cs="Calibri"/>
          <w:i/>
          <w:iCs/>
        </w:rPr>
        <w:t>The origins of intelligence in children</w:t>
      </w:r>
      <w:r w:rsidRPr="000E361E">
        <w:rPr>
          <w:rFonts w:ascii="Calibri" w:hAnsi="Calibri" w:cs="Calibri"/>
        </w:rPr>
        <w:t>. New York: International Universities Press</w:t>
      </w:r>
    </w:p>
    <w:p w14:paraId="6402AC7E" w14:textId="77777777" w:rsidR="00102A4B" w:rsidRDefault="00102A4B" w:rsidP="00102A4B">
      <w:pPr>
        <w:rPr>
          <w:rFonts w:ascii="Calibri" w:hAnsi="Calibri" w:cs="Calibri"/>
        </w:rPr>
      </w:pPr>
      <w:r w:rsidRPr="003B6301">
        <w:rPr>
          <w:rFonts w:ascii="Calibri" w:hAnsi="Calibri" w:cs="Calibri"/>
        </w:rPr>
        <w:t xml:space="preserve">Skinner, B.F. (1938) </w:t>
      </w:r>
      <w:r w:rsidRPr="003B6301">
        <w:rPr>
          <w:rFonts w:ascii="Calibri" w:hAnsi="Calibri" w:cs="Calibri"/>
          <w:i/>
          <w:iCs/>
        </w:rPr>
        <w:t>The Behaviour of Organisms: An Experimental Analysis</w:t>
      </w:r>
      <w:r w:rsidRPr="003B6301">
        <w:rPr>
          <w:rFonts w:ascii="Calibri" w:hAnsi="Calibri" w:cs="Calibri"/>
        </w:rPr>
        <w:t>. New York: Appleton-Century.</w:t>
      </w:r>
    </w:p>
    <w:p w14:paraId="55A056EE" w14:textId="77777777" w:rsidR="00102A4B" w:rsidRDefault="00102A4B" w:rsidP="00102A4B">
      <w:pPr>
        <w:rPr>
          <w:rFonts w:ascii="Calibri" w:hAnsi="Calibri" w:cs="Calibri"/>
        </w:rPr>
      </w:pPr>
      <w:r w:rsidRPr="003B6301">
        <w:rPr>
          <w:rFonts w:ascii="Calibri" w:hAnsi="Calibri" w:cs="Calibri"/>
        </w:rPr>
        <w:t xml:space="preserve">Sousa, D.A. (2017) </w:t>
      </w:r>
      <w:r w:rsidRPr="003B6301">
        <w:rPr>
          <w:rFonts w:ascii="Calibri" w:hAnsi="Calibri" w:cs="Calibri"/>
          <w:i/>
          <w:iCs/>
        </w:rPr>
        <w:t>How the Brain Learns</w:t>
      </w:r>
      <w:r w:rsidRPr="003B6301">
        <w:rPr>
          <w:rFonts w:ascii="Calibri" w:hAnsi="Calibri" w:cs="Calibri"/>
        </w:rPr>
        <w:t xml:space="preserve">. 5th </w:t>
      </w:r>
      <w:proofErr w:type="spellStart"/>
      <w:r w:rsidRPr="003B6301">
        <w:rPr>
          <w:rFonts w:ascii="Calibri" w:hAnsi="Calibri" w:cs="Calibri"/>
        </w:rPr>
        <w:t>edn</w:t>
      </w:r>
      <w:proofErr w:type="spellEnd"/>
      <w:r w:rsidRPr="003B6301">
        <w:rPr>
          <w:rFonts w:ascii="Calibri" w:hAnsi="Calibri" w:cs="Calibri"/>
        </w:rPr>
        <w:t>. Thousand Oaks, CA: Corwin</w:t>
      </w:r>
    </w:p>
    <w:p w14:paraId="0333DDA7" w14:textId="77777777" w:rsidR="00102A4B" w:rsidRDefault="00102A4B" w:rsidP="00102A4B">
      <w:pPr>
        <w:rPr>
          <w:rFonts w:ascii="Calibri" w:hAnsi="Calibri" w:cs="Calibri"/>
        </w:rPr>
      </w:pPr>
      <w:r w:rsidRPr="005630B4">
        <w:rPr>
          <w:rFonts w:ascii="Calibri" w:hAnsi="Calibri" w:cs="Calibri"/>
        </w:rPr>
        <w:t xml:space="preserve">United Nations (1989) </w:t>
      </w:r>
      <w:r w:rsidRPr="005630B4">
        <w:rPr>
          <w:rFonts w:ascii="Calibri" w:hAnsi="Calibri" w:cs="Calibri"/>
          <w:i/>
          <w:iCs/>
        </w:rPr>
        <w:t>Convention on the Rights of the Child</w:t>
      </w:r>
      <w:r w:rsidRPr="005630B4">
        <w:rPr>
          <w:rFonts w:ascii="Calibri" w:hAnsi="Calibri" w:cs="Calibri"/>
        </w:rPr>
        <w:t>. New York: United Nations. Available at: https://www.ohchr.org/en/instruments-mechanisms/instruments/convention-rights-child (Accessed</w:t>
      </w:r>
      <w:r>
        <w:rPr>
          <w:rFonts w:ascii="Calibri" w:hAnsi="Calibri" w:cs="Calibri"/>
        </w:rPr>
        <w:t xml:space="preserve"> 06.08.2026)</w:t>
      </w:r>
    </w:p>
    <w:p w14:paraId="77CB0670" w14:textId="77777777" w:rsidR="00102A4B" w:rsidRDefault="00102A4B" w:rsidP="00102A4B">
      <w:pPr>
        <w:rPr>
          <w:rFonts w:ascii="Calibri" w:hAnsi="Calibri" w:cs="Calibri"/>
        </w:rPr>
      </w:pPr>
      <w:r w:rsidRPr="00A9506A">
        <w:rPr>
          <w:rFonts w:ascii="Calibri" w:hAnsi="Calibri" w:cs="Calibri"/>
        </w:rPr>
        <w:t xml:space="preserve">Vygotsky, L.S. (1978) </w:t>
      </w:r>
      <w:r w:rsidRPr="00A9506A">
        <w:rPr>
          <w:rFonts w:ascii="Calibri" w:hAnsi="Calibri" w:cs="Calibri"/>
          <w:i/>
          <w:iCs/>
        </w:rPr>
        <w:t>Mind in Society: The Development of Higher Psychological Processes</w:t>
      </w:r>
      <w:r w:rsidRPr="00A9506A">
        <w:rPr>
          <w:rFonts w:ascii="Calibri" w:hAnsi="Calibri" w:cs="Calibri"/>
        </w:rPr>
        <w:t>. Cambridge, MA: Harvard University Press</w:t>
      </w:r>
    </w:p>
    <w:p w14:paraId="42C2EE6D" w14:textId="77777777" w:rsidR="00102A4B" w:rsidRDefault="00102A4B" w:rsidP="00102A4B">
      <w:pPr>
        <w:rPr>
          <w:rFonts w:ascii="Calibri" w:hAnsi="Calibri" w:cs="Calibri"/>
        </w:rPr>
      </w:pPr>
      <w:r w:rsidRPr="005630B4">
        <w:rPr>
          <w:rFonts w:ascii="Calibri" w:hAnsi="Calibri" w:cs="Calibri"/>
        </w:rPr>
        <w:t xml:space="preserve">Welsh Government (2021) </w:t>
      </w:r>
      <w:r w:rsidRPr="005630B4">
        <w:rPr>
          <w:rFonts w:ascii="Calibri" w:hAnsi="Calibri" w:cs="Calibri"/>
          <w:i/>
          <w:iCs/>
        </w:rPr>
        <w:t>Additional Learning Needs Code for Wales 2021</w:t>
      </w:r>
      <w:r w:rsidRPr="005630B4">
        <w:rPr>
          <w:rFonts w:ascii="Calibri" w:hAnsi="Calibri" w:cs="Calibri"/>
        </w:rPr>
        <w:t>. Cardiff: Welsh Government. Available at: https://gov.wales/additional-learning-needs-code-wales-2021 (Accessed</w:t>
      </w:r>
      <w:r>
        <w:rPr>
          <w:rFonts w:ascii="Calibri" w:hAnsi="Calibri" w:cs="Calibri"/>
        </w:rPr>
        <w:t xml:space="preserve"> 06.08.</w:t>
      </w:r>
      <w:r w:rsidRPr="005630B4">
        <w:rPr>
          <w:rFonts w:ascii="Calibri" w:hAnsi="Calibri" w:cs="Calibri"/>
        </w:rPr>
        <w:t xml:space="preserve"> 2026)</w:t>
      </w:r>
    </w:p>
    <w:p w14:paraId="4B41A031" w14:textId="77777777" w:rsidR="00102A4B" w:rsidRDefault="00102A4B" w:rsidP="00102A4B">
      <w:pPr>
        <w:rPr>
          <w:rFonts w:ascii="Calibri" w:hAnsi="Calibri" w:cs="Calibri"/>
        </w:rPr>
      </w:pPr>
      <w:r w:rsidRPr="003B6301">
        <w:rPr>
          <w:rFonts w:ascii="Calibri" w:hAnsi="Calibri" w:cs="Calibri"/>
        </w:rPr>
        <w:t xml:space="preserve">Welsh Government (2022) </w:t>
      </w:r>
      <w:r w:rsidRPr="003B6301">
        <w:rPr>
          <w:rFonts w:ascii="Calibri" w:hAnsi="Calibri" w:cs="Calibri"/>
          <w:i/>
          <w:iCs/>
        </w:rPr>
        <w:t>Curriculum for Wales: Guidance</w:t>
      </w:r>
      <w:r w:rsidRPr="003B6301">
        <w:rPr>
          <w:rFonts w:ascii="Calibri" w:hAnsi="Calibri" w:cs="Calibri"/>
        </w:rPr>
        <w:t xml:space="preserve">. Cardiff: Welsh Government. Available at: https://hwb.gov.wales/curriculum-for-wales (Accessed </w:t>
      </w:r>
      <w:r>
        <w:rPr>
          <w:rFonts w:ascii="Calibri" w:hAnsi="Calibri" w:cs="Calibri"/>
        </w:rPr>
        <w:t>0</w:t>
      </w:r>
      <w:r w:rsidRPr="003B6301">
        <w:rPr>
          <w:rFonts w:ascii="Calibri" w:hAnsi="Calibri" w:cs="Calibri"/>
        </w:rPr>
        <w:t>6</w:t>
      </w:r>
      <w:r>
        <w:rPr>
          <w:rFonts w:ascii="Calibri" w:hAnsi="Calibri" w:cs="Calibri"/>
        </w:rPr>
        <w:t>.08.</w:t>
      </w:r>
      <w:r w:rsidRPr="003B6301">
        <w:rPr>
          <w:rFonts w:ascii="Calibri" w:hAnsi="Calibri" w:cs="Calibri"/>
        </w:rPr>
        <w:t xml:space="preserve"> 2026).</w:t>
      </w:r>
    </w:p>
    <w:p w14:paraId="2FAB546A" w14:textId="77777777" w:rsidR="00102A4B" w:rsidRPr="000E361E" w:rsidRDefault="00102A4B" w:rsidP="00102A4B">
      <w:r w:rsidRPr="000E361E">
        <w:t xml:space="preserve">Welsh Government (2025) </w:t>
      </w:r>
      <w:r w:rsidRPr="000E361E">
        <w:rPr>
          <w:i/>
          <w:iCs/>
        </w:rPr>
        <w:t>Research on equity and inclusion in the Curriculum for Wales: Government Response</w:t>
      </w:r>
      <w:r w:rsidRPr="000E361E">
        <w:t xml:space="preserve">. Available at </w:t>
      </w:r>
      <w:hyperlink r:id="rId5" w:history="1">
        <w:r w:rsidRPr="000E361E">
          <w:rPr>
            <w:rStyle w:val="Hyperlink"/>
          </w:rPr>
          <w:t>Research on equity and inclusion in the Curriculum for Wales: government response [HTML] | GOV.WALES</w:t>
        </w:r>
      </w:hyperlink>
      <w:r w:rsidRPr="000E361E">
        <w:t xml:space="preserve"> (Accessed 06.08.2026)</w:t>
      </w:r>
    </w:p>
    <w:p w14:paraId="4CB13725" w14:textId="77777777" w:rsidR="00102A4B" w:rsidRDefault="00102A4B" w:rsidP="00102A4B"/>
    <w:p w14:paraId="42A17226" w14:textId="77777777" w:rsidR="000E361E" w:rsidRDefault="000E361E">
      <w:pPr>
        <w:rPr>
          <w:b/>
          <w:bCs/>
          <w:u w:val="single"/>
        </w:rPr>
      </w:pPr>
    </w:p>
    <w:sectPr w:rsidR="000E36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654C32"/>
    <w:multiLevelType w:val="multilevel"/>
    <w:tmpl w:val="D6EC9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3937EF"/>
    <w:multiLevelType w:val="multilevel"/>
    <w:tmpl w:val="0136F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F7FE3"/>
    <w:multiLevelType w:val="multilevel"/>
    <w:tmpl w:val="F5B23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908444E"/>
    <w:multiLevelType w:val="multilevel"/>
    <w:tmpl w:val="432EC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9FE39F4"/>
    <w:multiLevelType w:val="multilevel"/>
    <w:tmpl w:val="019AC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0F15ACD"/>
    <w:multiLevelType w:val="multilevel"/>
    <w:tmpl w:val="67548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2577F20"/>
    <w:multiLevelType w:val="hybridMultilevel"/>
    <w:tmpl w:val="6CCC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E57EC0"/>
    <w:multiLevelType w:val="multilevel"/>
    <w:tmpl w:val="B5702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40273F"/>
    <w:multiLevelType w:val="multilevel"/>
    <w:tmpl w:val="BDC60F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D0132C8"/>
    <w:multiLevelType w:val="multilevel"/>
    <w:tmpl w:val="E09C6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FA95CCB"/>
    <w:multiLevelType w:val="multilevel"/>
    <w:tmpl w:val="2550D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69855977">
    <w:abstractNumId w:val="1"/>
  </w:num>
  <w:num w:numId="2" w16cid:durableId="823623266">
    <w:abstractNumId w:val="0"/>
  </w:num>
  <w:num w:numId="3" w16cid:durableId="1623196461">
    <w:abstractNumId w:val="8"/>
  </w:num>
  <w:num w:numId="4" w16cid:durableId="911963088">
    <w:abstractNumId w:val="2"/>
  </w:num>
  <w:num w:numId="5" w16cid:durableId="372269378">
    <w:abstractNumId w:val="5"/>
  </w:num>
  <w:num w:numId="6" w16cid:durableId="2050883990">
    <w:abstractNumId w:val="9"/>
  </w:num>
  <w:num w:numId="7" w16cid:durableId="461118206">
    <w:abstractNumId w:val="10"/>
  </w:num>
  <w:num w:numId="8" w16cid:durableId="1347752925">
    <w:abstractNumId w:val="4"/>
  </w:num>
  <w:num w:numId="9" w16cid:durableId="1724789416">
    <w:abstractNumId w:val="3"/>
  </w:num>
  <w:num w:numId="10" w16cid:durableId="1330982272">
    <w:abstractNumId w:val="6"/>
  </w:num>
  <w:num w:numId="11" w16cid:durableId="26889606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428"/>
    <w:rsid w:val="00066C02"/>
    <w:rsid w:val="000E361E"/>
    <w:rsid w:val="00102A4B"/>
    <w:rsid w:val="002E2072"/>
    <w:rsid w:val="003B6301"/>
    <w:rsid w:val="005630B4"/>
    <w:rsid w:val="009F25AB"/>
    <w:rsid w:val="00B23428"/>
    <w:rsid w:val="00EF3594"/>
    <w:rsid w:val="00F514F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5A7C9"/>
  <w15:chartTrackingRefBased/>
  <w15:docId w15:val="{2046B09C-6A55-4C1E-BBF8-11A0A2A76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34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34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34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34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34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34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34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34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34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4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34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34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34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34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34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34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34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3428"/>
    <w:rPr>
      <w:rFonts w:eastAsiaTheme="majorEastAsia" w:cstheme="majorBidi"/>
      <w:color w:val="272727" w:themeColor="text1" w:themeTint="D8"/>
    </w:rPr>
  </w:style>
  <w:style w:type="paragraph" w:styleId="Title">
    <w:name w:val="Title"/>
    <w:basedOn w:val="Normal"/>
    <w:next w:val="Normal"/>
    <w:link w:val="TitleChar"/>
    <w:uiPriority w:val="10"/>
    <w:qFormat/>
    <w:rsid w:val="00B234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34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34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34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3428"/>
    <w:pPr>
      <w:spacing w:before="160"/>
      <w:jc w:val="center"/>
    </w:pPr>
    <w:rPr>
      <w:i/>
      <w:iCs/>
      <w:color w:val="404040" w:themeColor="text1" w:themeTint="BF"/>
    </w:rPr>
  </w:style>
  <w:style w:type="character" w:customStyle="1" w:styleId="QuoteChar">
    <w:name w:val="Quote Char"/>
    <w:basedOn w:val="DefaultParagraphFont"/>
    <w:link w:val="Quote"/>
    <w:uiPriority w:val="29"/>
    <w:rsid w:val="00B23428"/>
    <w:rPr>
      <w:i/>
      <w:iCs/>
      <w:color w:val="404040" w:themeColor="text1" w:themeTint="BF"/>
    </w:rPr>
  </w:style>
  <w:style w:type="paragraph" w:styleId="ListParagraph">
    <w:name w:val="List Paragraph"/>
    <w:basedOn w:val="Normal"/>
    <w:uiPriority w:val="34"/>
    <w:qFormat/>
    <w:rsid w:val="00B23428"/>
    <w:pPr>
      <w:ind w:left="720"/>
      <w:contextualSpacing/>
    </w:pPr>
  </w:style>
  <w:style w:type="character" w:styleId="IntenseEmphasis">
    <w:name w:val="Intense Emphasis"/>
    <w:basedOn w:val="DefaultParagraphFont"/>
    <w:uiPriority w:val="21"/>
    <w:qFormat/>
    <w:rsid w:val="00B23428"/>
    <w:rPr>
      <w:i/>
      <w:iCs/>
      <w:color w:val="0F4761" w:themeColor="accent1" w:themeShade="BF"/>
    </w:rPr>
  </w:style>
  <w:style w:type="paragraph" w:styleId="IntenseQuote">
    <w:name w:val="Intense Quote"/>
    <w:basedOn w:val="Normal"/>
    <w:next w:val="Normal"/>
    <w:link w:val="IntenseQuoteChar"/>
    <w:uiPriority w:val="30"/>
    <w:qFormat/>
    <w:rsid w:val="00B234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3428"/>
    <w:rPr>
      <w:i/>
      <w:iCs/>
      <w:color w:val="0F4761" w:themeColor="accent1" w:themeShade="BF"/>
    </w:rPr>
  </w:style>
  <w:style w:type="character" w:styleId="IntenseReference">
    <w:name w:val="Intense Reference"/>
    <w:basedOn w:val="DefaultParagraphFont"/>
    <w:uiPriority w:val="32"/>
    <w:qFormat/>
    <w:rsid w:val="00B23428"/>
    <w:rPr>
      <w:b/>
      <w:bCs/>
      <w:smallCaps/>
      <w:color w:val="0F4761" w:themeColor="accent1" w:themeShade="BF"/>
      <w:spacing w:val="5"/>
    </w:rPr>
  </w:style>
  <w:style w:type="character" w:styleId="Hyperlink">
    <w:name w:val="Hyperlink"/>
    <w:basedOn w:val="DefaultParagraphFont"/>
    <w:uiPriority w:val="99"/>
    <w:unhideWhenUsed/>
    <w:rsid w:val="000E361E"/>
    <w:rPr>
      <w:color w:val="467886" w:themeColor="hyperlink"/>
      <w:u w:val="single"/>
    </w:rPr>
  </w:style>
  <w:style w:type="character" w:styleId="UnresolvedMention">
    <w:name w:val="Unresolved Mention"/>
    <w:basedOn w:val="DefaultParagraphFont"/>
    <w:uiPriority w:val="99"/>
    <w:semiHidden/>
    <w:unhideWhenUsed/>
    <w:rsid w:val="000E36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gov.wales/research-equity-and-inclusion-curriculum-wales-government-response-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1387</Words>
  <Characters>7912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1</cp:revision>
  <dcterms:created xsi:type="dcterms:W3CDTF">2026-08-06T10:05:00Z</dcterms:created>
  <dcterms:modified xsi:type="dcterms:W3CDTF">2026-08-06T11:18:00Z</dcterms:modified>
</cp:coreProperties>
</file>