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ascii="Arial" w:hAnsi="Arial" w:cs="Arial"/>
          <w:sz w:val="28"/>
          <w:szCs w:val="28"/>
        </w:rPr>
      </w:pPr>
      <w:r>
        <w:rPr>
          <w:rFonts w:ascii="Arial" w:hAnsi="Arial" w:cs="Arial"/>
          <w:sz w:val="28"/>
          <w:szCs w:val="28"/>
        </w:rPr>
        <w:t>BMMB7012 – Marketing Management</w:t>
      </w:r>
    </w:p>
    <w:p>
      <w:pPr>
        <w:jc w:val="center"/>
        <w:rPr>
          <w:rFonts w:ascii="Arial" w:hAnsi="Arial" w:cs="Arial"/>
        </w:rPr>
      </w:pPr>
      <w:r>
        <w:rPr>
          <w:rFonts w:ascii="Arial" w:hAnsi="Arial" w:cs="Arial"/>
          <w:b/>
          <w:bCs/>
        </w:rPr>
        <w:t>Assignment 1:</w:t>
      </w:r>
      <w:r>
        <w:rPr>
          <w:rFonts w:ascii="Arial" w:hAnsi="Arial" w:cs="Arial"/>
        </w:rPr>
        <w:t xml:space="preserve"> </w:t>
      </w:r>
      <w:r>
        <w:rPr>
          <w:rFonts w:ascii="Arial" w:hAnsi="Arial" w:cs="Arial"/>
          <w:b/>
        </w:rPr>
        <w:t>A Critical Analysis of a Contemporary Issue in Marketing</w:t>
      </w:r>
    </w:p>
    <w:p>
      <w:pPr>
        <w:jc w:val="center"/>
        <w:rPr>
          <w:rFonts w:ascii="Arial" w:hAnsi="Arial" w:cs="Arial"/>
        </w:rPr>
      </w:pPr>
      <w:r>
        <w:rPr>
          <w:rFonts w:ascii="Arial" w:hAnsi="Arial" w:cs="Arial"/>
        </w:rPr>
        <w:t>Please provide the link to your Video Presentation in the box below:</w:t>
      </w:r>
    </w:p>
    <w:tbl>
      <w:tblPr>
        <w:tblStyle w:val="5"/>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24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9016" w:type="dxa"/>
          </w:tcPr>
          <w:p>
            <w:pPr>
              <w:rPr>
                <w:rFonts w:ascii="Arial" w:hAnsi="Arial" w:cs="Arial"/>
              </w:rPr>
            </w:pPr>
            <w:r>
              <w:rPr>
                <w:rFonts w:hint="eastAsia" w:ascii="Arial" w:hAnsi="Arial" w:cs="Arial"/>
              </w:rPr>
              <w:fldChar w:fldCharType="begin"/>
            </w:r>
            <w:r>
              <w:rPr>
                <w:rFonts w:hint="eastAsia" w:ascii="Arial" w:hAnsi="Arial" w:cs="Arial"/>
              </w:rPr>
              <w:instrText xml:space="preserve"> HYPERLINK "https://uowtsd-my.sharepoint.com/:v:/r/personal/2233445_student_uwtsd_ac_uk/Documents/Marketing%20assignment1-%20presentation%201.mp4?csf=1&amp;web=1&amp;e=5OUqeu" </w:instrText>
            </w:r>
            <w:r>
              <w:rPr>
                <w:rFonts w:hint="eastAsia" w:ascii="Arial" w:hAnsi="Arial" w:cs="Arial"/>
              </w:rPr>
              <w:fldChar w:fldCharType="separate"/>
            </w:r>
            <w:r>
              <w:rPr>
                <w:rStyle w:val="7"/>
                <w:rFonts w:hint="eastAsia" w:ascii="Arial" w:hAnsi="Arial" w:cs="Arial"/>
              </w:rPr>
              <w:t>https://uowtsd-my.sharepoint.com/:v:/r/personal/2233445_student_uwtsd_ac_uk/Documents/Marketing%20assignment1-%20presentation%201.mp4?csf=1&amp;web=1&amp;e=5OUqeu</w:t>
            </w:r>
            <w:r>
              <w:rPr>
                <w:rFonts w:hint="eastAsia" w:ascii="Arial" w:hAnsi="Arial" w:cs="Arial"/>
              </w:rPr>
              <w:fldChar w:fldCharType="end"/>
            </w:r>
          </w:p>
        </w:tc>
      </w:tr>
    </w:tbl>
    <w:p>
      <w:pPr>
        <w:jc w:val="center"/>
        <w:rPr>
          <w:rFonts w:ascii="Arial" w:hAnsi="Arial" w:cs="Arial"/>
        </w:rPr>
      </w:pPr>
    </w:p>
    <w:p>
      <w:pPr>
        <w:jc w:val="center"/>
        <w:rPr>
          <w:rFonts w:ascii="Arial" w:hAnsi="Arial" w:cs="Arial"/>
        </w:rPr>
      </w:pPr>
      <w:r>
        <w:rPr>
          <w:rFonts w:ascii="Arial" w:hAnsi="Arial" w:cs="Arial"/>
        </w:rPr>
        <w:t>Please list your group members (name and ID) in the box below:</w:t>
      </w:r>
    </w:p>
    <w:tbl>
      <w:tblPr>
        <w:tblStyle w:val="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0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tcPr>
          <w:p>
            <w:pPr>
              <w:spacing w:line="480" w:lineRule="auto"/>
              <w:rPr>
                <w:rFonts w:hint="default" w:ascii="Arial" w:hAnsi="Arial" w:eastAsia="宋体" w:cs="Arial"/>
                <w:lang w:val="en-US" w:eastAsia="zh-CN"/>
              </w:rPr>
            </w:pPr>
            <w:r>
              <w:rPr>
                <w:rFonts w:hint="default" w:ascii="Arial" w:hAnsi="Arial" w:eastAsia="宋体" w:cs="Arial"/>
                <w:lang w:val="en-US" w:eastAsia="zh-CN"/>
              </w:rPr>
              <w:t>Ruohan Zhao (2234009)</w:t>
            </w:r>
          </w:p>
          <w:p>
            <w:pPr>
              <w:spacing w:line="480" w:lineRule="auto"/>
              <w:rPr>
                <w:rFonts w:hint="default" w:ascii="Arial" w:hAnsi="Arial" w:eastAsia="宋体" w:cs="Arial"/>
                <w:lang w:val="en-US" w:eastAsia="zh-CN"/>
              </w:rPr>
            </w:pPr>
            <w:r>
              <w:rPr>
                <w:rFonts w:hint="default" w:ascii="Arial" w:hAnsi="Arial" w:eastAsia="宋体" w:cs="Arial"/>
                <w:lang w:val="en-US" w:eastAsia="zh-CN"/>
              </w:rPr>
              <w:t>Luxin Liang (2218862)</w:t>
            </w:r>
          </w:p>
          <w:p>
            <w:pPr>
              <w:spacing w:line="480" w:lineRule="auto"/>
              <w:rPr>
                <w:rFonts w:hint="default" w:ascii="Arial" w:hAnsi="Arial" w:eastAsia="宋体" w:cs="Arial"/>
                <w:lang w:val="en-US" w:eastAsia="zh-CN"/>
              </w:rPr>
            </w:pPr>
            <w:r>
              <w:rPr>
                <w:rFonts w:hint="default" w:ascii="Arial" w:hAnsi="Arial" w:eastAsia="宋体" w:cs="Arial"/>
                <w:lang w:val="en-US" w:eastAsia="zh-CN"/>
              </w:rPr>
              <w:t>Ziyang Guo (2233445)</w:t>
            </w:r>
          </w:p>
          <w:p>
            <w:pPr>
              <w:spacing w:line="480" w:lineRule="auto"/>
              <w:rPr>
                <w:rFonts w:hint="default" w:ascii="Arial" w:hAnsi="Arial" w:eastAsia="宋体" w:cs="Arial"/>
                <w:lang w:val="en-US" w:eastAsia="zh-CN"/>
              </w:rPr>
            </w:pPr>
            <w:r>
              <w:rPr>
                <w:rFonts w:hint="default" w:ascii="Arial" w:hAnsi="Arial" w:eastAsia="宋体" w:cs="Arial"/>
                <w:lang w:val="en-US" w:eastAsia="zh-CN"/>
              </w:rPr>
              <w:t>Xue Sun (2233452)</w:t>
            </w:r>
          </w:p>
        </w:tc>
      </w:tr>
    </w:tbl>
    <w:p>
      <w:pPr>
        <w:jc w:val="center"/>
        <w:rPr>
          <w:rFonts w:ascii="Arial" w:hAnsi="Arial" w:cs="Arial"/>
        </w:rPr>
      </w:pPr>
    </w:p>
    <w:p>
      <w:pPr>
        <w:jc w:val="center"/>
        <w:rPr>
          <w:rFonts w:ascii="Arial" w:hAnsi="Arial" w:cs="Arial"/>
        </w:rPr>
      </w:pPr>
      <w:r>
        <w:rPr>
          <w:rFonts w:ascii="Arial" w:hAnsi="Arial" w:cs="Arial"/>
        </w:rPr>
        <w:t>Please state your chosen organisation and contemporary issue in the box below:</w:t>
      </w:r>
    </w:p>
    <w:tbl>
      <w:tblPr>
        <w:tblStyle w:val="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0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tcPr>
          <w:p>
            <w:pPr>
              <w:rPr>
                <w:rFonts w:hint="eastAsia" w:ascii="Arial" w:hAnsi="Arial" w:eastAsia="宋体" w:cs="Arial"/>
                <w:b/>
                <w:bCs/>
                <w:lang w:val="en-US" w:eastAsia="zh-CN"/>
              </w:rPr>
            </w:pPr>
            <w:r>
              <w:rPr>
                <w:rFonts w:ascii="Arial" w:hAnsi="Arial" w:cs="Arial"/>
                <w:b/>
                <w:bCs/>
              </w:rPr>
              <w:t>Organisation Name:</w:t>
            </w:r>
            <w:r>
              <w:rPr>
                <w:rFonts w:hint="eastAsia" w:ascii="Arial" w:hAnsi="Arial" w:eastAsia="宋体" w:cs="Arial"/>
                <w:b/>
                <w:bCs/>
                <w:lang w:val="en-US" w:eastAsia="zh-CN"/>
              </w:rPr>
              <w:t xml:space="preserve"> </w:t>
            </w:r>
            <w:r>
              <w:rPr>
                <w:rFonts w:hint="eastAsia" w:ascii="Arial" w:hAnsi="Arial" w:eastAsia="宋体" w:cs="Arial"/>
                <w:b w:val="0"/>
                <w:bCs w:val="0"/>
                <w:lang w:val="en-US" w:eastAsia="zh-CN"/>
              </w:rPr>
              <w:t xml:space="preserve"> Ford Motor Company</w:t>
            </w:r>
          </w:p>
          <w:p>
            <w:pPr>
              <w:rPr>
                <w:rFonts w:ascii="Arial" w:hAnsi="Arial" w:cs="Arial"/>
              </w:rPr>
            </w:pPr>
            <w:r>
              <w:rPr>
                <w:rFonts w:ascii="Arial" w:hAnsi="Arial" w:cs="Arial"/>
                <w:b/>
                <w:bCs/>
              </w:rPr>
              <w:t>Contemporary Issue:</w:t>
            </w:r>
            <w:r>
              <w:rPr>
                <w:rFonts w:hint="eastAsia" w:ascii="Arial" w:hAnsi="Arial" w:eastAsia="宋体" w:cs="Arial"/>
                <w:b/>
                <w:bCs/>
                <w:lang w:val="en-US" w:eastAsia="zh-CN"/>
              </w:rPr>
              <w:t xml:space="preserve"> </w:t>
            </w:r>
            <w:r>
              <w:rPr>
                <w:rFonts w:hint="eastAsia" w:ascii="Arial" w:hAnsi="Arial" w:eastAsia="宋体" w:cs="Arial"/>
                <w:b w:val="0"/>
                <w:bCs w:val="0"/>
                <w:lang w:val="en-US" w:eastAsia="zh-CN"/>
              </w:rPr>
              <w:t xml:space="preserve">The impact of </w:t>
            </w:r>
            <w:r>
              <w:rPr>
                <w:rFonts w:hint="default" w:ascii="Arial" w:hAnsi="Arial" w:eastAsia="宋体" w:cs="Arial"/>
                <w:b w:val="0"/>
                <w:bCs w:val="0"/>
                <w:lang w:val="en-US" w:eastAsia="zh-CN"/>
              </w:rPr>
              <w:t>‘</w:t>
            </w:r>
            <w:r>
              <w:rPr>
                <w:rFonts w:hint="eastAsia" w:ascii="Arial" w:hAnsi="Arial" w:eastAsia="宋体" w:cs="Arial"/>
                <w:b w:val="0"/>
                <w:bCs w:val="0"/>
                <w:lang w:val="en-US" w:eastAsia="zh-CN"/>
              </w:rPr>
              <w:t>new energy</w:t>
            </w:r>
            <w:r>
              <w:rPr>
                <w:rFonts w:hint="default" w:ascii="Arial" w:hAnsi="Arial" w:eastAsia="宋体" w:cs="Arial"/>
                <w:b w:val="0"/>
                <w:bCs w:val="0"/>
                <w:lang w:val="en-US" w:eastAsia="zh-CN"/>
              </w:rPr>
              <w:t>’</w:t>
            </w:r>
            <w:r>
              <w:rPr>
                <w:rFonts w:hint="eastAsia" w:ascii="Arial" w:hAnsi="Arial" w:eastAsia="宋体" w:cs="Arial"/>
                <w:b w:val="0"/>
                <w:bCs w:val="0"/>
                <w:lang w:val="en-US" w:eastAsia="zh-CN"/>
              </w:rPr>
              <w:t xml:space="preserve"> in Ford</w:t>
            </w:r>
          </w:p>
        </w:tc>
      </w:tr>
    </w:tbl>
    <w:p>
      <w:pPr>
        <w:jc w:val="center"/>
        <w:rPr>
          <w:rFonts w:ascii="Arial" w:hAnsi="Arial" w:cs="Arial"/>
        </w:rPr>
      </w:pPr>
    </w:p>
    <w:p>
      <w:pPr>
        <w:jc w:val="center"/>
        <w:rPr>
          <w:rFonts w:ascii="Arial" w:hAnsi="Arial" w:cs="Arial"/>
        </w:rPr>
      </w:pPr>
      <w:r>
        <w:rPr>
          <w:rFonts w:ascii="Arial" w:hAnsi="Arial" w:cs="Arial"/>
        </w:rPr>
        <w:t>Please provide a Reference List of all the sources used to support your Video Presentation in the box below:</w:t>
      </w:r>
    </w:p>
    <w:tbl>
      <w:tblPr>
        <w:tblStyle w:val="5"/>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0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9016" w:type="dxa"/>
          </w:tcPr>
          <w:p>
            <w:pPr>
              <w:rPr>
                <w:rFonts w:ascii="Arial" w:hAnsi="Arial" w:cs="Arial"/>
              </w:rPr>
            </w:pPr>
          </w:p>
          <w:p>
            <w:pPr>
              <w:spacing w:line="480" w:lineRule="auto"/>
              <w:rPr>
                <w:rFonts w:hint="default" w:ascii="Times New Roman" w:hAnsi="Times New Roman" w:cs="Times New Roman"/>
                <w:b w:val="0"/>
                <w:bCs w:val="0"/>
                <w:sz w:val="20"/>
                <w:szCs w:val="20"/>
                <w:highlight w:val="none"/>
                <w:lang w:eastAsia="zh-CN"/>
              </w:rPr>
            </w:pPr>
            <w:r>
              <w:rPr>
                <w:rFonts w:hint="eastAsia" w:ascii="Times New Roman" w:hAnsi="Times New Roman" w:eastAsia="Calibri" w:cs="Times New Roman"/>
                <w:b/>
                <w:bCs/>
                <w:sz w:val="28"/>
                <w:szCs w:val="28"/>
                <w:highlight w:val="none"/>
                <w:lang w:val="en-US" w:eastAsia="zh-CN"/>
              </w:rPr>
              <w:t>Slide 1：</w:t>
            </w:r>
            <w:r>
              <w:rPr>
                <w:rFonts w:hint="default" w:ascii="Times New Roman" w:hAnsi="Times New Roman" w:eastAsia="Calibri" w:cs="Times New Roman"/>
                <w:b/>
                <w:bCs/>
                <w:sz w:val="28"/>
                <w:szCs w:val="28"/>
                <w:highlight w:val="none"/>
                <w:lang w:val="en-US" w:eastAsia="zh-CN"/>
              </w:rPr>
              <w:t>R</w:t>
            </w:r>
            <w:r>
              <w:rPr>
                <w:rFonts w:hint="eastAsia" w:ascii="Times New Roman" w:hAnsi="Times New Roman" w:cs="Times New Roman"/>
                <w:b/>
                <w:bCs/>
                <w:sz w:val="28"/>
                <w:szCs w:val="28"/>
                <w:highlight w:val="none"/>
                <w:lang w:val="en-US" w:eastAsia="zh-Hans"/>
              </w:rPr>
              <w:t>uohan</w:t>
            </w:r>
            <w:r>
              <w:rPr>
                <w:rFonts w:hint="default" w:ascii="Times New Roman" w:hAnsi="Times New Roman" w:cs="Times New Roman"/>
                <w:b/>
                <w:bCs/>
                <w:sz w:val="28"/>
                <w:szCs w:val="28"/>
                <w:highlight w:val="none"/>
                <w:lang w:eastAsia="zh-Hans"/>
              </w:rPr>
              <w:t xml:space="preserve"> Zhao</w:t>
            </w:r>
            <w:r>
              <w:rPr>
                <w:rFonts w:hint="default" w:ascii="Times New Roman" w:hAnsi="Times New Roman" w:eastAsia="Calibri" w:cs="Times New Roman"/>
                <w:b/>
                <w:bCs/>
                <w:sz w:val="28"/>
                <w:szCs w:val="28"/>
                <w:highlight w:val="none"/>
                <w:lang w:val="en-US" w:eastAsia="zh-CN"/>
              </w:rPr>
              <w:t>，</w:t>
            </w:r>
            <w:r>
              <w:rPr>
                <w:rFonts w:hint="eastAsia" w:ascii="Times New Roman" w:hAnsi="Times New Roman" w:eastAsia="Calibri" w:cs="Times New Roman"/>
                <w:b/>
                <w:bCs/>
                <w:sz w:val="28"/>
                <w:szCs w:val="28"/>
                <w:highlight w:val="none"/>
                <w:lang w:val="en-US" w:eastAsia="zh-CN"/>
              </w:rPr>
              <w:t>welcome page</w:t>
            </w:r>
            <w:r>
              <w:rPr>
                <w:rFonts w:hint="default" w:ascii="Times New Roman" w:hAnsi="Times New Roman" w:eastAsia="Calibri" w:cs="Times New Roman"/>
                <w:b/>
                <w:bCs/>
                <w:sz w:val="28"/>
                <w:szCs w:val="28"/>
                <w:highlight w:val="none"/>
                <w:lang w:val="en-US" w:eastAsia="zh-CN"/>
              </w:rPr>
              <w:t xml:space="preserve"> </w:t>
            </w:r>
          </w:p>
          <w:p>
            <w:pPr>
              <w:spacing w:line="480" w:lineRule="auto"/>
              <w:rPr>
                <w:rFonts w:hint="eastAsia" w:ascii="Times New Roman" w:hAnsi="Times New Roman" w:cs="Times New Roman"/>
                <w:b/>
                <w:bCs/>
                <w:sz w:val="24"/>
                <w:szCs w:val="24"/>
                <w:highlight w:val="none"/>
                <w:lang w:val="en-US" w:eastAsia="zh-CN"/>
              </w:rPr>
            </w:pPr>
            <w:r>
              <w:rPr>
                <w:rFonts w:hint="default" w:ascii="Times New Roman" w:hAnsi="Times New Roman" w:cs="Times New Roman"/>
                <w:b w:val="0"/>
                <w:bCs w:val="0"/>
                <w:sz w:val="24"/>
                <w:szCs w:val="24"/>
                <w:highlight w:val="none"/>
                <w:lang w:eastAsia="zh-CN"/>
              </w:rPr>
              <w:t>Hello everyone, the theme of our group presentation today is how to develop Ford's challenges in the new energy era. Our group members include</w:t>
            </w:r>
            <w:r>
              <w:rPr>
                <w:rFonts w:hint="eastAsia" w:ascii="Times New Roman" w:hAnsi="Times New Roman" w:cs="Times New Roman"/>
                <w:b w:val="0"/>
                <w:bCs w:val="0"/>
                <w:sz w:val="24"/>
                <w:szCs w:val="24"/>
                <w:highlight w:val="none"/>
                <w:lang w:val="en-US" w:eastAsia="zh-CN"/>
              </w:rPr>
              <w:t xml:space="preserve"> </w:t>
            </w:r>
            <w:r>
              <w:rPr>
                <w:rFonts w:hint="default" w:ascii="Times New Roman" w:hAnsi="Times New Roman" w:cs="Times New Roman"/>
                <w:b/>
                <w:bCs/>
                <w:sz w:val="24"/>
                <w:szCs w:val="24"/>
                <w:highlight w:val="none"/>
                <w:lang w:eastAsia="zh-CN"/>
              </w:rPr>
              <w:t>Ruohan Zhao</w:t>
            </w:r>
            <w:r>
              <w:rPr>
                <w:rFonts w:hint="eastAsia" w:ascii="Times New Roman" w:hAnsi="Times New Roman" w:cs="Times New Roman"/>
                <w:b/>
                <w:bCs/>
                <w:sz w:val="24"/>
                <w:szCs w:val="24"/>
                <w:highlight w:val="none"/>
                <w:lang w:val="en-US" w:eastAsia="zh-CN"/>
              </w:rPr>
              <w:t xml:space="preserve"> (</w:t>
            </w:r>
            <w:r>
              <w:rPr>
                <w:rFonts w:hint="default" w:ascii="Times New Roman" w:hAnsi="Times New Roman" w:cs="Times New Roman"/>
                <w:b/>
                <w:bCs/>
                <w:sz w:val="24"/>
                <w:szCs w:val="24"/>
                <w:highlight w:val="none"/>
                <w:lang w:eastAsia="zh-CN"/>
              </w:rPr>
              <w:t>2234009</w:t>
            </w:r>
            <w:r>
              <w:rPr>
                <w:rFonts w:hint="eastAsia" w:ascii="Times New Roman" w:hAnsi="Times New Roman" w:cs="Times New Roman"/>
                <w:b/>
                <w:bCs/>
                <w:sz w:val="24"/>
                <w:szCs w:val="24"/>
                <w:highlight w:val="none"/>
                <w:lang w:val="en-US" w:eastAsia="zh-CN"/>
              </w:rPr>
              <w:t>)</w:t>
            </w:r>
            <w:r>
              <w:rPr>
                <w:rFonts w:hint="default" w:ascii="Times New Roman" w:hAnsi="Times New Roman" w:cs="Times New Roman"/>
                <w:b/>
                <w:bCs/>
                <w:sz w:val="24"/>
                <w:szCs w:val="24"/>
                <w:highlight w:val="none"/>
                <w:lang w:eastAsia="zh-CN"/>
              </w:rPr>
              <w:t>,  Luxin Liang</w:t>
            </w:r>
            <w:r>
              <w:rPr>
                <w:rFonts w:hint="eastAsia" w:ascii="Times New Roman" w:hAnsi="Times New Roman" w:cs="Times New Roman"/>
                <w:b/>
                <w:bCs/>
                <w:sz w:val="24"/>
                <w:szCs w:val="24"/>
                <w:highlight w:val="none"/>
                <w:lang w:val="en-US" w:eastAsia="zh-CN"/>
              </w:rPr>
              <w:t xml:space="preserve"> (</w:t>
            </w:r>
            <w:r>
              <w:rPr>
                <w:rFonts w:hint="default" w:ascii="Times New Roman" w:hAnsi="Times New Roman" w:cs="Times New Roman"/>
                <w:b/>
                <w:bCs/>
                <w:sz w:val="24"/>
                <w:szCs w:val="24"/>
                <w:highlight w:val="none"/>
                <w:lang w:eastAsia="zh-CN"/>
              </w:rPr>
              <w:t>2218862</w:t>
            </w:r>
            <w:r>
              <w:rPr>
                <w:rFonts w:hint="eastAsia" w:ascii="Times New Roman" w:hAnsi="Times New Roman" w:cs="Times New Roman"/>
                <w:b/>
                <w:bCs/>
                <w:sz w:val="24"/>
                <w:szCs w:val="24"/>
                <w:highlight w:val="none"/>
                <w:lang w:val="en-US" w:eastAsia="zh-CN"/>
              </w:rPr>
              <w:t>)</w:t>
            </w:r>
            <w:r>
              <w:rPr>
                <w:rFonts w:hint="default" w:ascii="Times New Roman" w:hAnsi="Times New Roman" w:cs="Times New Roman"/>
                <w:b/>
                <w:bCs/>
                <w:sz w:val="24"/>
                <w:szCs w:val="24"/>
                <w:highlight w:val="none"/>
                <w:lang w:eastAsia="zh-CN"/>
              </w:rPr>
              <w:t>,</w:t>
            </w:r>
            <w:r>
              <w:rPr>
                <w:rFonts w:hint="eastAsia" w:ascii="Times New Roman" w:hAnsi="Times New Roman" w:cs="Times New Roman"/>
                <w:b/>
                <w:bCs/>
                <w:sz w:val="24"/>
                <w:szCs w:val="24"/>
                <w:highlight w:val="none"/>
                <w:lang w:val="en-US" w:eastAsia="zh-CN"/>
              </w:rPr>
              <w:t xml:space="preserve"> Ziyang Guo (2233445)</w:t>
            </w:r>
            <w:r>
              <w:rPr>
                <w:rFonts w:hint="default" w:ascii="Times New Roman" w:hAnsi="Times New Roman" w:cs="Times New Roman"/>
                <w:b/>
                <w:bCs/>
                <w:sz w:val="24"/>
                <w:szCs w:val="24"/>
                <w:highlight w:val="none"/>
                <w:lang w:eastAsia="zh-CN"/>
              </w:rPr>
              <w:t xml:space="preserve">,  </w:t>
            </w:r>
            <w:r>
              <w:rPr>
                <w:rFonts w:hint="eastAsia" w:ascii="Times New Roman" w:hAnsi="Times New Roman" w:cs="Times New Roman"/>
                <w:b/>
                <w:bCs/>
                <w:sz w:val="24"/>
                <w:szCs w:val="24"/>
                <w:highlight w:val="none"/>
                <w:lang w:val="en-US" w:eastAsia="zh-CN"/>
              </w:rPr>
              <w:t>Xue Sun (2233452)</w:t>
            </w:r>
          </w:p>
          <w:p>
            <w:pPr>
              <w:spacing w:line="480" w:lineRule="auto"/>
              <w:rPr>
                <w:rFonts w:hint="default" w:ascii="Times New Roman" w:hAnsi="Times New Roman" w:cs="Times New Roman"/>
                <w:b/>
                <w:bCs/>
                <w:sz w:val="24"/>
                <w:szCs w:val="24"/>
                <w:highlight w:val="none"/>
                <w:lang w:val="en-US" w:eastAsia="zh-CN"/>
              </w:rPr>
            </w:pPr>
          </w:p>
          <w:p>
            <w:pPr>
              <w:spacing w:line="480" w:lineRule="auto"/>
              <w:rPr>
                <w:rFonts w:hint="eastAsia" w:ascii="Times New Roman" w:hAnsi="Times New Roman" w:eastAsia="Calibri" w:cs="Times New Roman"/>
                <w:b/>
                <w:bCs/>
                <w:sz w:val="28"/>
                <w:szCs w:val="28"/>
                <w:highlight w:val="none"/>
                <w:lang w:val="en-US" w:eastAsia="zh-CN"/>
              </w:rPr>
            </w:pPr>
            <w:r>
              <w:rPr>
                <w:rFonts w:hint="eastAsia" w:ascii="Times New Roman" w:hAnsi="Times New Roman" w:eastAsia="Calibri" w:cs="Times New Roman"/>
                <w:b/>
                <w:bCs/>
                <w:sz w:val="28"/>
                <w:szCs w:val="28"/>
                <w:highlight w:val="none"/>
                <w:lang w:val="en-US" w:eastAsia="zh-CN"/>
              </w:rPr>
              <w:t>Slide 2：</w:t>
            </w:r>
            <w:r>
              <w:rPr>
                <w:rFonts w:hint="default" w:ascii="Times New Roman" w:hAnsi="Times New Roman" w:eastAsia="Calibri" w:cs="Times New Roman"/>
                <w:b/>
                <w:bCs/>
                <w:sz w:val="28"/>
                <w:szCs w:val="28"/>
                <w:highlight w:val="none"/>
                <w:lang w:val="en-US" w:eastAsia="zh-CN"/>
              </w:rPr>
              <w:t>R</w:t>
            </w:r>
            <w:r>
              <w:rPr>
                <w:rFonts w:hint="eastAsia" w:ascii="Times New Roman" w:hAnsi="Times New Roman" w:cs="Times New Roman"/>
                <w:b/>
                <w:bCs/>
                <w:sz w:val="28"/>
                <w:szCs w:val="28"/>
                <w:highlight w:val="none"/>
                <w:lang w:val="en-US" w:eastAsia="zh-Hans"/>
              </w:rPr>
              <w:t>uohan</w:t>
            </w:r>
            <w:r>
              <w:rPr>
                <w:rFonts w:hint="default" w:ascii="Times New Roman" w:hAnsi="Times New Roman" w:cs="Times New Roman"/>
                <w:b/>
                <w:bCs/>
                <w:sz w:val="28"/>
                <w:szCs w:val="28"/>
                <w:highlight w:val="none"/>
                <w:lang w:eastAsia="zh-Hans"/>
              </w:rPr>
              <w:t xml:space="preserve"> Zhao</w:t>
            </w:r>
            <w:r>
              <w:rPr>
                <w:rFonts w:hint="eastAsia" w:ascii="Times New Roman" w:hAnsi="Times New Roman" w:eastAsia="Calibri" w:cs="Times New Roman"/>
                <w:b/>
                <w:bCs/>
                <w:sz w:val="28"/>
                <w:szCs w:val="28"/>
                <w:highlight w:val="none"/>
                <w:lang w:val="en-US" w:eastAsia="zh-CN"/>
              </w:rPr>
              <w:t>,  Introduction</w:t>
            </w:r>
          </w:p>
          <w:p>
            <w:pPr>
              <w:spacing w:line="480" w:lineRule="auto"/>
              <w:ind w:firstLine="480" w:firstLineChars="200"/>
              <w:rPr>
                <w:rFonts w:hint="eastAsia" w:ascii="Times New Roman" w:hAnsi="Times New Roman" w:eastAsia="Calibri" w:cs="Times New Roman"/>
                <w:sz w:val="24"/>
                <w:szCs w:val="24"/>
                <w:highlight w:val="none"/>
                <w:lang w:val="en-US" w:eastAsia="zh-CN"/>
              </w:rPr>
            </w:pPr>
            <w:r>
              <w:rPr>
                <w:rFonts w:hint="eastAsia" w:ascii="Times New Roman" w:hAnsi="Times New Roman" w:eastAsia="Calibri" w:cs="Times New Roman"/>
                <w:sz w:val="24"/>
                <w:szCs w:val="24"/>
                <w:highlight w:val="none"/>
                <w:lang w:val="en-US" w:eastAsia="zh-CN"/>
              </w:rPr>
              <w:t>Founded in 1903, Ford Motor Company is a world-renowned automobile manufacturer. Headquartered in dearborn, Michigan, USA, it is one of the pioneers of American automobile industry and one of the largest family-owned automobile companies in the world.</w:t>
            </w:r>
          </w:p>
          <w:p>
            <w:pPr>
              <w:spacing w:line="480" w:lineRule="auto"/>
              <w:ind w:firstLine="480" w:firstLineChars="200"/>
              <w:rPr>
                <w:rFonts w:hint="eastAsia" w:ascii="Arial" w:hAnsi="Arial" w:eastAsia="宋体" w:cs="Arial"/>
                <w:i w:val="0"/>
                <w:iCs w:val="0"/>
                <w:caps w:val="0"/>
                <w:color w:val="auto"/>
                <w:spacing w:val="0"/>
                <w:sz w:val="27"/>
                <w:szCs w:val="27"/>
                <w:highlight w:val="yellow"/>
                <w:shd w:val="clear" w:fill="FFFFFF"/>
                <w:lang w:val="en-US" w:eastAsia="zh-CN"/>
              </w:rPr>
            </w:pPr>
            <w:r>
              <w:rPr>
                <w:rFonts w:hint="eastAsia" w:ascii="Times New Roman" w:hAnsi="Times New Roman" w:eastAsia="Calibri" w:cs="Times New Roman"/>
                <w:sz w:val="24"/>
                <w:szCs w:val="24"/>
                <w:highlight w:val="none"/>
                <w:lang w:val="en-US" w:eastAsia="zh-CN"/>
              </w:rPr>
              <w:t xml:space="preserve">As a globally renowned automaker, Ford faces challenges and opportunities in the new energy era. In order to maintain competitiveness in this rapidly changing market, Ford needs to adopt a series of strategies to adapt to the development trend of new energy. In this demonstration, </w:t>
            </w:r>
            <w:r>
              <w:rPr>
                <w:rFonts w:hint="eastAsia" w:ascii="Times New Roman" w:hAnsi="Times New Roman" w:cs="Times New Roman"/>
                <w:color w:val="auto"/>
                <w:sz w:val="24"/>
                <w:szCs w:val="24"/>
                <w:highlight w:val="none"/>
                <w:lang w:val="en-US" w:eastAsia="zh-CN"/>
              </w:rPr>
              <w:t>We will explore Ford's development direction, challenges, and response methods in the new energy era by combining these five marketing models.</w:t>
            </w:r>
          </w:p>
          <w:p>
            <w:pPr>
              <w:spacing w:line="480" w:lineRule="auto"/>
              <w:rPr>
                <w:rFonts w:hint="default" w:ascii="Times New Roman" w:hAnsi="Times New Roman" w:eastAsia="Calibri" w:cs="Times New Roman"/>
                <w:b/>
                <w:bCs/>
                <w:sz w:val="28"/>
                <w:szCs w:val="28"/>
                <w:highlight w:val="none"/>
                <w:lang w:val="en-US" w:eastAsia="zh-CN"/>
              </w:rPr>
            </w:pPr>
            <w:r>
              <w:rPr>
                <w:rFonts w:hint="eastAsia" w:ascii="Times New Roman" w:hAnsi="Times New Roman" w:eastAsia="Calibri" w:cs="Times New Roman"/>
                <w:b/>
                <w:bCs/>
                <w:sz w:val="28"/>
                <w:szCs w:val="28"/>
                <w:highlight w:val="none"/>
                <w:lang w:val="en-US" w:eastAsia="zh-CN"/>
              </w:rPr>
              <w:t xml:space="preserve">Slide </w:t>
            </w:r>
            <w:r>
              <w:rPr>
                <w:rFonts w:hint="eastAsia" w:ascii="Times New Roman" w:hAnsi="Times New Roman" w:cs="Times New Roman"/>
                <w:b/>
                <w:bCs/>
                <w:sz w:val="28"/>
                <w:szCs w:val="28"/>
                <w:highlight w:val="none"/>
                <w:lang w:val="en-US" w:eastAsia="zh-CN"/>
              </w:rPr>
              <w:t>3</w:t>
            </w:r>
            <w:r>
              <w:rPr>
                <w:rFonts w:hint="eastAsia" w:ascii="Times New Roman" w:hAnsi="Times New Roman" w:eastAsia="Calibri" w:cs="Times New Roman"/>
                <w:b/>
                <w:bCs/>
                <w:sz w:val="28"/>
                <w:szCs w:val="28"/>
                <w:highlight w:val="none"/>
                <w:lang w:val="en-US" w:eastAsia="zh-CN"/>
              </w:rPr>
              <w:t>：</w:t>
            </w:r>
            <w:r>
              <w:rPr>
                <w:rFonts w:hint="default" w:ascii="Times New Roman" w:hAnsi="Times New Roman" w:eastAsia="Calibri" w:cs="Times New Roman"/>
                <w:b/>
                <w:bCs/>
                <w:sz w:val="28"/>
                <w:szCs w:val="28"/>
                <w:highlight w:val="none"/>
                <w:lang w:val="en-US" w:eastAsia="zh-CN"/>
              </w:rPr>
              <w:t>R</w:t>
            </w:r>
            <w:r>
              <w:rPr>
                <w:rFonts w:hint="eastAsia" w:ascii="Times New Roman" w:hAnsi="Times New Roman" w:cs="Times New Roman"/>
                <w:b/>
                <w:bCs/>
                <w:sz w:val="28"/>
                <w:szCs w:val="28"/>
                <w:highlight w:val="none"/>
                <w:lang w:val="en-US" w:eastAsia="zh-Hans"/>
              </w:rPr>
              <w:t>uohan</w:t>
            </w:r>
            <w:r>
              <w:rPr>
                <w:rFonts w:hint="default" w:ascii="Times New Roman" w:hAnsi="Times New Roman" w:cs="Times New Roman"/>
                <w:b/>
                <w:bCs/>
                <w:sz w:val="28"/>
                <w:szCs w:val="28"/>
                <w:highlight w:val="none"/>
                <w:lang w:eastAsia="zh-Hans"/>
              </w:rPr>
              <w:t xml:space="preserve"> Zhao</w:t>
            </w:r>
            <w:r>
              <w:rPr>
                <w:rFonts w:hint="default" w:ascii="Times New Roman" w:hAnsi="Times New Roman" w:eastAsia="Calibri" w:cs="Times New Roman"/>
                <w:b/>
                <w:bCs/>
                <w:sz w:val="28"/>
                <w:szCs w:val="28"/>
                <w:highlight w:val="none"/>
                <w:lang w:val="en-US" w:eastAsia="zh-CN"/>
              </w:rPr>
              <w:t>，PE</w:t>
            </w:r>
            <w:r>
              <w:rPr>
                <w:rFonts w:hint="eastAsia" w:ascii="Times New Roman" w:hAnsi="Times New Roman" w:cs="Times New Roman"/>
                <w:b/>
                <w:bCs/>
                <w:sz w:val="28"/>
                <w:szCs w:val="28"/>
                <w:highlight w:val="none"/>
                <w:lang w:val="en-US" w:eastAsia="zh-CN"/>
              </w:rPr>
              <w:t>ST</w:t>
            </w:r>
          </w:p>
          <w:p>
            <w:pPr>
              <w:spacing w:line="480" w:lineRule="auto"/>
              <w:ind w:firstLine="480" w:firstLineChars="200"/>
              <w:rPr>
                <w:rFonts w:hint="eastAsia" w:ascii="Times New Roman" w:hAnsi="Times New Roman" w:eastAsia="Calibri" w:cs="Times New Roman"/>
                <w:sz w:val="24"/>
                <w:szCs w:val="24"/>
                <w:highlight w:val="none"/>
                <w:lang w:val="en-US" w:eastAsia="zh-Hans"/>
              </w:rPr>
            </w:pPr>
            <w:r>
              <w:rPr>
                <w:rFonts w:hint="eastAsia" w:ascii="Times New Roman" w:hAnsi="Times New Roman" w:eastAsia="Calibri" w:cs="Times New Roman"/>
                <w:sz w:val="24"/>
                <w:szCs w:val="24"/>
                <w:highlight w:val="none"/>
                <w:lang w:val="en-US" w:eastAsia="zh-Hans"/>
              </w:rPr>
              <w:t>This section analyzes the challenges faced by Ford Corporation due to an identified issue using the PEST model and marketing tools. We identify key elements causing the biggest challenge and explain their direct link to the issue. We evaluate response methods, considering strengths and weaknesses.</w:t>
            </w:r>
          </w:p>
          <w:p>
            <w:pPr>
              <w:spacing w:line="480" w:lineRule="auto"/>
              <w:rPr>
                <w:rFonts w:hint="default" w:ascii="Times New Roman" w:hAnsi="Times New Roman" w:eastAsia="Calibri" w:cs="Times New Roman"/>
                <w:b/>
                <w:bCs/>
                <w:sz w:val="28"/>
                <w:szCs w:val="28"/>
                <w:highlight w:val="none"/>
                <w:lang w:val="en-US" w:eastAsia="zh-CN"/>
              </w:rPr>
            </w:pPr>
            <w:r>
              <w:rPr>
                <w:rFonts w:hint="eastAsia" w:ascii="Times New Roman" w:hAnsi="Times New Roman" w:eastAsia="Calibri" w:cs="Times New Roman"/>
                <w:b/>
                <w:bCs/>
                <w:sz w:val="28"/>
                <w:szCs w:val="28"/>
                <w:highlight w:val="none"/>
                <w:lang w:val="en-US" w:eastAsia="zh-CN"/>
              </w:rPr>
              <w:t xml:space="preserve">Slide </w:t>
            </w:r>
            <w:r>
              <w:rPr>
                <w:rFonts w:hint="eastAsia" w:ascii="Times New Roman" w:hAnsi="Times New Roman" w:cs="Times New Roman"/>
                <w:b/>
                <w:bCs/>
                <w:sz w:val="28"/>
                <w:szCs w:val="28"/>
                <w:highlight w:val="none"/>
                <w:lang w:val="en-US" w:eastAsia="zh-CN"/>
              </w:rPr>
              <w:t>4</w:t>
            </w:r>
            <w:r>
              <w:rPr>
                <w:rFonts w:hint="eastAsia" w:ascii="Times New Roman" w:hAnsi="Times New Roman" w:eastAsia="Calibri" w:cs="Times New Roman"/>
                <w:b/>
                <w:bCs/>
                <w:sz w:val="28"/>
                <w:szCs w:val="28"/>
                <w:highlight w:val="none"/>
                <w:lang w:val="en-US" w:eastAsia="zh-CN"/>
              </w:rPr>
              <w:t>：</w:t>
            </w:r>
            <w:r>
              <w:rPr>
                <w:rFonts w:hint="default" w:ascii="Times New Roman" w:hAnsi="Times New Roman" w:eastAsia="Calibri" w:cs="Times New Roman"/>
                <w:b/>
                <w:bCs/>
                <w:sz w:val="28"/>
                <w:szCs w:val="28"/>
                <w:highlight w:val="none"/>
                <w:lang w:val="en-US" w:eastAsia="zh-CN"/>
              </w:rPr>
              <w:t>R</w:t>
            </w:r>
            <w:r>
              <w:rPr>
                <w:rFonts w:hint="eastAsia" w:ascii="Times New Roman" w:hAnsi="Times New Roman" w:cs="Times New Roman"/>
                <w:b/>
                <w:bCs/>
                <w:sz w:val="28"/>
                <w:szCs w:val="28"/>
                <w:highlight w:val="none"/>
                <w:lang w:val="en-US" w:eastAsia="zh-Hans"/>
              </w:rPr>
              <w:t>uohan</w:t>
            </w:r>
            <w:r>
              <w:rPr>
                <w:rFonts w:hint="default" w:ascii="Times New Roman" w:hAnsi="Times New Roman" w:cs="Times New Roman"/>
                <w:b/>
                <w:bCs/>
                <w:sz w:val="28"/>
                <w:szCs w:val="28"/>
                <w:highlight w:val="none"/>
                <w:lang w:eastAsia="zh-Hans"/>
              </w:rPr>
              <w:t xml:space="preserve"> Zhao</w:t>
            </w:r>
            <w:r>
              <w:rPr>
                <w:rFonts w:hint="default" w:ascii="Times New Roman" w:hAnsi="Times New Roman" w:eastAsia="Calibri" w:cs="Times New Roman"/>
                <w:b/>
                <w:bCs/>
                <w:sz w:val="28"/>
                <w:szCs w:val="28"/>
                <w:highlight w:val="none"/>
                <w:lang w:val="en-US" w:eastAsia="zh-CN"/>
              </w:rPr>
              <w:t>，PE</w:t>
            </w:r>
            <w:r>
              <w:rPr>
                <w:rFonts w:hint="eastAsia" w:ascii="Times New Roman" w:hAnsi="Times New Roman" w:cs="Times New Roman"/>
                <w:b/>
                <w:bCs/>
                <w:sz w:val="28"/>
                <w:szCs w:val="28"/>
                <w:highlight w:val="none"/>
                <w:lang w:val="en-US" w:eastAsia="zh-CN"/>
              </w:rPr>
              <w:t>ST</w:t>
            </w:r>
          </w:p>
          <w:p>
            <w:pPr>
              <w:spacing w:line="480" w:lineRule="auto"/>
              <w:ind w:firstLine="480" w:firstLineChars="200"/>
              <w:rPr>
                <w:rFonts w:hint="default" w:ascii="Times New Roman" w:hAnsi="Times New Roman" w:eastAsia="Calibri" w:cs="Times New Roman"/>
                <w:sz w:val="24"/>
                <w:szCs w:val="24"/>
                <w:highlight w:val="none"/>
                <w:lang w:val="en-US" w:eastAsia="zh-CN"/>
              </w:rPr>
            </w:pPr>
            <w:r>
              <w:rPr>
                <w:rFonts w:hint="default" w:ascii="Times New Roman" w:hAnsi="Times New Roman" w:eastAsia="Calibri" w:cs="Times New Roman"/>
                <w:sz w:val="24"/>
                <w:szCs w:val="24"/>
                <w:highlight w:val="none"/>
                <w:lang w:val="en-US" w:eastAsia="zh-Hans"/>
              </w:rPr>
              <w:t>The part of my talk is P. E. S. T Analysis,</w:t>
            </w:r>
            <w:r>
              <w:rPr>
                <w:rFonts w:hint="default" w:ascii="Times New Roman" w:hAnsi="Times New Roman" w:eastAsia="Calibri" w:cs="Times New Roman"/>
                <w:sz w:val="24"/>
                <w:szCs w:val="24"/>
                <w:highlight w:val="none"/>
                <w:lang w:val="en-US" w:eastAsia="zh-CN"/>
              </w:rPr>
              <w:t>Let's start by exploring the political factors. Government rules and regulations have a significant impact on how the automotive industry is shaped. These rules cover safety criteria as well as emissions norms for Ford. Following these criteria results in increased expenses as well as less market opportunities. Ford must actively engage with lawmakers, push for favorable rules, and invest in technology that support governmental goals in order to successfully manage these political challenges.</w:t>
            </w:r>
          </w:p>
          <w:p>
            <w:pPr>
              <w:spacing w:line="480" w:lineRule="auto"/>
              <w:ind w:firstLine="480" w:firstLineChars="200"/>
              <w:rPr>
                <w:rFonts w:hint="default" w:ascii="Times New Roman" w:hAnsi="Times New Roman" w:eastAsia="Calibri" w:cs="Times New Roman"/>
                <w:sz w:val="24"/>
                <w:szCs w:val="24"/>
                <w:highlight w:val="none"/>
                <w:lang w:val="en-US" w:eastAsia="zh-CN"/>
              </w:rPr>
            </w:pPr>
            <w:r>
              <w:rPr>
                <w:rFonts w:hint="default" w:ascii="Times New Roman" w:hAnsi="Times New Roman" w:eastAsia="Calibri" w:cs="Times New Roman"/>
                <w:sz w:val="24"/>
                <w:szCs w:val="24"/>
                <w:highlight w:val="none"/>
                <w:lang w:val="en-US" w:eastAsia="zh-CN"/>
              </w:rPr>
              <w:t>We then look at the economic variables. Consumer purchasing power is directly impacted by changes in Moving on to societal concerns, Ford now faces a substantial hurdle as a result of shifting consumer preferences. Ford must modify its product lineup to reflect the growing importance of sustainability and technological improvements among consumers. To create environmentally friendly automobiles with cutting-edge technologies, such as electric and hybrid models, the corporation must make research and development investments. Ford can learn about changing trends and consumer preferences by actively engaging with customers, ensuring that its product range is in line with market expectations.</w:t>
            </w:r>
          </w:p>
          <w:p>
            <w:pPr>
              <w:spacing w:line="480" w:lineRule="auto"/>
              <w:ind w:firstLine="480" w:firstLineChars="200"/>
              <w:rPr>
                <w:rFonts w:hint="default" w:ascii="Times New Roman" w:hAnsi="Times New Roman" w:eastAsia="Calibri" w:cs="Times New Roman"/>
                <w:sz w:val="24"/>
                <w:szCs w:val="24"/>
                <w:highlight w:val="none"/>
                <w:lang w:val="en-US" w:eastAsia="zh-CN"/>
              </w:rPr>
            </w:pPr>
            <w:r>
              <w:rPr>
                <w:rFonts w:hint="default" w:ascii="Times New Roman" w:hAnsi="Times New Roman" w:eastAsia="Calibri" w:cs="Times New Roman"/>
                <w:sz w:val="24"/>
                <w:szCs w:val="24"/>
                <w:highlight w:val="none"/>
                <w:lang w:val="en-US" w:eastAsia="zh-CN"/>
              </w:rPr>
              <w:t>Finally, we assess the technological aspects. Electric cars and autonomous driving are only two examples of how the automotive industry has been affected by the quick advances in</w:t>
            </w:r>
            <w:r>
              <w:rPr>
                <w:rFonts w:hint="eastAsia" w:ascii="Times New Roman" w:hAnsi="Times New Roman" w:eastAsia="Calibri" w:cs="Times New Roman"/>
                <w:sz w:val="24"/>
                <w:szCs w:val="24"/>
                <w:highlight w:val="none"/>
                <w:lang w:val="en-US" w:eastAsia="zh-CN"/>
              </w:rPr>
              <w:t xml:space="preserve"> </w:t>
            </w:r>
            <w:r>
              <w:rPr>
                <w:rFonts w:hint="default" w:ascii="Times New Roman" w:hAnsi="Times New Roman" w:eastAsia="Calibri" w:cs="Times New Roman"/>
                <w:sz w:val="24"/>
                <w:szCs w:val="24"/>
                <w:highlight w:val="none"/>
                <w:lang w:val="en-US" w:eastAsia="zh-CN"/>
              </w:rPr>
              <w:t>technology. To remain competitive, Ford must embrace innovation and make investments in cutting-edge technologies. Ford can create cutting-edge vehicles and services that meet evolving customer expectations by working with IT businesses and utilizing their knowledge. In order to keep up with technological changes, it should also give priority to improving its manufacturing procedures and staff competencies.</w:t>
            </w:r>
          </w:p>
          <w:p>
            <w:pPr>
              <w:spacing w:line="480" w:lineRule="auto"/>
              <w:rPr>
                <w:rFonts w:hint="eastAsia" w:ascii="Times New Roman" w:hAnsi="Times New Roman" w:eastAsia="Calibri" w:cs="Times New Roman"/>
                <w:b/>
                <w:bCs/>
                <w:sz w:val="28"/>
                <w:szCs w:val="28"/>
                <w:highlight w:val="none"/>
                <w:lang w:val="en-US" w:eastAsia="zh-CN"/>
              </w:rPr>
            </w:pPr>
            <w:r>
              <w:rPr>
                <w:rFonts w:hint="eastAsia" w:ascii="Times New Roman" w:hAnsi="Times New Roman" w:eastAsia="Calibri" w:cs="Times New Roman"/>
                <w:b/>
                <w:bCs/>
                <w:sz w:val="28"/>
                <w:szCs w:val="28"/>
                <w:highlight w:val="none"/>
                <w:lang w:val="en-US" w:eastAsia="zh-CN"/>
              </w:rPr>
              <w:t xml:space="preserve">Slide </w:t>
            </w:r>
            <w:r>
              <w:rPr>
                <w:rFonts w:hint="eastAsia" w:ascii="Times New Roman" w:hAnsi="Times New Roman" w:cs="Times New Roman"/>
                <w:b/>
                <w:bCs/>
                <w:sz w:val="28"/>
                <w:szCs w:val="28"/>
                <w:highlight w:val="none"/>
                <w:lang w:val="en-US" w:eastAsia="zh-CN"/>
              </w:rPr>
              <w:t>5</w:t>
            </w:r>
            <w:r>
              <w:rPr>
                <w:rFonts w:hint="eastAsia" w:ascii="Times New Roman" w:hAnsi="Times New Roman" w:eastAsia="Calibri" w:cs="Times New Roman"/>
                <w:b/>
                <w:bCs/>
                <w:sz w:val="28"/>
                <w:szCs w:val="28"/>
                <w:highlight w:val="none"/>
                <w:lang w:val="en-US" w:eastAsia="zh-CN"/>
              </w:rPr>
              <w:t>：</w:t>
            </w:r>
            <w:r>
              <w:rPr>
                <w:rFonts w:hint="default" w:ascii="Times New Roman" w:hAnsi="Times New Roman" w:eastAsia="Calibri" w:cs="Times New Roman"/>
                <w:b/>
                <w:bCs/>
                <w:sz w:val="28"/>
                <w:szCs w:val="28"/>
                <w:highlight w:val="none"/>
                <w:lang w:val="en-US" w:eastAsia="zh-CN"/>
              </w:rPr>
              <w:t>R</w:t>
            </w:r>
            <w:r>
              <w:rPr>
                <w:rFonts w:hint="eastAsia" w:ascii="Times New Roman" w:hAnsi="Times New Roman" w:cs="Times New Roman"/>
                <w:b/>
                <w:bCs/>
                <w:sz w:val="28"/>
                <w:szCs w:val="28"/>
                <w:highlight w:val="none"/>
                <w:lang w:val="en-US" w:eastAsia="zh-Hans"/>
              </w:rPr>
              <w:t>uohan</w:t>
            </w:r>
            <w:r>
              <w:rPr>
                <w:rFonts w:hint="default" w:ascii="Times New Roman" w:hAnsi="Times New Roman" w:cs="Times New Roman"/>
                <w:b/>
                <w:bCs/>
                <w:sz w:val="28"/>
                <w:szCs w:val="28"/>
                <w:highlight w:val="none"/>
                <w:lang w:eastAsia="zh-Hans"/>
              </w:rPr>
              <w:t xml:space="preserve"> Zhao</w:t>
            </w:r>
            <w:r>
              <w:rPr>
                <w:rFonts w:hint="default" w:ascii="Times New Roman" w:hAnsi="Times New Roman" w:eastAsia="Calibri" w:cs="Times New Roman"/>
                <w:b/>
                <w:bCs/>
                <w:sz w:val="28"/>
                <w:szCs w:val="28"/>
                <w:highlight w:val="none"/>
                <w:lang w:val="en-US" w:eastAsia="zh-CN"/>
              </w:rPr>
              <w:t>，PE</w:t>
            </w:r>
            <w:r>
              <w:rPr>
                <w:rFonts w:hint="eastAsia" w:ascii="Times New Roman" w:hAnsi="Times New Roman" w:cs="Times New Roman"/>
                <w:b/>
                <w:bCs/>
                <w:sz w:val="28"/>
                <w:szCs w:val="28"/>
                <w:highlight w:val="none"/>
                <w:lang w:val="en-US" w:eastAsia="zh-CN"/>
              </w:rPr>
              <w:t>ST</w:t>
            </w:r>
          </w:p>
          <w:p>
            <w:pPr>
              <w:spacing w:line="480" w:lineRule="auto"/>
              <w:ind w:firstLine="480" w:firstLineChars="200"/>
              <w:rPr>
                <w:rFonts w:hint="default" w:ascii="Times New Roman" w:hAnsi="Times New Roman" w:eastAsia="Calibri" w:cs="Times New Roman"/>
                <w:sz w:val="24"/>
                <w:szCs w:val="24"/>
                <w:highlight w:val="none"/>
                <w:lang w:val="en-US" w:eastAsia="zh-CN"/>
              </w:rPr>
            </w:pPr>
            <w:r>
              <w:rPr>
                <w:rFonts w:hint="default" w:ascii="Times New Roman" w:hAnsi="Times New Roman" w:eastAsia="Calibri" w:cs="Times New Roman"/>
                <w:sz w:val="24"/>
                <w:szCs w:val="24"/>
                <w:highlight w:val="none"/>
                <w:lang w:val="en-US" w:eastAsia="zh-CN"/>
              </w:rPr>
              <w:t>Let's now concentrate on the methods Ford should use to address these issues. First and first, Ford needs to take the initiative to interact with decision-makers and industry stakeholders in order to create policies that are advantageous and promote an atmosphere that is conducive to innovation and growth. Second, the business needs to spend money on R&amp;D to create a wide range of technologically advanced and environmentally friendly automobiles that will meet changing consumer demands. Thirdly, in order to take use of their knowledge and speed up innovation, Ford should look into strategic alliances with startups and IT firms. Ford can take advantage of emerging technology and maintain its leading position in the market by collaborating on projects.</w:t>
            </w:r>
          </w:p>
          <w:p>
            <w:pPr>
              <w:spacing w:line="480" w:lineRule="auto"/>
              <w:ind w:firstLine="480" w:firstLineChars="200"/>
              <w:rPr>
                <w:rFonts w:hint="default" w:ascii="Times New Roman" w:hAnsi="Times New Roman" w:eastAsia="Calibri" w:cs="Times New Roman"/>
                <w:sz w:val="24"/>
                <w:szCs w:val="24"/>
                <w:highlight w:val="none"/>
                <w:lang w:val="en-US" w:eastAsia="zh-CN"/>
              </w:rPr>
            </w:pPr>
            <w:r>
              <w:rPr>
                <w:rFonts w:hint="default" w:ascii="Times New Roman" w:hAnsi="Times New Roman" w:eastAsia="Calibri" w:cs="Times New Roman"/>
                <w:sz w:val="24"/>
                <w:szCs w:val="24"/>
                <w:highlight w:val="none"/>
                <w:lang w:val="en-US" w:eastAsia="zh-CN"/>
              </w:rPr>
              <w:t>We must, however, take into account both these tactics' advantages and disadvantages while assessing them. Each strategy has unique dangers and difficulties. Ford must thoroughly evaluate each strategy's viability, expenses, and prospective consequences to make sure they are in line with the long-term goals of the business.In conclusion, political, economic, social, and technological variables provide Ford Corporation with considerable problems. Ford may successfully manage these difficulties by utilizing the proper marketing tools and taking a proactive approach. Ford can establish itself as a leader in the competitive automotive sector by embracing innovation, creating environmentally friendly and technologically advanced</w:t>
            </w:r>
            <w:r>
              <w:rPr>
                <w:rFonts w:hint="eastAsia" w:ascii="Times New Roman" w:hAnsi="Times New Roman" w:eastAsia="Calibri" w:cs="Times New Roman"/>
                <w:sz w:val="24"/>
                <w:szCs w:val="24"/>
                <w:highlight w:val="none"/>
                <w:lang w:val="en-US" w:eastAsia="zh-CN"/>
              </w:rPr>
              <w:t xml:space="preserve"> </w:t>
            </w:r>
            <w:r>
              <w:rPr>
                <w:rFonts w:hint="default" w:ascii="Times New Roman" w:hAnsi="Times New Roman" w:eastAsia="Calibri" w:cs="Times New Roman"/>
                <w:sz w:val="24"/>
                <w:szCs w:val="24"/>
                <w:highlight w:val="none"/>
                <w:lang w:val="en-US" w:eastAsia="zh-CN"/>
              </w:rPr>
              <w:t>automobiles, and establishing strategic alliances. Together, we can make sure that Ford maintains its expansion, profitability, and contribution to a connected and sustainable future</w:t>
            </w:r>
            <w:r>
              <w:rPr>
                <w:rFonts w:hint="eastAsia" w:ascii="Times New Roman" w:hAnsi="Times New Roman" w:eastAsia="Calibri" w:cs="Times New Roman"/>
                <w:sz w:val="24"/>
                <w:szCs w:val="24"/>
                <w:highlight w:val="none"/>
                <w:lang w:val="en-US" w:eastAsia="zh-CN"/>
              </w:rPr>
              <w:t>.</w:t>
            </w:r>
          </w:p>
          <w:p>
            <w:pPr>
              <w:spacing w:line="480" w:lineRule="auto"/>
              <w:rPr>
                <w:rFonts w:hint="eastAsia" w:ascii="Times New Roman" w:hAnsi="Times New Roman" w:eastAsia="Calibri" w:cs="Times New Roman"/>
                <w:b/>
                <w:bCs/>
                <w:sz w:val="28"/>
                <w:szCs w:val="28"/>
                <w:highlight w:val="none"/>
                <w:lang w:val="en-US" w:eastAsia="zh-CN"/>
              </w:rPr>
            </w:pPr>
            <w:r>
              <w:rPr>
                <w:rFonts w:hint="eastAsia" w:ascii="Times New Roman" w:hAnsi="Times New Roman" w:eastAsia="Calibri" w:cs="Times New Roman"/>
                <w:b/>
                <w:bCs/>
                <w:sz w:val="28"/>
                <w:szCs w:val="28"/>
                <w:highlight w:val="none"/>
                <w:lang w:val="en-US" w:eastAsia="zh-CN"/>
              </w:rPr>
              <w:t xml:space="preserve">Slide </w:t>
            </w:r>
            <w:r>
              <w:rPr>
                <w:rFonts w:hint="eastAsia" w:ascii="Times New Roman" w:hAnsi="Times New Roman" w:cs="Times New Roman"/>
                <w:b/>
                <w:bCs/>
                <w:sz w:val="28"/>
                <w:szCs w:val="28"/>
                <w:highlight w:val="none"/>
                <w:lang w:val="en-US" w:eastAsia="zh-CN"/>
              </w:rPr>
              <w:t>6</w:t>
            </w:r>
            <w:r>
              <w:rPr>
                <w:rFonts w:hint="eastAsia" w:ascii="Times New Roman" w:hAnsi="Times New Roman" w:eastAsia="Calibri" w:cs="Times New Roman"/>
                <w:b/>
                <w:bCs/>
                <w:sz w:val="28"/>
                <w:szCs w:val="28"/>
                <w:highlight w:val="none"/>
                <w:lang w:val="en-US" w:eastAsia="zh-CN"/>
              </w:rPr>
              <w:t>：Luxin Liang, SWOT</w:t>
            </w:r>
          </w:p>
          <w:p>
            <w:pPr>
              <w:spacing w:line="480" w:lineRule="auto"/>
              <w:rPr>
                <w:rFonts w:ascii="Times New Roman" w:hAnsi="Times New Roman" w:cs="Times New Roman"/>
                <w:b/>
                <w:bCs/>
                <w:sz w:val="24"/>
                <w:szCs w:val="24"/>
                <w:highlight w:val="none"/>
              </w:rPr>
            </w:pPr>
            <w:r>
              <w:rPr>
                <w:rFonts w:ascii="Times New Roman" w:hAnsi="Times New Roman" w:cs="Times New Roman"/>
                <w:b/>
                <w:bCs/>
                <w:sz w:val="24"/>
                <w:szCs w:val="24"/>
                <w:highlight w:val="none"/>
              </w:rPr>
              <w:t xml:space="preserve">Ford SWOT Analysis </w:t>
            </w:r>
          </w:p>
          <w:p>
            <w:pPr>
              <w:spacing w:line="480" w:lineRule="auto"/>
              <w:ind w:firstLine="480" w:firstLineChars="200"/>
              <w:rPr>
                <w:rFonts w:hint="default" w:ascii="Times New Roman" w:hAnsi="Times New Roman" w:cs="Times New Roman"/>
                <w:sz w:val="24"/>
                <w:szCs w:val="24"/>
                <w:highlight w:val="none"/>
              </w:rPr>
            </w:pPr>
            <w:r>
              <w:rPr>
                <w:rFonts w:hint="default" w:ascii="Times New Roman" w:hAnsi="Times New Roman" w:cs="Times New Roman"/>
                <w:sz w:val="24"/>
                <w:szCs w:val="24"/>
                <w:highlight w:val="none"/>
              </w:rPr>
              <w:t xml:space="preserve">I will use SWOT model to analyze and evaluate the challenges Ford faces in the new energy era. SWOT analysis is a widely used method to evaluate a company's strategic position. Through the four pillars of SWOT analysis, </w:t>
            </w:r>
            <w:r>
              <w:rPr>
                <w:rFonts w:hint="eastAsia" w:ascii="Times New Roman" w:hAnsi="Times New Roman" w:cs="Times New Roman"/>
                <w:sz w:val="24"/>
                <w:szCs w:val="24"/>
                <w:highlight w:val="none"/>
                <w:lang w:val="en-US" w:eastAsia="zh-CN"/>
              </w:rPr>
              <w:t>w</w:t>
            </w:r>
            <w:r>
              <w:rPr>
                <w:rFonts w:hint="default" w:ascii="Times New Roman" w:hAnsi="Times New Roman" w:cs="Times New Roman"/>
                <w:sz w:val="24"/>
                <w:szCs w:val="24"/>
                <w:highlight w:val="none"/>
              </w:rPr>
              <w:t>e can understand Ford's strengths, weaknesses, and problems in the new energy era, and propose some countermeasures for Ford.</w:t>
            </w:r>
          </w:p>
          <w:p>
            <w:pPr>
              <w:spacing w:line="480" w:lineRule="auto"/>
              <w:rPr>
                <w:rFonts w:hint="default" w:ascii="Times New Roman" w:hAnsi="Times New Roman" w:cs="Times New Roman"/>
                <w:sz w:val="24"/>
                <w:szCs w:val="24"/>
                <w:highlight w:val="none"/>
              </w:rPr>
            </w:pPr>
            <w:r>
              <w:rPr>
                <w:rFonts w:hint="eastAsia" w:ascii="Times New Roman" w:hAnsi="Times New Roman" w:eastAsia="Calibri" w:cs="Times New Roman"/>
                <w:b/>
                <w:bCs/>
                <w:sz w:val="28"/>
                <w:szCs w:val="28"/>
                <w:highlight w:val="none"/>
                <w:lang w:val="en-US" w:eastAsia="zh-CN"/>
              </w:rPr>
              <w:t>Slide</w:t>
            </w:r>
            <w:r>
              <w:rPr>
                <w:rFonts w:hint="eastAsia" w:ascii="Times New Roman" w:hAnsi="Times New Roman" w:cs="Times New Roman"/>
                <w:b/>
                <w:bCs/>
                <w:sz w:val="28"/>
                <w:szCs w:val="28"/>
                <w:highlight w:val="none"/>
                <w:lang w:val="en-US" w:eastAsia="zh-CN"/>
              </w:rPr>
              <w:t xml:space="preserve"> 7</w:t>
            </w:r>
            <w:r>
              <w:rPr>
                <w:rFonts w:hint="eastAsia" w:ascii="Times New Roman" w:hAnsi="Times New Roman" w:eastAsia="Calibri" w:cs="Times New Roman"/>
                <w:b/>
                <w:bCs/>
                <w:sz w:val="28"/>
                <w:szCs w:val="28"/>
                <w:highlight w:val="none"/>
                <w:lang w:val="en-US" w:eastAsia="zh-CN"/>
              </w:rPr>
              <w:t>：Luxin Liang, SWOT</w:t>
            </w:r>
          </w:p>
          <w:p>
            <w:pPr>
              <w:spacing w:line="480" w:lineRule="auto"/>
              <w:rPr>
                <w:rFonts w:ascii="Times New Roman" w:hAnsi="Times New Roman" w:cs="Times New Roman"/>
                <w:b/>
                <w:bCs/>
                <w:sz w:val="24"/>
                <w:szCs w:val="24"/>
                <w:highlight w:val="none"/>
              </w:rPr>
            </w:pPr>
            <w:r>
              <w:rPr>
                <w:rFonts w:ascii="Times New Roman" w:hAnsi="Times New Roman" w:cs="Times New Roman"/>
                <w:b/>
                <w:bCs/>
                <w:sz w:val="24"/>
                <w:szCs w:val="24"/>
                <w:highlight w:val="none"/>
              </w:rPr>
              <w:t>Strengths</w:t>
            </w:r>
          </w:p>
          <w:p>
            <w:pPr>
              <w:spacing w:line="480" w:lineRule="auto"/>
              <w:ind w:firstLine="480" w:firstLineChars="200"/>
              <w:rPr>
                <w:rFonts w:ascii="Times New Roman" w:hAnsi="Times New Roman" w:cs="Times New Roman"/>
                <w:sz w:val="24"/>
                <w:szCs w:val="24"/>
                <w:highlight w:val="none"/>
              </w:rPr>
            </w:pPr>
            <w:r>
              <w:rPr>
                <w:rFonts w:ascii="Times New Roman" w:hAnsi="Times New Roman" w:cs="Times New Roman"/>
                <w:sz w:val="24"/>
                <w:szCs w:val="24"/>
                <w:highlight w:val="none"/>
              </w:rPr>
              <w:t xml:space="preserve">In the automotive industry Ford Motors has a solid brand image (Haralayya, 2021), where it has created a bunch of loyal customers who perceive the value and durability, and reliability of the corporate's products. This gives Ford Motors an upper hand in the new energy resource era because clients are likely to translate these features to the new transition to EVs. </w:t>
            </w:r>
          </w:p>
          <w:p>
            <w:pPr>
              <w:spacing w:line="480" w:lineRule="auto"/>
              <w:ind w:firstLine="480" w:firstLineChars="200"/>
              <w:rPr>
                <w:rFonts w:ascii="Times New Roman" w:hAnsi="Times New Roman" w:cs="Times New Roman"/>
                <w:sz w:val="24"/>
                <w:szCs w:val="24"/>
                <w:highlight w:val="none"/>
              </w:rPr>
            </w:pPr>
            <w:r>
              <w:rPr>
                <w:rFonts w:ascii="Times New Roman" w:hAnsi="Times New Roman" w:cs="Times New Roman"/>
                <w:sz w:val="24"/>
                <w:szCs w:val="24"/>
                <w:highlight w:val="none"/>
              </w:rPr>
              <w:t>Manufacturing Competences, such capabilities allow for the mass production of vehicles at a high rate of efficiency. Such skill provides an advantage to Ford as it will easily translate into new energy technologies with ease in its new production process, at the end Ford will expedite the production of EVs and cost saving on existing expertise.</w:t>
            </w:r>
          </w:p>
          <w:p>
            <w:pPr>
              <w:spacing w:line="480" w:lineRule="auto"/>
              <w:ind w:firstLine="480" w:firstLineChars="200"/>
              <w:rPr>
                <w:rFonts w:ascii="Times New Roman" w:hAnsi="Times New Roman" w:cs="Times New Roman"/>
                <w:sz w:val="24"/>
                <w:szCs w:val="24"/>
                <w:highlight w:val="none"/>
              </w:rPr>
            </w:pPr>
            <w:r>
              <w:rPr>
                <w:rFonts w:ascii="Times New Roman" w:hAnsi="Times New Roman" w:cs="Times New Roman"/>
                <w:sz w:val="24"/>
                <w:szCs w:val="24"/>
                <w:highlight w:val="none"/>
              </w:rPr>
              <w:t>Global presence, the international presence enables access to a wide range of markets.</w:t>
            </w:r>
            <w:r>
              <w:rPr>
                <w:rFonts w:hint="eastAsia" w:ascii="Times New Roman" w:hAnsi="Times New Roman" w:eastAsia="宋体" w:cs="Times New Roman"/>
                <w:sz w:val="24"/>
                <w:szCs w:val="24"/>
                <w:highlight w:val="none"/>
                <w:lang w:val="en-US" w:eastAsia="zh-CN"/>
              </w:rPr>
              <w:t xml:space="preserve"> </w:t>
            </w:r>
            <w:r>
              <w:rPr>
                <w:rFonts w:ascii="Times New Roman" w:hAnsi="Times New Roman" w:cs="Times New Roman"/>
                <w:sz w:val="24"/>
                <w:szCs w:val="24"/>
                <w:highlight w:val="none"/>
              </w:rPr>
              <w:t>Ford's strategic position across Europe, China, and North America presents an opportunity for the company to enjoy increasing demand across these areas. Likewise, the international reach allows cross-market cooperations and knowledge-sharing opportunities which speed up the reception of new energy resources.</w:t>
            </w:r>
          </w:p>
          <w:p>
            <w:pPr>
              <w:spacing w:line="480" w:lineRule="auto"/>
              <w:rPr>
                <w:rFonts w:ascii="Times New Roman" w:hAnsi="Times New Roman" w:cs="Times New Roman"/>
                <w:b/>
                <w:bCs/>
                <w:sz w:val="24"/>
                <w:szCs w:val="24"/>
                <w:highlight w:val="none"/>
              </w:rPr>
            </w:pPr>
            <w:r>
              <w:rPr>
                <w:rFonts w:ascii="Times New Roman" w:hAnsi="Times New Roman" w:cs="Times New Roman"/>
                <w:b/>
                <w:bCs/>
                <w:sz w:val="24"/>
                <w:szCs w:val="24"/>
                <w:highlight w:val="none"/>
              </w:rPr>
              <w:t>Weaknesses</w:t>
            </w:r>
          </w:p>
          <w:p>
            <w:pPr>
              <w:spacing w:line="480" w:lineRule="auto"/>
              <w:ind w:firstLine="480" w:firstLineChars="200"/>
              <w:rPr>
                <w:rFonts w:ascii="Times New Roman" w:hAnsi="Times New Roman" w:cs="Times New Roman"/>
                <w:sz w:val="24"/>
                <w:szCs w:val="24"/>
                <w:highlight w:val="none"/>
              </w:rPr>
            </w:pPr>
            <w:r>
              <w:rPr>
                <w:rFonts w:ascii="Times New Roman" w:hAnsi="Times New Roman" w:cs="Times New Roman"/>
                <w:sz w:val="24"/>
                <w:szCs w:val="24"/>
                <w:highlight w:val="none"/>
              </w:rPr>
              <w:t xml:space="preserve">Ford's reliance on conventional internal combustion engine (ICE) vehicles is a major vulnerability in the age of </w:t>
            </w:r>
            <w:r>
              <w:rPr>
                <w:rFonts w:hint="eastAsia" w:ascii="Times New Roman" w:hAnsi="Times New Roman" w:eastAsia="宋体" w:cs="Times New Roman"/>
                <w:sz w:val="24"/>
                <w:szCs w:val="24"/>
                <w:highlight w:val="none"/>
                <w:lang w:eastAsia="zh-CN"/>
              </w:rPr>
              <w:t>new energy</w:t>
            </w:r>
            <w:r>
              <w:rPr>
                <w:rFonts w:ascii="Times New Roman" w:hAnsi="Times New Roman" w:cs="Times New Roman"/>
                <w:sz w:val="24"/>
                <w:szCs w:val="24"/>
                <w:highlight w:val="none"/>
              </w:rPr>
              <w:t xml:space="preserve"> sources. Ford needs to speed up its EV development and adoption if it doesn't want to lose market share to rivals that have made a stronger push into the EV industry as demand grows.</w:t>
            </w:r>
          </w:p>
          <w:p>
            <w:pPr>
              <w:spacing w:line="480" w:lineRule="auto"/>
              <w:ind w:firstLine="480" w:firstLineChars="200"/>
              <w:rPr>
                <w:rFonts w:ascii="Times New Roman" w:hAnsi="Times New Roman" w:cs="Times New Roman"/>
                <w:sz w:val="24"/>
                <w:szCs w:val="24"/>
                <w:highlight w:val="none"/>
              </w:rPr>
            </w:pPr>
            <w:r>
              <w:rPr>
                <w:rFonts w:ascii="Times New Roman" w:hAnsi="Times New Roman" w:cs="Times New Roman"/>
                <w:sz w:val="24"/>
                <w:szCs w:val="24"/>
                <w:highlight w:val="none"/>
              </w:rPr>
              <w:t>Although Ford has entered the electric vehicle industry with models like the Mustang Mach-E and the F-150 Lightning, the company's market share is significantly smaller than that of rivals like Tesla. Ford needs to improve its EV portfolio and promote strategies to close this hole and get a bigger part of the quickly developing EV market.</w:t>
            </w:r>
          </w:p>
          <w:p>
            <w:pPr>
              <w:spacing w:line="480" w:lineRule="auto"/>
              <w:ind w:firstLine="480" w:firstLineChars="200"/>
              <w:rPr>
                <w:rFonts w:ascii="Times New Roman" w:hAnsi="Times New Roman" w:cs="Times New Roman"/>
                <w:sz w:val="24"/>
                <w:szCs w:val="24"/>
                <w:highlight w:val="none"/>
              </w:rPr>
            </w:pPr>
            <w:bookmarkStart w:id="0" w:name="_Hlk138102021"/>
            <w:r>
              <w:rPr>
                <w:rFonts w:ascii="Times New Roman" w:hAnsi="Times New Roman" w:cs="Times New Roman"/>
                <w:sz w:val="24"/>
                <w:szCs w:val="24"/>
                <w:highlight w:val="none"/>
              </w:rPr>
              <w:t>Growing new energy advances, like EVs and improved batteries calls for huge investment in Research and Development</w:t>
            </w:r>
            <w:bookmarkEnd w:id="0"/>
            <w:r>
              <w:rPr>
                <w:rFonts w:ascii="Times New Roman" w:hAnsi="Times New Roman" w:cs="Times New Roman"/>
                <w:sz w:val="24"/>
                <w:szCs w:val="24"/>
                <w:highlight w:val="none"/>
              </w:rPr>
              <w:t xml:space="preserve"> (Eftekhari, 2019). Along this line, Ford Motors has to invest in battery innovation, its EVs pricing portfolio, and overall performance. however, it may be challenging to maintain a competitive edge while managing R&amp;D expenses.</w:t>
            </w:r>
          </w:p>
          <w:p>
            <w:pPr>
              <w:spacing w:line="480" w:lineRule="auto"/>
              <w:rPr>
                <w:rFonts w:hint="eastAsia" w:ascii="Times New Roman" w:hAnsi="Times New Roman" w:eastAsia="Calibri" w:cs="Times New Roman"/>
                <w:b/>
                <w:bCs/>
                <w:sz w:val="28"/>
                <w:szCs w:val="28"/>
                <w:highlight w:val="none"/>
                <w:lang w:val="en-US" w:eastAsia="zh-CN"/>
              </w:rPr>
            </w:pPr>
            <w:r>
              <w:rPr>
                <w:rFonts w:hint="eastAsia" w:ascii="Times New Roman" w:hAnsi="Times New Roman" w:eastAsia="Calibri" w:cs="Times New Roman"/>
                <w:b/>
                <w:bCs/>
                <w:sz w:val="28"/>
                <w:szCs w:val="28"/>
                <w:highlight w:val="none"/>
                <w:lang w:val="en-US" w:eastAsia="zh-CN"/>
              </w:rPr>
              <w:t xml:space="preserve">Slide </w:t>
            </w:r>
            <w:r>
              <w:rPr>
                <w:rFonts w:hint="eastAsia" w:ascii="Times New Roman" w:hAnsi="Times New Roman" w:cs="Times New Roman"/>
                <w:b/>
                <w:bCs/>
                <w:sz w:val="28"/>
                <w:szCs w:val="28"/>
                <w:highlight w:val="none"/>
                <w:lang w:val="en-US" w:eastAsia="zh-CN"/>
              </w:rPr>
              <w:t>8</w:t>
            </w:r>
            <w:r>
              <w:rPr>
                <w:rFonts w:hint="eastAsia" w:ascii="Times New Roman" w:hAnsi="Times New Roman" w:eastAsia="Calibri" w:cs="Times New Roman"/>
                <w:b/>
                <w:bCs/>
                <w:sz w:val="28"/>
                <w:szCs w:val="28"/>
                <w:highlight w:val="none"/>
                <w:lang w:val="en-US" w:eastAsia="zh-CN"/>
              </w:rPr>
              <w:t>：Luxin Liang, SWOT</w:t>
            </w:r>
          </w:p>
          <w:p>
            <w:pPr>
              <w:spacing w:line="480" w:lineRule="auto"/>
              <w:rPr>
                <w:rFonts w:ascii="Times New Roman" w:hAnsi="Times New Roman" w:cs="Times New Roman"/>
                <w:b/>
                <w:bCs/>
                <w:sz w:val="24"/>
                <w:szCs w:val="24"/>
                <w:highlight w:val="none"/>
              </w:rPr>
            </w:pPr>
            <w:r>
              <w:rPr>
                <w:rFonts w:ascii="Times New Roman" w:hAnsi="Times New Roman" w:cs="Times New Roman"/>
                <w:b/>
                <w:bCs/>
                <w:sz w:val="24"/>
                <w:szCs w:val="24"/>
                <w:highlight w:val="none"/>
              </w:rPr>
              <w:t>Opportunities</w:t>
            </w:r>
          </w:p>
          <w:p>
            <w:pPr>
              <w:spacing w:line="480" w:lineRule="auto"/>
              <w:ind w:firstLine="480" w:firstLineChars="200"/>
              <w:rPr>
                <w:rFonts w:ascii="Times New Roman" w:hAnsi="Times New Roman" w:cs="Times New Roman"/>
                <w:sz w:val="24"/>
                <w:szCs w:val="24"/>
                <w:highlight w:val="none"/>
              </w:rPr>
            </w:pPr>
            <w:r>
              <w:rPr>
                <w:rFonts w:ascii="Times New Roman" w:hAnsi="Times New Roman" w:cs="Times New Roman"/>
                <w:sz w:val="24"/>
                <w:szCs w:val="24"/>
                <w:highlight w:val="none"/>
              </w:rPr>
              <w:t>Heightening demand for EVs, this surging popularity of</w:t>
            </w:r>
            <w:r>
              <w:rPr>
                <w:rFonts w:hint="eastAsia" w:ascii="Times New Roman" w:hAnsi="Times New Roman" w:eastAsia="宋体" w:cs="Times New Roman"/>
                <w:sz w:val="24"/>
                <w:szCs w:val="24"/>
                <w:highlight w:val="none"/>
                <w:lang w:val="en-US" w:eastAsia="zh-CN"/>
              </w:rPr>
              <w:t xml:space="preserve"> </w:t>
            </w:r>
            <w:r>
              <w:rPr>
                <w:rFonts w:ascii="Times New Roman" w:hAnsi="Times New Roman" w:cs="Times New Roman"/>
                <w:sz w:val="24"/>
                <w:szCs w:val="24"/>
                <w:highlight w:val="none"/>
              </w:rPr>
              <w:t xml:space="preserve"> EVs</w:t>
            </w:r>
            <w:r>
              <w:rPr>
                <w:rFonts w:hint="eastAsia" w:ascii="Times New Roman" w:hAnsi="Times New Roman" w:eastAsia="宋体" w:cs="Times New Roman"/>
                <w:sz w:val="24"/>
                <w:szCs w:val="24"/>
                <w:highlight w:val="none"/>
                <w:lang w:val="en-US" w:eastAsia="zh-CN"/>
              </w:rPr>
              <w:t xml:space="preserve"> </w:t>
            </w:r>
            <w:r>
              <w:rPr>
                <w:rFonts w:ascii="Times New Roman" w:hAnsi="Times New Roman" w:cs="Times New Roman"/>
                <w:sz w:val="24"/>
                <w:szCs w:val="24"/>
                <w:highlight w:val="none"/>
              </w:rPr>
              <w:t xml:space="preserve"> presents an opportunity for Ford to capitalize on the growing demand for environmentally sustainable transportation options. Ford's market share can be increased by offering a diverse range of electric vehicle</w:t>
            </w:r>
            <w:r>
              <w:rPr>
                <w:rFonts w:hint="eastAsia" w:ascii="Times New Roman" w:hAnsi="Times New Roman" w:eastAsia="宋体" w:cs="Times New Roman"/>
                <w:sz w:val="24"/>
                <w:szCs w:val="24"/>
                <w:highlight w:val="none"/>
                <w:lang w:val="en-US" w:eastAsia="zh-CN"/>
              </w:rPr>
              <w:t xml:space="preserve"> </w:t>
            </w:r>
            <w:r>
              <w:rPr>
                <w:rFonts w:ascii="Times New Roman" w:hAnsi="Times New Roman" w:cs="Times New Roman"/>
                <w:sz w:val="24"/>
                <w:szCs w:val="24"/>
                <w:highlight w:val="none"/>
              </w:rPr>
              <w:t>models that cater to different preferences and lifestyles.</w:t>
            </w:r>
          </w:p>
          <w:p>
            <w:pPr>
              <w:spacing w:line="480" w:lineRule="auto"/>
              <w:ind w:firstLine="480" w:firstLineChars="200"/>
              <w:rPr>
                <w:rFonts w:ascii="Times New Roman" w:hAnsi="Times New Roman" w:cs="Times New Roman"/>
                <w:sz w:val="24"/>
                <w:szCs w:val="24"/>
                <w:highlight w:val="none"/>
              </w:rPr>
            </w:pPr>
            <w:r>
              <w:rPr>
                <w:rFonts w:ascii="Times New Roman" w:hAnsi="Times New Roman" w:cs="Times New Roman"/>
                <w:sz w:val="24"/>
                <w:szCs w:val="24"/>
                <w:highlight w:val="none"/>
              </w:rPr>
              <w:t>The availability of government incentives and support programs to promote the adoption of EVs and reduce carbon emissions avails an opportunity for Ford. Where it can enhance its market position and expand EV sales by utilizing such tax incentives, subsidies, and infrastructure development.</w:t>
            </w:r>
          </w:p>
          <w:p>
            <w:pPr>
              <w:spacing w:line="480" w:lineRule="auto"/>
              <w:ind w:firstLine="480" w:firstLineChars="200"/>
              <w:rPr>
                <w:rFonts w:ascii="Times New Roman" w:hAnsi="Times New Roman" w:cs="Times New Roman"/>
                <w:sz w:val="24"/>
                <w:szCs w:val="24"/>
                <w:highlight w:val="none"/>
              </w:rPr>
            </w:pPr>
            <w:r>
              <w:rPr>
                <w:rFonts w:ascii="Times New Roman" w:hAnsi="Times New Roman" w:cs="Times New Roman"/>
                <w:sz w:val="24"/>
                <w:szCs w:val="24"/>
                <w:highlight w:val="none"/>
              </w:rPr>
              <w:t>Through cooperation and partnerships, Ford can reap the benefits by tapping into the expertise of other businesses in the areas of energy and technology. The MNE can improve its EV technology, charging network, and energy management systems by teaming up with other companies. Partnerships of this type can help Ford advance more quickly in the age of alternate energy sources.</w:t>
            </w:r>
          </w:p>
          <w:p>
            <w:pPr>
              <w:spacing w:line="480" w:lineRule="auto"/>
              <w:rPr>
                <w:rFonts w:ascii="Times New Roman" w:hAnsi="Times New Roman" w:cs="Times New Roman"/>
                <w:b/>
                <w:bCs/>
                <w:sz w:val="24"/>
                <w:szCs w:val="24"/>
                <w:highlight w:val="none"/>
              </w:rPr>
            </w:pPr>
            <w:r>
              <w:rPr>
                <w:rFonts w:ascii="Times New Roman" w:hAnsi="Times New Roman" w:cs="Times New Roman"/>
                <w:b/>
                <w:bCs/>
                <w:sz w:val="24"/>
                <w:szCs w:val="24"/>
                <w:highlight w:val="none"/>
              </w:rPr>
              <w:t>Threats</w:t>
            </w:r>
          </w:p>
          <w:p>
            <w:pPr>
              <w:spacing w:line="480" w:lineRule="auto"/>
              <w:ind w:firstLine="480" w:firstLineChars="200"/>
              <w:rPr>
                <w:rFonts w:hint="eastAsia" w:ascii="Times New Roman" w:hAnsi="Times New Roman" w:cs="Times New Roman"/>
                <w:sz w:val="24"/>
                <w:szCs w:val="24"/>
                <w:highlight w:val="none"/>
              </w:rPr>
            </w:pPr>
            <w:r>
              <w:rPr>
                <w:rFonts w:hint="eastAsia" w:ascii="Times New Roman" w:hAnsi="Times New Roman" w:cs="Times New Roman"/>
                <w:sz w:val="24"/>
                <w:szCs w:val="24"/>
                <w:highlight w:val="none"/>
              </w:rPr>
              <w:t xml:space="preserve">The S&amp;P Global (2021) report states that in the era of new energy, competition between established and emerging manufacturers is very fierce. Competitors not only include rising stars such as Tesla, but also companies from other industries such as Apple and Google. Many competitors have launched various new energy vehicle products. </w:t>
            </w:r>
            <w:r>
              <w:rPr>
                <w:rFonts w:hint="eastAsia" w:ascii="Times New Roman" w:hAnsi="Times New Roman" w:cs="Times New Roman"/>
                <w:sz w:val="24"/>
                <w:szCs w:val="24"/>
                <w:lang w:val="en-US" w:eastAsia="zh-CN"/>
              </w:rPr>
              <w:t xml:space="preserve"> Ford needs to strengthen product innovation and provide more competitive new energy vehicles to attract consumers. At the same time, Ford can also collaborate with energy companies and technology enterprises to jointly promote innovation and application of new energy technologies.</w:t>
            </w:r>
          </w:p>
          <w:p>
            <w:pPr>
              <w:spacing w:line="480" w:lineRule="auto"/>
              <w:ind w:firstLine="480" w:firstLineChars="200"/>
              <w:rPr>
                <w:rFonts w:ascii="Times New Roman" w:hAnsi="Times New Roman" w:cs="Times New Roman"/>
                <w:sz w:val="24"/>
                <w:szCs w:val="24"/>
                <w:highlight w:val="none"/>
              </w:rPr>
            </w:pPr>
            <w:r>
              <w:rPr>
                <w:rFonts w:ascii="Times New Roman" w:hAnsi="Times New Roman" w:cs="Times New Roman"/>
                <w:sz w:val="24"/>
                <w:szCs w:val="24"/>
                <w:highlight w:val="none"/>
              </w:rPr>
              <w:t xml:space="preserve">The transition to </w:t>
            </w:r>
            <w:r>
              <w:rPr>
                <w:rFonts w:hint="eastAsia" w:ascii="Times New Roman" w:hAnsi="Times New Roman" w:eastAsia="宋体" w:cs="Times New Roman"/>
                <w:sz w:val="24"/>
                <w:szCs w:val="24"/>
                <w:highlight w:val="none"/>
                <w:lang w:eastAsia="zh-CN"/>
              </w:rPr>
              <w:t>new energy</w:t>
            </w:r>
            <w:r>
              <w:rPr>
                <w:rFonts w:ascii="Times New Roman" w:hAnsi="Times New Roman" w:cs="Times New Roman"/>
                <w:sz w:val="24"/>
                <w:szCs w:val="24"/>
                <w:highlight w:val="none"/>
              </w:rPr>
              <w:t xml:space="preserve"> sources involves interdependent supply chains for charging infrastructure parts, EV production machinery, and battery components. Gul and Paoli (2022) suggest that Ford's production capabilities and profits could be affected by supply chain disruptions, including material shortages, COVID-19 pandemics, and geopolitical concerns.</w:t>
            </w:r>
          </w:p>
          <w:p>
            <w:pPr>
              <w:spacing w:line="480" w:lineRule="auto"/>
              <w:ind w:firstLine="480" w:firstLineChars="200"/>
              <w:rPr>
                <w:rFonts w:ascii="Times New Roman" w:hAnsi="Times New Roman" w:cs="Times New Roman"/>
                <w:sz w:val="24"/>
                <w:szCs w:val="24"/>
                <w:highlight w:val="none"/>
              </w:rPr>
            </w:pPr>
            <w:r>
              <w:rPr>
                <w:rFonts w:ascii="Times New Roman" w:hAnsi="Times New Roman" w:cs="Times New Roman"/>
                <w:sz w:val="24"/>
                <w:szCs w:val="24"/>
                <w:highlight w:val="none"/>
              </w:rPr>
              <w:t>The success of Ford's transformation is contingent upon the consumer perception and</w:t>
            </w:r>
            <w:r>
              <w:rPr>
                <w:rFonts w:hint="eastAsia" w:ascii="Times New Roman" w:hAnsi="Times New Roman" w:eastAsia="宋体" w:cs="Times New Roman"/>
                <w:sz w:val="24"/>
                <w:szCs w:val="24"/>
                <w:highlight w:val="none"/>
                <w:lang w:val="en-US" w:eastAsia="zh-CN"/>
              </w:rPr>
              <w:t xml:space="preserve"> </w:t>
            </w:r>
            <w:r>
              <w:rPr>
                <w:rFonts w:ascii="Times New Roman" w:hAnsi="Times New Roman" w:cs="Times New Roman"/>
                <w:sz w:val="24"/>
                <w:szCs w:val="24"/>
                <w:highlight w:val="none"/>
              </w:rPr>
              <w:t>adoption of electric vehicles. Factors such as price, accessibility to the charging stations, and level of luxury may influence consumers' inclination to purchase electric vehicles. Ford should improve its batteries, charging infrastructure, and educate customers on the benefits of electric vehicles.</w:t>
            </w:r>
          </w:p>
          <w:p>
            <w:pPr>
              <w:spacing w:line="480" w:lineRule="auto"/>
              <w:ind w:firstLine="480" w:firstLineChars="200"/>
              <w:rPr>
                <w:rFonts w:hint="eastAsia" w:ascii="Times New Roman" w:hAnsi="Times New Roman" w:cs="Times New Roman"/>
                <w:sz w:val="24"/>
                <w:szCs w:val="24"/>
                <w:highlight w:val="none"/>
              </w:rPr>
            </w:pPr>
            <w:r>
              <w:rPr>
                <w:rFonts w:hint="eastAsia" w:ascii="Times New Roman" w:hAnsi="Times New Roman" w:cs="Times New Roman"/>
                <w:sz w:val="24"/>
                <w:szCs w:val="24"/>
                <w:lang w:val="en-US" w:eastAsia="zh-CN"/>
              </w:rPr>
              <w:t>Ford can collaborate with charging facility providers to jointly promote the construction of charging infrastructure, provide more convenient charging services, and improve innovative new energy battery technology and educate consumers on the benefits of electric vehicles.</w:t>
            </w:r>
          </w:p>
          <w:p>
            <w:pPr>
              <w:spacing w:line="480" w:lineRule="auto"/>
              <w:ind w:firstLine="480" w:firstLineChars="200"/>
              <w:rPr>
                <w:rFonts w:hint="eastAsia" w:ascii="Times New Roman" w:hAnsi="Times New Roman" w:cs="Times New Roman"/>
                <w:sz w:val="24"/>
                <w:szCs w:val="24"/>
                <w:highlight w:val="none"/>
              </w:rPr>
            </w:pPr>
            <w:r>
              <w:rPr>
                <w:rFonts w:hint="eastAsia" w:ascii="Times New Roman" w:hAnsi="Times New Roman" w:cs="Times New Roman"/>
                <w:sz w:val="24"/>
                <w:szCs w:val="24"/>
                <w:highlight w:val="none"/>
              </w:rPr>
              <w:t>To sum up, Ford faces both opportunities and challenges in the new energy era. Ford can rely on its technological and brand advantages to strengthen the development and promotion of new energy vehicle product lines to meet growing consumer demand. At the same time, it is necessary to strengthen technology development, reduce production costs, and improve market competitiveness to cope with the fierce competition.</w:t>
            </w:r>
          </w:p>
          <w:p>
            <w:pPr>
              <w:jc w:val="left"/>
              <w:rPr>
                <w:rFonts w:hint="eastAsia" w:ascii="Times New Roman" w:hAnsi="Times New Roman" w:cs="Times New Roman"/>
                <w:b/>
                <w:bCs/>
                <w:sz w:val="28"/>
                <w:szCs w:val="28"/>
                <w:highlight w:val="none"/>
                <w:lang w:val="en-US" w:eastAsia="zh-CN"/>
              </w:rPr>
            </w:pPr>
            <w:r>
              <w:rPr>
                <w:rFonts w:hint="eastAsia" w:ascii="Times New Roman" w:hAnsi="Times New Roman" w:eastAsia="Calibri" w:cs="Times New Roman"/>
                <w:b/>
                <w:bCs/>
                <w:sz w:val="28"/>
                <w:szCs w:val="28"/>
                <w:highlight w:val="none"/>
                <w:lang w:val="en-US" w:eastAsia="zh-CN"/>
              </w:rPr>
              <w:t xml:space="preserve">Slide </w:t>
            </w:r>
            <w:r>
              <w:rPr>
                <w:rFonts w:hint="eastAsia" w:ascii="Times New Roman" w:hAnsi="Times New Roman" w:cs="Times New Roman"/>
                <w:b/>
                <w:bCs/>
                <w:sz w:val="28"/>
                <w:szCs w:val="28"/>
                <w:highlight w:val="none"/>
                <w:lang w:val="en-US" w:eastAsia="zh-CN"/>
              </w:rPr>
              <w:t>9</w:t>
            </w:r>
            <w:r>
              <w:rPr>
                <w:rFonts w:hint="eastAsia" w:ascii="Times New Roman" w:hAnsi="Times New Roman" w:eastAsia="Calibri" w:cs="Times New Roman"/>
                <w:b/>
                <w:bCs/>
                <w:sz w:val="28"/>
                <w:szCs w:val="28"/>
                <w:highlight w:val="none"/>
                <w:lang w:val="en-US" w:eastAsia="zh-CN"/>
              </w:rPr>
              <w:t>：Ziyang</w:t>
            </w:r>
            <w:r>
              <w:rPr>
                <w:rFonts w:hint="eastAsia" w:ascii="Times New Roman" w:hAnsi="Times New Roman" w:cs="Times New Roman"/>
                <w:b/>
                <w:bCs/>
                <w:sz w:val="28"/>
                <w:szCs w:val="28"/>
                <w:highlight w:val="none"/>
                <w:lang w:val="en-US" w:eastAsia="zh-CN"/>
              </w:rPr>
              <w:t xml:space="preserve"> Guo</w:t>
            </w:r>
            <w:r>
              <w:rPr>
                <w:rFonts w:hint="eastAsia" w:ascii="Times New Roman" w:hAnsi="Times New Roman" w:eastAsia="Calibri" w:cs="Times New Roman"/>
                <w:b/>
                <w:bCs/>
                <w:sz w:val="28"/>
                <w:szCs w:val="28"/>
                <w:highlight w:val="none"/>
                <w:lang w:val="en-US" w:eastAsia="zh-CN"/>
              </w:rPr>
              <w:t>,</w:t>
            </w:r>
            <w:r>
              <w:rPr>
                <w:rFonts w:hint="eastAsia" w:ascii="Times New Roman" w:hAnsi="Times New Roman" w:cs="Times New Roman"/>
                <w:b/>
                <w:bCs/>
                <w:sz w:val="28"/>
                <w:szCs w:val="28"/>
                <w:highlight w:val="none"/>
                <w:lang w:val="en-US" w:eastAsia="zh-CN"/>
              </w:rPr>
              <w:t xml:space="preserve"> </w:t>
            </w:r>
            <w:r>
              <w:rPr>
                <w:rFonts w:hint="eastAsia" w:ascii="Times New Roman" w:hAnsi="Times New Roman" w:eastAsia="Calibri" w:cs="Times New Roman"/>
                <w:b/>
                <w:bCs/>
                <w:sz w:val="28"/>
                <w:szCs w:val="28"/>
                <w:highlight w:val="none"/>
                <w:lang w:val="en-US" w:eastAsia="zh-CN"/>
              </w:rPr>
              <w:t>Porter's Five Forces</w:t>
            </w:r>
            <w:r>
              <w:rPr>
                <w:rFonts w:hint="eastAsia" w:ascii="Times New Roman" w:hAnsi="Times New Roman" w:cs="Times New Roman"/>
                <w:b/>
                <w:bCs/>
                <w:sz w:val="28"/>
                <w:szCs w:val="28"/>
                <w:highlight w:val="none"/>
                <w:lang w:val="en-US" w:eastAsia="zh-CN"/>
              </w:rPr>
              <w:t xml:space="preserve"> </w:t>
            </w:r>
          </w:p>
          <w:p>
            <w:pPr>
              <w:spacing w:line="480" w:lineRule="auto"/>
              <w:ind w:firstLine="480" w:firstLine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 will use the Porter Five Forces model to analyze the challenges Ford faces in the field of new energy. This model was proposed by Porter, who believes that there are five forces in the industry that determine the scale and degree of competition, and these five forces collectively affect the attractiveness of the industry. It is an effective tool used to analyze the competitive characteristics of the industry in which a company is located, and it is the primary and fundamental factor determining the profitability of a company.</w:t>
            </w:r>
          </w:p>
          <w:p>
            <w:pPr>
              <w:spacing w:line="480" w:lineRule="auto"/>
              <w:ind w:firstLine="480" w:firstLine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threat of new entrants is high. Countries around the world are searching for alternative solutions to natural resources such as gasoline, and new energy alternatives are widely accepted in the market, so the threat of new energy vehicle companies entering is quite significant. In addition, with the development of infrastructure, it will be easier for new entrants to enter the market.</w:t>
            </w:r>
          </w:p>
          <w:p>
            <w:pPr>
              <w:spacing w:line="480" w:lineRule="auto"/>
              <w:ind w:firstLine="480" w:firstLine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threat of substitutes is high. With the public's emphasis on energy conservation and emission reduction, the main development direction of automobiles in the future is new energy vehicles. In recent years, the sales of new energy vehicles represented by Tesla have gradually increased, and new energy vehicles have a bright future, which has a significant impact on traditional fuel vehicles such as Ford.</w:t>
            </w:r>
          </w:p>
          <w:p>
            <w:pPr>
              <w:spacing w:line="480" w:lineRule="auto"/>
              <w:ind w:firstLine="480" w:firstLineChars="200"/>
              <w:rPr>
                <w:rFonts w:hint="default" w:ascii="Times New Roman" w:hAnsi="Times New Roman" w:eastAsia="宋体" w:cs="Times New Roman"/>
                <w:sz w:val="24"/>
                <w:lang w:val="en-US" w:eastAsia="zh-CN"/>
              </w:rPr>
            </w:pPr>
            <w:r>
              <w:rPr>
                <w:rFonts w:hint="eastAsia" w:ascii="Times New Roman" w:hAnsi="Times New Roman" w:cs="Times New Roman"/>
                <w:sz w:val="24"/>
                <w:szCs w:val="24"/>
                <w:lang w:val="en-US" w:eastAsia="zh-CN"/>
              </w:rPr>
              <w:t>Supplier's Bargaining power is high. The limited number of suppliers who provide key components such as engines and transmissions to Ford Motor has given suppliers greater leverage in negotiations with automakers, as losing major suppliers may seriously affect production and profitability. Therefore, Ford's suppliers have high Bargaining power.</w:t>
            </w:r>
          </w:p>
          <w:p>
            <w:pPr>
              <w:jc w:val="left"/>
              <w:rPr>
                <w:rFonts w:hint="eastAsia" w:ascii="Times New Roman" w:hAnsi="Times New Roman" w:eastAsia="Calibri" w:cs="Times New Roman"/>
                <w:b/>
                <w:bCs/>
                <w:sz w:val="28"/>
                <w:szCs w:val="28"/>
                <w:highlight w:val="none"/>
                <w:lang w:val="en-US" w:eastAsia="zh-CN"/>
              </w:rPr>
            </w:pPr>
            <w:r>
              <w:rPr>
                <w:rFonts w:hint="eastAsia" w:ascii="Times New Roman" w:hAnsi="Times New Roman" w:eastAsia="Calibri" w:cs="Times New Roman"/>
                <w:b/>
                <w:bCs/>
                <w:sz w:val="28"/>
                <w:szCs w:val="28"/>
                <w:highlight w:val="none"/>
                <w:lang w:val="en-US" w:eastAsia="zh-CN"/>
              </w:rPr>
              <w:t xml:space="preserve">Slide </w:t>
            </w:r>
            <w:r>
              <w:rPr>
                <w:rFonts w:hint="eastAsia" w:ascii="Times New Roman" w:hAnsi="Times New Roman" w:cs="Times New Roman"/>
                <w:b/>
                <w:bCs/>
                <w:sz w:val="28"/>
                <w:szCs w:val="28"/>
                <w:highlight w:val="none"/>
                <w:lang w:val="en-US" w:eastAsia="zh-CN"/>
              </w:rPr>
              <w:t>10</w:t>
            </w:r>
            <w:r>
              <w:rPr>
                <w:rFonts w:hint="eastAsia" w:ascii="Times New Roman" w:hAnsi="Times New Roman" w:eastAsia="Calibri" w:cs="Times New Roman"/>
                <w:b/>
                <w:bCs/>
                <w:sz w:val="28"/>
                <w:szCs w:val="28"/>
                <w:highlight w:val="none"/>
                <w:lang w:val="en-US" w:eastAsia="zh-CN"/>
              </w:rPr>
              <w:t>：Ziyang</w:t>
            </w:r>
            <w:r>
              <w:rPr>
                <w:rFonts w:hint="eastAsia" w:ascii="Times New Roman" w:hAnsi="Times New Roman" w:cs="Times New Roman"/>
                <w:b/>
                <w:bCs/>
                <w:sz w:val="28"/>
                <w:szCs w:val="28"/>
                <w:highlight w:val="none"/>
                <w:lang w:val="en-US" w:eastAsia="zh-CN"/>
              </w:rPr>
              <w:t xml:space="preserve"> Guo</w:t>
            </w:r>
            <w:r>
              <w:rPr>
                <w:rFonts w:hint="eastAsia" w:ascii="Times New Roman" w:hAnsi="Times New Roman" w:eastAsia="Calibri" w:cs="Times New Roman"/>
                <w:b/>
                <w:bCs/>
                <w:sz w:val="28"/>
                <w:szCs w:val="28"/>
                <w:highlight w:val="none"/>
                <w:lang w:val="en-US" w:eastAsia="zh-CN"/>
              </w:rPr>
              <w:t>,</w:t>
            </w:r>
            <w:r>
              <w:rPr>
                <w:rFonts w:hint="eastAsia" w:ascii="Times New Roman" w:hAnsi="Times New Roman" w:cs="Times New Roman"/>
                <w:b/>
                <w:bCs/>
                <w:sz w:val="28"/>
                <w:szCs w:val="28"/>
                <w:highlight w:val="none"/>
                <w:lang w:val="en-US" w:eastAsia="zh-CN"/>
              </w:rPr>
              <w:t xml:space="preserve"> </w:t>
            </w:r>
            <w:r>
              <w:rPr>
                <w:rFonts w:hint="eastAsia" w:ascii="Times New Roman" w:hAnsi="Times New Roman" w:eastAsia="Calibri" w:cs="Times New Roman"/>
                <w:b/>
                <w:bCs/>
                <w:sz w:val="28"/>
                <w:szCs w:val="28"/>
                <w:highlight w:val="none"/>
                <w:lang w:val="en-US" w:eastAsia="zh-CN"/>
              </w:rPr>
              <w:t>Porter's Five Forces</w:t>
            </w:r>
          </w:p>
          <w:p>
            <w:pPr>
              <w:spacing w:line="480" w:lineRule="auto"/>
              <w:ind w:firstLine="480" w:firstLine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Buyer's Bargaining power is medium. Most consumers are more concerned about the economy of cars, while the lower maintenance and charging costs of new energy vehicles have attracted a large group of users; In addition, with the increasing variety of cars that consumers can choose from, customers can to a considerable extent negotiate the price. In order to attract customers, various manufacturers such as Ford have to lower prices and offer various discounts and discounts.</w:t>
            </w:r>
          </w:p>
          <w:p>
            <w:pPr>
              <w:spacing w:line="480" w:lineRule="auto"/>
              <w:ind w:firstLine="480" w:firstLine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Industry competition level is high. The competition in the traditional automotive industry is already fierce enough, coupled with the impact of international politics causing fluctuations in gasoline prices, making new energy more popular; The entry of new energy vehicle companies such as Tesla is subverting traditional business models and challenging established companies. This high-level competition has increased the pressure on Ford.</w:t>
            </w:r>
          </w:p>
          <w:p>
            <w:pPr>
              <w:spacing w:line="480" w:lineRule="auto"/>
              <w:ind w:firstLine="480" w:firstLine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 the end, my summary is New energy is the future trend. In this context, Ford Motor should deepen its transformation, increase investment in technology and talent, invest in the construction of battery factories, and ensure the process of electrification transformation; Collaborate with other companies to create an electric vehicle supply chain and launch more high-quality intelligent and electrified products and services.</w:t>
            </w:r>
          </w:p>
          <w:p>
            <w:pPr>
              <w:jc w:val="left"/>
              <w:rPr>
                <w:rFonts w:hint="eastAsia" w:ascii="Times New Roman" w:hAnsi="Times New Roman" w:cs="Times New Roman"/>
                <w:b/>
                <w:bCs/>
                <w:sz w:val="28"/>
                <w:szCs w:val="28"/>
                <w:highlight w:val="none"/>
                <w:lang w:val="en-US" w:eastAsia="zh-CN"/>
              </w:rPr>
            </w:pPr>
            <w:r>
              <w:rPr>
                <w:rFonts w:hint="eastAsia" w:ascii="Times New Roman" w:hAnsi="Times New Roman" w:eastAsia="Calibri" w:cs="Times New Roman"/>
                <w:b/>
                <w:bCs/>
                <w:sz w:val="28"/>
                <w:szCs w:val="28"/>
                <w:highlight w:val="none"/>
                <w:lang w:val="en-US" w:eastAsia="zh-CN"/>
              </w:rPr>
              <w:t xml:space="preserve">Slide </w:t>
            </w:r>
            <w:r>
              <w:rPr>
                <w:rFonts w:hint="eastAsia" w:ascii="Times New Roman" w:hAnsi="Times New Roman" w:cs="Times New Roman"/>
                <w:b/>
                <w:bCs/>
                <w:sz w:val="28"/>
                <w:szCs w:val="28"/>
                <w:highlight w:val="none"/>
                <w:lang w:val="en-US" w:eastAsia="zh-CN"/>
              </w:rPr>
              <w:t>11</w:t>
            </w:r>
            <w:r>
              <w:rPr>
                <w:rFonts w:hint="eastAsia" w:ascii="Times New Roman" w:hAnsi="Times New Roman" w:eastAsia="Calibri" w:cs="Times New Roman"/>
                <w:b/>
                <w:bCs/>
                <w:sz w:val="28"/>
                <w:szCs w:val="28"/>
                <w:highlight w:val="none"/>
                <w:lang w:val="en-US" w:eastAsia="zh-CN"/>
              </w:rPr>
              <w:t>：</w:t>
            </w:r>
            <w:r>
              <w:rPr>
                <w:rFonts w:hint="eastAsia" w:ascii="Times New Roman" w:hAnsi="Times New Roman" w:cs="Times New Roman"/>
                <w:b/>
                <w:bCs/>
                <w:sz w:val="28"/>
                <w:szCs w:val="28"/>
                <w:highlight w:val="none"/>
                <w:lang w:val="en-US" w:eastAsia="zh-CN"/>
              </w:rPr>
              <w:t>Xue Sun（Chealsea），SCP</w:t>
            </w:r>
          </w:p>
          <w:p>
            <w:pPr>
              <w:jc w:val="left"/>
              <w:rPr>
                <w:rFonts w:hint="eastAsia" w:ascii="Times New Roman" w:hAnsi="Times New Roman" w:cs="Times New Roman"/>
                <w:b/>
                <w:bCs/>
                <w:sz w:val="24"/>
                <w:szCs w:val="24"/>
                <w:highlight w:val="none"/>
                <w:lang w:val="en-US" w:eastAsia="zh-CN"/>
              </w:rPr>
            </w:pPr>
            <w:r>
              <w:rPr>
                <w:rFonts w:hint="eastAsia" w:ascii="Times New Roman" w:hAnsi="Times New Roman" w:cs="Times New Roman"/>
                <w:b/>
                <w:bCs/>
                <w:sz w:val="24"/>
                <w:szCs w:val="24"/>
                <w:highlight w:val="none"/>
                <w:lang w:val="en-US" w:eastAsia="zh-CN"/>
              </w:rPr>
              <w:t>SCP Model</w:t>
            </w:r>
          </w:p>
          <w:p>
            <w:pPr>
              <w:spacing w:line="480" w:lineRule="auto"/>
              <w:ind w:firstLine="480" w:firstLineChars="200"/>
              <w:rPr>
                <w:rFonts w:hint="eastAsia"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I will use </w:t>
            </w:r>
            <w:r>
              <w:rPr>
                <w:rFonts w:hint="eastAsia" w:ascii="Times New Roman" w:hAnsi="Times New Roman" w:cs="Times New Roman"/>
                <w:sz w:val="24"/>
                <w:szCs w:val="24"/>
                <w:highlight w:val="none"/>
                <w:lang w:val="en-US" w:eastAsia="zh-CN"/>
              </w:rPr>
              <w:t>SCP</w:t>
            </w:r>
            <w:r>
              <w:rPr>
                <w:rFonts w:hint="default" w:ascii="Times New Roman" w:hAnsi="Times New Roman" w:cs="Times New Roman"/>
                <w:sz w:val="24"/>
                <w:szCs w:val="24"/>
                <w:highlight w:val="none"/>
                <w:lang w:val="en-US" w:eastAsia="zh-CN"/>
              </w:rPr>
              <w:t xml:space="preserve"> model to analyze and evaluate the challenges Ford faces in the new energy era. </w:t>
            </w:r>
            <w:r>
              <w:rPr>
                <w:rFonts w:hint="eastAsia" w:ascii="Times New Roman" w:hAnsi="Times New Roman" w:cs="Times New Roman"/>
                <w:sz w:val="24"/>
                <w:szCs w:val="24"/>
                <w:highlight w:val="none"/>
                <w:lang w:val="en-US" w:eastAsia="zh-CN"/>
              </w:rPr>
              <w:t xml:space="preserve">SCP (structure-conduct-performance) model provides an industry analysis framework of market Structure, market behavior and market Performance, which can not only go into specific links, but also have systematic logic system. </w:t>
            </w:r>
          </w:p>
          <w:p>
            <w:pPr>
              <w:jc w:val="left"/>
              <w:rPr>
                <w:rFonts w:hint="eastAsia" w:ascii="Times New Roman" w:hAnsi="Times New Roman" w:cs="Times New Roman"/>
                <w:b/>
                <w:bCs/>
                <w:sz w:val="28"/>
                <w:szCs w:val="28"/>
                <w:highlight w:val="none"/>
                <w:lang w:val="en-US" w:eastAsia="zh-CN"/>
              </w:rPr>
            </w:pPr>
            <w:r>
              <w:rPr>
                <w:rFonts w:hint="eastAsia" w:ascii="Times New Roman" w:hAnsi="Times New Roman" w:eastAsia="Calibri" w:cs="Times New Roman"/>
                <w:b/>
                <w:bCs/>
                <w:sz w:val="28"/>
                <w:szCs w:val="28"/>
                <w:highlight w:val="none"/>
                <w:lang w:val="en-US" w:eastAsia="zh-CN"/>
              </w:rPr>
              <w:t xml:space="preserve">Slide </w:t>
            </w:r>
            <w:r>
              <w:rPr>
                <w:rFonts w:hint="eastAsia" w:ascii="Times New Roman" w:hAnsi="Times New Roman" w:cs="Times New Roman"/>
                <w:b/>
                <w:bCs/>
                <w:sz w:val="28"/>
                <w:szCs w:val="28"/>
                <w:highlight w:val="none"/>
                <w:lang w:val="en-US" w:eastAsia="zh-CN"/>
              </w:rPr>
              <w:t>12</w:t>
            </w:r>
            <w:r>
              <w:rPr>
                <w:rFonts w:hint="eastAsia" w:ascii="Times New Roman" w:hAnsi="Times New Roman" w:eastAsia="Calibri" w:cs="Times New Roman"/>
                <w:b/>
                <w:bCs/>
                <w:sz w:val="28"/>
                <w:szCs w:val="28"/>
                <w:highlight w:val="none"/>
                <w:lang w:val="en-US" w:eastAsia="zh-CN"/>
              </w:rPr>
              <w:t>：</w:t>
            </w:r>
            <w:r>
              <w:rPr>
                <w:rFonts w:hint="eastAsia" w:ascii="Times New Roman" w:hAnsi="Times New Roman" w:cs="Times New Roman"/>
                <w:b/>
                <w:bCs/>
                <w:sz w:val="28"/>
                <w:szCs w:val="28"/>
                <w:highlight w:val="none"/>
                <w:lang w:val="en-US" w:eastAsia="zh-CN"/>
              </w:rPr>
              <w:t>Xue Sun（Chealsea），SCP</w:t>
            </w:r>
          </w:p>
          <w:p>
            <w:pPr>
              <w:jc w:val="left"/>
              <w:rPr>
                <w:rFonts w:hint="default" w:ascii="Times New Roman" w:hAnsi="Times New Roman" w:cs="Times New Roman"/>
                <w:b/>
                <w:bCs/>
                <w:sz w:val="24"/>
                <w:szCs w:val="24"/>
                <w:highlight w:val="none"/>
                <w:lang w:val="en-US" w:eastAsia="zh-CN"/>
              </w:rPr>
            </w:pPr>
            <w:r>
              <w:rPr>
                <w:rFonts w:hint="eastAsia" w:ascii="Times New Roman" w:hAnsi="Times New Roman" w:cs="Times New Roman"/>
                <w:b/>
                <w:bCs/>
                <w:sz w:val="24"/>
                <w:szCs w:val="24"/>
                <w:highlight w:val="none"/>
                <w:lang w:val="en-US" w:eastAsia="zh-CN"/>
              </w:rPr>
              <w:t>1.Introduce</w:t>
            </w:r>
          </w:p>
          <w:p>
            <w:pPr>
              <w:spacing w:line="480" w:lineRule="auto"/>
              <w:ind w:firstLine="480" w:firstLineChars="200"/>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Ford's external impact in the electric vehicle market mainly comes from the impact of competitors and market trends. Here are some of the external factors that could impact Ford in the EV market:</w:t>
            </w:r>
          </w:p>
          <w:p>
            <w:pPr>
              <w:spacing w:line="480" w:lineRule="auto"/>
              <w:ind w:firstLine="480" w:firstLineChars="200"/>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1.1Competitors</w:t>
            </w:r>
          </w:p>
          <w:p>
            <w:pPr>
              <w:spacing w:line="480" w:lineRule="auto"/>
              <w:ind w:firstLine="480" w:firstLineChars="200"/>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1.2Government policies</w:t>
            </w:r>
          </w:p>
          <w:p>
            <w:pPr>
              <w:spacing w:line="480" w:lineRule="auto"/>
              <w:ind w:firstLine="480" w:firstLineChars="200"/>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1.3.Market demand and consumer preference</w:t>
            </w:r>
          </w:p>
          <w:p>
            <w:pPr>
              <w:spacing w:line="480" w:lineRule="auto"/>
              <w:ind w:firstLine="480" w:firstLineChars="200"/>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1.4Charging infrastructure</w:t>
            </w:r>
          </w:p>
          <w:p>
            <w:pPr>
              <w:spacing w:line="480" w:lineRule="auto"/>
              <w:ind w:firstLine="480" w:firstLineChars="200"/>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1.5 Technological development and innovation</w:t>
            </w:r>
          </w:p>
          <w:p>
            <w:pPr>
              <w:spacing w:line="480" w:lineRule="auto"/>
              <w:ind w:firstLine="480" w:firstLineChars="200"/>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 xml:space="preserve"> Ford needs to pay close attention to the changes in these factors, and formulate and</w:t>
            </w:r>
            <w:r>
              <w:rPr>
                <w:rFonts w:hint="eastAsia"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lang w:val="en-US" w:eastAsia="zh-CN"/>
              </w:rPr>
              <w:t>adjust its strategy accordingly to maintain a competitive edge in the electric vehicle market.</w:t>
            </w:r>
          </w:p>
          <w:p>
            <w:pPr>
              <w:jc w:val="left"/>
              <w:rPr>
                <w:rFonts w:hint="eastAsia" w:ascii="Times New Roman" w:hAnsi="Times New Roman" w:cs="Times New Roman"/>
                <w:b/>
                <w:bCs/>
                <w:sz w:val="28"/>
                <w:szCs w:val="28"/>
                <w:highlight w:val="none"/>
                <w:lang w:val="en-US" w:eastAsia="zh-CN"/>
              </w:rPr>
            </w:pPr>
            <w:r>
              <w:rPr>
                <w:rFonts w:hint="eastAsia" w:ascii="Times New Roman" w:hAnsi="Times New Roman" w:eastAsia="Calibri" w:cs="Times New Roman"/>
                <w:b/>
                <w:bCs/>
                <w:sz w:val="28"/>
                <w:szCs w:val="28"/>
                <w:highlight w:val="none"/>
                <w:lang w:val="en-US" w:eastAsia="zh-CN"/>
              </w:rPr>
              <w:t xml:space="preserve">Slide </w:t>
            </w:r>
            <w:r>
              <w:rPr>
                <w:rFonts w:hint="eastAsia" w:ascii="Times New Roman" w:hAnsi="Times New Roman" w:cs="Times New Roman"/>
                <w:b/>
                <w:bCs/>
                <w:sz w:val="28"/>
                <w:szCs w:val="28"/>
                <w:highlight w:val="none"/>
                <w:lang w:val="en-US" w:eastAsia="zh-CN"/>
              </w:rPr>
              <w:t>13</w:t>
            </w:r>
            <w:r>
              <w:rPr>
                <w:rFonts w:hint="eastAsia" w:ascii="Times New Roman" w:hAnsi="Times New Roman" w:eastAsia="Calibri" w:cs="Times New Roman"/>
                <w:b/>
                <w:bCs/>
                <w:sz w:val="28"/>
                <w:szCs w:val="28"/>
                <w:highlight w:val="none"/>
                <w:lang w:val="en-US" w:eastAsia="zh-CN"/>
              </w:rPr>
              <w:t>：</w:t>
            </w:r>
            <w:r>
              <w:rPr>
                <w:rFonts w:hint="eastAsia" w:ascii="Times New Roman" w:hAnsi="Times New Roman" w:cs="Times New Roman"/>
                <w:b/>
                <w:bCs/>
                <w:sz w:val="28"/>
                <w:szCs w:val="28"/>
                <w:highlight w:val="none"/>
                <w:lang w:val="en-US" w:eastAsia="zh-CN"/>
              </w:rPr>
              <w:t>Xue Sun（Chealsea），SCP</w:t>
            </w:r>
          </w:p>
          <w:p>
            <w:pPr>
              <w:jc w:val="left"/>
              <w:rPr>
                <w:rFonts w:hint="eastAsia" w:ascii="Times New Roman" w:hAnsi="Times New Roman" w:cs="Times New Roman"/>
                <w:b/>
                <w:bCs/>
                <w:sz w:val="24"/>
                <w:szCs w:val="24"/>
                <w:highlight w:val="none"/>
                <w:lang w:val="en-US" w:eastAsia="zh-CN"/>
              </w:rPr>
            </w:pPr>
            <w:r>
              <w:rPr>
                <w:rFonts w:hint="eastAsia" w:ascii="Times New Roman" w:hAnsi="Times New Roman" w:cs="Times New Roman"/>
                <w:b/>
                <w:bCs/>
                <w:sz w:val="24"/>
                <w:szCs w:val="24"/>
                <w:highlight w:val="none"/>
                <w:lang w:val="en-US" w:eastAsia="zh-CN"/>
              </w:rPr>
              <w:t>2.Industry structure</w:t>
            </w:r>
          </w:p>
          <w:p>
            <w:pPr>
              <w:spacing w:line="480" w:lineRule="auto"/>
              <w:ind w:firstLine="480" w:firstLineChars="200"/>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2.1. Competitors: Ford Motor faces competitors from all over the world in the electric vehicle market. Some major competitors include Tesla, Nissan, Volkswagen, Audi, BMW and so on. These automakers are all engaged in product development and technological innovation in the field of electric vehicles, striving to improve the performance, range and charging efficiency of electric vehicles.</w:t>
            </w:r>
          </w:p>
          <w:p>
            <w:pPr>
              <w:spacing w:line="480" w:lineRule="auto"/>
              <w:ind w:firstLine="480" w:firstLineChars="200"/>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2.2. Market share: Ford has a relatively small share of the electric vehicle market and is under pressure from other competitors. Tesla's dominant position in the electric vehicle market and the strong influence of other competitors make Ford need to constantly improve its competitiveness.</w:t>
            </w:r>
          </w:p>
          <w:p>
            <w:pPr>
              <w:spacing w:line="480" w:lineRule="auto"/>
              <w:ind w:firstLine="480" w:firstLineChars="200"/>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2.3. Supply chain: Electric vehicle manufacturing involves a complex supply chain network, including battery manufacturers, motor system suppliers, charging equipment manufacturers, etc. Ford needs to establish stable cooperative relationships with supply chain partners and ensure efficient operation of the supply chain to guarantee the production and delivery of electric vehicles.</w:t>
            </w:r>
          </w:p>
          <w:p>
            <w:pPr>
              <w:spacing w:line="480" w:lineRule="auto"/>
              <w:ind w:firstLine="480" w:firstLineChars="200"/>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2.4. Technological innovation: The development of the electric vehicle market has put forward technological innovation higher requirements. Ford Motor needs continuous research and development and innovation in key areas such as battery technology, charging technology and motor systems to provide competitive electric vehicle products.</w:t>
            </w:r>
          </w:p>
          <w:p>
            <w:pPr>
              <w:spacing w:line="480" w:lineRule="auto"/>
              <w:ind w:firstLine="480" w:firstLineChars="200"/>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2.5. Charging infrastructure: The construction and coverage of charging infrastructure is crucial to the development of the electric vehicle market. Ford Motor needs to cooperate with charging facility providers, energy companies and others to promote the construction and improvement of charging infrastructure to provide convenient and reliable charging solutions.</w:t>
            </w:r>
          </w:p>
          <w:p>
            <w:pPr>
              <w:spacing w:line="480" w:lineRule="auto"/>
              <w:ind w:firstLine="480" w:firstLineChars="200"/>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In general, Ford's industry structure in the electric vehicle market is that of the global auto manufacturing industry, which faces fierce competition. To gain a competitive edge in the EV market, Ford needs to invest heavily, make technological innovations, build stable relationships with supply chain partners, and work with energy companies and charging facility providers to promote the development of charging infrastructure. These efforts will help Ford gain a foothold in the EV market and expand its market share.</w:t>
            </w:r>
          </w:p>
          <w:p>
            <w:pPr>
              <w:rPr>
                <w:rFonts w:hint="eastAsia" w:ascii="Times New Roman" w:hAnsi="Times New Roman" w:cs="Times New Roman"/>
                <w:b/>
                <w:bCs/>
                <w:sz w:val="24"/>
                <w:szCs w:val="24"/>
                <w:highlight w:val="none"/>
                <w:lang w:val="en-US" w:eastAsia="zh-CN"/>
              </w:rPr>
            </w:pPr>
            <w:r>
              <w:rPr>
                <w:rFonts w:hint="eastAsia" w:ascii="Times New Roman" w:hAnsi="Times New Roman" w:cs="Times New Roman"/>
                <w:b/>
                <w:bCs/>
                <w:sz w:val="24"/>
                <w:szCs w:val="24"/>
                <w:highlight w:val="none"/>
                <w:lang w:val="en-US" w:eastAsia="zh-CN"/>
              </w:rPr>
              <w:t>3.Conduct——Enterprise behavior</w:t>
            </w:r>
          </w:p>
          <w:p>
            <w:pPr>
              <w:spacing w:line="480" w:lineRule="auto"/>
              <w:ind w:firstLine="480" w:firstLineChars="200"/>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3.1Product investment: Ford Motor is actively making product investments in electric vehicles</w:t>
            </w:r>
          </w:p>
          <w:p>
            <w:pPr>
              <w:spacing w:line="480" w:lineRule="auto"/>
              <w:ind w:firstLine="480" w:firstLineChars="200"/>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Entry and development. They have launched a number of electric models, including the well-known all-electric Ford Mustang MachE. Ford also plans to roll out more electric models in the future to expand its electric vehicle portfolio.</w:t>
            </w:r>
          </w:p>
          <w:p>
            <w:pPr>
              <w:spacing w:line="480" w:lineRule="auto"/>
              <w:ind w:firstLine="480" w:firstLineChars="200"/>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3.2Technological innovation: Ford has made technological innovations in the field of electric vehicles and is committed to improving the performance and range of electric vehicles. They focus on the development of battery technology to provide higher energy density and faster charging speed. Ford is also innovating in the intelligence and connectivity of electric vehicles to provide a better user experience.</w:t>
            </w:r>
          </w:p>
          <w:p>
            <w:pPr>
              <w:spacing w:line="480" w:lineRule="auto"/>
              <w:ind w:firstLine="480" w:firstLineChars="200"/>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3.3Partnerships: Ford has formed partnerships with other companies to advance the technology and market for electric vehicles. For example, Ford has signed a partnership agreement with German automaker Volkswagen for a range of collaborations in electric vehicles, including joint development of electric vehicle platforms and sharing of technology.</w:t>
            </w:r>
          </w:p>
          <w:p>
            <w:pPr>
              <w:spacing w:line="480" w:lineRule="auto"/>
              <w:ind w:firstLine="480" w:firstLineChars="200"/>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3.4Charging infrastructure: Ford recognizes that the construction of charging infrastructure is critical to the development of the electric vehicle market, and they are working to establish partnerships with charging infrastructure providers, energy companies and others to promote the development and improvement of charging infrastructure.</w:t>
            </w:r>
          </w:p>
          <w:p>
            <w:pPr>
              <w:spacing w:line="480" w:lineRule="auto"/>
              <w:ind w:firstLine="480" w:firstLineChars="200"/>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3.5Sustainability Initiatives: Ford is committed to sustainability, including reducing carbon emissions in electric vehicles. They are taking a number of steps, including increasing the production of electric vehicles, improving energy efficiency and promoting the use of renewable energy sources.</w:t>
            </w:r>
          </w:p>
          <w:p>
            <w:pPr>
              <w:spacing w:line="480" w:lineRule="auto"/>
              <w:ind w:firstLine="480" w:firstLineChars="200"/>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Overall, Ford's corporate behavior in the electric vehicle market shows its emphasis on electric vehicle technology and market. Through product investment, technological innovation, partnerships and sustainability initiatives, Ford strives to gain a competitive advantage in the EV market and promote the adoption of EVs and the development of sustainable transportation.</w:t>
            </w:r>
          </w:p>
          <w:p>
            <w:pPr>
              <w:rPr>
                <w:rFonts w:hint="eastAsia" w:ascii="Times New Roman" w:hAnsi="Times New Roman" w:cs="Times New Roman"/>
                <w:b/>
                <w:bCs/>
                <w:sz w:val="24"/>
                <w:szCs w:val="24"/>
                <w:highlight w:val="none"/>
                <w:lang w:val="en-US" w:eastAsia="zh-CN"/>
              </w:rPr>
            </w:pPr>
            <w:r>
              <w:rPr>
                <w:rFonts w:hint="eastAsia" w:ascii="Times New Roman" w:hAnsi="Times New Roman" w:cs="Times New Roman"/>
                <w:b/>
                <w:bCs/>
                <w:sz w:val="24"/>
                <w:szCs w:val="24"/>
                <w:highlight w:val="none"/>
                <w:lang w:val="en-US" w:eastAsia="zh-CN"/>
              </w:rPr>
              <w:t>4.Performance——Operating result</w:t>
            </w:r>
          </w:p>
          <w:p>
            <w:pPr>
              <w:spacing w:line="480" w:lineRule="auto"/>
              <w:ind w:firstLine="480" w:firstLineChars="200"/>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4.1 Portfolio expansion: Ford Motor plans to expand its electric vehicle portfolio by introducing more electric models in the future. This means that Ford will invest in research, development and production of more electric models to meet the growing demand of consumers and provide more choices.</w:t>
            </w:r>
          </w:p>
          <w:p>
            <w:pPr>
              <w:spacing w:line="480" w:lineRule="auto"/>
              <w:ind w:firstLine="480" w:firstLineChars="200"/>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4.2 Technological innovation and performance improvements: Ford will continue to innovate and improve electric vehicle technology to improve the performance, range and charging speed of electric vehicles.They may introduce new battery technology, charging technology, and intelligent and connected features to provide a better user experience.</w:t>
            </w:r>
          </w:p>
          <w:p>
            <w:pPr>
              <w:spacing w:line="480" w:lineRule="auto"/>
              <w:ind w:firstLine="480" w:firstLineChars="200"/>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4.3 Market expansion: Ford will actively seek to expand its electric vehicle business in different regions and markets. They may expand the coverage of their sales network and charging infrastructure, and take actions to meet regulatory requirements and needs in different markets and countries.</w:t>
            </w:r>
          </w:p>
          <w:p>
            <w:pPr>
              <w:spacing w:line="480" w:lineRule="auto"/>
              <w:ind w:firstLine="480" w:firstLineChars="200"/>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4.4 Sustainability initiatives: Ford Motor's sustainability efforts could have an impact on its operations in the electric vehicle market. They may further reduce carbon emissions, improve energy efficiency and actively promote the use of renewable energy to meet consumer and government demands for environmental protection and sustainability.</w:t>
            </w:r>
          </w:p>
          <w:p>
            <w:pPr>
              <w:spacing w:line="480" w:lineRule="auto"/>
              <w:ind w:firstLine="480" w:firstLineChars="200"/>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4.5 Partnerships: Ford Motor may continue to seek partnerships with other automakers, technology companies and energy suppliers to advance the development of electric vehicle technology and the growth of the market. These partnerships could include co-developing electric vehicle platforms, sharing technology and resources, and building charging intrastructure.</w:t>
            </w:r>
          </w:p>
          <w:p>
            <w:pPr>
              <w:spacing w:line="480" w:lineRule="auto"/>
              <w:ind w:firstLine="480" w:firstLineChars="200"/>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In short, the changing trend of Ford's operations in the electric vehicle market will be influenced by market demand, technological innovation, the dynamics of competitors and government policies. Ford will continue to strive to improve its competitiveness, expand its market share, and actively respond to changes and challenges in the industry. As the electric vehicle market further develops and matures, Ford Motor is likely to adapt to market demand and remain competitive in the electric vehicle segment by constantly adjusting its strategy and product portfolio.</w:t>
            </w:r>
          </w:p>
          <w:p>
            <w:pPr>
              <w:spacing w:line="480" w:lineRule="auto"/>
              <w:rPr>
                <w:rFonts w:hint="eastAsia" w:ascii="Times New Roman" w:hAnsi="Times New Roman" w:cs="Times New Roman"/>
                <w:b/>
                <w:bCs/>
                <w:sz w:val="28"/>
                <w:szCs w:val="28"/>
                <w:highlight w:val="none"/>
                <w:lang w:val="en-US" w:eastAsia="zh-CN"/>
              </w:rPr>
            </w:pPr>
            <w:r>
              <w:rPr>
                <w:rFonts w:hint="eastAsia" w:ascii="Times New Roman" w:hAnsi="Times New Roman" w:eastAsia="Calibri" w:cs="Times New Roman"/>
                <w:b/>
                <w:bCs/>
                <w:sz w:val="28"/>
                <w:szCs w:val="28"/>
                <w:highlight w:val="none"/>
                <w:lang w:val="en-US" w:eastAsia="zh-CN"/>
              </w:rPr>
              <w:t xml:space="preserve">Slide </w:t>
            </w:r>
            <w:r>
              <w:rPr>
                <w:rFonts w:hint="eastAsia" w:ascii="Times New Roman" w:hAnsi="Times New Roman" w:cs="Times New Roman"/>
                <w:b/>
                <w:bCs/>
                <w:sz w:val="28"/>
                <w:szCs w:val="28"/>
                <w:highlight w:val="none"/>
                <w:lang w:val="en-US" w:eastAsia="zh-CN"/>
              </w:rPr>
              <w:t>14</w:t>
            </w:r>
            <w:r>
              <w:rPr>
                <w:rFonts w:hint="eastAsia" w:ascii="Times New Roman" w:hAnsi="Times New Roman" w:eastAsia="Calibri" w:cs="Times New Roman"/>
                <w:b/>
                <w:bCs/>
                <w:sz w:val="28"/>
                <w:szCs w:val="28"/>
                <w:highlight w:val="none"/>
                <w:lang w:val="en-US" w:eastAsia="zh-CN"/>
              </w:rPr>
              <w:t>：</w:t>
            </w:r>
            <w:r>
              <w:rPr>
                <w:rFonts w:hint="eastAsia" w:ascii="Times New Roman" w:hAnsi="Times New Roman" w:cs="Times New Roman"/>
                <w:b/>
                <w:bCs/>
                <w:sz w:val="28"/>
                <w:szCs w:val="28"/>
                <w:highlight w:val="none"/>
                <w:lang w:val="en-US" w:eastAsia="zh-CN"/>
              </w:rPr>
              <w:t>Luxin Liang，Conclusion &amp; Recommendations</w:t>
            </w:r>
          </w:p>
          <w:p>
            <w:pPr>
              <w:spacing w:line="480" w:lineRule="auto"/>
              <w:ind w:firstLine="480" w:firstLineChars="200"/>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In short, Ford faces threats such as intensified competition, technological innovation, insufficient charging infrastructure, changes in policies and regulations, and changes in market demand in the new energy era. Ford Motor needs to closely monitor market trends, increase research and development investment and technological innovation, increase investment in electric vehicle technology research and production, actively promote the construction of charging infrastructure, cooperate with energy companies and technology enterprises, jointly promote the innovative application of new energy technology, launch more high-performance and high range electric vehicles, strengthen marketing and brand promotion, and flexibly adjust strategies to adapt to changes in the market environment. Today, we learned through the analysis of the Pest model, SWOT model, Porter's five step model, and SCP model that Ford will be able to maintain a competitive advantage in the new energy era, but it must also take existing threats and challenges seriously.</w:t>
            </w:r>
          </w:p>
          <w:p>
            <w:pPr>
              <w:spacing w:line="480" w:lineRule="auto"/>
              <w:ind w:firstLine="480" w:firstLineChars="200"/>
              <w:rPr>
                <w:rFonts w:hint="eastAsia"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Our presentation is over, thank you.</w:t>
            </w:r>
          </w:p>
          <w:p>
            <w:pPr>
              <w:spacing w:line="480" w:lineRule="auto"/>
              <w:rPr>
                <w:rFonts w:hint="eastAsia" w:ascii="Times New Roman" w:hAnsi="Times New Roman" w:eastAsia="Calibri" w:cs="Times New Roman"/>
                <w:b/>
                <w:bCs/>
                <w:sz w:val="28"/>
                <w:szCs w:val="28"/>
                <w:highlight w:val="none"/>
                <w:lang w:val="en-US" w:eastAsia="zh-CN"/>
              </w:rPr>
            </w:pPr>
            <w:r>
              <w:rPr>
                <w:rFonts w:hint="eastAsia" w:ascii="Times New Roman" w:hAnsi="Times New Roman" w:eastAsia="Calibri" w:cs="Times New Roman"/>
                <w:b/>
                <w:bCs/>
                <w:sz w:val="28"/>
                <w:szCs w:val="28"/>
                <w:highlight w:val="none"/>
                <w:lang w:val="en-US" w:eastAsia="zh-CN"/>
              </w:rPr>
              <w:t xml:space="preserve">Slide </w:t>
            </w:r>
            <w:r>
              <w:rPr>
                <w:rFonts w:hint="eastAsia" w:ascii="Times New Roman" w:hAnsi="Times New Roman" w:cs="Times New Roman"/>
                <w:b/>
                <w:bCs/>
                <w:sz w:val="28"/>
                <w:szCs w:val="28"/>
                <w:highlight w:val="none"/>
                <w:lang w:val="en-US" w:eastAsia="zh-CN"/>
              </w:rPr>
              <w:t>15</w:t>
            </w:r>
            <w:r>
              <w:rPr>
                <w:rFonts w:hint="eastAsia" w:ascii="Times New Roman" w:hAnsi="Times New Roman" w:eastAsia="Calibri" w:cs="Times New Roman"/>
                <w:b/>
                <w:bCs/>
                <w:sz w:val="28"/>
                <w:szCs w:val="28"/>
                <w:highlight w:val="none"/>
                <w:lang w:val="en-US" w:eastAsia="zh-CN"/>
              </w:rPr>
              <w:t>：Reference</w:t>
            </w:r>
          </w:p>
          <w:p>
            <w:pPr>
              <w:spacing w:line="480" w:lineRule="auto"/>
              <w:rPr>
                <w:rFonts w:hint="eastAsia" w:ascii="Times New Roman" w:hAnsi="Times New Roman" w:cs="Times New Roman"/>
                <w:b/>
                <w:bCs/>
                <w:sz w:val="24"/>
                <w:szCs w:val="24"/>
                <w:highlight w:val="none"/>
                <w:lang w:val="en-US" w:eastAsia="zh-CN"/>
              </w:rPr>
            </w:pPr>
            <w:r>
              <w:rPr>
                <w:rFonts w:hint="eastAsia" w:ascii="Times New Roman" w:hAnsi="Times New Roman" w:cs="Times New Roman"/>
                <w:b/>
                <w:bCs/>
                <w:sz w:val="24"/>
                <w:szCs w:val="24"/>
                <w:highlight w:val="none"/>
                <w:lang w:val="en-US" w:eastAsia="zh-CN"/>
              </w:rPr>
              <w:t>Ruohan Zhao:</w:t>
            </w:r>
          </w:p>
          <w:p>
            <w:pPr>
              <w:spacing w:line="480" w:lineRule="auto"/>
              <w:rPr>
                <w:rFonts w:hint="default" w:ascii="Times New Roman" w:hAnsi="Times New Roman" w:eastAsia="Calibri" w:cs="Times New Roman"/>
                <w:b w:val="0"/>
                <w:bCs w:val="0"/>
                <w:sz w:val="24"/>
                <w:szCs w:val="24"/>
                <w:highlight w:val="none"/>
                <w:lang w:val="en-US" w:eastAsia="zh-CN"/>
              </w:rPr>
            </w:pPr>
            <w:r>
              <w:rPr>
                <w:rFonts w:hint="default" w:ascii="Times New Roman" w:hAnsi="Times New Roman" w:eastAsia="Calibri" w:cs="Times New Roman"/>
                <w:b w:val="0"/>
                <w:bCs w:val="0"/>
                <w:sz w:val="24"/>
                <w:szCs w:val="24"/>
                <w:highlight w:val="none"/>
                <w:lang w:val="en-US" w:eastAsia="zh-CN"/>
              </w:rPr>
              <w:t xml:space="preserve">Kadadha, Mahmoud. (2021).“The Driving Power in Consumer Purchasing.”,Ann Arbor :  ProQuest Dissertations and Theses. </w:t>
            </w:r>
          </w:p>
          <w:p>
            <w:pPr>
              <w:spacing w:line="480" w:lineRule="auto"/>
              <w:rPr>
                <w:rFonts w:hint="default" w:ascii="Times New Roman" w:hAnsi="Times New Roman" w:eastAsia="Calibri" w:cs="Times New Roman"/>
                <w:b w:val="0"/>
                <w:bCs w:val="0"/>
                <w:sz w:val="24"/>
                <w:szCs w:val="24"/>
                <w:highlight w:val="none"/>
                <w:lang w:val="en-US" w:eastAsia="zh-CN"/>
              </w:rPr>
            </w:pPr>
            <w:r>
              <w:rPr>
                <w:rFonts w:hint="default" w:ascii="Times New Roman" w:hAnsi="Times New Roman" w:eastAsia="Calibri" w:cs="Times New Roman"/>
                <w:b w:val="0"/>
                <w:bCs w:val="0"/>
                <w:sz w:val="24"/>
                <w:szCs w:val="24"/>
                <w:highlight w:val="none"/>
                <w:lang w:val="en-US" w:eastAsia="zh-CN"/>
              </w:rPr>
              <w:t xml:space="preserve">Liguo, Xin ; Ahmad, Manzoor ; Khan, Shehzad ; Haq, Zahoor Ul ; Khattak, Shoukat Iqbal；Elsevier Ltd. (2023).“Evaluating the role of innovation in hybrid electric vehicle-related technologies to promote environmental sustainability in knowledge-based economies”,Technology in society, Vol.74. </w:t>
            </w:r>
          </w:p>
          <w:p>
            <w:pPr>
              <w:spacing w:line="480" w:lineRule="auto"/>
              <w:rPr>
                <w:rFonts w:hint="default" w:ascii="Times New Roman" w:hAnsi="Times New Roman" w:eastAsia="Calibri" w:cs="Times New Roman"/>
                <w:b w:val="0"/>
                <w:bCs w:val="0"/>
                <w:sz w:val="24"/>
                <w:szCs w:val="24"/>
                <w:highlight w:val="none"/>
                <w:lang w:val="en-US" w:eastAsia="zh-CN"/>
              </w:rPr>
            </w:pPr>
            <w:r>
              <w:rPr>
                <w:rFonts w:hint="default" w:ascii="Times New Roman" w:hAnsi="Times New Roman" w:eastAsia="Calibri" w:cs="Times New Roman"/>
                <w:b w:val="0"/>
                <w:bCs w:val="0"/>
                <w:sz w:val="24"/>
                <w:szCs w:val="24"/>
                <w:highlight w:val="none"/>
                <w:lang w:val="en-US" w:eastAsia="zh-CN"/>
              </w:rPr>
              <w:t>Plenert, Gerhard. (2020).“Driving the Enterprise to Sustainable Excellence : A Shingo Process Overview.”,Milton :  Productivity Press.</w:t>
            </w:r>
          </w:p>
          <w:p>
            <w:pPr>
              <w:spacing w:line="480" w:lineRule="auto"/>
              <w:rPr>
                <w:rFonts w:hint="eastAsia" w:ascii="Times New Roman" w:hAnsi="Times New Roman" w:eastAsia="Calibri" w:cs="Times New Roman"/>
                <w:b w:val="0"/>
                <w:bCs w:val="0"/>
                <w:sz w:val="24"/>
                <w:szCs w:val="24"/>
                <w:highlight w:val="none"/>
                <w:lang w:val="en-US" w:eastAsia="zh-CN"/>
              </w:rPr>
            </w:pPr>
            <w:r>
              <w:rPr>
                <w:rFonts w:hint="default" w:ascii="Times New Roman" w:hAnsi="Times New Roman" w:eastAsia="Calibri" w:cs="Times New Roman"/>
                <w:b w:val="0"/>
                <w:bCs w:val="0"/>
                <w:sz w:val="24"/>
                <w:szCs w:val="24"/>
                <w:highlight w:val="none"/>
                <w:lang w:val="en-US" w:eastAsia="zh-CN"/>
              </w:rPr>
              <w:t xml:space="preserve">Tsoi, K. H., Loo, B. P. Y., Tal, G., &amp; Sperling, D. (2021).“Pioneers of electric mobility: Lessons about transport decarbonisation from two bay areas”,Journal of Cleaner Production, vol. 6, no. 3, pp.15-29. </w:t>
            </w:r>
          </w:p>
          <w:p>
            <w:pPr>
              <w:spacing w:line="480" w:lineRule="auto"/>
              <w:rPr>
                <w:rFonts w:hint="eastAsia" w:ascii="Times New Roman" w:hAnsi="Times New Roman" w:eastAsia="宋体" w:cs="Times New Roman"/>
                <w:b/>
                <w:bCs/>
                <w:sz w:val="24"/>
                <w:szCs w:val="24"/>
                <w:highlight w:val="none"/>
                <w:lang w:val="en-US" w:eastAsia="zh-CN"/>
              </w:rPr>
            </w:pPr>
            <w:r>
              <w:rPr>
                <w:rFonts w:hint="eastAsia" w:ascii="Times New Roman" w:hAnsi="Times New Roman" w:eastAsia="宋体" w:cs="Times New Roman"/>
                <w:b/>
                <w:bCs/>
                <w:sz w:val="24"/>
                <w:szCs w:val="24"/>
                <w:highlight w:val="none"/>
                <w:lang w:val="en-US" w:eastAsia="zh-CN"/>
              </w:rPr>
              <w:t>Luxin Liang:</w:t>
            </w:r>
          </w:p>
          <w:p>
            <w:pPr>
              <w:spacing w:line="480" w:lineRule="auto"/>
              <w:rPr>
                <w:rFonts w:ascii="Times New Roman" w:hAnsi="Times New Roman" w:cs="Times New Roman"/>
                <w:sz w:val="24"/>
                <w:szCs w:val="24"/>
                <w:highlight w:val="none"/>
              </w:rPr>
            </w:pPr>
            <w:r>
              <w:rPr>
                <w:rFonts w:ascii="Times New Roman" w:hAnsi="Times New Roman" w:cs="Times New Roman"/>
                <w:sz w:val="24"/>
                <w:szCs w:val="24"/>
                <w:highlight w:val="none"/>
              </w:rPr>
              <w:t>Eftekhari, A. (2019). Lithium batteries for electric vehicles: from economy to research strategy.</w:t>
            </w:r>
          </w:p>
          <w:p>
            <w:pPr>
              <w:spacing w:line="480" w:lineRule="auto"/>
              <w:rPr>
                <w:rFonts w:ascii="Times New Roman" w:hAnsi="Times New Roman" w:cs="Times New Roman"/>
                <w:i/>
                <w:iCs/>
                <w:sz w:val="24"/>
                <w:szCs w:val="24"/>
                <w:highlight w:val="none"/>
              </w:rPr>
            </w:pPr>
            <w:r>
              <w:rPr>
                <w:rFonts w:ascii="Times New Roman" w:hAnsi="Times New Roman" w:cs="Times New Roman"/>
                <w:sz w:val="24"/>
                <w:szCs w:val="24"/>
                <w:highlight w:val="none"/>
              </w:rPr>
              <w:t xml:space="preserve">Gul, T </w:t>
            </w:r>
            <w:r>
              <w:rPr>
                <w:rFonts w:hint="eastAsia" w:ascii="Times New Roman" w:hAnsi="Times New Roman" w:eastAsia="宋体" w:cs="Times New Roman"/>
                <w:sz w:val="24"/>
                <w:szCs w:val="24"/>
                <w:highlight w:val="none"/>
                <w:lang w:val="en-US" w:eastAsia="zh-CN"/>
              </w:rPr>
              <w:t>and</w:t>
            </w:r>
            <w:r>
              <w:rPr>
                <w:rFonts w:ascii="Times New Roman" w:hAnsi="Times New Roman" w:cs="Times New Roman"/>
                <w:sz w:val="24"/>
                <w:szCs w:val="24"/>
                <w:highlight w:val="none"/>
              </w:rPr>
              <w:t xml:space="preserve"> Paoli, L., (2022). Electric cars fend off supply challenges to more than double global sales. Retrieved from: </w:t>
            </w:r>
            <w:r>
              <w:rPr>
                <w:highlight w:val="none"/>
              </w:rPr>
              <w:fldChar w:fldCharType="begin"/>
            </w:r>
            <w:r>
              <w:rPr>
                <w:highlight w:val="none"/>
              </w:rPr>
              <w:instrText xml:space="preserve"> HYPERLINK "https://www.iea.org/commentaries/electric-cars-fend-off-supply-challenges-to-more-than-double-global-sales" </w:instrText>
            </w:r>
            <w:r>
              <w:rPr>
                <w:highlight w:val="none"/>
              </w:rPr>
              <w:fldChar w:fldCharType="separate"/>
            </w:r>
            <w:r>
              <w:rPr>
                <w:rStyle w:val="7"/>
                <w:rFonts w:ascii="Times New Roman" w:hAnsi="Times New Roman" w:cs="Times New Roman"/>
                <w:i/>
                <w:iCs/>
                <w:sz w:val="24"/>
                <w:szCs w:val="24"/>
                <w:highlight w:val="none"/>
              </w:rPr>
              <w:t>https://www.iea.org/commentaries/electric-cars-fend-off-supply-challenges-to-more-than-double-global-sales</w:t>
            </w:r>
            <w:r>
              <w:rPr>
                <w:rStyle w:val="7"/>
                <w:rFonts w:ascii="Times New Roman" w:hAnsi="Times New Roman" w:cs="Times New Roman"/>
                <w:i/>
                <w:iCs/>
                <w:sz w:val="24"/>
                <w:szCs w:val="24"/>
                <w:highlight w:val="none"/>
              </w:rPr>
              <w:fldChar w:fldCharType="end"/>
            </w:r>
            <w:r>
              <w:rPr>
                <w:rFonts w:ascii="Times New Roman" w:hAnsi="Times New Roman" w:cs="Times New Roman"/>
                <w:i/>
                <w:iCs/>
                <w:sz w:val="24"/>
                <w:szCs w:val="24"/>
                <w:highlight w:val="none"/>
              </w:rPr>
              <w:t xml:space="preserve"> </w:t>
            </w:r>
          </w:p>
          <w:p>
            <w:pPr>
              <w:spacing w:line="480" w:lineRule="auto"/>
              <w:rPr>
                <w:rFonts w:ascii="Times New Roman" w:hAnsi="Times New Roman" w:cs="Times New Roman"/>
                <w:sz w:val="24"/>
                <w:szCs w:val="24"/>
                <w:highlight w:val="none"/>
              </w:rPr>
            </w:pPr>
            <w:r>
              <w:rPr>
                <w:rFonts w:ascii="Times New Roman" w:hAnsi="Times New Roman" w:cs="Times New Roman"/>
                <w:sz w:val="24"/>
                <w:szCs w:val="24"/>
                <w:highlight w:val="none"/>
              </w:rPr>
              <w:t>Haralayya, B. (2021). Effect of Branding on Consumer Buying Behaviour at Vijay Bharat Motors Pvt Ltd, Bidar. </w:t>
            </w:r>
            <w:r>
              <w:rPr>
                <w:rFonts w:ascii="Times New Roman" w:hAnsi="Times New Roman" w:cs="Times New Roman"/>
                <w:i/>
                <w:iCs/>
                <w:sz w:val="24"/>
                <w:szCs w:val="24"/>
                <w:highlight w:val="none"/>
              </w:rPr>
              <w:t>Iconic Research And Engineering Journals</w:t>
            </w:r>
            <w:r>
              <w:rPr>
                <w:rFonts w:ascii="Times New Roman" w:hAnsi="Times New Roman" w:cs="Times New Roman"/>
                <w:sz w:val="24"/>
                <w:szCs w:val="24"/>
                <w:highlight w:val="none"/>
              </w:rPr>
              <w:t>, </w:t>
            </w:r>
            <w:r>
              <w:rPr>
                <w:rFonts w:ascii="Times New Roman" w:hAnsi="Times New Roman" w:cs="Times New Roman"/>
                <w:i/>
                <w:iCs/>
                <w:sz w:val="24"/>
                <w:szCs w:val="24"/>
                <w:highlight w:val="none"/>
              </w:rPr>
              <w:t>4</w:t>
            </w:r>
            <w:r>
              <w:rPr>
                <w:rFonts w:ascii="Times New Roman" w:hAnsi="Times New Roman" w:cs="Times New Roman"/>
                <w:sz w:val="24"/>
                <w:szCs w:val="24"/>
                <w:highlight w:val="none"/>
              </w:rPr>
              <w:t>(12), 207-222.</w:t>
            </w:r>
          </w:p>
          <w:p>
            <w:pPr>
              <w:spacing w:line="480" w:lineRule="auto"/>
              <w:rPr>
                <w:rStyle w:val="7"/>
                <w:rFonts w:hint="default" w:ascii="Times New Roman" w:hAnsi="Times New Roman" w:cs="Times New Roman"/>
                <w:i/>
                <w:iCs/>
                <w:sz w:val="24"/>
                <w:szCs w:val="24"/>
                <w:highlight w:val="none"/>
                <w:lang w:val="en-US" w:eastAsia="zh-CN"/>
              </w:rPr>
            </w:pPr>
            <w:r>
              <w:rPr>
                <w:rFonts w:ascii="Times New Roman" w:hAnsi="Times New Roman" w:cs="Times New Roman"/>
                <w:sz w:val="24"/>
                <w:szCs w:val="24"/>
                <w:highlight w:val="none"/>
              </w:rPr>
              <w:t xml:space="preserve">S&amp;P Global, (2021). Ste Top Five Challenges Facing Automotive OEMs in 2015 and Beyond. Retrieved from: </w:t>
            </w:r>
            <w:r>
              <w:rPr>
                <w:highlight w:val="none"/>
              </w:rPr>
              <w:fldChar w:fldCharType="begin"/>
            </w:r>
            <w:r>
              <w:rPr>
                <w:highlight w:val="none"/>
              </w:rPr>
              <w:instrText xml:space="preserve"> HYPERLINK "https://cdn.ihs.com/www/pdf/AUT-TL-WhitePaper-5.pdf" </w:instrText>
            </w:r>
            <w:r>
              <w:rPr>
                <w:highlight w:val="none"/>
              </w:rPr>
              <w:fldChar w:fldCharType="separate"/>
            </w:r>
            <w:r>
              <w:rPr>
                <w:rStyle w:val="7"/>
                <w:rFonts w:ascii="Times New Roman" w:hAnsi="Times New Roman" w:cs="Times New Roman"/>
                <w:i/>
                <w:iCs/>
                <w:sz w:val="24"/>
                <w:szCs w:val="24"/>
                <w:highlight w:val="none"/>
              </w:rPr>
              <w:t>https://cdn.ihs.com/www/pdf/AUT-TL-WhitePaper-5.pdf</w:t>
            </w:r>
            <w:r>
              <w:rPr>
                <w:rStyle w:val="7"/>
                <w:rFonts w:ascii="Times New Roman" w:hAnsi="Times New Roman" w:cs="Times New Roman"/>
                <w:i/>
                <w:iCs/>
                <w:sz w:val="24"/>
                <w:szCs w:val="24"/>
                <w:highlight w:val="none"/>
              </w:rPr>
              <w:fldChar w:fldCharType="end"/>
            </w:r>
          </w:p>
          <w:p>
            <w:pPr>
              <w:spacing w:line="480" w:lineRule="auto"/>
              <w:rPr>
                <w:rFonts w:hint="eastAsia" w:ascii="Times New Roman" w:hAnsi="Times New Roman" w:eastAsia="宋体" w:cs="Times New Roman"/>
                <w:b/>
                <w:bCs/>
                <w:sz w:val="24"/>
                <w:szCs w:val="24"/>
                <w:highlight w:val="none"/>
                <w:lang w:val="en-US" w:eastAsia="zh-CN"/>
              </w:rPr>
            </w:pPr>
          </w:p>
          <w:p>
            <w:pPr>
              <w:spacing w:line="480" w:lineRule="auto"/>
              <w:rPr>
                <w:rFonts w:hint="eastAsia" w:ascii="Times New Roman" w:hAnsi="Times New Roman" w:eastAsia="宋体" w:cs="Times New Roman"/>
                <w:sz w:val="24"/>
                <w:szCs w:val="24"/>
                <w:highlight w:val="none"/>
                <w:lang w:val="en-US" w:eastAsia="zh-CN"/>
              </w:rPr>
            </w:pPr>
            <w:r>
              <w:rPr>
                <w:rFonts w:hint="eastAsia" w:ascii="Times New Roman" w:hAnsi="Times New Roman" w:eastAsia="宋体" w:cs="Times New Roman"/>
                <w:b/>
                <w:bCs/>
                <w:sz w:val="24"/>
                <w:szCs w:val="24"/>
                <w:highlight w:val="none"/>
                <w:lang w:val="en-US" w:eastAsia="zh-CN"/>
              </w:rPr>
              <w:t>Ziyang Guo:</w:t>
            </w:r>
          </w:p>
          <w:p>
            <w:pPr>
              <w:spacing w:line="480" w:lineRule="auto"/>
              <w:rPr>
                <w:rFonts w:hint="eastAsia" w:ascii="Times New Roman" w:hAnsi="Times New Roman" w:cs="Times New Roman"/>
                <w:sz w:val="24"/>
                <w:szCs w:val="24"/>
                <w:highlight w:val="none"/>
              </w:rPr>
            </w:pPr>
            <w:r>
              <w:rPr>
                <w:rFonts w:hint="eastAsia" w:ascii="Times New Roman" w:hAnsi="Times New Roman" w:cs="Times New Roman"/>
                <w:sz w:val="24"/>
                <w:szCs w:val="24"/>
                <w:highlight w:val="none"/>
              </w:rPr>
              <w:t>Borin N, Lindsey ‐ Mullikin J, Krishnan R (2013). An analysis of consumer reactions to green strategies[J]. Journal of Product &amp; Brand Management.</w:t>
            </w:r>
          </w:p>
          <w:p>
            <w:pPr>
              <w:spacing w:line="480" w:lineRule="auto"/>
              <w:rPr>
                <w:rFonts w:hint="eastAsia" w:ascii="Times New Roman" w:hAnsi="Times New Roman" w:cs="Times New Roman"/>
                <w:sz w:val="24"/>
                <w:szCs w:val="24"/>
                <w:highlight w:val="none"/>
              </w:rPr>
            </w:pPr>
            <w:r>
              <w:rPr>
                <w:rFonts w:hint="eastAsia" w:ascii="Times New Roman" w:hAnsi="Times New Roman" w:cs="Times New Roman"/>
                <w:sz w:val="24"/>
                <w:szCs w:val="24"/>
                <w:highlight w:val="none"/>
              </w:rPr>
              <w:t>Orlowski, L., Stegert, A., Pery, M., Seiltgens, E., Amano, M., Hu, L., Chan, S., Ferraris, V., &amp; Madlani, N., (2019). The Future is Electric: Auto Suppliers And The Emergence Of EVs</w:t>
            </w:r>
          </w:p>
          <w:p>
            <w:pPr>
              <w:spacing w:line="480" w:lineRule="auto"/>
              <w:rPr>
                <w:rFonts w:hint="eastAsia" w:ascii="Times New Roman" w:hAnsi="Times New Roman" w:cs="Times New Roman"/>
                <w:sz w:val="24"/>
                <w:szCs w:val="24"/>
                <w:highlight w:val="none"/>
              </w:rPr>
            </w:pPr>
            <w:r>
              <w:rPr>
                <w:rFonts w:hint="eastAsia" w:ascii="Times New Roman" w:hAnsi="Times New Roman" w:cs="Times New Roman"/>
                <w:sz w:val="24"/>
                <w:szCs w:val="24"/>
                <w:highlight w:val="none"/>
              </w:rPr>
              <w:t>Porter, M.E. (1980), Competitive Strategy, Free Press, New York, NY.</w:t>
            </w:r>
          </w:p>
          <w:p>
            <w:pPr>
              <w:rPr>
                <w:rFonts w:hint="eastAsia" w:ascii="Times New Roman" w:hAnsi="Times New Roman" w:cs="Times New Roman"/>
                <w:sz w:val="24"/>
                <w:szCs w:val="24"/>
                <w:highlight w:val="none"/>
              </w:rPr>
            </w:pPr>
            <w:r>
              <w:rPr>
                <w:rFonts w:hint="eastAsia" w:ascii="Times New Roman" w:hAnsi="Times New Roman" w:cs="Times New Roman"/>
                <w:sz w:val="24"/>
                <w:szCs w:val="24"/>
                <w:highlight w:val="none"/>
              </w:rPr>
              <w:t>Xin Hua (2009) Low-carbon economy and electric vehicle development: trends and countermeasures [J], Open Guide</w:t>
            </w:r>
          </w:p>
          <w:p>
            <w:pPr>
              <w:rPr>
                <w:rFonts w:hint="eastAsia" w:ascii="Times New Roman" w:hAnsi="Times New Roman" w:cs="Times New Roman"/>
                <w:sz w:val="24"/>
                <w:szCs w:val="24"/>
                <w:highlight w:val="none"/>
              </w:rPr>
            </w:pPr>
          </w:p>
          <w:p>
            <w:pPr>
              <w:spacing w:line="480" w:lineRule="auto"/>
              <w:rPr>
                <w:rFonts w:hint="default" w:ascii="Times New Roman" w:hAnsi="Times New Roman" w:eastAsia="宋体" w:cs="Times New Roman"/>
                <w:b/>
                <w:bCs/>
                <w:sz w:val="24"/>
                <w:szCs w:val="24"/>
                <w:highlight w:val="none"/>
                <w:lang w:val="en-US" w:eastAsia="zh-CN"/>
              </w:rPr>
            </w:pPr>
            <w:r>
              <w:rPr>
                <w:rFonts w:hint="eastAsia" w:ascii="Times New Roman" w:hAnsi="Times New Roman" w:eastAsia="宋体" w:cs="Times New Roman"/>
                <w:b/>
                <w:bCs/>
                <w:sz w:val="24"/>
                <w:szCs w:val="24"/>
                <w:highlight w:val="none"/>
                <w:lang w:val="en-US" w:eastAsia="zh-CN"/>
              </w:rPr>
              <w:t>Xue Sun:</w:t>
            </w:r>
          </w:p>
          <w:p>
            <w:pPr>
              <w:spacing w:line="480" w:lineRule="auto"/>
              <w:rPr>
                <w:rFonts w:hint="eastAsia" w:ascii="Times New Roman" w:hAnsi="Times New Roman" w:cs="Times New Roman"/>
                <w:sz w:val="24"/>
                <w:szCs w:val="24"/>
                <w:highlight w:val="none"/>
              </w:rPr>
            </w:pPr>
            <w:r>
              <w:rPr>
                <w:rFonts w:hint="eastAsia" w:ascii="Times New Roman" w:hAnsi="Times New Roman" w:cs="Times New Roman"/>
                <w:sz w:val="24"/>
                <w:szCs w:val="24"/>
                <w:highlight w:val="none"/>
              </w:rPr>
              <w:t>Charging pile enterprises with broad prospects for electric vehicle replenishing energy snatch the market "cake". Xia Zhibin; Zhang Jiazhen.China Business Journal, 2022</w:t>
            </w:r>
          </w:p>
          <w:p>
            <w:pPr>
              <w:spacing w:line="480" w:lineRule="auto"/>
              <w:rPr>
                <w:rFonts w:hint="eastAsia" w:ascii="Times New Roman" w:hAnsi="Times New Roman" w:cs="Times New Roman"/>
                <w:sz w:val="24"/>
                <w:szCs w:val="24"/>
                <w:highlight w:val="none"/>
              </w:rPr>
            </w:pPr>
            <w:r>
              <w:rPr>
                <w:rFonts w:hint="eastAsia" w:ascii="Times New Roman" w:hAnsi="Times New Roman" w:cs="Times New Roman"/>
                <w:sz w:val="24"/>
                <w:szCs w:val="24"/>
                <w:highlight w:val="none"/>
              </w:rPr>
              <w:t>Ford builds $3.5 billion battery plant in North America to supply technology to Ningde Times. Sun Tongtong.National Business Daily 2023</w:t>
            </w:r>
          </w:p>
          <w:p>
            <w:pPr>
              <w:spacing w:line="480" w:lineRule="auto"/>
              <w:rPr>
                <w:rFonts w:hint="eastAsia" w:ascii="Times New Roman" w:hAnsi="Times New Roman" w:cs="Times New Roman"/>
                <w:sz w:val="24"/>
                <w:szCs w:val="24"/>
                <w:highlight w:val="none"/>
              </w:rPr>
            </w:pPr>
            <w:r>
              <w:rPr>
                <w:rFonts w:hint="eastAsia" w:ascii="Times New Roman" w:hAnsi="Times New Roman" w:cs="Times New Roman"/>
                <w:sz w:val="24"/>
                <w:szCs w:val="24"/>
                <w:highlight w:val="none"/>
              </w:rPr>
              <w:t>Ford Motor's strategic transformation consists of four steps: splitting off the automotive business unit, strengthening the electric vehicle business, strengthening operational management, and creating more value.Summer Dragon. Automotive Business Daily,2022</w:t>
            </w:r>
          </w:p>
          <w:p>
            <w:pPr>
              <w:spacing w:line="480" w:lineRule="auto"/>
              <w:rPr>
                <w:rFonts w:hint="eastAsia" w:ascii="Times New Roman" w:hAnsi="Times New Roman" w:cs="Times New Roman"/>
                <w:sz w:val="24"/>
                <w:szCs w:val="24"/>
                <w:highlight w:val="none"/>
              </w:rPr>
            </w:pPr>
            <w:r>
              <w:rPr>
                <w:rFonts w:hint="eastAsia" w:ascii="Times New Roman" w:hAnsi="Times New Roman" w:cs="Times New Roman"/>
                <w:sz w:val="24"/>
                <w:szCs w:val="24"/>
                <w:highlight w:val="none"/>
              </w:rPr>
              <w:t>Power battery industry starts capacity expansion "arms race". Xia Zhibin; Zhang Jiazhen. China Business Journal 2022</w:t>
            </w:r>
          </w:p>
          <w:p>
            <w:pPr>
              <w:spacing w:line="480" w:lineRule="auto"/>
              <w:rPr>
                <w:rFonts w:hint="eastAsia" w:ascii="Times New Roman" w:hAnsi="Times New Roman" w:cs="Times New Roman"/>
                <w:sz w:val="24"/>
                <w:szCs w:val="24"/>
                <w:highlight w:val="none"/>
              </w:rPr>
            </w:pPr>
            <w:r>
              <w:rPr>
                <w:rFonts w:hint="eastAsia" w:ascii="Times New Roman" w:hAnsi="Times New Roman" w:cs="Times New Roman"/>
                <w:sz w:val="24"/>
                <w:szCs w:val="24"/>
                <w:highlight w:val="none"/>
              </w:rPr>
              <w:t>The flying car predicted by the founder of Ford Motor in the 1940s, auto companies are entering the game. Chen Qi. Automobile and Parts, 2022</w:t>
            </w:r>
          </w:p>
          <w:p>
            <w:pPr>
              <w:spacing w:line="480" w:lineRule="auto"/>
              <w:rPr>
                <w:rFonts w:hint="eastAsia" w:ascii="Times New Roman" w:hAnsi="Times New Roman" w:cs="Times New Roman"/>
                <w:sz w:val="24"/>
                <w:szCs w:val="24"/>
                <w:highlight w:val="none"/>
              </w:rPr>
            </w:pPr>
          </w:p>
          <w:p>
            <w:pPr>
              <w:spacing w:line="480" w:lineRule="auto"/>
              <w:rPr>
                <w:rFonts w:hint="eastAsia" w:ascii="Times New Roman" w:hAnsi="Times New Roman" w:cs="Times New Roman"/>
                <w:sz w:val="24"/>
                <w:szCs w:val="24"/>
                <w:highlight w:val="none"/>
              </w:rPr>
            </w:pPr>
          </w:p>
          <w:p>
            <w:pPr>
              <w:spacing w:line="480" w:lineRule="auto"/>
              <w:rPr>
                <w:rFonts w:hint="eastAsia" w:ascii="Times New Roman" w:hAnsi="Times New Roman" w:cs="Times New Roman"/>
                <w:sz w:val="24"/>
                <w:szCs w:val="24"/>
                <w:highlight w:val="none"/>
              </w:rPr>
            </w:pPr>
          </w:p>
        </w:tc>
      </w:tr>
    </w:tbl>
    <w:p/>
    <w:sectPr>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Arial">
    <w:panose1 w:val="020B0604020202020204"/>
    <w:charset w:val="00"/>
    <w:family w:val="auto"/>
    <w:pitch w:val="default"/>
    <w:sig w:usb0="E0002EFF" w:usb1="C000785B" w:usb2="00000009" w:usb3="00000000" w:csb0="400001FF" w:csb1="FFFF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N2YzNjBkOTgyNWQ1YTMxYzM3MzMwNWFiODNmOWIzYWMifQ=="/>
  </w:docVars>
  <w:rsids>
    <w:rsidRoot w:val="00284040"/>
    <w:rsid w:val="00093DDB"/>
    <w:rsid w:val="00177985"/>
    <w:rsid w:val="00284040"/>
    <w:rsid w:val="00432F74"/>
    <w:rsid w:val="00547965"/>
    <w:rsid w:val="00B561DC"/>
    <w:rsid w:val="00D9615E"/>
    <w:rsid w:val="2C497BE2"/>
    <w:rsid w:val="65C942B3"/>
    <w:rsid w:val="70D640E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Calibri" w:hAnsi="Calibri" w:eastAsia="Calibri" w:cs="Times New Roman"/>
      <w:sz w:val="22"/>
      <w:szCs w:val="22"/>
      <w:lang w:val="en-GB" w:eastAsia="en-US" w:bidi="ar-SA"/>
    </w:rPr>
  </w:style>
  <w:style w:type="character" w:default="1" w:styleId="6">
    <w:name w:val="Default Paragraph Font"/>
    <w:semiHidden/>
    <w:unhideWhenUsed/>
    <w:uiPriority w:val="1"/>
  </w:style>
  <w:style w:type="table" w:default="1" w:styleId="4">
    <w:name w:val="Normal Table"/>
    <w:semiHidden/>
    <w:unhideWhenUsed/>
    <w:uiPriority w:val="99"/>
    <w:tblPr>
      <w:tblCellMar>
        <w:top w:w="0" w:type="dxa"/>
        <w:left w:w="108" w:type="dxa"/>
        <w:bottom w:w="0" w:type="dxa"/>
        <w:right w:w="108" w:type="dxa"/>
      </w:tblCellMar>
    </w:tblPr>
  </w:style>
  <w:style w:type="paragraph" w:styleId="2">
    <w:name w:val="footer"/>
    <w:basedOn w:val="1"/>
    <w:link w:val="9"/>
    <w:unhideWhenUsed/>
    <w:uiPriority w:val="99"/>
    <w:pPr>
      <w:tabs>
        <w:tab w:val="center" w:pos="4513"/>
        <w:tab w:val="right" w:pos="9026"/>
      </w:tabs>
      <w:spacing w:after="0" w:line="240" w:lineRule="auto"/>
    </w:pPr>
  </w:style>
  <w:style w:type="paragraph" w:styleId="3">
    <w:name w:val="header"/>
    <w:basedOn w:val="1"/>
    <w:link w:val="8"/>
    <w:unhideWhenUsed/>
    <w:uiPriority w:val="99"/>
    <w:pPr>
      <w:tabs>
        <w:tab w:val="center" w:pos="4513"/>
        <w:tab w:val="right" w:pos="9026"/>
      </w:tabs>
      <w:spacing w:after="0" w:line="240" w:lineRule="auto"/>
    </w:pPr>
  </w:style>
  <w:style w:type="table" w:styleId="5">
    <w:name w:val="Table Grid"/>
    <w:basedOn w:val="4"/>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7">
    <w:name w:val="Hyperlink"/>
    <w:basedOn w:val="6"/>
    <w:unhideWhenUsed/>
    <w:qFormat/>
    <w:uiPriority w:val="99"/>
    <w:rPr>
      <w:color w:val="0563C1" w:themeColor="hyperlink"/>
      <w:u w:val="single"/>
      <w14:textFill>
        <w14:solidFill>
          <w14:schemeClr w14:val="hlink"/>
        </w14:solidFill>
      </w14:textFill>
    </w:rPr>
  </w:style>
  <w:style w:type="character" w:customStyle="1" w:styleId="8">
    <w:name w:val="Header Char"/>
    <w:basedOn w:val="6"/>
    <w:link w:val="3"/>
    <w:uiPriority w:val="99"/>
    <w:rPr>
      <w:rFonts w:ascii="Calibri" w:hAnsi="Calibri" w:eastAsia="Calibri" w:cs="Times New Roman"/>
    </w:rPr>
  </w:style>
  <w:style w:type="character" w:customStyle="1" w:styleId="9">
    <w:name w:val="Footer Char"/>
    <w:basedOn w:val="6"/>
    <w:link w:val="2"/>
    <w:uiPriority w:val="99"/>
    <w:rPr>
      <w:rFonts w:ascii="Calibri" w:hAnsi="Calibri" w:eastAsia="Calibri" w:cs="Times New Roman"/>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2</Pages>
  <Words>76</Words>
  <Characters>437</Characters>
  <Lines>3</Lines>
  <Paragraphs>1</Paragraphs>
  <TotalTime>3</TotalTime>
  <ScaleCrop>false</ScaleCrop>
  <LinksUpToDate>false</LinksUpToDate>
  <CharactersWithSpaces>512</CharactersWithSpaces>
  <Application>WPS Office_11.1.0.14309_F1E327BC-269C-435d-A152-05C5408002CA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2023-06-22T14:39:00Z</dcterms:created>
  <dc:creator>Davina Evans</dc:creator>
  <cp:lastModifiedBy>gzy</cp:lastModifiedBy>
  <dcterms:modified xsi:type="dcterms:W3CDTF">2023-06-26T06:40:20Z</dcterms:modified>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2052-11.1.0.14309</vt:lpwstr>
  </property>
  <property fmtid="{D5CDD505-2E9C-101B-9397-08002B2CF9AE}" pid="3" name="ICV">
    <vt:lpwstr>179E5A6FF144423EAFA15971ABF86412_12</vt:lpwstr>
  </property>
</Properties>
</file>