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57964507" w14:textId="5012D27E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8"/>
          <w:szCs w:val="24"/>
          <w:u w:val="single"/>
        </w:rPr>
      </w:pPr>
      <w:r w:rsidRPr="002019A2">
        <w:rPr>
          <w:rFonts w:ascii="Segoe UI Historic" w:hAnsi="Segoe UI Historic" w:cs="Segoe UI Historic"/>
          <w:sz w:val="28"/>
          <w:szCs w:val="24"/>
          <w:u w:val="single"/>
        </w:rPr>
        <w:t>Documentary Review</w:t>
      </w:r>
    </w:p>
    <w:p w14:paraId="59642A68" w14:textId="1DA800A1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77FEC2E9" w14:textId="57850FD2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i/>
          <w:iCs/>
          <w:sz w:val="24"/>
          <w:szCs w:val="24"/>
        </w:rPr>
        <w:t>Ancient Egyptians: Akhenaten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was originally released in 1998 under the title </w:t>
      </w:r>
      <w:r w:rsidRPr="002019A2">
        <w:rPr>
          <w:rFonts w:ascii="Segoe UI Historic" w:hAnsi="Segoe UI Historic" w:cs="Segoe UI Historic"/>
          <w:i/>
          <w:iCs/>
          <w:sz w:val="24"/>
          <w:szCs w:val="24"/>
        </w:rPr>
        <w:t>The Rebel Ph</w:t>
      </w:r>
      <w:bookmarkStart w:id="0" w:name="_GoBack"/>
      <w:bookmarkEnd w:id="0"/>
      <w:r w:rsidRPr="002019A2">
        <w:rPr>
          <w:rFonts w:ascii="Segoe UI Historic" w:hAnsi="Segoe UI Historic" w:cs="Segoe UI Historic"/>
          <w:i/>
          <w:iCs/>
          <w:sz w:val="24"/>
          <w:szCs w:val="24"/>
        </w:rPr>
        <w:t>araoh – Akhenaten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as part of </w:t>
      </w:r>
      <w:r w:rsidRPr="002019A2">
        <w:rPr>
          <w:rFonts w:ascii="Segoe UI Historic" w:hAnsi="Segoe UI Historic" w:cs="Segoe UI Historic"/>
          <w:i/>
          <w:iCs/>
          <w:sz w:val="24"/>
          <w:szCs w:val="24"/>
        </w:rPr>
        <w:t>The Great Egyptians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series, and re-released as the aforementioned title as part of the </w:t>
      </w:r>
      <w:r w:rsidRPr="002019A2">
        <w:rPr>
          <w:rFonts w:ascii="Segoe UI Historic" w:hAnsi="Segoe UI Historic" w:cs="Segoe UI Historic"/>
          <w:i/>
          <w:iCs/>
          <w:sz w:val="24"/>
          <w:szCs w:val="24"/>
        </w:rPr>
        <w:t>Ancient Egyptians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series on the Discovery Channel. It looks at the reign of Akhenaten as pharaoh</w:t>
      </w:r>
      <w:r w:rsidR="0067494D" w:rsidRPr="002019A2">
        <w:rPr>
          <w:rFonts w:ascii="Segoe UI Historic" w:hAnsi="Segoe UI Historic" w:cs="Segoe UI Historic"/>
          <w:sz w:val="24"/>
          <w:szCs w:val="24"/>
        </w:rPr>
        <w:t xml:space="preserve">, the creation of his new capital city, </w:t>
      </w:r>
      <w:proofErr w:type="spellStart"/>
      <w:r w:rsidR="0067494D" w:rsidRPr="002019A2">
        <w:rPr>
          <w:rFonts w:ascii="Segoe UI Historic" w:hAnsi="Segoe UI Historic" w:cs="Segoe UI Historic"/>
          <w:sz w:val="24"/>
          <w:szCs w:val="24"/>
        </w:rPr>
        <w:t>Akhet</w:t>
      </w:r>
      <w:proofErr w:type="spellEnd"/>
      <w:r w:rsidR="0067494D" w:rsidRPr="002019A2">
        <w:rPr>
          <w:rFonts w:ascii="Segoe UI Historic" w:hAnsi="Segoe UI Historic" w:cs="Segoe UI Historic"/>
          <w:sz w:val="24"/>
          <w:szCs w:val="24"/>
        </w:rPr>
        <w:t>-Aten, and the religious changes he ma</w:t>
      </w:r>
      <w:r w:rsidR="00136EF1" w:rsidRPr="002019A2">
        <w:rPr>
          <w:rFonts w:ascii="Segoe UI Historic" w:hAnsi="Segoe UI Historic" w:cs="Segoe UI Historic"/>
          <w:sz w:val="24"/>
          <w:szCs w:val="24"/>
        </w:rPr>
        <w:t>de</w:t>
      </w:r>
      <w:r w:rsidRPr="002019A2">
        <w:rPr>
          <w:rFonts w:ascii="Segoe UI Historic" w:hAnsi="Segoe UI Historic" w:cs="Segoe UI Historic"/>
          <w:sz w:val="24"/>
          <w:szCs w:val="24"/>
        </w:rPr>
        <w:t>, as well</w:t>
      </w:r>
      <w:r w:rsidR="00F2351C" w:rsidRPr="002019A2">
        <w:rPr>
          <w:rFonts w:ascii="Segoe UI Historic" w:hAnsi="Segoe UI Historic" w:cs="Segoe UI Historic"/>
          <w:sz w:val="24"/>
          <w:szCs w:val="24"/>
        </w:rPr>
        <w:t xml:space="preserve"> as looking at the reign of his predecessor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, which was his father, Amenhotep III. </w:t>
      </w:r>
      <w:r w:rsidR="00F2351C" w:rsidRPr="002019A2">
        <w:rPr>
          <w:rFonts w:ascii="Segoe UI Historic" w:hAnsi="Segoe UI Historic" w:cs="Segoe UI Historic"/>
          <w:sz w:val="24"/>
          <w:szCs w:val="24"/>
        </w:rPr>
        <w:t>However, t</w:t>
      </w:r>
      <w:r w:rsidRPr="002019A2">
        <w:rPr>
          <w:rFonts w:ascii="Segoe UI Historic" w:hAnsi="Segoe UI Historic" w:cs="Segoe UI Historic"/>
          <w:sz w:val="24"/>
          <w:szCs w:val="24"/>
        </w:rPr>
        <w:t>here are many issues with the information discussed throughout this documentary</w:t>
      </w:r>
      <w:r w:rsidR="00354328" w:rsidRPr="002019A2">
        <w:rPr>
          <w:rFonts w:ascii="Segoe UI Historic" w:hAnsi="Segoe UI Historic" w:cs="Segoe UI Historic"/>
          <w:sz w:val="24"/>
          <w:szCs w:val="24"/>
        </w:rPr>
        <w:t>,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including evidence argued in such a way tha</w:t>
      </w:r>
      <w:r w:rsidR="000961EE" w:rsidRPr="002019A2">
        <w:rPr>
          <w:rFonts w:ascii="Segoe UI Historic" w:hAnsi="Segoe UI Historic" w:cs="Segoe UI Historic"/>
          <w:sz w:val="24"/>
          <w:szCs w:val="24"/>
        </w:rPr>
        <w:t xml:space="preserve">t it is not 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accurate. </w:t>
      </w:r>
      <w:r w:rsidR="00F2351C" w:rsidRPr="002019A2">
        <w:rPr>
          <w:rFonts w:ascii="Segoe UI Historic" w:hAnsi="Segoe UI Historic" w:cs="Segoe UI Historic"/>
          <w:sz w:val="24"/>
          <w:szCs w:val="24"/>
        </w:rPr>
        <w:t xml:space="preserve">This documentary </w:t>
      </w:r>
      <w:r w:rsidR="00AF0F89" w:rsidRPr="002019A2">
        <w:rPr>
          <w:rFonts w:ascii="Segoe UI Historic" w:hAnsi="Segoe UI Historic" w:cs="Segoe UI Historic"/>
          <w:sz w:val="24"/>
          <w:szCs w:val="24"/>
        </w:rPr>
        <w:t>tends to be</w:t>
      </w:r>
      <w:r w:rsidR="00F2351C" w:rsidRPr="002019A2">
        <w:rPr>
          <w:rFonts w:ascii="Segoe UI Historic" w:hAnsi="Segoe UI Historic" w:cs="Segoe UI Historic"/>
          <w:sz w:val="24"/>
          <w:szCs w:val="24"/>
        </w:rPr>
        <w:t xml:space="preserve"> biased towards a negative view of Akhenaten, </w:t>
      </w:r>
      <w:r w:rsidR="00244E5F" w:rsidRPr="002019A2">
        <w:rPr>
          <w:rFonts w:ascii="Segoe UI Historic" w:hAnsi="Segoe UI Historic" w:cs="Segoe UI Historic"/>
          <w:sz w:val="24"/>
          <w:szCs w:val="24"/>
        </w:rPr>
        <w:t>which</w:t>
      </w:r>
      <w:r w:rsidR="00F2351C" w:rsidRPr="002019A2">
        <w:rPr>
          <w:rFonts w:ascii="Segoe UI Historic" w:hAnsi="Segoe UI Historic" w:cs="Segoe UI Historic"/>
          <w:sz w:val="24"/>
          <w:szCs w:val="24"/>
        </w:rPr>
        <w:t xml:space="preserve"> would be misleading to viewers who have no prior </w:t>
      </w:r>
      <w:proofErr w:type="gramStart"/>
      <w:r w:rsidR="00F2351C" w:rsidRPr="002019A2">
        <w:rPr>
          <w:rFonts w:ascii="Segoe UI Historic" w:hAnsi="Segoe UI Historic" w:cs="Segoe UI Historic"/>
          <w:sz w:val="24"/>
          <w:szCs w:val="24"/>
        </w:rPr>
        <w:t>knowledge,</w:t>
      </w:r>
      <w:r w:rsidR="006F53A2" w:rsidRPr="002019A2">
        <w:rPr>
          <w:rFonts w:ascii="Segoe UI Historic" w:hAnsi="Segoe UI Historic" w:cs="Segoe UI Historic"/>
          <w:sz w:val="24"/>
          <w:szCs w:val="24"/>
        </w:rPr>
        <w:t xml:space="preserve"> and</w:t>
      </w:r>
      <w:proofErr w:type="gramEnd"/>
      <w:r w:rsidR="006F53A2" w:rsidRPr="002019A2">
        <w:rPr>
          <w:rFonts w:ascii="Segoe UI Historic" w:hAnsi="Segoe UI Historic" w:cs="Segoe UI Historic"/>
          <w:sz w:val="24"/>
          <w:szCs w:val="24"/>
        </w:rPr>
        <w:t xml:space="preserve"> would</w:t>
      </w:r>
      <w:r w:rsidR="00F2351C" w:rsidRPr="002019A2">
        <w:rPr>
          <w:rFonts w:ascii="Segoe UI Historic" w:hAnsi="Segoe UI Historic" w:cs="Segoe UI Historic"/>
          <w:sz w:val="24"/>
          <w:szCs w:val="24"/>
        </w:rPr>
        <w:t xml:space="preserve"> leav</w:t>
      </w:r>
      <w:r w:rsidR="006F53A2" w:rsidRPr="002019A2">
        <w:rPr>
          <w:rFonts w:ascii="Segoe UI Historic" w:hAnsi="Segoe UI Historic" w:cs="Segoe UI Historic"/>
          <w:sz w:val="24"/>
          <w:szCs w:val="24"/>
        </w:rPr>
        <w:t>e</w:t>
      </w:r>
      <w:r w:rsidR="00F2351C" w:rsidRPr="002019A2">
        <w:rPr>
          <w:rFonts w:ascii="Segoe UI Historic" w:hAnsi="Segoe UI Historic" w:cs="Segoe UI Historic"/>
          <w:sz w:val="24"/>
          <w:szCs w:val="24"/>
        </w:rPr>
        <w:t xml:space="preserve"> those with knowledge of the subject with both questions and arguments contradicting the information in the documentary.</w:t>
      </w:r>
    </w:p>
    <w:p w14:paraId="09FB27F7" w14:textId="78292210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4130B20A" w14:textId="307516A5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>Brier argues that Akhenaten altered the religious beliefs of the Egyptians from a polytheistic religion to a monotheistic one, however this is</w:t>
      </w:r>
      <w:r w:rsidR="0067494D" w:rsidRPr="002019A2">
        <w:rPr>
          <w:rFonts w:ascii="Segoe UI Historic" w:hAnsi="Segoe UI Historic" w:cs="Segoe UI Historic"/>
          <w:sz w:val="24"/>
          <w:szCs w:val="24"/>
        </w:rPr>
        <w:t>, to an extent,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incorrect; Akhenaten increased the religious status of the god Aten to become the prominent god, and decreased the status of the other gods, which resulted in a henotheistic religion, but it </w:t>
      </w:r>
      <w:r w:rsidR="00F2351C" w:rsidRPr="002019A2">
        <w:rPr>
          <w:rFonts w:ascii="Segoe UI Historic" w:hAnsi="Segoe UI Historic" w:cs="Segoe UI Historic"/>
          <w:sz w:val="24"/>
          <w:szCs w:val="24"/>
        </w:rPr>
        <w:t>wa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s not a monotheistic religion as other gods were still </w:t>
      </w:r>
      <w:r w:rsidR="008C65FA" w:rsidRPr="002019A2">
        <w:rPr>
          <w:rFonts w:ascii="Segoe UI Historic" w:hAnsi="Segoe UI Historic" w:cs="Segoe UI Historic"/>
          <w:sz w:val="24"/>
          <w:szCs w:val="24"/>
        </w:rPr>
        <w:t>a</w:t>
      </w:r>
      <w:r w:rsidRPr="002019A2">
        <w:rPr>
          <w:rFonts w:ascii="Segoe UI Historic" w:hAnsi="Segoe UI Historic" w:cs="Segoe UI Historic"/>
          <w:sz w:val="24"/>
          <w:szCs w:val="24"/>
        </w:rPr>
        <w:t>cknowledged.</w:t>
      </w:r>
      <w:r w:rsidR="004A317B" w:rsidRPr="002019A2">
        <w:rPr>
          <w:rFonts w:ascii="Segoe UI Historic" w:hAnsi="Segoe UI Historic" w:cs="Segoe UI Historic"/>
          <w:sz w:val="24"/>
          <w:szCs w:val="24"/>
        </w:rPr>
        <w:t xml:space="preserve"> Before the move to </w:t>
      </w:r>
      <w:proofErr w:type="spellStart"/>
      <w:r w:rsidR="004A317B" w:rsidRPr="002019A2">
        <w:rPr>
          <w:rFonts w:ascii="Segoe UI Historic" w:hAnsi="Segoe UI Historic" w:cs="Segoe UI Historic"/>
          <w:sz w:val="24"/>
          <w:szCs w:val="24"/>
        </w:rPr>
        <w:t>Akhet</w:t>
      </w:r>
      <w:proofErr w:type="spellEnd"/>
      <w:r w:rsidR="004A317B" w:rsidRPr="002019A2">
        <w:rPr>
          <w:rFonts w:ascii="Segoe UI Historic" w:hAnsi="Segoe UI Historic" w:cs="Segoe UI Historic"/>
          <w:sz w:val="24"/>
          <w:szCs w:val="24"/>
        </w:rPr>
        <w:t xml:space="preserve">-Aten, </w:t>
      </w:r>
      <w:r w:rsidR="00535457" w:rsidRPr="002019A2">
        <w:rPr>
          <w:rFonts w:ascii="Segoe UI Historic" w:hAnsi="Segoe UI Historic" w:cs="Segoe UI Historic"/>
          <w:sz w:val="24"/>
          <w:szCs w:val="24"/>
        </w:rPr>
        <w:t xml:space="preserve">Akhenaten </w:t>
      </w:r>
      <w:r w:rsidR="00845F09" w:rsidRPr="002019A2">
        <w:rPr>
          <w:rFonts w:ascii="Segoe UI Historic" w:hAnsi="Segoe UI Historic" w:cs="Segoe UI Historic"/>
          <w:sz w:val="24"/>
          <w:szCs w:val="24"/>
        </w:rPr>
        <w:t>built a new temple, the Gem-pa-Aten</w:t>
      </w:r>
      <w:r w:rsidR="00851873" w:rsidRPr="002019A2">
        <w:rPr>
          <w:rFonts w:ascii="Segoe UI Historic" w:hAnsi="Segoe UI Historic" w:cs="Segoe UI Historic"/>
          <w:sz w:val="24"/>
          <w:szCs w:val="24"/>
        </w:rPr>
        <w:t>,</w:t>
      </w:r>
      <w:r w:rsidR="00845F09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851873" w:rsidRPr="002019A2">
        <w:rPr>
          <w:rFonts w:ascii="Segoe UI Historic" w:hAnsi="Segoe UI Historic" w:cs="Segoe UI Historic"/>
          <w:sz w:val="24"/>
          <w:szCs w:val="24"/>
        </w:rPr>
        <w:t>in Thebes</w:t>
      </w:r>
      <w:r w:rsidR="00090791" w:rsidRPr="002019A2">
        <w:rPr>
          <w:rFonts w:ascii="Segoe UI Historic" w:hAnsi="Segoe UI Historic" w:cs="Segoe UI Historic"/>
          <w:sz w:val="24"/>
          <w:szCs w:val="24"/>
        </w:rPr>
        <w:t xml:space="preserve"> alongside of the Temple of Amun</w:t>
      </w:r>
      <w:r w:rsidR="00E40D1D" w:rsidRPr="002019A2">
        <w:rPr>
          <w:rFonts w:ascii="Segoe UI Historic" w:hAnsi="Segoe UI Historic" w:cs="Segoe UI Historic"/>
          <w:sz w:val="24"/>
          <w:szCs w:val="24"/>
        </w:rPr>
        <w:t xml:space="preserve"> but did not affect the other temples</w:t>
      </w:r>
      <w:r w:rsidR="00C341C8" w:rsidRPr="002019A2">
        <w:rPr>
          <w:rFonts w:ascii="Segoe UI Historic" w:hAnsi="Segoe UI Historic" w:cs="Segoe UI Historic"/>
          <w:sz w:val="24"/>
          <w:szCs w:val="24"/>
        </w:rPr>
        <w:t xml:space="preserve">, leaving </w:t>
      </w:r>
      <w:r w:rsidR="00083185" w:rsidRPr="002019A2">
        <w:rPr>
          <w:rFonts w:ascii="Segoe UI Historic" w:hAnsi="Segoe UI Historic" w:cs="Segoe UI Historic"/>
          <w:sz w:val="24"/>
          <w:szCs w:val="24"/>
        </w:rPr>
        <w:t>them</w:t>
      </w:r>
      <w:r w:rsidR="008F58B6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C341C8" w:rsidRPr="002019A2">
        <w:rPr>
          <w:rFonts w:ascii="Segoe UI Historic" w:hAnsi="Segoe UI Historic" w:cs="Segoe UI Historic"/>
          <w:sz w:val="24"/>
          <w:szCs w:val="24"/>
        </w:rPr>
        <w:t>to run in the same way as before and to the same gods</w:t>
      </w:r>
      <w:r w:rsidR="00083185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8F58B6" w:rsidRPr="002019A2">
        <w:rPr>
          <w:rFonts w:ascii="Segoe UI Historic" w:hAnsi="Segoe UI Historic" w:cs="Segoe UI Historic"/>
          <w:sz w:val="24"/>
          <w:szCs w:val="24"/>
        </w:rPr>
        <w:t>(</w:t>
      </w:r>
      <w:r w:rsidR="009C5F01" w:rsidRPr="002019A2">
        <w:rPr>
          <w:rFonts w:ascii="Segoe UI Historic" w:hAnsi="Segoe UI Historic" w:cs="Segoe UI Historic"/>
          <w:sz w:val="24"/>
          <w:szCs w:val="24"/>
        </w:rPr>
        <w:t>Bell, 2005: 181</w:t>
      </w:r>
      <w:r w:rsidR="008F58B6" w:rsidRPr="002019A2">
        <w:rPr>
          <w:rFonts w:ascii="Segoe UI Historic" w:hAnsi="Segoe UI Historic" w:cs="Segoe UI Historic"/>
          <w:sz w:val="24"/>
          <w:szCs w:val="24"/>
        </w:rPr>
        <w:t>)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2C1DAE" w:rsidRPr="002019A2">
        <w:rPr>
          <w:rFonts w:ascii="Segoe UI Historic" w:hAnsi="Segoe UI Historic" w:cs="Segoe UI Historic"/>
          <w:sz w:val="24"/>
          <w:szCs w:val="24"/>
        </w:rPr>
        <w:t>There was still mention of other gods during the Amarna Period; the iconoclasm of Amun-</w:t>
      </w:r>
      <w:proofErr w:type="spellStart"/>
      <w:r w:rsidR="002C1DAE" w:rsidRPr="002019A2">
        <w:rPr>
          <w:rFonts w:ascii="Segoe UI Historic" w:hAnsi="Segoe UI Historic" w:cs="Segoe UI Historic"/>
          <w:sz w:val="24"/>
          <w:szCs w:val="24"/>
        </w:rPr>
        <w:t>Re’s</w:t>
      </w:r>
      <w:proofErr w:type="spellEnd"/>
      <w:r w:rsidR="002C1DAE" w:rsidRPr="002019A2">
        <w:rPr>
          <w:rFonts w:ascii="Segoe UI Historic" w:hAnsi="Segoe UI Historic" w:cs="Segoe UI Historic"/>
          <w:sz w:val="24"/>
          <w:szCs w:val="24"/>
        </w:rPr>
        <w:t xml:space="preserve"> name within Egypt, specifically in Thebes, may have occurred at any point, though has been argued to have happened within years 8 and 12 of his reign (Bell, 2005: 301; Allen, 1996: 4).</w:t>
      </w:r>
    </w:p>
    <w:p w14:paraId="7CD72AAF" w14:textId="34852473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6BA150DC" w14:textId="756C4021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lastRenderedPageBreak/>
        <w:t xml:space="preserve">Brier </w:t>
      </w:r>
      <w:r w:rsidR="00F2351C" w:rsidRPr="002019A2">
        <w:rPr>
          <w:rFonts w:ascii="Segoe UI Historic" w:hAnsi="Segoe UI Historic" w:cs="Segoe UI Historic"/>
          <w:sz w:val="24"/>
          <w:szCs w:val="24"/>
        </w:rPr>
        <w:t>asserts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that the reason for Akhenaten’s religious views resulted from his neglect as a child; he is the only child not represented as a part of Amenhotep III’s family, nor as having attended the events that the rest of the family were present for</w:t>
      </w:r>
      <w:r w:rsidR="00E631E1" w:rsidRPr="002019A2">
        <w:rPr>
          <w:rFonts w:ascii="Segoe UI Historic" w:hAnsi="Segoe UI Historic" w:cs="Segoe UI Historic"/>
          <w:sz w:val="24"/>
          <w:szCs w:val="24"/>
        </w:rPr>
        <w:t xml:space="preserve">. </w:t>
      </w:r>
      <w:r w:rsidR="00C87269" w:rsidRPr="002019A2">
        <w:rPr>
          <w:rFonts w:ascii="Segoe UI Historic" w:hAnsi="Segoe UI Historic" w:cs="Segoe UI Historic"/>
          <w:sz w:val="24"/>
          <w:szCs w:val="24"/>
        </w:rPr>
        <w:t>In addition to this, Brier argues that</w:t>
      </w:r>
      <w:r w:rsidR="00EA2F34" w:rsidRPr="002019A2">
        <w:rPr>
          <w:rFonts w:ascii="Segoe UI Historic" w:hAnsi="Segoe UI Historic" w:cs="Segoe UI Historic"/>
          <w:sz w:val="24"/>
          <w:szCs w:val="24"/>
        </w:rPr>
        <w:t xml:space="preserve"> Akhenaten </w:t>
      </w:r>
      <w:r w:rsidR="00C331CE" w:rsidRPr="002019A2">
        <w:rPr>
          <w:rFonts w:ascii="Segoe UI Historic" w:hAnsi="Segoe UI Historic" w:cs="Segoe UI Historic"/>
          <w:sz w:val="24"/>
          <w:szCs w:val="24"/>
        </w:rPr>
        <w:t xml:space="preserve">believed he had been 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rejected by the </w:t>
      </w:r>
      <w:r w:rsidR="00D27DAF" w:rsidRPr="002019A2">
        <w:rPr>
          <w:rFonts w:ascii="Segoe UI Historic" w:hAnsi="Segoe UI Historic" w:cs="Segoe UI Historic"/>
          <w:sz w:val="24"/>
          <w:szCs w:val="24"/>
        </w:rPr>
        <w:t xml:space="preserve">main </w:t>
      </w:r>
      <w:r w:rsidRPr="002019A2">
        <w:rPr>
          <w:rFonts w:ascii="Segoe UI Historic" w:hAnsi="Segoe UI Historic" w:cs="Segoe UI Historic"/>
          <w:sz w:val="24"/>
          <w:szCs w:val="24"/>
        </w:rPr>
        <w:t>gods</w:t>
      </w:r>
      <w:r w:rsidR="005D3991" w:rsidRPr="002019A2">
        <w:rPr>
          <w:rFonts w:ascii="Segoe UI Historic" w:hAnsi="Segoe UI Historic" w:cs="Segoe UI Historic"/>
          <w:sz w:val="24"/>
          <w:szCs w:val="24"/>
        </w:rPr>
        <w:t xml:space="preserve"> as a result of his appearance</w:t>
      </w:r>
      <w:r w:rsidR="001128C8" w:rsidRPr="002019A2">
        <w:rPr>
          <w:rFonts w:ascii="Segoe UI Historic" w:hAnsi="Segoe UI Historic" w:cs="Segoe UI Historic"/>
          <w:sz w:val="24"/>
          <w:szCs w:val="24"/>
        </w:rPr>
        <w:t xml:space="preserve">, hence his </w:t>
      </w:r>
      <w:r w:rsidR="00E829EF" w:rsidRPr="002019A2">
        <w:rPr>
          <w:rFonts w:ascii="Segoe UI Historic" w:hAnsi="Segoe UI Historic" w:cs="Segoe UI Historic"/>
          <w:sz w:val="24"/>
          <w:szCs w:val="24"/>
        </w:rPr>
        <w:t xml:space="preserve">bringing </w:t>
      </w:r>
      <w:r w:rsidR="00BD39F5" w:rsidRPr="002019A2">
        <w:rPr>
          <w:rFonts w:ascii="Segoe UI Historic" w:hAnsi="Segoe UI Historic" w:cs="Segoe UI Historic"/>
          <w:sz w:val="24"/>
          <w:szCs w:val="24"/>
        </w:rPr>
        <w:t>Aten to prominence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. </w:t>
      </w:r>
      <w:r w:rsidR="0067494D" w:rsidRPr="002019A2">
        <w:rPr>
          <w:rFonts w:ascii="Segoe UI Historic" w:hAnsi="Segoe UI Historic" w:cs="Segoe UI Historic"/>
          <w:sz w:val="24"/>
          <w:szCs w:val="24"/>
        </w:rPr>
        <w:t xml:space="preserve">Although there is a lack of representation of Akhenaten </w:t>
      </w:r>
      <w:r w:rsidR="002A30CE" w:rsidRPr="002019A2">
        <w:rPr>
          <w:rFonts w:ascii="Segoe UI Historic" w:hAnsi="Segoe UI Historic" w:cs="Segoe UI Historic"/>
          <w:sz w:val="24"/>
          <w:szCs w:val="24"/>
        </w:rPr>
        <w:t>with his family</w:t>
      </w:r>
      <w:r w:rsidR="0067494D" w:rsidRPr="002019A2">
        <w:rPr>
          <w:rFonts w:ascii="Segoe UI Historic" w:hAnsi="Segoe UI Historic" w:cs="Segoe UI Historic"/>
          <w:sz w:val="24"/>
          <w:szCs w:val="24"/>
        </w:rPr>
        <w:t xml:space="preserve">, Brier has altered the evidence to argue his perspective, as opposed to arguing what the evidence </w:t>
      </w:r>
      <w:proofErr w:type="gramStart"/>
      <w:r w:rsidR="0067494D" w:rsidRPr="002019A2">
        <w:rPr>
          <w:rFonts w:ascii="Segoe UI Historic" w:hAnsi="Segoe UI Historic" w:cs="Segoe UI Historic"/>
          <w:sz w:val="24"/>
          <w:szCs w:val="24"/>
        </w:rPr>
        <w:t>actually shows</w:t>
      </w:r>
      <w:proofErr w:type="gramEnd"/>
      <w:r w:rsidR="0067494D" w:rsidRPr="002019A2">
        <w:rPr>
          <w:rFonts w:ascii="Segoe UI Historic" w:hAnsi="Segoe UI Historic" w:cs="Segoe UI Historic"/>
          <w:sz w:val="24"/>
          <w:szCs w:val="24"/>
        </w:rPr>
        <w:t xml:space="preserve">. </w:t>
      </w:r>
      <w:r w:rsidR="000961EE" w:rsidRPr="002019A2">
        <w:rPr>
          <w:rFonts w:ascii="Segoe UI Historic" w:hAnsi="Segoe UI Historic" w:cs="Segoe UI Historic"/>
          <w:sz w:val="24"/>
          <w:szCs w:val="24"/>
        </w:rPr>
        <w:t xml:space="preserve">His argument that Akhenaten is not depicted as part of Amenhotep III’s family </w:t>
      </w:r>
      <w:r w:rsidR="006F13F8" w:rsidRPr="002019A2">
        <w:rPr>
          <w:rFonts w:ascii="Segoe UI Historic" w:hAnsi="Segoe UI Historic" w:cs="Segoe UI Historic"/>
          <w:sz w:val="24"/>
          <w:szCs w:val="24"/>
        </w:rPr>
        <w:t>is not correct; although it is not obvious, Akhenaten and T</w:t>
      </w:r>
      <w:r w:rsidR="009F15C5" w:rsidRPr="002019A2">
        <w:rPr>
          <w:rFonts w:ascii="Segoe UI Historic" w:hAnsi="Segoe UI Historic" w:cs="Segoe UI Historic"/>
          <w:sz w:val="24"/>
          <w:szCs w:val="24"/>
        </w:rPr>
        <w:t xml:space="preserve">hutmose are depicted </w:t>
      </w:r>
      <w:r w:rsidR="002375CC" w:rsidRPr="002019A2">
        <w:rPr>
          <w:rFonts w:ascii="Segoe UI Historic" w:hAnsi="Segoe UI Historic" w:cs="Segoe UI Historic"/>
          <w:sz w:val="24"/>
          <w:szCs w:val="24"/>
        </w:rPr>
        <w:t>with Amenhotep</w:t>
      </w:r>
      <w:r w:rsidR="00D90070" w:rsidRPr="002019A2">
        <w:rPr>
          <w:rFonts w:ascii="Segoe UI Historic" w:hAnsi="Segoe UI Historic" w:cs="Segoe UI Historic"/>
          <w:sz w:val="24"/>
          <w:szCs w:val="24"/>
        </w:rPr>
        <w:t xml:space="preserve">, but at a minor scale to the rest </w:t>
      </w:r>
      <w:r w:rsidR="001B512E" w:rsidRPr="002019A2">
        <w:rPr>
          <w:rFonts w:ascii="Segoe UI Historic" w:hAnsi="Segoe UI Historic" w:cs="Segoe UI Historic"/>
          <w:sz w:val="24"/>
          <w:szCs w:val="24"/>
        </w:rPr>
        <w:t>of the scene.</w:t>
      </w:r>
      <w:r w:rsidR="00576B3D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FD5F8D" w:rsidRPr="002019A2">
        <w:rPr>
          <w:rFonts w:ascii="Segoe UI Historic" w:hAnsi="Segoe UI Historic" w:cs="Segoe UI Historic"/>
          <w:sz w:val="24"/>
          <w:szCs w:val="24"/>
        </w:rPr>
        <w:t>A</w:t>
      </w:r>
      <w:r w:rsidR="00E54FDD" w:rsidRPr="002019A2">
        <w:rPr>
          <w:rFonts w:ascii="Segoe UI Historic" w:hAnsi="Segoe UI Historic" w:cs="Segoe UI Historic"/>
          <w:sz w:val="24"/>
          <w:szCs w:val="24"/>
        </w:rPr>
        <w:t xml:space="preserve">menhotep III, in the </w:t>
      </w:r>
      <w:proofErr w:type="spellStart"/>
      <w:r w:rsidR="00E54FDD" w:rsidRPr="002019A2">
        <w:rPr>
          <w:rFonts w:ascii="Segoe UI Historic" w:hAnsi="Segoe UI Historic" w:cs="Segoe UI Historic"/>
          <w:sz w:val="24"/>
          <w:szCs w:val="24"/>
        </w:rPr>
        <w:t>Soleb</w:t>
      </w:r>
      <w:proofErr w:type="spellEnd"/>
      <w:r w:rsidR="00E54FDD" w:rsidRPr="002019A2">
        <w:rPr>
          <w:rFonts w:ascii="Segoe UI Historic" w:hAnsi="Segoe UI Historic" w:cs="Segoe UI Historic"/>
          <w:sz w:val="24"/>
          <w:szCs w:val="24"/>
        </w:rPr>
        <w:t xml:space="preserve"> reliefs, </w:t>
      </w:r>
      <w:r w:rsidR="00497291" w:rsidRPr="002019A2">
        <w:rPr>
          <w:rFonts w:ascii="Segoe UI Historic" w:hAnsi="Segoe UI Historic" w:cs="Segoe UI Historic"/>
          <w:sz w:val="24"/>
          <w:szCs w:val="24"/>
        </w:rPr>
        <w:t xml:space="preserve">is </w:t>
      </w:r>
      <w:r w:rsidR="00A7387C" w:rsidRPr="002019A2">
        <w:rPr>
          <w:rFonts w:ascii="Segoe UI Historic" w:hAnsi="Segoe UI Historic" w:cs="Segoe UI Historic"/>
          <w:sz w:val="24"/>
          <w:szCs w:val="24"/>
        </w:rPr>
        <w:t>portrayed</w:t>
      </w:r>
      <w:r w:rsidR="00497291" w:rsidRPr="002019A2">
        <w:rPr>
          <w:rFonts w:ascii="Segoe UI Historic" w:hAnsi="Segoe UI Historic" w:cs="Segoe UI Historic"/>
          <w:sz w:val="24"/>
          <w:szCs w:val="24"/>
        </w:rPr>
        <w:t xml:space="preserve"> alongside </w:t>
      </w:r>
      <w:r w:rsidR="00F03355" w:rsidRPr="002019A2">
        <w:rPr>
          <w:rFonts w:ascii="Segoe UI Historic" w:hAnsi="Segoe UI Historic" w:cs="Segoe UI Historic"/>
          <w:sz w:val="24"/>
          <w:szCs w:val="24"/>
        </w:rPr>
        <w:t>his wife and children</w:t>
      </w:r>
      <w:r w:rsidR="004576BB" w:rsidRPr="002019A2">
        <w:rPr>
          <w:rFonts w:ascii="Segoe UI Historic" w:hAnsi="Segoe UI Historic" w:cs="Segoe UI Historic"/>
          <w:sz w:val="24"/>
          <w:szCs w:val="24"/>
        </w:rPr>
        <w:t>,</w:t>
      </w:r>
      <w:r w:rsidR="00924E8E" w:rsidRPr="002019A2">
        <w:rPr>
          <w:rFonts w:ascii="Segoe UI Historic" w:hAnsi="Segoe UI Historic" w:cs="Segoe UI Historic"/>
          <w:sz w:val="24"/>
          <w:szCs w:val="24"/>
        </w:rPr>
        <w:t xml:space="preserve"> with scale depicted </w:t>
      </w:r>
      <w:r w:rsidR="0086388F" w:rsidRPr="002019A2">
        <w:rPr>
          <w:rFonts w:ascii="Segoe UI Historic" w:hAnsi="Segoe UI Historic" w:cs="Segoe UI Historic"/>
          <w:sz w:val="24"/>
          <w:szCs w:val="24"/>
        </w:rPr>
        <w:t>in relation to importance</w:t>
      </w:r>
      <w:r w:rsidR="00B25F77" w:rsidRPr="002019A2">
        <w:rPr>
          <w:rFonts w:ascii="Segoe UI Historic" w:hAnsi="Segoe UI Historic" w:cs="Segoe UI Historic"/>
          <w:sz w:val="24"/>
          <w:szCs w:val="24"/>
        </w:rPr>
        <w:t>/status</w:t>
      </w:r>
      <w:r w:rsidR="004576BB" w:rsidRPr="002019A2">
        <w:rPr>
          <w:rFonts w:ascii="Segoe UI Historic" w:hAnsi="Segoe UI Historic" w:cs="Segoe UI Historic"/>
          <w:sz w:val="24"/>
          <w:szCs w:val="24"/>
        </w:rPr>
        <w:t xml:space="preserve">; </w:t>
      </w:r>
      <w:r w:rsidR="00A32B83" w:rsidRPr="002019A2">
        <w:rPr>
          <w:rFonts w:ascii="Segoe UI Historic" w:hAnsi="Segoe UI Historic" w:cs="Segoe UI Historic"/>
          <w:sz w:val="24"/>
          <w:szCs w:val="24"/>
        </w:rPr>
        <w:t xml:space="preserve">Amenhotep and </w:t>
      </w:r>
      <w:proofErr w:type="spellStart"/>
      <w:r w:rsidR="00A32B83" w:rsidRPr="002019A2">
        <w:rPr>
          <w:rFonts w:ascii="Segoe UI Historic" w:hAnsi="Segoe UI Historic" w:cs="Segoe UI Historic"/>
          <w:sz w:val="24"/>
          <w:szCs w:val="24"/>
        </w:rPr>
        <w:t>Tiye</w:t>
      </w:r>
      <w:proofErr w:type="spellEnd"/>
      <w:r w:rsidR="00A32B83" w:rsidRPr="002019A2">
        <w:rPr>
          <w:rFonts w:ascii="Segoe UI Historic" w:hAnsi="Segoe UI Historic" w:cs="Segoe UI Historic"/>
          <w:sz w:val="24"/>
          <w:szCs w:val="24"/>
        </w:rPr>
        <w:t xml:space="preserve"> are the largest figures, followed by </w:t>
      </w:r>
      <w:r w:rsidR="00426D3F" w:rsidRPr="002019A2">
        <w:rPr>
          <w:rFonts w:ascii="Segoe UI Historic" w:hAnsi="Segoe UI Historic" w:cs="Segoe UI Historic"/>
          <w:sz w:val="24"/>
          <w:szCs w:val="24"/>
        </w:rPr>
        <w:t>their eldest</w:t>
      </w:r>
      <w:r w:rsidR="00237200" w:rsidRPr="002019A2">
        <w:rPr>
          <w:rFonts w:ascii="Segoe UI Historic" w:hAnsi="Segoe UI Historic" w:cs="Segoe UI Historic"/>
          <w:sz w:val="24"/>
          <w:szCs w:val="24"/>
        </w:rPr>
        <w:t xml:space="preserve"> daughter</w:t>
      </w:r>
      <w:r w:rsidR="00FF7171" w:rsidRPr="002019A2">
        <w:rPr>
          <w:rFonts w:ascii="Segoe UI Historic" w:hAnsi="Segoe UI Historic" w:cs="Segoe UI Historic"/>
          <w:sz w:val="24"/>
          <w:szCs w:val="24"/>
        </w:rPr>
        <w:t xml:space="preserve">, </w:t>
      </w:r>
      <w:r w:rsidR="003431DC" w:rsidRPr="002019A2">
        <w:rPr>
          <w:rFonts w:ascii="Segoe UI Historic" w:hAnsi="Segoe UI Historic" w:cs="Segoe UI Historic"/>
          <w:sz w:val="24"/>
          <w:szCs w:val="24"/>
        </w:rPr>
        <w:t xml:space="preserve">and subsequently </w:t>
      </w:r>
      <w:r w:rsidR="00FF7171" w:rsidRPr="002019A2">
        <w:rPr>
          <w:rFonts w:ascii="Segoe UI Historic" w:hAnsi="Segoe UI Historic" w:cs="Segoe UI Historic"/>
          <w:sz w:val="24"/>
          <w:szCs w:val="24"/>
        </w:rPr>
        <w:t>followed by their younger daughte</w:t>
      </w:r>
      <w:r w:rsidR="003431DC" w:rsidRPr="002019A2">
        <w:rPr>
          <w:rFonts w:ascii="Segoe UI Historic" w:hAnsi="Segoe UI Historic" w:cs="Segoe UI Historic"/>
          <w:sz w:val="24"/>
          <w:szCs w:val="24"/>
        </w:rPr>
        <w:t>rs (</w:t>
      </w:r>
      <w:proofErr w:type="spellStart"/>
      <w:r w:rsidR="00B40141" w:rsidRPr="002019A2">
        <w:rPr>
          <w:rFonts w:ascii="Segoe UI Historic" w:hAnsi="Segoe UI Historic" w:cs="Segoe UI Historic"/>
          <w:sz w:val="24"/>
          <w:szCs w:val="24"/>
        </w:rPr>
        <w:t>Ko</w:t>
      </w:r>
      <w:r w:rsidR="004E4A79" w:rsidRPr="002019A2">
        <w:rPr>
          <w:rFonts w:ascii="Segoe UI Historic" w:hAnsi="Segoe UI Historic" w:cs="Segoe UI Historic"/>
          <w:sz w:val="24"/>
          <w:szCs w:val="24"/>
        </w:rPr>
        <w:t>zloff</w:t>
      </w:r>
      <w:proofErr w:type="spellEnd"/>
      <w:r w:rsidR="004E4A79" w:rsidRPr="002019A2">
        <w:rPr>
          <w:rFonts w:ascii="Segoe UI Historic" w:hAnsi="Segoe UI Historic" w:cs="Segoe UI Historic"/>
          <w:sz w:val="24"/>
          <w:szCs w:val="24"/>
        </w:rPr>
        <w:t>, 2012: 186). On another part</w:t>
      </w:r>
      <w:r w:rsidR="002F2B87" w:rsidRPr="002019A2">
        <w:rPr>
          <w:rFonts w:ascii="Segoe UI Historic" w:hAnsi="Segoe UI Historic" w:cs="Segoe UI Historic"/>
          <w:sz w:val="24"/>
          <w:szCs w:val="24"/>
        </w:rPr>
        <w:t xml:space="preserve">, there is mention </w:t>
      </w:r>
      <w:r w:rsidR="00A7387C" w:rsidRPr="002019A2">
        <w:rPr>
          <w:rFonts w:ascii="Segoe UI Historic" w:hAnsi="Segoe UI Historic" w:cs="Segoe UI Historic"/>
          <w:sz w:val="24"/>
          <w:szCs w:val="24"/>
        </w:rPr>
        <w:t>of</w:t>
      </w:r>
      <w:r w:rsidR="002F2B87" w:rsidRPr="002019A2">
        <w:rPr>
          <w:rFonts w:ascii="Segoe UI Historic" w:hAnsi="Segoe UI Historic" w:cs="Segoe UI Historic"/>
          <w:sz w:val="24"/>
          <w:szCs w:val="24"/>
        </w:rPr>
        <w:t xml:space="preserve"> the ‘royal children boys and </w:t>
      </w:r>
      <w:r w:rsidR="00021685" w:rsidRPr="002019A2">
        <w:rPr>
          <w:rFonts w:ascii="Segoe UI Historic" w:hAnsi="Segoe UI Historic" w:cs="Segoe UI Historic"/>
          <w:sz w:val="24"/>
          <w:szCs w:val="24"/>
        </w:rPr>
        <w:t xml:space="preserve">girls’ </w:t>
      </w:r>
      <w:r w:rsidR="002B46C2" w:rsidRPr="002019A2">
        <w:rPr>
          <w:rFonts w:ascii="Segoe UI Historic" w:hAnsi="Segoe UI Historic" w:cs="Segoe UI Historic"/>
          <w:sz w:val="24"/>
          <w:szCs w:val="24"/>
        </w:rPr>
        <w:t>indicating that</w:t>
      </w:r>
      <w:r w:rsidR="00FD38D2" w:rsidRPr="002019A2">
        <w:rPr>
          <w:rFonts w:ascii="Segoe UI Historic" w:hAnsi="Segoe UI Historic" w:cs="Segoe UI Historic"/>
          <w:sz w:val="24"/>
          <w:szCs w:val="24"/>
        </w:rPr>
        <w:t xml:space="preserve"> there is at least mention of the sons (</w:t>
      </w:r>
      <w:proofErr w:type="spellStart"/>
      <w:r w:rsidR="00FD38D2" w:rsidRPr="002019A2">
        <w:rPr>
          <w:rFonts w:ascii="Segoe UI Historic" w:hAnsi="Segoe UI Historic" w:cs="Segoe UI Historic"/>
          <w:sz w:val="24"/>
          <w:szCs w:val="24"/>
        </w:rPr>
        <w:t>Kozlo</w:t>
      </w:r>
      <w:r w:rsidR="00037CF8" w:rsidRPr="002019A2">
        <w:rPr>
          <w:rFonts w:ascii="Segoe UI Historic" w:hAnsi="Segoe UI Historic" w:cs="Segoe UI Historic"/>
          <w:sz w:val="24"/>
          <w:szCs w:val="24"/>
        </w:rPr>
        <w:t>ff</w:t>
      </w:r>
      <w:proofErr w:type="spellEnd"/>
      <w:r w:rsidR="00037CF8" w:rsidRPr="002019A2">
        <w:rPr>
          <w:rFonts w:ascii="Segoe UI Historic" w:hAnsi="Segoe UI Historic" w:cs="Segoe UI Historic"/>
          <w:sz w:val="24"/>
          <w:szCs w:val="24"/>
        </w:rPr>
        <w:t>, 2012: 186)</w:t>
      </w:r>
      <w:r w:rsidR="00195556" w:rsidRPr="002019A2">
        <w:rPr>
          <w:rFonts w:ascii="Segoe UI Historic" w:hAnsi="Segoe UI Historic" w:cs="Segoe UI Historic"/>
          <w:sz w:val="24"/>
          <w:szCs w:val="24"/>
        </w:rPr>
        <w:t>, which is contradictory of Brier’s argument.</w:t>
      </w:r>
    </w:p>
    <w:p w14:paraId="3E2AC4CB" w14:textId="77777777" w:rsidR="0041231B" w:rsidRPr="002019A2" w:rsidRDefault="0041231B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0448F911" w14:textId="5EBD9CFC" w:rsidR="00013C83" w:rsidRPr="002019A2" w:rsidRDefault="169C8EE5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 xml:space="preserve">One important subject that Brier does not </w:t>
      </w:r>
      <w:r w:rsidR="00665905" w:rsidRPr="002019A2">
        <w:rPr>
          <w:rFonts w:ascii="Segoe UI Historic" w:hAnsi="Segoe UI Historic" w:cs="Segoe UI Historic"/>
          <w:sz w:val="24"/>
          <w:szCs w:val="24"/>
        </w:rPr>
        <w:t xml:space="preserve">acknowledge </w:t>
      </w:r>
      <w:r w:rsidRPr="002019A2">
        <w:rPr>
          <w:rFonts w:ascii="Segoe UI Historic" w:hAnsi="Segoe UI Historic" w:cs="Segoe UI Historic"/>
          <w:sz w:val="24"/>
          <w:szCs w:val="24"/>
        </w:rPr>
        <w:t>is the other 18</w:t>
      </w:r>
      <w:r w:rsidRPr="002019A2">
        <w:rPr>
          <w:rFonts w:ascii="Segoe UI Historic" w:hAnsi="Segoe UI Historic" w:cs="Segoe UI Historic"/>
          <w:sz w:val="24"/>
          <w:szCs w:val="24"/>
          <w:vertAlign w:val="superscript"/>
        </w:rPr>
        <w:t>th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Dynasty pharaohs before Akhenaten </w:t>
      </w:r>
      <w:r w:rsidR="00665905" w:rsidRPr="002019A2">
        <w:rPr>
          <w:rFonts w:ascii="Segoe UI Historic" w:hAnsi="Segoe UI Historic" w:cs="Segoe UI Historic"/>
          <w:sz w:val="24"/>
          <w:szCs w:val="24"/>
        </w:rPr>
        <w:t xml:space="preserve">and </w:t>
      </w:r>
      <w:r w:rsidRPr="002019A2">
        <w:rPr>
          <w:rFonts w:ascii="Segoe UI Historic" w:hAnsi="Segoe UI Historic" w:cs="Segoe UI Historic"/>
          <w:sz w:val="24"/>
          <w:szCs w:val="24"/>
        </w:rPr>
        <w:t>the increasing status of the solar deities throughout this period</w:t>
      </w:r>
      <w:r w:rsidR="00665905" w:rsidRPr="002019A2">
        <w:rPr>
          <w:rFonts w:ascii="Segoe UI Historic" w:hAnsi="Segoe UI Historic" w:cs="Segoe UI Historic"/>
          <w:sz w:val="24"/>
          <w:szCs w:val="24"/>
        </w:rPr>
        <w:t>.  Although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he did take the worship of the solar deities to a larger extent than his predecessors</w:t>
      </w:r>
      <w:r w:rsidR="00665905" w:rsidRPr="002019A2">
        <w:rPr>
          <w:rFonts w:ascii="Segoe UI Historic" w:hAnsi="Segoe UI Historic" w:cs="Segoe UI Historic"/>
          <w:sz w:val="24"/>
          <w:szCs w:val="24"/>
        </w:rPr>
        <w:t>, Akhenaten was not the sole instigator for this</w:t>
      </w:r>
      <w:r w:rsidRPr="002019A2">
        <w:rPr>
          <w:rFonts w:ascii="Segoe UI Historic" w:hAnsi="Segoe UI Historic" w:cs="Segoe UI Historic"/>
          <w:sz w:val="24"/>
          <w:szCs w:val="24"/>
        </w:rPr>
        <w:t>. Akhenaten is perceived by many as a “heretic” because of his actions of altering the ancient Egyptian religion, but this is most likely as a result of the lack of</w:t>
      </w:r>
      <w:r w:rsidR="00790F7C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Pr="002019A2">
        <w:rPr>
          <w:rFonts w:ascii="Segoe UI Historic" w:hAnsi="Segoe UI Historic" w:cs="Segoe UI Historic"/>
          <w:sz w:val="24"/>
          <w:szCs w:val="24"/>
        </w:rPr>
        <w:t>understanding of the increasing status of the solar deities by the previous pharaohs.</w:t>
      </w:r>
      <w:r w:rsidR="009573E1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044D60" w:rsidRPr="002019A2">
        <w:rPr>
          <w:rFonts w:ascii="Segoe UI Historic" w:hAnsi="Segoe UI Historic" w:cs="Segoe UI Historic"/>
          <w:sz w:val="24"/>
          <w:szCs w:val="24"/>
        </w:rPr>
        <w:t xml:space="preserve">The worship of the solar deities, though not unusual throughout </w:t>
      </w:r>
      <w:r w:rsidR="001B08CD" w:rsidRPr="002019A2">
        <w:rPr>
          <w:rFonts w:ascii="Segoe UI Historic" w:hAnsi="Segoe UI Historic" w:cs="Segoe UI Historic"/>
          <w:sz w:val="24"/>
          <w:szCs w:val="24"/>
        </w:rPr>
        <w:t>Egyptian history</w:t>
      </w:r>
      <w:r w:rsidR="00D53E3E" w:rsidRPr="002019A2">
        <w:rPr>
          <w:rFonts w:ascii="Segoe UI Historic" w:hAnsi="Segoe UI Historic" w:cs="Segoe UI Historic"/>
          <w:sz w:val="24"/>
          <w:szCs w:val="24"/>
        </w:rPr>
        <w:t xml:space="preserve"> particularly in the 5</w:t>
      </w:r>
      <w:r w:rsidR="00D53E3E" w:rsidRPr="002019A2">
        <w:rPr>
          <w:rFonts w:ascii="Segoe UI Historic" w:hAnsi="Segoe UI Historic" w:cs="Segoe UI Historic"/>
          <w:sz w:val="24"/>
          <w:szCs w:val="24"/>
          <w:vertAlign w:val="superscript"/>
        </w:rPr>
        <w:t>th</w:t>
      </w:r>
      <w:r w:rsidR="00D53E3E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0646BA" w:rsidRPr="002019A2">
        <w:rPr>
          <w:rFonts w:ascii="Segoe UI Historic" w:hAnsi="Segoe UI Historic" w:cs="Segoe UI Historic"/>
          <w:sz w:val="24"/>
          <w:szCs w:val="24"/>
        </w:rPr>
        <w:t>Dynasty</w:t>
      </w:r>
      <w:r w:rsidR="001B08CD" w:rsidRPr="002019A2">
        <w:rPr>
          <w:rFonts w:ascii="Segoe UI Historic" w:hAnsi="Segoe UI Historic" w:cs="Segoe UI Historic"/>
          <w:sz w:val="24"/>
          <w:szCs w:val="24"/>
        </w:rPr>
        <w:t>, became more prominent in the 18</w:t>
      </w:r>
      <w:r w:rsidR="001B08CD" w:rsidRPr="002019A2">
        <w:rPr>
          <w:rFonts w:ascii="Segoe UI Historic" w:hAnsi="Segoe UI Historic" w:cs="Segoe UI Historic"/>
          <w:sz w:val="24"/>
          <w:szCs w:val="24"/>
          <w:vertAlign w:val="superscript"/>
        </w:rPr>
        <w:t>th</w:t>
      </w:r>
      <w:r w:rsidR="001B08CD" w:rsidRPr="002019A2">
        <w:rPr>
          <w:rFonts w:ascii="Segoe UI Historic" w:hAnsi="Segoe UI Historic" w:cs="Segoe UI Historic"/>
          <w:sz w:val="24"/>
          <w:szCs w:val="24"/>
        </w:rPr>
        <w:t xml:space="preserve"> Dynasty.</w:t>
      </w:r>
      <w:r w:rsidR="000646BA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D861A4" w:rsidRPr="002019A2">
        <w:rPr>
          <w:rFonts w:ascii="Segoe UI Historic" w:hAnsi="Segoe UI Historic" w:cs="Segoe UI Historic"/>
          <w:sz w:val="24"/>
          <w:szCs w:val="24"/>
        </w:rPr>
        <w:t>Pharaohs of the Fifth Dynasty built sun temples</w:t>
      </w:r>
      <w:r w:rsidR="00EF343D" w:rsidRPr="002019A2">
        <w:rPr>
          <w:rFonts w:ascii="Segoe UI Historic" w:hAnsi="Segoe UI Historic" w:cs="Segoe UI Historic"/>
          <w:sz w:val="24"/>
          <w:szCs w:val="24"/>
        </w:rPr>
        <w:t>, s</w:t>
      </w:r>
      <w:r w:rsidR="00C20E42" w:rsidRPr="002019A2">
        <w:rPr>
          <w:rFonts w:ascii="Segoe UI Historic" w:hAnsi="Segoe UI Historic" w:cs="Segoe UI Historic"/>
          <w:sz w:val="24"/>
          <w:szCs w:val="24"/>
        </w:rPr>
        <w:t xml:space="preserve">howing that worship of solar deities was </w:t>
      </w:r>
      <w:r w:rsidR="00501C36" w:rsidRPr="002019A2">
        <w:rPr>
          <w:rFonts w:ascii="Segoe UI Historic" w:hAnsi="Segoe UI Historic" w:cs="Segoe UI Historic"/>
          <w:sz w:val="24"/>
          <w:szCs w:val="24"/>
        </w:rPr>
        <w:t>significant</w:t>
      </w:r>
      <w:r w:rsidR="00C20E42" w:rsidRPr="002019A2">
        <w:rPr>
          <w:rFonts w:ascii="Segoe UI Historic" w:hAnsi="Segoe UI Historic" w:cs="Segoe UI Historic"/>
          <w:sz w:val="24"/>
          <w:szCs w:val="24"/>
        </w:rPr>
        <w:t xml:space="preserve"> enough for</w:t>
      </w:r>
      <w:r w:rsidR="00A82640" w:rsidRPr="002019A2">
        <w:rPr>
          <w:rFonts w:ascii="Segoe UI Historic" w:hAnsi="Segoe UI Historic" w:cs="Segoe UI Historic"/>
          <w:sz w:val="24"/>
          <w:szCs w:val="24"/>
        </w:rPr>
        <w:t xml:space="preserve"> a temple to be built in dedication to them (</w:t>
      </w:r>
      <w:r w:rsidR="001A3761" w:rsidRPr="002019A2">
        <w:rPr>
          <w:rFonts w:ascii="Segoe UI Historic" w:hAnsi="Segoe UI Historic" w:cs="Segoe UI Historic"/>
          <w:sz w:val="24"/>
          <w:szCs w:val="24"/>
        </w:rPr>
        <w:t xml:space="preserve">Verner, 2014: </w:t>
      </w:r>
      <w:r w:rsidR="00264C5B" w:rsidRPr="002019A2">
        <w:rPr>
          <w:rFonts w:ascii="Segoe UI Historic" w:hAnsi="Segoe UI Historic" w:cs="Segoe UI Historic"/>
          <w:sz w:val="24"/>
          <w:szCs w:val="24"/>
        </w:rPr>
        <w:t>100)</w:t>
      </w:r>
      <w:r w:rsidR="00A82640" w:rsidRPr="002019A2">
        <w:rPr>
          <w:rFonts w:ascii="Segoe UI Historic" w:hAnsi="Segoe UI Historic" w:cs="Segoe UI Historic"/>
          <w:sz w:val="24"/>
          <w:szCs w:val="24"/>
        </w:rPr>
        <w:t>.</w:t>
      </w:r>
      <w:r w:rsidR="00FF5BD6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proofErr w:type="spellStart"/>
      <w:r w:rsidR="001B08CD" w:rsidRPr="002019A2">
        <w:rPr>
          <w:rFonts w:ascii="Segoe UI Historic" w:hAnsi="Segoe UI Historic" w:cs="Segoe UI Historic"/>
          <w:sz w:val="24"/>
          <w:szCs w:val="24"/>
        </w:rPr>
        <w:t>Sunchapels</w:t>
      </w:r>
      <w:proofErr w:type="spellEnd"/>
      <w:r w:rsidR="001B08CD" w:rsidRPr="002019A2">
        <w:rPr>
          <w:rFonts w:ascii="Segoe UI Historic" w:hAnsi="Segoe UI Historic" w:cs="Segoe UI Historic"/>
          <w:sz w:val="24"/>
          <w:szCs w:val="24"/>
        </w:rPr>
        <w:t xml:space="preserve"> to Ra and solar hymns</w:t>
      </w:r>
      <w:r w:rsidR="00B82BE1" w:rsidRPr="002019A2">
        <w:rPr>
          <w:rFonts w:ascii="Segoe UI Historic" w:hAnsi="Segoe UI Historic" w:cs="Segoe UI Historic"/>
          <w:sz w:val="24"/>
          <w:szCs w:val="24"/>
        </w:rPr>
        <w:t xml:space="preserve"> can be found during the reigns of Hatshepsut and </w:t>
      </w:r>
      <w:proofErr w:type="spellStart"/>
      <w:r w:rsidR="00B82BE1" w:rsidRPr="002019A2">
        <w:rPr>
          <w:rFonts w:ascii="Segoe UI Historic" w:hAnsi="Segoe UI Historic" w:cs="Segoe UI Historic"/>
          <w:sz w:val="24"/>
          <w:szCs w:val="24"/>
        </w:rPr>
        <w:t>Thutmosis</w:t>
      </w:r>
      <w:proofErr w:type="spellEnd"/>
      <w:r w:rsidR="00B82BE1" w:rsidRPr="002019A2">
        <w:rPr>
          <w:rFonts w:ascii="Segoe UI Historic" w:hAnsi="Segoe UI Historic" w:cs="Segoe UI Historic"/>
          <w:sz w:val="24"/>
          <w:szCs w:val="24"/>
        </w:rPr>
        <w:t xml:space="preserve"> III</w:t>
      </w:r>
      <w:r w:rsidR="00CA5975" w:rsidRPr="002019A2">
        <w:rPr>
          <w:rFonts w:ascii="Segoe UI Historic" w:hAnsi="Segoe UI Historic" w:cs="Segoe UI Historic"/>
          <w:sz w:val="24"/>
          <w:szCs w:val="24"/>
        </w:rPr>
        <w:t xml:space="preserve"> in the </w:t>
      </w:r>
      <w:r w:rsidR="00CA5975" w:rsidRPr="002019A2">
        <w:rPr>
          <w:rFonts w:ascii="Segoe UI Historic" w:hAnsi="Segoe UI Historic" w:cs="Segoe UI Historic"/>
          <w:sz w:val="24"/>
          <w:szCs w:val="24"/>
        </w:rPr>
        <w:lastRenderedPageBreak/>
        <w:t>early 18</w:t>
      </w:r>
      <w:r w:rsidR="00CA5975" w:rsidRPr="002019A2">
        <w:rPr>
          <w:rFonts w:ascii="Segoe UI Historic" w:hAnsi="Segoe UI Historic" w:cs="Segoe UI Historic"/>
          <w:sz w:val="24"/>
          <w:szCs w:val="24"/>
          <w:vertAlign w:val="superscript"/>
        </w:rPr>
        <w:t>th</w:t>
      </w:r>
      <w:r w:rsidR="00CA5975" w:rsidRPr="002019A2">
        <w:rPr>
          <w:rFonts w:ascii="Segoe UI Historic" w:hAnsi="Segoe UI Historic" w:cs="Segoe UI Historic"/>
          <w:sz w:val="24"/>
          <w:szCs w:val="24"/>
        </w:rPr>
        <w:t xml:space="preserve"> Dynasty</w:t>
      </w:r>
      <w:r w:rsidR="00B82BE1" w:rsidRPr="002019A2">
        <w:rPr>
          <w:rFonts w:ascii="Segoe UI Historic" w:hAnsi="Segoe UI Historic" w:cs="Segoe UI Historic"/>
          <w:sz w:val="24"/>
          <w:szCs w:val="24"/>
        </w:rPr>
        <w:t>,</w:t>
      </w:r>
      <w:r w:rsidR="00CA5975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B82BE1" w:rsidRPr="002019A2">
        <w:rPr>
          <w:rFonts w:ascii="Segoe UI Historic" w:hAnsi="Segoe UI Historic" w:cs="Segoe UI Historic"/>
          <w:sz w:val="24"/>
          <w:szCs w:val="24"/>
        </w:rPr>
        <w:t xml:space="preserve">as well as the increasing use of the </w:t>
      </w:r>
      <w:r w:rsidR="006C65BC" w:rsidRPr="002019A2">
        <w:rPr>
          <w:rFonts w:ascii="Segoe UI Historic" w:hAnsi="Segoe UI Historic" w:cs="Segoe UI Historic"/>
          <w:sz w:val="24"/>
          <w:szCs w:val="24"/>
        </w:rPr>
        <w:t>name of Amun-Re instead of the traditional Amun (</w:t>
      </w:r>
      <w:proofErr w:type="spellStart"/>
      <w:r w:rsidR="00EC2D82" w:rsidRPr="002019A2">
        <w:rPr>
          <w:rFonts w:ascii="Segoe UI Historic" w:hAnsi="Segoe UI Historic" w:cs="Segoe UI Historic"/>
          <w:sz w:val="24"/>
          <w:szCs w:val="24"/>
        </w:rPr>
        <w:t>Alcock</w:t>
      </w:r>
      <w:proofErr w:type="spellEnd"/>
      <w:r w:rsidR="006063E5" w:rsidRPr="002019A2">
        <w:rPr>
          <w:rFonts w:ascii="Segoe UI Historic" w:hAnsi="Segoe UI Historic" w:cs="Segoe UI Historic"/>
          <w:sz w:val="24"/>
          <w:szCs w:val="24"/>
        </w:rPr>
        <w:t xml:space="preserve">, </w:t>
      </w:r>
      <w:r w:rsidR="00BC7C73" w:rsidRPr="002019A2">
        <w:rPr>
          <w:rFonts w:ascii="Segoe UI Historic" w:hAnsi="Segoe UI Historic" w:cs="Segoe UI Historic"/>
          <w:sz w:val="24"/>
          <w:szCs w:val="24"/>
        </w:rPr>
        <w:t>2009</w:t>
      </w:r>
      <w:r w:rsidR="006063E5" w:rsidRPr="002019A2">
        <w:rPr>
          <w:rFonts w:ascii="Segoe UI Historic" w:hAnsi="Segoe UI Historic" w:cs="Segoe UI Historic"/>
          <w:sz w:val="24"/>
          <w:szCs w:val="24"/>
        </w:rPr>
        <w:t>: 102).</w:t>
      </w:r>
      <w:r w:rsidR="00430A3B" w:rsidRPr="002019A2">
        <w:rPr>
          <w:rFonts w:ascii="Segoe UI Historic" w:hAnsi="Segoe UI Historic" w:cs="Segoe UI Historic"/>
          <w:sz w:val="24"/>
          <w:szCs w:val="24"/>
        </w:rPr>
        <w:t xml:space="preserve"> </w:t>
      </w:r>
    </w:p>
    <w:p w14:paraId="38ED8809" w14:textId="77777777" w:rsidR="00013C83" w:rsidRPr="002019A2" w:rsidRDefault="00013C83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54B6DD2A" w14:textId="0587FB52" w:rsidR="14C2CED1" w:rsidRPr="002019A2" w:rsidRDefault="00013C83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 xml:space="preserve">Akhenaten is also </w:t>
      </w:r>
      <w:r w:rsidR="00665905" w:rsidRPr="002019A2">
        <w:rPr>
          <w:rFonts w:ascii="Segoe UI Historic" w:hAnsi="Segoe UI Historic" w:cs="Segoe UI Historic"/>
          <w:sz w:val="24"/>
          <w:szCs w:val="24"/>
        </w:rPr>
        <w:t>portrayed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as a “misshapen pharaoh” by Brier, which he argues as a reason for his lack of representation during his father’s reign – he was ill and deformed, and potentially had </w:t>
      </w: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Marfan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 syndrome</w:t>
      </w:r>
      <w:r w:rsidR="00621C8F" w:rsidRPr="002019A2">
        <w:rPr>
          <w:rFonts w:ascii="Segoe UI Historic" w:hAnsi="Segoe UI Historic" w:cs="Segoe UI Historic"/>
          <w:sz w:val="24"/>
          <w:szCs w:val="24"/>
        </w:rPr>
        <w:t xml:space="preserve">. </w:t>
      </w:r>
      <w:r w:rsidR="005A77A5" w:rsidRPr="002019A2">
        <w:rPr>
          <w:rFonts w:ascii="Segoe UI Historic" w:hAnsi="Segoe UI Historic" w:cs="Segoe UI Historic"/>
          <w:sz w:val="24"/>
          <w:szCs w:val="24"/>
        </w:rPr>
        <w:t xml:space="preserve">He further </w:t>
      </w:r>
      <w:r w:rsidR="003B0DB1" w:rsidRPr="002019A2">
        <w:rPr>
          <w:rFonts w:ascii="Segoe UI Historic" w:hAnsi="Segoe UI Historic" w:cs="Segoe UI Historic"/>
          <w:sz w:val="24"/>
          <w:szCs w:val="24"/>
        </w:rPr>
        <w:t>supports this argument with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the art style use</w:t>
      </w:r>
      <w:r w:rsidR="00665905" w:rsidRPr="002019A2">
        <w:rPr>
          <w:rFonts w:ascii="Segoe UI Historic" w:hAnsi="Segoe UI Historic" w:cs="Segoe UI Historic"/>
          <w:sz w:val="24"/>
          <w:szCs w:val="24"/>
        </w:rPr>
        <w:t>d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during the Amarna Period, which differs to the traditional style. </w:t>
      </w:r>
      <w:r w:rsidR="00DD3E50" w:rsidRPr="002019A2">
        <w:rPr>
          <w:rFonts w:ascii="Segoe UI Historic" w:hAnsi="Segoe UI Historic" w:cs="Segoe UI Historic"/>
          <w:sz w:val="24"/>
          <w:szCs w:val="24"/>
        </w:rPr>
        <w:t>However</w:t>
      </w:r>
      <w:r w:rsidR="00356830" w:rsidRPr="002019A2">
        <w:rPr>
          <w:rFonts w:ascii="Segoe UI Historic" w:hAnsi="Segoe UI Historic" w:cs="Segoe UI Historic"/>
          <w:sz w:val="24"/>
          <w:szCs w:val="24"/>
        </w:rPr>
        <w:t>,</w:t>
      </w:r>
      <w:r w:rsidR="00DD3E50" w:rsidRPr="002019A2">
        <w:rPr>
          <w:rFonts w:ascii="Segoe UI Historic" w:hAnsi="Segoe UI Historic" w:cs="Segoe UI Historic"/>
          <w:sz w:val="24"/>
          <w:szCs w:val="24"/>
        </w:rPr>
        <w:t xml:space="preserve"> a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s the </w:t>
      </w:r>
      <w:r w:rsidR="00A2633B" w:rsidRPr="002019A2">
        <w:rPr>
          <w:rFonts w:ascii="Segoe UI Historic" w:hAnsi="Segoe UI Historic" w:cs="Segoe UI Historic"/>
          <w:sz w:val="24"/>
          <w:szCs w:val="24"/>
        </w:rPr>
        <w:t xml:space="preserve">alleged 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body of Akhenaten has yet to be identified - or </w:t>
      </w:r>
      <w:r w:rsidR="00F236EE" w:rsidRPr="002019A2">
        <w:rPr>
          <w:rFonts w:ascii="Segoe UI Historic" w:hAnsi="Segoe UI Historic" w:cs="Segoe UI Historic"/>
          <w:sz w:val="24"/>
          <w:szCs w:val="24"/>
        </w:rPr>
        <w:t>accepted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to be his body</w:t>
      </w:r>
      <w:r w:rsidR="002E27EB" w:rsidRPr="002019A2">
        <w:rPr>
          <w:rFonts w:ascii="Segoe UI Historic" w:hAnsi="Segoe UI Historic" w:cs="Segoe UI Historic"/>
          <w:sz w:val="24"/>
          <w:szCs w:val="24"/>
        </w:rPr>
        <w:t xml:space="preserve"> (Kemp, </w:t>
      </w:r>
      <w:r w:rsidR="007C3FBF" w:rsidRPr="002019A2">
        <w:rPr>
          <w:rFonts w:ascii="Segoe UI Historic" w:hAnsi="Segoe UI Historic" w:cs="Segoe UI Historic"/>
          <w:sz w:val="24"/>
          <w:szCs w:val="24"/>
        </w:rPr>
        <w:t>2012: 14)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– it is impossible to argue that he had deformities or issues such as </w:t>
      </w: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Marfan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 syndrome, so this argument is inconclusive. </w:t>
      </w:r>
      <w:r w:rsidR="00BF3B79" w:rsidRPr="002019A2">
        <w:rPr>
          <w:rFonts w:ascii="Segoe UI Historic" w:hAnsi="Segoe UI Historic" w:cs="Segoe UI Historic"/>
          <w:sz w:val="24"/>
          <w:szCs w:val="24"/>
        </w:rPr>
        <w:t>Furthermore</w:t>
      </w:r>
      <w:r w:rsidR="00DF0CFC" w:rsidRPr="002019A2">
        <w:rPr>
          <w:rFonts w:ascii="Segoe UI Historic" w:hAnsi="Segoe UI Historic" w:cs="Segoe UI Historic"/>
          <w:sz w:val="24"/>
          <w:szCs w:val="24"/>
        </w:rPr>
        <w:t xml:space="preserve">, </w:t>
      </w:r>
      <w:r w:rsidR="001806D9" w:rsidRPr="002019A2">
        <w:rPr>
          <w:rFonts w:ascii="Segoe UI Historic" w:hAnsi="Segoe UI Historic" w:cs="Segoe UI Historic"/>
          <w:sz w:val="24"/>
          <w:szCs w:val="24"/>
        </w:rPr>
        <w:t xml:space="preserve">Amarna style art cannot be used to definitively </w:t>
      </w:r>
      <w:r w:rsidR="00C121F9" w:rsidRPr="002019A2">
        <w:rPr>
          <w:rFonts w:ascii="Segoe UI Historic" w:hAnsi="Segoe UI Historic" w:cs="Segoe UI Historic"/>
          <w:sz w:val="24"/>
          <w:szCs w:val="24"/>
        </w:rPr>
        <w:t xml:space="preserve">conclude </w:t>
      </w:r>
      <w:r w:rsidR="003005ED" w:rsidRPr="002019A2">
        <w:rPr>
          <w:rFonts w:ascii="Segoe UI Historic" w:hAnsi="Segoe UI Historic" w:cs="Segoe UI Historic"/>
          <w:sz w:val="24"/>
          <w:szCs w:val="24"/>
        </w:rPr>
        <w:t xml:space="preserve">any </w:t>
      </w:r>
      <w:r w:rsidR="005A3051" w:rsidRPr="002019A2">
        <w:rPr>
          <w:rFonts w:ascii="Segoe UI Historic" w:hAnsi="Segoe UI Historic" w:cs="Segoe UI Historic"/>
          <w:sz w:val="24"/>
          <w:szCs w:val="24"/>
        </w:rPr>
        <w:t>issues</w:t>
      </w:r>
      <w:r w:rsidR="00730E09" w:rsidRPr="002019A2">
        <w:rPr>
          <w:rFonts w:ascii="Segoe UI Historic" w:hAnsi="Segoe UI Historic" w:cs="Segoe UI Historic"/>
          <w:sz w:val="24"/>
          <w:szCs w:val="24"/>
        </w:rPr>
        <w:t xml:space="preserve"> or disabilities</w:t>
      </w:r>
      <w:r w:rsidR="005A3051" w:rsidRPr="002019A2">
        <w:rPr>
          <w:rFonts w:ascii="Segoe UI Historic" w:hAnsi="Segoe UI Historic" w:cs="Segoe UI Historic"/>
          <w:sz w:val="24"/>
          <w:szCs w:val="24"/>
        </w:rPr>
        <w:t xml:space="preserve"> with Akhenaten</w:t>
      </w:r>
      <w:r w:rsidR="00730E09" w:rsidRPr="002019A2">
        <w:rPr>
          <w:rFonts w:ascii="Segoe UI Historic" w:hAnsi="Segoe UI Historic" w:cs="Segoe UI Historic"/>
          <w:sz w:val="24"/>
          <w:szCs w:val="24"/>
        </w:rPr>
        <w:t xml:space="preserve">. </w:t>
      </w:r>
      <w:r w:rsidR="000325DE" w:rsidRPr="002019A2">
        <w:rPr>
          <w:rFonts w:ascii="Segoe UI Historic" w:hAnsi="Segoe UI Historic" w:cs="Segoe UI Historic"/>
          <w:sz w:val="24"/>
          <w:szCs w:val="24"/>
        </w:rPr>
        <w:t xml:space="preserve">The style used during the Amarna Period may have been a result of the desire to portray the pharaoh and his family in the similar style of the androgynous god, the Aten, particularly as Akhenaten deemed himself and Nefertiti as a part of the divine creator triad with the Aten at the head (Robins, 1997: 150; </w:t>
      </w:r>
      <w:r w:rsidR="002801D5" w:rsidRPr="002019A2">
        <w:rPr>
          <w:rFonts w:ascii="Segoe UI Historic" w:hAnsi="Segoe UI Historic" w:cs="Segoe UI Historic"/>
          <w:sz w:val="24"/>
          <w:szCs w:val="24"/>
        </w:rPr>
        <w:t>Zinn, 2016: 260</w:t>
      </w:r>
      <w:r w:rsidR="000325DE" w:rsidRPr="002019A2">
        <w:rPr>
          <w:rFonts w:ascii="Segoe UI Historic" w:hAnsi="Segoe UI Historic" w:cs="Segoe UI Historic"/>
          <w:sz w:val="24"/>
          <w:szCs w:val="24"/>
        </w:rPr>
        <w:t>)</w:t>
      </w:r>
      <w:r w:rsidR="00550BA0" w:rsidRPr="002019A2">
        <w:rPr>
          <w:rFonts w:ascii="Segoe UI Historic" w:hAnsi="Segoe UI Historic" w:cs="Segoe UI Historic"/>
          <w:sz w:val="24"/>
          <w:szCs w:val="24"/>
        </w:rPr>
        <w:t>.</w:t>
      </w:r>
      <w:r w:rsidR="000325DE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550BA0" w:rsidRPr="002019A2">
        <w:rPr>
          <w:rFonts w:ascii="Segoe UI Historic" w:hAnsi="Segoe UI Historic" w:cs="Segoe UI Historic"/>
          <w:sz w:val="24"/>
          <w:szCs w:val="24"/>
        </w:rPr>
        <w:t>T</w:t>
      </w:r>
      <w:r w:rsidR="000325DE" w:rsidRPr="002019A2">
        <w:rPr>
          <w:rFonts w:ascii="Segoe UI Historic" w:hAnsi="Segoe UI Historic" w:cs="Segoe UI Historic"/>
          <w:sz w:val="24"/>
          <w:szCs w:val="24"/>
        </w:rPr>
        <w:t xml:space="preserve">he feminine aspects of the pharaoh would also encompass the idea of the pharaoh as the </w:t>
      </w:r>
      <w:r w:rsidR="004C6365" w:rsidRPr="002019A2">
        <w:rPr>
          <w:rFonts w:ascii="Segoe UI Historic" w:hAnsi="Segoe UI Historic" w:cs="Segoe UI Historic"/>
          <w:sz w:val="24"/>
          <w:szCs w:val="24"/>
        </w:rPr>
        <w:t>‘divine provider of fertility and prosperity to Egypt’ (</w:t>
      </w:r>
      <w:proofErr w:type="spellStart"/>
      <w:r w:rsidR="004C6365" w:rsidRPr="002019A2">
        <w:rPr>
          <w:rFonts w:ascii="Segoe UI Historic" w:hAnsi="Segoe UI Historic" w:cs="Segoe UI Historic"/>
          <w:sz w:val="24"/>
          <w:szCs w:val="24"/>
        </w:rPr>
        <w:t>Laboury</w:t>
      </w:r>
      <w:proofErr w:type="spellEnd"/>
      <w:r w:rsidR="004C6365" w:rsidRPr="002019A2">
        <w:rPr>
          <w:rFonts w:ascii="Segoe UI Historic" w:hAnsi="Segoe UI Historic" w:cs="Segoe UI Historic"/>
          <w:sz w:val="24"/>
          <w:szCs w:val="24"/>
        </w:rPr>
        <w:t>, 2011: 11)</w:t>
      </w:r>
      <w:r w:rsidR="000325DE" w:rsidRPr="002019A2">
        <w:rPr>
          <w:rFonts w:ascii="Segoe UI Historic" w:hAnsi="Segoe UI Historic" w:cs="Segoe UI Historic"/>
          <w:sz w:val="24"/>
          <w:szCs w:val="24"/>
        </w:rPr>
        <w:t>.</w:t>
      </w:r>
    </w:p>
    <w:p w14:paraId="727D94A7" w14:textId="77777777" w:rsidR="00A13CB4" w:rsidRPr="002019A2" w:rsidRDefault="00A13CB4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295B6272" w14:textId="2D3424D5" w:rsidR="14C2CED1" w:rsidRPr="002019A2" w:rsidRDefault="00A13CB4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>T</w:t>
      </w:r>
      <w:r w:rsidR="169C8EE5" w:rsidRPr="002019A2">
        <w:rPr>
          <w:rFonts w:ascii="Segoe UI Historic" w:hAnsi="Segoe UI Historic" w:cs="Segoe UI Historic"/>
          <w:sz w:val="24"/>
          <w:szCs w:val="24"/>
        </w:rPr>
        <w:t>he information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 within this documentary</w:t>
      </w:r>
      <w:r w:rsidR="169C8EE5" w:rsidRPr="002019A2">
        <w:rPr>
          <w:rFonts w:ascii="Segoe UI Historic" w:hAnsi="Segoe UI Historic" w:cs="Segoe UI Historic"/>
          <w:sz w:val="24"/>
          <w:szCs w:val="24"/>
        </w:rPr>
        <w:t xml:space="preserve"> is </w:t>
      </w:r>
      <w:r w:rsidR="00895FA7" w:rsidRPr="002019A2">
        <w:rPr>
          <w:rFonts w:ascii="Segoe UI Historic" w:hAnsi="Segoe UI Historic" w:cs="Segoe UI Historic"/>
          <w:sz w:val="24"/>
          <w:szCs w:val="24"/>
        </w:rPr>
        <w:t xml:space="preserve">generally </w:t>
      </w:r>
      <w:r w:rsidR="169C8EE5" w:rsidRPr="002019A2">
        <w:rPr>
          <w:rFonts w:ascii="Segoe UI Historic" w:hAnsi="Segoe UI Historic" w:cs="Segoe UI Historic"/>
          <w:sz w:val="24"/>
          <w:szCs w:val="24"/>
        </w:rPr>
        <w:t>either incorrect or out of date. One such example of outdated information would be the death/disappearance of Nefertiti in the 14</w:t>
      </w:r>
      <w:r w:rsidR="169C8EE5" w:rsidRPr="002019A2">
        <w:rPr>
          <w:rFonts w:ascii="Segoe UI Historic" w:hAnsi="Segoe UI Historic" w:cs="Segoe UI Historic"/>
          <w:sz w:val="24"/>
          <w:szCs w:val="24"/>
          <w:vertAlign w:val="superscript"/>
        </w:rPr>
        <w:t>th</w:t>
      </w:r>
      <w:r w:rsidR="169C8EE5" w:rsidRPr="002019A2">
        <w:rPr>
          <w:rFonts w:ascii="Segoe UI Historic" w:hAnsi="Segoe UI Historic" w:cs="Segoe UI Historic"/>
          <w:sz w:val="24"/>
          <w:szCs w:val="24"/>
        </w:rPr>
        <w:t xml:space="preserve"> regnal year of Akhenaten; since the release of this documentary, a hieratic inscription at the </w:t>
      </w:r>
      <w:r w:rsidR="00975C9C" w:rsidRPr="002019A2">
        <w:rPr>
          <w:rFonts w:ascii="Segoe UI Historic" w:hAnsi="Segoe UI Historic" w:cs="Segoe UI Historic"/>
          <w:sz w:val="24"/>
          <w:szCs w:val="24"/>
        </w:rPr>
        <w:t xml:space="preserve">Dayr </w:t>
      </w:r>
      <w:r w:rsidR="169C8EE5" w:rsidRPr="002019A2">
        <w:rPr>
          <w:rFonts w:ascii="Segoe UI Historic" w:hAnsi="Segoe UI Historic" w:cs="Segoe UI Historic"/>
          <w:sz w:val="24"/>
          <w:szCs w:val="24"/>
        </w:rPr>
        <w:t xml:space="preserve">Abu </w:t>
      </w:r>
      <w:proofErr w:type="spellStart"/>
      <w:r w:rsidR="169C8EE5" w:rsidRPr="002019A2">
        <w:rPr>
          <w:rFonts w:ascii="Segoe UI Historic" w:hAnsi="Segoe UI Historic" w:cs="Segoe UI Historic"/>
          <w:sz w:val="24"/>
          <w:szCs w:val="24"/>
        </w:rPr>
        <w:t>Hinnis</w:t>
      </w:r>
      <w:proofErr w:type="spellEnd"/>
      <w:r w:rsidR="169C8EE5" w:rsidRPr="002019A2">
        <w:rPr>
          <w:rFonts w:ascii="Segoe UI Historic" w:hAnsi="Segoe UI Historic" w:cs="Segoe UI Historic"/>
          <w:sz w:val="24"/>
          <w:szCs w:val="24"/>
        </w:rPr>
        <w:t xml:space="preserve"> quarry, 10km </w:t>
      </w:r>
      <w:r w:rsidR="00975C9C" w:rsidRPr="002019A2">
        <w:rPr>
          <w:rFonts w:ascii="Segoe UI Historic" w:hAnsi="Segoe UI Historic" w:cs="Segoe UI Historic"/>
          <w:sz w:val="24"/>
          <w:szCs w:val="24"/>
        </w:rPr>
        <w:t>north</w:t>
      </w:r>
      <w:r w:rsidR="169C8EE5" w:rsidRPr="002019A2">
        <w:rPr>
          <w:rFonts w:ascii="Segoe UI Historic" w:hAnsi="Segoe UI Historic" w:cs="Segoe UI Historic"/>
          <w:sz w:val="24"/>
          <w:szCs w:val="24"/>
        </w:rPr>
        <w:t xml:space="preserve"> of </w:t>
      </w:r>
      <w:proofErr w:type="spellStart"/>
      <w:r w:rsidR="169C8EE5" w:rsidRPr="002019A2">
        <w:rPr>
          <w:rFonts w:ascii="Segoe UI Historic" w:hAnsi="Segoe UI Historic" w:cs="Segoe UI Historic"/>
          <w:sz w:val="24"/>
          <w:szCs w:val="24"/>
        </w:rPr>
        <w:t>Akhet</w:t>
      </w:r>
      <w:proofErr w:type="spellEnd"/>
      <w:r w:rsidR="169C8EE5" w:rsidRPr="002019A2">
        <w:rPr>
          <w:rFonts w:ascii="Segoe UI Historic" w:hAnsi="Segoe UI Historic" w:cs="Segoe UI Historic"/>
          <w:sz w:val="24"/>
          <w:szCs w:val="24"/>
        </w:rPr>
        <w:t>-Aten (Akhenaten’s new capital city), provides evidence for the presence of Nefertiti in his 16</w:t>
      </w:r>
      <w:r w:rsidR="169C8EE5" w:rsidRPr="002019A2">
        <w:rPr>
          <w:rFonts w:ascii="Segoe UI Historic" w:hAnsi="Segoe UI Historic" w:cs="Segoe UI Historic"/>
          <w:sz w:val="24"/>
          <w:szCs w:val="24"/>
          <w:vertAlign w:val="superscript"/>
        </w:rPr>
        <w:t>th</w:t>
      </w:r>
      <w:r w:rsidR="169C8EE5" w:rsidRPr="002019A2">
        <w:rPr>
          <w:rFonts w:ascii="Segoe UI Historic" w:hAnsi="Segoe UI Historic" w:cs="Segoe UI Historic"/>
          <w:sz w:val="24"/>
          <w:szCs w:val="24"/>
        </w:rPr>
        <w:t xml:space="preserve"> regnal year (Zinn, 2016: </w:t>
      </w:r>
      <w:r w:rsidR="00A37098" w:rsidRPr="002019A2">
        <w:rPr>
          <w:rFonts w:ascii="Segoe UI Historic" w:hAnsi="Segoe UI Historic" w:cs="Segoe UI Historic"/>
          <w:sz w:val="24"/>
          <w:szCs w:val="24"/>
        </w:rPr>
        <w:t>260</w:t>
      </w:r>
      <w:r w:rsidR="00975C9C" w:rsidRPr="002019A2">
        <w:rPr>
          <w:rFonts w:ascii="Segoe UI Historic" w:hAnsi="Segoe UI Historic" w:cs="Segoe UI Historic"/>
          <w:sz w:val="24"/>
          <w:szCs w:val="24"/>
        </w:rPr>
        <w:t xml:space="preserve">; van der </w:t>
      </w:r>
      <w:proofErr w:type="spellStart"/>
      <w:r w:rsidR="00975C9C" w:rsidRPr="002019A2">
        <w:rPr>
          <w:rFonts w:ascii="Segoe UI Historic" w:hAnsi="Segoe UI Historic" w:cs="Segoe UI Historic"/>
          <w:sz w:val="24"/>
          <w:szCs w:val="24"/>
        </w:rPr>
        <w:t>Perre</w:t>
      </w:r>
      <w:proofErr w:type="spellEnd"/>
      <w:r w:rsidR="00975C9C" w:rsidRPr="002019A2">
        <w:rPr>
          <w:rFonts w:ascii="Segoe UI Historic" w:hAnsi="Segoe UI Historic" w:cs="Segoe UI Historic"/>
          <w:sz w:val="24"/>
          <w:szCs w:val="24"/>
        </w:rPr>
        <w:t>, 2014: 67-77</w:t>
      </w:r>
      <w:r w:rsidR="169C8EE5" w:rsidRPr="002019A2">
        <w:rPr>
          <w:rFonts w:ascii="Segoe UI Historic" w:hAnsi="Segoe UI Historic" w:cs="Segoe UI Historic"/>
          <w:sz w:val="24"/>
          <w:szCs w:val="24"/>
        </w:rPr>
        <w:t>).</w:t>
      </w:r>
      <w:r w:rsidR="00895FA7"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r w:rsidR="00895FA7" w:rsidRPr="002019A2">
        <w:rPr>
          <w:rFonts w:ascii="Segoe UI Historic" w:hAnsi="Segoe UI Historic" w:cs="Segoe UI Historic"/>
          <w:sz w:val="24"/>
          <w:szCs w:val="24"/>
        </w:rPr>
        <w:t>In conclusion</w:t>
      </w:r>
      <w:r w:rsidR="00313EFC" w:rsidRPr="002019A2">
        <w:rPr>
          <w:rFonts w:ascii="Segoe UI Historic" w:hAnsi="Segoe UI Historic" w:cs="Segoe UI Historic"/>
          <w:sz w:val="24"/>
          <w:szCs w:val="24"/>
        </w:rPr>
        <w:t>,</w:t>
      </w:r>
      <w:r w:rsidR="00895FA7" w:rsidRPr="002019A2">
        <w:rPr>
          <w:rFonts w:ascii="Segoe UI Historic" w:hAnsi="Segoe UI Historic" w:cs="Segoe UI Historic"/>
          <w:sz w:val="24"/>
          <w:szCs w:val="24"/>
        </w:rPr>
        <w:t xml:space="preserve"> this documentary ought to be re-evaluated and possibly re-filmed</w:t>
      </w:r>
      <w:r w:rsidR="00304200" w:rsidRPr="002019A2">
        <w:rPr>
          <w:rFonts w:ascii="Segoe UI Historic" w:hAnsi="Segoe UI Historic" w:cs="Segoe UI Historic"/>
          <w:sz w:val="24"/>
          <w:szCs w:val="24"/>
        </w:rPr>
        <w:t xml:space="preserve"> with correct information, as well as a less bias approach to portray Akhenaten</w:t>
      </w:r>
      <w:r w:rsidR="00704C71" w:rsidRPr="002019A2">
        <w:rPr>
          <w:rFonts w:ascii="Segoe UI Historic" w:hAnsi="Segoe UI Historic" w:cs="Segoe UI Historic"/>
          <w:sz w:val="24"/>
          <w:szCs w:val="24"/>
        </w:rPr>
        <w:t xml:space="preserve"> in a negative light.</w:t>
      </w:r>
    </w:p>
    <w:p w14:paraId="6F3B4BA3" w14:textId="546BA8DE" w:rsidR="169C8EE5" w:rsidRPr="002019A2" w:rsidRDefault="169C8EE5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br w:type="page"/>
      </w:r>
    </w:p>
    <w:p w14:paraId="640C4CE1" w14:textId="5FFFFA22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8"/>
          <w:szCs w:val="24"/>
          <w:u w:val="single"/>
        </w:rPr>
      </w:pPr>
      <w:r w:rsidRPr="002019A2">
        <w:rPr>
          <w:rFonts w:ascii="Segoe UI Historic" w:hAnsi="Segoe UI Historic" w:cs="Segoe UI Historic"/>
          <w:sz w:val="28"/>
          <w:szCs w:val="24"/>
          <w:u w:val="single"/>
        </w:rPr>
        <w:lastRenderedPageBreak/>
        <w:t>Bibliography</w:t>
      </w:r>
    </w:p>
    <w:p w14:paraId="3EE2842F" w14:textId="0B61D1E9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6CBC1CBE" w14:textId="77777777" w:rsidR="00EC2D82" w:rsidRPr="002019A2" w:rsidRDefault="00EC2D82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Alcock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, A. 2009. </w:t>
      </w:r>
      <w:r w:rsidRPr="002019A2">
        <w:rPr>
          <w:rFonts w:ascii="Segoe UI Historic" w:hAnsi="Segoe UI Historic" w:cs="Segoe UI Historic"/>
          <w:i/>
          <w:sz w:val="24"/>
          <w:szCs w:val="24"/>
        </w:rPr>
        <w:t>Egyptian Solar Religion in the New Kingdom: Re, Amun and the Crisis of Polytheism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. Translated by Jan </w:t>
      </w: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Assman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>. London: Routledge.</w:t>
      </w:r>
    </w:p>
    <w:p w14:paraId="33BCCAC8" w14:textId="77777777" w:rsidR="00EC2D82" w:rsidRPr="002019A2" w:rsidRDefault="00EC2D82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508497B2" w14:textId="581EE179" w:rsidR="002C1DAE" w:rsidRPr="002019A2" w:rsidRDefault="002C1DAE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 xml:space="preserve">Allen, J.P. 1996. ‘The Religion of Amarna’. In Arnold, D. </w:t>
      </w:r>
      <w:r w:rsidRPr="002019A2">
        <w:rPr>
          <w:rFonts w:ascii="Segoe UI Historic" w:hAnsi="Segoe UI Historic" w:cs="Segoe UI Historic"/>
          <w:i/>
          <w:sz w:val="24"/>
          <w:szCs w:val="24"/>
        </w:rPr>
        <w:t>The Royal Women of Amarna: Images of Beauty from Ancient Egypt</w:t>
      </w:r>
      <w:r w:rsidRPr="002019A2">
        <w:rPr>
          <w:rFonts w:ascii="Segoe UI Historic" w:hAnsi="Segoe UI Historic" w:cs="Segoe UI Historic"/>
          <w:sz w:val="24"/>
          <w:szCs w:val="24"/>
        </w:rPr>
        <w:t>. New York: Metropolitan Museum of Art.</w:t>
      </w:r>
    </w:p>
    <w:p w14:paraId="4DAD1B73" w14:textId="77777777" w:rsidR="008B6DD2" w:rsidRPr="002019A2" w:rsidRDefault="008B6DD2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3790AD84" w14:textId="445D75FF" w:rsidR="002C1DAE" w:rsidRPr="002019A2" w:rsidRDefault="002C1DAE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 xml:space="preserve">Bell, L. 2005. ‘The New Kingdom “Divine” Temple: The Example of Luxor.’ In Shafer, B.E. (ed.) </w:t>
      </w:r>
      <w:r w:rsidRPr="002019A2">
        <w:rPr>
          <w:rFonts w:ascii="Segoe UI Historic" w:hAnsi="Segoe UI Historic" w:cs="Segoe UI Historic"/>
          <w:i/>
          <w:sz w:val="24"/>
          <w:szCs w:val="24"/>
        </w:rPr>
        <w:t xml:space="preserve">Temples of Ancient Egypt. </w:t>
      </w:r>
      <w:r w:rsidRPr="002019A2">
        <w:rPr>
          <w:rFonts w:ascii="Segoe UI Historic" w:hAnsi="Segoe UI Historic" w:cs="Segoe UI Historic"/>
          <w:sz w:val="24"/>
          <w:szCs w:val="24"/>
        </w:rPr>
        <w:t>London: I.B. Tauris &amp; Co. Ltd.</w:t>
      </w:r>
    </w:p>
    <w:p w14:paraId="4025D328" w14:textId="4CC13B40" w:rsidR="00271DF7" w:rsidRPr="002019A2" w:rsidRDefault="00271DF7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2C0AE483" w14:textId="04698FBD" w:rsidR="007C3FBF" w:rsidRPr="002019A2" w:rsidRDefault="007C3FBF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 xml:space="preserve">Kemp, B. 2012. </w:t>
      </w:r>
      <w:r w:rsidRPr="002019A2">
        <w:rPr>
          <w:rFonts w:ascii="Segoe UI Historic" w:hAnsi="Segoe UI Historic" w:cs="Segoe UI Historic"/>
          <w:i/>
          <w:sz w:val="24"/>
          <w:szCs w:val="24"/>
        </w:rPr>
        <w:t xml:space="preserve">The City of Akhenaten and Nefertiti: Amarna and Its </w:t>
      </w:r>
      <w:r w:rsidR="00005F53" w:rsidRPr="002019A2">
        <w:rPr>
          <w:rFonts w:ascii="Segoe UI Historic" w:hAnsi="Segoe UI Historic" w:cs="Segoe UI Historic"/>
          <w:i/>
          <w:sz w:val="24"/>
          <w:szCs w:val="24"/>
        </w:rPr>
        <w:t>People</w:t>
      </w:r>
      <w:r w:rsidR="00005F53" w:rsidRPr="002019A2">
        <w:rPr>
          <w:rFonts w:ascii="Segoe UI Historic" w:hAnsi="Segoe UI Historic" w:cs="Segoe UI Historic"/>
          <w:sz w:val="24"/>
          <w:szCs w:val="24"/>
        </w:rPr>
        <w:t>. London: Thames and Hudson.</w:t>
      </w:r>
    </w:p>
    <w:p w14:paraId="0032E17C" w14:textId="77777777" w:rsidR="007C3FBF" w:rsidRPr="002019A2" w:rsidRDefault="007C3FBF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210BE7D1" w14:textId="1ED56089" w:rsidR="00096D16" w:rsidRPr="002019A2" w:rsidRDefault="00096D16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Kozloff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, A.P. 2012. </w:t>
      </w:r>
      <w:r w:rsidRPr="002019A2">
        <w:rPr>
          <w:rFonts w:ascii="Segoe UI Historic" w:hAnsi="Segoe UI Historic" w:cs="Segoe UI Historic"/>
          <w:i/>
          <w:sz w:val="24"/>
          <w:szCs w:val="24"/>
        </w:rPr>
        <w:t>Amenhotep III: Egypt’s Radiant Pharaoh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. Cambridge: </w:t>
      </w:r>
      <w:r w:rsidR="00E71373" w:rsidRPr="002019A2">
        <w:rPr>
          <w:rFonts w:ascii="Segoe UI Historic" w:hAnsi="Segoe UI Historic" w:cs="Segoe UI Historic"/>
          <w:sz w:val="24"/>
          <w:szCs w:val="24"/>
        </w:rPr>
        <w:t>University Press.</w:t>
      </w:r>
    </w:p>
    <w:p w14:paraId="1BF72056" w14:textId="77777777" w:rsidR="00096D16" w:rsidRPr="002019A2" w:rsidRDefault="00096D16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33B48A5A" w14:textId="5089219A" w:rsidR="004C6365" w:rsidRPr="002019A2" w:rsidRDefault="004C6365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Laboury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, D. 2011. ‘Amarna Art’. </w:t>
      </w:r>
      <w:r w:rsidRPr="002019A2">
        <w:rPr>
          <w:rFonts w:ascii="Segoe UI Historic" w:hAnsi="Segoe UI Historic" w:cs="Segoe UI Historic"/>
          <w:i/>
          <w:sz w:val="24"/>
          <w:szCs w:val="24"/>
        </w:rPr>
        <w:t>UCLA Encyclopaedia of Egyptology</w:t>
      </w:r>
      <w:r w:rsidRPr="002019A2">
        <w:rPr>
          <w:rFonts w:ascii="Segoe UI Historic" w:hAnsi="Segoe UI Historic" w:cs="Segoe UI Historic"/>
          <w:sz w:val="24"/>
          <w:szCs w:val="24"/>
        </w:rPr>
        <w:t xml:space="preserve">. </w:t>
      </w:r>
    </w:p>
    <w:p w14:paraId="11CF8B47" w14:textId="518BC049" w:rsidR="004C6365" w:rsidRPr="002019A2" w:rsidRDefault="004C6365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795C8902" w14:textId="78E898F9" w:rsidR="00FC7F06" w:rsidRPr="002019A2" w:rsidRDefault="00FC7F06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 xml:space="preserve">Robins, G. 1997. </w:t>
      </w:r>
      <w:r w:rsidRPr="002019A2">
        <w:rPr>
          <w:rFonts w:ascii="Segoe UI Historic" w:hAnsi="Segoe UI Historic" w:cs="Segoe UI Historic"/>
          <w:i/>
          <w:sz w:val="24"/>
          <w:szCs w:val="24"/>
        </w:rPr>
        <w:t>The Art of Ancient Egypt</w:t>
      </w:r>
      <w:r w:rsidRPr="002019A2">
        <w:rPr>
          <w:rFonts w:ascii="Segoe UI Historic" w:hAnsi="Segoe UI Historic" w:cs="Segoe UI Historic"/>
          <w:sz w:val="24"/>
          <w:szCs w:val="24"/>
        </w:rPr>
        <w:t>. Massachusetts: Harvard University Press.</w:t>
      </w:r>
    </w:p>
    <w:p w14:paraId="3753A914" w14:textId="77777777" w:rsidR="00FC7F06" w:rsidRPr="002019A2" w:rsidRDefault="00FC7F06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45AAD0C2" w14:textId="03725A8D" w:rsidR="00B839BF" w:rsidRPr="002019A2" w:rsidRDefault="00B839BF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 xml:space="preserve">Van der </w:t>
      </w: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Perre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, A. 2014. ‘The Year 16 graffito of Akhenaten in Dayr </w:t>
      </w: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Ab</w:t>
      </w:r>
      <w:r w:rsidRPr="002019A2">
        <w:rPr>
          <w:rFonts w:ascii="Calibri" w:hAnsi="Calibri" w:cs="Calibri"/>
          <w:sz w:val="24"/>
          <w:szCs w:val="24"/>
        </w:rPr>
        <w:t>ū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 </w:t>
      </w:r>
      <w:proofErr w:type="spellStart"/>
      <w:r w:rsidRPr="002019A2">
        <w:rPr>
          <w:rFonts w:ascii="Calibri" w:hAnsi="Calibri" w:cs="Calibri"/>
          <w:sz w:val="24"/>
          <w:szCs w:val="24"/>
        </w:rPr>
        <w:t>Ḥ</w:t>
      </w:r>
      <w:r w:rsidRPr="002019A2">
        <w:rPr>
          <w:rFonts w:ascii="Segoe UI Historic" w:hAnsi="Segoe UI Historic" w:cs="Segoe UI Historic"/>
          <w:sz w:val="24"/>
          <w:szCs w:val="24"/>
        </w:rPr>
        <w:t>innis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. A Contribution to the Study of the Later Years of Nefertiti’. </w:t>
      </w:r>
      <w:r w:rsidRPr="002019A2">
        <w:rPr>
          <w:rFonts w:ascii="Segoe UI Historic" w:hAnsi="Segoe UI Historic" w:cs="Segoe UI Historic"/>
          <w:i/>
          <w:sz w:val="24"/>
          <w:szCs w:val="24"/>
        </w:rPr>
        <w:t>Journal of Egyptian History</w:t>
      </w:r>
      <w:r w:rsidRPr="002019A2">
        <w:rPr>
          <w:rFonts w:ascii="Segoe UI Historic" w:hAnsi="Segoe UI Historic" w:cs="Segoe UI Historic"/>
          <w:sz w:val="24"/>
          <w:szCs w:val="24"/>
        </w:rPr>
        <w:t>, Vol. 7, pp. 67-108.</w:t>
      </w:r>
    </w:p>
    <w:p w14:paraId="40FFC8AB" w14:textId="50F3D414" w:rsidR="00B839BF" w:rsidRPr="002019A2" w:rsidRDefault="00B839BF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351BD52A" w14:textId="6ACF6D80" w:rsidR="00264C5B" w:rsidRPr="002019A2" w:rsidRDefault="00264C5B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t xml:space="preserve">Verner, M. 2014. </w:t>
      </w:r>
      <w:r w:rsidR="004B4108" w:rsidRPr="002019A2">
        <w:rPr>
          <w:rFonts w:ascii="Segoe UI Historic" w:hAnsi="Segoe UI Historic" w:cs="Segoe UI Historic"/>
          <w:i/>
          <w:sz w:val="24"/>
          <w:szCs w:val="24"/>
        </w:rPr>
        <w:t>Sons of the Sun: Rise and Decline of the Fifth Dynasty</w:t>
      </w:r>
      <w:r w:rsidR="004B4108" w:rsidRPr="002019A2">
        <w:rPr>
          <w:rFonts w:ascii="Segoe UI Historic" w:hAnsi="Segoe UI Historic" w:cs="Segoe UI Historic"/>
          <w:sz w:val="24"/>
          <w:szCs w:val="24"/>
        </w:rPr>
        <w:t xml:space="preserve">. </w:t>
      </w:r>
      <w:r w:rsidR="006870E0" w:rsidRPr="002019A2">
        <w:rPr>
          <w:rFonts w:ascii="Segoe UI Historic" w:hAnsi="Segoe UI Historic" w:cs="Segoe UI Historic"/>
          <w:sz w:val="24"/>
          <w:szCs w:val="24"/>
        </w:rPr>
        <w:t>Prague: Charles University.</w:t>
      </w:r>
    </w:p>
    <w:p w14:paraId="6FEF3DA9" w14:textId="77777777" w:rsidR="00264C5B" w:rsidRPr="002019A2" w:rsidRDefault="00264C5B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p w14:paraId="445CA680" w14:textId="245FC4EB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lastRenderedPageBreak/>
        <w:t xml:space="preserve">Zinn, K. 2016. ‘Women in Amarna: legendary royals, forgotten elite, unknown populace?’. In </w:t>
      </w: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Budin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, S.L. and </w:t>
      </w:r>
      <w:proofErr w:type="spellStart"/>
      <w:r w:rsidRPr="002019A2">
        <w:rPr>
          <w:rFonts w:ascii="Segoe UI Historic" w:hAnsi="Segoe UI Historic" w:cs="Segoe UI Historic"/>
          <w:sz w:val="24"/>
          <w:szCs w:val="24"/>
        </w:rPr>
        <w:t>Turfa</w:t>
      </w:r>
      <w:proofErr w:type="spellEnd"/>
      <w:r w:rsidRPr="002019A2">
        <w:rPr>
          <w:rFonts w:ascii="Segoe UI Historic" w:hAnsi="Segoe UI Historic" w:cs="Segoe UI Historic"/>
          <w:sz w:val="24"/>
          <w:szCs w:val="24"/>
        </w:rPr>
        <w:t xml:space="preserve">, J.M. (eds.) </w:t>
      </w:r>
      <w:r w:rsidRPr="002019A2">
        <w:rPr>
          <w:rFonts w:ascii="Segoe UI Historic" w:hAnsi="Segoe UI Historic" w:cs="Segoe UI Historic"/>
          <w:i/>
          <w:iCs/>
          <w:sz w:val="24"/>
          <w:szCs w:val="24"/>
        </w:rPr>
        <w:t xml:space="preserve">Women in Antiquity: Real women across the Ancient World. </w:t>
      </w:r>
      <w:r w:rsidRPr="002019A2">
        <w:rPr>
          <w:rFonts w:ascii="Segoe UI Historic" w:hAnsi="Segoe UI Historic" w:cs="Segoe UI Historic"/>
          <w:sz w:val="24"/>
          <w:szCs w:val="24"/>
        </w:rPr>
        <w:t>London: Routledge.</w:t>
      </w:r>
    </w:p>
    <w:p w14:paraId="6EF8C0C5" w14:textId="40B7BCFE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  <w:r w:rsidRPr="002019A2">
        <w:rPr>
          <w:rFonts w:ascii="Segoe UI Historic" w:hAnsi="Segoe UI Historic" w:cs="Segoe UI Historic"/>
          <w:sz w:val="24"/>
          <w:szCs w:val="24"/>
        </w:rPr>
        <w:br/>
      </w:r>
    </w:p>
    <w:p w14:paraId="78A74006" w14:textId="2CBA9601" w:rsidR="14C2CED1" w:rsidRPr="002019A2" w:rsidRDefault="14C2CED1" w:rsidP="00676CCF">
      <w:pPr>
        <w:pStyle w:val="NoSpacing"/>
        <w:spacing w:line="360" w:lineRule="auto"/>
        <w:rPr>
          <w:rFonts w:ascii="Segoe UI Historic" w:hAnsi="Segoe UI Historic" w:cs="Segoe UI Historic"/>
          <w:sz w:val="24"/>
          <w:szCs w:val="24"/>
        </w:rPr>
      </w:pPr>
    </w:p>
    <w:sectPr w:rsidR="14C2CED1" w:rsidRPr="002019A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Historic">
    <w:panose1 w:val="020B0502040204020203"/>
    <w:charset w:val="00"/>
    <w:family w:val="swiss"/>
    <w:pitch w:val="variable"/>
    <w:sig w:usb0="800001EF" w:usb1="02000002" w:usb2="0060C08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04C34A4"/>
    <w:rsid w:val="00005F53"/>
    <w:rsid w:val="00013C83"/>
    <w:rsid w:val="00017609"/>
    <w:rsid w:val="00021685"/>
    <w:rsid w:val="000325DE"/>
    <w:rsid w:val="00037CF8"/>
    <w:rsid w:val="00044D60"/>
    <w:rsid w:val="000646BA"/>
    <w:rsid w:val="00080843"/>
    <w:rsid w:val="00083185"/>
    <w:rsid w:val="00090791"/>
    <w:rsid w:val="000961EE"/>
    <w:rsid w:val="00096D16"/>
    <w:rsid w:val="000A6A62"/>
    <w:rsid w:val="000B0425"/>
    <w:rsid w:val="000F409B"/>
    <w:rsid w:val="000F6204"/>
    <w:rsid w:val="001128C8"/>
    <w:rsid w:val="00136EF1"/>
    <w:rsid w:val="00172C22"/>
    <w:rsid w:val="001806D9"/>
    <w:rsid w:val="00195556"/>
    <w:rsid w:val="001A3761"/>
    <w:rsid w:val="001A7974"/>
    <w:rsid w:val="001B08CD"/>
    <w:rsid w:val="001B512E"/>
    <w:rsid w:val="001C5B00"/>
    <w:rsid w:val="001E5092"/>
    <w:rsid w:val="002019A2"/>
    <w:rsid w:val="00237200"/>
    <w:rsid w:val="002375CC"/>
    <w:rsid w:val="00244E5F"/>
    <w:rsid w:val="00264C5B"/>
    <w:rsid w:val="00271DF7"/>
    <w:rsid w:val="00275A6C"/>
    <w:rsid w:val="002801D5"/>
    <w:rsid w:val="0028785E"/>
    <w:rsid w:val="002A30CE"/>
    <w:rsid w:val="002B46C2"/>
    <w:rsid w:val="002C1DAE"/>
    <w:rsid w:val="002E27EB"/>
    <w:rsid w:val="002F2B87"/>
    <w:rsid w:val="003005ED"/>
    <w:rsid w:val="00303D60"/>
    <w:rsid w:val="00304200"/>
    <w:rsid w:val="00313EFC"/>
    <w:rsid w:val="003431DC"/>
    <w:rsid w:val="00354328"/>
    <w:rsid w:val="00356830"/>
    <w:rsid w:val="00383F12"/>
    <w:rsid w:val="0038746B"/>
    <w:rsid w:val="00394DD7"/>
    <w:rsid w:val="003A7156"/>
    <w:rsid w:val="003B0DB1"/>
    <w:rsid w:val="003B63EE"/>
    <w:rsid w:val="003C78FE"/>
    <w:rsid w:val="0041231B"/>
    <w:rsid w:val="00416694"/>
    <w:rsid w:val="004234B9"/>
    <w:rsid w:val="00426D3F"/>
    <w:rsid w:val="00430A3B"/>
    <w:rsid w:val="004576BB"/>
    <w:rsid w:val="00490AD5"/>
    <w:rsid w:val="004955CF"/>
    <w:rsid w:val="00497291"/>
    <w:rsid w:val="004A317B"/>
    <w:rsid w:val="004B4108"/>
    <w:rsid w:val="004B7447"/>
    <w:rsid w:val="004C5D4B"/>
    <w:rsid w:val="004C6365"/>
    <w:rsid w:val="004D6CB6"/>
    <w:rsid w:val="004E4A79"/>
    <w:rsid w:val="00501C36"/>
    <w:rsid w:val="005209ED"/>
    <w:rsid w:val="00523F4B"/>
    <w:rsid w:val="00535457"/>
    <w:rsid w:val="00550BA0"/>
    <w:rsid w:val="0055789C"/>
    <w:rsid w:val="00563C0E"/>
    <w:rsid w:val="00571FB5"/>
    <w:rsid w:val="00576B3D"/>
    <w:rsid w:val="005A3051"/>
    <w:rsid w:val="005A77A5"/>
    <w:rsid w:val="005C69F8"/>
    <w:rsid w:val="005D0543"/>
    <w:rsid w:val="005D3991"/>
    <w:rsid w:val="005E42E1"/>
    <w:rsid w:val="005F2C26"/>
    <w:rsid w:val="006063E5"/>
    <w:rsid w:val="00621179"/>
    <w:rsid w:val="00621C8F"/>
    <w:rsid w:val="00665905"/>
    <w:rsid w:val="0067494D"/>
    <w:rsid w:val="00676CCF"/>
    <w:rsid w:val="006870E0"/>
    <w:rsid w:val="006906AC"/>
    <w:rsid w:val="0069730E"/>
    <w:rsid w:val="006B5AA2"/>
    <w:rsid w:val="006C12D5"/>
    <w:rsid w:val="006C65BC"/>
    <w:rsid w:val="006D6118"/>
    <w:rsid w:val="006F13F8"/>
    <w:rsid w:val="006F53A2"/>
    <w:rsid w:val="00704C71"/>
    <w:rsid w:val="00730E09"/>
    <w:rsid w:val="00751B8B"/>
    <w:rsid w:val="0075382D"/>
    <w:rsid w:val="00790F7C"/>
    <w:rsid w:val="007C16FF"/>
    <w:rsid w:val="007C3FBF"/>
    <w:rsid w:val="007D39D3"/>
    <w:rsid w:val="00827B2D"/>
    <w:rsid w:val="008334D5"/>
    <w:rsid w:val="00837AAC"/>
    <w:rsid w:val="00841AF7"/>
    <w:rsid w:val="00845F09"/>
    <w:rsid w:val="00851873"/>
    <w:rsid w:val="0086271A"/>
    <w:rsid w:val="0086388F"/>
    <w:rsid w:val="00895FA7"/>
    <w:rsid w:val="008A2B19"/>
    <w:rsid w:val="008B6DD2"/>
    <w:rsid w:val="008B76EA"/>
    <w:rsid w:val="008C65FA"/>
    <w:rsid w:val="008F58B6"/>
    <w:rsid w:val="0090072F"/>
    <w:rsid w:val="00924E8E"/>
    <w:rsid w:val="00946AE4"/>
    <w:rsid w:val="009573E1"/>
    <w:rsid w:val="00975C9C"/>
    <w:rsid w:val="00984110"/>
    <w:rsid w:val="00985449"/>
    <w:rsid w:val="0098625C"/>
    <w:rsid w:val="009C3361"/>
    <w:rsid w:val="009C5F01"/>
    <w:rsid w:val="009E68C0"/>
    <w:rsid w:val="009F15C5"/>
    <w:rsid w:val="00A13CB4"/>
    <w:rsid w:val="00A209E1"/>
    <w:rsid w:val="00A2633B"/>
    <w:rsid w:val="00A32B83"/>
    <w:rsid w:val="00A37098"/>
    <w:rsid w:val="00A72424"/>
    <w:rsid w:val="00A7387C"/>
    <w:rsid w:val="00A82640"/>
    <w:rsid w:val="00A93F83"/>
    <w:rsid w:val="00A977B6"/>
    <w:rsid w:val="00AE178E"/>
    <w:rsid w:val="00AF0F89"/>
    <w:rsid w:val="00B01AC1"/>
    <w:rsid w:val="00B05CCE"/>
    <w:rsid w:val="00B2363F"/>
    <w:rsid w:val="00B25F77"/>
    <w:rsid w:val="00B40141"/>
    <w:rsid w:val="00B777DF"/>
    <w:rsid w:val="00B82582"/>
    <w:rsid w:val="00B82BE1"/>
    <w:rsid w:val="00B839BF"/>
    <w:rsid w:val="00B85187"/>
    <w:rsid w:val="00B90C07"/>
    <w:rsid w:val="00BC7C73"/>
    <w:rsid w:val="00BD39F5"/>
    <w:rsid w:val="00BF3B79"/>
    <w:rsid w:val="00C005D0"/>
    <w:rsid w:val="00C121F9"/>
    <w:rsid w:val="00C20E42"/>
    <w:rsid w:val="00C331CE"/>
    <w:rsid w:val="00C341C8"/>
    <w:rsid w:val="00C77A79"/>
    <w:rsid w:val="00C87269"/>
    <w:rsid w:val="00CA5975"/>
    <w:rsid w:val="00D27DAF"/>
    <w:rsid w:val="00D44114"/>
    <w:rsid w:val="00D53E3E"/>
    <w:rsid w:val="00D861A4"/>
    <w:rsid w:val="00D90070"/>
    <w:rsid w:val="00DD3E50"/>
    <w:rsid w:val="00DE497C"/>
    <w:rsid w:val="00DF0CFC"/>
    <w:rsid w:val="00DF5A1D"/>
    <w:rsid w:val="00E05F9C"/>
    <w:rsid w:val="00E21AC8"/>
    <w:rsid w:val="00E40D1D"/>
    <w:rsid w:val="00E54FDD"/>
    <w:rsid w:val="00E631E1"/>
    <w:rsid w:val="00E663EF"/>
    <w:rsid w:val="00E71373"/>
    <w:rsid w:val="00E829EF"/>
    <w:rsid w:val="00E92B58"/>
    <w:rsid w:val="00EA2F34"/>
    <w:rsid w:val="00EC2D82"/>
    <w:rsid w:val="00EC4007"/>
    <w:rsid w:val="00EF343D"/>
    <w:rsid w:val="00F03355"/>
    <w:rsid w:val="00F07B61"/>
    <w:rsid w:val="00F104B7"/>
    <w:rsid w:val="00F2351C"/>
    <w:rsid w:val="00F236EE"/>
    <w:rsid w:val="00F51F38"/>
    <w:rsid w:val="00FC7F06"/>
    <w:rsid w:val="00FD38D2"/>
    <w:rsid w:val="00FD5F8D"/>
    <w:rsid w:val="00FE444E"/>
    <w:rsid w:val="00FF5BD6"/>
    <w:rsid w:val="00FF7171"/>
    <w:rsid w:val="14C2CED1"/>
    <w:rsid w:val="169C8EE5"/>
    <w:rsid w:val="404C34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404C34A4"/>
  <w15:chartTrackingRefBased/>
  <w15:docId w15:val="{7C44C673-2AE8-463D-9B76-AF78B22A75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5789C"/>
    <w:pPr>
      <w:spacing w:after="0" w:line="240" w:lineRule="auto"/>
    </w:p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749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7494D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7494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7494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1215</TotalTime>
  <Pages>5</Pages>
  <Words>1115</Words>
  <Characters>6359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georgie whittock</dc:creator>
  <cp:keywords/>
  <dc:description/>
  <cp:lastModifiedBy>Georgie Whittock (1600137)</cp:lastModifiedBy>
  <cp:revision>166</cp:revision>
  <dcterms:created xsi:type="dcterms:W3CDTF">2019-05-23T19:44:00Z</dcterms:created>
  <dcterms:modified xsi:type="dcterms:W3CDTF">2019-05-28T18:43:00Z</dcterms:modified>
</cp:coreProperties>
</file>