
<file path=[Content_Types].xml><?xml version="1.0" encoding="utf-8"?>
<Types xmlns="http://schemas.openxmlformats.org/package/2006/content-types">
  <Default Extension="bin" ContentType="application/vnd.ms-office.activeX"/>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6C4" w:rsidRDefault="00C916C4" w:rsidP="00C916C4">
      <w:pPr>
        <w:spacing w:after="0" w:line="240" w:lineRule="auto"/>
        <w:rPr>
          <w:rFonts w:ascii="Verdana" w:eastAsia="Times New Roman" w:hAnsi="Verdana" w:cs="Times New Roman"/>
          <w:b/>
          <w:bCs/>
          <w:color w:val="18170E"/>
          <w:sz w:val="20"/>
          <w:lang w:eastAsia="en-GB"/>
        </w:rPr>
      </w:pPr>
      <w:r>
        <w:rPr>
          <w:rFonts w:ascii="Verdana" w:eastAsia="Times New Roman" w:hAnsi="Verdana" w:cs="Times New Roman"/>
          <w:b/>
          <w:bCs/>
          <w:color w:val="18170E"/>
          <w:sz w:val="20"/>
          <w:lang w:eastAsia="en-GB"/>
        </w:rPr>
        <w:t>Sample Chapter</w:t>
      </w:r>
    </w:p>
    <w:p w:rsidR="00C916C4" w:rsidRDefault="00C916C4" w:rsidP="00C916C4">
      <w:pPr>
        <w:spacing w:after="0" w:line="240" w:lineRule="auto"/>
        <w:rPr>
          <w:rFonts w:ascii="Verdana" w:eastAsia="Times New Roman" w:hAnsi="Verdana" w:cs="Times New Roman"/>
          <w:b/>
          <w:bCs/>
          <w:color w:val="18170E"/>
          <w:sz w:val="20"/>
          <w:lang w:eastAsia="en-GB"/>
        </w:rPr>
      </w:pPr>
    </w:p>
    <w:p w:rsidR="00C916C4" w:rsidRPr="00C916C4" w:rsidRDefault="00C916C4" w:rsidP="00C916C4">
      <w:pPr>
        <w:spacing w:after="0" w:line="240" w:lineRule="auto"/>
        <w:rPr>
          <w:rFonts w:ascii="Verdana" w:eastAsia="Times New Roman" w:hAnsi="Verdana" w:cs="Times New Roman"/>
          <w:color w:val="18170E"/>
          <w:sz w:val="20"/>
          <w:szCs w:val="20"/>
          <w:lang w:eastAsia="en-GB"/>
        </w:rPr>
      </w:pPr>
      <w:proofErr w:type="spellStart"/>
      <w:r w:rsidRPr="00C916C4">
        <w:rPr>
          <w:rFonts w:ascii="Verdana" w:eastAsia="Times New Roman" w:hAnsi="Verdana" w:cs="Times New Roman"/>
          <w:b/>
          <w:bCs/>
          <w:color w:val="18170E"/>
          <w:sz w:val="20"/>
          <w:lang w:eastAsia="en-GB"/>
        </w:rPr>
        <w:t>Coopey</w:t>
      </w:r>
      <w:proofErr w:type="spellEnd"/>
      <w:r w:rsidRPr="00C916C4">
        <w:rPr>
          <w:rFonts w:ascii="Verdana" w:eastAsia="Times New Roman" w:hAnsi="Verdana" w:cs="Times New Roman"/>
          <w:b/>
          <w:bCs/>
          <w:color w:val="18170E"/>
          <w:sz w:val="20"/>
          <w:lang w:eastAsia="en-GB"/>
        </w:rPr>
        <w:t>, Richard</w:t>
      </w:r>
      <w:r w:rsidRPr="00C916C4">
        <w:rPr>
          <w:rFonts w:ascii="Verdana" w:eastAsia="Times New Roman" w:hAnsi="Verdana" w:cs="Times New Roman"/>
          <w:color w:val="18170E"/>
          <w:sz w:val="20"/>
          <w:szCs w:val="20"/>
          <w:lang w:eastAsia="en-GB"/>
        </w:rPr>
        <w:t xml:space="preserve"> (Editor), Senior Lecturer, Department of History and Welsh History, </w:t>
      </w:r>
      <w:proofErr w:type="spellStart"/>
      <w:r w:rsidRPr="00C916C4">
        <w:rPr>
          <w:rFonts w:ascii="Verdana" w:eastAsia="Times New Roman" w:hAnsi="Verdana" w:cs="Times New Roman"/>
          <w:color w:val="18170E"/>
          <w:sz w:val="20"/>
          <w:szCs w:val="20"/>
          <w:lang w:eastAsia="en-GB"/>
        </w:rPr>
        <w:t>Aberystwyth</w:t>
      </w:r>
      <w:proofErr w:type="spellEnd"/>
      <w:r w:rsidRPr="00C916C4">
        <w:rPr>
          <w:rFonts w:ascii="Verdana" w:eastAsia="Times New Roman" w:hAnsi="Verdana" w:cs="Times New Roman"/>
          <w:color w:val="18170E"/>
          <w:sz w:val="20"/>
          <w:szCs w:val="20"/>
          <w:lang w:eastAsia="en-GB"/>
        </w:rPr>
        <w:t xml:space="preserve"> University, and research fellow at the Business History Unit, London School of Economics</w:t>
      </w:r>
    </w:p>
    <w:p w:rsidR="00C916C4" w:rsidRPr="00C916C4" w:rsidRDefault="00C916C4" w:rsidP="00C916C4">
      <w:pPr>
        <w:spacing w:after="0" w:line="240" w:lineRule="auto"/>
        <w:rPr>
          <w:rFonts w:ascii="Verdana" w:eastAsia="Times New Roman" w:hAnsi="Verdana" w:cs="Times New Roman"/>
          <w:color w:val="18170E"/>
          <w:sz w:val="20"/>
          <w:szCs w:val="20"/>
          <w:lang w:eastAsia="en-GB"/>
        </w:rPr>
      </w:pPr>
      <w:proofErr w:type="spellStart"/>
      <w:r w:rsidRPr="00C916C4">
        <w:rPr>
          <w:rFonts w:ascii="Verdana" w:eastAsia="Times New Roman" w:hAnsi="Verdana" w:cs="Times New Roman"/>
          <w:b/>
          <w:bCs/>
          <w:color w:val="18170E"/>
          <w:sz w:val="20"/>
          <w:lang w:eastAsia="en-GB"/>
        </w:rPr>
        <w:t>Lyth</w:t>
      </w:r>
      <w:proofErr w:type="spellEnd"/>
      <w:r w:rsidRPr="00C916C4">
        <w:rPr>
          <w:rFonts w:ascii="Verdana" w:eastAsia="Times New Roman" w:hAnsi="Verdana" w:cs="Times New Roman"/>
          <w:b/>
          <w:bCs/>
          <w:color w:val="18170E"/>
          <w:sz w:val="20"/>
          <w:lang w:eastAsia="en-GB"/>
        </w:rPr>
        <w:t>, Peter</w:t>
      </w:r>
      <w:r w:rsidRPr="00C916C4">
        <w:rPr>
          <w:rFonts w:ascii="Verdana" w:eastAsia="Times New Roman" w:hAnsi="Verdana" w:cs="Times New Roman"/>
          <w:color w:val="18170E"/>
          <w:sz w:val="20"/>
          <w:szCs w:val="20"/>
          <w:lang w:eastAsia="en-GB"/>
        </w:rPr>
        <w:t xml:space="preserve"> (Editor), Lecturer, Tourism &amp; Travel Research Institute, Nottingham University Business School, University of Nottingham</w:t>
      </w:r>
    </w:p>
    <w:p w:rsidR="00C916C4" w:rsidRPr="00C916C4" w:rsidRDefault="00C916C4" w:rsidP="00C916C4">
      <w:pPr>
        <w:spacing w:after="150" w:line="240" w:lineRule="auto"/>
        <w:rPr>
          <w:rFonts w:ascii="Verdana" w:eastAsia="Times New Roman" w:hAnsi="Verdana" w:cs="Times New Roman"/>
          <w:b/>
          <w:bCs/>
          <w:color w:val="000065"/>
          <w:sz w:val="21"/>
          <w:szCs w:val="21"/>
          <w:lang w:eastAsia="en-GB"/>
        </w:rPr>
      </w:pPr>
      <w:r w:rsidRPr="00C916C4">
        <w:rPr>
          <w:rFonts w:ascii="Verdana" w:eastAsia="Times New Roman" w:hAnsi="Verdana" w:cs="Times New Roman"/>
          <w:b/>
          <w:bCs/>
          <w:color w:val="000065"/>
          <w:sz w:val="21"/>
          <w:szCs w:val="21"/>
          <w:lang w:eastAsia="en-GB"/>
        </w:rPr>
        <w:t>Business in Britain in the Twentieth Century</w:t>
      </w:r>
    </w:p>
    <w:p w:rsidR="00C916C4" w:rsidRPr="00C916C4" w:rsidRDefault="00C916C4" w:rsidP="00C916C4">
      <w:pPr>
        <w:spacing w:after="0" w:line="240" w:lineRule="auto"/>
        <w:rPr>
          <w:rFonts w:ascii="Verdana" w:eastAsia="Times New Roman" w:hAnsi="Verdana" w:cs="Times New Roman"/>
          <w:color w:val="18170E"/>
          <w:sz w:val="20"/>
          <w:szCs w:val="20"/>
          <w:lang w:eastAsia="en-GB"/>
        </w:rPr>
      </w:pPr>
      <w:r w:rsidRPr="00C916C4">
        <w:rPr>
          <w:rFonts w:ascii="Verdana" w:eastAsia="Times New Roman" w:hAnsi="Verdana" w:cs="Times New Roman"/>
          <w:color w:val="18170E"/>
          <w:sz w:val="20"/>
          <w:szCs w:val="20"/>
          <w:lang w:eastAsia="en-GB"/>
        </w:rPr>
        <w:t>Print ISBN 9780199226009, 2009</w:t>
      </w:r>
      <w:r w:rsidRPr="00C916C4">
        <w:rPr>
          <w:rFonts w:ascii="Verdana" w:eastAsia="Times New Roman" w:hAnsi="Verdana" w:cs="Times New Roman"/>
          <w:color w:val="18170E"/>
          <w:sz w:val="20"/>
          <w:szCs w:val="20"/>
          <w:lang w:eastAsia="en-GB"/>
        </w:rPr>
        <w:br/>
        <w:t xml:space="preserve">pp. [356]-[360] </w:t>
      </w:r>
    </w:p>
    <w:p w:rsidR="00C916C4" w:rsidRPr="00C916C4" w:rsidRDefault="00C916C4" w:rsidP="00C916C4">
      <w:pPr>
        <w:pBdr>
          <w:bottom w:val="single" w:sz="6" w:space="1" w:color="auto"/>
        </w:pBdr>
        <w:spacing w:after="0" w:line="240" w:lineRule="auto"/>
        <w:jc w:val="center"/>
        <w:rPr>
          <w:rFonts w:ascii="Arial" w:eastAsia="Times New Roman" w:hAnsi="Arial" w:cs="Arial"/>
          <w:vanish/>
          <w:sz w:val="16"/>
          <w:szCs w:val="16"/>
          <w:lang w:eastAsia="en-GB"/>
        </w:rPr>
      </w:pPr>
      <w:r w:rsidRPr="00C916C4">
        <w:rPr>
          <w:rFonts w:ascii="Arial" w:eastAsia="Times New Roman" w:hAnsi="Arial" w:cs="Arial"/>
          <w:vanish/>
          <w:sz w:val="16"/>
          <w:szCs w:val="16"/>
          <w:lang w:eastAsia="en-GB"/>
        </w:rPr>
        <w:t>Top of Form</w:t>
      </w:r>
    </w:p>
    <w:p w:rsidR="00C916C4" w:rsidRPr="00C916C4" w:rsidRDefault="00C916C4" w:rsidP="00C916C4">
      <w:pPr>
        <w:spacing w:after="0" w:line="240" w:lineRule="auto"/>
        <w:rPr>
          <w:rFonts w:ascii="Verdana" w:eastAsia="Times New Roman" w:hAnsi="Verdana" w:cs="Times New Roman"/>
          <w:vanish/>
          <w:color w:val="18170E"/>
          <w:sz w:val="20"/>
          <w:szCs w:val="20"/>
          <w:lang w:eastAsia="en-GB"/>
        </w:rPr>
      </w:pPr>
      <w:hyperlink r:id="rId4" w:tooltip="Printer Friendly, opens in a new window" w:history="1">
        <w:r>
          <w:rPr>
            <w:rFonts w:ascii="Verdana" w:eastAsia="Times New Roman" w:hAnsi="Verdana" w:cs="Times New Roman"/>
            <w:noProof/>
            <w:vanish/>
            <w:color w:val="000000"/>
            <w:sz w:val="20"/>
            <w:szCs w:val="20"/>
            <w:lang w:eastAsia="en-GB"/>
          </w:rPr>
          <w:drawing>
            <wp:inline distT="0" distB="0" distL="0" distR="0">
              <wp:extent cx="190500" cy="142875"/>
              <wp:effectExtent l="19050" t="0" r="0" b="0"/>
              <wp:docPr id="1" name="Picture 1" descr="Printer Friendly">
                <a:hlinkClick xmlns:a="http://schemas.openxmlformats.org/drawingml/2006/main" r:id="rId5" tooltip="&quot;Printer Friendly, opens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er Friendly">
                        <a:hlinkClick r:id="rId5" tooltip="&quot;Printer Friendly, opens in a new window&quot;"/>
                      </pic:cNvPr>
                      <pic:cNvPicPr>
                        <a:picLocks noChangeAspect="1" noChangeArrowheads="1"/>
                      </pic:cNvPicPr>
                    </pic:nvPicPr>
                    <pic:blipFill>
                      <a:blip r:embed="rId6"/>
                      <a:srcRect/>
                      <a:stretch>
                        <a:fillRect/>
                      </a:stretch>
                    </pic:blipFill>
                    <pic:spPr bwMode="auto">
                      <a:xfrm>
                        <a:off x="0" y="0"/>
                        <a:ext cx="190500" cy="142875"/>
                      </a:xfrm>
                      <a:prstGeom prst="rect">
                        <a:avLst/>
                      </a:prstGeom>
                      <a:noFill/>
                      <a:ln w="9525">
                        <a:noFill/>
                        <a:miter lim="800000"/>
                        <a:headEnd/>
                        <a:tailEnd/>
                      </a:ln>
                    </pic:spPr>
                  </pic:pic>
                </a:graphicData>
              </a:graphic>
            </wp:inline>
          </w:drawing>
        </w:r>
        <w:r w:rsidRPr="00C916C4">
          <w:rPr>
            <w:rFonts w:ascii="Verdana" w:eastAsia="Times New Roman" w:hAnsi="Verdana" w:cs="Times New Roman"/>
            <w:vanish/>
            <w:color w:val="000000"/>
            <w:sz w:val="20"/>
            <w:lang w:eastAsia="en-GB"/>
          </w:rPr>
          <w:t>Printer Friendly</w:t>
        </w:r>
      </w:hyperlink>
      <w:r w:rsidRPr="00C916C4">
        <w:rPr>
          <w:rFonts w:ascii="Verdana" w:eastAsia="Times New Roman" w:hAnsi="Verdana" w:cs="Times New Roman"/>
          <w:vanish/>
          <w:color w:val="18170E"/>
          <w:sz w:val="20"/>
          <w:szCs w:val="20"/>
          <w:lang w:eastAsia="en-GB"/>
        </w:rPr>
        <w:t xml:space="preserve"> </w:t>
      </w:r>
      <w:r w:rsidRPr="00C916C4">
        <w:rPr>
          <w:rFonts w:ascii="Verdana" w:eastAsia="Times New Roman" w:hAnsi="Verdana" w:cs="Times New Roman"/>
          <w:vanish/>
          <w:color w:val="18170E"/>
          <w:sz w:val="20"/>
          <w:lang w:eastAsia="en-GB"/>
        </w:rPr>
        <w:t>go to page</w:t>
      </w:r>
      <w:r w:rsidRPr="00C916C4">
        <w:rPr>
          <w:rFonts w:ascii="Verdana" w:eastAsia="Times New Roman" w:hAnsi="Verdana" w:cs="Times New Roman"/>
          <w:vanish/>
          <w:color w:val="18170E"/>
          <w:sz w:val="20"/>
          <w:szCs w:val="20"/>
          <w:lang w:eastAsia="en-GB"/>
        </w:rPr>
        <w:t> </w:t>
      </w:r>
      <w:r w:rsidRPr="00C916C4">
        <w:rPr>
          <w:rFonts w:ascii="Verdana" w:eastAsia="Times New Roman" w:hAnsi="Verdana" w:cs="Times New Roman"/>
          <w:vanish/>
          <w:color w:val="18170E"/>
          <w:sz w:val="20"/>
          <w:szCs w:val="20"/>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34.5pt;height:18pt" o:ole="">
            <v:imagedata r:id="rId7" o:title=""/>
          </v:shape>
          <w:control r:id="rId8" w:name="DefaultOcxName" w:shapeid="_x0000_i1060"/>
        </w:object>
      </w:r>
      <w:r w:rsidRPr="00C916C4">
        <w:rPr>
          <w:rFonts w:ascii="Verdana" w:eastAsia="Times New Roman" w:hAnsi="Verdana" w:cs="Times New Roman"/>
          <w:vanish/>
          <w:color w:val="18170E"/>
          <w:sz w:val="20"/>
          <w:szCs w:val="20"/>
          <w:lang w:eastAsia="en-GB"/>
        </w:rPr>
        <w:t xml:space="preserve">  </w:t>
      </w:r>
      <w:r w:rsidRPr="00C916C4">
        <w:rPr>
          <w:rFonts w:ascii="Verdana" w:eastAsia="Times New Roman" w:hAnsi="Verdana" w:cs="Times New Roman"/>
          <w:vanish/>
          <w:color w:val="18170E"/>
          <w:sz w:val="20"/>
          <w:szCs w:val="20"/>
          <w:lang w:eastAsia="en-GB"/>
        </w:rPr>
        <w:object w:dxaOrig="1440" w:dyaOrig="1440">
          <v:shape id="_x0000_i1059" type="#_x0000_t75" style="width:22.5pt;height:18.75pt" o:ole="">
            <v:imagedata r:id="rId9" o:title=""/>
          </v:shape>
          <w:control r:id="rId10" w:name="DefaultOcxName1" w:shapeid="_x0000_i1059"/>
        </w:object>
      </w:r>
      <w:hyperlink r:id="rId11" w:tooltip="previous page" w:history="1">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2" name="Picture 2" descr="http://www.oxfordscholarship.com/oso/public/all_images/arrow_previous_cb6500.gif">
                <a:hlinkClick xmlns:a="http://schemas.openxmlformats.org/drawingml/2006/main" r:id="rId11" tooltip="&quot;previous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xfordscholarship.com/oso/public/all_images/arrow_previous_cb6500.gif">
                        <a:hlinkClick r:id="rId11" tooltip="&quot;previous page&quot;"/>
                      </pic:cNvPr>
                      <pic:cNvPicPr>
                        <a:picLocks noChangeAspect="1" noChangeArrowheads="1"/>
                      </pic:cNvPicPr>
                    </pic:nvPicPr>
                    <pic:blipFill>
                      <a:blip r:embed="rId12"/>
                      <a:srcRect/>
                      <a:stretch>
                        <a:fillRect/>
                      </a:stretch>
                    </pic:blipFill>
                    <pic:spPr bwMode="auto">
                      <a:xfrm>
                        <a:off x="0" y="0"/>
                        <a:ext cx="38100" cy="66675"/>
                      </a:xfrm>
                      <a:prstGeom prst="rect">
                        <a:avLst/>
                      </a:prstGeom>
                      <a:noFill/>
                      <a:ln w="9525">
                        <a:noFill/>
                        <a:miter lim="800000"/>
                        <a:headEnd/>
                        <a:tailEnd/>
                      </a:ln>
                    </pic:spPr>
                  </pic:pic>
                </a:graphicData>
              </a:graphic>
            </wp:inline>
          </w:drawing>
        </w:r>
        <w:r w:rsidRPr="00C916C4">
          <w:rPr>
            <w:rFonts w:ascii="Verdana" w:eastAsia="Times New Roman" w:hAnsi="Verdana" w:cs="Times New Roman"/>
            <w:vanish/>
            <w:color w:val="000000"/>
            <w:sz w:val="20"/>
            <w:lang w:eastAsia="en-GB"/>
          </w:rPr>
          <w:t>previous</w:t>
        </w:r>
      </w:hyperlink>
      <w:r w:rsidRPr="00C916C4">
        <w:rPr>
          <w:rFonts w:ascii="Verdana" w:eastAsia="Times New Roman" w:hAnsi="Verdana" w:cs="Times New Roman"/>
          <w:vanish/>
          <w:color w:val="18170E"/>
          <w:sz w:val="20"/>
          <w:szCs w:val="20"/>
          <w:lang w:eastAsia="en-GB"/>
        </w:rPr>
        <w:t>  |  </w:t>
      </w:r>
      <w:hyperlink r:id="rId13" w:tooltip="next page" w:history="1">
        <w:r w:rsidRPr="00C916C4">
          <w:rPr>
            <w:rFonts w:ascii="Verdana" w:eastAsia="Times New Roman" w:hAnsi="Verdana" w:cs="Times New Roman"/>
            <w:vanish/>
            <w:color w:val="000000"/>
            <w:sz w:val="20"/>
            <w:lang w:eastAsia="en-GB"/>
          </w:rPr>
          <w:t xml:space="preserve">next </w:t>
        </w:r>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3" name="Picture 3" descr="http://www.oxfordscholarship.com/oso/public/all_images/arrow_next_cb6500.gif">
                <a:hlinkClick xmlns:a="http://schemas.openxmlformats.org/drawingml/2006/main" r:id="rId13" tooltip="&quot;next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xfordscholarship.com/oso/public/all_images/arrow_next_cb6500.gif">
                        <a:hlinkClick r:id="rId13" tooltip="&quot;next page&quot;"/>
                      </pic:cNvPr>
                      <pic:cNvPicPr>
                        <a:picLocks noChangeAspect="1" noChangeArrowheads="1"/>
                      </pic:cNvPicPr>
                    </pic:nvPicPr>
                    <pic:blipFill>
                      <a:blip r:embed="rId14"/>
                      <a:srcRect/>
                      <a:stretch>
                        <a:fillRect/>
                      </a:stretch>
                    </pic:blipFill>
                    <pic:spPr bwMode="auto">
                      <a:xfrm>
                        <a:off x="0" y="0"/>
                        <a:ext cx="38100" cy="66675"/>
                      </a:xfrm>
                      <a:prstGeom prst="rect">
                        <a:avLst/>
                      </a:prstGeom>
                      <a:noFill/>
                      <a:ln w="9525">
                        <a:noFill/>
                        <a:miter lim="800000"/>
                        <a:headEnd/>
                        <a:tailEnd/>
                      </a:ln>
                    </pic:spPr>
                  </pic:pic>
                </a:graphicData>
              </a:graphic>
            </wp:inline>
          </w:drawing>
        </w:r>
      </w:hyperlink>
    </w:p>
    <w:p w:rsidR="00C916C4" w:rsidRPr="00C916C4" w:rsidRDefault="00C916C4" w:rsidP="00C916C4">
      <w:pPr>
        <w:pBdr>
          <w:top w:val="single" w:sz="6" w:space="1" w:color="auto"/>
        </w:pBdr>
        <w:spacing w:after="0" w:line="240" w:lineRule="auto"/>
        <w:jc w:val="center"/>
        <w:rPr>
          <w:rFonts w:ascii="Arial" w:eastAsia="Times New Roman" w:hAnsi="Arial" w:cs="Arial"/>
          <w:vanish/>
          <w:sz w:val="16"/>
          <w:szCs w:val="16"/>
          <w:lang w:eastAsia="en-GB"/>
        </w:rPr>
      </w:pPr>
      <w:r w:rsidRPr="00C916C4">
        <w:rPr>
          <w:rFonts w:ascii="Arial" w:eastAsia="Times New Roman" w:hAnsi="Arial" w:cs="Arial"/>
          <w:vanish/>
          <w:sz w:val="16"/>
          <w:szCs w:val="16"/>
          <w:lang w:eastAsia="en-GB"/>
        </w:rPr>
        <w:t>Bottom of Form</w:t>
      </w:r>
    </w:p>
    <w:p w:rsidR="00C916C4" w:rsidRPr="00C916C4" w:rsidRDefault="00C916C4" w:rsidP="00C916C4">
      <w:pPr>
        <w:spacing w:after="0" w:line="240" w:lineRule="auto"/>
        <w:rPr>
          <w:rFonts w:ascii="Verdana" w:eastAsia="Times New Roman" w:hAnsi="Verdana" w:cs="Times New Roman"/>
          <w:vanish/>
          <w:color w:val="18170E"/>
          <w:sz w:val="20"/>
          <w:szCs w:val="20"/>
          <w:lang w:eastAsia="en-GB"/>
        </w:rPr>
      </w:pPr>
      <w:r w:rsidRPr="00C916C4">
        <w:rPr>
          <w:rFonts w:ascii="Verdana" w:eastAsia="Times New Roman" w:hAnsi="Verdana" w:cs="Times New Roman"/>
          <w:vanish/>
          <w:color w:val="18170E"/>
          <w:sz w:val="20"/>
          <w:szCs w:val="20"/>
          <w:lang w:eastAsia="en-GB"/>
        </w:rPr>
        <w:br/>
        <w:t xml:space="preserve">  </w:t>
      </w:r>
    </w:p>
    <w:p w:rsidR="00C916C4" w:rsidRPr="00C916C4" w:rsidRDefault="00C916C4" w:rsidP="00C916C4">
      <w:pPr>
        <w:spacing w:after="150" w:line="240" w:lineRule="auto"/>
        <w:rPr>
          <w:rFonts w:ascii="Verdana" w:eastAsia="Times New Roman" w:hAnsi="Verdana" w:cs="Times New Roman"/>
          <w:color w:val="000065"/>
          <w:sz w:val="36"/>
          <w:szCs w:val="36"/>
          <w:lang w:eastAsia="en-GB"/>
        </w:rPr>
      </w:pPr>
      <w:bookmarkStart w:id="0" w:name="acprof-9780199226009-chapter-19"/>
      <w:bookmarkEnd w:id="0"/>
      <w:r w:rsidRPr="00C916C4">
        <w:rPr>
          <w:rFonts w:ascii="Verdana" w:eastAsia="Times New Roman" w:hAnsi="Verdana" w:cs="Times New Roman"/>
          <w:b/>
          <w:bCs/>
          <w:color w:val="000065"/>
          <w:sz w:val="36"/>
          <w:szCs w:val="36"/>
          <w:lang w:eastAsia="en-GB"/>
        </w:rPr>
        <w:t>Chapter 18</w:t>
      </w:r>
      <w:r w:rsidRPr="00C916C4">
        <w:rPr>
          <w:rFonts w:ascii="Verdana" w:eastAsia="Times New Roman" w:hAnsi="Verdana" w:cs="Times New Roman"/>
          <w:color w:val="000065"/>
          <w:sz w:val="36"/>
          <w:szCs w:val="36"/>
          <w:lang w:eastAsia="en-GB"/>
        </w:rPr>
        <w:t xml:space="preserve"> Ethics, Religion, and Business in Twentieth Century Britain</w:t>
      </w:r>
    </w:p>
    <w:p w:rsidR="00C916C4" w:rsidRPr="00C916C4" w:rsidRDefault="00C916C4" w:rsidP="00C916C4">
      <w:pPr>
        <w:spacing w:after="0" w:line="240" w:lineRule="auto"/>
        <w:rPr>
          <w:rFonts w:ascii="Verdana" w:eastAsia="Times New Roman" w:hAnsi="Verdana" w:cs="Times New Roman"/>
          <w:vanish/>
          <w:color w:val="18170E"/>
          <w:sz w:val="20"/>
          <w:szCs w:val="20"/>
          <w:lang w:eastAsia="en-GB"/>
        </w:rPr>
      </w:pPr>
      <w:r w:rsidRPr="00C916C4">
        <w:rPr>
          <w:rFonts w:ascii="Verdana" w:eastAsia="Times New Roman" w:hAnsi="Verdana" w:cs="Times New Roman"/>
          <w:color w:val="000065"/>
          <w:sz w:val="36"/>
          <w:szCs w:val="36"/>
          <w:lang w:eastAsia="en-GB"/>
        </w:rPr>
        <w:pict/>
      </w:r>
      <w:hyperlink r:id="rId15" w:history="1">
        <w:r>
          <w:rPr>
            <w:rFonts w:ascii="Verdana" w:eastAsia="Times New Roman" w:hAnsi="Verdana" w:cs="Times New Roman"/>
            <w:noProof/>
            <w:vanish/>
            <w:color w:val="000000"/>
            <w:sz w:val="20"/>
            <w:szCs w:val="20"/>
            <w:lang w:eastAsia="en-GB"/>
          </w:rPr>
          <w:drawing>
            <wp:inline distT="0" distB="0" distL="0" distR="0">
              <wp:extent cx="85725" cy="47625"/>
              <wp:effectExtent l="19050" t="0" r="9525" b="0"/>
              <wp:docPr id="5" name="Picture 5" descr="http://www.oxfordscholarship.com/oso/public/all_images/arrow_up.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oxfordscholarship.com/oso/public/all_images/arrow_up.gif">
                        <a:hlinkClick r:id="rId15"/>
                      </pic:cNvPr>
                      <pic:cNvPicPr>
                        <a:picLocks noChangeAspect="1" noChangeArrowheads="1"/>
                      </pic:cNvPicPr>
                    </pic:nvPicPr>
                    <pic:blipFill>
                      <a:blip r:embed="rId16"/>
                      <a:srcRect/>
                      <a:stretch>
                        <a:fillRect/>
                      </a:stretch>
                    </pic:blipFill>
                    <pic:spPr bwMode="auto">
                      <a:xfrm>
                        <a:off x="0" y="0"/>
                        <a:ext cx="85725" cy="47625"/>
                      </a:xfrm>
                      <a:prstGeom prst="rect">
                        <a:avLst/>
                      </a:prstGeom>
                      <a:noFill/>
                      <a:ln w="9525">
                        <a:noFill/>
                        <a:miter lim="800000"/>
                        <a:headEnd/>
                        <a:tailEnd/>
                      </a:ln>
                    </pic:spPr>
                  </pic:pic>
                </a:graphicData>
              </a:graphic>
            </wp:inline>
          </w:drawing>
        </w:r>
        <w:r w:rsidRPr="00C916C4">
          <w:rPr>
            <w:rFonts w:ascii="Verdana" w:eastAsia="Times New Roman" w:hAnsi="Verdana" w:cs="Times New Roman"/>
            <w:vanish/>
            <w:color w:val="000000"/>
            <w:sz w:val="20"/>
            <w:lang w:eastAsia="en-GB"/>
          </w:rPr>
          <w:t>hide abstracts</w:t>
        </w:r>
      </w:hyperlink>
    </w:p>
    <w:p w:rsidR="00C916C4" w:rsidRPr="00C916C4" w:rsidRDefault="00C916C4" w:rsidP="00C916C4">
      <w:pPr>
        <w:spacing w:after="0" w:line="240" w:lineRule="auto"/>
        <w:rPr>
          <w:rFonts w:ascii="Verdana" w:eastAsia="Times New Roman" w:hAnsi="Verdana" w:cs="Times New Roman"/>
          <w:color w:val="18170E"/>
          <w:sz w:val="20"/>
          <w:szCs w:val="20"/>
          <w:lang w:eastAsia="en-GB"/>
        </w:rPr>
      </w:pPr>
      <w:r w:rsidRPr="00C916C4">
        <w:rPr>
          <w:rFonts w:ascii="Verdana" w:eastAsia="Times New Roman" w:hAnsi="Verdana" w:cs="Times New Roman"/>
          <w:color w:val="18170E"/>
          <w:sz w:val="20"/>
          <w:szCs w:val="20"/>
          <w:lang w:eastAsia="en-GB"/>
        </w:rPr>
        <w:t xml:space="preserve">  </w:t>
      </w:r>
    </w:p>
    <w:p w:rsidR="00C916C4" w:rsidRPr="00C916C4" w:rsidRDefault="00C916C4" w:rsidP="00C916C4">
      <w:pPr>
        <w:spacing w:after="0" w:line="240" w:lineRule="auto"/>
        <w:rPr>
          <w:rFonts w:ascii="Verdana" w:eastAsia="Times New Roman" w:hAnsi="Verdana" w:cs="Times New Roman"/>
          <w:color w:val="18170E"/>
          <w:sz w:val="20"/>
          <w:szCs w:val="20"/>
          <w:lang w:eastAsia="en-GB"/>
        </w:rPr>
      </w:pPr>
      <w:r w:rsidRPr="00C916C4">
        <w:rPr>
          <w:rFonts w:ascii="Verdana" w:eastAsia="Times New Roman" w:hAnsi="Verdana" w:cs="Times New Roman"/>
          <w:b/>
          <w:bCs/>
          <w:color w:val="18170E"/>
          <w:sz w:val="27"/>
          <w:lang w:eastAsia="en-GB"/>
        </w:rPr>
        <w:t xml:space="preserve">David J. Jeremy </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b/>
          <w:bCs/>
          <w:color w:val="18170E"/>
          <w:sz w:val="24"/>
          <w:szCs w:val="24"/>
          <w:lang w:eastAsia="en-GB"/>
        </w:rPr>
        <w:t>Abstract:</w:t>
      </w:r>
      <w:r w:rsidRPr="00C916C4">
        <w:rPr>
          <w:rFonts w:ascii="Verdana" w:eastAsia="Times New Roman" w:hAnsi="Verdana" w:cs="Times New Roman"/>
          <w:color w:val="18170E"/>
          <w:sz w:val="24"/>
          <w:szCs w:val="24"/>
          <w:lang w:eastAsia="en-GB"/>
        </w:rPr>
        <w:t xml:space="preserve"> This chapter explores the theory and practice of 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in 20th century British business. After outlining the scope of business ethics, long-run patterns of 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are traced via proxies of unethical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in business. Much of the rest of the chapter investigates the sources of ethical business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and the means by which debate and prescription were translated into action and performance. One major finding is that Christian conviction and action played a central, though not a solitary, role in the emergence of the late 20th century practice of corporate social responsibility (CSR). Brief glances at unethical business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among pious business leaders and ethical business standards in the churches complete the picture. In conclusion a conundrum emerges: why have periods of national economic decline coincided with the erosion of churchgoing but few signals of unethical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in business, while periods of national economic growth coincided with a precipitate collapse in churchgoing and numerous evidences of unethical business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b/>
          <w:bCs/>
          <w:color w:val="18170E"/>
          <w:sz w:val="24"/>
          <w:szCs w:val="24"/>
          <w:lang w:eastAsia="en-GB"/>
        </w:rPr>
        <w:t>Keywords:</w:t>
      </w:r>
      <w:r w:rsidRPr="00C916C4">
        <w:rPr>
          <w:rFonts w:ascii="Verdana" w:eastAsia="Times New Roman" w:hAnsi="Verdana" w:cs="Times New Roman"/>
          <w:color w:val="18170E"/>
          <w:sz w:val="24"/>
          <w:szCs w:val="24"/>
          <w:lang w:eastAsia="en-GB"/>
        </w:rPr>
        <w:t xml:space="preserve"> </w:t>
      </w:r>
      <w:hyperlink r:id="rId17" w:history="1">
        <w:r w:rsidRPr="00C916C4">
          <w:rPr>
            <w:rFonts w:ascii="Verdana" w:eastAsia="Times New Roman" w:hAnsi="Verdana" w:cs="Times New Roman"/>
            <w:b/>
            <w:bCs/>
            <w:color w:val="A55200"/>
            <w:sz w:val="24"/>
            <w:szCs w:val="24"/>
            <w:lang w:eastAsia="en-GB"/>
          </w:rPr>
          <w:t>ethics</w:t>
        </w:r>
      </w:hyperlink>
      <w:r w:rsidRPr="00C916C4">
        <w:rPr>
          <w:rFonts w:ascii="Verdana" w:eastAsia="Times New Roman" w:hAnsi="Verdana" w:cs="Times New Roman"/>
          <w:color w:val="18170E"/>
          <w:sz w:val="24"/>
          <w:szCs w:val="24"/>
          <w:lang w:eastAsia="en-GB"/>
        </w:rPr>
        <w:t xml:space="preserve">, </w:t>
      </w:r>
      <w:hyperlink r:id="rId18" w:history="1">
        <w:r w:rsidRPr="00C916C4">
          <w:rPr>
            <w:rFonts w:ascii="Verdana" w:eastAsia="Times New Roman" w:hAnsi="Verdana" w:cs="Times New Roman"/>
            <w:b/>
            <w:bCs/>
            <w:color w:val="A55200"/>
            <w:sz w:val="24"/>
            <w:szCs w:val="24"/>
            <w:lang w:eastAsia="en-GB"/>
          </w:rPr>
          <w:t>religion</w:t>
        </w:r>
      </w:hyperlink>
      <w:r w:rsidRPr="00C916C4">
        <w:rPr>
          <w:rFonts w:ascii="Verdana" w:eastAsia="Times New Roman" w:hAnsi="Verdana" w:cs="Times New Roman"/>
          <w:color w:val="18170E"/>
          <w:sz w:val="24"/>
          <w:szCs w:val="24"/>
          <w:lang w:eastAsia="en-GB"/>
        </w:rPr>
        <w:t xml:space="preserve">, </w:t>
      </w:r>
      <w:hyperlink r:id="rId19" w:history="1">
        <w:r w:rsidRPr="00C916C4">
          <w:rPr>
            <w:rFonts w:ascii="Verdana" w:eastAsia="Times New Roman" w:hAnsi="Verdana" w:cs="Times New Roman"/>
            <w:b/>
            <w:bCs/>
            <w:color w:val="A55200"/>
            <w:sz w:val="24"/>
            <w:szCs w:val="24"/>
            <w:lang w:eastAsia="en-GB"/>
          </w:rPr>
          <w:t>business</w:t>
        </w:r>
      </w:hyperlink>
      <w:r w:rsidRPr="00C916C4">
        <w:rPr>
          <w:rFonts w:ascii="Verdana" w:eastAsia="Times New Roman" w:hAnsi="Verdana" w:cs="Times New Roman"/>
          <w:color w:val="18170E"/>
          <w:sz w:val="24"/>
          <w:szCs w:val="24"/>
          <w:lang w:eastAsia="en-GB"/>
        </w:rPr>
        <w:t xml:space="preserve">, </w:t>
      </w:r>
      <w:hyperlink r:id="rId20" w:history="1">
        <w:r w:rsidRPr="00C916C4">
          <w:rPr>
            <w:rFonts w:ascii="Verdana" w:eastAsia="Times New Roman" w:hAnsi="Verdana" w:cs="Times New Roman"/>
            <w:b/>
            <w:bCs/>
            <w:color w:val="A55200"/>
            <w:sz w:val="24"/>
            <w:szCs w:val="24"/>
            <w:lang w:eastAsia="en-GB"/>
          </w:rPr>
          <w:t>corruption</w:t>
        </w:r>
      </w:hyperlink>
      <w:r w:rsidRPr="00C916C4">
        <w:rPr>
          <w:rFonts w:ascii="Verdana" w:eastAsia="Times New Roman" w:hAnsi="Verdana" w:cs="Times New Roman"/>
          <w:color w:val="18170E"/>
          <w:sz w:val="24"/>
          <w:szCs w:val="24"/>
          <w:lang w:eastAsia="en-GB"/>
        </w:rPr>
        <w:t xml:space="preserve">, </w:t>
      </w:r>
      <w:hyperlink r:id="rId21" w:history="1">
        <w:r w:rsidRPr="00C916C4">
          <w:rPr>
            <w:rFonts w:ascii="Verdana" w:eastAsia="Times New Roman" w:hAnsi="Verdana" w:cs="Times New Roman"/>
            <w:b/>
            <w:bCs/>
            <w:color w:val="A55200"/>
            <w:sz w:val="24"/>
            <w:szCs w:val="24"/>
            <w:lang w:eastAsia="en-GB"/>
          </w:rPr>
          <w:t>fraud</w:t>
        </w:r>
      </w:hyperlink>
      <w:r w:rsidRPr="00C916C4">
        <w:rPr>
          <w:rFonts w:ascii="Verdana" w:eastAsia="Times New Roman" w:hAnsi="Verdana" w:cs="Times New Roman"/>
          <w:color w:val="18170E"/>
          <w:sz w:val="24"/>
          <w:szCs w:val="24"/>
          <w:lang w:eastAsia="en-GB"/>
        </w:rPr>
        <w:t xml:space="preserve">, </w:t>
      </w:r>
      <w:hyperlink r:id="rId22" w:history="1">
        <w:r w:rsidRPr="00C916C4">
          <w:rPr>
            <w:rFonts w:ascii="Verdana" w:eastAsia="Times New Roman" w:hAnsi="Verdana" w:cs="Times New Roman"/>
            <w:b/>
            <w:bCs/>
            <w:color w:val="A55200"/>
            <w:sz w:val="24"/>
            <w:szCs w:val="24"/>
            <w:lang w:eastAsia="en-GB"/>
          </w:rPr>
          <w:t>governance</w:t>
        </w:r>
      </w:hyperlink>
      <w:r w:rsidRPr="00C916C4">
        <w:rPr>
          <w:rFonts w:ascii="Verdana" w:eastAsia="Times New Roman" w:hAnsi="Verdana" w:cs="Times New Roman"/>
          <w:color w:val="18170E"/>
          <w:sz w:val="24"/>
          <w:szCs w:val="24"/>
          <w:lang w:eastAsia="en-GB"/>
        </w:rPr>
        <w:t xml:space="preserve">, </w:t>
      </w:r>
      <w:hyperlink r:id="rId23" w:history="1">
        <w:r w:rsidRPr="00C916C4">
          <w:rPr>
            <w:rFonts w:ascii="Verdana" w:eastAsia="Times New Roman" w:hAnsi="Verdana" w:cs="Times New Roman"/>
            <w:b/>
            <w:bCs/>
            <w:color w:val="A55200"/>
            <w:sz w:val="24"/>
            <w:szCs w:val="24"/>
            <w:lang w:eastAsia="en-GB"/>
          </w:rPr>
          <w:t>socialism</w:t>
        </w:r>
      </w:hyperlink>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In the </w:t>
      </w:r>
      <w:proofErr w:type="spellStart"/>
      <w:r w:rsidRPr="00C916C4">
        <w:rPr>
          <w:rFonts w:ascii="Verdana" w:eastAsia="Times New Roman" w:hAnsi="Verdana" w:cs="Times New Roman"/>
          <w:color w:val="18170E"/>
          <w:sz w:val="24"/>
          <w:szCs w:val="24"/>
          <w:lang w:eastAsia="en-GB"/>
        </w:rPr>
        <w:t>Judaeo</w:t>
      </w:r>
      <w:proofErr w:type="spellEnd"/>
      <w:r w:rsidRPr="00C916C4">
        <w:rPr>
          <w:rFonts w:ascii="Verdana" w:eastAsia="Times New Roman" w:hAnsi="Verdana" w:cs="Times New Roman"/>
          <w:color w:val="18170E"/>
          <w:sz w:val="24"/>
          <w:szCs w:val="24"/>
          <w:lang w:eastAsia="en-GB"/>
        </w:rPr>
        <w:t>-Christian tradition, religion and ethics have been intimately connected. Faith in a God who is invisible and eternal included the imperatives and ideals of social justice.</w:t>
      </w:r>
      <w:hyperlink r:id="rId24" w:anchor="acprof-9780199226009-note-1135" w:history="1">
        <w:r w:rsidRPr="00C916C4">
          <w:rPr>
            <w:rFonts w:ascii="Verdana" w:eastAsia="Times New Roman" w:hAnsi="Verdana" w:cs="Times New Roman"/>
            <w:color w:val="000000"/>
            <w:sz w:val="24"/>
            <w:szCs w:val="24"/>
            <w:vertAlign w:val="superscript"/>
            <w:lang w:eastAsia="en-GB"/>
          </w:rPr>
          <w:t>1</w:t>
        </w:r>
      </w:hyperlink>
      <w:r w:rsidRPr="00C916C4">
        <w:rPr>
          <w:rFonts w:ascii="Verdana" w:eastAsia="Times New Roman" w:hAnsi="Verdana" w:cs="Times New Roman"/>
          <w:color w:val="18170E"/>
          <w:sz w:val="24"/>
          <w:szCs w:val="24"/>
          <w:lang w:eastAsia="en-GB"/>
        </w:rPr>
        <w:t xml:space="preserve"> Both the Jewish law (Torah) and the teaching of Jesus, the founder of Christianity, on the one hand </w:t>
      </w:r>
      <w:proofErr w:type="spellStart"/>
      <w:r w:rsidRPr="00C916C4">
        <w:rPr>
          <w:rFonts w:ascii="Verdana" w:eastAsia="Times New Roman" w:hAnsi="Verdana" w:cs="Times New Roman"/>
          <w:color w:val="18170E"/>
          <w:sz w:val="24"/>
          <w:szCs w:val="24"/>
          <w:lang w:eastAsia="en-GB"/>
        </w:rPr>
        <w:t>labelled</w:t>
      </w:r>
      <w:proofErr w:type="spellEnd"/>
      <w:r w:rsidRPr="00C916C4">
        <w:rPr>
          <w:rFonts w:ascii="Verdana" w:eastAsia="Times New Roman" w:hAnsi="Verdana" w:cs="Times New Roman"/>
          <w:color w:val="18170E"/>
          <w:sz w:val="24"/>
          <w:szCs w:val="24"/>
          <w:lang w:eastAsia="en-GB"/>
        </w:rPr>
        <w:t xml:space="preserve"> as vices and condemned </w:t>
      </w:r>
      <w:proofErr w:type="spellStart"/>
      <w:r w:rsidRPr="00C916C4">
        <w:rPr>
          <w:rFonts w:ascii="Verdana" w:eastAsia="Times New Roman" w:hAnsi="Verdana" w:cs="Times New Roman"/>
          <w:color w:val="18170E"/>
          <w:sz w:val="24"/>
          <w:szCs w:val="24"/>
          <w:lang w:eastAsia="en-GB"/>
        </w:rPr>
        <w:t>behaviours</w:t>
      </w:r>
      <w:proofErr w:type="spellEnd"/>
      <w:r w:rsidRPr="00C916C4">
        <w:rPr>
          <w:rFonts w:ascii="Verdana" w:eastAsia="Times New Roman" w:hAnsi="Verdana" w:cs="Times New Roman"/>
          <w:color w:val="18170E"/>
          <w:sz w:val="24"/>
          <w:szCs w:val="24"/>
          <w:lang w:eastAsia="en-GB"/>
        </w:rPr>
        <w:t xml:space="preserve"> such as greediness, falsehood, the exploitation of the weak and poor, and the idolizing of material things. On the other hand they identified and praised as virtues personal characteristics such as humility, honesty, generosity, loyalty, self-sacrifice, and being a good neighbour.</w:t>
      </w:r>
      <w:hyperlink r:id="rId25" w:anchor="acprof-9780199226009-note-1136" w:history="1">
        <w:r w:rsidRPr="00C916C4">
          <w:rPr>
            <w:rFonts w:ascii="Verdana" w:eastAsia="Times New Roman" w:hAnsi="Verdana" w:cs="Times New Roman"/>
            <w:color w:val="000000"/>
            <w:sz w:val="24"/>
            <w:szCs w:val="24"/>
            <w:vertAlign w:val="superscript"/>
            <w:lang w:eastAsia="en-GB"/>
          </w:rPr>
          <w:t>2</w:t>
        </w:r>
      </w:hyperlink>
      <w:r w:rsidRPr="00C916C4">
        <w:rPr>
          <w:rFonts w:ascii="Verdana" w:eastAsia="Times New Roman" w:hAnsi="Verdana" w:cs="Times New Roman"/>
          <w:color w:val="18170E"/>
          <w:sz w:val="24"/>
          <w:szCs w:val="24"/>
          <w:lang w:eastAsia="en-GB"/>
        </w:rPr>
        <w:t xml:space="preserve"> At first sight such teaching about individual and social morality would seem inimical to the goals and methods of an acquisitive, entrepreneurial society. Adjustment came with the rediscovery during the Protestant Reformation of the sixteenth century, of the doctrine of stewardship, Christian teaching with antecedents in Judaism. The stewardship accommodation informed all the varieties of Protestant, as well as Catholic, Christianity by the early </w:t>
      </w:r>
      <w:r w:rsidRPr="00C916C4">
        <w:rPr>
          <w:rFonts w:ascii="Verdana" w:eastAsia="Times New Roman" w:hAnsi="Verdana" w:cs="Times New Roman"/>
          <w:color w:val="18170E"/>
          <w:sz w:val="24"/>
          <w:szCs w:val="24"/>
          <w:lang w:eastAsia="en-GB"/>
        </w:rPr>
        <w:lastRenderedPageBreak/>
        <w:t xml:space="preserve">twentieth century. In Britain, Christian stewardship was a widely taught ideal, until at least the 1960s. </w:t>
      </w:r>
      <w:proofErr w:type="gramStart"/>
      <w:r w:rsidRPr="00C916C4">
        <w:rPr>
          <w:rFonts w:ascii="Verdana" w:eastAsia="Times New Roman" w:hAnsi="Verdana" w:cs="Times New Roman"/>
          <w:color w:val="18170E"/>
          <w:sz w:val="24"/>
          <w:szCs w:val="24"/>
          <w:lang w:eastAsia="en-GB"/>
        </w:rPr>
        <w:t>However, in the last thirty or so years of the twentieth century, Britain emerged as a highly secularized and pluralistic society.</w:t>
      </w:r>
      <w:proofErr w:type="gramEnd"/>
      <w:r w:rsidRPr="00C916C4">
        <w:rPr>
          <w:rFonts w:ascii="Verdana" w:eastAsia="Times New Roman" w:hAnsi="Verdana" w:cs="Times New Roman"/>
          <w:color w:val="18170E"/>
          <w:sz w:val="24"/>
          <w:szCs w:val="24"/>
          <w:lang w:eastAsia="en-GB"/>
        </w:rPr>
        <w:t xml:space="preserve"> For most people religion no longer guided their ideas of the good and the right. As one Archbishop of Canterbury pointed out in the 1990s, in Britain belief and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had become privatized matters.</w:t>
      </w:r>
      <w:hyperlink r:id="rId26" w:anchor="acprof-9780199226009-note-1137" w:history="1">
        <w:r w:rsidRPr="00C916C4">
          <w:rPr>
            <w:rFonts w:ascii="Verdana" w:eastAsia="Times New Roman" w:hAnsi="Verdana" w:cs="Times New Roman"/>
            <w:color w:val="000000"/>
            <w:sz w:val="24"/>
            <w:szCs w:val="24"/>
            <w:vertAlign w:val="superscript"/>
            <w:lang w:eastAsia="en-GB"/>
          </w:rPr>
          <w:t>3</w:t>
        </w:r>
      </w:hyperlink>
      <w:r w:rsidRPr="00C916C4">
        <w:rPr>
          <w:rFonts w:ascii="Verdana" w:eastAsia="Times New Roman" w:hAnsi="Verdana" w:cs="Times New Roman"/>
          <w:color w:val="18170E"/>
          <w:sz w:val="24"/>
          <w:szCs w:val="24"/>
          <w:lang w:eastAsia="en-GB"/>
        </w:rPr>
        <w:t xml:space="preserve"> His views arose partly because of the decline in churchgoing: reportedly, from a peak of 33 per cent in 1900 (church membership in the British population as a whole), the figure moved down to 25 per cent in 1950, 23 per cent in 1965, and then 12 per cent in 2000.</w:t>
      </w:r>
      <w:hyperlink r:id="rId27" w:anchor="acprof-9780199226009-note-1138" w:history="1">
        <w:r w:rsidRPr="00C916C4">
          <w:rPr>
            <w:rFonts w:ascii="Verdana" w:eastAsia="Times New Roman" w:hAnsi="Verdana" w:cs="Times New Roman"/>
            <w:color w:val="000000"/>
            <w:sz w:val="24"/>
            <w:szCs w:val="24"/>
            <w:vertAlign w:val="superscript"/>
            <w:lang w:eastAsia="en-GB"/>
          </w:rPr>
          <w:t>4</w:t>
        </w:r>
      </w:hyperlink>
      <w:r w:rsidRPr="00C916C4">
        <w:rPr>
          <w:rFonts w:ascii="Verdana" w:eastAsia="Times New Roman" w:hAnsi="Verdana" w:cs="Times New Roman"/>
          <w:color w:val="18170E"/>
          <w:sz w:val="24"/>
          <w:szCs w:val="24"/>
          <w:lang w:eastAsia="en-GB"/>
        </w:rPr>
        <w:t xml:space="preserve"> In fact, since the social disillusion wreaked by the killing machines of the First World War, the universal absolutes of religion competed with diminishing success against relativism, materialism, and self-interest.</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Starting with an indication of the scope of business ethics, this chapter addresses a number of questions designed to explore long term trends, like decline and renaissance, in the interactions between religion, ethics, and business. Can 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in business be measured? Have there been discernible long-run patterns in 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in business, when ethical standards in business seem to have been better or worse than at other times? What have been the </w:t>
      </w:r>
    </w:p>
    <w:p w:rsidR="00C916C4" w:rsidRPr="00C916C4" w:rsidRDefault="00C916C4" w:rsidP="00C916C4">
      <w:pPr>
        <w:spacing w:line="15" w:lineRule="atLeast"/>
        <w:rPr>
          <w:rFonts w:ascii="Verdana" w:eastAsia="Times New Roman" w:hAnsi="Verdana" w:cs="Times New Roman"/>
          <w:color w:val="000065"/>
          <w:sz w:val="15"/>
          <w:szCs w:val="15"/>
          <w:lang w:eastAsia="en-GB"/>
        </w:rPr>
      </w:pPr>
      <w:proofErr w:type="gramStart"/>
      <w:r w:rsidRPr="00C916C4">
        <w:rPr>
          <w:rFonts w:ascii="Verdana" w:eastAsia="Times New Roman" w:hAnsi="Verdana" w:cs="Times New Roman"/>
          <w:color w:val="000065"/>
          <w:sz w:val="15"/>
          <w:szCs w:val="15"/>
          <w:lang w:eastAsia="en-GB"/>
        </w:rPr>
        <w:t>end</w:t>
      </w:r>
      <w:proofErr w:type="gramEnd"/>
      <w:r w:rsidRPr="00C916C4">
        <w:rPr>
          <w:rFonts w:ascii="Verdana" w:eastAsia="Times New Roman" w:hAnsi="Verdana" w:cs="Times New Roman"/>
          <w:color w:val="000065"/>
          <w:sz w:val="15"/>
          <w:szCs w:val="15"/>
          <w:lang w:eastAsia="en-GB"/>
        </w:rPr>
        <w:t xml:space="preserve"> p.356</w:t>
      </w:r>
    </w:p>
    <w:p w:rsidR="00C916C4" w:rsidRPr="00C916C4" w:rsidRDefault="00C916C4" w:rsidP="00C916C4">
      <w:pPr>
        <w:spacing w:after="150" w:line="240" w:lineRule="auto"/>
        <w:jc w:val="center"/>
        <w:rPr>
          <w:rFonts w:ascii="Verdana" w:eastAsia="Times New Roman" w:hAnsi="Verdana" w:cs="Times New Roman"/>
          <w:color w:val="18170E"/>
          <w:sz w:val="20"/>
          <w:szCs w:val="20"/>
          <w:lang w:eastAsia="en-GB"/>
        </w:rPr>
      </w:pPr>
      <w:r w:rsidRPr="00C916C4">
        <w:rPr>
          <w:rFonts w:ascii="Verdana" w:eastAsia="Times New Roman" w:hAnsi="Verdana" w:cs="Times New Roman"/>
          <w:color w:val="18170E"/>
          <w:sz w:val="20"/>
          <w:szCs w:val="20"/>
          <w:lang w:eastAsia="en-GB"/>
        </w:rPr>
        <w:t>PRINTED FROM OXFORD SCHOLARSHIP ONLINE (www.oxfordscholarship.com</w:t>
      </w:r>
      <w:proofErr w:type="gramStart"/>
      <w:r w:rsidRPr="00C916C4">
        <w:rPr>
          <w:rFonts w:ascii="Verdana" w:eastAsia="Times New Roman" w:hAnsi="Verdana" w:cs="Times New Roman"/>
          <w:color w:val="18170E"/>
          <w:sz w:val="20"/>
          <w:szCs w:val="20"/>
          <w:lang w:eastAsia="en-GB"/>
        </w:rPr>
        <w:t>)</w:t>
      </w:r>
      <w:proofErr w:type="gramEnd"/>
      <w:r w:rsidRPr="00C916C4">
        <w:rPr>
          <w:rFonts w:ascii="Verdana" w:eastAsia="Times New Roman" w:hAnsi="Verdana" w:cs="Times New Roman"/>
          <w:color w:val="18170E"/>
          <w:sz w:val="20"/>
          <w:szCs w:val="20"/>
          <w:lang w:eastAsia="en-GB"/>
        </w:rPr>
        <w:br/>
        <w:t xml:space="preserve">© Copyright Oxford University Press, </w:t>
      </w:r>
      <w:r w:rsidRPr="00C916C4">
        <w:rPr>
          <w:rFonts w:ascii="Verdana" w:eastAsia="Times New Roman" w:hAnsi="Verdana" w:cs="Times New Roman"/>
          <w:color w:val="18170E"/>
          <w:sz w:val="20"/>
          <w:szCs w:val="20"/>
          <w:lang w:eastAsia="en-GB"/>
        </w:rPr>
        <w:pict/>
      </w:r>
      <w:r w:rsidRPr="00C916C4">
        <w:rPr>
          <w:rFonts w:ascii="Verdana" w:eastAsia="Times New Roman" w:hAnsi="Verdana" w:cs="Times New Roman"/>
          <w:color w:val="18170E"/>
          <w:sz w:val="20"/>
          <w:szCs w:val="20"/>
          <w:lang w:eastAsia="en-GB"/>
        </w:rPr>
        <w:t xml:space="preserve">2003-2010. All Rights Reserved </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proofErr w:type="gramStart"/>
      <w:r w:rsidRPr="00C916C4">
        <w:rPr>
          <w:rFonts w:ascii="Verdana" w:eastAsia="Times New Roman" w:hAnsi="Verdana" w:cs="Times New Roman"/>
          <w:color w:val="18170E"/>
          <w:sz w:val="24"/>
          <w:szCs w:val="24"/>
          <w:lang w:eastAsia="en-GB"/>
        </w:rPr>
        <w:t>sources</w:t>
      </w:r>
      <w:proofErr w:type="gramEnd"/>
      <w:r w:rsidRPr="00C916C4">
        <w:rPr>
          <w:rFonts w:ascii="Verdana" w:eastAsia="Times New Roman" w:hAnsi="Verdana" w:cs="Times New Roman"/>
          <w:color w:val="18170E"/>
          <w:sz w:val="24"/>
          <w:szCs w:val="24"/>
          <w:lang w:eastAsia="en-GB"/>
        </w:rPr>
        <w:t xml:space="preserve"> of ethical standards in business in twentieth-century Britain? How have debate and prescription about business ethics been transformed into action and performance? When religion has informed ethics, have religious convictions preserved business leaders from ethical dilemmas and irresponsible choices? Have business people charged with the management of their churches’ business affairs demonstrated an ethical record superior to that of the wider UK world of business? Are there any connections between 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in business and business performance? Can business history illuminate the boundary between business, ethics, and religion?</w:t>
      </w:r>
    </w:p>
    <w:p w:rsidR="00C916C4" w:rsidRPr="00C916C4" w:rsidRDefault="00C916C4" w:rsidP="00C916C4">
      <w:pPr>
        <w:spacing w:after="150" w:line="240" w:lineRule="auto"/>
        <w:rPr>
          <w:rFonts w:ascii="Verdana" w:eastAsia="Times New Roman" w:hAnsi="Verdana" w:cs="Times New Roman"/>
          <w:color w:val="000065"/>
          <w:sz w:val="36"/>
          <w:szCs w:val="36"/>
          <w:lang w:eastAsia="en-GB"/>
        </w:rPr>
      </w:pPr>
      <w:bookmarkStart w:id="1" w:name="acprof-9780199226009-div1-88"/>
      <w:bookmarkEnd w:id="1"/>
      <w:r w:rsidRPr="00C916C4">
        <w:rPr>
          <w:rFonts w:ascii="Verdana" w:eastAsia="Times New Roman" w:hAnsi="Verdana" w:cs="Times New Roman"/>
          <w:color w:val="000065"/>
          <w:sz w:val="36"/>
          <w:szCs w:val="36"/>
          <w:lang w:eastAsia="en-GB"/>
        </w:rPr>
        <w:t>Business Ethics</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If business ethics is about the right, the good, the just in the realm of business</w:t>
      </w:r>
      <w:proofErr w:type="gramStart"/>
      <w:r w:rsidRPr="00C916C4">
        <w:rPr>
          <w:rFonts w:ascii="Verdana" w:eastAsia="Times New Roman" w:hAnsi="Verdana" w:cs="Times New Roman"/>
          <w:color w:val="18170E"/>
          <w:sz w:val="24"/>
          <w:szCs w:val="24"/>
          <w:lang w:eastAsia="en-GB"/>
        </w:rPr>
        <w:t>,</w:t>
      </w:r>
      <w:proofErr w:type="gramEnd"/>
      <w:r w:rsidRPr="00C916C4">
        <w:rPr>
          <w:rFonts w:ascii="Verdana" w:eastAsia="Times New Roman" w:hAnsi="Verdana" w:cs="Times New Roman"/>
          <w:color w:val="18170E"/>
          <w:sz w:val="24"/>
          <w:szCs w:val="24"/>
          <w:lang w:eastAsia="en-GB"/>
        </w:rPr>
        <w:fldChar w:fldCharType="begin"/>
      </w:r>
      <w:r w:rsidRPr="00C916C4">
        <w:rPr>
          <w:rFonts w:ascii="Verdana" w:eastAsia="Times New Roman" w:hAnsi="Verdana" w:cs="Times New Roman"/>
          <w:color w:val="18170E"/>
          <w:sz w:val="24"/>
          <w:szCs w:val="24"/>
          <w:lang w:eastAsia="en-GB"/>
        </w:rPr>
        <w:instrText xml:space="preserve"> HYPERLINK "http://www.oxfordscholarship.com/oso/private/content/management/9780199226009/p088.html" \l "acprof-9780199226009-note-1139" </w:instrText>
      </w:r>
      <w:r w:rsidRPr="00C916C4">
        <w:rPr>
          <w:rFonts w:ascii="Verdana" w:eastAsia="Times New Roman" w:hAnsi="Verdana" w:cs="Times New Roman"/>
          <w:color w:val="18170E"/>
          <w:sz w:val="24"/>
          <w:szCs w:val="24"/>
          <w:lang w:eastAsia="en-GB"/>
        </w:rPr>
        <w:fldChar w:fldCharType="separate"/>
      </w:r>
      <w:r w:rsidRPr="00C916C4">
        <w:rPr>
          <w:rFonts w:ascii="Verdana" w:eastAsia="Times New Roman" w:hAnsi="Verdana" w:cs="Times New Roman"/>
          <w:color w:val="000000"/>
          <w:sz w:val="24"/>
          <w:szCs w:val="24"/>
          <w:vertAlign w:val="superscript"/>
          <w:lang w:eastAsia="en-GB"/>
        </w:rPr>
        <w:t>5</w:t>
      </w:r>
      <w:r w:rsidRPr="00C916C4">
        <w:rPr>
          <w:rFonts w:ascii="Verdana" w:eastAsia="Times New Roman" w:hAnsi="Verdana" w:cs="Times New Roman"/>
          <w:color w:val="18170E"/>
          <w:sz w:val="24"/>
          <w:szCs w:val="24"/>
          <w:lang w:eastAsia="en-GB"/>
        </w:rPr>
        <w:fldChar w:fldCharType="end"/>
      </w:r>
      <w:r w:rsidRPr="00C916C4">
        <w:rPr>
          <w:rFonts w:ascii="Verdana" w:eastAsia="Times New Roman" w:hAnsi="Verdana" w:cs="Times New Roman"/>
          <w:color w:val="18170E"/>
          <w:sz w:val="24"/>
          <w:szCs w:val="24"/>
          <w:lang w:eastAsia="en-GB"/>
        </w:rPr>
        <w:t xml:space="preserve"> directors and managers (with whose perspective this chapter is mostly concerned) face in two directions at once.</w:t>
      </w:r>
      <w:hyperlink r:id="rId28" w:anchor="acprof-9780199226009-note-1140" w:history="1">
        <w:r w:rsidRPr="00C916C4">
          <w:rPr>
            <w:rFonts w:ascii="Verdana" w:eastAsia="Times New Roman" w:hAnsi="Verdana" w:cs="Times New Roman"/>
            <w:color w:val="000000"/>
            <w:sz w:val="24"/>
            <w:szCs w:val="24"/>
            <w:vertAlign w:val="superscript"/>
            <w:lang w:eastAsia="en-GB"/>
          </w:rPr>
          <w:t>6</w:t>
        </w:r>
      </w:hyperlink>
      <w:r w:rsidRPr="00C916C4">
        <w:rPr>
          <w:rFonts w:ascii="Verdana" w:eastAsia="Times New Roman" w:hAnsi="Verdana" w:cs="Times New Roman"/>
          <w:color w:val="18170E"/>
          <w:sz w:val="24"/>
          <w:szCs w:val="24"/>
          <w:lang w:eastAsia="en-GB"/>
        </w:rPr>
        <w:t xml:space="preserve"> They face inwards, looking at interpersonal issues and problems within their company. They face outwards, towards the company's social and natural environment. Two sets of ethical issues occur. Within the company these include relations between directors and shareholders (method and amounts in rewarding directors for example); fairness between employees (gender and ethnic issues); health and safety; or the ethical dimension of corporate culture formation. Externally there are relations with customers, suppliers, and competitors; truth in advertising; the corporate impact on the community and the natural environment; corporate activities in </w:t>
      </w:r>
      <w:r w:rsidRPr="00C916C4">
        <w:rPr>
          <w:rFonts w:ascii="Verdana" w:eastAsia="Times New Roman" w:hAnsi="Verdana" w:cs="Times New Roman"/>
          <w:color w:val="18170E"/>
          <w:sz w:val="24"/>
          <w:szCs w:val="24"/>
          <w:lang w:eastAsia="en-GB"/>
        </w:rPr>
        <w:lastRenderedPageBreak/>
        <w:t>politics (party donations, lobbying for industry or company interests, for example). In the former (inward interface), directors and managers are creating a moral environment within the corporation. In the latter (outward interface) the corporation is situated within society's prevailing moral environment and directors/managers are steering their business in response to the expectations and demands set by that society. At the firm level, observance of high ethical standards in business relationships lent an organization, or a business leader, a reputation which engendered public trust and respect.</w:t>
      </w:r>
      <w:hyperlink r:id="rId29" w:anchor="acprof-9780199226009-note-1141" w:history="1">
        <w:r w:rsidRPr="00C916C4">
          <w:rPr>
            <w:rFonts w:ascii="Verdana" w:eastAsia="Times New Roman" w:hAnsi="Verdana" w:cs="Times New Roman"/>
            <w:color w:val="000000"/>
            <w:sz w:val="24"/>
            <w:szCs w:val="24"/>
            <w:vertAlign w:val="superscript"/>
            <w:lang w:eastAsia="en-GB"/>
          </w:rPr>
          <w:t>7</w:t>
        </w:r>
      </w:hyperlink>
    </w:p>
    <w:p w:rsidR="00C916C4" w:rsidRPr="00C916C4" w:rsidRDefault="00C916C4" w:rsidP="00C916C4">
      <w:pPr>
        <w:spacing w:after="150" w:line="240" w:lineRule="auto"/>
        <w:rPr>
          <w:rFonts w:ascii="Verdana" w:eastAsia="Times New Roman" w:hAnsi="Verdana" w:cs="Times New Roman"/>
          <w:color w:val="000065"/>
          <w:sz w:val="36"/>
          <w:szCs w:val="36"/>
          <w:lang w:eastAsia="en-GB"/>
        </w:rPr>
      </w:pPr>
      <w:bookmarkStart w:id="2" w:name="acprof-9780199226009-div1-89"/>
      <w:bookmarkEnd w:id="2"/>
      <w:r w:rsidRPr="00C916C4">
        <w:rPr>
          <w:rFonts w:ascii="Verdana" w:eastAsia="Times New Roman" w:hAnsi="Verdana" w:cs="Times New Roman"/>
          <w:color w:val="000065"/>
          <w:sz w:val="36"/>
          <w:szCs w:val="36"/>
          <w:lang w:eastAsia="en-GB"/>
        </w:rPr>
        <w:t xml:space="preserve">Can Ethical </w:t>
      </w:r>
      <w:proofErr w:type="spellStart"/>
      <w:r w:rsidRPr="00C916C4">
        <w:rPr>
          <w:rFonts w:ascii="Verdana" w:eastAsia="Times New Roman" w:hAnsi="Verdana" w:cs="Times New Roman"/>
          <w:color w:val="000065"/>
          <w:sz w:val="36"/>
          <w:szCs w:val="36"/>
          <w:lang w:eastAsia="en-GB"/>
        </w:rPr>
        <w:t>Behaviour</w:t>
      </w:r>
      <w:proofErr w:type="spellEnd"/>
      <w:r w:rsidRPr="00C916C4">
        <w:rPr>
          <w:rFonts w:ascii="Verdana" w:eastAsia="Times New Roman" w:hAnsi="Verdana" w:cs="Times New Roman"/>
          <w:color w:val="000065"/>
          <w:sz w:val="36"/>
          <w:szCs w:val="36"/>
          <w:lang w:eastAsia="en-GB"/>
        </w:rPr>
        <w:t xml:space="preserve"> in Business Be Measured?</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In any precise way, the answer to this question is no. However, there are proxies that can be used as indicators. For example, measures of philanthropic giving might be constructed. But these would have to be associated with business activity. The Companies Act of 1967 required the disclosure of charitable donations in the annual report and accounts. Under-reporting of donations has forced researchers to discover the dimensions and directions of corporate philanthropy by recourse to other sources such as Charities Aid Foundation data. They show </w:t>
      </w:r>
    </w:p>
    <w:p w:rsidR="00C916C4" w:rsidRPr="00C916C4" w:rsidRDefault="00C916C4" w:rsidP="00C916C4">
      <w:pPr>
        <w:spacing w:line="15" w:lineRule="atLeast"/>
        <w:rPr>
          <w:rFonts w:ascii="Verdana" w:eastAsia="Times New Roman" w:hAnsi="Verdana" w:cs="Times New Roman"/>
          <w:color w:val="000065"/>
          <w:sz w:val="15"/>
          <w:szCs w:val="15"/>
          <w:lang w:eastAsia="en-GB"/>
        </w:rPr>
      </w:pPr>
      <w:proofErr w:type="gramStart"/>
      <w:r w:rsidRPr="00C916C4">
        <w:rPr>
          <w:rFonts w:ascii="Verdana" w:eastAsia="Times New Roman" w:hAnsi="Verdana" w:cs="Times New Roman"/>
          <w:color w:val="000065"/>
          <w:sz w:val="15"/>
          <w:szCs w:val="15"/>
          <w:lang w:eastAsia="en-GB"/>
        </w:rPr>
        <w:t>end</w:t>
      </w:r>
      <w:proofErr w:type="gramEnd"/>
      <w:r w:rsidRPr="00C916C4">
        <w:rPr>
          <w:rFonts w:ascii="Verdana" w:eastAsia="Times New Roman" w:hAnsi="Verdana" w:cs="Times New Roman"/>
          <w:color w:val="000065"/>
          <w:sz w:val="15"/>
          <w:szCs w:val="15"/>
          <w:lang w:eastAsia="en-GB"/>
        </w:rPr>
        <w:t xml:space="preserve"> p.357</w:t>
      </w:r>
    </w:p>
    <w:p w:rsidR="00C916C4" w:rsidRPr="00C916C4" w:rsidRDefault="00C916C4" w:rsidP="00C916C4">
      <w:pPr>
        <w:spacing w:after="150" w:line="240" w:lineRule="auto"/>
        <w:jc w:val="center"/>
        <w:rPr>
          <w:rFonts w:ascii="Verdana" w:eastAsia="Times New Roman" w:hAnsi="Verdana" w:cs="Times New Roman"/>
          <w:color w:val="18170E"/>
          <w:sz w:val="20"/>
          <w:szCs w:val="20"/>
          <w:lang w:eastAsia="en-GB"/>
        </w:rPr>
      </w:pPr>
      <w:r w:rsidRPr="00C916C4">
        <w:rPr>
          <w:rFonts w:ascii="Verdana" w:eastAsia="Times New Roman" w:hAnsi="Verdana" w:cs="Times New Roman"/>
          <w:color w:val="18170E"/>
          <w:sz w:val="20"/>
          <w:szCs w:val="20"/>
          <w:lang w:eastAsia="en-GB"/>
        </w:rPr>
        <w:t>PRINTED FROM OXFORD SCHOLARSHIP ONLINE (www.oxfordscholarship.com</w:t>
      </w:r>
      <w:proofErr w:type="gramStart"/>
      <w:r w:rsidRPr="00C916C4">
        <w:rPr>
          <w:rFonts w:ascii="Verdana" w:eastAsia="Times New Roman" w:hAnsi="Verdana" w:cs="Times New Roman"/>
          <w:color w:val="18170E"/>
          <w:sz w:val="20"/>
          <w:szCs w:val="20"/>
          <w:lang w:eastAsia="en-GB"/>
        </w:rPr>
        <w:t>)</w:t>
      </w:r>
      <w:proofErr w:type="gramEnd"/>
      <w:r w:rsidRPr="00C916C4">
        <w:rPr>
          <w:rFonts w:ascii="Verdana" w:eastAsia="Times New Roman" w:hAnsi="Verdana" w:cs="Times New Roman"/>
          <w:color w:val="18170E"/>
          <w:sz w:val="20"/>
          <w:szCs w:val="20"/>
          <w:lang w:eastAsia="en-GB"/>
        </w:rPr>
        <w:br/>
        <w:t xml:space="preserve">© Copyright Oxford University Press, </w:t>
      </w:r>
      <w:r w:rsidRPr="00C916C4">
        <w:rPr>
          <w:rFonts w:ascii="Verdana" w:eastAsia="Times New Roman" w:hAnsi="Verdana" w:cs="Times New Roman"/>
          <w:color w:val="18170E"/>
          <w:sz w:val="20"/>
          <w:szCs w:val="20"/>
          <w:lang w:eastAsia="en-GB"/>
        </w:rPr>
        <w:pict/>
      </w:r>
      <w:r w:rsidRPr="00C916C4">
        <w:rPr>
          <w:rFonts w:ascii="Verdana" w:eastAsia="Times New Roman" w:hAnsi="Verdana" w:cs="Times New Roman"/>
          <w:color w:val="18170E"/>
          <w:sz w:val="20"/>
          <w:szCs w:val="20"/>
          <w:lang w:eastAsia="en-GB"/>
        </w:rPr>
        <w:t xml:space="preserve">2003-2010. All Rights Reserved </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proofErr w:type="gramStart"/>
      <w:r w:rsidRPr="00C916C4">
        <w:rPr>
          <w:rFonts w:ascii="Verdana" w:eastAsia="Times New Roman" w:hAnsi="Verdana" w:cs="Times New Roman"/>
          <w:color w:val="18170E"/>
          <w:sz w:val="24"/>
          <w:szCs w:val="24"/>
          <w:lang w:eastAsia="en-GB"/>
        </w:rPr>
        <w:t>that</w:t>
      </w:r>
      <w:proofErr w:type="gramEnd"/>
      <w:r w:rsidRPr="00C916C4">
        <w:rPr>
          <w:rFonts w:ascii="Verdana" w:eastAsia="Times New Roman" w:hAnsi="Verdana" w:cs="Times New Roman"/>
          <w:color w:val="18170E"/>
          <w:sz w:val="24"/>
          <w:szCs w:val="24"/>
          <w:lang w:eastAsia="en-GB"/>
        </w:rPr>
        <w:t xml:space="preserve"> between 1979 and 1986, company charitable giving never exceeded a quarter of 1 per cent of the collective pre-tax profits (or about £40 million to £60 million) of the 200 top companies.</w:t>
      </w:r>
      <w:hyperlink r:id="rId30" w:anchor="acprof-9780199226009-note-1142" w:history="1">
        <w:r w:rsidRPr="00C916C4">
          <w:rPr>
            <w:rFonts w:ascii="Verdana" w:eastAsia="Times New Roman" w:hAnsi="Verdana" w:cs="Times New Roman"/>
            <w:color w:val="000000"/>
            <w:sz w:val="24"/>
            <w:szCs w:val="24"/>
            <w:vertAlign w:val="superscript"/>
            <w:lang w:eastAsia="en-GB"/>
          </w:rPr>
          <w:t>8</w:t>
        </w:r>
      </w:hyperlink>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From the perspective of this chapter, the major weakness of these post-1967 data is that they are limited in time. More promising for a long-run view of business ethics are estimates of unethical business. One relatively consistent measure is the annual number of cases of compulsory windings-up. Circumstances under which company winding-up could be enforced were defined in the Companies (Winding-up) Act of 1890, and were preserved over the century in the Companies Acts of 1908, 1929, and 1948, and the Insolvency Act of 1986.</w:t>
      </w:r>
      <w:hyperlink r:id="rId31" w:anchor="acprof-9780199226009-note-1143" w:history="1">
        <w:r w:rsidRPr="00C916C4">
          <w:rPr>
            <w:rFonts w:ascii="Verdana" w:eastAsia="Times New Roman" w:hAnsi="Verdana" w:cs="Times New Roman"/>
            <w:color w:val="000000"/>
            <w:sz w:val="24"/>
            <w:szCs w:val="24"/>
            <w:vertAlign w:val="superscript"/>
            <w:lang w:eastAsia="en-GB"/>
          </w:rPr>
          <w:t>9</w:t>
        </w:r>
      </w:hyperlink>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Compulsory, as opposed to voluntary, liquidation invariably arose from forms of unethical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The Inspector General in Companies Liquidation observed in his first report to the Board of Trade in 1891, </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On the whole it would be a difficult, if not an impossible task, to select out of the whole number of cases wound up by the Court during the year, a single case in which it could be said that the objects of the company were reasonable, that its promotion and management were honest, and that its failure was due chiefly to misfortune.</w:t>
      </w:r>
      <w:hyperlink r:id="rId32" w:anchor="acprof-9780199226009-note-1144" w:history="1">
        <w:r w:rsidRPr="00C916C4">
          <w:rPr>
            <w:rFonts w:ascii="Verdana" w:eastAsia="Times New Roman" w:hAnsi="Verdana" w:cs="Times New Roman"/>
            <w:color w:val="000000"/>
            <w:sz w:val="24"/>
            <w:szCs w:val="24"/>
            <w:vertAlign w:val="superscript"/>
            <w:lang w:eastAsia="en-GB"/>
          </w:rPr>
          <w:t>10</w:t>
        </w:r>
      </w:hyperlink>
      <w:r w:rsidRPr="00C916C4">
        <w:rPr>
          <w:rFonts w:ascii="Verdana" w:eastAsia="Times New Roman" w:hAnsi="Verdana" w:cs="Times New Roman"/>
          <w:color w:val="18170E"/>
          <w:sz w:val="24"/>
          <w:szCs w:val="24"/>
          <w:lang w:eastAsia="en-GB"/>
        </w:rPr>
        <w:t xml:space="preserve"> </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Over a century later, but this time referring to Section 122 of the Insolvency Act, legal commentators could observe that ‘by far the most important ground for winding up a company is that the company is unable to pay its debts, and the next most important ground, that the court is of the opinion that it is just and equitable that the company should be wound up’.</w:t>
      </w:r>
      <w:hyperlink r:id="rId33" w:anchor="acprof-9780199226009-note-1145" w:history="1">
        <w:r w:rsidRPr="00C916C4">
          <w:rPr>
            <w:rFonts w:ascii="Verdana" w:eastAsia="Times New Roman" w:hAnsi="Verdana" w:cs="Times New Roman"/>
            <w:color w:val="000000"/>
            <w:sz w:val="24"/>
            <w:szCs w:val="24"/>
            <w:vertAlign w:val="superscript"/>
            <w:lang w:eastAsia="en-GB"/>
          </w:rPr>
          <w:t>11</w:t>
        </w:r>
      </w:hyperlink>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lastRenderedPageBreak/>
        <w:t>Spanning such a long period of time, inevitably there are problems with this metric. First and foremost, compulsory winding-up might be due to technical incompetence rather than moral failure. In addition, unethically-run companies succeeded in evading legal penalties. Third, the law might have been applied unevenly. Little is known about the Registrar General of Companies and the thoroughness, or lack of, with which the tens, and later hundreds, of thousands, of companies were monitored. There were a number of courts, so there may have been some variation in the application of the law. While the statutory criteria for compulsory liquidation have remained constant, their interpretation by the courts will have varied, in one direction or another. Until a detailed examination of the matter is made, the series seems to offer a useful long-term barometer of unethical activity in business. Of course, grounds for winding-up were not the only reasons for bringing directors into the courts. Nor, if the data were available, is it clear whether the investigator should tally numbers of companies, their shareholders’ capital plus what they owed their creditors, or numbers of directors involved. Here numbers of companies has been the chosen measure.</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The Companies Acts of 1907, 1929, 1948, 1980, 1981, and 1985 increased the range of </w:t>
      </w:r>
      <w:proofErr w:type="spellStart"/>
      <w:r w:rsidRPr="00C916C4">
        <w:rPr>
          <w:rFonts w:ascii="Verdana" w:eastAsia="Times New Roman" w:hAnsi="Verdana" w:cs="Times New Roman"/>
          <w:color w:val="18170E"/>
          <w:sz w:val="24"/>
          <w:szCs w:val="24"/>
          <w:lang w:eastAsia="en-GB"/>
        </w:rPr>
        <w:t>misdemeanours</w:t>
      </w:r>
      <w:proofErr w:type="spellEnd"/>
      <w:r w:rsidRPr="00C916C4">
        <w:rPr>
          <w:rFonts w:ascii="Verdana" w:eastAsia="Times New Roman" w:hAnsi="Verdana" w:cs="Times New Roman"/>
          <w:color w:val="18170E"/>
          <w:sz w:val="24"/>
          <w:szCs w:val="24"/>
          <w:lang w:eastAsia="en-GB"/>
        </w:rPr>
        <w:t xml:space="preserve"> for which an individual could be fined, disqualified, or brought into the criminal courts, or his companies be dissolved. To provide some indication of their effect, numbers of failures to observe the law, reported annually by the Registrar of Companies, without distinguishing between large </w:t>
      </w:r>
    </w:p>
    <w:p w:rsidR="00C916C4" w:rsidRPr="00C916C4" w:rsidRDefault="00C916C4" w:rsidP="00C916C4">
      <w:pPr>
        <w:spacing w:line="15" w:lineRule="atLeast"/>
        <w:rPr>
          <w:rFonts w:ascii="Verdana" w:eastAsia="Times New Roman" w:hAnsi="Verdana" w:cs="Times New Roman"/>
          <w:color w:val="000065"/>
          <w:sz w:val="15"/>
          <w:szCs w:val="15"/>
          <w:lang w:eastAsia="en-GB"/>
        </w:rPr>
      </w:pPr>
      <w:proofErr w:type="gramStart"/>
      <w:r w:rsidRPr="00C916C4">
        <w:rPr>
          <w:rFonts w:ascii="Verdana" w:eastAsia="Times New Roman" w:hAnsi="Verdana" w:cs="Times New Roman"/>
          <w:color w:val="000065"/>
          <w:sz w:val="15"/>
          <w:szCs w:val="15"/>
          <w:lang w:eastAsia="en-GB"/>
        </w:rPr>
        <w:t>end</w:t>
      </w:r>
      <w:proofErr w:type="gramEnd"/>
      <w:r w:rsidRPr="00C916C4">
        <w:rPr>
          <w:rFonts w:ascii="Verdana" w:eastAsia="Times New Roman" w:hAnsi="Verdana" w:cs="Times New Roman"/>
          <w:color w:val="000065"/>
          <w:sz w:val="15"/>
          <w:szCs w:val="15"/>
          <w:lang w:eastAsia="en-GB"/>
        </w:rPr>
        <w:t xml:space="preserve"> p.358</w:t>
      </w:r>
    </w:p>
    <w:p w:rsidR="00C916C4" w:rsidRPr="00C916C4" w:rsidRDefault="00C916C4" w:rsidP="00C916C4">
      <w:pPr>
        <w:spacing w:after="150" w:line="240" w:lineRule="auto"/>
        <w:jc w:val="center"/>
        <w:rPr>
          <w:rFonts w:ascii="Verdana" w:eastAsia="Times New Roman" w:hAnsi="Verdana" w:cs="Times New Roman"/>
          <w:color w:val="18170E"/>
          <w:sz w:val="20"/>
          <w:szCs w:val="20"/>
          <w:lang w:eastAsia="en-GB"/>
        </w:rPr>
      </w:pPr>
      <w:r w:rsidRPr="00C916C4">
        <w:rPr>
          <w:rFonts w:ascii="Verdana" w:eastAsia="Times New Roman" w:hAnsi="Verdana" w:cs="Times New Roman"/>
          <w:color w:val="18170E"/>
          <w:sz w:val="20"/>
          <w:szCs w:val="20"/>
          <w:lang w:eastAsia="en-GB"/>
        </w:rPr>
        <w:t>PRINTED FROM OXFORD SCHOLARSHIP ONLINE (www.oxfordscholarship.com</w:t>
      </w:r>
      <w:proofErr w:type="gramStart"/>
      <w:r w:rsidRPr="00C916C4">
        <w:rPr>
          <w:rFonts w:ascii="Verdana" w:eastAsia="Times New Roman" w:hAnsi="Verdana" w:cs="Times New Roman"/>
          <w:color w:val="18170E"/>
          <w:sz w:val="20"/>
          <w:szCs w:val="20"/>
          <w:lang w:eastAsia="en-GB"/>
        </w:rPr>
        <w:t>)</w:t>
      </w:r>
      <w:proofErr w:type="gramEnd"/>
      <w:r w:rsidRPr="00C916C4">
        <w:rPr>
          <w:rFonts w:ascii="Verdana" w:eastAsia="Times New Roman" w:hAnsi="Verdana" w:cs="Times New Roman"/>
          <w:color w:val="18170E"/>
          <w:sz w:val="20"/>
          <w:szCs w:val="20"/>
          <w:lang w:eastAsia="en-GB"/>
        </w:rPr>
        <w:br/>
        <w:t xml:space="preserve">© Copyright Oxford University Press, </w:t>
      </w:r>
      <w:r w:rsidRPr="00C916C4">
        <w:rPr>
          <w:rFonts w:ascii="Verdana" w:eastAsia="Times New Roman" w:hAnsi="Verdana" w:cs="Times New Roman"/>
          <w:color w:val="18170E"/>
          <w:sz w:val="20"/>
          <w:szCs w:val="20"/>
          <w:lang w:eastAsia="en-GB"/>
        </w:rPr>
        <w:pict/>
      </w:r>
      <w:r w:rsidRPr="00C916C4">
        <w:rPr>
          <w:rFonts w:ascii="Verdana" w:eastAsia="Times New Roman" w:hAnsi="Verdana" w:cs="Times New Roman"/>
          <w:color w:val="18170E"/>
          <w:sz w:val="20"/>
          <w:szCs w:val="20"/>
          <w:lang w:eastAsia="en-GB"/>
        </w:rPr>
        <w:t xml:space="preserve">2003-2010. All Rights Reserved </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proofErr w:type="gramStart"/>
      <w:r w:rsidRPr="00C916C4">
        <w:rPr>
          <w:rFonts w:ascii="Verdana" w:eastAsia="Times New Roman" w:hAnsi="Verdana" w:cs="Times New Roman"/>
          <w:color w:val="18170E"/>
          <w:sz w:val="24"/>
          <w:szCs w:val="24"/>
          <w:lang w:eastAsia="en-GB"/>
        </w:rPr>
        <w:t>or</w:t>
      </w:r>
      <w:proofErr w:type="gramEnd"/>
      <w:r w:rsidRPr="00C916C4">
        <w:rPr>
          <w:rFonts w:ascii="Verdana" w:eastAsia="Times New Roman" w:hAnsi="Verdana" w:cs="Times New Roman"/>
          <w:color w:val="18170E"/>
          <w:sz w:val="24"/>
          <w:szCs w:val="24"/>
          <w:lang w:eastAsia="en-GB"/>
        </w:rPr>
        <w:t xml:space="preserve"> small violations or between companies and individuals, may be counted. This has also been attempted below.</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Another way of measuring unethical activity is to assemble a chronological table of scandalous cases. This has the weakness of being confined to cases of high public interest, rather than the general level of unethical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and the selection of cases, directed by the need to sell newspapers, cannot be objective. Nevertheless, it is used here in conjunction with the long-run data on compulsorily liquidated companies.</w:t>
      </w:r>
    </w:p>
    <w:p w:rsidR="00C916C4" w:rsidRPr="00C916C4" w:rsidRDefault="00C916C4" w:rsidP="00C916C4">
      <w:pPr>
        <w:spacing w:after="150" w:line="240" w:lineRule="auto"/>
        <w:rPr>
          <w:rFonts w:ascii="Verdana" w:eastAsia="Times New Roman" w:hAnsi="Verdana" w:cs="Times New Roman"/>
          <w:color w:val="000065"/>
          <w:sz w:val="36"/>
          <w:szCs w:val="36"/>
          <w:lang w:eastAsia="en-GB"/>
        </w:rPr>
      </w:pPr>
      <w:bookmarkStart w:id="3" w:name="acprof-9780199226009-div1-90"/>
      <w:bookmarkEnd w:id="3"/>
      <w:r w:rsidRPr="00C916C4">
        <w:rPr>
          <w:rFonts w:ascii="Verdana" w:eastAsia="Times New Roman" w:hAnsi="Verdana" w:cs="Times New Roman"/>
          <w:color w:val="000065"/>
          <w:sz w:val="36"/>
          <w:szCs w:val="36"/>
          <w:lang w:eastAsia="en-GB"/>
        </w:rPr>
        <w:t xml:space="preserve">Have There Been Discernible Long-Run Patterns in Ethical </w:t>
      </w:r>
      <w:proofErr w:type="spellStart"/>
      <w:r w:rsidRPr="00C916C4">
        <w:rPr>
          <w:rFonts w:ascii="Verdana" w:eastAsia="Times New Roman" w:hAnsi="Verdana" w:cs="Times New Roman"/>
          <w:color w:val="000065"/>
          <w:sz w:val="36"/>
          <w:szCs w:val="36"/>
          <w:lang w:eastAsia="en-GB"/>
        </w:rPr>
        <w:t>Behaviour</w:t>
      </w:r>
      <w:proofErr w:type="spellEnd"/>
      <w:r w:rsidRPr="00C916C4">
        <w:rPr>
          <w:rFonts w:ascii="Verdana" w:eastAsia="Times New Roman" w:hAnsi="Verdana" w:cs="Times New Roman"/>
          <w:color w:val="000065"/>
          <w:sz w:val="36"/>
          <w:szCs w:val="36"/>
          <w:lang w:eastAsia="en-GB"/>
        </w:rPr>
        <w:t xml:space="preserve"> in Business, When Ethical Standards in Business Seem to Have Been Better or Worse Than at Other Times?</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Unsurprisingly, in view of Sir Francis Bacon's aphorism that ‘prosperity doth best discover vice, but adversity doth best discover virtue’, some of the lowest levels of unethical business </w:t>
      </w:r>
      <w:proofErr w:type="spellStart"/>
      <w:r w:rsidRPr="00C916C4">
        <w:rPr>
          <w:rFonts w:ascii="Verdana" w:eastAsia="Times New Roman" w:hAnsi="Verdana" w:cs="Times New Roman"/>
          <w:color w:val="18170E"/>
          <w:sz w:val="24"/>
          <w:szCs w:val="24"/>
          <w:lang w:eastAsia="en-GB"/>
        </w:rPr>
        <w:t>behaviour</w:t>
      </w:r>
      <w:proofErr w:type="spellEnd"/>
      <w:r w:rsidRPr="00C916C4">
        <w:rPr>
          <w:rFonts w:ascii="Verdana" w:eastAsia="Times New Roman" w:hAnsi="Verdana" w:cs="Times New Roman"/>
          <w:color w:val="18170E"/>
          <w:sz w:val="24"/>
          <w:szCs w:val="24"/>
          <w:lang w:eastAsia="en-GB"/>
        </w:rPr>
        <w:t xml:space="preserve"> appear to have been experienced during the First and Second World Wars – and the highest levels in the prosperous decades at the end of the century. The Chart </w:t>
      </w:r>
      <w:r w:rsidRPr="00C916C4">
        <w:rPr>
          <w:rFonts w:ascii="Verdana" w:eastAsia="Times New Roman" w:hAnsi="Verdana" w:cs="Times New Roman"/>
          <w:color w:val="18170E"/>
          <w:sz w:val="24"/>
          <w:szCs w:val="24"/>
          <w:lang w:eastAsia="en-GB"/>
        </w:rPr>
        <w:lastRenderedPageBreak/>
        <w:t xml:space="preserve">reveals the relative situation according to two metrics. Measured by compulsory liquidations as a proportion of the numbers of companies in existence, it seems that the incidence of corporate </w:t>
      </w:r>
      <w:proofErr w:type="spellStart"/>
      <w:r w:rsidRPr="00C916C4">
        <w:rPr>
          <w:rFonts w:ascii="Verdana" w:eastAsia="Times New Roman" w:hAnsi="Verdana" w:cs="Times New Roman"/>
          <w:color w:val="18170E"/>
          <w:sz w:val="24"/>
          <w:szCs w:val="24"/>
          <w:lang w:eastAsia="en-GB"/>
        </w:rPr>
        <w:t>misbehaviour</w:t>
      </w:r>
      <w:proofErr w:type="spellEnd"/>
      <w:r w:rsidRPr="00C916C4">
        <w:rPr>
          <w:rFonts w:ascii="Verdana" w:eastAsia="Times New Roman" w:hAnsi="Verdana" w:cs="Times New Roman"/>
          <w:color w:val="18170E"/>
          <w:sz w:val="24"/>
          <w:szCs w:val="24"/>
          <w:lang w:eastAsia="en-GB"/>
        </w:rPr>
        <w:t xml:space="preserve"> in the 1890s was not exceeded again until 1982–6 and 1989–96. Including all corporate offences (kinds of which were increased over the course of the century)</w:t>
      </w:r>
      <w:proofErr w:type="gramStart"/>
      <w:r w:rsidRPr="00C916C4">
        <w:rPr>
          <w:rFonts w:ascii="Verdana" w:eastAsia="Times New Roman" w:hAnsi="Verdana" w:cs="Times New Roman"/>
          <w:color w:val="18170E"/>
          <w:sz w:val="24"/>
          <w:szCs w:val="24"/>
          <w:lang w:eastAsia="en-GB"/>
        </w:rPr>
        <w:t>,</w:t>
      </w:r>
      <w:proofErr w:type="gramEnd"/>
      <w:r w:rsidRPr="00C916C4">
        <w:rPr>
          <w:rFonts w:ascii="Verdana" w:eastAsia="Times New Roman" w:hAnsi="Verdana" w:cs="Times New Roman"/>
          <w:color w:val="18170E"/>
          <w:sz w:val="24"/>
          <w:szCs w:val="24"/>
          <w:lang w:eastAsia="en-GB"/>
        </w:rPr>
        <w:t xml:space="preserve"> the 1890s levels were briefly equaled in 1938–9 but not reached again until 1973. From then until the end of the century, mid-1890s levels were exceeded almost every year. Between 1973 and 2000 the numbers of corporate violations as a proportion of the number of companies in existence was above 1 per cent in 17 out of 28 years.</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If absolute figures (not shown in the Chart) are used, the picture is worse: no more than 150 compulsory liquidations per annum in the 1890s; no more than 300 p.a. in the 1920s; no more than 400 p.a. in the 1930s. Until 1967 no more than 1,000 compulsory liquidations per annum were recorded. Levels of over 5,000 per </w:t>
      </w:r>
      <w:proofErr w:type="spellStart"/>
      <w:r w:rsidRPr="00C916C4">
        <w:rPr>
          <w:rFonts w:ascii="Verdana" w:eastAsia="Times New Roman" w:hAnsi="Verdana" w:cs="Times New Roman"/>
          <w:color w:val="18170E"/>
          <w:sz w:val="24"/>
          <w:szCs w:val="24"/>
          <w:lang w:eastAsia="en-GB"/>
        </w:rPr>
        <w:t>anum</w:t>
      </w:r>
      <w:proofErr w:type="spellEnd"/>
      <w:r w:rsidRPr="00C916C4">
        <w:rPr>
          <w:rFonts w:ascii="Verdana" w:eastAsia="Times New Roman" w:hAnsi="Verdana" w:cs="Times New Roman"/>
          <w:color w:val="18170E"/>
          <w:sz w:val="24"/>
          <w:szCs w:val="24"/>
          <w:lang w:eastAsia="en-GB"/>
        </w:rPr>
        <w:t xml:space="preserve"> were reached in 1983–7 and in every year 1990–2000 bar one (1999). An absolute height of 9,861 compulsory liquidations per annum came in 1992.</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Evidence in Table 18.1 shows the extent and cost of cases of the grossest kinds of corporate </w:t>
      </w:r>
      <w:proofErr w:type="spellStart"/>
      <w:r w:rsidRPr="00C916C4">
        <w:rPr>
          <w:rFonts w:ascii="Verdana" w:eastAsia="Times New Roman" w:hAnsi="Verdana" w:cs="Times New Roman"/>
          <w:color w:val="18170E"/>
          <w:sz w:val="24"/>
          <w:szCs w:val="24"/>
          <w:lang w:eastAsia="en-GB"/>
        </w:rPr>
        <w:t>misbehaviour</w:t>
      </w:r>
      <w:proofErr w:type="spellEnd"/>
      <w:r w:rsidRPr="00C916C4">
        <w:rPr>
          <w:rFonts w:ascii="Verdana" w:eastAsia="Times New Roman" w:hAnsi="Verdana" w:cs="Times New Roman"/>
          <w:color w:val="18170E"/>
          <w:sz w:val="24"/>
          <w:szCs w:val="24"/>
          <w:lang w:eastAsia="en-GB"/>
        </w:rPr>
        <w:t xml:space="preserve">. It needs to be interpreted with care and many caveats. These cases are the tip of the iceberg: many smaller cases were investigated by the authorities and of course many escaped prosecution. The dates relate to company collapse, rather than the outcome of any trial. The individual named here was often not the only defendant. The estimate of gross loss has been taken from public domain reports and has not been subjected to consistent criteria. Estimates of financial loss (whatever their level of accuracy) do not reflect the true </w:t>
      </w:r>
    </w:p>
    <w:p w:rsidR="00C916C4" w:rsidRPr="00C916C4" w:rsidRDefault="00C916C4" w:rsidP="00C916C4">
      <w:pPr>
        <w:spacing w:line="15" w:lineRule="atLeast"/>
        <w:rPr>
          <w:rFonts w:ascii="Verdana" w:eastAsia="Times New Roman" w:hAnsi="Verdana" w:cs="Times New Roman"/>
          <w:color w:val="000065"/>
          <w:sz w:val="15"/>
          <w:szCs w:val="15"/>
          <w:lang w:eastAsia="en-GB"/>
        </w:rPr>
      </w:pPr>
      <w:proofErr w:type="gramStart"/>
      <w:r w:rsidRPr="00C916C4">
        <w:rPr>
          <w:rFonts w:ascii="Verdana" w:eastAsia="Times New Roman" w:hAnsi="Verdana" w:cs="Times New Roman"/>
          <w:color w:val="000065"/>
          <w:sz w:val="15"/>
          <w:szCs w:val="15"/>
          <w:lang w:eastAsia="en-GB"/>
        </w:rPr>
        <w:t>end</w:t>
      </w:r>
      <w:proofErr w:type="gramEnd"/>
      <w:r w:rsidRPr="00C916C4">
        <w:rPr>
          <w:rFonts w:ascii="Verdana" w:eastAsia="Times New Roman" w:hAnsi="Verdana" w:cs="Times New Roman"/>
          <w:color w:val="000065"/>
          <w:sz w:val="15"/>
          <w:szCs w:val="15"/>
          <w:lang w:eastAsia="en-GB"/>
        </w:rPr>
        <w:t xml:space="preserve"> p.359</w:t>
      </w:r>
    </w:p>
    <w:p w:rsidR="00C916C4" w:rsidRPr="00C916C4" w:rsidRDefault="00C916C4" w:rsidP="00C916C4">
      <w:pPr>
        <w:spacing w:after="150" w:line="240" w:lineRule="auto"/>
        <w:jc w:val="center"/>
        <w:rPr>
          <w:rFonts w:ascii="Verdana" w:eastAsia="Times New Roman" w:hAnsi="Verdana" w:cs="Times New Roman"/>
          <w:color w:val="18170E"/>
          <w:sz w:val="20"/>
          <w:szCs w:val="20"/>
          <w:lang w:eastAsia="en-GB"/>
        </w:rPr>
      </w:pPr>
      <w:r w:rsidRPr="00C916C4">
        <w:rPr>
          <w:rFonts w:ascii="Verdana" w:eastAsia="Times New Roman" w:hAnsi="Verdana" w:cs="Times New Roman"/>
          <w:color w:val="18170E"/>
          <w:sz w:val="20"/>
          <w:szCs w:val="20"/>
          <w:lang w:eastAsia="en-GB"/>
        </w:rPr>
        <w:t>PRINTED FROM OXFORD SCHOLARSHIP ONLINE (www.oxfordscholarship.com</w:t>
      </w:r>
      <w:proofErr w:type="gramStart"/>
      <w:r w:rsidRPr="00C916C4">
        <w:rPr>
          <w:rFonts w:ascii="Verdana" w:eastAsia="Times New Roman" w:hAnsi="Verdana" w:cs="Times New Roman"/>
          <w:color w:val="18170E"/>
          <w:sz w:val="20"/>
          <w:szCs w:val="20"/>
          <w:lang w:eastAsia="en-GB"/>
        </w:rPr>
        <w:t>)</w:t>
      </w:r>
      <w:proofErr w:type="gramEnd"/>
      <w:r w:rsidRPr="00C916C4">
        <w:rPr>
          <w:rFonts w:ascii="Verdana" w:eastAsia="Times New Roman" w:hAnsi="Verdana" w:cs="Times New Roman"/>
          <w:color w:val="18170E"/>
          <w:sz w:val="20"/>
          <w:szCs w:val="20"/>
          <w:lang w:eastAsia="en-GB"/>
        </w:rPr>
        <w:br/>
        <w:t xml:space="preserve">© Copyright Oxford University Press, </w:t>
      </w:r>
      <w:r w:rsidRPr="00C916C4">
        <w:rPr>
          <w:rFonts w:ascii="Verdana" w:eastAsia="Times New Roman" w:hAnsi="Verdana" w:cs="Times New Roman"/>
          <w:color w:val="18170E"/>
          <w:sz w:val="20"/>
          <w:szCs w:val="20"/>
          <w:lang w:eastAsia="en-GB"/>
        </w:rPr>
        <w:pict/>
      </w:r>
      <w:r w:rsidRPr="00C916C4">
        <w:rPr>
          <w:rFonts w:ascii="Verdana" w:eastAsia="Times New Roman" w:hAnsi="Verdana" w:cs="Times New Roman"/>
          <w:color w:val="18170E"/>
          <w:sz w:val="20"/>
          <w:szCs w:val="20"/>
          <w:lang w:eastAsia="en-GB"/>
        </w:rPr>
        <w:t xml:space="preserve">2003-2010. All Rights Reserved </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Pr>
          <w:rFonts w:ascii="Verdana" w:eastAsia="Times New Roman" w:hAnsi="Verdana" w:cs="Times New Roman"/>
          <w:noProof/>
          <w:color w:val="18170E"/>
          <w:sz w:val="24"/>
          <w:szCs w:val="24"/>
          <w:lang w:eastAsia="en-GB"/>
        </w:rPr>
        <w:drawing>
          <wp:inline distT="0" distB="0" distL="0" distR="0">
            <wp:extent cx="5715000" cy="3095625"/>
            <wp:effectExtent l="19050" t="0" r="0" b="0"/>
            <wp:docPr id="10" name="acprof-9780199226009-graphic-5" descr="Figure 18.1. Company liquidations and violations from 1890 to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prof-9780199226009-graphic-5" descr="Figure 18.1. Company liquidations and violations from 1890 to 2002"/>
                    <pic:cNvPicPr>
                      <a:picLocks noChangeAspect="1" noChangeArrowheads="1"/>
                    </pic:cNvPicPr>
                  </pic:nvPicPr>
                  <pic:blipFill>
                    <a:blip r:embed="rId34"/>
                    <a:srcRect/>
                    <a:stretch>
                      <a:fillRect/>
                    </a:stretch>
                  </pic:blipFill>
                  <pic:spPr bwMode="auto">
                    <a:xfrm>
                      <a:off x="0" y="0"/>
                      <a:ext cx="5715000" cy="3095625"/>
                    </a:xfrm>
                    <a:prstGeom prst="rect">
                      <a:avLst/>
                    </a:prstGeom>
                    <a:noFill/>
                    <a:ln w="9525">
                      <a:noFill/>
                      <a:miter lim="800000"/>
                      <a:headEnd/>
                      <a:tailEnd/>
                    </a:ln>
                  </pic:spPr>
                </pic:pic>
              </a:graphicData>
            </a:graphic>
          </wp:inline>
        </w:drawing>
      </w:r>
    </w:p>
    <w:p w:rsidR="00C916C4" w:rsidRPr="00C916C4" w:rsidRDefault="00C916C4" w:rsidP="00C916C4">
      <w:pPr>
        <w:spacing w:after="150" w:line="240" w:lineRule="auto"/>
        <w:rPr>
          <w:rFonts w:ascii="Verdana" w:eastAsia="Times New Roman" w:hAnsi="Verdana" w:cs="Times New Roman"/>
          <w:b/>
          <w:bCs/>
          <w:color w:val="000065"/>
          <w:sz w:val="24"/>
          <w:szCs w:val="24"/>
          <w:lang w:eastAsia="en-GB"/>
        </w:rPr>
      </w:pPr>
      <w:proofErr w:type="gramStart"/>
      <w:r w:rsidRPr="00C916C4">
        <w:rPr>
          <w:rFonts w:ascii="Verdana" w:eastAsia="Times New Roman" w:hAnsi="Verdana" w:cs="Times New Roman"/>
          <w:b/>
          <w:bCs/>
          <w:color w:val="000065"/>
          <w:sz w:val="24"/>
          <w:szCs w:val="24"/>
          <w:lang w:eastAsia="en-GB"/>
        </w:rPr>
        <w:lastRenderedPageBreak/>
        <w:t>Figure 18.1.</w:t>
      </w:r>
      <w:proofErr w:type="gramEnd"/>
      <w:r w:rsidRPr="00C916C4">
        <w:rPr>
          <w:rFonts w:ascii="Verdana" w:eastAsia="Times New Roman" w:hAnsi="Verdana" w:cs="Times New Roman"/>
          <w:b/>
          <w:bCs/>
          <w:color w:val="000065"/>
          <w:sz w:val="24"/>
          <w:szCs w:val="24"/>
          <w:lang w:eastAsia="en-GB"/>
        </w:rPr>
        <w:t xml:space="preserve"> Company liquidations and violations from 1890 to 2002</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proofErr w:type="gramStart"/>
      <w:r w:rsidRPr="00C916C4">
        <w:rPr>
          <w:rFonts w:ascii="Verdana" w:eastAsia="Times New Roman" w:hAnsi="Verdana" w:cs="Times New Roman"/>
          <w:color w:val="18170E"/>
          <w:sz w:val="24"/>
          <w:szCs w:val="24"/>
          <w:lang w:eastAsia="en-GB"/>
        </w:rPr>
        <w:t>extent</w:t>
      </w:r>
      <w:proofErr w:type="gramEnd"/>
      <w:r w:rsidRPr="00C916C4">
        <w:rPr>
          <w:rFonts w:ascii="Verdana" w:eastAsia="Times New Roman" w:hAnsi="Verdana" w:cs="Times New Roman"/>
          <w:color w:val="18170E"/>
          <w:sz w:val="24"/>
          <w:szCs w:val="24"/>
          <w:lang w:eastAsia="en-GB"/>
        </w:rPr>
        <w:t xml:space="preserve"> of human misery and suffering. After the 1960s, the law and the rules governing </w:t>
      </w:r>
      <w:proofErr w:type="spellStart"/>
      <w:r w:rsidRPr="00C916C4">
        <w:rPr>
          <w:rFonts w:ascii="Verdana" w:eastAsia="Times New Roman" w:hAnsi="Verdana" w:cs="Times New Roman"/>
          <w:color w:val="18170E"/>
          <w:sz w:val="24"/>
          <w:szCs w:val="24"/>
          <w:lang w:eastAsia="en-GB"/>
        </w:rPr>
        <w:t>misbehaviour</w:t>
      </w:r>
      <w:proofErr w:type="spellEnd"/>
      <w:r w:rsidRPr="00C916C4">
        <w:rPr>
          <w:rFonts w:ascii="Verdana" w:eastAsia="Times New Roman" w:hAnsi="Verdana" w:cs="Times New Roman"/>
          <w:color w:val="18170E"/>
          <w:sz w:val="24"/>
          <w:szCs w:val="24"/>
          <w:lang w:eastAsia="en-GB"/>
        </w:rPr>
        <w:t xml:space="preserve"> in the City were strengthened. Consequently people operating in an innovative and entrepreneurial fashion were more likely to fall foul of the law, for example, insider trading was criminalized in 1980. In short, this is an impressionistic portrait until a badly needed definitive and exhaustive analysis of twentieth century white collar crime appears. In the meantime, the data summarized in the Chart and Table 18.1 </w:t>
      </w:r>
      <w:proofErr w:type="gramStart"/>
      <w:r w:rsidRPr="00C916C4">
        <w:rPr>
          <w:rFonts w:ascii="Verdana" w:eastAsia="Times New Roman" w:hAnsi="Verdana" w:cs="Times New Roman"/>
          <w:color w:val="18170E"/>
          <w:sz w:val="24"/>
          <w:szCs w:val="24"/>
          <w:lang w:eastAsia="en-GB"/>
        </w:rPr>
        <w:t>provide</w:t>
      </w:r>
      <w:proofErr w:type="gramEnd"/>
      <w:r w:rsidRPr="00C916C4">
        <w:rPr>
          <w:rFonts w:ascii="Verdana" w:eastAsia="Times New Roman" w:hAnsi="Verdana" w:cs="Times New Roman"/>
          <w:color w:val="18170E"/>
          <w:sz w:val="24"/>
          <w:szCs w:val="24"/>
          <w:lang w:eastAsia="en-GB"/>
        </w:rPr>
        <w:t xml:space="preserve"> a relative and roughly consistent, long-term measure of the extent to which company directors adhered to the law of their day.</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Noticeably, prior to 1950, four corporate collapses each lost over £100 million, two of them over £500 million (at real 1998 prices); all were in the services sector, most in financial services. By comparison, in the 1980s and 1990s seventeen cases of corporate collapse incurred losses of over £100 million each. They included nine which lost over £500 </w:t>
      </w:r>
      <w:proofErr w:type="gramStart"/>
      <w:r w:rsidRPr="00C916C4">
        <w:rPr>
          <w:rFonts w:ascii="Verdana" w:eastAsia="Times New Roman" w:hAnsi="Verdana" w:cs="Times New Roman"/>
          <w:color w:val="18170E"/>
          <w:sz w:val="24"/>
          <w:szCs w:val="24"/>
          <w:lang w:eastAsia="en-GB"/>
        </w:rPr>
        <w:t>million,</w:t>
      </w:r>
      <w:proofErr w:type="gramEnd"/>
      <w:r w:rsidRPr="00C916C4">
        <w:rPr>
          <w:rFonts w:ascii="Verdana" w:eastAsia="Times New Roman" w:hAnsi="Verdana" w:cs="Times New Roman"/>
          <w:color w:val="18170E"/>
          <w:sz w:val="24"/>
          <w:szCs w:val="24"/>
          <w:lang w:eastAsia="en-GB"/>
        </w:rPr>
        <w:t xml:space="preserve"> and of these six which lost over £1,000 million. Again, a majority were in financial services.</w:t>
      </w:r>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Aside from high-profile fraud trials, perhaps nothing did so much to bring boardrooms into disrepute as </w:t>
      </w:r>
      <w:proofErr w:type="spellStart"/>
      <w:r w:rsidRPr="00C916C4">
        <w:rPr>
          <w:rFonts w:ascii="Verdana" w:eastAsia="Times New Roman" w:hAnsi="Verdana" w:cs="Times New Roman"/>
          <w:color w:val="18170E"/>
          <w:sz w:val="24"/>
          <w:szCs w:val="24"/>
          <w:lang w:eastAsia="en-GB"/>
        </w:rPr>
        <w:t>spiralling</w:t>
      </w:r>
      <w:proofErr w:type="spellEnd"/>
      <w:r w:rsidRPr="00C916C4">
        <w:rPr>
          <w:rFonts w:ascii="Verdana" w:eastAsia="Times New Roman" w:hAnsi="Verdana" w:cs="Times New Roman"/>
          <w:color w:val="18170E"/>
          <w:sz w:val="24"/>
          <w:szCs w:val="24"/>
          <w:lang w:eastAsia="en-GB"/>
        </w:rPr>
        <w:t xml:space="preserve"> directors’ salaries. By 2000, the UK's highest CEO remuneration of £6.175 million a year was nearly 1,800 times greater than the state old-age pension, close to the differential of 1908, but six times that of the differential of 1970.</w:t>
      </w:r>
      <w:hyperlink r:id="rId35" w:anchor="acprof-9780199226009-note-1146" w:history="1">
        <w:r w:rsidRPr="00C916C4">
          <w:rPr>
            <w:rFonts w:ascii="Verdana" w:eastAsia="Times New Roman" w:hAnsi="Verdana" w:cs="Times New Roman"/>
            <w:color w:val="000000"/>
            <w:sz w:val="24"/>
            <w:szCs w:val="24"/>
            <w:vertAlign w:val="superscript"/>
            <w:lang w:eastAsia="en-GB"/>
          </w:rPr>
          <w:t>12</w:t>
        </w:r>
      </w:hyperlink>
    </w:p>
    <w:p w:rsidR="00C916C4" w:rsidRPr="00C916C4" w:rsidRDefault="00C916C4" w:rsidP="00C916C4">
      <w:pPr>
        <w:spacing w:after="0" w:line="240" w:lineRule="auto"/>
        <w:rPr>
          <w:rFonts w:ascii="Verdana" w:eastAsia="Times New Roman" w:hAnsi="Verdana" w:cs="Times New Roman"/>
          <w:color w:val="18170E"/>
          <w:sz w:val="24"/>
          <w:szCs w:val="24"/>
          <w:lang w:eastAsia="en-GB"/>
        </w:rPr>
      </w:pPr>
      <w:r w:rsidRPr="00C916C4">
        <w:rPr>
          <w:rFonts w:ascii="Verdana" w:eastAsia="Times New Roman" w:hAnsi="Verdana" w:cs="Times New Roman"/>
          <w:color w:val="18170E"/>
          <w:sz w:val="24"/>
          <w:szCs w:val="24"/>
          <w:lang w:eastAsia="en-GB"/>
        </w:rPr>
        <w:t xml:space="preserve">These data raise the obvious question, why did ethical standards in business look low in the 1890s, and less than a century later plummet into unprecedented collapse? The 1890s and the 1980s–90s had much in common. In both periods, markets, business organizations, and the technology of business experienced rapid change. Yet there were major differences between the two periods. State intervention was far more evident in the late twentieth century than in the late </w:t>
      </w:r>
    </w:p>
    <w:p w:rsidR="00C916C4" w:rsidRPr="00C916C4" w:rsidRDefault="00C916C4" w:rsidP="00C916C4">
      <w:pPr>
        <w:spacing w:line="15" w:lineRule="atLeast"/>
        <w:rPr>
          <w:rFonts w:ascii="Verdana" w:eastAsia="Times New Roman" w:hAnsi="Verdana" w:cs="Times New Roman"/>
          <w:color w:val="000065"/>
          <w:sz w:val="15"/>
          <w:szCs w:val="15"/>
          <w:lang w:eastAsia="en-GB"/>
        </w:rPr>
      </w:pPr>
      <w:proofErr w:type="gramStart"/>
      <w:r w:rsidRPr="00C916C4">
        <w:rPr>
          <w:rFonts w:ascii="Verdana" w:eastAsia="Times New Roman" w:hAnsi="Verdana" w:cs="Times New Roman"/>
          <w:color w:val="000065"/>
          <w:sz w:val="15"/>
          <w:szCs w:val="15"/>
          <w:lang w:eastAsia="en-GB"/>
        </w:rPr>
        <w:t>end</w:t>
      </w:r>
      <w:proofErr w:type="gramEnd"/>
      <w:r w:rsidRPr="00C916C4">
        <w:rPr>
          <w:rFonts w:ascii="Verdana" w:eastAsia="Times New Roman" w:hAnsi="Verdana" w:cs="Times New Roman"/>
          <w:color w:val="000065"/>
          <w:sz w:val="15"/>
          <w:szCs w:val="15"/>
          <w:lang w:eastAsia="en-GB"/>
        </w:rPr>
        <w:t xml:space="preserve"> p.360</w:t>
      </w:r>
    </w:p>
    <w:p w:rsidR="00C916C4" w:rsidRPr="00C916C4" w:rsidRDefault="00C916C4" w:rsidP="00C916C4">
      <w:pPr>
        <w:pBdr>
          <w:bottom w:val="single" w:sz="6" w:space="1" w:color="auto"/>
        </w:pBdr>
        <w:spacing w:after="0" w:line="240" w:lineRule="auto"/>
        <w:jc w:val="center"/>
        <w:rPr>
          <w:rFonts w:ascii="Arial" w:eastAsia="Times New Roman" w:hAnsi="Arial" w:cs="Arial"/>
          <w:vanish/>
          <w:sz w:val="16"/>
          <w:szCs w:val="16"/>
          <w:lang w:eastAsia="en-GB"/>
        </w:rPr>
      </w:pPr>
      <w:r w:rsidRPr="00C916C4">
        <w:rPr>
          <w:rFonts w:ascii="Arial" w:eastAsia="Times New Roman" w:hAnsi="Arial" w:cs="Arial"/>
          <w:vanish/>
          <w:sz w:val="16"/>
          <w:szCs w:val="16"/>
          <w:lang w:eastAsia="en-GB"/>
        </w:rPr>
        <w:t>Top of Form</w:t>
      </w:r>
    </w:p>
    <w:p w:rsidR="00C916C4" w:rsidRPr="00C916C4" w:rsidRDefault="00C916C4" w:rsidP="00C916C4">
      <w:pPr>
        <w:spacing w:after="0" w:line="240" w:lineRule="auto"/>
        <w:rPr>
          <w:rFonts w:ascii="Verdana" w:eastAsia="Times New Roman" w:hAnsi="Verdana" w:cs="Times New Roman"/>
          <w:vanish/>
          <w:color w:val="18170E"/>
          <w:sz w:val="20"/>
          <w:szCs w:val="20"/>
          <w:lang w:eastAsia="en-GB"/>
        </w:rPr>
      </w:pPr>
      <w:r w:rsidRPr="00C916C4">
        <w:rPr>
          <w:rFonts w:ascii="Verdana" w:eastAsia="Times New Roman" w:hAnsi="Verdana" w:cs="Times New Roman"/>
          <w:vanish/>
          <w:color w:val="18170E"/>
          <w:sz w:val="20"/>
          <w:lang w:eastAsia="en-GB"/>
        </w:rPr>
        <w:t>go to page</w:t>
      </w:r>
      <w:r w:rsidRPr="00C916C4">
        <w:rPr>
          <w:rFonts w:ascii="Verdana" w:eastAsia="Times New Roman" w:hAnsi="Verdana" w:cs="Times New Roman"/>
          <w:vanish/>
          <w:color w:val="18170E"/>
          <w:sz w:val="20"/>
          <w:szCs w:val="20"/>
          <w:lang w:eastAsia="en-GB"/>
        </w:rPr>
        <w:t xml:space="preserve">  </w:t>
      </w:r>
      <w:r w:rsidRPr="00C916C4">
        <w:rPr>
          <w:rFonts w:ascii="Verdana" w:eastAsia="Times New Roman" w:hAnsi="Verdana" w:cs="Times New Roman"/>
          <w:vanish/>
          <w:color w:val="18170E"/>
          <w:sz w:val="20"/>
          <w:szCs w:val="20"/>
          <w:lang w:eastAsia="en-GB"/>
        </w:rPr>
        <w:object w:dxaOrig="1440" w:dyaOrig="1440">
          <v:shape id="_x0000_i1058" type="#_x0000_t75" style="width:34.5pt;height:18pt" o:ole="">
            <v:imagedata r:id="rId7" o:title=""/>
          </v:shape>
          <w:control r:id="rId36" w:name="DefaultOcxName2" w:shapeid="_x0000_i1058"/>
        </w:object>
      </w:r>
      <w:r w:rsidRPr="00C916C4">
        <w:rPr>
          <w:rFonts w:ascii="Verdana" w:eastAsia="Times New Roman" w:hAnsi="Verdana" w:cs="Times New Roman"/>
          <w:vanish/>
          <w:color w:val="18170E"/>
          <w:sz w:val="20"/>
          <w:szCs w:val="20"/>
          <w:lang w:eastAsia="en-GB"/>
        </w:rPr>
        <w:t xml:space="preserve">  </w:t>
      </w:r>
      <w:r w:rsidRPr="00C916C4">
        <w:rPr>
          <w:rFonts w:ascii="Verdana" w:eastAsia="Times New Roman" w:hAnsi="Verdana" w:cs="Times New Roman"/>
          <w:vanish/>
          <w:color w:val="18170E"/>
          <w:sz w:val="20"/>
          <w:szCs w:val="20"/>
          <w:lang w:eastAsia="en-GB"/>
        </w:rPr>
        <w:object w:dxaOrig="1440" w:dyaOrig="1440">
          <v:shape id="_x0000_i1057" type="#_x0000_t75" style="width:22.5pt;height:18.75pt" o:ole="">
            <v:imagedata r:id="rId9" o:title=""/>
          </v:shape>
          <w:control r:id="rId37" w:name="DefaultOcxName3" w:shapeid="_x0000_i1057"/>
        </w:object>
      </w:r>
      <w:hyperlink r:id="rId38" w:tooltip="previous page" w:history="1">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11" name="Picture 11" descr="http://www.oxfordscholarship.com/oso/public/all_images/arrow_previous_cb6500.gif">
                <a:hlinkClick xmlns:a="http://schemas.openxmlformats.org/drawingml/2006/main" r:id="rId38" tooltip="&quot;previous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oxfordscholarship.com/oso/public/all_images/arrow_previous_cb6500.gif">
                        <a:hlinkClick r:id="rId38" tooltip="&quot;previous page&quot;"/>
                      </pic:cNvPr>
                      <pic:cNvPicPr>
                        <a:picLocks noChangeAspect="1" noChangeArrowheads="1"/>
                      </pic:cNvPicPr>
                    </pic:nvPicPr>
                    <pic:blipFill>
                      <a:blip r:embed="rId12"/>
                      <a:srcRect/>
                      <a:stretch>
                        <a:fillRect/>
                      </a:stretch>
                    </pic:blipFill>
                    <pic:spPr bwMode="auto">
                      <a:xfrm>
                        <a:off x="0" y="0"/>
                        <a:ext cx="38100" cy="66675"/>
                      </a:xfrm>
                      <a:prstGeom prst="rect">
                        <a:avLst/>
                      </a:prstGeom>
                      <a:noFill/>
                      <a:ln w="9525">
                        <a:noFill/>
                        <a:miter lim="800000"/>
                        <a:headEnd/>
                        <a:tailEnd/>
                      </a:ln>
                    </pic:spPr>
                  </pic:pic>
                </a:graphicData>
              </a:graphic>
            </wp:inline>
          </w:drawing>
        </w:r>
        <w:r w:rsidRPr="00C916C4">
          <w:rPr>
            <w:rFonts w:ascii="Verdana" w:eastAsia="Times New Roman" w:hAnsi="Verdana" w:cs="Times New Roman"/>
            <w:vanish/>
            <w:color w:val="000000"/>
            <w:sz w:val="20"/>
            <w:lang w:eastAsia="en-GB"/>
          </w:rPr>
          <w:t>previous</w:t>
        </w:r>
      </w:hyperlink>
      <w:r w:rsidRPr="00C916C4">
        <w:rPr>
          <w:rFonts w:ascii="Verdana" w:eastAsia="Times New Roman" w:hAnsi="Verdana" w:cs="Times New Roman"/>
          <w:vanish/>
          <w:color w:val="18170E"/>
          <w:sz w:val="20"/>
          <w:szCs w:val="20"/>
          <w:lang w:eastAsia="en-GB"/>
        </w:rPr>
        <w:t>  |  </w:t>
      </w:r>
      <w:hyperlink r:id="rId39" w:tooltip="next page" w:history="1">
        <w:r w:rsidRPr="00C916C4">
          <w:rPr>
            <w:rFonts w:ascii="Verdana" w:eastAsia="Times New Roman" w:hAnsi="Verdana" w:cs="Times New Roman"/>
            <w:vanish/>
            <w:color w:val="000000"/>
            <w:sz w:val="20"/>
            <w:lang w:eastAsia="en-GB"/>
          </w:rPr>
          <w:t xml:space="preserve">next </w:t>
        </w:r>
        <w:r>
          <w:rPr>
            <w:rFonts w:ascii="Verdana" w:eastAsia="Times New Roman" w:hAnsi="Verdana" w:cs="Times New Roman"/>
            <w:noProof/>
            <w:vanish/>
            <w:color w:val="000000"/>
            <w:sz w:val="20"/>
            <w:szCs w:val="20"/>
            <w:lang w:eastAsia="en-GB"/>
          </w:rPr>
          <w:drawing>
            <wp:inline distT="0" distB="0" distL="0" distR="0">
              <wp:extent cx="38100" cy="66675"/>
              <wp:effectExtent l="19050" t="0" r="0" b="0"/>
              <wp:docPr id="12" name="Picture 12" descr="http://www.oxfordscholarship.com/oso/public/all_images/arrow_next_cb6500.gif">
                <a:hlinkClick xmlns:a="http://schemas.openxmlformats.org/drawingml/2006/main" r:id="rId13" tooltip="&quot;next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oxfordscholarship.com/oso/public/all_images/arrow_next_cb6500.gif">
                        <a:hlinkClick r:id="rId13" tooltip="&quot;next page&quot;"/>
                      </pic:cNvPr>
                      <pic:cNvPicPr>
                        <a:picLocks noChangeAspect="1" noChangeArrowheads="1"/>
                      </pic:cNvPicPr>
                    </pic:nvPicPr>
                    <pic:blipFill>
                      <a:blip r:embed="rId14"/>
                      <a:srcRect/>
                      <a:stretch>
                        <a:fillRect/>
                      </a:stretch>
                    </pic:blipFill>
                    <pic:spPr bwMode="auto">
                      <a:xfrm>
                        <a:off x="0" y="0"/>
                        <a:ext cx="38100" cy="66675"/>
                      </a:xfrm>
                      <a:prstGeom prst="rect">
                        <a:avLst/>
                      </a:prstGeom>
                      <a:noFill/>
                      <a:ln w="9525">
                        <a:noFill/>
                        <a:miter lim="800000"/>
                        <a:headEnd/>
                        <a:tailEnd/>
                      </a:ln>
                    </pic:spPr>
                  </pic:pic>
                </a:graphicData>
              </a:graphic>
            </wp:inline>
          </w:drawing>
        </w:r>
      </w:hyperlink>
    </w:p>
    <w:p w:rsidR="00C916C4" w:rsidRPr="00C916C4" w:rsidRDefault="00C916C4" w:rsidP="00C916C4">
      <w:pPr>
        <w:pBdr>
          <w:top w:val="single" w:sz="6" w:space="1" w:color="auto"/>
        </w:pBdr>
        <w:spacing w:after="0" w:line="240" w:lineRule="auto"/>
        <w:jc w:val="center"/>
        <w:rPr>
          <w:rFonts w:ascii="Arial" w:eastAsia="Times New Roman" w:hAnsi="Arial" w:cs="Arial"/>
          <w:vanish/>
          <w:sz w:val="16"/>
          <w:szCs w:val="16"/>
          <w:lang w:eastAsia="en-GB"/>
        </w:rPr>
      </w:pPr>
      <w:r w:rsidRPr="00C916C4">
        <w:rPr>
          <w:rFonts w:ascii="Arial" w:eastAsia="Times New Roman" w:hAnsi="Arial" w:cs="Arial"/>
          <w:vanish/>
          <w:sz w:val="16"/>
          <w:szCs w:val="16"/>
          <w:lang w:eastAsia="en-GB"/>
        </w:rPr>
        <w:t>Bottom of Form</w:t>
      </w:r>
    </w:p>
    <w:p w:rsidR="00C916C4" w:rsidRPr="00C916C4" w:rsidRDefault="00C916C4" w:rsidP="00C916C4">
      <w:pPr>
        <w:spacing w:after="0" w:line="240" w:lineRule="auto"/>
        <w:rPr>
          <w:rFonts w:ascii="Verdana" w:eastAsia="Times New Roman" w:hAnsi="Verdana" w:cs="Times New Roman"/>
          <w:vanish/>
          <w:color w:val="18170E"/>
          <w:sz w:val="20"/>
          <w:szCs w:val="20"/>
          <w:lang w:eastAsia="en-GB"/>
        </w:rPr>
      </w:pPr>
      <w:r w:rsidRPr="00C916C4">
        <w:rPr>
          <w:rFonts w:ascii="Verdana" w:eastAsia="Times New Roman" w:hAnsi="Verdana" w:cs="Times New Roman"/>
          <w:vanish/>
          <w:color w:val="18170E"/>
          <w:sz w:val="20"/>
          <w:szCs w:val="20"/>
          <w:lang w:eastAsia="en-GB"/>
        </w:rPr>
        <w:br/>
        <w:t xml:space="preserve">  </w:t>
      </w:r>
    </w:p>
    <w:p w:rsidR="00C916C4" w:rsidRPr="00C916C4" w:rsidRDefault="00C916C4" w:rsidP="00C916C4">
      <w:pPr>
        <w:spacing w:after="0" w:line="240" w:lineRule="auto"/>
        <w:rPr>
          <w:rFonts w:ascii="Verdana" w:eastAsia="Times New Roman" w:hAnsi="Verdana" w:cs="Times New Roman"/>
          <w:vanish/>
          <w:color w:val="18170E"/>
          <w:sz w:val="20"/>
          <w:szCs w:val="20"/>
          <w:lang w:eastAsia="en-GB"/>
        </w:rPr>
      </w:pPr>
      <w:r w:rsidRPr="00C916C4">
        <w:rPr>
          <w:rFonts w:ascii="Verdana" w:eastAsia="Times New Roman" w:hAnsi="Verdana" w:cs="Times New Roman"/>
          <w:b/>
          <w:bCs/>
          <w:vanish/>
          <w:color w:val="18170E"/>
          <w:sz w:val="20"/>
          <w:lang w:eastAsia="en-GB"/>
        </w:rPr>
        <w:t>doi:</w:t>
      </w:r>
      <w:r w:rsidRPr="00C916C4">
        <w:rPr>
          <w:rFonts w:ascii="Verdana" w:eastAsia="Times New Roman" w:hAnsi="Verdana" w:cs="Times New Roman"/>
          <w:vanish/>
          <w:color w:val="18170E"/>
          <w:sz w:val="20"/>
          <w:szCs w:val="20"/>
          <w:lang w:eastAsia="en-GB"/>
        </w:rPr>
        <w:t xml:space="preserve">10.1093/acprof:oso/9780199226009.003.0019 </w:t>
      </w:r>
    </w:p>
    <w:p w:rsidR="00C916C4" w:rsidRPr="00C916C4" w:rsidRDefault="00C916C4" w:rsidP="00C916C4">
      <w:pPr>
        <w:spacing w:after="0" w:line="240" w:lineRule="auto"/>
        <w:rPr>
          <w:rFonts w:ascii="Times New Roman" w:eastAsia="Times New Roman" w:hAnsi="Times New Roman" w:cs="Times New Roman"/>
          <w:color w:val="000000"/>
          <w:sz w:val="24"/>
          <w:szCs w:val="24"/>
          <w:lang w:eastAsia="en-GB"/>
        </w:rPr>
      </w:pPr>
      <w:r w:rsidRPr="00C916C4">
        <w:rPr>
          <w:rFonts w:ascii="Verdana" w:eastAsia="Times New Roman" w:hAnsi="Verdana" w:cs="Times New Roman"/>
          <w:color w:val="18170E"/>
          <w:sz w:val="20"/>
          <w:szCs w:val="20"/>
          <w:lang w:eastAsia="en-GB"/>
        </w:rPr>
        <w:fldChar w:fldCharType="begin"/>
      </w:r>
      <w:r w:rsidRPr="00C916C4">
        <w:rPr>
          <w:rFonts w:ascii="Verdana" w:eastAsia="Times New Roman" w:hAnsi="Verdana" w:cs="Times New Roman"/>
          <w:color w:val="18170E"/>
          <w:sz w:val="20"/>
          <w:szCs w:val="20"/>
          <w:lang w:eastAsia="en-GB"/>
        </w:rPr>
        <w:instrText xml:space="preserve"> HYPERLINK "http://www.oxfordscholarship.com/oso/private/content/management/9780199226009/p084_print.html" \l "top" \o "Back to top" </w:instrText>
      </w:r>
      <w:r w:rsidRPr="00C916C4">
        <w:rPr>
          <w:rFonts w:ascii="Verdana" w:eastAsia="Times New Roman" w:hAnsi="Verdana" w:cs="Times New Roman"/>
          <w:color w:val="18170E"/>
          <w:sz w:val="20"/>
          <w:szCs w:val="20"/>
          <w:lang w:eastAsia="en-GB"/>
        </w:rPr>
        <w:fldChar w:fldCharType="separate"/>
      </w:r>
    </w:p>
    <w:p w:rsidR="00C916C4" w:rsidRPr="00C916C4" w:rsidRDefault="00C916C4" w:rsidP="00C916C4">
      <w:pPr>
        <w:spacing w:after="0" w:line="240" w:lineRule="auto"/>
        <w:rPr>
          <w:rFonts w:ascii="Times New Roman" w:eastAsia="Times New Roman" w:hAnsi="Times New Roman" w:cs="Times New Roman"/>
          <w:sz w:val="24"/>
          <w:szCs w:val="24"/>
          <w:lang w:eastAsia="en-GB"/>
        </w:rPr>
      </w:pPr>
      <w:r w:rsidRPr="00C916C4">
        <w:rPr>
          <w:rFonts w:ascii="Verdana" w:eastAsia="Times New Roman" w:hAnsi="Verdana" w:cs="Times New Roman"/>
          <w:color w:val="000000"/>
          <w:sz w:val="20"/>
          <w:szCs w:val="20"/>
          <w:lang w:eastAsia="en-GB"/>
        </w:rPr>
        <w:t>Top</w:t>
      </w:r>
    </w:p>
    <w:p w:rsidR="00C916C4" w:rsidRPr="00C916C4" w:rsidRDefault="00C916C4" w:rsidP="00C916C4">
      <w:pPr>
        <w:spacing w:after="0" w:line="240" w:lineRule="auto"/>
        <w:rPr>
          <w:rFonts w:ascii="Verdana" w:eastAsia="Times New Roman" w:hAnsi="Verdana" w:cs="Times New Roman"/>
          <w:color w:val="18170E"/>
          <w:sz w:val="20"/>
          <w:szCs w:val="20"/>
          <w:lang w:eastAsia="en-GB"/>
        </w:rPr>
      </w:pPr>
      <w:r w:rsidRPr="00C916C4">
        <w:rPr>
          <w:rFonts w:ascii="Verdana" w:eastAsia="Times New Roman" w:hAnsi="Verdana" w:cs="Times New Roman"/>
          <w:color w:val="18170E"/>
          <w:sz w:val="20"/>
          <w:szCs w:val="20"/>
          <w:lang w:eastAsia="en-GB"/>
        </w:rPr>
        <w:fldChar w:fldCharType="end"/>
      </w:r>
    </w:p>
    <w:p w:rsidR="00C916C4" w:rsidRPr="00C916C4" w:rsidRDefault="00C916C4" w:rsidP="00C916C4">
      <w:pPr>
        <w:spacing w:after="0" w:line="240" w:lineRule="auto"/>
        <w:rPr>
          <w:rFonts w:ascii="Verdana" w:eastAsia="Times New Roman" w:hAnsi="Verdana" w:cs="Times New Roman"/>
          <w:color w:val="18170E"/>
          <w:sz w:val="20"/>
          <w:szCs w:val="20"/>
          <w:lang w:eastAsia="en-GB"/>
        </w:rPr>
      </w:pPr>
      <w:hyperlink r:id="rId40" w:tooltip="Privacy Policy and Legal Notice" w:history="1">
        <w:r w:rsidRPr="00C916C4">
          <w:rPr>
            <w:rFonts w:ascii="Verdana" w:eastAsia="Times New Roman" w:hAnsi="Verdana" w:cs="Times New Roman"/>
            <w:color w:val="000000"/>
            <w:sz w:val="20"/>
            <w:lang w:eastAsia="en-GB"/>
          </w:rPr>
          <w:t xml:space="preserve">Privacy </w:t>
        </w:r>
      </w:hyperlink>
    </w:p>
    <w:p w:rsidR="00CD0AF9" w:rsidRDefault="00C916C4"/>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916C4"/>
    <w:rsid w:val="00097A3C"/>
    <w:rsid w:val="0015139C"/>
    <w:rsid w:val="00601D34"/>
    <w:rsid w:val="00622482"/>
    <w:rsid w:val="00AE3A77"/>
    <w:rsid w:val="00C916C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916C4"/>
    <w:rPr>
      <w:strike w:val="0"/>
      <w:dstrike w:val="0"/>
      <w:color w:val="000000"/>
      <w:u w:val="none"/>
      <w:effect w:val="none"/>
    </w:rPr>
  </w:style>
  <w:style w:type="character" w:customStyle="1" w:styleId="text-key1">
    <w:name w:val="text-key1"/>
    <w:basedOn w:val="DefaultParagraphFont"/>
    <w:rsid w:val="00C916C4"/>
    <w:rPr>
      <w:b/>
      <w:bCs/>
    </w:rPr>
  </w:style>
  <w:style w:type="paragraph" w:styleId="z-TopofForm">
    <w:name w:val="HTML Top of Form"/>
    <w:basedOn w:val="Normal"/>
    <w:next w:val="Normal"/>
    <w:link w:val="z-TopofFormChar"/>
    <w:hidden/>
    <w:uiPriority w:val="99"/>
    <w:semiHidden/>
    <w:unhideWhenUsed/>
    <w:rsid w:val="00C916C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916C4"/>
    <w:rPr>
      <w:rFonts w:ascii="Arial" w:eastAsia="Times New Roman" w:hAnsi="Arial" w:cs="Arial"/>
      <w:vanish/>
      <w:sz w:val="16"/>
      <w:szCs w:val="16"/>
      <w:lang w:eastAsia="en-GB"/>
    </w:rPr>
  </w:style>
  <w:style w:type="character" w:customStyle="1" w:styleId="dummy-link">
    <w:name w:val="dummy-link"/>
    <w:basedOn w:val="DefaultParagraphFont"/>
    <w:rsid w:val="00C916C4"/>
  </w:style>
  <w:style w:type="paragraph" w:styleId="z-BottomofForm">
    <w:name w:val="HTML Bottom of Form"/>
    <w:basedOn w:val="Normal"/>
    <w:next w:val="Normal"/>
    <w:link w:val="z-BottomofFormChar"/>
    <w:hidden/>
    <w:uiPriority w:val="99"/>
    <w:semiHidden/>
    <w:unhideWhenUsed/>
    <w:rsid w:val="00C916C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916C4"/>
    <w:rPr>
      <w:rFonts w:ascii="Arial" w:eastAsia="Times New Roman" w:hAnsi="Arial" w:cs="Arial"/>
      <w:vanish/>
      <w:sz w:val="16"/>
      <w:szCs w:val="16"/>
      <w:lang w:eastAsia="en-GB"/>
    </w:rPr>
  </w:style>
  <w:style w:type="character" w:customStyle="1" w:styleId="mono-author1">
    <w:name w:val="mono-author1"/>
    <w:basedOn w:val="DefaultParagraphFont"/>
    <w:rsid w:val="00C916C4"/>
    <w:rPr>
      <w:b/>
      <w:bCs/>
      <w:sz w:val="27"/>
      <w:szCs w:val="27"/>
    </w:rPr>
  </w:style>
  <w:style w:type="paragraph" w:styleId="BalloonText">
    <w:name w:val="Balloon Text"/>
    <w:basedOn w:val="Normal"/>
    <w:link w:val="BalloonTextChar"/>
    <w:uiPriority w:val="99"/>
    <w:semiHidden/>
    <w:unhideWhenUsed/>
    <w:rsid w:val="00C91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6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9728816">
      <w:bodyDiv w:val="1"/>
      <w:marLeft w:val="0"/>
      <w:marRight w:val="0"/>
      <w:marTop w:val="0"/>
      <w:marBottom w:val="0"/>
      <w:divBdr>
        <w:top w:val="none" w:sz="0" w:space="0" w:color="auto"/>
        <w:left w:val="none" w:sz="0" w:space="0" w:color="auto"/>
        <w:bottom w:val="none" w:sz="0" w:space="0" w:color="auto"/>
        <w:right w:val="none" w:sz="0" w:space="0" w:color="auto"/>
      </w:divBdr>
      <w:divsChild>
        <w:div w:id="716470245">
          <w:marLeft w:val="0"/>
          <w:marRight w:val="0"/>
          <w:marTop w:val="0"/>
          <w:marBottom w:val="0"/>
          <w:divBdr>
            <w:top w:val="none" w:sz="0" w:space="0" w:color="auto"/>
            <w:left w:val="none" w:sz="0" w:space="0" w:color="auto"/>
            <w:bottom w:val="none" w:sz="0" w:space="0" w:color="auto"/>
            <w:right w:val="none" w:sz="0" w:space="0" w:color="auto"/>
          </w:divBdr>
          <w:divsChild>
            <w:div w:id="705061639">
              <w:marLeft w:val="0"/>
              <w:marRight w:val="0"/>
              <w:marTop w:val="0"/>
              <w:marBottom w:val="0"/>
              <w:divBdr>
                <w:top w:val="none" w:sz="0" w:space="0" w:color="auto"/>
                <w:left w:val="none" w:sz="0" w:space="0" w:color="auto"/>
                <w:bottom w:val="none" w:sz="0" w:space="0" w:color="auto"/>
                <w:right w:val="none" w:sz="0" w:space="0" w:color="auto"/>
              </w:divBdr>
              <w:divsChild>
                <w:div w:id="1783918190">
                  <w:marLeft w:val="0"/>
                  <w:marRight w:val="0"/>
                  <w:marTop w:val="0"/>
                  <w:marBottom w:val="0"/>
                  <w:divBdr>
                    <w:top w:val="none" w:sz="0" w:space="0" w:color="auto"/>
                    <w:left w:val="none" w:sz="0" w:space="0" w:color="auto"/>
                    <w:bottom w:val="none" w:sz="0" w:space="0" w:color="auto"/>
                    <w:right w:val="none" w:sz="0" w:space="0" w:color="auto"/>
                  </w:divBdr>
                  <w:divsChild>
                    <w:div w:id="640811338">
                      <w:marLeft w:val="0"/>
                      <w:marRight w:val="0"/>
                      <w:marTop w:val="0"/>
                      <w:marBottom w:val="0"/>
                      <w:divBdr>
                        <w:top w:val="none" w:sz="0" w:space="0" w:color="auto"/>
                        <w:left w:val="none" w:sz="0" w:space="0" w:color="auto"/>
                        <w:bottom w:val="none" w:sz="0" w:space="0" w:color="auto"/>
                        <w:right w:val="none" w:sz="0" w:space="0" w:color="auto"/>
                      </w:divBdr>
                      <w:divsChild>
                        <w:div w:id="81952394">
                          <w:marLeft w:val="0"/>
                          <w:marRight w:val="0"/>
                          <w:marTop w:val="0"/>
                          <w:marBottom w:val="0"/>
                          <w:divBdr>
                            <w:top w:val="none" w:sz="0" w:space="0" w:color="auto"/>
                            <w:left w:val="none" w:sz="0" w:space="0" w:color="auto"/>
                            <w:bottom w:val="none" w:sz="0" w:space="0" w:color="auto"/>
                            <w:right w:val="none" w:sz="0" w:space="0" w:color="auto"/>
                          </w:divBdr>
                        </w:div>
                        <w:div w:id="426392989">
                          <w:marLeft w:val="0"/>
                          <w:marRight w:val="0"/>
                          <w:marTop w:val="0"/>
                          <w:marBottom w:val="0"/>
                          <w:divBdr>
                            <w:top w:val="none" w:sz="0" w:space="0" w:color="auto"/>
                            <w:left w:val="none" w:sz="0" w:space="0" w:color="auto"/>
                            <w:bottom w:val="none" w:sz="0" w:space="0" w:color="auto"/>
                            <w:right w:val="none" w:sz="0" w:space="0" w:color="auto"/>
                          </w:divBdr>
                        </w:div>
                        <w:div w:id="1127356517">
                          <w:marLeft w:val="0"/>
                          <w:marRight w:val="0"/>
                          <w:marTop w:val="150"/>
                          <w:marBottom w:val="150"/>
                          <w:divBdr>
                            <w:top w:val="none" w:sz="0" w:space="0" w:color="auto"/>
                            <w:left w:val="none" w:sz="0" w:space="0" w:color="auto"/>
                            <w:bottom w:val="none" w:sz="0" w:space="0" w:color="auto"/>
                            <w:right w:val="none" w:sz="0" w:space="0" w:color="auto"/>
                          </w:divBdr>
                        </w:div>
                        <w:div w:id="1937135857">
                          <w:marLeft w:val="0"/>
                          <w:marRight w:val="0"/>
                          <w:marTop w:val="0"/>
                          <w:marBottom w:val="0"/>
                          <w:divBdr>
                            <w:top w:val="none" w:sz="0" w:space="0" w:color="auto"/>
                            <w:left w:val="none" w:sz="0" w:space="0" w:color="auto"/>
                            <w:bottom w:val="none" w:sz="0" w:space="0" w:color="auto"/>
                            <w:right w:val="none" w:sz="0" w:space="0" w:color="auto"/>
                          </w:divBdr>
                        </w:div>
                      </w:divsChild>
                    </w:div>
                    <w:div w:id="2070641921">
                      <w:marLeft w:val="0"/>
                      <w:marRight w:val="0"/>
                      <w:marTop w:val="0"/>
                      <w:marBottom w:val="0"/>
                      <w:divBdr>
                        <w:top w:val="none" w:sz="0" w:space="0" w:color="auto"/>
                        <w:left w:val="none" w:sz="0" w:space="0" w:color="auto"/>
                        <w:bottom w:val="none" w:sz="0" w:space="0" w:color="auto"/>
                        <w:right w:val="none" w:sz="0" w:space="0" w:color="auto"/>
                      </w:divBdr>
                    </w:div>
                    <w:div w:id="1076588631">
                      <w:marLeft w:val="0"/>
                      <w:marRight w:val="0"/>
                      <w:marTop w:val="0"/>
                      <w:marBottom w:val="0"/>
                      <w:divBdr>
                        <w:top w:val="none" w:sz="0" w:space="0" w:color="auto"/>
                        <w:left w:val="none" w:sz="0" w:space="0" w:color="auto"/>
                        <w:bottom w:val="none" w:sz="0" w:space="0" w:color="auto"/>
                        <w:right w:val="none" w:sz="0" w:space="0" w:color="auto"/>
                      </w:divBdr>
                      <w:divsChild>
                        <w:div w:id="1060443070">
                          <w:marLeft w:val="0"/>
                          <w:marRight w:val="0"/>
                          <w:marTop w:val="300"/>
                          <w:marBottom w:val="150"/>
                          <w:divBdr>
                            <w:top w:val="none" w:sz="0" w:space="0" w:color="auto"/>
                            <w:left w:val="none" w:sz="0" w:space="0" w:color="auto"/>
                            <w:bottom w:val="single" w:sz="6" w:space="2" w:color="98915C"/>
                            <w:right w:val="none" w:sz="0" w:space="0" w:color="auto"/>
                          </w:divBdr>
                        </w:div>
                        <w:div w:id="874274465">
                          <w:marLeft w:val="0"/>
                          <w:marRight w:val="0"/>
                          <w:marTop w:val="0"/>
                          <w:marBottom w:val="0"/>
                          <w:divBdr>
                            <w:top w:val="none" w:sz="0" w:space="0" w:color="auto"/>
                            <w:left w:val="none" w:sz="0" w:space="0" w:color="auto"/>
                            <w:bottom w:val="none" w:sz="0" w:space="0" w:color="auto"/>
                            <w:right w:val="none" w:sz="0" w:space="0" w:color="auto"/>
                          </w:divBdr>
                          <w:divsChild>
                            <w:div w:id="1904370900">
                              <w:marLeft w:val="0"/>
                              <w:marRight w:val="0"/>
                              <w:marTop w:val="0"/>
                              <w:marBottom w:val="0"/>
                              <w:divBdr>
                                <w:top w:val="none" w:sz="0" w:space="0" w:color="auto"/>
                                <w:left w:val="none" w:sz="0" w:space="0" w:color="auto"/>
                                <w:bottom w:val="none" w:sz="0" w:space="0" w:color="auto"/>
                                <w:right w:val="none" w:sz="0" w:space="0" w:color="auto"/>
                              </w:divBdr>
                            </w:div>
                          </w:divsChild>
                        </w:div>
                        <w:div w:id="651909197">
                          <w:marLeft w:val="0"/>
                          <w:marRight w:val="0"/>
                          <w:marTop w:val="0"/>
                          <w:marBottom w:val="0"/>
                          <w:divBdr>
                            <w:top w:val="none" w:sz="0" w:space="0" w:color="auto"/>
                            <w:left w:val="none" w:sz="0" w:space="0" w:color="auto"/>
                            <w:bottom w:val="none" w:sz="0" w:space="0" w:color="auto"/>
                            <w:right w:val="none" w:sz="0" w:space="0" w:color="auto"/>
                          </w:divBdr>
                          <w:divsChild>
                            <w:div w:id="2012249495">
                              <w:marLeft w:val="0"/>
                              <w:marRight w:val="0"/>
                              <w:marTop w:val="0"/>
                              <w:marBottom w:val="0"/>
                              <w:divBdr>
                                <w:top w:val="none" w:sz="0" w:space="0" w:color="auto"/>
                                <w:left w:val="none" w:sz="0" w:space="0" w:color="auto"/>
                                <w:bottom w:val="none" w:sz="0" w:space="0" w:color="auto"/>
                                <w:right w:val="none" w:sz="0" w:space="0" w:color="auto"/>
                              </w:divBdr>
                            </w:div>
                            <w:div w:id="831723430">
                              <w:marLeft w:val="0"/>
                              <w:marRight w:val="0"/>
                              <w:marTop w:val="0"/>
                              <w:marBottom w:val="0"/>
                              <w:divBdr>
                                <w:top w:val="none" w:sz="0" w:space="0" w:color="auto"/>
                                <w:left w:val="none" w:sz="0" w:space="0" w:color="auto"/>
                                <w:bottom w:val="none" w:sz="0" w:space="0" w:color="auto"/>
                                <w:right w:val="none" w:sz="0" w:space="0" w:color="auto"/>
                              </w:divBdr>
                            </w:div>
                            <w:div w:id="1385641832">
                              <w:marLeft w:val="0"/>
                              <w:marRight w:val="0"/>
                              <w:marTop w:val="0"/>
                              <w:marBottom w:val="0"/>
                              <w:divBdr>
                                <w:top w:val="none" w:sz="0" w:space="0" w:color="auto"/>
                                <w:left w:val="none" w:sz="0" w:space="0" w:color="auto"/>
                                <w:bottom w:val="none" w:sz="0" w:space="0" w:color="auto"/>
                                <w:right w:val="none" w:sz="0" w:space="0" w:color="auto"/>
                              </w:divBdr>
                            </w:div>
                          </w:divsChild>
                        </w:div>
                        <w:div w:id="922497846">
                          <w:marLeft w:val="0"/>
                          <w:marRight w:val="0"/>
                          <w:marTop w:val="0"/>
                          <w:marBottom w:val="0"/>
                          <w:divBdr>
                            <w:top w:val="none" w:sz="0" w:space="0" w:color="auto"/>
                            <w:left w:val="none" w:sz="0" w:space="0" w:color="auto"/>
                            <w:bottom w:val="none" w:sz="0" w:space="0" w:color="auto"/>
                            <w:right w:val="none" w:sz="0" w:space="0" w:color="auto"/>
                          </w:divBdr>
                          <w:divsChild>
                            <w:div w:id="853764529">
                              <w:marLeft w:val="0"/>
                              <w:marRight w:val="0"/>
                              <w:marTop w:val="0"/>
                              <w:marBottom w:val="0"/>
                              <w:divBdr>
                                <w:top w:val="none" w:sz="0" w:space="0" w:color="auto"/>
                                <w:left w:val="none" w:sz="0" w:space="0" w:color="auto"/>
                                <w:bottom w:val="none" w:sz="0" w:space="0" w:color="auto"/>
                                <w:right w:val="none" w:sz="0" w:space="0" w:color="auto"/>
                              </w:divBdr>
                            </w:div>
                            <w:div w:id="111236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28054">
                      <w:marLeft w:val="0"/>
                      <w:marRight w:val="0"/>
                      <w:marTop w:val="150"/>
                      <w:marBottom w:val="300"/>
                      <w:divBdr>
                        <w:top w:val="none" w:sz="0" w:space="0" w:color="auto"/>
                        <w:left w:val="none" w:sz="0" w:space="0" w:color="auto"/>
                        <w:bottom w:val="dotted" w:sz="6" w:space="6" w:color="000065"/>
                        <w:right w:val="none" w:sz="0" w:space="0" w:color="auto"/>
                      </w:divBdr>
                    </w:div>
                    <w:div w:id="105203389">
                      <w:marLeft w:val="0"/>
                      <w:marRight w:val="0"/>
                      <w:marTop w:val="75"/>
                      <w:marBottom w:val="150"/>
                      <w:divBdr>
                        <w:top w:val="single" w:sz="4" w:space="4" w:color="98915C"/>
                        <w:left w:val="none" w:sz="0" w:space="0" w:color="auto"/>
                        <w:bottom w:val="single" w:sz="4" w:space="4" w:color="98915C"/>
                        <w:right w:val="none" w:sz="0" w:space="0" w:color="auto"/>
                      </w:divBdr>
                    </w:div>
                    <w:div w:id="2001613589">
                      <w:marLeft w:val="0"/>
                      <w:marRight w:val="0"/>
                      <w:marTop w:val="0"/>
                      <w:marBottom w:val="0"/>
                      <w:divBdr>
                        <w:top w:val="none" w:sz="0" w:space="0" w:color="auto"/>
                        <w:left w:val="none" w:sz="0" w:space="0" w:color="auto"/>
                        <w:bottom w:val="none" w:sz="0" w:space="0" w:color="auto"/>
                        <w:right w:val="none" w:sz="0" w:space="0" w:color="auto"/>
                      </w:divBdr>
                      <w:divsChild>
                        <w:div w:id="1794211375">
                          <w:marLeft w:val="0"/>
                          <w:marRight w:val="0"/>
                          <w:marTop w:val="0"/>
                          <w:marBottom w:val="0"/>
                          <w:divBdr>
                            <w:top w:val="none" w:sz="0" w:space="0" w:color="auto"/>
                            <w:left w:val="none" w:sz="0" w:space="0" w:color="auto"/>
                            <w:bottom w:val="none" w:sz="0" w:space="0" w:color="auto"/>
                            <w:right w:val="none" w:sz="0" w:space="0" w:color="auto"/>
                          </w:divBdr>
                        </w:div>
                      </w:divsChild>
                    </w:div>
                    <w:div w:id="545409680">
                      <w:marLeft w:val="0"/>
                      <w:marRight w:val="0"/>
                      <w:marTop w:val="0"/>
                      <w:marBottom w:val="0"/>
                      <w:divBdr>
                        <w:top w:val="none" w:sz="0" w:space="0" w:color="auto"/>
                        <w:left w:val="none" w:sz="0" w:space="0" w:color="auto"/>
                        <w:bottom w:val="none" w:sz="0" w:space="0" w:color="auto"/>
                        <w:right w:val="none" w:sz="0" w:space="0" w:color="auto"/>
                      </w:divBdr>
                      <w:divsChild>
                        <w:div w:id="1076241508">
                          <w:marLeft w:val="0"/>
                          <w:marRight w:val="0"/>
                          <w:marTop w:val="300"/>
                          <w:marBottom w:val="150"/>
                          <w:divBdr>
                            <w:top w:val="none" w:sz="0" w:space="0" w:color="auto"/>
                            <w:left w:val="none" w:sz="0" w:space="0" w:color="auto"/>
                            <w:bottom w:val="none" w:sz="0" w:space="0" w:color="auto"/>
                            <w:right w:val="none" w:sz="0" w:space="0" w:color="auto"/>
                          </w:divBdr>
                        </w:div>
                        <w:div w:id="903444896">
                          <w:marLeft w:val="0"/>
                          <w:marRight w:val="0"/>
                          <w:marTop w:val="0"/>
                          <w:marBottom w:val="0"/>
                          <w:divBdr>
                            <w:top w:val="none" w:sz="0" w:space="0" w:color="auto"/>
                            <w:left w:val="none" w:sz="0" w:space="0" w:color="auto"/>
                            <w:bottom w:val="none" w:sz="0" w:space="0" w:color="auto"/>
                            <w:right w:val="none" w:sz="0" w:space="0" w:color="auto"/>
                          </w:divBdr>
                        </w:div>
                      </w:divsChild>
                    </w:div>
                    <w:div w:id="1665552268">
                      <w:marLeft w:val="0"/>
                      <w:marRight w:val="0"/>
                      <w:marTop w:val="0"/>
                      <w:marBottom w:val="0"/>
                      <w:divBdr>
                        <w:top w:val="none" w:sz="0" w:space="0" w:color="auto"/>
                        <w:left w:val="none" w:sz="0" w:space="0" w:color="auto"/>
                        <w:bottom w:val="none" w:sz="0" w:space="0" w:color="auto"/>
                        <w:right w:val="none" w:sz="0" w:space="0" w:color="auto"/>
                      </w:divBdr>
                      <w:divsChild>
                        <w:div w:id="88812464">
                          <w:marLeft w:val="0"/>
                          <w:marRight w:val="0"/>
                          <w:marTop w:val="300"/>
                          <w:marBottom w:val="150"/>
                          <w:divBdr>
                            <w:top w:val="none" w:sz="0" w:space="0" w:color="auto"/>
                            <w:left w:val="none" w:sz="0" w:space="0" w:color="auto"/>
                            <w:bottom w:val="none" w:sz="0" w:space="0" w:color="auto"/>
                            <w:right w:val="none" w:sz="0" w:space="0" w:color="auto"/>
                          </w:divBdr>
                        </w:div>
                        <w:div w:id="85813932">
                          <w:marLeft w:val="0"/>
                          <w:marRight w:val="0"/>
                          <w:marTop w:val="0"/>
                          <w:marBottom w:val="0"/>
                          <w:divBdr>
                            <w:top w:val="none" w:sz="0" w:space="0" w:color="auto"/>
                            <w:left w:val="none" w:sz="0" w:space="0" w:color="auto"/>
                            <w:bottom w:val="none" w:sz="0" w:space="0" w:color="auto"/>
                            <w:right w:val="none" w:sz="0" w:space="0" w:color="auto"/>
                          </w:divBdr>
                        </w:div>
                      </w:divsChild>
                    </w:div>
                    <w:div w:id="1543128457">
                      <w:marLeft w:val="0"/>
                      <w:marRight w:val="0"/>
                      <w:marTop w:val="150"/>
                      <w:marBottom w:val="300"/>
                      <w:divBdr>
                        <w:top w:val="none" w:sz="0" w:space="0" w:color="auto"/>
                        <w:left w:val="none" w:sz="0" w:space="0" w:color="auto"/>
                        <w:bottom w:val="dotted" w:sz="6" w:space="6" w:color="000065"/>
                        <w:right w:val="none" w:sz="0" w:space="0" w:color="auto"/>
                      </w:divBdr>
                    </w:div>
                    <w:div w:id="1033577465">
                      <w:marLeft w:val="0"/>
                      <w:marRight w:val="0"/>
                      <w:marTop w:val="75"/>
                      <w:marBottom w:val="150"/>
                      <w:divBdr>
                        <w:top w:val="single" w:sz="4" w:space="4" w:color="98915C"/>
                        <w:left w:val="none" w:sz="0" w:space="0" w:color="auto"/>
                        <w:bottom w:val="single" w:sz="4" w:space="4" w:color="98915C"/>
                        <w:right w:val="none" w:sz="0" w:space="0" w:color="auto"/>
                      </w:divBdr>
                    </w:div>
                    <w:div w:id="19212097">
                      <w:marLeft w:val="0"/>
                      <w:marRight w:val="0"/>
                      <w:marTop w:val="0"/>
                      <w:marBottom w:val="0"/>
                      <w:divBdr>
                        <w:top w:val="none" w:sz="0" w:space="0" w:color="auto"/>
                        <w:left w:val="none" w:sz="0" w:space="0" w:color="auto"/>
                        <w:bottom w:val="none" w:sz="0" w:space="0" w:color="auto"/>
                        <w:right w:val="none" w:sz="0" w:space="0" w:color="auto"/>
                      </w:divBdr>
                      <w:divsChild>
                        <w:div w:id="532157089">
                          <w:marLeft w:val="0"/>
                          <w:marRight w:val="0"/>
                          <w:marTop w:val="0"/>
                          <w:marBottom w:val="0"/>
                          <w:divBdr>
                            <w:top w:val="none" w:sz="0" w:space="0" w:color="auto"/>
                            <w:left w:val="none" w:sz="0" w:space="0" w:color="auto"/>
                            <w:bottom w:val="none" w:sz="0" w:space="0" w:color="auto"/>
                            <w:right w:val="none" w:sz="0" w:space="0" w:color="auto"/>
                          </w:divBdr>
                        </w:div>
                        <w:div w:id="1057777055">
                          <w:marLeft w:val="0"/>
                          <w:marRight w:val="0"/>
                          <w:marTop w:val="0"/>
                          <w:marBottom w:val="0"/>
                          <w:divBdr>
                            <w:top w:val="none" w:sz="0" w:space="0" w:color="auto"/>
                            <w:left w:val="none" w:sz="0" w:space="0" w:color="auto"/>
                            <w:bottom w:val="none" w:sz="0" w:space="0" w:color="auto"/>
                            <w:right w:val="none" w:sz="0" w:space="0" w:color="auto"/>
                          </w:divBdr>
                        </w:div>
                        <w:div w:id="960185080">
                          <w:marLeft w:val="0"/>
                          <w:marRight w:val="0"/>
                          <w:marTop w:val="0"/>
                          <w:marBottom w:val="0"/>
                          <w:divBdr>
                            <w:top w:val="none" w:sz="0" w:space="0" w:color="auto"/>
                            <w:left w:val="none" w:sz="0" w:space="0" w:color="auto"/>
                            <w:bottom w:val="none" w:sz="0" w:space="0" w:color="auto"/>
                            <w:right w:val="none" w:sz="0" w:space="0" w:color="auto"/>
                          </w:divBdr>
                          <w:divsChild>
                            <w:div w:id="825127949">
                              <w:marLeft w:val="0"/>
                              <w:marRight w:val="0"/>
                              <w:marTop w:val="0"/>
                              <w:marBottom w:val="0"/>
                              <w:divBdr>
                                <w:top w:val="none" w:sz="0" w:space="0" w:color="auto"/>
                                <w:left w:val="none" w:sz="0" w:space="0" w:color="auto"/>
                                <w:bottom w:val="none" w:sz="0" w:space="0" w:color="auto"/>
                                <w:right w:val="none" w:sz="0" w:space="0" w:color="auto"/>
                              </w:divBdr>
                              <w:divsChild>
                                <w:div w:id="60958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049284">
                          <w:marLeft w:val="0"/>
                          <w:marRight w:val="0"/>
                          <w:marTop w:val="0"/>
                          <w:marBottom w:val="0"/>
                          <w:divBdr>
                            <w:top w:val="none" w:sz="0" w:space="0" w:color="auto"/>
                            <w:left w:val="none" w:sz="0" w:space="0" w:color="auto"/>
                            <w:bottom w:val="none" w:sz="0" w:space="0" w:color="auto"/>
                            <w:right w:val="none" w:sz="0" w:space="0" w:color="auto"/>
                          </w:divBdr>
                        </w:div>
                        <w:div w:id="932318897">
                          <w:marLeft w:val="0"/>
                          <w:marRight w:val="0"/>
                          <w:marTop w:val="0"/>
                          <w:marBottom w:val="0"/>
                          <w:divBdr>
                            <w:top w:val="none" w:sz="0" w:space="0" w:color="auto"/>
                            <w:left w:val="none" w:sz="0" w:space="0" w:color="auto"/>
                            <w:bottom w:val="none" w:sz="0" w:space="0" w:color="auto"/>
                            <w:right w:val="none" w:sz="0" w:space="0" w:color="auto"/>
                          </w:divBdr>
                        </w:div>
                        <w:div w:id="887031615">
                          <w:marLeft w:val="0"/>
                          <w:marRight w:val="0"/>
                          <w:marTop w:val="0"/>
                          <w:marBottom w:val="0"/>
                          <w:divBdr>
                            <w:top w:val="none" w:sz="0" w:space="0" w:color="auto"/>
                            <w:left w:val="none" w:sz="0" w:space="0" w:color="auto"/>
                            <w:bottom w:val="none" w:sz="0" w:space="0" w:color="auto"/>
                            <w:right w:val="none" w:sz="0" w:space="0" w:color="auto"/>
                          </w:divBdr>
                        </w:div>
                      </w:divsChild>
                    </w:div>
                    <w:div w:id="194543300">
                      <w:marLeft w:val="0"/>
                      <w:marRight w:val="0"/>
                      <w:marTop w:val="150"/>
                      <w:marBottom w:val="300"/>
                      <w:divBdr>
                        <w:top w:val="none" w:sz="0" w:space="0" w:color="auto"/>
                        <w:left w:val="none" w:sz="0" w:space="0" w:color="auto"/>
                        <w:bottom w:val="dotted" w:sz="6" w:space="6" w:color="000065"/>
                        <w:right w:val="none" w:sz="0" w:space="0" w:color="auto"/>
                      </w:divBdr>
                    </w:div>
                    <w:div w:id="1197161850">
                      <w:marLeft w:val="0"/>
                      <w:marRight w:val="0"/>
                      <w:marTop w:val="75"/>
                      <w:marBottom w:val="150"/>
                      <w:divBdr>
                        <w:top w:val="single" w:sz="4" w:space="4" w:color="98915C"/>
                        <w:left w:val="none" w:sz="0" w:space="0" w:color="auto"/>
                        <w:bottom w:val="single" w:sz="4" w:space="4" w:color="98915C"/>
                        <w:right w:val="none" w:sz="0" w:space="0" w:color="auto"/>
                      </w:divBdr>
                    </w:div>
                    <w:div w:id="1425105580">
                      <w:marLeft w:val="0"/>
                      <w:marRight w:val="0"/>
                      <w:marTop w:val="0"/>
                      <w:marBottom w:val="0"/>
                      <w:divBdr>
                        <w:top w:val="none" w:sz="0" w:space="0" w:color="auto"/>
                        <w:left w:val="none" w:sz="0" w:space="0" w:color="auto"/>
                        <w:bottom w:val="none" w:sz="0" w:space="0" w:color="auto"/>
                        <w:right w:val="none" w:sz="0" w:space="0" w:color="auto"/>
                      </w:divBdr>
                      <w:divsChild>
                        <w:div w:id="101346636">
                          <w:marLeft w:val="0"/>
                          <w:marRight w:val="0"/>
                          <w:marTop w:val="0"/>
                          <w:marBottom w:val="0"/>
                          <w:divBdr>
                            <w:top w:val="none" w:sz="0" w:space="0" w:color="auto"/>
                            <w:left w:val="none" w:sz="0" w:space="0" w:color="auto"/>
                            <w:bottom w:val="none" w:sz="0" w:space="0" w:color="auto"/>
                            <w:right w:val="none" w:sz="0" w:space="0" w:color="auto"/>
                          </w:divBdr>
                        </w:div>
                        <w:div w:id="512114177">
                          <w:marLeft w:val="0"/>
                          <w:marRight w:val="0"/>
                          <w:marTop w:val="0"/>
                          <w:marBottom w:val="0"/>
                          <w:divBdr>
                            <w:top w:val="none" w:sz="0" w:space="0" w:color="auto"/>
                            <w:left w:val="none" w:sz="0" w:space="0" w:color="auto"/>
                            <w:bottom w:val="none" w:sz="0" w:space="0" w:color="auto"/>
                            <w:right w:val="none" w:sz="0" w:space="0" w:color="auto"/>
                          </w:divBdr>
                        </w:div>
                      </w:divsChild>
                    </w:div>
                    <w:div w:id="395127037">
                      <w:marLeft w:val="0"/>
                      <w:marRight w:val="0"/>
                      <w:marTop w:val="0"/>
                      <w:marBottom w:val="0"/>
                      <w:divBdr>
                        <w:top w:val="none" w:sz="0" w:space="0" w:color="auto"/>
                        <w:left w:val="none" w:sz="0" w:space="0" w:color="auto"/>
                        <w:bottom w:val="none" w:sz="0" w:space="0" w:color="auto"/>
                        <w:right w:val="none" w:sz="0" w:space="0" w:color="auto"/>
                      </w:divBdr>
                      <w:divsChild>
                        <w:div w:id="184632547">
                          <w:marLeft w:val="0"/>
                          <w:marRight w:val="0"/>
                          <w:marTop w:val="300"/>
                          <w:marBottom w:val="150"/>
                          <w:divBdr>
                            <w:top w:val="none" w:sz="0" w:space="0" w:color="auto"/>
                            <w:left w:val="none" w:sz="0" w:space="0" w:color="auto"/>
                            <w:bottom w:val="none" w:sz="0" w:space="0" w:color="auto"/>
                            <w:right w:val="none" w:sz="0" w:space="0" w:color="auto"/>
                          </w:divBdr>
                        </w:div>
                        <w:div w:id="1301497406">
                          <w:marLeft w:val="0"/>
                          <w:marRight w:val="0"/>
                          <w:marTop w:val="0"/>
                          <w:marBottom w:val="0"/>
                          <w:divBdr>
                            <w:top w:val="none" w:sz="0" w:space="0" w:color="auto"/>
                            <w:left w:val="none" w:sz="0" w:space="0" w:color="auto"/>
                            <w:bottom w:val="none" w:sz="0" w:space="0" w:color="auto"/>
                            <w:right w:val="none" w:sz="0" w:space="0" w:color="auto"/>
                          </w:divBdr>
                        </w:div>
                        <w:div w:id="1435323422">
                          <w:marLeft w:val="0"/>
                          <w:marRight w:val="0"/>
                          <w:marTop w:val="0"/>
                          <w:marBottom w:val="0"/>
                          <w:divBdr>
                            <w:top w:val="none" w:sz="0" w:space="0" w:color="auto"/>
                            <w:left w:val="none" w:sz="0" w:space="0" w:color="auto"/>
                            <w:bottom w:val="none" w:sz="0" w:space="0" w:color="auto"/>
                            <w:right w:val="none" w:sz="0" w:space="0" w:color="auto"/>
                          </w:divBdr>
                        </w:div>
                        <w:div w:id="922294795">
                          <w:marLeft w:val="0"/>
                          <w:marRight w:val="0"/>
                          <w:marTop w:val="0"/>
                          <w:marBottom w:val="0"/>
                          <w:divBdr>
                            <w:top w:val="none" w:sz="0" w:space="0" w:color="auto"/>
                            <w:left w:val="none" w:sz="0" w:space="0" w:color="auto"/>
                            <w:bottom w:val="none" w:sz="0" w:space="0" w:color="auto"/>
                            <w:right w:val="none" w:sz="0" w:space="0" w:color="auto"/>
                          </w:divBdr>
                        </w:div>
                      </w:divsChild>
                    </w:div>
                    <w:div w:id="2025014482">
                      <w:marLeft w:val="0"/>
                      <w:marRight w:val="0"/>
                      <w:marTop w:val="150"/>
                      <w:marBottom w:val="300"/>
                      <w:divBdr>
                        <w:top w:val="none" w:sz="0" w:space="0" w:color="auto"/>
                        <w:left w:val="none" w:sz="0" w:space="0" w:color="auto"/>
                        <w:bottom w:val="dotted" w:sz="6" w:space="6" w:color="000065"/>
                        <w:right w:val="none" w:sz="0" w:space="0" w:color="auto"/>
                      </w:divBdr>
                    </w:div>
                    <w:div w:id="973406473">
                      <w:marLeft w:val="0"/>
                      <w:marRight w:val="0"/>
                      <w:marTop w:val="75"/>
                      <w:marBottom w:val="150"/>
                      <w:divBdr>
                        <w:top w:val="single" w:sz="4" w:space="4" w:color="98915C"/>
                        <w:left w:val="none" w:sz="0" w:space="0" w:color="auto"/>
                        <w:bottom w:val="single" w:sz="4" w:space="4" w:color="98915C"/>
                        <w:right w:val="none" w:sz="0" w:space="0" w:color="auto"/>
                      </w:divBdr>
                    </w:div>
                    <w:div w:id="65035771">
                      <w:marLeft w:val="0"/>
                      <w:marRight w:val="0"/>
                      <w:marTop w:val="0"/>
                      <w:marBottom w:val="0"/>
                      <w:divBdr>
                        <w:top w:val="none" w:sz="0" w:space="0" w:color="auto"/>
                        <w:left w:val="none" w:sz="0" w:space="0" w:color="auto"/>
                        <w:bottom w:val="none" w:sz="0" w:space="0" w:color="auto"/>
                        <w:right w:val="none" w:sz="0" w:space="0" w:color="auto"/>
                      </w:divBdr>
                      <w:divsChild>
                        <w:div w:id="985400931">
                          <w:marLeft w:val="0"/>
                          <w:marRight w:val="0"/>
                          <w:marTop w:val="0"/>
                          <w:marBottom w:val="0"/>
                          <w:divBdr>
                            <w:top w:val="none" w:sz="0" w:space="0" w:color="auto"/>
                            <w:left w:val="none" w:sz="0" w:space="0" w:color="auto"/>
                            <w:bottom w:val="none" w:sz="0" w:space="0" w:color="auto"/>
                            <w:right w:val="none" w:sz="0" w:space="0" w:color="auto"/>
                          </w:divBdr>
                          <w:divsChild>
                            <w:div w:id="155922000">
                              <w:marLeft w:val="0"/>
                              <w:marRight w:val="0"/>
                              <w:marTop w:val="0"/>
                              <w:marBottom w:val="0"/>
                              <w:divBdr>
                                <w:top w:val="none" w:sz="0" w:space="0" w:color="auto"/>
                                <w:left w:val="none" w:sz="0" w:space="0" w:color="auto"/>
                                <w:bottom w:val="none" w:sz="0" w:space="0" w:color="auto"/>
                                <w:right w:val="none" w:sz="0" w:space="0" w:color="auto"/>
                              </w:divBdr>
                              <w:divsChild>
                                <w:div w:id="1175000419">
                                  <w:marLeft w:val="0"/>
                                  <w:marRight w:val="0"/>
                                  <w:marTop w:val="0"/>
                                  <w:marBottom w:val="0"/>
                                  <w:divBdr>
                                    <w:top w:val="none" w:sz="0" w:space="0" w:color="auto"/>
                                    <w:left w:val="none" w:sz="0" w:space="0" w:color="auto"/>
                                    <w:bottom w:val="none" w:sz="0" w:space="0" w:color="auto"/>
                                    <w:right w:val="none" w:sz="0" w:space="0" w:color="auto"/>
                                  </w:divBdr>
                                  <w:divsChild>
                                    <w:div w:id="7848147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98129475">
                          <w:marLeft w:val="0"/>
                          <w:marRight w:val="0"/>
                          <w:marTop w:val="0"/>
                          <w:marBottom w:val="0"/>
                          <w:divBdr>
                            <w:top w:val="none" w:sz="0" w:space="0" w:color="auto"/>
                            <w:left w:val="none" w:sz="0" w:space="0" w:color="auto"/>
                            <w:bottom w:val="none" w:sz="0" w:space="0" w:color="auto"/>
                            <w:right w:val="none" w:sz="0" w:space="0" w:color="auto"/>
                          </w:divBdr>
                        </w:div>
                        <w:div w:id="705257709">
                          <w:marLeft w:val="0"/>
                          <w:marRight w:val="0"/>
                          <w:marTop w:val="0"/>
                          <w:marBottom w:val="0"/>
                          <w:divBdr>
                            <w:top w:val="none" w:sz="0" w:space="0" w:color="auto"/>
                            <w:left w:val="none" w:sz="0" w:space="0" w:color="auto"/>
                            <w:bottom w:val="none" w:sz="0" w:space="0" w:color="auto"/>
                            <w:right w:val="none" w:sz="0" w:space="0" w:color="auto"/>
                          </w:divBdr>
                        </w:div>
                        <w:div w:id="2109694356">
                          <w:marLeft w:val="0"/>
                          <w:marRight w:val="0"/>
                          <w:marTop w:val="0"/>
                          <w:marBottom w:val="0"/>
                          <w:divBdr>
                            <w:top w:val="none" w:sz="0" w:space="0" w:color="auto"/>
                            <w:left w:val="none" w:sz="0" w:space="0" w:color="auto"/>
                            <w:bottom w:val="none" w:sz="0" w:space="0" w:color="auto"/>
                            <w:right w:val="none" w:sz="0" w:space="0" w:color="auto"/>
                          </w:divBdr>
                        </w:div>
                      </w:divsChild>
                    </w:div>
                    <w:div w:id="173765561">
                      <w:marLeft w:val="0"/>
                      <w:marRight w:val="0"/>
                      <w:marTop w:val="150"/>
                      <w:marBottom w:val="300"/>
                      <w:divBdr>
                        <w:top w:val="none" w:sz="0" w:space="0" w:color="auto"/>
                        <w:left w:val="none" w:sz="0" w:space="0" w:color="auto"/>
                        <w:bottom w:val="dotted" w:sz="6" w:space="6" w:color="000065"/>
                        <w:right w:val="none" w:sz="0" w:space="0" w:color="auto"/>
                      </w:divBdr>
                    </w:div>
                    <w:div w:id="638346881">
                      <w:marLeft w:val="0"/>
                      <w:marRight w:val="0"/>
                      <w:marTop w:val="0"/>
                      <w:marBottom w:val="0"/>
                      <w:divBdr>
                        <w:top w:val="none" w:sz="0" w:space="0" w:color="auto"/>
                        <w:left w:val="none" w:sz="0" w:space="0" w:color="auto"/>
                        <w:bottom w:val="none" w:sz="0" w:space="0" w:color="auto"/>
                        <w:right w:val="none" w:sz="0" w:space="0" w:color="auto"/>
                      </w:divBdr>
                    </w:div>
                    <w:div w:id="4188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59356">
              <w:marLeft w:val="0"/>
              <w:marRight w:val="0"/>
              <w:marTop w:val="0"/>
              <w:marBottom w:val="0"/>
              <w:divBdr>
                <w:top w:val="none" w:sz="0" w:space="0" w:color="auto"/>
                <w:left w:val="none" w:sz="0" w:space="0" w:color="auto"/>
                <w:bottom w:val="none" w:sz="0" w:space="0" w:color="auto"/>
                <w:right w:val="none" w:sz="0" w:space="0" w:color="auto"/>
              </w:divBdr>
              <w:divsChild>
                <w:div w:id="651837428">
                  <w:marLeft w:val="0"/>
                  <w:marRight w:val="0"/>
                  <w:marTop w:val="0"/>
                  <w:marBottom w:val="0"/>
                  <w:divBdr>
                    <w:top w:val="none" w:sz="0" w:space="0" w:color="auto"/>
                    <w:left w:val="none" w:sz="0" w:space="0" w:color="auto"/>
                    <w:bottom w:val="none" w:sz="0" w:space="0" w:color="auto"/>
                    <w:right w:val="none" w:sz="0" w:space="0" w:color="auto"/>
                  </w:divBdr>
                </w:div>
                <w:div w:id="400711407">
                  <w:marLeft w:val="0"/>
                  <w:marRight w:val="0"/>
                  <w:marTop w:val="0"/>
                  <w:marBottom w:val="0"/>
                  <w:divBdr>
                    <w:top w:val="none" w:sz="0" w:space="0" w:color="auto"/>
                    <w:left w:val="none" w:sz="0" w:space="0" w:color="auto"/>
                    <w:bottom w:val="none" w:sz="0" w:space="0" w:color="auto"/>
                    <w:right w:val="none" w:sz="0" w:space="0" w:color="auto"/>
                  </w:divBdr>
                  <w:divsChild>
                    <w:div w:id="25764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www.oxfordscholarship.com/oso/private/content/management/9780199226009/p085.html" TargetMode="External"/><Relationship Id="rId18" Type="http://schemas.openxmlformats.org/officeDocument/2006/relationships/hyperlink" Target="http://www.oxfordscholarship.com/search/query?keyword=%22religion%22" TargetMode="External"/><Relationship Id="rId26" Type="http://schemas.openxmlformats.org/officeDocument/2006/relationships/hyperlink" Target="http://www.oxfordscholarship.com/oso/private/content/management/9780199226009/p088.html" TargetMode="External"/><Relationship Id="rId39" Type="http://schemas.openxmlformats.org/officeDocument/2006/relationships/hyperlink" Target="http://www.oxfordscholarship.com/oso/private/content/management/9780199226009/p085.html" TargetMode="External"/><Relationship Id="rId3" Type="http://schemas.openxmlformats.org/officeDocument/2006/relationships/webSettings" Target="webSettings.xml"/><Relationship Id="rId21" Type="http://schemas.openxmlformats.org/officeDocument/2006/relationships/hyperlink" Target="http://www.oxfordscholarship.com/search/query?keyword=%22fraud%22" TargetMode="External"/><Relationship Id="rId34" Type="http://schemas.openxmlformats.org/officeDocument/2006/relationships/image" Target="media/image7.gif"/><Relationship Id="rId42" Type="http://schemas.openxmlformats.org/officeDocument/2006/relationships/theme" Target="theme/theme1.xml"/><Relationship Id="rId7" Type="http://schemas.openxmlformats.org/officeDocument/2006/relationships/image" Target="media/image2.wmf"/><Relationship Id="rId12" Type="http://schemas.openxmlformats.org/officeDocument/2006/relationships/image" Target="media/image4.gif"/><Relationship Id="rId17" Type="http://schemas.openxmlformats.org/officeDocument/2006/relationships/hyperlink" Target="http://www.oxfordscholarship.com/search/query?keyword=%22ethics%22" TargetMode="External"/><Relationship Id="rId25" Type="http://schemas.openxmlformats.org/officeDocument/2006/relationships/hyperlink" Target="http://www.oxfordscholarship.com/oso/private/content/management/9780199226009/p088.html" TargetMode="External"/><Relationship Id="rId33" Type="http://schemas.openxmlformats.org/officeDocument/2006/relationships/hyperlink" Target="http://www.oxfordscholarship.com/oso/private/content/management/9780199226009/p088.html" TargetMode="External"/><Relationship Id="rId38" Type="http://schemas.openxmlformats.org/officeDocument/2006/relationships/hyperlink" Target="http://www.oxfordscholarship.com/oso/private/content/management/9780199226009/p083.html" TargetMode="External"/><Relationship Id="rId2" Type="http://schemas.openxmlformats.org/officeDocument/2006/relationships/settings" Target="settings.xml"/><Relationship Id="rId16" Type="http://schemas.openxmlformats.org/officeDocument/2006/relationships/image" Target="media/image6.gif"/><Relationship Id="rId20" Type="http://schemas.openxmlformats.org/officeDocument/2006/relationships/hyperlink" Target="http://www.oxfordscholarship.com/search/query?keyword=%22corruption%22" TargetMode="External"/><Relationship Id="rId29" Type="http://schemas.openxmlformats.org/officeDocument/2006/relationships/hyperlink" Target="http://www.oxfordscholarship.com/oso/private/content/management/9780199226009/p088.html"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yperlink" Target="http://www.oxfordscholarship.com/oso/private/content/management/9780199226009/p083.html" TargetMode="External"/><Relationship Id="rId24" Type="http://schemas.openxmlformats.org/officeDocument/2006/relationships/hyperlink" Target="http://www.oxfordscholarship.com/oso/private/content/management/9780199226009/p088.html" TargetMode="External"/><Relationship Id="rId32" Type="http://schemas.openxmlformats.org/officeDocument/2006/relationships/hyperlink" Target="http://www.oxfordscholarship.com/oso/private/content/management/9780199226009/p088.html" TargetMode="External"/><Relationship Id="rId37" Type="http://schemas.openxmlformats.org/officeDocument/2006/relationships/control" Target="activeX/activeX4.xml"/><Relationship Id="rId40" Type="http://schemas.openxmlformats.org/officeDocument/2006/relationships/hyperlink" Target="http://www.oxfordscholarship.com/oso/public/privacy_policy.html" TargetMode="External"/><Relationship Id="rId5" Type="http://schemas.openxmlformats.org/officeDocument/2006/relationships/hyperlink" Target="javascript:popup('http://www.oxfordscholarship.com/oso/private/content/management/9780199226009//p084_print.html','popup',650,400);" TargetMode="External"/><Relationship Id="rId15" Type="http://schemas.openxmlformats.org/officeDocument/2006/relationships/hyperlink" Target="javascript:hideAbstracts();" TargetMode="External"/><Relationship Id="rId23" Type="http://schemas.openxmlformats.org/officeDocument/2006/relationships/hyperlink" Target="http://www.oxfordscholarship.com/search/query?keyword=%22socialism%22" TargetMode="External"/><Relationship Id="rId28" Type="http://schemas.openxmlformats.org/officeDocument/2006/relationships/hyperlink" Target="http://www.oxfordscholarship.com/oso/private/content/management/9780199226009/p088.html" TargetMode="External"/><Relationship Id="rId36" Type="http://schemas.openxmlformats.org/officeDocument/2006/relationships/control" Target="activeX/activeX3.xml"/><Relationship Id="rId10" Type="http://schemas.openxmlformats.org/officeDocument/2006/relationships/control" Target="activeX/activeX2.xml"/><Relationship Id="rId19" Type="http://schemas.openxmlformats.org/officeDocument/2006/relationships/hyperlink" Target="http://www.oxfordscholarship.com/search/query?keyword=%22business%22" TargetMode="External"/><Relationship Id="rId31" Type="http://schemas.openxmlformats.org/officeDocument/2006/relationships/hyperlink" Target="http://www.oxfordscholarship.com/oso/private/content/management/9780199226009/p088.html" TargetMode="External"/><Relationship Id="rId4" Type="http://schemas.openxmlformats.org/officeDocument/2006/relationships/hyperlink" Target="JavaScript:popup('http://www.oxfordscholarship.com/oso/private/content/management/9780199226009//p084_print.html','popup',650,400);" TargetMode="External"/><Relationship Id="rId9" Type="http://schemas.openxmlformats.org/officeDocument/2006/relationships/image" Target="media/image3.wmf"/><Relationship Id="rId14" Type="http://schemas.openxmlformats.org/officeDocument/2006/relationships/image" Target="media/image5.gif"/><Relationship Id="rId22" Type="http://schemas.openxmlformats.org/officeDocument/2006/relationships/hyperlink" Target="http://www.oxfordscholarship.com/search/query?keyword=%22governance%22" TargetMode="External"/><Relationship Id="rId27" Type="http://schemas.openxmlformats.org/officeDocument/2006/relationships/hyperlink" Target="http://www.oxfordscholarship.com/oso/private/content/management/9780199226009/p088.html" TargetMode="External"/><Relationship Id="rId30" Type="http://schemas.openxmlformats.org/officeDocument/2006/relationships/hyperlink" Target="http://www.oxfordscholarship.com/oso/private/content/management/9780199226009/p088.html" TargetMode="External"/><Relationship Id="rId35" Type="http://schemas.openxmlformats.org/officeDocument/2006/relationships/hyperlink" Target="http://www.oxfordscholarship.com/oso/private/content/management/9780199226009/p088.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2-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2872</Words>
  <Characters>16374</Characters>
  <Application>Microsoft Office Word</Application>
  <DocSecurity>0</DocSecurity>
  <Lines>136</Lines>
  <Paragraphs>38</Paragraphs>
  <ScaleCrop>false</ScaleCrop>
  <Company>Swansea Metropolitas</Company>
  <LinksUpToDate>false</LinksUpToDate>
  <CharactersWithSpaces>19208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2010-02-15T10:20:00Z</dcterms:created>
  <dcterms:modified xsi:type="dcterms:W3CDTF">2010-02-15T10:21:00Z</dcterms:modified>
</cp:coreProperties>
</file>