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5B06A" w14:textId="77777777" w:rsidR="00A62D90" w:rsidRPr="00BE6D7A" w:rsidRDefault="0058020D">
      <w:pPr>
        <w:pStyle w:val="Normal1"/>
        <w:spacing w:line="360" w:lineRule="auto"/>
        <w:jc w:val="center"/>
        <w:rPr>
          <w:rFonts w:ascii="Times New Roman" w:eastAsia="Times New Roman" w:hAnsi="Times New Roman" w:cs="Times New Roman"/>
          <w:sz w:val="24"/>
          <w:szCs w:val="24"/>
          <w:lang w:val="en-GB"/>
        </w:rPr>
      </w:pPr>
      <w:r w:rsidRPr="00BE6D7A">
        <w:rPr>
          <w:rFonts w:ascii="Times New Roman" w:eastAsia="Times New Roman" w:hAnsi="Times New Roman" w:cs="Times New Roman"/>
          <w:noProof/>
          <w:sz w:val="24"/>
          <w:szCs w:val="24"/>
          <w:lang w:val="en-GB" w:eastAsia="en-IN" w:bidi="bn-IN"/>
        </w:rPr>
        <w:drawing>
          <wp:inline distT="114300" distB="114300" distL="114300" distR="114300" wp14:anchorId="6B71A181" wp14:editId="014DCC60">
            <wp:extent cx="2819400" cy="1038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819400" cy="1038225"/>
                    </a:xfrm>
                    <a:prstGeom prst="rect">
                      <a:avLst/>
                    </a:prstGeom>
                  </pic:spPr>
                </pic:pic>
              </a:graphicData>
            </a:graphic>
          </wp:inline>
        </w:drawing>
      </w:r>
    </w:p>
    <w:p w14:paraId="06BDA934" w14:textId="77777777" w:rsidR="00594F8A" w:rsidRPr="00BE6D7A" w:rsidRDefault="00594F8A">
      <w:pPr>
        <w:pStyle w:val="Normal1"/>
        <w:spacing w:line="360" w:lineRule="auto"/>
        <w:jc w:val="center"/>
        <w:rPr>
          <w:rFonts w:ascii="Times New Roman" w:eastAsia="Times New Roman" w:hAnsi="Times New Roman" w:cs="Times New Roman"/>
          <w:sz w:val="24"/>
          <w:szCs w:val="24"/>
          <w:lang w:val="en-GB"/>
        </w:rPr>
      </w:pPr>
    </w:p>
    <w:p w14:paraId="3510E970" w14:textId="77777777" w:rsidR="00594F8A" w:rsidRPr="00BE6D7A" w:rsidRDefault="00594F8A">
      <w:pPr>
        <w:pStyle w:val="Normal1"/>
        <w:spacing w:line="360" w:lineRule="auto"/>
        <w:jc w:val="center"/>
        <w:rPr>
          <w:rFonts w:ascii="Times New Roman" w:eastAsia="Times New Roman" w:hAnsi="Times New Roman" w:cs="Times New Roman"/>
          <w:sz w:val="24"/>
          <w:szCs w:val="24"/>
          <w:lang w:val="en-GB"/>
        </w:rPr>
      </w:pPr>
    </w:p>
    <w:p w14:paraId="64D83458" w14:textId="77777777" w:rsidR="00594F8A" w:rsidRPr="00BE6D7A" w:rsidRDefault="00594F8A" w:rsidP="00594F8A">
      <w:pPr>
        <w:pStyle w:val="Normal1"/>
        <w:spacing w:line="360" w:lineRule="auto"/>
        <w:rPr>
          <w:rFonts w:ascii="Times New Roman" w:eastAsia="Times New Roman" w:hAnsi="Times New Roman" w:cs="Times New Roman"/>
          <w:sz w:val="24"/>
          <w:szCs w:val="24"/>
          <w:lang w:val="en-GB"/>
        </w:rPr>
      </w:pPr>
    </w:p>
    <w:p w14:paraId="555CF8D2" w14:textId="77777777" w:rsidR="00A62D90" w:rsidRPr="00BE6D7A" w:rsidRDefault="00A62D90">
      <w:pPr>
        <w:pStyle w:val="Normal1"/>
        <w:spacing w:line="360" w:lineRule="auto"/>
        <w:jc w:val="center"/>
        <w:rPr>
          <w:rFonts w:ascii="Times New Roman" w:eastAsia="Times New Roman" w:hAnsi="Times New Roman" w:cs="Times New Roman"/>
          <w:sz w:val="24"/>
          <w:szCs w:val="24"/>
          <w:lang w:val="en-GB"/>
        </w:rPr>
      </w:pPr>
    </w:p>
    <w:p w14:paraId="6AC27CDC" w14:textId="77777777" w:rsidR="00A62D90" w:rsidRPr="00BE6D7A" w:rsidRDefault="0058020D">
      <w:pPr>
        <w:pStyle w:val="Normal1"/>
        <w:spacing w:line="360" w:lineRule="auto"/>
        <w:jc w:val="center"/>
        <w:rPr>
          <w:rFonts w:ascii="Times New Roman" w:eastAsia="Times New Roman" w:hAnsi="Times New Roman" w:cs="Times New Roman"/>
          <w:b/>
          <w:sz w:val="28"/>
          <w:szCs w:val="28"/>
          <w:lang w:val="en-GB"/>
        </w:rPr>
      </w:pPr>
      <w:r w:rsidRPr="00BE6D7A">
        <w:rPr>
          <w:rFonts w:ascii="Times New Roman" w:eastAsia="Times New Roman" w:hAnsi="Times New Roman" w:cs="Times New Roman"/>
          <w:b/>
          <w:sz w:val="28"/>
          <w:szCs w:val="28"/>
          <w:lang w:val="en-GB"/>
        </w:rPr>
        <w:t>Module: Legal Process</w:t>
      </w:r>
    </w:p>
    <w:p w14:paraId="423CE554" w14:textId="77777777" w:rsidR="00A62D90" w:rsidRPr="00BE6D7A" w:rsidRDefault="0058020D">
      <w:pPr>
        <w:pStyle w:val="Normal1"/>
        <w:spacing w:line="360" w:lineRule="auto"/>
        <w:jc w:val="center"/>
        <w:rPr>
          <w:rFonts w:ascii="Times New Roman" w:eastAsia="Times New Roman" w:hAnsi="Times New Roman" w:cs="Times New Roman"/>
          <w:b/>
          <w:sz w:val="28"/>
          <w:szCs w:val="28"/>
          <w:lang w:val="en-GB"/>
        </w:rPr>
      </w:pPr>
      <w:r w:rsidRPr="00BE6D7A">
        <w:rPr>
          <w:rFonts w:ascii="Times New Roman" w:eastAsia="Times New Roman" w:hAnsi="Times New Roman" w:cs="Times New Roman"/>
          <w:b/>
          <w:sz w:val="28"/>
          <w:szCs w:val="28"/>
          <w:lang w:val="en-GB"/>
        </w:rPr>
        <w:t>Module code: BMLW4006</w:t>
      </w:r>
    </w:p>
    <w:p w14:paraId="3536A673" w14:textId="77777777" w:rsidR="00A62D90" w:rsidRPr="00BE6D7A" w:rsidRDefault="0058020D">
      <w:pPr>
        <w:pStyle w:val="Normal1"/>
        <w:spacing w:line="360" w:lineRule="auto"/>
        <w:jc w:val="center"/>
        <w:rPr>
          <w:rFonts w:ascii="Times New Roman" w:eastAsia="Times New Roman" w:hAnsi="Times New Roman" w:cs="Times New Roman"/>
          <w:b/>
          <w:sz w:val="28"/>
          <w:szCs w:val="28"/>
          <w:lang w:val="en-GB"/>
        </w:rPr>
      </w:pPr>
      <w:r w:rsidRPr="00BE6D7A">
        <w:rPr>
          <w:rFonts w:ascii="Times New Roman" w:eastAsia="Times New Roman" w:hAnsi="Times New Roman" w:cs="Times New Roman"/>
          <w:b/>
          <w:sz w:val="28"/>
          <w:szCs w:val="28"/>
          <w:lang w:val="en-GB"/>
        </w:rPr>
        <w:t>BMPL4011</w:t>
      </w:r>
    </w:p>
    <w:p w14:paraId="0C9C68F1" w14:textId="77777777" w:rsidR="00A62D90" w:rsidRPr="00BE6D7A" w:rsidRDefault="0058020D" w:rsidP="00594F8A">
      <w:pPr>
        <w:pStyle w:val="Normal1"/>
        <w:spacing w:line="360" w:lineRule="auto"/>
        <w:jc w:val="center"/>
        <w:rPr>
          <w:rFonts w:ascii="Times New Roman" w:eastAsia="Times New Roman" w:hAnsi="Times New Roman" w:cs="Times New Roman"/>
          <w:b/>
          <w:sz w:val="28"/>
          <w:szCs w:val="28"/>
          <w:lang w:val="en-GB"/>
        </w:rPr>
      </w:pPr>
      <w:r w:rsidRPr="00BE6D7A">
        <w:rPr>
          <w:rFonts w:ascii="Times New Roman" w:eastAsia="Times New Roman" w:hAnsi="Times New Roman" w:cs="Times New Roman"/>
          <w:b/>
          <w:sz w:val="28"/>
          <w:szCs w:val="28"/>
          <w:lang w:val="en-GB"/>
        </w:rPr>
        <w:t xml:space="preserve">Assignment Title: The Magistracy </w:t>
      </w:r>
    </w:p>
    <w:p w14:paraId="67728CE3" w14:textId="77777777" w:rsidR="00A62D90" w:rsidRPr="00BE6D7A" w:rsidRDefault="0058020D">
      <w:pPr>
        <w:pStyle w:val="Normal1"/>
        <w:spacing w:line="360" w:lineRule="auto"/>
        <w:jc w:val="center"/>
        <w:rPr>
          <w:rFonts w:ascii="Times New Roman" w:eastAsia="Times New Roman" w:hAnsi="Times New Roman" w:cs="Times New Roman"/>
          <w:b/>
          <w:sz w:val="28"/>
          <w:szCs w:val="28"/>
          <w:lang w:val="en-GB"/>
        </w:rPr>
      </w:pPr>
      <w:r w:rsidRPr="00BE6D7A">
        <w:rPr>
          <w:rFonts w:ascii="Times New Roman" w:eastAsia="Times New Roman" w:hAnsi="Times New Roman" w:cs="Times New Roman"/>
          <w:b/>
          <w:sz w:val="28"/>
          <w:szCs w:val="28"/>
          <w:lang w:val="en-GB"/>
        </w:rPr>
        <w:t xml:space="preserve">Student Name: Ionela-Daniela Mirsu </w:t>
      </w:r>
    </w:p>
    <w:p w14:paraId="4F288AAA" w14:textId="68AC62FC" w:rsidR="00A62D90" w:rsidRPr="00FD4F79" w:rsidRDefault="0058020D" w:rsidP="00FD4F79">
      <w:pPr>
        <w:pStyle w:val="Normal1"/>
        <w:spacing w:line="360" w:lineRule="auto"/>
        <w:jc w:val="center"/>
        <w:rPr>
          <w:rFonts w:ascii="Times New Roman" w:eastAsia="Times New Roman" w:hAnsi="Times New Roman" w:cs="Times New Roman"/>
          <w:sz w:val="24"/>
          <w:szCs w:val="24"/>
          <w:lang w:val="en-GB"/>
        </w:rPr>
      </w:pPr>
      <w:r w:rsidRPr="00BE6D7A">
        <w:rPr>
          <w:rFonts w:ascii="Times New Roman" w:eastAsia="Times New Roman" w:hAnsi="Times New Roman" w:cs="Times New Roman"/>
          <w:b/>
          <w:sz w:val="28"/>
          <w:szCs w:val="28"/>
          <w:lang w:val="en-GB"/>
        </w:rPr>
        <w:t>Student ID: 2132560</w:t>
      </w:r>
      <w:r w:rsidRPr="00BE6D7A">
        <w:rPr>
          <w:lang w:val="en-GB"/>
        </w:rPr>
        <w:br w:type="page"/>
      </w:r>
    </w:p>
    <w:p w14:paraId="615C8136" w14:textId="77777777" w:rsidR="00A62D90" w:rsidRPr="00BE6D7A" w:rsidRDefault="00A62D90">
      <w:pPr>
        <w:pStyle w:val="Normal1"/>
        <w:spacing w:line="360" w:lineRule="auto"/>
        <w:rPr>
          <w:rFonts w:ascii="Times New Roman" w:eastAsia="Times New Roman" w:hAnsi="Times New Roman" w:cs="Times New Roman"/>
          <w:b/>
          <w:sz w:val="28"/>
          <w:szCs w:val="28"/>
          <w:lang w:val="en-GB"/>
        </w:rPr>
      </w:pPr>
    </w:p>
    <w:p w14:paraId="34D5CC36" w14:textId="385E3D3B" w:rsidR="00A62D90" w:rsidRPr="00BE6D7A" w:rsidRDefault="00A62D90">
      <w:pPr>
        <w:pStyle w:val="Heading1"/>
        <w:spacing w:before="1180" w:after="240"/>
        <w:rPr>
          <w:rFonts w:eastAsia="Times New Roman" w:cs="Times New Roman"/>
          <w:b w:val="0"/>
          <w:lang w:val="en-GB"/>
        </w:rPr>
      </w:pPr>
      <w:bookmarkStart w:id="0" w:name="_7xd6gokcltap" w:colFirst="0" w:colLast="0"/>
      <w:bookmarkEnd w:id="0"/>
    </w:p>
    <w:p w14:paraId="0907F40F" w14:textId="77777777" w:rsidR="00A62D90" w:rsidRPr="00BE6D7A" w:rsidRDefault="0058020D" w:rsidP="00594F8A">
      <w:pPr>
        <w:pStyle w:val="Heading1"/>
        <w:rPr>
          <w:lang w:val="en-GB"/>
        </w:rPr>
      </w:pPr>
      <w:bookmarkStart w:id="1" w:name="_Toc139992140"/>
      <w:r w:rsidRPr="00BE6D7A">
        <w:rPr>
          <w:lang w:val="en-GB"/>
        </w:rPr>
        <w:t>Introduction of a magistrate</w:t>
      </w:r>
      <w:bookmarkEnd w:id="1"/>
    </w:p>
    <w:p w14:paraId="112A9F05" w14:textId="67D8309B" w:rsidR="00594F8A" w:rsidRPr="00BE6D7A" w:rsidRDefault="0058020D" w:rsidP="00594F8A">
      <w:pPr>
        <w:rPr>
          <w:rFonts w:eastAsia="Times New Roman"/>
          <w:lang w:val="en-GB"/>
        </w:rPr>
      </w:pPr>
      <w:r w:rsidRPr="00BE6D7A">
        <w:rPr>
          <w:rFonts w:eastAsia="Times New Roman"/>
          <w:lang w:val="en-GB"/>
        </w:rPr>
        <w:t xml:space="preserve">A public official who enforces legislation is referred to as a magistrate in many legal and governmental structures. A magistrate had been endowed with the judiciary and administrative authority in a few of the highest-ranking administrative officials in medieval Rome (Vogel, 2020). A magistrate presided over the governance of certain territories in different areas of the globe, for example, China. A magistrate is still used nowadays in certain nations as a judge who presides over inferior court hearings and usually handles trivial or initial issues. In additional countries (like England and Wales), magistrates were often </w:t>
      </w:r>
      <w:r w:rsidRPr="00FD4F79">
        <w:rPr>
          <w:rFonts w:eastAsia="Times New Roman"/>
          <w:lang w:val="en-GB"/>
        </w:rPr>
        <w:t xml:space="preserve">chosen as qualified individuals to handle civil and criminal cases in their specific districts. According to </w:t>
      </w:r>
      <w:r w:rsidRPr="00FD4F79">
        <w:rPr>
          <w:rFonts w:eastAsia="Times New Roman"/>
          <w:color w:val="222222"/>
          <w:lang w:val="en-GB"/>
        </w:rPr>
        <w:t xml:space="preserve">Colvin (2019), </w:t>
      </w:r>
      <w:r w:rsidRPr="00FD4F79">
        <w:rPr>
          <w:rFonts w:eastAsia="Times New Roman"/>
          <w:lang w:val="en-GB"/>
        </w:rPr>
        <w:t xml:space="preserve">Judges have the responsibility of protecting the law and rendering impartial judgments in judicial proceedings. In order to make judgments, judges are supposed to preside over hearings, consider the evidence, and apply legal rules and precedents. When hearing a case, they must be fair and unbiased while allowing for some discretion in the sentence. Judges must have a thorough understanding of the law and the administration of justice since these responsibilities are essential to their position. Additionally, judges must be accessible to the general public so that they may witness court sessions and voice their own views. Every piece of testimony, along with any additional information offered by the government and </w:t>
      </w:r>
      <w:r w:rsidR="00BE6D7A" w:rsidRPr="00FD4F79">
        <w:rPr>
          <w:rFonts w:eastAsia="Times New Roman"/>
          <w:lang w:val="en-GB"/>
        </w:rPr>
        <w:t>defence</w:t>
      </w:r>
      <w:r w:rsidRPr="00FD4F79">
        <w:rPr>
          <w:rFonts w:eastAsia="Times New Roman"/>
          <w:lang w:val="en-GB"/>
        </w:rPr>
        <w:t>, is heard by the magistrate. According to the facts given, alongside obedience to regulations, the magistrate determines whether a defendant stands convicted or harmless. If the defendant is found guilty, the judge next imposes the punishment. Judges additionally ensure certain that all proceedings throughout judgment and the legislation governing the admissibility of evidence are followed. These standards assist in preserving the liberties of individuals against the judiciary that advance impartiality in addition to ensuring that the judicial processes go effectively (</w:t>
      </w:r>
      <w:proofErr w:type="spellStart"/>
      <w:r w:rsidRPr="00FD4F79">
        <w:rPr>
          <w:rFonts w:eastAsia="Times New Roman"/>
          <w:color w:val="222222"/>
          <w:lang w:val="en-GB"/>
        </w:rPr>
        <w:t>Gearty</w:t>
      </w:r>
      <w:proofErr w:type="spellEnd"/>
      <w:r w:rsidRPr="00FD4F79">
        <w:rPr>
          <w:rFonts w:eastAsia="Times New Roman"/>
          <w:color w:val="222222"/>
          <w:lang w:val="en-GB"/>
        </w:rPr>
        <w:t>, 2021)</w:t>
      </w:r>
      <w:r w:rsidRPr="00FD4F79">
        <w:rPr>
          <w:rFonts w:eastAsia="Times New Roman"/>
          <w:lang w:val="en-GB"/>
        </w:rPr>
        <w:t>. A judicial officer will serve as an unbiased but dispassionate decision-</w:t>
      </w:r>
      <w:r w:rsidR="00FD4F79" w:rsidRPr="00FD4F79">
        <w:rPr>
          <w:rFonts w:eastAsia="Times New Roman"/>
          <w:lang w:val="en-GB"/>
        </w:rPr>
        <w:t>maker,</w:t>
      </w:r>
      <w:r w:rsidRPr="00FD4F79">
        <w:rPr>
          <w:rFonts w:eastAsia="Times New Roman"/>
          <w:lang w:val="en-GB"/>
        </w:rPr>
        <w:t xml:space="preserve"> so all parties </w:t>
      </w:r>
      <w:r w:rsidR="00FD4F79" w:rsidRPr="00FD4F79">
        <w:rPr>
          <w:rFonts w:eastAsia="Times New Roman"/>
          <w:lang w:val="en-GB"/>
        </w:rPr>
        <w:t>have</w:t>
      </w:r>
      <w:r w:rsidRPr="00FD4F79">
        <w:rPr>
          <w:rFonts w:eastAsia="Times New Roman"/>
          <w:lang w:val="en-GB"/>
        </w:rPr>
        <w:t xml:space="preserve"> equal chances to submit their cases. </w:t>
      </w:r>
    </w:p>
    <w:p w14:paraId="2B2345CE" w14:textId="77777777" w:rsidR="00A62D90" w:rsidRPr="00BE6D7A" w:rsidRDefault="0058020D" w:rsidP="00594F8A">
      <w:pPr>
        <w:pStyle w:val="Heading1"/>
        <w:rPr>
          <w:rFonts w:eastAsia="Times New Roman"/>
          <w:highlight w:val="yellow"/>
          <w:lang w:val="en-GB"/>
        </w:rPr>
      </w:pPr>
      <w:bookmarkStart w:id="2" w:name="_Toc139992141"/>
      <w:r w:rsidRPr="00BE6D7A">
        <w:rPr>
          <w:lang w:val="en-GB"/>
        </w:rPr>
        <w:lastRenderedPageBreak/>
        <w:t>Magistrates in the United Kingdom</w:t>
      </w:r>
      <w:bookmarkEnd w:id="2"/>
    </w:p>
    <w:p w14:paraId="0339B227" w14:textId="47B227B3" w:rsidR="00A62D90" w:rsidRPr="00BE6D7A" w:rsidRDefault="0058020D" w:rsidP="00594F8A">
      <w:pPr>
        <w:rPr>
          <w:rFonts w:eastAsia="Times New Roman"/>
          <w:lang w:val="en-GB"/>
        </w:rPr>
      </w:pPr>
      <w:r w:rsidRPr="00BE6D7A">
        <w:rPr>
          <w:rFonts w:eastAsia="Times New Roman"/>
          <w:lang w:val="en-GB"/>
        </w:rPr>
        <w:t xml:space="preserve">To increase their capacity to handle a greater number of instances, magistrates throughout the United Kingdom and Wales have been given the authority to impose lengthier jail terms. In situations wherein the highest penalty is a year, as opposed to the current six-month period, magistrates are going to be permitted to spend time on matters following the updated rules (Magistrates, 2022). The modification, which is a component of efforts to reduce the matter's backlog, would let participate in proceedings that the Supreme Court usually handles. In the legal system, judges play a crucial role in making decisions on legal issues as unbiased arbiters of truth, law, and justice. Judges understand, apply, and modify the law by rendering conclusive decisions in the instances that they </w:t>
      </w:r>
      <w:r w:rsidRPr="00FD4F79">
        <w:rPr>
          <w:rFonts w:eastAsia="Times New Roman"/>
          <w:lang w:val="en-GB"/>
        </w:rPr>
        <w:t xml:space="preserve">are presented with. </w:t>
      </w:r>
      <w:r w:rsidR="00FD4F79" w:rsidRPr="00FD4F79">
        <w:rPr>
          <w:rFonts w:eastAsia="Times New Roman"/>
          <w:lang w:val="en-GB"/>
        </w:rPr>
        <w:t>Based on</w:t>
      </w:r>
      <w:r w:rsidRPr="00FD4F79">
        <w:rPr>
          <w:rFonts w:eastAsia="Times New Roman"/>
          <w:lang w:val="en-GB"/>
        </w:rPr>
        <w:t xml:space="preserve"> hearing the arguments and material provided to them in court, they must reach thoughtful judgments that are supported by legal precedent. </w:t>
      </w:r>
      <w:r w:rsidRPr="00FD4F79">
        <w:rPr>
          <w:rFonts w:eastAsia="Times New Roman"/>
          <w:color w:val="222222"/>
          <w:lang w:val="en-GB"/>
        </w:rPr>
        <w:t xml:space="preserve">Cisneros (2022) advocated that </w:t>
      </w:r>
      <w:r w:rsidRPr="00FD4F79">
        <w:rPr>
          <w:rFonts w:eastAsia="Times New Roman"/>
          <w:lang w:val="en-GB"/>
        </w:rPr>
        <w:t xml:space="preserve">they are granted some latitude in making judgments in their capacity as justice administrators, but they are also required to scrupulously abide by the laws of the state or country they are representing. When it comes to applying the law, judges are granted a lot of authority; they </w:t>
      </w:r>
      <w:proofErr w:type="gramStart"/>
      <w:r w:rsidRPr="00FD4F79">
        <w:rPr>
          <w:rFonts w:eastAsia="Times New Roman"/>
          <w:lang w:val="en-GB"/>
        </w:rPr>
        <w:t>are able to</w:t>
      </w:r>
      <w:proofErr w:type="gramEnd"/>
      <w:r w:rsidRPr="00FD4F79">
        <w:rPr>
          <w:rFonts w:eastAsia="Times New Roman"/>
          <w:lang w:val="en-GB"/>
        </w:rPr>
        <w:t xml:space="preserve"> interpret statutes and make decisions on the veracity of certain pieces of evidence. Additionally, </w:t>
      </w:r>
      <w:r w:rsidRPr="00FD4F79">
        <w:rPr>
          <w:rFonts w:eastAsia="Times New Roman"/>
          <w:color w:val="222222"/>
          <w:lang w:val="en-GB"/>
        </w:rPr>
        <w:t xml:space="preserve">Coyle and </w:t>
      </w:r>
      <w:proofErr w:type="spellStart"/>
      <w:r w:rsidRPr="00BE6D7A">
        <w:rPr>
          <w:rFonts w:eastAsia="Times New Roman"/>
          <w:color w:val="222222"/>
          <w:highlight w:val="white"/>
          <w:lang w:val="en-GB"/>
        </w:rPr>
        <w:t>Drahozal</w:t>
      </w:r>
      <w:proofErr w:type="spellEnd"/>
      <w:r w:rsidRPr="00BE6D7A">
        <w:rPr>
          <w:rFonts w:eastAsia="Times New Roman"/>
          <w:color w:val="222222"/>
          <w:highlight w:val="white"/>
          <w:lang w:val="en-GB"/>
        </w:rPr>
        <w:t xml:space="preserve"> (2019) claimed that </w:t>
      </w:r>
      <w:r w:rsidRPr="00BE6D7A">
        <w:rPr>
          <w:rFonts w:eastAsia="Times New Roman"/>
          <w:lang w:val="en-GB"/>
        </w:rPr>
        <w:t xml:space="preserve">they have the power to decide legal matters based on precedents established by higher courts. </w:t>
      </w:r>
    </w:p>
    <w:p w14:paraId="57742C20" w14:textId="77777777" w:rsidR="00A62D90" w:rsidRPr="00BE6D7A" w:rsidRDefault="0058020D" w:rsidP="00594F8A">
      <w:pPr>
        <w:pStyle w:val="Heading1"/>
        <w:rPr>
          <w:lang w:val="en-GB"/>
        </w:rPr>
      </w:pPr>
      <w:bookmarkStart w:id="3" w:name="_Toc139992142"/>
      <w:r w:rsidRPr="00BE6D7A">
        <w:rPr>
          <w:lang w:val="en-GB"/>
        </w:rPr>
        <w:t>Magistrates' main responsibilities</w:t>
      </w:r>
      <w:bookmarkEnd w:id="3"/>
    </w:p>
    <w:p w14:paraId="1ECDBD0B" w14:textId="77777777" w:rsidR="00A62D90" w:rsidRPr="00BE6D7A" w:rsidRDefault="0058020D" w:rsidP="00594F8A">
      <w:pPr>
        <w:rPr>
          <w:rFonts w:eastAsia="Times New Roman"/>
          <w:lang w:val="en-GB"/>
        </w:rPr>
      </w:pPr>
      <w:r w:rsidRPr="00BE6D7A">
        <w:rPr>
          <w:rFonts w:eastAsia="Times New Roman"/>
          <w:lang w:val="en-GB"/>
        </w:rPr>
        <w:t xml:space="preserve">The Crown Court is where magistrates refer for particularly severe offences, like homicide, sexual assault, and theft. The accused can also remain imprisoned in a law enforcement or judicial cell or be released under tight restrictions, such as being prohibited from going to or approaching specific locations or individuals. Magistrates frequently handle petty attacks, traffic violations, missing property, and Broadcast licensing fraud. Penalties, volunteer work, and brief prison terms are some of the penalties that they may impose. Magistrates within the family court system may also hear issues involving kids. Kids' matters are handled through these magistrates. In addition to assisting divorced parents in preparing for their kids, they also have the authority to organize arrangements for the kid to be placed in foster custody or placed for adoption (ICLR, 2021). Make court rulings to implement child support requests to halt domestic violence. </w:t>
      </w:r>
    </w:p>
    <w:p w14:paraId="55DA0B50" w14:textId="77777777" w:rsidR="00A62D90" w:rsidRPr="00FD4F79" w:rsidRDefault="0058020D" w:rsidP="00594F8A">
      <w:pPr>
        <w:rPr>
          <w:rFonts w:eastAsia="Times New Roman"/>
          <w:lang w:val="en-GB"/>
        </w:rPr>
      </w:pPr>
      <w:r w:rsidRPr="00BE6D7A">
        <w:rPr>
          <w:rFonts w:eastAsia="Times New Roman"/>
          <w:lang w:val="en-GB"/>
        </w:rPr>
        <w:lastRenderedPageBreak/>
        <w:t xml:space="preserve">Additionally, </w:t>
      </w:r>
      <w:r w:rsidRPr="00BE6D7A">
        <w:rPr>
          <w:rFonts w:eastAsia="Times New Roman"/>
          <w:color w:val="222222"/>
          <w:highlight w:val="white"/>
          <w:lang w:val="en-GB"/>
        </w:rPr>
        <w:t>Barcelo (2020) opined that</w:t>
      </w:r>
      <w:r w:rsidRPr="00BE6D7A">
        <w:rPr>
          <w:rFonts w:eastAsia="Times New Roman"/>
          <w:lang w:val="en-GB"/>
        </w:rPr>
        <w:t xml:space="preserve"> judges are obligated to submit written justifications for their decisions, </w:t>
      </w:r>
      <w:r w:rsidRPr="00FD4F79">
        <w:rPr>
          <w:rFonts w:eastAsia="Times New Roman"/>
          <w:lang w:val="en-GB"/>
        </w:rPr>
        <w:t xml:space="preserve">which lower courts often use. This illustrates their need to ensure that the legislation is understandable and clear since their decisions cannot be challenged without sound justification.  Judges have a responsibility to make judgments that uphold the rule of law and due process while maintaining their objectivity. Their regard for precedent and earlier rulings, as well as their capacity to provide judgments in line with the relevant laws and the available evidence, </w:t>
      </w:r>
      <w:r w:rsidR="00BE6D7A" w:rsidRPr="00FD4F79">
        <w:rPr>
          <w:rFonts w:eastAsia="Times New Roman"/>
          <w:lang w:val="en-GB"/>
        </w:rPr>
        <w:t>serves</w:t>
      </w:r>
      <w:r w:rsidRPr="00FD4F79">
        <w:rPr>
          <w:rFonts w:eastAsia="Times New Roman"/>
          <w:lang w:val="en-GB"/>
        </w:rPr>
        <w:t xml:space="preserve"> as examples of this (</w:t>
      </w:r>
      <w:proofErr w:type="spellStart"/>
      <w:r w:rsidRPr="00FD4F79">
        <w:rPr>
          <w:rFonts w:eastAsia="Times New Roman"/>
          <w:color w:val="222222"/>
          <w:lang w:val="en-GB"/>
        </w:rPr>
        <w:t>Alperi</w:t>
      </w:r>
      <w:proofErr w:type="spellEnd"/>
      <w:r w:rsidRPr="00FD4F79">
        <w:rPr>
          <w:rFonts w:eastAsia="Times New Roman"/>
          <w:color w:val="222222"/>
          <w:lang w:val="en-GB"/>
        </w:rPr>
        <w:t>, 2022)</w:t>
      </w:r>
      <w:r w:rsidRPr="00FD4F79">
        <w:rPr>
          <w:rFonts w:eastAsia="Times New Roman"/>
          <w:lang w:val="en-GB"/>
        </w:rPr>
        <w:t xml:space="preserve">. It is obvious that judges are required to maintain their objectivity and base their judgments on the information provided to them during the trial in order to guarantee that justice is done. Although it might be claimed that courts have a role in ensuring that laws are transparent and intelligible, the onus ultimately falls on legal players like lawmakers and solicitors to interpret and make the law apparent. To make just judgments, justices meticulously </w:t>
      </w:r>
      <w:r w:rsidR="00BE6D7A" w:rsidRPr="00FD4F79">
        <w:rPr>
          <w:rFonts w:eastAsia="Times New Roman"/>
          <w:lang w:val="en-GB"/>
        </w:rPr>
        <w:t>analyse</w:t>
      </w:r>
      <w:r w:rsidRPr="00FD4F79">
        <w:rPr>
          <w:rFonts w:eastAsia="Times New Roman"/>
          <w:lang w:val="en-GB"/>
        </w:rPr>
        <w:t xml:space="preserve"> all the information presented in judgment and adhere to case legislation and established procedures for decision-making (including sentence standards for felony cases). A solicitor appears throughout the courtroom to professional them as she provides them with expert guidance on various issues. It goes without saying that tribunals must retain neutrality that base their selections on the evidence presented by witnesses throughout the proceedings </w:t>
      </w:r>
      <w:proofErr w:type="gramStart"/>
      <w:r w:rsidRPr="00FD4F79">
        <w:rPr>
          <w:rFonts w:eastAsia="Times New Roman"/>
          <w:lang w:val="en-GB"/>
        </w:rPr>
        <w:t>as a way to</w:t>
      </w:r>
      <w:proofErr w:type="gramEnd"/>
      <w:r w:rsidRPr="00FD4F79">
        <w:rPr>
          <w:rFonts w:eastAsia="Times New Roman"/>
          <w:lang w:val="en-GB"/>
        </w:rPr>
        <w:t xml:space="preserve"> ensure that the law is served (</w:t>
      </w:r>
      <w:r w:rsidRPr="00FD4F79">
        <w:rPr>
          <w:rFonts w:eastAsia="Times New Roman"/>
          <w:color w:val="222222"/>
          <w:lang w:val="en-GB"/>
        </w:rPr>
        <w:t>Robinson, 2019)</w:t>
      </w:r>
      <w:r w:rsidRPr="00FD4F79">
        <w:rPr>
          <w:rFonts w:eastAsia="Times New Roman"/>
          <w:lang w:val="en-GB"/>
        </w:rPr>
        <w:t>. The responsibility for interpreting and making the law clear inevitably rests with professionals in law, including legislators and attorneys, notwithstanding any claims to the contrary.</w:t>
      </w:r>
    </w:p>
    <w:p w14:paraId="28F0DE5F" w14:textId="77777777" w:rsidR="00A62D90" w:rsidRPr="00FD4F79" w:rsidRDefault="0058020D" w:rsidP="00594F8A">
      <w:pPr>
        <w:pStyle w:val="Heading1"/>
        <w:rPr>
          <w:lang w:val="en-GB"/>
        </w:rPr>
      </w:pPr>
      <w:bookmarkStart w:id="4" w:name="_Toc139992143"/>
      <w:r w:rsidRPr="00FD4F79">
        <w:rPr>
          <w:lang w:val="en-GB"/>
        </w:rPr>
        <w:t>Court closures</w:t>
      </w:r>
      <w:bookmarkEnd w:id="4"/>
    </w:p>
    <w:p w14:paraId="3B8FA1FA" w14:textId="77777777" w:rsidR="00A62D90" w:rsidRPr="00FD4F79" w:rsidRDefault="0058020D" w:rsidP="00594F8A">
      <w:pPr>
        <w:rPr>
          <w:rFonts w:eastAsia="Times New Roman"/>
          <w:lang w:val="en-GB"/>
        </w:rPr>
      </w:pPr>
      <w:r w:rsidRPr="00FD4F79">
        <w:rPr>
          <w:rFonts w:eastAsia="Times New Roman"/>
          <w:lang w:val="en-GB"/>
        </w:rPr>
        <w:t xml:space="preserve">The significant court closure initiative's downstream consequences, which include a drive to consolidated management that weakens regional independence and belonging, have also hurt magistrates. Due to this homogenization, judges have felt compelled to reunite and frequently journey much farther to their hometown courts. Because of this, the old idea of regional law administered by locals has suffered bad damage and has become a chimaera. Court closures, as well as the restructuring in the courts of magistrates, have, in numerous instances, had a significant impact on all parties involved in lawsuits, including the accused, those making complaints, and eyewitnesses. Throughout the past ten years, 164 out of 320 magistrates' courts have undergone closures and traded in, increasing a minimum of 223 million pounds that will be used to pay </w:t>
      </w:r>
      <w:proofErr w:type="gramStart"/>
      <w:r w:rsidRPr="00FD4F79">
        <w:rPr>
          <w:rFonts w:eastAsia="Times New Roman"/>
          <w:lang w:val="en-GB"/>
        </w:rPr>
        <w:t>a number of</w:t>
      </w:r>
      <w:proofErr w:type="gramEnd"/>
      <w:r w:rsidRPr="00FD4F79">
        <w:rPr>
          <w:rFonts w:eastAsia="Times New Roman"/>
          <w:lang w:val="en-GB"/>
        </w:rPr>
        <w:t xml:space="preserve"> the badly required enhancements within the legal structure, like the implementation of </w:t>
      </w:r>
      <w:r w:rsidRPr="00FD4F79">
        <w:rPr>
          <w:rFonts w:eastAsia="Times New Roman"/>
          <w:lang w:val="en-GB"/>
        </w:rPr>
        <w:lastRenderedPageBreak/>
        <w:t>new electronic structures as well as a shift to online the judicial system (Court closures, 2023). The federal government intends to shutter more than 77 judicial buildings until 2025 or 2026, so the pruning still needs to be completed.</w:t>
      </w:r>
    </w:p>
    <w:p w14:paraId="1045C7E5" w14:textId="461EB914" w:rsidR="00A62D90" w:rsidRPr="00FD4F79" w:rsidRDefault="0058020D" w:rsidP="00594F8A">
      <w:pPr>
        <w:rPr>
          <w:rFonts w:eastAsia="Times New Roman"/>
          <w:lang w:val="en-GB"/>
        </w:rPr>
      </w:pPr>
      <w:proofErr w:type="gramStart"/>
      <w:r w:rsidRPr="00FD4F79">
        <w:rPr>
          <w:rFonts w:eastAsia="Times New Roman"/>
          <w:lang w:val="en-GB"/>
        </w:rPr>
        <w:t>As a consequence of</w:t>
      </w:r>
      <w:proofErr w:type="gramEnd"/>
      <w:r w:rsidRPr="00FD4F79">
        <w:rPr>
          <w:rFonts w:eastAsia="Times New Roman"/>
          <w:lang w:val="en-GB"/>
        </w:rPr>
        <w:t xml:space="preserve"> the above rationalization, numerous tables have been combined, and formerly localized management has been </w:t>
      </w:r>
      <w:r w:rsidRPr="00FD4F79">
        <w:rPr>
          <w:rFonts w:eastAsia="Times New Roman"/>
          <w:i/>
          <w:lang w:val="en-GB"/>
        </w:rPr>
        <w:t xml:space="preserve">centralized. </w:t>
      </w:r>
      <w:r w:rsidRPr="00FD4F79">
        <w:rPr>
          <w:rFonts w:eastAsia="Times New Roman"/>
          <w:lang w:val="en-GB"/>
        </w:rPr>
        <w:t xml:space="preserve">The Southern East has had the most significant number of shutdowns (25), followed distantly by Wales and the </w:t>
      </w:r>
      <w:r w:rsidR="00FD4F79" w:rsidRPr="00FD4F79">
        <w:rPr>
          <w:rFonts w:eastAsia="Times New Roman"/>
          <w:lang w:val="en-GB"/>
        </w:rPr>
        <w:t>Northwest</w:t>
      </w:r>
      <w:r w:rsidRPr="00FD4F79">
        <w:rPr>
          <w:rFonts w:eastAsia="Times New Roman"/>
          <w:lang w:val="en-GB"/>
        </w:rPr>
        <w:t>. The court of magistrates nearby Horseferry Road brought in twenty million pounds, Greenwich auctioned for more than 12 million pounds, and Haringey generated almost ten million pounds (that is, it is currently a posh and pricey residential tower suitably named 'Highgate Court`). However, the opposite extreme, Rochdale Magistrates' Court, only brought 6,316 pounds at bidding.</w:t>
      </w:r>
    </w:p>
    <w:p w14:paraId="60124806" w14:textId="77777777" w:rsidR="00A62D90" w:rsidRPr="00FD4F79" w:rsidRDefault="0058020D" w:rsidP="00594F8A">
      <w:pPr>
        <w:pStyle w:val="Heading1"/>
        <w:rPr>
          <w:lang w:val="en-GB"/>
        </w:rPr>
      </w:pPr>
      <w:bookmarkStart w:id="5" w:name="_Toc139992144"/>
      <w:r w:rsidRPr="00FD4F79">
        <w:rPr>
          <w:lang w:val="en-GB"/>
        </w:rPr>
        <w:t>Characteristics of Magistrates'</w:t>
      </w:r>
      <w:bookmarkEnd w:id="5"/>
    </w:p>
    <w:p w14:paraId="3861F1FC" w14:textId="77777777" w:rsidR="00A62D90" w:rsidRPr="00FD4F79" w:rsidRDefault="0058020D" w:rsidP="00594F8A">
      <w:pPr>
        <w:pStyle w:val="Heading2"/>
        <w:rPr>
          <w:lang w:val="en-GB"/>
        </w:rPr>
      </w:pPr>
      <w:bookmarkStart w:id="6" w:name="_Toc139992145"/>
      <w:r w:rsidRPr="00FD4F79">
        <w:rPr>
          <w:lang w:val="en-GB"/>
        </w:rPr>
        <w:t>Magistrates' court's criminal proceedings</w:t>
      </w:r>
      <w:bookmarkEnd w:id="6"/>
    </w:p>
    <w:p w14:paraId="208D284A" w14:textId="77777777" w:rsidR="00A62D90" w:rsidRPr="00FD4F79" w:rsidRDefault="0058020D" w:rsidP="00594F8A">
      <w:pPr>
        <w:rPr>
          <w:rFonts w:eastAsia="Times New Roman"/>
          <w:lang w:val="en-GB"/>
        </w:rPr>
      </w:pPr>
      <w:r w:rsidRPr="00FD4F79">
        <w:rPr>
          <w:rFonts w:eastAsia="Times New Roman"/>
          <w:lang w:val="en-GB"/>
        </w:rPr>
        <w:t>A magistrate's court is where nearly every felony court proceeding begins and where approximately ninety-five per cent of them are concluded. One may participate in choosing the following step as a judge within the court of law (Liu and Li, 2019). Some examples are interpersonal violence, narcotics crimes, driving crimes, vandalism, attacks, illegal harm to property, and constitutional violations. Every penal court's testimony will be listened to and considered by the felony judiciary's magistrates alongside the remainder of their seating. Suppose an accused person agrees to plead culpably or has been convicted guilty. In that case, they may be sentenced to monetary penalties, group repercussions (such as unpaid labour or dependency treatment), and up to twelve months in jail for just 1 crime.</w:t>
      </w:r>
    </w:p>
    <w:p w14:paraId="624F6D42" w14:textId="77777777" w:rsidR="00A62D90" w:rsidRPr="00FD4F79" w:rsidRDefault="0058020D" w:rsidP="00594F8A">
      <w:pPr>
        <w:pStyle w:val="Heading2"/>
        <w:rPr>
          <w:lang w:val="en-GB"/>
        </w:rPr>
      </w:pPr>
      <w:bookmarkStart w:id="7" w:name="_Toc139992146"/>
      <w:r w:rsidRPr="00FD4F79">
        <w:rPr>
          <w:lang w:val="en-GB"/>
        </w:rPr>
        <w:t>Judicial Processes in civil cases</w:t>
      </w:r>
      <w:bookmarkEnd w:id="7"/>
    </w:p>
    <w:p w14:paraId="1C1F56AB" w14:textId="77777777" w:rsidR="00A62D90" w:rsidRPr="00FD4F79" w:rsidRDefault="0058020D" w:rsidP="00594F8A">
      <w:pPr>
        <w:rPr>
          <w:rFonts w:eastAsia="Times New Roman"/>
          <w:lang w:val="en-GB"/>
        </w:rPr>
      </w:pPr>
      <w:r w:rsidRPr="00FD4F79">
        <w:rPr>
          <w:rFonts w:eastAsia="Times New Roman"/>
          <w:lang w:val="en-GB"/>
        </w:rPr>
        <w:t xml:space="preserve">The civil division of magistrates' courts has the highest number of complaints within the legal structure, comprising approximately five million claims annually. </w:t>
      </w:r>
      <w:proofErr w:type="gramStart"/>
      <w:r w:rsidRPr="00FD4F79">
        <w:rPr>
          <w:rFonts w:eastAsia="Times New Roman"/>
          <w:lang w:val="en-GB"/>
        </w:rPr>
        <w:t>The majority of</w:t>
      </w:r>
      <w:proofErr w:type="gramEnd"/>
      <w:r w:rsidRPr="00FD4F79">
        <w:rPr>
          <w:rFonts w:eastAsia="Times New Roman"/>
          <w:lang w:val="en-GB"/>
        </w:rPr>
        <w:t xml:space="preserve"> instances deal with collecting debts owed to the government, including municipal taxation, costs, support for kids, and similar obligations. The objections to additional authorities' judgments, such as those regarding licensing or registering law enforcement employees, are also the magistrates' responsibility (Finnic, 2022). For legal behaviour directives, such as measures to avoid sexual </w:t>
      </w:r>
      <w:r w:rsidRPr="00FD4F79">
        <w:rPr>
          <w:rFonts w:eastAsia="Times New Roman"/>
          <w:lang w:val="en-GB"/>
        </w:rPr>
        <w:lastRenderedPageBreak/>
        <w:t>adverse effects, bans on playing soccer, and restraining orders involving minors under the age of 18, law enforcement agencies submit requests to magistrates' tribunals.</w:t>
      </w:r>
    </w:p>
    <w:p w14:paraId="794CA1DA" w14:textId="77777777" w:rsidR="00A62D90" w:rsidRPr="00FD4F79" w:rsidRDefault="0058020D" w:rsidP="00594F8A">
      <w:pPr>
        <w:pStyle w:val="Heading2"/>
        <w:rPr>
          <w:lang w:val="en-GB"/>
        </w:rPr>
      </w:pPr>
      <w:bookmarkStart w:id="8" w:name="_Toc139992147"/>
      <w:r w:rsidRPr="00FD4F79">
        <w:rPr>
          <w:lang w:val="en-GB"/>
        </w:rPr>
        <w:t>Judicial officers within the Family tribunal</w:t>
      </w:r>
      <w:bookmarkEnd w:id="8"/>
    </w:p>
    <w:p w14:paraId="0BEA3032" w14:textId="77777777" w:rsidR="00A62D90" w:rsidRPr="00FD4F79" w:rsidRDefault="0058020D" w:rsidP="00594F8A">
      <w:pPr>
        <w:rPr>
          <w:rFonts w:eastAsia="Times New Roman"/>
          <w:lang w:val="en-GB"/>
        </w:rPr>
      </w:pPr>
      <w:r w:rsidRPr="00FD4F79">
        <w:rPr>
          <w:rFonts w:eastAsia="Times New Roman"/>
          <w:lang w:val="en-GB"/>
        </w:rPr>
        <w:t>The problems which family tribunal magistrates examine can vary from establishing judgments that have an impact on young youngsters to supporting divorced parents in establishing accommodations for their kids to enforcing kid assistance obligations and preventing assault in the home. They hold a crucial job because they may have a big influence on a child's development, their social security, and the prospects of an entire household. Court settings are far less professional and, perhaps, should take place with participants sitting across an enormous board; proceedings are significantly distinct from those in criminal proceedings. They hold a position which allows judges to get a thorough understanding of a variety of kid care concerns and to impact society at large (Douglas, 2018). Even though it could include interacting with certain challenging psychological circumstances, magistrates serving domestic courts get assistance and specialized instruction to acquire the necessary abilities.</w:t>
      </w:r>
    </w:p>
    <w:p w14:paraId="3247955A" w14:textId="77777777" w:rsidR="00A62D90" w:rsidRPr="00FD4F79" w:rsidRDefault="0058020D" w:rsidP="00594F8A">
      <w:pPr>
        <w:pStyle w:val="Heading2"/>
        <w:rPr>
          <w:lang w:val="en-GB"/>
        </w:rPr>
      </w:pPr>
      <w:bookmarkStart w:id="9" w:name="_Toc139992148"/>
      <w:r w:rsidRPr="00FD4F79">
        <w:rPr>
          <w:lang w:val="en-GB"/>
        </w:rPr>
        <w:t>Judicial officers in the juvenile court</w:t>
      </w:r>
      <w:bookmarkEnd w:id="9"/>
    </w:p>
    <w:p w14:paraId="7F397775" w14:textId="77777777" w:rsidR="00A62D90" w:rsidRPr="00FD4F79" w:rsidRDefault="0058020D" w:rsidP="00594F8A">
      <w:pPr>
        <w:rPr>
          <w:rFonts w:eastAsia="Times New Roman"/>
          <w:lang w:val="en-GB"/>
        </w:rPr>
      </w:pPr>
      <w:r w:rsidRPr="00FD4F79">
        <w:rPr>
          <w:rFonts w:eastAsia="Times New Roman"/>
          <w:lang w:val="en-GB"/>
        </w:rPr>
        <w:t>Magistrates may purposefully speak personally with juvenile defendants instead of constantly doing so via their lawyer since child courts have purposely fewer formal processes than grownup criminal tribunals do. Apart from murder, which must be handled by a more senior court, and civil matters, the juvenile court can handle any crimes carried out by a youngster (an individual below the age of Eighteen) in criminal matters. Since they especially cater to the requirements of youthful criminals, phrases are very distinct from other punishments. Please have an adult who is accountable to them when they go to court if a youthful defendant.</w:t>
      </w:r>
    </w:p>
    <w:p w14:paraId="5AA8B492" w14:textId="77777777" w:rsidR="00A62D90" w:rsidRPr="00FD4F79" w:rsidRDefault="0058020D" w:rsidP="00594F8A">
      <w:pPr>
        <w:pStyle w:val="Heading1"/>
        <w:rPr>
          <w:lang w:val="en-GB"/>
        </w:rPr>
      </w:pPr>
      <w:bookmarkStart w:id="10" w:name="_Toc139992149"/>
      <w:r w:rsidRPr="00FD4F79">
        <w:rPr>
          <w:lang w:val="en-GB"/>
        </w:rPr>
        <w:t>The Advantages of Magistrates in the Exercise of Justice</w:t>
      </w:r>
      <w:bookmarkEnd w:id="10"/>
    </w:p>
    <w:p w14:paraId="152422A1" w14:textId="77777777" w:rsidR="00A62D90" w:rsidRPr="00FD4F79" w:rsidRDefault="0058020D" w:rsidP="00594F8A">
      <w:pPr>
        <w:rPr>
          <w:rFonts w:eastAsia="Times New Roman"/>
          <w:lang w:val="en-GB"/>
        </w:rPr>
      </w:pPr>
      <w:r w:rsidRPr="00FD4F79">
        <w:rPr>
          <w:rFonts w:eastAsia="Times New Roman"/>
          <w:lang w:val="en-GB"/>
        </w:rPr>
        <w:t xml:space="preserve">Magistrates have a solid commitment to their job and to doing it correctly. Earlier this calendar year, 97 per cent of 1,300 current judges thoroughly concurred that they dedicated themselves to doing their jobs effectively (Campbell, 2020). Judges uphold the law. As bearers of legal charge, judges commit to "do justice towards every sort of persons following the rules and customs of this world, without dread or preference, fondness or ill intent"; judges are essential to the administration of fairness in England as well as Wales. The judges can do this duty because they </w:t>
      </w:r>
      <w:r w:rsidRPr="00FD4F79">
        <w:rPr>
          <w:rFonts w:eastAsia="Times New Roman"/>
          <w:lang w:val="en-GB"/>
        </w:rPr>
        <w:lastRenderedPageBreak/>
        <w:t>represent the judiciary members with the most diversity. The Magistrates' Federation was encouraged by discovering that twenty-five per cent of the nearly forty thousand phrases of curiosity from prospective candidates for the magistrate position had been from Black, Asian, and minority racial or ethnic groups, as well as roughly the same number had been under forty. Attempts are currently being made to broaden the variety of the judges even more. Judges make £90,000 a year, while magistrates are not paid. Without magistrates, 1000 additional judges could be required, saving £100 million. In England and Wales, magistrates' courts (previously designated as detective tribunals in London and minor proceedings throughout) were originally set up to quickly handle small-scale violations (</w:t>
      </w:r>
      <w:r w:rsidRPr="00FD4F79">
        <w:rPr>
          <w:rFonts w:eastAsia="Times New Roman"/>
          <w:color w:val="222222"/>
          <w:lang w:val="en-GB"/>
        </w:rPr>
        <w:t>Campbell, 2020)</w:t>
      </w:r>
      <w:r w:rsidRPr="00FD4F79">
        <w:rPr>
          <w:rFonts w:eastAsia="Times New Roman"/>
          <w:lang w:val="en-GB"/>
        </w:rPr>
        <w:t xml:space="preserve">. Only the most serious violations are brought before the Crown Court; all criminal cases begin before the district court, and nearly 95% of those cases conclude there. </w:t>
      </w:r>
    </w:p>
    <w:p w14:paraId="265128F2" w14:textId="77777777" w:rsidR="00A62D90" w:rsidRPr="00FD4F79" w:rsidRDefault="00A62D90">
      <w:pPr>
        <w:pStyle w:val="Normal1"/>
        <w:spacing w:before="100" w:after="360" w:line="360" w:lineRule="auto"/>
        <w:jc w:val="both"/>
        <w:rPr>
          <w:rFonts w:ascii="Times New Roman" w:eastAsia="Times New Roman" w:hAnsi="Times New Roman" w:cs="Times New Roman"/>
          <w:sz w:val="24"/>
          <w:szCs w:val="24"/>
          <w:lang w:val="en-GB"/>
        </w:rPr>
      </w:pPr>
    </w:p>
    <w:p w14:paraId="129C9712" w14:textId="77777777" w:rsidR="00A62D90" w:rsidRPr="00FD4F79" w:rsidRDefault="0058020D" w:rsidP="00594F8A">
      <w:pPr>
        <w:pStyle w:val="Heading1"/>
        <w:rPr>
          <w:lang w:val="en-GB"/>
        </w:rPr>
      </w:pPr>
      <w:bookmarkStart w:id="11" w:name="_Toc139992150"/>
      <w:r w:rsidRPr="00FD4F79">
        <w:rPr>
          <w:lang w:val="en-GB"/>
        </w:rPr>
        <w:t>The Disadvantages of Magistrates in the Exercise of Justice</w:t>
      </w:r>
      <w:bookmarkEnd w:id="11"/>
    </w:p>
    <w:p w14:paraId="1C5C4823" w14:textId="494673A8" w:rsidR="00A62D90" w:rsidRPr="00FD4F79" w:rsidRDefault="0058020D" w:rsidP="00594F8A">
      <w:pPr>
        <w:rPr>
          <w:rFonts w:eastAsia="Times New Roman"/>
          <w:lang w:val="en-GB"/>
        </w:rPr>
      </w:pPr>
      <w:r w:rsidRPr="00FD4F79">
        <w:rPr>
          <w:rFonts w:eastAsia="Times New Roman"/>
          <w:lang w:val="en-GB"/>
        </w:rPr>
        <w:t>The fact that court officials are not accurately reflecting the public constitutes one of the principal accusations against them. Even though it may not be an issue for most accused, court officials typically are white, mature or older, and possess an expert history (</w:t>
      </w:r>
      <w:proofErr w:type="spellStart"/>
      <w:r w:rsidRPr="00FD4F79">
        <w:rPr>
          <w:rFonts w:eastAsia="Times New Roman"/>
          <w:lang w:val="en-GB"/>
        </w:rPr>
        <w:t>Spafe</w:t>
      </w:r>
      <w:proofErr w:type="spellEnd"/>
      <w:r w:rsidRPr="00FD4F79">
        <w:rPr>
          <w:rFonts w:eastAsia="Times New Roman"/>
          <w:lang w:val="en-GB"/>
        </w:rPr>
        <w:t xml:space="preserve">, 2018). This may unduly sway their judgment or make them perceive the person being sued negatively. In a perfect world, magistrates should come from every part of the community, equitably reflecting each one. It might imply that they could render unbiased judgments, treating all parties equally to ensure consistency in resolving all identical instances. This is essential to ensuring the judiciary's impartiality and consistency. Individuals cannot have confidence in injustices due to their lack of representation. Individuals may believe they have been handled unjustly because the conclusion might have been different if another person, which lowers confidence in the judiciary, did it. The fact that prosecutors don't seem representational of the community constitutes a few of the principal accusations levelled against officials. Considering the </w:t>
      </w:r>
      <w:r w:rsidR="00FD4F79" w:rsidRPr="00FD4F79">
        <w:rPr>
          <w:rFonts w:eastAsia="Times New Roman"/>
          <w:lang w:val="en-GB"/>
        </w:rPr>
        <w:t>fact,</w:t>
      </w:r>
      <w:r w:rsidRPr="00FD4F79">
        <w:rPr>
          <w:rFonts w:eastAsia="Times New Roman"/>
          <w:lang w:val="en-GB"/>
        </w:rPr>
        <w:t xml:space="preserve"> it shouldn't be the circumstance with many participants, arbitrators often are Caucasian, middle age or over, compared to and possess an occupational pedigree. There might encourage the cops since they're relatively inexperienced. A single man's word was used against the law enforcement officers, and judges took the enforcement agency's side. May make mistakes in grammar since they only work 13 days a year. </w:t>
      </w:r>
      <w:r w:rsidRPr="00FD4F79">
        <w:rPr>
          <w:rFonts w:eastAsia="Times New Roman"/>
          <w:lang w:val="en-GB"/>
        </w:rPr>
        <w:lastRenderedPageBreak/>
        <w:t xml:space="preserve">In Essex, 77% of respondents have been deemed convicted compared to 21% for ABH, just available folks (Howard, 2021). Most magistrates are in their middle years. </w:t>
      </w:r>
      <w:r w:rsidR="00FD4F79" w:rsidRPr="00FD4F79">
        <w:rPr>
          <w:rFonts w:eastAsia="Times New Roman"/>
          <w:lang w:val="en-GB"/>
        </w:rPr>
        <w:t>Most</w:t>
      </w:r>
      <w:r w:rsidRPr="00FD4F79">
        <w:rPr>
          <w:rFonts w:eastAsia="Times New Roman"/>
          <w:lang w:val="en-GB"/>
        </w:rPr>
        <w:t xml:space="preserve"> defendants are under 25, yet 50% of arbitrators are over 60. Supervisors could experience harder cases as well. Usually occurs, whenever individuals encounter several comparable examples, they begin to evaluate everything uniformly while bringing into consideration any particulars of the circumstances. Because of this, offenders may be found guilty wrongfully or subjected to excessive punishment in cases when the prosecutor seems accustomed to the facts, although the real facts are different (</w:t>
      </w:r>
      <w:proofErr w:type="spellStart"/>
      <w:r w:rsidRPr="00FD4F79">
        <w:rPr>
          <w:rFonts w:eastAsia="Times New Roman"/>
          <w:lang w:val="en-GB"/>
        </w:rPr>
        <w:t>Zalnieriute</w:t>
      </w:r>
      <w:proofErr w:type="spellEnd"/>
      <w:r w:rsidRPr="00FD4F79">
        <w:rPr>
          <w:rFonts w:eastAsia="Times New Roman"/>
          <w:lang w:val="en-GB"/>
        </w:rPr>
        <w:t xml:space="preserve"> and Bell, 2020). Additionally, arbitrators may support the charge since they are predisposed to believe the government's account of circumstances. </w:t>
      </w:r>
    </w:p>
    <w:p w14:paraId="1B481BD7" w14:textId="77777777" w:rsidR="00A62D90" w:rsidRPr="00FD4F79" w:rsidRDefault="0058020D" w:rsidP="00594F8A">
      <w:pPr>
        <w:pStyle w:val="Heading1"/>
        <w:rPr>
          <w:lang w:val="en-GB"/>
        </w:rPr>
      </w:pPr>
      <w:bookmarkStart w:id="12" w:name="_Toc139992151"/>
      <w:r w:rsidRPr="00FD4F79">
        <w:rPr>
          <w:lang w:val="en-GB"/>
        </w:rPr>
        <w:t>Conclusion</w:t>
      </w:r>
      <w:bookmarkEnd w:id="12"/>
    </w:p>
    <w:p w14:paraId="3860D8A1" w14:textId="77777777" w:rsidR="00A62D90" w:rsidRPr="00BE6D7A" w:rsidRDefault="0058020D" w:rsidP="00594F8A">
      <w:pPr>
        <w:rPr>
          <w:rFonts w:eastAsia="Times New Roman"/>
          <w:lang w:val="en-GB"/>
        </w:rPr>
      </w:pPr>
      <w:r w:rsidRPr="00FD4F79">
        <w:rPr>
          <w:rFonts w:eastAsia="Times New Roman"/>
          <w:lang w:val="en-GB"/>
        </w:rPr>
        <w:t xml:space="preserve">Magistrates are steadfastly committed to executing their jobs well. </w:t>
      </w:r>
      <w:r w:rsidR="00BE6D7A" w:rsidRPr="00FD4F79">
        <w:rPr>
          <w:rFonts w:eastAsia="Times New Roman"/>
          <w:lang w:val="en-GB"/>
        </w:rPr>
        <w:t>Magistrates</w:t>
      </w:r>
      <w:r w:rsidRPr="00FD4F79">
        <w:rPr>
          <w:rFonts w:eastAsia="Times New Roman"/>
          <w:lang w:val="en-GB"/>
        </w:rPr>
        <w:t xml:space="preserve"> commonly referred to as Justices within the Peacefulness, are people from different spheres of existence who are enthusiastic about improving their surroundings. They commit to listening to a range of matters in the tribunals for a minimum of thirteen days per year and receive an education. Judges preside over judicial and commercial cases within Authorities' tribunals, in the Family Court, or combined. Since the position is free of charge, numerous judges also hold other jobs. Individuals might not respect magistrates since they are not a reflection of society.</w:t>
      </w:r>
      <w:r w:rsidRPr="00BE6D7A">
        <w:rPr>
          <w:lang w:val="en-GB"/>
        </w:rPr>
        <w:br w:type="page"/>
      </w:r>
    </w:p>
    <w:p w14:paraId="766363F0" w14:textId="77777777" w:rsidR="00A62D90" w:rsidRPr="00BE6D7A" w:rsidRDefault="0058020D" w:rsidP="00594F8A">
      <w:pPr>
        <w:pStyle w:val="Heading1"/>
        <w:rPr>
          <w:lang w:val="en-GB"/>
        </w:rPr>
      </w:pPr>
      <w:bookmarkStart w:id="13" w:name="_Toc139992152"/>
      <w:r w:rsidRPr="00BE6D7A">
        <w:rPr>
          <w:lang w:val="en-GB"/>
        </w:rPr>
        <w:lastRenderedPageBreak/>
        <w:t>References</w:t>
      </w:r>
      <w:bookmarkEnd w:id="13"/>
    </w:p>
    <w:p w14:paraId="5DFDEB04" w14:textId="77777777" w:rsidR="00594F8A" w:rsidRPr="00BE6D7A" w:rsidRDefault="00594F8A" w:rsidP="00594F8A">
      <w:pPr>
        <w:rPr>
          <w:rFonts w:eastAsia="Times New Roman" w:cs="Times New Roman"/>
          <w:szCs w:val="24"/>
          <w:lang w:val="en-GB"/>
        </w:rPr>
      </w:pPr>
    </w:p>
    <w:p w14:paraId="712DE9F8" w14:textId="77777777" w:rsidR="00BE6D7A" w:rsidRPr="00BE6D7A" w:rsidRDefault="00BE6D7A" w:rsidP="00594F8A">
      <w:pPr>
        <w:rPr>
          <w:rFonts w:eastAsia="Times New Roman"/>
          <w:highlight w:val="white"/>
          <w:lang w:val="en-GB"/>
        </w:rPr>
      </w:pPr>
      <w:proofErr w:type="spellStart"/>
      <w:r w:rsidRPr="00BE6D7A">
        <w:rPr>
          <w:rFonts w:eastAsia="Times New Roman"/>
          <w:highlight w:val="white"/>
          <w:lang w:val="en-GB"/>
        </w:rPr>
        <w:t>Alperi</w:t>
      </w:r>
      <w:proofErr w:type="spellEnd"/>
      <w:r w:rsidRPr="00BE6D7A">
        <w:rPr>
          <w:rFonts w:eastAsia="Times New Roman"/>
          <w:highlight w:val="white"/>
          <w:lang w:val="en-GB"/>
        </w:rPr>
        <w:t xml:space="preserve">, C.,2022 Financial Services in the United States and United Kingdom: Comparative Approaches to Securities Regulation and Dispute Resolution (2019). </w:t>
      </w:r>
      <w:r w:rsidRPr="00BE6D7A">
        <w:rPr>
          <w:rFonts w:eastAsia="Times New Roman"/>
          <w:i/>
          <w:highlight w:val="white"/>
          <w:lang w:val="en-GB"/>
        </w:rPr>
        <w:t>Int'l L. &amp; Mgmt. Rev.</w:t>
      </w:r>
      <w:r w:rsidRPr="00BE6D7A">
        <w:rPr>
          <w:rFonts w:eastAsia="Times New Roman"/>
          <w:highlight w:val="white"/>
          <w:lang w:val="en-GB"/>
        </w:rPr>
        <w:t xml:space="preserve">, </w:t>
      </w:r>
      <w:r w:rsidRPr="00BE6D7A">
        <w:rPr>
          <w:rFonts w:eastAsia="Times New Roman"/>
          <w:i/>
          <w:highlight w:val="white"/>
          <w:lang w:val="en-GB"/>
        </w:rPr>
        <w:t>5</w:t>
      </w:r>
      <w:r w:rsidRPr="00BE6D7A">
        <w:rPr>
          <w:rFonts w:eastAsia="Times New Roman"/>
          <w:highlight w:val="white"/>
          <w:lang w:val="en-GB"/>
        </w:rPr>
        <w:t>, p.75. Available at</w:t>
      </w:r>
      <w:hyperlink r:id="rId8">
        <w:r w:rsidRPr="00BE6D7A">
          <w:rPr>
            <w:rFonts w:eastAsia="Times New Roman"/>
            <w:highlight w:val="white"/>
            <w:lang w:val="en-GB"/>
          </w:rPr>
          <w:t xml:space="preserve"> </w:t>
        </w:r>
      </w:hyperlink>
      <w:hyperlink r:id="rId9">
        <w:r w:rsidRPr="00BE6D7A">
          <w:rPr>
            <w:rFonts w:eastAsia="Times New Roman"/>
            <w:color w:val="1155CC"/>
            <w:highlight w:val="white"/>
            <w:u w:val="single"/>
            <w:lang w:val="en-GB"/>
          </w:rPr>
          <w:t>https://</w:t>
        </w:r>
      </w:hyperlink>
      <w:hyperlink r:id="rId10">
        <w:r w:rsidRPr="00BE6D7A">
          <w:rPr>
            <w:rFonts w:eastAsia="Times New Roman"/>
            <w:color w:val="1155CC"/>
            <w:u w:val="single"/>
            <w:lang w:val="en-GB"/>
          </w:rPr>
          <w:t>www.doi.org</w:t>
        </w:r>
      </w:hyperlink>
      <w:hyperlink r:id="rId11">
        <w:r w:rsidRPr="00BE6D7A">
          <w:rPr>
            <w:rFonts w:eastAsia="Times New Roman"/>
            <w:color w:val="1155CC"/>
            <w:highlight w:val="white"/>
            <w:u w:val="single"/>
            <w:lang w:val="en-GB"/>
          </w:rPr>
          <w:t>.journals/intlawmanr</w:t>
        </w:r>
      </w:hyperlink>
      <w:r w:rsidRPr="00BE6D7A">
        <w:rPr>
          <w:rFonts w:eastAsia="Times New Roman"/>
          <w:highlight w:val="white"/>
          <w:lang w:val="en-GB"/>
        </w:rPr>
        <w:t xml:space="preserve"> (Accessed 11 July 2023).</w:t>
      </w:r>
    </w:p>
    <w:p w14:paraId="0975B00E" w14:textId="77777777" w:rsidR="00BE6D7A" w:rsidRPr="00BE6D7A" w:rsidRDefault="00BE6D7A" w:rsidP="00594F8A">
      <w:pPr>
        <w:rPr>
          <w:rFonts w:eastAsia="Times New Roman"/>
          <w:lang w:val="en-GB"/>
        </w:rPr>
      </w:pPr>
      <w:r w:rsidRPr="00BE6D7A">
        <w:rPr>
          <w:rFonts w:eastAsia="Times New Roman"/>
          <w:i/>
          <w:lang w:val="en-GB"/>
        </w:rPr>
        <w:t xml:space="preserve">Are our courts fit for purpose? </w:t>
      </w:r>
      <w:r w:rsidRPr="00BE6D7A">
        <w:rPr>
          <w:rFonts w:eastAsia="Times New Roman"/>
          <w:lang w:val="en-GB"/>
        </w:rPr>
        <w:t>(</w:t>
      </w:r>
      <w:proofErr w:type="gramStart"/>
      <w:r w:rsidRPr="00BE6D7A">
        <w:rPr>
          <w:rFonts w:eastAsia="Times New Roman"/>
          <w:lang w:val="en-GB"/>
        </w:rPr>
        <w:t>no</w:t>
      </w:r>
      <w:proofErr w:type="gramEnd"/>
      <w:r w:rsidRPr="00BE6D7A">
        <w:rPr>
          <w:rFonts w:eastAsia="Times New Roman"/>
          <w:lang w:val="en-GB"/>
        </w:rPr>
        <w:t xml:space="preserve"> date) </w:t>
      </w:r>
      <w:r w:rsidRPr="00BE6D7A">
        <w:rPr>
          <w:rFonts w:eastAsia="Times New Roman"/>
          <w:i/>
          <w:lang w:val="en-GB"/>
        </w:rPr>
        <w:t xml:space="preserve">The Law Society. </w:t>
      </w:r>
      <w:r w:rsidRPr="00BE6D7A">
        <w:rPr>
          <w:rFonts w:eastAsia="Times New Roman"/>
          <w:lang w:val="en-GB"/>
        </w:rPr>
        <w:t>Available at:</w:t>
      </w:r>
      <w:hyperlink r:id="rId12">
        <w:r w:rsidRPr="00BE6D7A">
          <w:rPr>
            <w:rFonts w:eastAsia="Times New Roman"/>
            <w:lang w:val="en-GB"/>
          </w:rPr>
          <w:t xml:space="preserve"> </w:t>
        </w:r>
      </w:hyperlink>
      <w:hyperlink r:id="rId13">
        <w:r w:rsidRPr="00BE6D7A">
          <w:rPr>
            <w:rFonts w:eastAsia="Times New Roman"/>
            <w:color w:val="0000FF"/>
            <w:u w:val="single"/>
            <w:lang w:val="en-GB"/>
          </w:rPr>
          <w:t>https://www.lawsociety.org.uk/Topics/Research/Are-our-courts-fit-for-purpose</w:t>
        </w:r>
      </w:hyperlink>
      <w:r w:rsidRPr="00BE6D7A">
        <w:rPr>
          <w:rFonts w:eastAsia="Times New Roman"/>
          <w:lang w:val="en-GB"/>
        </w:rPr>
        <w:t xml:space="preserve"> (Accessed: May 4, 2023).</w:t>
      </w:r>
    </w:p>
    <w:p w14:paraId="02EFBE5D" w14:textId="77777777" w:rsidR="00BE6D7A" w:rsidRPr="00BE6D7A" w:rsidRDefault="00BE6D7A" w:rsidP="00594F8A">
      <w:pPr>
        <w:rPr>
          <w:rFonts w:eastAsia="Times New Roman"/>
          <w:highlight w:val="white"/>
          <w:lang w:val="en-GB"/>
        </w:rPr>
      </w:pPr>
      <w:r w:rsidRPr="00BE6D7A">
        <w:rPr>
          <w:rFonts w:eastAsia="Times New Roman"/>
          <w:highlight w:val="white"/>
          <w:lang w:val="en-GB"/>
        </w:rPr>
        <w:t xml:space="preserve">Barcelo, </w:t>
      </w:r>
      <w:proofErr w:type="gramStart"/>
      <w:r w:rsidRPr="00BE6D7A">
        <w:rPr>
          <w:rFonts w:eastAsia="Times New Roman"/>
          <w:highlight w:val="white"/>
          <w:lang w:val="en-GB"/>
        </w:rPr>
        <w:t>J.,(</w:t>
      </w:r>
      <w:proofErr w:type="gramEnd"/>
      <w:r w:rsidRPr="00BE6D7A">
        <w:rPr>
          <w:rFonts w:eastAsia="Times New Roman"/>
          <w:highlight w:val="white"/>
          <w:lang w:val="en-GB"/>
        </w:rPr>
        <w:t xml:space="preserve">2020) Anti-foreign-suit injunctions to enforce arbitration agreements  . In </w:t>
      </w:r>
      <w:r w:rsidRPr="00BE6D7A">
        <w:rPr>
          <w:rFonts w:eastAsia="Times New Roman"/>
          <w:i/>
          <w:highlight w:val="white"/>
          <w:lang w:val="en-GB"/>
        </w:rPr>
        <w:t>Contemporary Issues in International Arbitration and Mediation: The Fordham Papers (2007)</w:t>
      </w:r>
      <w:r w:rsidRPr="00BE6D7A">
        <w:rPr>
          <w:rFonts w:eastAsia="Times New Roman"/>
          <w:highlight w:val="white"/>
          <w:lang w:val="en-GB"/>
        </w:rPr>
        <w:t xml:space="preserve"> (pp. 107-118). Brill </w:t>
      </w:r>
      <w:proofErr w:type="spellStart"/>
      <w:r w:rsidRPr="00BE6D7A">
        <w:rPr>
          <w:rFonts w:eastAsia="Times New Roman"/>
          <w:highlight w:val="white"/>
          <w:lang w:val="en-GB"/>
        </w:rPr>
        <w:t>Nijhoff</w:t>
      </w:r>
      <w:proofErr w:type="spellEnd"/>
      <w:r w:rsidRPr="00BE6D7A">
        <w:rPr>
          <w:rFonts w:eastAsia="Times New Roman"/>
          <w:highlight w:val="white"/>
          <w:lang w:val="en-GB"/>
        </w:rPr>
        <w:t>. Available at</w:t>
      </w:r>
      <w:hyperlink r:id="rId14">
        <w:r w:rsidRPr="00BE6D7A">
          <w:rPr>
            <w:rFonts w:eastAsia="Times New Roman"/>
            <w:highlight w:val="white"/>
            <w:lang w:val="en-GB"/>
          </w:rPr>
          <w:t xml:space="preserve"> </w:t>
        </w:r>
      </w:hyperlink>
      <w:hyperlink r:id="rId15">
        <w:r w:rsidRPr="00BE6D7A">
          <w:rPr>
            <w:rFonts w:eastAsia="Times New Roman"/>
            <w:color w:val="1155CC"/>
            <w:highlight w:val="white"/>
            <w:u w:val="single"/>
            <w:lang w:val="en-GB"/>
          </w:rPr>
          <w:t>https://</w:t>
        </w:r>
      </w:hyperlink>
      <w:hyperlink r:id="rId16">
        <w:r w:rsidRPr="00BE6D7A">
          <w:rPr>
            <w:rFonts w:eastAsia="Times New Roman"/>
            <w:color w:val="1155CC"/>
            <w:u w:val="single"/>
            <w:lang w:val="en-GB"/>
          </w:rPr>
          <w:t>www.doi.org</w:t>
        </w:r>
      </w:hyperlink>
      <w:hyperlink r:id="rId17">
        <w:r w:rsidRPr="00BE6D7A">
          <w:rPr>
            <w:rFonts w:eastAsia="Times New Roman"/>
            <w:color w:val="1155CC"/>
            <w:highlight w:val="white"/>
            <w:u w:val="single"/>
            <w:lang w:val="en-GB"/>
          </w:rPr>
          <w:t>/9789047440437/Bej.9789004167384.i-336_009.pdf</w:t>
        </w:r>
      </w:hyperlink>
      <w:r w:rsidRPr="00BE6D7A">
        <w:rPr>
          <w:rFonts w:eastAsia="Times New Roman"/>
          <w:highlight w:val="white"/>
          <w:lang w:val="en-GB"/>
        </w:rPr>
        <w:t xml:space="preserve"> (Accessed 11 July 2023).</w:t>
      </w:r>
    </w:p>
    <w:p w14:paraId="4266AEE1" w14:textId="77777777" w:rsidR="00BE6D7A" w:rsidRPr="00BE6D7A" w:rsidRDefault="00BE6D7A" w:rsidP="00594F8A">
      <w:pPr>
        <w:rPr>
          <w:rFonts w:eastAsia="Times New Roman"/>
          <w:highlight w:val="white"/>
          <w:lang w:val="en-GB"/>
        </w:rPr>
      </w:pPr>
      <w:r w:rsidRPr="00BE6D7A">
        <w:rPr>
          <w:rFonts w:eastAsia="Times New Roman"/>
          <w:highlight w:val="white"/>
          <w:lang w:val="en-GB"/>
        </w:rPr>
        <w:t xml:space="preserve">Campbell, J.R., 2020. The role of lawyers, judges, country experts and officials in British asylum and immigration law. </w:t>
      </w:r>
      <w:r w:rsidRPr="00BE6D7A">
        <w:rPr>
          <w:rFonts w:eastAsia="Times New Roman"/>
          <w:i/>
          <w:lang w:val="en-GB"/>
        </w:rPr>
        <w:t>International Journal of Law in Context</w:t>
      </w:r>
      <w:r w:rsidRPr="00BE6D7A">
        <w:rPr>
          <w:rFonts w:eastAsia="Times New Roman"/>
          <w:lang w:val="en-GB"/>
        </w:rPr>
        <w:t xml:space="preserve">, </w:t>
      </w:r>
      <w:r w:rsidRPr="00BE6D7A">
        <w:rPr>
          <w:rFonts w:eastAsia="Times New Roman"/>
          <w:i/>
          <w:lang w:val="en-GB"/>
        </w:rPr>
        <w:t>16</w:t>
      </w:r>
      <w:r w:rsidRPr="00BE6D7A">
        <w:rPr>
          <w:rFonts w:eastAsia="Times New Roman"/>
          <w:lang w:val="en-GB"/>
        </w:rPr>
        <w:t>(1), pp.1-16. Available at:</w:t>
      </w:r>
      <w:hyperlink r:id="rId18">
        <w:r w:rsidRPr="00BE6D7A">
          <w:rPr>
            <w:rFonts w:eastAsia="Times New Roman"/>
            <w:highlight w:val="white"/>
            <w:lang w:val="en-GB"/>
          </w:rPr>
          <w:t xml:space="preserve"> </w:t>
        </w:r>
      </w:hyperlink>
      <w:hyperlink r:id="rId19">
        <w:r w:rsidRPr="00BE6D7A">
          <w:rPr>
            <w:rFonts w:eastAsia="Times New Roman"/>
            <w:color w:val="1155CC"/>
            <w:highlight w:val="white"/>
            <w:u w:val="single"/>
            <w:lang w:val="en-GB"/>
          </w:rPr>
          <w:t>https://doi.org/10.1017/S1744552320000038</w:t>
        </w:r>
      </w:hyperlink>
      <w:r w:rsidRPr="00BE6D7A">
        <w:rPr>
          <w:rFonts w:eastAsia="Times New Roman"/>
          <w:highlight w:val="white"/>
          <w:lang w:val="en-GB"/>
        </w:rPr>
        <w:t xml:space="preserve"> (Accessed 11 July 2023).</w:t>
      </w:r>
    </w:p>
    <w:p w14:paraId="784FD750" w14:textId="77777777" w:rsidR="00BE6D7A" w:rsidRPr="00BE6D7A" w:rsidRDefault="00BE6D7A" w:rsidP="00594F8A">
      <w:pPr>
        <w:rPr>
          <w:rFonts w:eastAsia="Times New Roman"/>
          <w:lang w:val="en-GB"/>
        </w:rPr>
      </w:pPr>
      <w:r w:rsidRPr="00BE6D7A">
        <w:rPr>
          <w:rFonts w:eastAsia="Times New Roman"/>
          <w:lang w:val="en-GB"/>
        </w:rPr>
        <w:t xml:space="preserve">Campbell, JR., 2020. The role of lawyers, judges, country experts and officials in British asylum and immigration law. </w:t>
      </w:r>
      <w:r w:rsidRPr="00BE6D7A">
        <w:rPr>
          <w:rFonts w:eastAsia="Times New Roman"/>
          <w:i/>
          <w:lang w:val="en-GB"/>
        </w:rPr>
        <w:t xml:space="preserve">International Journal of Law in Context, 16(1), </w:t>
      </w:r>
      <w:r w:rsidRPr="00BE6D7A">
        <w:rPr>
          <w:rFonts w:eastAsia="Times New Roman"/>
          <w:lang w:val="en-GB"/>
        </w:rPr>
        <w:t>pp.1-16. Available at:</w:t>
      </w:r>
      <w:hyperlink r:id="rId20">
        <w:r w:rsidRPr="00BE6D7A">
          <w:rPr>
            <w:rFonts w:eastAsia="Times New Roman"/>
            <w:color w:val="1748C0"/>
            <w:u w:val="single"/>
            <w:lang w:val="en-GB"/>
          </w:rPr>
          <w:t xml:space="preserve"> </w:t>
        </w:r>
      </w:hyperlink>
      <w:hyperlink r:id="rId21">
        <w:r w:rsidRPr="00BE6D7A">
          <w:rPr>
            <w:rFonts w:eastAsia="Times New Roman"/>
            <w:color w:val="0000FF"/>
            <w:u w:val="single"/>
            <w:lang w:val="en-GB"/>
          </w:rPr>
          <w:t>https://www.cambridge.orecoreijournalsiinternational-journal-of-law-in-</w:t>
        </w:r>
      </w:hyperlink>
      <w:r w:rsidRPr="00BE6D7A">
        <w:rPr>
          <w:rFonts w:eastAsia="Times New Roman"/>
          <w:color w:val="0000FF"/>
          <w:u w:val="single"/>
          <w:lang w:val="en-GB"/>
        </w:rPr>
        <w:t>contextiarticleirole-of-lawyers-judges-country-experts-and-officials-in-british-asylum-and-</w:t>
      </w:r>
      <w:r w:rsidRPr="00BE6D7A">
        <w:rPr>
          <w:rFonts w:eastAsia="Times New Roman"/>
          <w:color w:val="4269C3"/>
          <w:u w:val="single"/>
          <w:lang w:val="en-GB"/>
        </w:rPr>
        <w:t>immigration-law/16A678C28A9794608EF2C001A2DIA99E</w:t>
      </w:r>
      <w:r w:rsidRPr="00BE6D7A">
        <w:rPr>
          <w:rFonts w:eastAsia="Times New Roman"/>
          <w:lang w:val="en-GB"/>
        </w:rPr>
        <w:t xml:space="preserve"> (Accessed: May 4, 2023). </w:t>
      </w:r>
    </w:p>
    <w:p w14:paraId="2A040649" w14:textId="77777777" w:rsidR="00BE6D7A" w:rsidRPr="00BE6D7A" w:rsidRDefault="00BE6D7A" w:rsidP="00594F8A">
      <w:pPr>
        <w:rPr>
          <w:rFonts w:eastAsia="Times New Roman"/>
          <w:highlight w:val="white"/>
          <w:lang w:val="en-GB"/>
        </w:rPr>
      </w:pPr>
      <w:r w:rsidRPr="00BE6D7A">
        <w:rPr>
          <w:rFonts w:eastAsia="Times New Roman"/>
          <w:highlight w:val="white"/>
          <w:lang w:val="en-GB"/>
        </w:rPr>
        <w:t xml:space="preserve">Cisneros, J., 2022. Indiana </w:t>
      </w:r>
      <w:proofErr w:type="gramStart"/>
      <w:r w:rsidRPr="00BE6D7A">
        <w:rPr>
          <w:rFonts w:eastAsia="Times New Roman"/>
          <w:highlight w:val="white"/>
          <w:lang w:val="en-GB"/>
        </w:rPr>
        <w:t>in the Midst of</w:t>
      </w:r>
      <w:proofErr w:type="gramEnd"/>
      <w:r w:rsidRPr="00BE6D7A">
        <w:rPr>
          <w:rFonts w:eastAsia="Times New Roman"/>
          <w:highlight w:val="white"/>
          <w:lang w:val="en-GB"/>
        </w:rPr>
        <w:t xml:space="preserve"># MeToo: The Argument for Enforcing Arbitration in Sexual Harassment Claims. </w:t>
      </w:r>
      <w:r w:rsidRPr="00BE6D7A">
        <w:rPr>
          <w:rFonts w:eastAsia="Times New Roman"/>
          <w:i/>
          <w:highlight w:val="white"/>
          <w:lang w:val="en-GB"/>
        </w:rPr>
        <w:t>Pepperdine Dispute Resolution Law Journal</w:t>
      </w:r>
      <w:r w:rsidRPr="00BE6D7A">
        <w:rPr>
          <w:rFonts w:eastAsia="Times New Roman"/>
          <w:highlight w:val="white"/>
          <w:lang w:val="en-GB"/>
        </w:rPr>
        <w:t xml:space="preserve">, </w:t>
      </w:r>
      <w:r w:rsidRPr="00BE6D7A">
        <w:rPr>
          <w:rFonts w:eastAsia="Times New Roman"/>
          <w:i/>
          <w:highlight w:val="white"/>
          <w:lang w:val="en-GB"/>
        </w:rPr>
        <w:t>22</w:t>
      </w:r>
      <w:r w:rsidRPr="00BE6D7A">
        <w:rPr>
          <w:rFonts w:eastAsia="Times New Roman"/>
          <w:highlight w:val="white"/>
          <w:lang w:val="en-GB"/>
        </w:rPr>
        <w:t xml:space="preserve">(1), pp.175-210.Available at: </w:t>
      </w:r>
      <w:hyperlink r:id="rId22">
        <w:r w:rsidRPr="00BE6D7A">
          <w:rPr>
            <w:rFonts w:eastAsia="Times New Roman"/>
            <w:highlight w:val="white"/>
            <w:lang w:val="en-GB"/>
          </w:rPr>
          <w:t xml:space="preserve"> </w:t>
        </w:r>
      </w:hyperlink>
      <w:hyperlink r:id="rId23">
        <w:r w:rsidRPr="00BE6D7A">
          <w:rPr>
            <w:rFonts w:eastAsia="Times New Roman"/>
            <w:color w:val="1155CC"/>
            <w:highlight w:val="white"/>
            <w:u w:val="single"/>
            <w:lang w:val="en-GB"/>
          </w:rPr>
          <w:t>https://</w:t>
        </w:r>
      </w:hyperlink>
      <w:hyperlink r:id="rId24">
        <w:r w:rsidRPr="00BE6D7A">
          <w:rPr>
            <w:rFonts w:eastAsia="Times New Roman"/>
            <w:color w:val="1155CC"/>
            <w:u w:val="single"/>
            <w:lang w:val="en-GB"/>
          </w:rPr>
          <w:t>www.doi.org</w:t>
        </w:r>
      </w:hyperlink>
      <w:hyperlink r:id="rId25">
        <w:r w:rsidRPr="00BE6D7A">
          <w:rPr>
            <w:rFonts w:eastAsia="Times New Roman"/>
            <w:color w:val="1155CC"/>
            <w:highlight w:val="white"/>
            <w:u w:val="single"/>
            <w:lang w:val="en-GB"/>
          </w:rPr>
          <w:t>.pepperdine.edu/drlj/vol22/iss1/6/</w:t>
        </w:r>
      </w:hyperlink>
      <w:r w:rsidRPr="00BE6D7A">
        <w:rPr>
          <w:rFonts w:eastAsia="Times New Roman"/>
          <w:highlight w:val="white"/>
          <w:lang w:val="en-GB"/>
        </w:rPr>
        <w:t xml:space="preserve">  (Accessed 11 July 2023).</w:t>
      </w:r>
    </w:p>
    <w:p w14:paraId="7771D97C" w14:textId="77777777" w:rsidR="00BE6D7A" w:rsidRPr="00BE6D7A" w:rsidRDefault="00BE6D7A" w:rsidP="00594F8A">
      <w:pPr>
        <w:rPr>
          <w:rFonts w:eastAsia="Times New Roman"/>
          <w:highlight w:val="white"/>
          <w:lang w:val="en-GB"/>
        </w:rPr>
      </w:pPr>
      <w:r w:rsidRPr="00BE6D7A">
        <w:rPr>
          <w:rFonts w:eastAsia="Times New Roman"/>
          <w:highlight w:val="white"/>
          <w:lang w:val="en-GB"/>
        </w:rPr>
        <w:t xml:space="preserve">Colvin, A. </w:t>
      </w:r>
      <w:proofErr w:type="gramStart"/>
      <w:r w:rsidRPr="00BE6D7A">
        <w:rPr>
          <w:rFonts w:eastAsia="Times New Roman"/>
          <w:highlight w:val="white"/>
          <w:lang w:val="en-GB"/>
        </w:rPr>
        <w:t>J. .</w:t>
      </w:r>
      <w:proofErr w:type="gramEnd"/>
      <w:r w:rsidRPr="00BE6D7A">
        <w:rPr>
          <w:rFonts w:eastAsia="Times New Roman"/>
          <w:highlight w:val="white"/>
          <w:lang w:val="en-GB"/>
        </w:rPr>
        <w:t xml:space="preserve">(2019) The </w:t>
      </w:r>
      <w:proofErr w:type="spellStart"/>
      <w:r w:rsidRPr="00BE6D7A">
        <w:rPr>
          <w:rFonts w:eastAsia="Times New Roman"/>
          <w:highlight w:val="white"/>
          <w:lang w:val="en-GB"/>
        </w:rPr>
        <w:t>Metastisization</w:t>
      </w:r>
      <w:proofErr w:type="spellEnd"/>
      <w:r w:rsidRPr="00BE6D7A">
        <w:rPr>
          <w:rFonts w:eastAsia="Times New Roman"/>
          <w:highlight w:val="white"/>
          <w:lang w:val="en-GB"/>
        </w:rPr>
        <w:t xml:space="preserve"> of Mandatory Arbitration . </w:t>
      </w:r>
      <w:r w:rsidRPr="00BE6D7A">
        <w:rPr>
          <w:rFonts w:eastAsia="Times New Roman"/>
          <w:i/>
          <w:highlight w:val="white"/>
          <w:lang w:val="en-GB"/>
        </w:rPr>
        <w:t>Chi.-Kent L. Rev.</w:t>
      </w:r>
      <w:r w:rsidRPr="00BE6D7A">
        <w:rPr>
          <w:rFonts w:eastAsia="Times New Roman"/>
          <w:highlight w:val="white"/>
          <w:lang w:val="en-GB"/>
        </w:rPr>
        <w:t xml:space="preserve">, </w:t>
      </w:r>
      <w:r w:rsidRPr="00BE6D7A">
        <w:rPr>
          <w:rFonts w:eastAsia="Times New Roman"/>
          <w:i/>
          <w:highlight w:val="white"/>
          <w:lang w:val="en-GB"/>
        </w:rPr>
        <w:t>94</w:t>
      </w:r>
      <w:r w:rsidRPr="00BE6D7A">
        <w:rPr>
          <w:rFonts w:eastAsia="Times New Roman"/>
          <w:highlight w:val="white"/>
          <w:lang w:val="en-GB"/>
        </w:rPr>
        <w:t>, 3. Available at:</w:t>
      </w:r>
      <w:hyperlink r:id="rId26">
        <w:r w:rsidRPr="00BE6D7A">
          <w:rPr>
            <w:rFonts w:eastAsia="Times New Roman"/>
            <w:highlight w:val="white"/>
            <w:lang w:val="en-GB"/>
          </w:rPr>
          <w:t xml:space="preserve"> </w:t>
        </w:r>
      </w:hyperlink>
      <w:hyperlink r:id="rId27">
        <w:r w:rsidRPr="00BE6D7A">
          <w:rPr>
            <w:rFonts w:eastAsia="Times New Roman"/>
            <w:color w:val="1155CC"/>
            <w:highlight w:val="white"/>
            <w:u w:val="single"/>
            <w:lang w:val="en-GB"/>
          </w:rPr>
          <w:t>https://</w:t>
        </w:r>
      </w:hyperlink>
      <w:hyperlink r:id="rId28">
        <w:r w:rsidRPr="00BE6D7A">
          <w:rPr>
            <w:rFonts w:eastAsia="Times New Roman"/>
            <w:color w:val="1155CC"/>
            <w:u w:val="single"/>
            <w:lang w:val="en-GB"/>
          </w:rPr>
          <w:t>www.doi.org</w:t>
        </w:r>
      </w:hyperlink>
      <w:hyperlink r:id="rId29">
        <w:r w:rsidRPr="00BE6D7A">
          <w:rPr>
            <w:rFonts w:eastAsia="Times New Roman"/>
            <w:color w:val="1155CC"/>
            <w:highlight w:val="white"/>
            <w:u w:val="single"/>
            <w:lang w:val="en-GB"/>
          </w:rPr>
          <w:t>/get_pdf.cgi.journals/chknt94</w:t>
        </w:r>
      </w:hyperlink>
      <w:r w:rsidRPr="00BE6D7A">
        <w:rPr>
          <w:rFonts w:eastAsia="Times New Roman"/>
          <w:highlight w:val="white"/>
          <w:lang w:val="en-GB"/>
        </w:rPr>
        <w:t xml:space="preserve"> (Accessed 11 July 2023).</w:t>
      </w:r>
    </w:p>
    <w:p w14:paraId="65B16860" w14:textId="77777777" w:rsidR="00BE6D7A" w:rsidRPr="00BE6D7A" w:rsidRDefault="00BE6D7A" w:rsidP="00594F8A">
      <w:pPr>
        <w:rPr>
          <w:rFonts w:eastAsia="Times New Roman"/>
          <w:lang w:val="en-GB"/>
        </w:rPr>
      </w:pPr>
      <w:r w:rsidRPr="00BE6D7A">
        <w:rPr>
          <w:rFonts w:eastAsia="Times New Roman"/>
          <w:i/>
          <w:lang w:val="en-GB"/>
        </w:rPr>
        <w:lastRenderedPageBreak/>
        <w:t xml:space="preserve">Court closures </w:t>
      </w:r>
      <w:r w:rsidRPr="00BE6D7A">
        <w:rPr>
          <w:rFonts w:eastAsia="Times New Roman"/>
          <w:lang w:val="en-GB"/>
        </w:rPr>
        <w:t xml:space="preserve">(no date) </w:t>
      </w:r>
      <w:r w:rsidRPr="00BE6D7A">
        <w:rPr>
          <w:rFonts w:eastAsia="Times New Roman"/>
          <w:i/>
          <w:lang w:val="en-GB"/>
        </w:rPr>
        <w:t xml:space="preserve">The Law Society. </w:t>
      </w:r>
      <w:r w:rsidRPr="00BE6D7A">
        <w:rPr>
          <w:rFonts w:eastAsia="Times New Roman"/>
          <w:lang w:val="en-GB"/>
        </w:rPr>
        <w:t>Available at:</w:t>
      </w:r>
      <w:hyperlink r:id="rId30">
        <w:r w:rsidRPr="00BE6D7A">
          <w:rPr>
            <w:rFonts w:eastAsia="Times New Roman"/>
            <w:lang w:val="en-GB"/>
          </w:rPr>
          <w:t xml:space="preserve"> </w:t>
        </w:r>
      </w:hyperlink>
      <w:hyperlink r:id="rId31">
        <w:r w:rsidRPr="00BE6D7A">
          <w:rPr>
            <w:rFonts w:eastAsia="Times New Roman"/>
            <w:color w:val="0000FF"/>
            <w:u w:val="single"/>
            <w:lang w:val="en-GB"/>
          </w:rPr>
          <w:t>https://www.lawsociety.org.ukicampaignsicourt-reformiwhats-changingicourt-closures</w:t>
        </w:r>
      </w:hyperlink>
      <w:r w:rsidRPr="00BE6D7A">
        <w:rPr>
          <w:rFonts w:eastAsia="Times New Roman"/>
          <w:color w:val="4269C3"/>
          <w:u w:val="single"/>
          <w:lang w:val="en-GB"/>
        </w:rPr>
        <w:t xml:space="preserve"> </w:t>
      </w:r>
      <w:r w:rsidRPr="00BE6D7A">
        <w:rPr>
          <w:rFonts w:eastAsia="Times New Roman"/>
          <w:lang w:val="en-GB"/>
        </w:rPr>
        <w:t>(Accessed: May 4, 2023).</w:t>
      </w:r>
    </w:p>
    <w:p w14:paraId="61FE0E4E" w14:textId="77777777" w:rsidR="00BE6D7A" w:rsidRPr="00BE6D7A" w:rsidRDefault="00BE6D7A" w:rsidP="00594F8A">
      <w:pPr>
        <w:rPr>
          <w:rFonts w:eastAsia="Times New Roman"/>
          <w:highlight w:val="white"/>
          <w:lang w:val="en-GB"/>
        </w:rPr>
      </w:pPr>
      <w:r w:rsidRPr="00BE6D7A">
        <w:rPr>
          <w:rFonts w:eastAsia="Times New Roman"/>
          <w:highlight w:val="white"/>
          <w:lang w:val="en-GB"/>
        </w:rPr>
        <w:t xml:space="preserve">Coyle, J. F., and </w:t>
      </w:r>
      <w:proofErr w:type="spellStart"/>
      <w:r w:rsidRPr="00BE6D7A">
        <w:rPr>
          <w:rFonts w:eastAsia="Times New Roman"/>
          <w:highlight w:val="white"/>
          <w:lang w:val="en-GB"/>
        </w:rPr>
        <w:t>Drahozal</w:t>
      </w:r>
      <w:proofErr w:type="spellEnd"/>
      <w:r w:rsidRPr="00BE6D7A">
        <w:rPr>
          <w:rFonts w:eastAsia="Times New Roman"/>
          <w:highlight w:val="white"/>
          <w:lang w:val="en-GB"/>
        </w:rPr>
        <w:t>, C. R. (2019</w:t>
      </w:r>
      <w:proofErr w:type="gramStart"/>
      <w:r w:rsidRPr="00BE6D7A">
        <w:rPr>
          <w:rFonts w:eastAsia="Times New Roman"/>
          <w:highlight w:val="white"/>
          <w:lang w:val="en-GB"/>
        </w:rPr>
        <w:t>)..</w:t>
      </w:r>
      <w:proofErr w:type="gramEnd"/>
      <w:r w:rsidRPr="00BE6D7A">
        <w:rPr>
          <w:rFonts w:eastAsia="Times New Roman"/>
          <w:highlight w:val="white"/>
          <w:lang w:val="en-GB"/>
        </w:rPr>
        <w:t xml:space="preserve"> An empirical study of dispute resolution clauses in international supply contracts </w:t>
      </w:r>
      <w:proofErr w:type="spellStart"/>
      <w:r w:rsidRPr="00BE6D7A">
        <w:rPr>
          <w:rFonts w:eastAsia="Times New Roman"/>
          <w:i/>
          <w:highlight w:val="white"/>
          <w:lang w:val="en-GB"/>
        </w:rPr>
        <w:t>Vand</w:t>
      </w:r>
      <w:proofErr w:type="spellEnd"/>
      <w:r w:rsidRPr="00BE6D7A">
        <w:rPr>
          <w:rFonts w:eastAsia="Times New Roman"/>
          <w:i/>
          <w:highlight w:val="white"/>
          <w:lang w:val="en-GB"/>
        </w:rPr>
        <w:t xml:space="preserve">. J. </w:t>
      </w:r>
      <w:proofErr w:type="spellStart"/>
      <w:r w:rsidRPr="00BE6D7A">
        <w:rPr>
          <w:rFonts w:eastAsia="Times New Roman"/>
          <w:i/>
          <w:highlight w:val="white"/>
          <w:lang w:val="en-GB"/>
        </w:rPr>
        <w:t>Transnat'l</w:t>
      </w:r>
      <w:proofErr w:type="spellEnd"/>
      <w:r w:rsidRPr="00BE6D7A">
        <w:rPr>
          <w:rFonts w:eastAsia="Times New Roman"/>
          <w:i/>
          <w:highlight w:val="white"/>
          <w:lang w:val="en-GB"/>
        </w:rPr>
        <w:t xml:space="preserve"> L.</w:t>
      </w:r>
      <w:r w:rsidRPr="00BE6D7A">
        <w:rPr>
          <w:rFonts w:eastAsia="Times New Roman"/>
          <w:highlight w:val="white"/>
          <w:lang w:val="en-GB"/>
        </w:rPr>
        <w:t xml:space="preserve">, </w:t>
      </w:r>
      <w:r w:rsidRPr="00BE6D7A">
        <w:rPr>
          <w:rFonts w:eastAsia="Times New Roman"/>
          <w:i/>
          <w:highlight w:val="white"/>
          <w:lang w:val="en-GB"/>
        </w:rPr>
        <w:t>52</w:t>
      </w:r>
      <w:r w:rsidRPr="00BE6D7A">
        <w:rPr>
          <w:rFonts w:eastAsia="Times New Roman"/>
          <w:highlight w:val="white"/>
          <w:lang w:val="en-GB"/>
        </w:rPr>
        <w:t>, 323. Available at:</w:t>
      </w:r>
      <w:hyperlink r:id="rId32">
        <w:r w:rsidRPr="00BE6D7A">
          <w:rPr>
            <w:rFonts w:eastAsia="Times New Roman"/>
            <w:highlight w:val="white"/>
            <w:lang w:val="en-GB"/>
          </w:rPr>
          <w:t xml:space="preserve"> </w:t>
        </w:r>
      </w:hyperlink>
      <w:hyperlink r:id="rId33">
        <w:r w:rsidRPr="00BE6D7A">
          <w:rPr>
            <w:rFonts w:eastAsia="Times New Roman"/>
            <w:color w:val="1155CC"/>
            <w:highlight w:val="white"/>
            <w:u w:val="single"/>
            <w:lang w:val="en-GB"/>
          </w:rPr>
          <w:t>https://</w:t>
        </w:r>
      </w:hyperlink>
      <w:hyperlink r:id="rId34">
        <w:r w:rsidRPr="00BE6D7A">
          <w:rPr>
            <w:rFonts w:eastAsia="Times New Roman"/>
            <w:color w:val="1155CC"/>
            <w:u w:val="single"/>
            <w:lang w:val="en-GB"/>
          </w:rPr>
          <w:t>www.doi.org</w:t>
        </w:r>
      </w:hyperlink>
      <w:hyperlink r:id="rId35">
        <w:r w:rsidRPr="00BE6D7A">
          <w:rPr>
            <w:rFonts w:eastAsia="Times New Roman"/>
            <w:color w:val="1155CC"/>
            <w:highlight w:val="white"/>
            <w:u w:val="single"/>
            <w:lang w:val="en-GB"/>
          </w:rPr>
          <w:t>/hol-cgi-bin/get_pdf</w:t>
        </w:r>
      </w:hyperlink>
      <w:r w:rsidRPr="00BE6D7A">
        <w:rPr>
          <w:rFonts w:eastAsia="Times New Roman"/>
          <w:highlight w:val="white"/>
          <w:lang w:val="en-GB"/>
        </w:rPr>
        <w:t xml:space="preserve"> (Accessed 11 July 2023).</w:t>
      </w:r>
    </w:p>
    <w:p w14:paraId="6A77A199" w14:textId="77777777" w:rsidR="00BE6D7A" w:rsidRPr="00BE6D7A" w:rsidRDefault="00BE6D7A" w:rsidP="00594F8A">
      <w:pPr>
        <w:rPr>
          <w:rFonts w:eastAsia="Times New Roman"/>
          <w:lang w:val="en-GB"/>
        </w:rPr>
      </w:pPr>
      <w:r w:rsidRPr="00BE6D7A">
        <w:rPr>
          <w:rFonts w:eastAsia="Times New Roman"/>
          <w:lang w:val="en-GB"/>
        </w:rPr>
        <w:t xml:space="preserve">Douglas, </w:t>
      </w:r>
      <w:r w:rsidRPr="00BE6D7A">
        <w:rPr>
          <w:rFonts w:eastAsia="Times New Roman"/>
          <w:b/>
          <w:lang w:val="en-GB"/>
        </w:rPr>
        <w:t xml:space="preserve">H., </w:t>
      </w:r>
      <w:r w:rsidRPr="00BE6D7A">
        <w:rPr>
          <w:rFonts w:eastAsia="Times New Roman"/>
          <w:lang w:val="en-GB"/>
        </w:rPr>
        <w:t xml:space="preserve">2018. Legal systems abuse and coercive control. </w:t>
      </w:r>
      <w:r w:rsidRPr="00BE6D7A">
        <w:rPr>
          <w:rFonts w:eastAsia="Times New Roman"/>
          <w:i/>
          <w:lang w:val="en-GB"/>
        </w:rPr>
        <w:t xml:space="preserve">Criminology &amp; criminal justice, 18(1), </w:t>
      </w:r>
      <w:r w:rsidRPr="00BE6D7A">
        <w:rPr>
          <w:rFonts w:eastAsia="Times New Roman"/>
          <w:lang w:val="en-GB"/>
        </w:rPr>
        <w:t>pp.84-99. Available at:</w:t>
      </w:r>
      <w:hyperlink r:id="rId36">
        <w:r w:rsidRPr="00BE6D7A">
          <w:rPr>
            <w:rFonts w:eastAsia="Times New Roman"/>
            <w:lang w:val="en-GB"/>
          </w:rPr>
          <w:t xml:space="preserve"> </w:t>
        </w:r>
      </w:hyperlink>
      <w:hyperlink r:id="rId37">
        <w:r w:rsidRPr="00BE6D7A">
          <w:rPr>
            <w:rFonts w:eastAsia="Times New Roman"/>
            <w:color w:val="0000FF"/>
            <w:u w:val="single"/>
            <w:lang w:val="en-GB"/>
          </w:rPr>
          <w:t>https://journals.sagepub.comidoi/pdf/10.1177/1748895817728380</w:t>
        </w:r>
      </w:hyperlink>
      <w:r w:rsidRPr="00BE6D7A">
        <w:rPr>
          <w:rFonts w:eastAsia="Times New Roman"/>
          <w:lang w:val="en-GB"/>
        </w:rPr>
        <w:t xml:space="preserve"> (Accessed: May 4, 2023). </w:t>
      </w:r>
    </w:p>
    <w:p w14:paraId="0A7F4D91" w14:textId="77777777" w:rsidR="00BE6D7A" w:rsidRPr="00BE6D7A" w:rsidRDefault="00BE6D7A" w:rsidP="00594F8A">
      <w:pPr>
        <w:rPr>
          <w:rFonts w:eastAsia="Times New Roman"/>
          <w:lang w:val="en-GB"/>
        </w:rPr>
      </w:pPr>
      <w:r w:rsidRPr="00BE6D7A">
        <w:rPr>
          <w:rFonts w:eastAsia="Times New Roman"/>
          <w:lang w:val="en-GB"/>
        </w:rPr>
        <w:t xml:space="preserve">Finnis, A. (2022) </w:t>
      </w:r>
      <w:r w:rsidRPr="00BE6D7A">
        <w:rPr>
          <w:rFonts w:eastAsia="Times New Roman"/>
          <w:i/>
          <w:lang w:val="en-GB"/>
        </w:rPr>
        <w:t>How to become a magistrate as powers increase to jail criminals for longer,</w:t>
      </w:r>
      <w:hyperlink r:id="rId38">
        <w:r w:rsidRPr="00BE6D7A">
          <w:rPr>
            <w:rFonts w:eastAsia="Times New Roman"/>
            <w:i/>
            <w:lang w:val="en-GB"/>
          </w:rPr>
          <w:t xml:space="preserve"> </w:t>
        </w:r>
      </w:hyperlink>
      <w:hyperlink r:id="rId39">
        <w:r w:rsidRPr="00BE6D7A">
          <w:rPr>
            <w:rFonts w:eastAsia="Times New Roman"/>
            <w:i/>
            <w:color w:val="0000FF"/>
            <w:u w:val="single"/>
            <w:lang w:val="en-GB"/>
          </w:rPr>
          <w:t>inews.co.uk</w:t>
        </w:r>
      </w:hyperlink>
      <w:r w:rsidRPr="00BE6D7A">
        <w:rPr>
          <w:rFonts w:eastAsia="Times New Roman"/>
          <w:i/>
          <w:lang w:val="en-GB"/>
        </w:rPr>
        <w:t xml:space="preserve">. </w:t>
      </w:r>
      <w:r w:rsidRPr="00BE6D7A">
        <w:rPr>
          <w:rFonts w:eastAsia="Times New Roman"/>
          <w:lang w:val="en-GB"/>
        </w:rPr>
        <w:t>Available at:</w:t>
      </w:r>
      <w:r w:rsidRPr="00BE6D7A">
        <w:rPr>
          <w:rFonts w:eastAsia="Times New Roman"/>
          <w:color w:val="4269C3"/>
          <w:lang w:val="en-GB"/>
        </w:rPr>
        <w:t xml:space="preserve"> </w:t>
      </w:r>
      <w:proofErr w:type="spellStart"/>
      <w:r w:rsidRPr="00BE6D7A">
        <w:rPr>
          <w:rFonts w:eastAsia="Times New Roman"/>
          <w:color w:val="4269C3"/>
          <w:lang w:val="en-GB"/>
        </w:rPr>
        <w:t>htt</w:t>
      </w:r>
      <w:proofErr w:type="spellEnd"/>
      <w:r w:rsidRPr="00BE6D7A">
        <w:rPr>
          <w:rFonts w:eastAsia="Times New Roman"/>
          <w:color w:val="1748C0"/>
          <w:lang w:val="en-GB"/>
        </w:rPr>
        <w:t xml:space="preserve"> </w:t>
      </w:r>
      <w:r w:rsidRPr="00BE6D7A">
        <w:rPr>
          <w:rFonts w:eastAsia="Times New Roman"/>
          <w:color w:val="0000FF"/>
          <w:lang w:val="en-GB"/>
        </w:rPr>
        <w:t>s:</w:t>
      </w:r>
      <w:r w:rsidRPr="00BE6D7A">
        <w:rPr>
          <w:rFonts w:eastAsia="Times New Roman"/>
          <w:color w:val="0000FF"/>
          <w:u w:val="single"/>
          <w:lang w:val="en-GB"/>
        </w:rPr>
        <w:t>//inews.co.uk/news/ma</w:t>
      </w:r>
      <w:r w:rsidRPr="00BE6D7A">
        <w:rPr>
          <w:rFonts w:eastAsia="Times New Roman"/>
          <w:color w:val="1748C0"/>
          <w:lang w:val="en-GB"/>
        </w:rPr>
        <w:t xml:space="preserve"> </w:t>
      </w:r>
      <w:proofErr w:type="spellStart"/>
      <w:r w:rsidRPr="00BE6D7A">
        <w:rPr>
          <w:rFonts w:eastAsia="Times New Roman"/>
          <w:color w:val="1748C0"/>
          <w:lang w:val="en-GB"/>
        </w:rPr>
        <w:t>istrate</w:t>
      </w:r>
      <w:proofErr w:type="spellEnd"/>
      <w:r w:rsidRPr="00BE6D7A">
        <w:rPr>
          <w:rFonts w:eastAsia="Times New Roman"/>
          <w:color w:val="1748C0"/>
          <w:lang w:val="en-GB"/>
        </w:rPr>
        <w:t>-how-become-what-'</w:t>
      </w:r>
      <w:proofErr w:type="spellStart"/>
      <w:r w:rsidRPr="00BE6D7A">
        <w:rPr>
          <w:rFonts w:eastAsia="Times New Roman"/>
          <w:color w:val="1748C0"/>
          <w:lang w:val="en-GB"/>
        </w:rPr>
        <w:t>ob</w:t>
      </w:r>
      <w:proofErr w:type="spellEnd"/>
      <w:r w:rsidRPr="00BE6D7A">
        <w:rPr>
          <w:rFonts w:eastAsia="Times New Roman"/>
          <w:color w:val="1748C0"/>
          <w:lang w:val="en-GB"/>
        </w:rPr>
        <w:t>-who-</w:t>
      </w:r>
      <w:r w:rsidRPr="00BE6D7A">
        <w:rPr>
          <w:rFonts w:eastAsia="Times New Roman"/>
          <w:color w:val="1748C0"/>
          <w:u w:val="single"/>
          <w:lang w:val="en-GB"/>
        </w:rPr>
        <w:t>apply- uk-why-salary-1407695</w:t>
      </w:r>
      <w:r w:rsidRPr="00BE6D7A">
        <w:rPr>
          <w:rFonts w:eastAsia="Times New Roman"/>
          <w:lang w:val="en-GB"/>
        </w:rPr>
        <w:t xml:space="preserve"> (Accessed: May 4, 2023).</w:t>
      </w:r>
    </w:p>
    <w:p w14:paraId="50CF6521" w14:textId="77777777" w:rsidR="00BE6D7A" w:rsidRPr="00BE6D7A" w:rsidRDefault="00BE6D7A" w:rsidP="00594F8A">
      <w:pPr>
        <w:rPr>
          <w:rFonts w:eastAsia="Times New Roman"/>
          <w:highlight w:val="white"/>
          <w:lang w:val="en-GB"/>
        </w:rPr>
      </w:pPr>
      <w:proofErr w:type="spellStart"/>
      <w:r w:rsidRPr="00BE6D7A">
        <w:rPr>
          <w:rFonts w:eastAsia="Times New Roman"/>
          <w:highlight w:val="white"/>
          <w:lang w:val="en-GB"/>
        </w:rPr>
        <w:t>Gearty</w:t>
      </w:r>
      <w:proofErr w:type="spellEnd"/>
      <w:r w:rsidRPr="00BE6D7A">
        <w:rPr>
          <w:rFonts w:eastAsia="Times New Roman"/>
          <w:highlight w:val="white"/>
          <w:lang w:val="en-GB"/>
        </w:rPr>
        <w:t xml:space="preserve">, C., 2021. British torture, then and now: The role of the judges. </w:t>
      </w:r>
      <w:r w:rsidRPr="00BE6D7A">
        <w:rPr>
          <w:rFonts w:eastAsia="Times New Roman"/>
          <w:i/>
          <w:lang w:val="en-GB"/>
        </w:rPr>
        <w:t>The Modern Law Review</w:t>
      </w:r>
      <w:r w:rsidRPr="00BE6D7A">
        <w:rPr>
          <w:rFonts w:eastAsia="Times New Roman"/>
          <w:lang w:val="en-GB"/>
        </w:rPr>
        <w:t xml:space="preserve">, </w:t>
      </w:r>
      <w:r w:rsidRPr="00BE6D7A">
        <w:rPr>
          <w:rFonts w:eastAsia="Times New Roman"/>
          <w:i/>
          <w:lang w:val="en-GB"/>
        </w:rPr>
        <w:t>84</w:t>
      </w:r>
      <w:r w:rsidRPr="00BE6D7A">
        <w:rPr>
          <w:rFonts w:eastAsia="Times New Roman"/>
          <w:lang w:val="en-GB"/>
        </w:rPr>
        <w:t>(1), pp.118-154. Available at:</w:t>
      </w:r>
      <w:hyperlink r:id="rId40">
        <w:r w:rsidRPr="00BE6D7A">
          <w:rPr>
            <w:rFonts w:eastAsia="Times New Roman"/>
            <w:highlight w:val="white"/>
            <w:lang w:val="en-GB"/>
          </w:rPr>
          <w:t xml:space="preserve"> </w:t>
        </w:r>
      </w:hyperlink>
      <w:hyperlink r:id="rId41">
        <w:r w:rsidRPr="00BE6D7A">
          <w:rPr>
            <w:rFonts w:eastAsia="Times New Roman"/>
            <w:color w:val="1155CC"/>
            <w:highlight w:val="white"/>
            <w:u w:val="single"/>
            <w:lang w:val="en-GB"/>
          </w:rPr>
          <w:t>https://doi.org/10.1111/1468-2230.12578</w:t>
        </w:r>
      </w:hyperlink>
      <w:r w:rsidRPr="00BE6D7A">
        <w:rPr>
          <w:rFonts w:eastAsia="Times New Roman"/>
          <w:highlight w:val="white"/>
          <w:lang w:val="en-GB"/>
        </w:rPr>
        <w:t xml:space="preserve"> (Accessed 11 July 2023).</w:t>
      </w:r>
    </w:p>
    <w:p w14:paraId="3F677855" w14:textId="77777777" w:rsidR="00BE6D7A" w:rsidRPr="00BE6D7A" w:rsidRDefault="00BE6D7A" w:rsidP="00594F8A">
      <w:pPr>
        <w:rPr>
          <w:rFonts w:eastAsia="Times New Roman"/>
          <w:lang w:val="en-GB"/>
        </w:rPr>
      </w:pPr>
      <w:r w:rsidRPr="00BE6D7A">
        <w:rPr>
          <w:rFonts w:eastAsia="Times New Roman"/>
          <w:i/>
          <w:lang w:val="en-GB"/>
        </w:rPr>
        <w:t xml:space="preserve">Half of Magistrates Courts in England and Wales have closed since 2010 </w:t>
      </w:r>
      <w:r w:rsidRPr="00BE6D7A">
        <w:rPr>
          <w:rFonts w:eastAsia="Times New Roman"/>
          <w:lang w:val="en-GB"/>
        </w:rPr>
        <w:t xml:space="preserve">(2019) </w:t>
      </w:r>
      <w:r w:rsidRPr="00BE6D7A">
        <w:rPr>
          <w:rFonts w:eastAsia="Times New Roman"/>
          <w:i/>
          <w:lang w:val="en-GB"/>
        </w:rPr>
        <w:t xml:space="preserve">The Guardian. </w:t>
      </w:r>
      <w:r w:rsidRPr="00BE6D7A">
        <w:rPr>
          <w:rFonts w:eastAsia="Times New Roman"/>
          <w:lang w:val="en-GB"/>
        </w:rPr>
        <w:t>Guardian News and Media. Available at:</w:t>
      </w:r>
      <w:r w:rsidRPr="00BE6D7A">
        <w:rPr>
          <w:rFonts w:eastAsia="Times New Roman"/>
          <w:color w:val="1748C0"/>
          <w:u w:val="single"/>
          <w:lang w:val="en-GB"/>
        </w:rPr>
        <w:t xml:space="preserve"> hops://www.theguardian.comilaw/2019/jan/27/half­of-magistrates-courts-in-england-and-wales-closed-since-tories-elected</w:t>
      </w:r>
      <w:r w:rsidRPr="00BE6D7A">
        <w:rPr>
          <w:rFonts w:eastAsia="Times New Roman"/>
          <w:lang w:val="en-GB"/>
        </w:rPr>
        <w:t xml:space="preserve"> (Accessed: May 4, 2023).</w:t>
      </w:r>
    </w:p>
    <w:p w14:paraId="7F802A72" w14:textId="77777777" w:rsidR="00BE6D7A" w:rsidRPr="00BE6D7A" w:rsidRDefault="00BE6D7A" w:rsidP="00594F8A">
      <w:pPr>
        <w:rPr>
          <w:rFonts w:eastAsia="Times New Roman"/>
          <w:highlight w:val="white"/>
          <w:lang w:val="en-GB"/>
        </w:rPr>
      </w:pPr>
      <w:r w:rsidRPr="00BE6D7A">
        <w:rPr>
          <w:rFonts w:eastAsia="Times New Roman"/>
          <w:highlight w:val="white"/>
          <w:lang w:val="en-GB"/>
        </w:rPr>
        <w:t xml:space="preserve">Howard, H., 2021. Effective Participation of Mentally Vulnerable Defendants in the Magistrates' Courts in England and Wales—The 'Front Line from a Legal Perspective. </w:t>
      </w:r>
      <w:r w:rsidRPr="00BE6D7A">
        <w:rPr>
          <w:rFonts w:eastAsia="Times New Roman"/>
          <w:i/>
          <w:lang w:val="en-GB"/>
        </w:rPr>
        <w:t>The Journal of Criminal Law</w:t>
      </w:r>
      <w:r w:rsidRPr="00BE6D7A">
        <w:rPr>
          <w:rFonts w:eastAsia="Times New Roman"/>
          <w:lang w:val="en-GB"/>
        </w:rPr>
        <w:t xml:space="preserve">, </w:t>
      </w:r>
      <w:r w:rsidRPr="00BE6D7A">
        <w:rPr>
          <w:rFonts w:eastAsia="Times New Roman"/>
          <w:i/>
          <w:lang w:val="en-GB"/>
        </w:rPr>
        <w:t>85</w:t>
      </w:r>
      <w:r w:rsidRPr="00BE6D7A">
        <w:rPr>
          <w:rFonts w:eastAsia="Times New Roman"/>
          <w:lang w:val="en-GB"/>
        </w:rPr>
        <w:t>(1), pp.3-16. Available at:</w:t>
      </w:r>
      <w:hyperlink r:id="rId42">
        <w:r w:rsidRPr="00BE6D7A">
          <w:rPr>
            <w:rFonts w:eastAsia="Times New Roman"/>
            <w:highlight w:val="white"/>
            <w:lang w:val="en-GB"/>
          </w:rPr>
          <w:t xml:space="preserve"> </w:t>
        </w:r>
      </w:hyperlink>
      <w:hyperlink r:id="rId43">
        <w:r w:rsidRPr="00BE6D7A">
          <w:rPr>
            <w:rFonts w:eastAsia="Times New Roman"/>
            <w:color w:val="1155CC"/>
            <w:highlight w:val="white"/>
            <w:u w:val="single"/>
            <w:lang w:val="en-GB"/>
          </w:rPr>
          <w:t>https://doi.org/10.1177/0022018320957110</w:t>
        </w:r>
      </w:hyperlink>
      <w:r w:rsidRPr="00BE6D7A">
        <w:rPr>
          <w:rFonts w:eastAsia="Times New Roman"/>
          <w:highlight w:val="white"/>
          <w:lang w:val="en-GB"/>
        </w:rPr>
        <w:t xml:space="preserve"> (Accessed 11 July 2023).</w:t>
      </w:r>
    </w:p>
    <w:p w14:paraId="72E941E2" w14:textId="77777777" w:rsidR="00BE6D7A" w:rsidRPr="00BE6D7A" w:rsidRDefault="00BE6D7A" w:rsidP="00594F8A">
      <w:pPr>
        <w:rPr>
          <w:rFonts w:eastAsia="Times New Roman"/>
          <w:lang w:val="en-GB"/>
        </w:rPr>
      </w:pPr>
      <w:r w:rsidRPr="00BE6D7A">
        <w:rPr>
          <w:rFonts w:eastAsia="Times New Roman"/>
          <w:lang w:val="en-GB"/>
        </w:rPr>
        <w:t xml:space="preserve">Liu, J.Z. and Li, X., 2019. Legal techniques for rationalising biased judicial decisions: Evidence from experiments with real judges. </w:t>
      </w:r>
      <w:r w:rsidRPr="00BE6D7A">
        <w:rPr>
          <w:rFonts w:eastAsia="Times New Roman"/>
          <w:i/>
          <w:lang w:val="en-GB"/>
        </w:rPr>
        <w:t xml:space="preserve">Journal of Empirical Legal Studies, 16(3), </w:t>
      </w:r>
      <w:r w:rsidRPr="00BE6D7A">
        <w:rPr>
          <w:rFonts w:eastAsia="Times New Roman"/>
          <w:lang w:val="en-GB"/>
        </w:rPr>
        <w:t>pp.630-670.                                               Available at:</w:t>
      </w:r>
      <w:hyperlink r:id="rId44">
        <w:r w:rsidRPr="00BE6D7A">
          <w:rPr>
            <w:rFonts w:eastAsia="Times New Roman"/>
            <w:lang w:val="en-GB"/>
          </w:rPr>
          <w:t xml:space="preserve"> </w:t>
        </w:r>
      </w:hyperlink>
      <w:hyperlink r:id="rId45">
        <w:r w:rsidRPr="00BE6D7A">
          <w:rPr>
            <w:rFonts w:eastAsia="Times New Roman"/>
            <w:color w:val="0000FF"/>
            <w:u w:val="single"/>
            <w:lang w:val="en-GB"/>
          </w:rPr>
          <w:t>https://onlinelibrary.wiley.comfdoi/abs/10.1111/jels.12229</w:t>
        </w:r>
      </w:hyperlink>
      <w:r w:rsidRPr="00BE6D7A">
        <w:rPr>
          <w:rFonts w:eastAsia="Times New Roman"/>
          <w:lang w:val="en-GB"/>
        </w:rPr>
        <w:t xml:space="preserve"> (Accessed: May 4, 2023).</w:t>
      </w:r>
    </w:p>
    <w:p w14:paraId="79917FA6" w14:textId="77777777" w:rsidR="00BE6D7A" w:rsidRPr="00BE6D7A" w:rsidRDefault="00BE6D7A" w:rsidP="00594F8A">
      <w:pPr>
        <w:rPr>
          <w:rFonts w:eastAsia="Times New Roman"/>
          <w:lang w:val="en-GB"/>
        </w:rPr>
      </w:pPr>
      <w:r w:rsidRPr="00BE6D7A">
        <w:rPr>
          <w:rFonts w:eastAsia="Times New Roman"/>
          <w:i/>
          <w:lang w:val="en-GB"/>
        </w:rPr>
        <w:lastRenderedPageBreak/>
        <w:t xml:space="preserve">Magistrates     </w:t>
      </w:r>
      <w:r w:rsidRPr="00BE6D7A">
        <w:rPr>
          <w:rFonts w:eastAsia="Times New Roman"/>
          <w:i/>
          <w:lang w:val="en-GB"/>
        </w:rPr>
        <w:tab/>
      </w:r>
      <w:r w:rsidRPr="00BE6D7A">
        <w:rPr>
          <w:rFonts w:eastAsia="Times New Roman"/>
          <w:lang w:val="en-GB"/>
        </w:rPr>
        <w:t xml:space="preserve">(2022)    </w:t>
      </w:r>
      <w:r w:rsidRPr="00BE6D7A">
        <w:rPr>
          <w:rFonts w:eastAsia="Times New Roman"/>
          <w:lang w:val="en-GB"/>
        </w:rPr>
        <w:tab/>
      </w:r>
      <w:r w:rsidRPr="00BE6D7A">
        <w:rPr>
          <w:rFonts w:eastAsia="Times New Roman"/>
          <w:i/>
          <w:lang w:val="en-GB"/>
        </w:rPr>
        <w:t xml:space="preserve">Courts </w:t>
      </w:r>
      <w:proofErr w:type="gramStart"/>
      <w:r w:rsidRPr="00BE6D7A">
        <w:rPr>
          <w:rFonts w:eastAsia="Times New Roman"/>
          <w:i/>
          <w:lang w:val="en-GB"/>
        </w:rPr>
        <w:t xml:space="preserve">and  </w:t>
      </w:r>
      <w:r w:rsidRPr="00BE6D7A">
        <w:rPr>
          <w:rFonts w:eastAsia="Times New Roman"/>
          <w:i/>
          <w:lang w:val="en-GB"/>
        </w:rPr>
        <w:tab/>
      </w:r>
      <w:proofErr w:type="gramEnd"/>
      <w:r w:rsidRPr="00BE6D7A">
        <w:rPr>
          <w:rFonts w:eastAsia="Times New Roman"/>
          <w:i/>
          <w:lang w:val="en-GB"/>
        </w:rPr>
        <w:t xml:space="preserve">Tribunals            </w:t>
      </w:r>
      <w:r w:rsidRPr="00BE6D7A">
        <w:rPr>
          <w:rFonts w:eastAsia="Times New Roman"/>
          <w:i/>
          <w:lang w:val="en-GB"/>
        </w:rPr>
        <w:tab/>
        <w:t xml:space="preserve">Judiciary.           Available </w:t>
      </w:r>
      <w:r w:rsidRPr="00BE6D7A">
        <w:rPr>
          <w:rFonts w:eastAsia="Times New Roman"/>
          <w:lang w:val="en-GB"/>
        </w:rPr>
        <w:t>at:</w:t>
      </w:r>
      <w:hyperlink r:id="rId46">
        <w:r w:rsidRPr="00BE6D7A">
          <w:rPr>
            <w:rFonts w:eastAsia="Times New Roman"/>
            <w:lang w:val="en-GB"/>
          </w:rPr>
          <w:t xml:space="preserve"> </w:t>
        </w:r>
      </w:hyperlink>
      <w:hyperlink r:id="rId47">
        <w:r w:rsidRPr="00BE6D7A">
          <w:rPr>
            <w:rFonts w:eastAsia="Times New Roman"/>
            <w:color w:val="0000FF"/>
            <w:u w:val="single"/>
            <w:lang w:val="en-GB"/>
          </w:rPr>
          <w:t>https://www.judiciary.ukiabout-the-udiciary/who-are-the-judiciarvimagistratesi</w:t>
        </w:r>
      </w:hyperlink>
      <w:r w:rsidRPr="00BE6D7A">
        <w:rPr>
          <w:rFonts w:eastAsia="Times New Roman"/>
          <w:lang w:val="en-GB"/>
        </w:rPr>
        <w:t xml:space="preserve"> (Accessed: May 4, 2023).</w:t>
      </w:r>
    </w:p>
    <w:p w14:paraId="5DDAE995" w14:textId="77777777" w:rsidR="00BE6D7A" w:rsidRPr="00BE6D7A" w:rsidRDefault="00BE6D7A" w:rsidP="00594F8A">
      <w:pPr>
        <w:rPr>
          <w:rFonts w:eastAsia="Times New Roman"/>
          <w:highlight w:val="white"/>
          <w:lang w:val="en-GB"/>
        </w:rPr>
      </w:pPr>
      <w:r w:rsidRPr="00BE6D7A">
        <w:rPr>
          <w:rFonts w:eastAsia="Times New Roman"/>
          <w:highlight w:val="white"/>
          <w:lang w:val="en-GB"/>
        </w:rPr>
        <w:t xml:space="preserve">Robinson, G., 2019. Delivering </w:t>
      </w:r>
      <w:proofErr w:type="spellStart"/>
      <w:r w:rsidRPr="00BE6D7A">
        <w:rPr>
          <w:rFonts w:eastAsia="Times New Roman"/>
          <w:highlight w:val="white"/>
          <w:lang w:val="en-GB"/>
        </w:rPr>
        <w:t>McJustice</w:t>
      </w:r>
      <w:proofErr w:type="spellEnd"/>
      <w:r w:rsidRPr="00BE6D7A">
        <w:rPr>
          <w:rFonts w:eastAsia="Times New Roman"/>
          <w:highlight w:val="white"/>
          <w:lang w:val="en-GB"/>
        </w:rPr>
        <w:t xml:space="preserve">? The probation factory at the Magistrates’ court. </w:t>
      </w:r>
      <w:r w:rsidRPr="00BE6D7A">
        <w:rPr>
          <w:rFonts w:eastAsia="Times New Roman"/>
          <w:i/>
          <w:lang w:val="en-GB"/>
        </w:rPr>
        <w:t>Criminology &amp; Criminal Justice</w:t>
      </w:r>
      <w:r w:rsidRPr="00BE6D7A">
        <w:rPr>
          <w:rFonts w:eastAsia="Times New Roman"/>
          <w:lang w:val="en-GB"/>
        </w:rPr>
        <w:t xml:space="preserve">, </w:t>
      </w:r>
      <w:r w:rsidRPr="00BE6D7A">
        <w:rPr>
          <w:rFonts w:eastAsia="Times New Roman"/>
          <w:i/>
          <w:lang w:val="en-GB"/>
        </w:rPr>
        <w:t>19</w:t>
      </w:r>
      <w:r w:rsidRPr="00BE6D7A">
        <w:rPr>
          <w:rFonts w:eastAsia="Times New Roman"/>
          <w:lang w:val="en-GB"/>
        </w:rPr>
        <w:t>(5), pp.605-621. Available at:</w:t>
      </w:r>
      <w:hyperlink r:id="rId48">
        <w:r w:rsidRPr="00BE6D7A">
          <w:rPr>
            <w:rFonts w:eastAsia="Times New Roman"/>
            <w:highlight w:val="white"/>
            <w:lang w:val="en-GB"/>
          </w:rPr>
          <w:t xml:space="preserve"> </w:t>
        </w:r>
      </w:hyperlink>
      <w:hyperlink r:id="rId49">
        <w:r w:rsidRPr="00BE6D7A">
          <w:rPr>
            <w:rFonts w:eastAsia="Times New Roman"/>
            <w:color w:val="1155CC"/>
            <w:highlight w:val="white"/>
            <w:u w:val="single"/>
            <w:lang w:val="en-GB"/>
          </w:rPr>
          <w:t>https://doi.org/10.1177/1748895818786997</w:t>
        </w:r>
      </w:hyperlink>
      <w:r w:rsidRPr="00BE6D7A">
        <w:rPr>
          <w:rFonts w:eastAsia="Times New Roman"/>
          <w:highlight w:val="white"/>
          <w:lang w:val="en-GB"/>
        </w:rPr>
        <w:t xml:space="preserve"> (Accessed 11 July 2023).</w:t>
      </w:r>
    </w:p>
    <w:p w14:paraId="323FD0B9" w14:textId="77777777" w:rsidR="00BE6D7A" w:rsidRPr="00BE6D7A" w:rsidRDefault="00BE6D7A" w:rsidP="00594F8A">
      <w:pPr>
        <w:rPr>
          <w:rFonts w:eastAsia="Times New Roman"/>
          <w:color w:val="1D0002"/>
          <w:lang w:val="en-GB"/>
        </w:rPr>
      </w:pPr>
      <w:proofErr w:type="spellStart"/>
      <w:r w:rsidRPr="00BE6D7A">
        <w:rPr>
          <w:rFonts w:eastAsia="Times New Roman"/>
          <w:lang w:val="en-GB"/>
        </w:rPr>
        <w:t>Spafe</w:t>
      </w:r>
      <w:proofErr w:type="spellEnd"/>
      <w:r w:rsidRPr="00BE6D7A">
        <w:rPr>
          <w:rFonts w:eastAsia="Times New Roman"/>
          <w:lang w:val="en-GB"/>
        </w:rPr>
        <w:t xml:space="preserve">, S., 2018. Recruiting European judges in the age of judicial self-government. </w:t>
      </w:r>
      <w:r w:rsidRPr="00BE6D7A">
        <w:rPr>
          <w:rFonts w:eastAsia="Times New Roman"/>
          <w:i/>
          <w:lang w:val="en-GB"/>
        </w:rPr>
        <w:t xml:space="preserve">German Law    </w:t>
      </w:r>
      <w:proofErr w:type="gramStart"/>
      <w:r w:rsidRPr="00BE6D7A">
        <w:rPr>
          <w:rFonts w:eastAsia="Times New Roman"/>
          <w:i/>
          <w:lang w:val="en-GB"/>
        </w:rPr>
        <w:t>Journal,  19</w:t>
      </w:r>
      <w:proofErr w:type="gramEnd"/>
      <w:r w:rsidRPr="00BE6D7A">
        <w:rPr>
          <w:rFonts w:eastAsia="Times New Roman"/>
          <w:i/>
          <w:lang w:val="en-GB"/>
        </w:rPr>
        <w:t xml:space="preserve">(7),  </w:t>
      </w:r>
      <w:r w:rsidRPr="00BE6D7A">
        <w:rPr>
          <w:rFonts w:eastAsia="Times New Roman"/>
          <w:i/>
          <w:lang w:val="en-GB"/>
        </w:rPr>
        <w:tab/>
      </w:r>
      <w:r w:rsidRPr="00BE6D7A">
        <w:rPr>
          <w:rFonts w:eastAsia="Times New Roman"/>
          <w:lang w:val="en-GB"/>
        </w:rPr>
        <w:t xml:space="preserve">pp.2077-2104.         </w:t>
      </w:r>
      <w:r w:rsidRPr="00BE6D7A">
        <w:rPr>
          <w:rFonts w:eastAsia="Times New Roman"/>
          <w:lang w:val="en-GB"/>
        </w:rPr>
        <w:tab/>
        <w:t xml:space="preserve">Available at: </w:t>
      </w:r>
      <w:r w:rsidRPr="00BE6D7A">
        <w:rPr>
          <w:rFonts w:eastAsia="Times New Roman"/>
          <w:color w:val="3A5CD4"/>
          <w:u w:val="single"/>
          <w:lang w:val="en-GB"/>
        </w:rPr>
        <w:t>judges-in-the-age-of-judicial-self-government</w:t>
      </w:r>
      <w:r w:rsidRPr="00BE6D7A">
        <w:rPr>
          <w:rFonts w:eastAsia="Times New Roman"/>
          <w:color w:val="1E4CD1"/>
          <w:u w:val="single"/>
          <w:lang w:val="en-GB"/>
        </w:rPr>
        <w:t xml:space="preserve"> </w:t>
      </w:r>
      <w:proofErr w:type="spellStart"/>
      <w:r w:rsidRPr="00BE6D7A">
        <w:rPr>
          <w:rFonts w:eastAsia="Times New Roman"/>
          <w:color w:val="1E4CD1"/>
          <w:u w:val="single"/>
          <w:lang w:val="en-GB"/>
        </w:rPr>
        <w:t>nt</w:t>
      </w:r>
      <w:proofErr w:type="spellEnd"/>
      <w:r w:rsidRPr="00BE6D7A">
        <w:rPr>
          <w:rFonts w:eastAsia="Times New Roman"/>
          <w:color w:val="1E4CD1"/>
          <w:u w:val="single"/>
          <w:lang w:val="en-GB"/>
        </w:rPr>
        <w:t>/4AC9577979</w:t>
      </w:r>
      <w:r w:rsidRPr="00BE6D7A">
        <w:rPr>
          <w:rFonts w:eastAsia="Times New Roman"/>
          <w:color w:val="3A5CD4"/>
          <w:u w:val="single"/>
          <w:lang w:val="en-GB"/>
        </w:rPr>
        <w:t xml:space="preserve"> DDB84 I</w:t>
      </w:r>
      <w:r w:rsidRPr="00BE6D7A">
        <w:rPr>
          <w:rFonts w:eastAsia="Times New Roman"/>
          <w:color w:val="1E4CD1"/>
          <w:u w:val="single"/>
          <w:lang w:val="en-GB"/>
        </w:rPr>
        <w:t xml:space="preserve"> D1FCB3B</w:t>
      </w:r>
      <w:proofErr w:type="gramStart"/>
      <w:r w:rsidRPr="00BE6D7A">
        <w:rPr>
          <w:rFonts w:eastAsia="Times New Roman"/>
          <w:color w:val="1E4CD1"/>
          <w:u w:val="single"/>
          <w:lang w:val="en-GB"/>
        </w:rPr>
        <w:t>029408869</w:t>
      </w:r>
      <w:r w:rsidRPr="00BE6D7A">
        <w:rPr>
          <w:rFonts w:eastAsia="Times New Roman"/>
          <w:color w:val="1D0002"/>
          <w:u w:val="single"/>
          <w:lang w:val="en-GB"/>
        </w:rPr>
        <w:t xml:space="preserve">  </w:t>
      </w:r>
      <w:r w:rsidRPr="00BE6D7A">
        <w:rPr>
          <w:rFonts w:eastAsia="Times New Roman"/>
          <w:color w:val="1D0002"/>
          <w:lang w:val="en-GB"/>
        </w:rPr>
        <w:t>(</w:t>
      </w:r>
      <w:proofErr w:type="gramEnd"/>
      <w:r w:rsidRPr="00BE6D7A">
        <w:rPr>
          <w:rFonts w:eastAsia="Times New Roman"/>
          <w:color w:val="1D0002"/>
          <w:lang w:val="en-GB"/>
        </w:rPr>
        <w:t>Accessed: May 4, 2023).</w:t>
      </w:r>
    </w:p>
    <w:p w14:paraId="553709A5" w14:textId="77777777" w:rsidR="00BE6D7A" w:rsidRPr="00BE6D7A" w:rsidRDefault="00BE6D7A" w:rsidP="00594F8A">
      <w:pPr>
        <w:rPr>
          <w:rFonts w:eastAsia="Times New Roman"/>
          <w:color w:val="1D0002"/>
          <w:lang w:val="en-GB"/>
        </w:rPr>
      </w:pPr>
      <w:r w:rsidRPr="00BE6D7A">
        <w:rPr>
          <w:rFonts w:eastAsia="Times New Roman"/>
          <w:i/>
          <w:color w:val="1D0002"/>
          <w:lang w:val="en-GB"/>
        </w:rPr>
        <w:t xml:space="preserve">The secret magistrate on how budget cuts and court closures are affecting the morale of the magistracy </w:t>
      </w:r>
      <w:r w:rsidRPr="00BE6D7A">
        <w:rPr>
          <w:rFonts w:eastAsia="Times New Roman"/>
          <w:color w:val="1D0002"/>
          <w:lang w:val="en-GB"/>
        </w:rPr>
        <w:t xml:space="preserve">(2021) </w:t>
      </w:r>
      <w:r w:rsidRPr="00BE6D7A">
        <w:rPr>
          <w:rFonts w:eastAsia="Times New Roman"/>
          <w:i/>
          <w:color w:val="1D0002"/>
          <w:lang w:val="en-GB"/>
        </w:rPr>
        <w:t xml:space="preserve">ICI R. </w:t>
      </w:r>
      <w:r w:rsidRPr="00BE6D7A">
        <w:rPr>
          <w:rFonts w:eastAsia="Times New Roman"/>
          <w:color w:val="1D0002"/>
          <w:lang w:val="en-GB"/>
        </w:rPr>
        <w:t>Available at</w:t>
      </w:r>
      <w:r w:rsidRPr="00BE6D7A">
        <w:rPr>
          <w:rFonts w:eastAsia="Times New Roman"/>
          <w:color w:val="3A5CD4"/>
          <w:u w:val="single"/>
          <w:lang w:val="en-GB"/>
        </w:rPr>
        <w:t xml:space="preserve"> haps://www.iclr.co.ukiblogkommentaryithe-secret-</w:t>
      </w:r>
      <w:r w:rsidRPr="00BE6D7A">
        <w:rPr>
          <w:rFonts w:eastAsia="Times New Roman"/>
          <w:color w:val="1E4CD1"/>
          <w:u w:val="single"/>
          <w:lang w:val="en-GB"/>
        </w:rPr>
        <w:t>magistrate-on-how-budget-cuts-and-court-closures-are-affecting-the-morale-of-the-</w:t>
      </w:r>
      <w:r w:rsidRPr="00BE6D7A">
        <w:rPr>
          <w:rFonts w:eastAsia="Times New Roman"/>
          <w:color w:val="3A5CD4"/>
          <w:u w:val="single"/>
          <w:lang w:val="en-GB"/>
        </w:rPr>
        <w:t>magistracy/</w:t>
      </w:r>
      <w:r w:rsidRPr="00BE6D7A">
        <w:rPr>
          <w:rFonts w:eastAsia="Times New Roman"/>
          <w:color w:val="1D0002"/>
          <w:lang w:val="en-GB"/>
        </w:rPr>
        <w:t xml:space="preserve"> (Accessed: May 4, 2023).</w:t>
      </w:r>
    </w:p>
    <w:p w14:paraId="3B79E0E0" w14:textId="77777777" w:rsidR="00BE6D7A" w:rsidRPr="00BE6D7A" w:rsidRDefault="00BE6D7A" w:rsidP="00594F8A">
      <w:pPr>
        <w:rPr>
          <w:rFonts w:eastAsia="Times New Roman"/>
          <w:color w:val="1D0002"/>
          <w:lang w:val="en-GB"/>
        </w:rPr>
      </w:pPr>
      <w:r w:rsidRPr="00BE6D7A">
        <w:rPr>
          <w:rFonts w:eastAsia="Times New Roman"/>
          <w:color w:val="1D0002"/>
          <w:lang w:val="en-GB"/>
        </w:rPr>
        <w:t xml:space="preserve">Vogel, C., 2020. Quintus Cicero and Roman rule. Networks between centre and periphery. </w:t>
      </w:r>
      <w:r w:rsidRPr="00BE6D7A">
        <w:rPr>
          <w:rFonts w:eastAsia="Times New Roman"/>
          <w:i/>
          <w:color w:val="1D0002"/>
          <w:lang w:val="en-GB"/>
        </w:rPr>
        <w:t xml:space="preserve">Journal of Historical Network Research, </w:t>
      </w:r>
      <w:r w:rsidRPr="00BE6D7A">
        <w:rPr>
          <w:rFonts w:eastAsia="Times New Roman"/>
          <w:color w:val="1D0002"/>
          <w:lang w:val="en-GB"/>
        </w:rPr>
        <w:t>4, pp.57-89. Available at:</w:t>
      </w:r>
      <w:hyperlink r:id="rId50">
        <w:r w:rsidRPr="00BE6D7A">
          <w:rPr>
            <w:rFonts w:eastAsia="Times New Roman"/>
            <w:color w:val="1D0002"/>
            <w:lang w:val="en-GB"/>
          </w:rPr>
          <w:t xml:space="preserve"> </w:t>
        </w:r>
      </w:hyperlink>
      <w:hyperlink r:id="rId51">
        <w:r w:rsidRPr="00BE6D7A">
          <w:rPr>
            <w:rFonts w:eastAsia="Times New Roman"/>
            <w:color w:val="0000FF"/>
            <w:u w:val="single"/>
            <w:lang w:val="en-GB"/>
          </w:rPr>
          <w:t>https://jhnr.uni.luiindex.phpijhrularticleiview/74</w:t>
        </w:r>
      </w:hyperlink>
      <w:r w:rsidRPr="00BE6D7A">
        <w:rPr>
          <w:rFonts w:eastAsia="Times New Roman"/>
          <w:color w:val="1D0002"/>
          <w:lang w:val="en-GB"/>
        </w:rPr>
        <w:t xml:space="preserve"> (Accessed: May 4, 2023).</w:t>
      </w:r>
    </w:p>
    <w:p w14:paraId="4DB4B45C" w14:textId="77777777" w:rsidR="00BE6D7A" w:rsidRPr="00BE6D7A" w:rsidRDefault="00BE6D7A" w:rsidP="00594F8A">
      <w:pPr>
        <w:rPr>
          <w:rFonts w:eastAsia="Times New Roman"/>
          <w:highlight w:val="white"/>
          <w:lang w:val="en-GB"/>
        </w:rPr>
      </w:pPr>
      <w:proofErr w:type="spellStart"/>
      <w:r w:rsidRPr="00BE6D7A">
        <w:rPr>
          <w:rFonts w:eastAsia="Times New Roman"/>
          <w:highlight w:val="white"/>
          <w:lang w:val="en-GB"/>
        </w:rPr>
        <w:t>Zalnieriute</w:t>
      </w:r>
      <w:proofErr w:type="spellEnd"/>
      <w:r w:rsidRPr="00BE6D7A">
        <w:rPr>
          <w:rFonts w:eastAsia="Times New Roman"/>
          <w:highlight w:val="white"/>
          <w:lang w:val="en-GB"/>
        </w:rPr>
        <w:t xml:space="preserve">, M. and Bell, F., 2020. Technology and the judicial role. </w:t>
      </w:r>
      <w:r w:rsidRPr="00BE6D7A">
        <w:rPr>
          <w:rFonts w:eastAsia="Times New Roman"/>
          <w:i/>
          <w:lang w:val="en-GB"/>
        </w:rPr>
        <w:t>The Judge, the Judiciary and the Court: Individual, Collegial and Institutional Judicial Dynamics in Australia (Cambridge University Press, 2021)</w:t>
      </w:r>
      <w:r w:rsidRPr="00BE6D7A">
        <w:rPr>
          <w:rFonts w:eastAsia="Times New Roman"/>
          <w:lang w:val="en-GB"/>
        </w:rPr>
        <w:t xml:space="preserve">. </w:t>
      </w:r>
      <w:r w:rsidRPr="00BE6D7A">
        <w:rPr>
          <w:rFonts w:eastAsia="Times New Roman"/>
          <w:highlight w:val="white"/>
          <w:lang w:val="en-GB"/>
        </w:rPr>
        <w:t>Available at:</w:t>
      </w:r>
      <w:hyperlink r:id="rId52">
        <w:r w:rsidRPr="00BE6D7A">
          <w:rPr>
            <w:rFonts w:eastAsia="Times New Roman"/>
            <w:highlight w:val="white"/>
            <w:lang w:val="en-GB"/>
          </w:rPr>
          <w:t xml:space="preserve"> </w:t>
        </w:r>
      </w:hyperlink>
      <w:hyperlink r:id="rId53">
        <w:r w:rsidRPr="00BE6D7A">
          <w:rPr>
            <w:rFonts w:eastAsia="Times New Roman"/>
            <w:color w:val="1155CC"/>
            <w:highlight w:val="white"/>
            <w:u w:val="single"/>
            <w:lang w:val="en-GB"/>
          </w:rPr>
          <w:t>https://dx.doi.org/10.2139/ssrn.3492868</w:t>
        </w:r>
      </w:hyperlink>
      <w:r w:rsidRPr="00BE6D7A">
        <w:rPr>
          <w:rFonts w:eastAsia="Times New Roman"/>
          <w:highlight w:val="white"/>
          <w:lang w:val="en-GB"/>
        </w:rPr>
        <w:t xml:space="preserve"> (Accessed 11 July 2023).</w:t>
      </w:r>
    </w:p>
    <w:p w14:paraId="28781619" w14:textId="77777777" w:rsidR="00A62D90" w:rsidRPr="00BE6D7A" w:rsidRDefault="00A62D90">
      <w:pPr>
        <w:pStyle w:val="Normal1"/>
        <w:spacing w:before="100" w:after="360" w:line="360" w:lineRule="auto"/>
        <w:jc w:val="both"/>
        <w:rPr>
          <w:rFonts w:ascii="Times New Roman" w:eastAsia="Times New Roman" w:hAnsi="Times New Roman" w:cs="Times New Roman"/>
          <w:sz w:val="19"/>
          <w:szCs w:val="19"/>
          <w:lang w:val="en-GB"/>
        </w:rPr>
      </w:pPr>
    </w:p>
    <w:p w14:paraId="21F48D68" w14:textId="77777777" w:rsidR="00A62D90" w:rsidRPr="00BE6D7A" w:rsidRDefault="00A62D90">
      <w:pPr>
        <w:pStyle w:val="Normal1"/>
        <w:spacing w:before="100" w:after="360" w:line="360" w:lineRule="auto"/>
        <w:jc w:val="both"/>
        <w:rPr>
          <w:rFonts w:ascii="Times New Roman" w:eastAsia="Times New Roman" w:hAnsi="Times New Roman" w:cs="Times New Roman"/>
          <w:sz w:val="19"/>
          <w:szCs w:val="19"/>
          <w:lang w:val="en-GB"/>
        </w:rPr>
      </w:pPr>
    </w:p>
    <w:p w14:paraId="3DE19DD5" w14:textId="77777777" w:rsidR="00A62D90" w:rsidRPr="00BE6D7A" w:rsidRDefault="00A62D90">
      <w:pPr>
        <w:pStyle w:val="Normal1"/>
        <w:spacing w:before="140" w:after="220" w:line="360" w:lineRule="auto"/>
        <w:jc w:val="both"/>
        <w:rPr>
          <w:rFonts w:ascii="Times New Roman" w:eastAsia="Times New Roman" w:hAnsi="Times New Roman" w:cs="Times New Roman"/>
          <w:sz w:val="19"/>
          <w:szCs w:val="19"/>
          <w:lang w:val="en-GB"/>
        </w:rPr>
      </w:pPr>
    </w:p>
    <w:p w14:paraId="1370C00F" w14:textId="77777777" w:rsidR="00A62D90" w:rsidRPr="00BE6D7A" w:rsidRDefault="00A62D90">
      <w:pPr>
        <w:pStyle w:val="Normal1"/>
        <w:spacing w:before="140" w:after="360" w:line="360" w:lineRule="auto"/>
        <w:jc w:val="both"/>
        <w:rPr>
          <w:rFonts w:ascii="Times New Roman" w:eastAsia="Times New Roman" w:hAnsi="Times New Roman" w:cs="Times New Roman"/>
          <w:sz w:val="19"/>
          <w:szCs w:val="19"/>
          <w:lang w:val="en-GB"/>
        </w:rPr>
      </w:pPr>
    </w:p>
    <w:p w14:paraId="6784C475" w14:textId="77777777" w:rsidR="00A62D90" w:rsidRPr="00BE6D7A" w:rsidRDefault="00A62D90">
      <w:pPr>
        <w:pStyle w:val="Normal1"/>
        <w:spacing w:line="360" w:lineRule="auto"/>
        <w:jc w:val="both"/>
        <w:rPr>
          <w:rFonts w:ascii="Times New Roman" w:eastAsia="Times New Roman" w:hAnsi="Times New Roman" w:cs="Times New Roman"/>
          <w:sz w:val="24"/>
          <w:szCs w:val="24"/>
          <w:lang w:val="en-GB"/>
        </w:rPr>
      </w:pPr>
    </w:p>
    <w:sectPr w:rsidR="00A62D90" w:rsidRPr="00BE6D7A" w:rsidSect="00A62D90">
      <w:footerReference w:type="default" r:id="rId5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F0867" w14:textId="77777777" w:rsidR="000131EF" w:rsidRDefault="000131EF">
      <w:pPr>
        <w:spacing w:after="0" w:line="240" w:lineRule="auto"/>
      </w:pPr>
      <w:r>
        <w:separator/>
      </w:r>
    </w:p>
  </w:endnote>
  <w:endnote w:type="continuationSeparator" w:id="0">
    <w:p w14:paraId="01123A4E" w14:textId="77777777" w:rsidR="000131EF" w:rsidRDefault="00013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9132039"/>
      <w:docPartObj>
        <w:docPartGallery w:val="Page Numbers (Bottom of Page)"/>
        <w:docPartUnique/>
      </w:docPartObj>
    </w:sdtPr>
    <w:sdtContent>
      <w:sdt>
        <w:sdtPr>
          <w:id w:val="565050523"/>
          <w:docPartObj>
            <w:docPartGallery w:val="Page Numbers (Top of Page)"/>
            <w:docPartUnique/>
          </w:docPartObj>
        </w:sdtPr>
        <w:sdtContent>
          <w:p w14:paraId="55994A8C" w14:textId="77777777" w:rsidR="00594F8A" w:rsidRDefault="0058020D">
            <w:pPr>
              <w:pStyle w:val="Footer"/>
              <w:jc w:val="right"/>
            </w:pPr>
            <w:r>
              <w:t xml:space="preserve">Page </w:t>
            </w:r>
            <w:r>
              <w:rPr>
                <w:b/>
                <w:szCs w:val="24"/>
              </w:rPr>
              <w:fldChar w:fldCharType="begin"/>
            </w:r>
            <w:r>
              <w:rPr>
                <w:b/>
              </w:rPr>
              <w:instrText xml:space="preserve"> PAGE </w:instrText>
            </w:r>
            <w:r>
              <w:rPr>
                <w:b/>
                <w:szCs w:val="24"/>
              </w:rPr>
              <w:fldChar w:fldCharType="separate"/>
            </w:r>
            <w:r w:rsidR="00BE6D7A">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E6D7A">
              <w:rPr>
                <w:b/>
                <w:noProof/>
              </w:rPr>
              <w:t>12</w:t>
            </w:r>
            <w:r>
              <w:rPr>
                <w:b/>
                <w:szCs w:val="24"/>
              </w:rPr>
              <w:fldChar w:fldCharType="end"/>
            </w:r>
          </w:p>
        </w:sdtContent>
      </w:sdt>
    </w:sdtContent>
  </w:sdt>
  <w:p w14:paraId="74CDB9C4" w14:textId="77777777" w:rsidR="00A62D90" w:rsidRDefault="00A62D90">
    <w:pPr>
      <w:pStyle w:val="Normal1"/>
      <w:jc w:val="right"/>
      <w:rPr>
        <w:rFonts w:ascii="Times New Roman" w:eastAsia="Times New Roman" w:hAnsi="Times New Roman" w:cs="Times New Roman"/>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4D317" w14:textId="77777777" w:rsidR="000131EF" w:rsidRDefault="000131EF">
      <w:pPr>
        <w:spacing w:after="0" w:line="240" w:lineRule="auto"/>
      </w:pPr>
      <w:r>
        <w:separator/>
      </w:r>
    </w:p>
  </w:footnote>
  <w:footnote w:type="continuationSeparator" w:id="0">
    <w:p w14:paraId="5B26F009" w14:textId="77777777" w:rsidR="000131EF" w:rsidRDefault="000131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D90"/>
    <w:rsid w:val="000131EF"/>
    <w:rsid w:val="0058020D"/>
    <w:rsid w:val="00594F8A"/>
    <w:rsid w:val="006168E2"/>
    <w:rsid w:val="00A62D90"/>
    <w:rsid w:val="00AE3B31"/>
    <w:rsid w:val="00BE6D7A"/>
    <w:rsid w:val="00EC07CE"/>
    <w:rsid w:val="00EC7731"/>
    <w:rsid w:val="00F71D05"/>
    <w:rsid w:val="00FD4F7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163DB"/>
  <w15:docId w15:val="{E72B916E-C347-4722-B277-672BE7EC4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F8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94F8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4F8A"/>
    <w:pPr>
      <w:keepNext/>
      <w:keepLines/>
      <w:spacing w:before="200" w:after="0"/>
      <w:outlineLvl w:val="1"/>
    </w:pPr>
    <w:rPr>
      <w:rFonts w:eastAsiaTheme="majorEastAsia" w:cstheme="majorBidi"/>
      <w:b/>
      <w:bCs/>
      <w:i/>
      <w:szCs w:val="26"/>
    </w:rPr>
  </w:style>
  <w:style w:type="paragraph" w:styleId="Heading3">
    <w:name w:val="heading 3"/>
    <w:basedOn w:val="Normal"/>
    <w:next w:val="Normal"/>
    <w:link w:val="Heading3Char"/>
    <w:uiPriority w:val="9"/>
    <w:unhideWhenUsed/>
    <w:qFormat/>
    <w:rsid w:val="00594F8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94F8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94F8A"/>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94F8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94F8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94F8A"/>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594F8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62D90"/>
  </w:style>
  <w:style w:type="paragraph" w:styleId="Title">
    <w:name w:val="Title"/>
    <w:basedOn w:val="Normal"/>
    <w:next w:val="Normal"/>
    <w:link w:val="TitleChar"/>
    <w:uiPriority w:val="10"/>
    <w:qFormat/>
    <w:rsid w:val="00594F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94F8A"/>
    <w:pPr>
      <w:numPr>
        <w:ilvl w:val="1"/>
      </w:numPr>
    </w:pPr>
    <w:rPr>
      <w:rFonts w:asciiTheme="majorHAnsi" w:eastAsiaTheme="majorEastAsia" w:hAnsiTheme="majorHAnsi" w:cstheme="majorBidi"/>
      <w:i/>
      <w:iCs/>
      <w:color w:val="4F81BD" w:themeColor="accent1"/>
      <w:spacing w:val="15"/>
      <w:szCs w:val="24"/>
    </w:rPr>
  </w:style>
  <w:style w:type="paragraph" w:styleId="BalloonText">
    <w:name w:val="Balloon Text"/>
    <w:basedOn w:val="Normal"/>
    <w:link w:val="BalloonTextChar"/>
    <w:uiPriority w:val="99"/>
    <w:semiHidden/>
    <w:unhideWhenUsed/>
    <w:rsid w:val="00594F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F8A"/>
    <w:rPr>
      <w:rFonts w:ascii="Tahoma" w:hAnsi="Tahoma" w:cs="Tahoma"/>
      <w:sz w:val="16"/>
      <w:szCs w:val="16"/>
    </w:rPr>
  </w:style>
  <w:style w:type="paragraph" w:styleId="TOC1">
    <w:name w:val="toc 1"/>
    <w:basedOn w:val="Normal"/>
    <w:next w:val="Normal"/>
    <w:autoRedefine/>
    <w:uiPriority w:val="39"/>
    <w:unhideWhenUsed/>
    <w:rsid w:val="00594F8A"/>
    <w:pPr>
      <w:spacing w:after="100"/>
    </w:pPr>
  </w:style>
  <w:style w:type="paragraph" w:styleId="TOC2">
    <w:name w:val="toc 2"/>
    <w:basedOn w:val="Normal"/>
    <w:next w:val="Normal"/>
    <w:autoRedefine/>
    <w:uiPriority w:val="39"/>
    <w:unhideWhenUsed/>
    <w:rsid w:val="00594F8A"/>
    <w:pPr>
      <w:spacing w:after="100"/>
      <w:ind w:left="220"/>
    </w:pPr>
  </w:style>
  <w:style w:type="character" w:styleId="Hyperlink">
    <w:name w:val="Hyperlink"/>
    <w:basedOn w:val="DefaultParagraphFont"/>
    <w:uiPriority w:val="99"/>
    <w:unhideWhenUsed/>
    <w:rsid w:val="00594F8A"/>
    <w:rPr>
      <w:color w:val="0000FF" w:themeColor="hyperlink"/>
      <w:u w:val="single"/>
    </w:rPr>
  </w:style>
  <w:style w:type="character" w:customStyle="1" w:styleId="Heading1Char">
    <w:name w:val="Heading 1 Char"/>
    <w:basedOn w:val="DefaultParagraphFont"/>
    <w:link w:val="Heading1"/>
    <w:uiPriority w:val="9"/>
    <w:rsid w:val="00594F8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4F8A"/>
    <w:rPr>
      <w:rFonts w:ascii="Times New Roman" w:eastAsiaTheme="majorEastAsia" w:hAnsi="Times New Roman" w:cstheme="majorBidi"/>
      <w:b/>
      <w:bCs/>
      <w:i/>
      <w:sz w:val="24"/>
      <w:szCs w:val="26"/>
    </w:rPr>
  </w:style>
  <w:style w:type="character" w:customStyle="1" w:styleId="Heading3Char">
    <w:name w:val="Heading 3 Char"/>
    <w:basedOn w:val="DefaultParagraphFont"/>
    <w:link w:val="Heading3"/>
    <w:uiPriority w:val="9"/>
    <w:rsid w:val="00594F8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94F8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94F8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594F8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594F8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594F8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594F8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94F8A"/>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594F8A"/>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594F8A"/>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594F8A"/>
    <w:rPr>
      <w:b/>
      <w:bCs/>
    </w:rPr>
  </w:style>
  <w:style w:type="character" w:styleId="Emphasis">
    <w:name w:val="Emphasis"/>
    <w:basedOn w:val="DefaultParagraphFont"/>
    <w:uiPriority w:val="20"/>
    <w:qFormat/>
    <w:rsid w:val="00594F8A"/>
    <w:rPr>
      <w:i/>
      <w:iCs/>
    </w:rPr>
  </w:style>
  <w:style w:type="paragraph" w:styleId="NoSpacing">
    <w:name w:val="No Spacing"/>
    <w:uiPriority w:val="1"/>
    <w:qFormat/>
    <w:rsid w:val="00594F8A"/>
    <w:pPr>
      <w:spacing w:after="0" w:line="240" w:lineRule="auto"/>
    </w:pPr>
  </w:style>
  <w:style w:type="paragraph" w:styleId="ListParagraph">
    <w:name w:val="List Paragraph"/>
    <w:basedOn w:val="Normal"/>
    <w:uiPriority w:val="34"/>
    <w:qFormat/>
    <w:rsid w:val="00594F8A"/>
    <w:pPr>
      <w:ind w:left="720"/>
      <w:contextualSpacing/>
    </w:pPr>
  </w:style>
  <w:style w:type="paragraph" w:styleId="Quote">
    <w:name w:val="Quote"/>
    <w:basedOn w:val="Normal"/>
    <w:next w:val="Normal"/>
    <w:link w:val="QuoteChar"/>
    <w:uiPriority w:val="29"/>
    <w:qFormat/>
    <w:rsid w:val="00594F8A"/>
    <w:rPr>
      <w:i/>
      <w:iCs/>
      <w:color w:val="000000" w:themeColor="text1"/>
    </w:rPr>
  </w:style>
  <w:style w:type="character" w:customStyle="1" w:styleId="QuoteChar">
    <w:name w:val="Quote Char"/>
    <w:basedOn w:val="DefaultParagraphFont"/>
    <w:link w:val="Quote"/>
    <w:uiPriority w:val="29"/>
    <w:rsid w:val="00594F8A"/>
    <w:rPr>
      <w:i/>
      <w:iCs/>
      <w:color w:val="000000" w:themeColor="text1"/>
    </w:rPr>
  </w:style>
  <w:style w:type="paragraph" w:styleId="IntenseQuote">
    <w:name w:val="Intense Quote"/>
    <w:basedOn w:val="Normal"/>
    <w:next w:val="Normal"/>
    <w:link w:val="IntenseQuoteChar"/>
    <w:uiPriority w:val="30"/>
    <w:qFormat/>
    <w:rsid w:val="00594F8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94F8A"/>
    <w:rPr>
      <w:b/>
      <w:bCs/>
      <w:i/>
      <w:iCs/>
      <w:color w:val="4F81BD" w:themeColor="accent1"/>
    </w:rPr>
  </w:style>
  <w:style w:type="character" w:styleId="SubtleEmphasis">
    <w:name w:val="Subtle Emphasis"/>
    <w:basedOn w:val="DefaultParagraphFont"/>
    <w:uiPriority w:val="19"/>
    <w:qFormat/>
    <w:rsid w:val="00594F8A"/>
    <w:rPr>
      <w:i/>
      <w:iCs/>
      <w:color w:val="808080" w:themeColor="text1" w:themeTint="7F"/>
    </w:rPr>
  </w:style>
  <w:style w:type="character" w:styleId="IntenseEmphasis">
    <w:name w:val="Intense Emphasis"/>
    <w:basedOn w:val="DefaultParagraphFont"/>
    <w:uiPriority w:val="21"/>
    <w:qFormat/>
    <w:rsid w:val="00594F8A"/>
    <w:rPr>
      <w:b/>
      <w:bCs/>
      <w:i/>
      <w:iCs/>
      <w:color w:val="4F81BD" w:themeColor="accent1"/>
    </w:rPr>
  </w:style>
  <w:style w:type="character" w:styleId="SubtleReference">
    <w:name w:val="Subtle Reference"/>
    <w:basedOn w:val="DefaultParagraphFont"/>
    <w:uiPriority w:val="31"/>
    <w:qFormat/>
    <w:rsid w:val="00594F8A"/>
    <w:rPr>
      <w:smallCaps/>
      <w:color w:val="C0504D" w:themeColor="accent2"/>
      <w:u w:val="single"/>
    </w:rPr>
  </w:style>
  <w:style w:type="character" w:styleId="IntenseReference">
    <w:name w:val="Intense Reference"/>
    <w:basedOn w:val="DefaultParagraphFont"/>
    <w:uiPriority w:val="32"/>
    <w:qFormat/>
    <w:rsid w:val="00594F8A"/>
    <w:rPr>
      <w:b/>
      <w:bCs/>
      <w:smallCaps/>
      <w:color w:val="C0504D" w:themeColor="accent2"/>
      <w:spacing w:val="5"/>
      <w:u w:val="single"/>
    </w:rPr>
  </w:style>
  <w:style w:type="character" w:styleId="BookTitle">
    <w:name w:val="Book Title"/>
    <w:basedOn w:val="DefaultParagraphFont"/>
    <w:uiPriority w:val="33"/>
    <w:qFormat/>
    <w:rsid w:val="00594F8A"/>
    <w:rPr>
      <w:b/>
      <w:bCs/>
      <w:smallCaps/>
      <w:spacing w:val="5"/>
    </w:rPr>
  </w:style>
  <w:style w:type="paragraph" w:styleId="TOCHeading">
    <w:name w:val="TOC Heading"/>
    <w:basedOn w:val="Heading1"/>
    <w:next w:val="Normal"/>
    <w:uiPriority w:val="39"/>
    <w:unhideWhenUsed/>
    <w:qFormat/>
    <w:rsid w:val="00594F8A"/>
    <w:pPr>
      <w:outlineLvl w:val="9"/>
    </w:pPr>
  </w:style>
  <w:style w:type="paragraph" w:styleId="Header">
    <w:name w:val="header"/>
    <w:basedOn w:val="Normal"/>
    <w:link w:val="HeaderChar"/>
    <w:uiPriority w:val="99"/>
    <w:semiHidden/>
    <w:unhideWhenUsed/>
    <w:rsid w:val="00594F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4F8A"/>
    <w:rPr>
      <w:rFonts w:ascii="Times New Roman" w:hAnsi="Times New Roman"/>
      <w:sz w:val="24"/>
    </w:rPr>
  </w:style>
  <w:style w:type="paragraph" w:styleId="Footer">
    <w:name w:val="footer"/>
    <w:basedOn w:val="Normal"/>
    <w:link w:val="FooterChar"/>
    <w:uiPriority w:val="99"/>
    <w:unhideWhenUsed/>
    <w:rsid w:val="00594F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4F8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awsociety.org.uk/Topics/Research/Are-our-courts-fit-for-purpose" TargetMode="External"/><Relationship Id="rId18" Type="http://schemas.openxmlformats.org/officeDocument/2006/relationships/hyperlink" Target="https://doi.org/10.1017/S1744552320000038" TargetMode="External"/><Relationship Id="rId26" Type="http://schemas.openxmlformats.org/officeDocument/2006/relationships/hyperlink" Target="https://heinonline.org/hol-cgi-bin/get_pdf.cgi?handle=hein.journals/chknt94&amp;section=4" TargetMode="External"/><Relationship Id="rId39" Type="http://schemas.openxmlformats.org/officeDocument/2006/relationships/hyperlink" Target="http://inews.co.uk/" TargetMode="External"/><Relationship Id="rId21" Type="http://schemas.openxmlformats.org/officeDocument/2006/relationships/hyperlink" Target="about:blank" TargetMode="External"/><Relationship Id="rId34" Type="http://schemas.openxmlformats.org/officeDocument/2006/relationships/hyperlink" Target="https://ieeexplore.ieee.org/abstract/document/8552051/" TargetMode="External"/><Relationship Id="rId42" Type="http://schemas.openxmlformats.org/officeDocument/2006/relationships/hyperlink" Target="https://doi.org/10.1177/0022018320957110" TargetMode="External"/><Relationship Id="rId47" Type="http://schemas.openxmlformats.org/officeDocument/2006/relationships/hyperlink" Target="https://www.judiciary.ukiabout-the-udiciary/who-are-the-judiciarvimagistratesi" TargetMode="External"/><Relationship Id="rId50" Type="http://schemas.openxmlformats.org/officeDocument/2006/relationships/hyperlink" Target="https://jhnr.uni.luiindex.phpijhrularticleiview/74"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ieeexplore.ieee.org/abstract/document/8552051/" TargetMode="External"/><Relationship Id="rId29" Type="http://schemas.openxmlformats.org/officeDocument/2006/relationships/hyperlink" Target="https://heinonline.org/hol-cgi-bin/get_pdf.cgi?handle=hein.journals/chknt94&amp;section=4" TargetMode="External"/><Relationship Id="rId11" Type="http://schemas.openxmlformats.org/officeDocument/2006/relationships/hyperlink" Target="https://heinonline.org/hol-cgi-bin/get_pdf.cgi?handle=hein.journals/intlawmanr5&amp;section=5" TargetMode="External"/><Relationship Id="rId24" Type="http://schemas.openxmlformats.org/officeDocument/2006/relationships/hyperlink" Target="https://ieeexplore.ieee.org/abstract/document/8552051/" TargetMode="External"/><Relationship Id="rId32" Type="http://schemas.openxmlformats.org/officeDocument/2006/relationships/hyperlink" Target="https://heinonline.org/hol-cgi-bin/get_pdf.cgi?handle=hein.journals/vantl52&amp;section=13" TargetMode="External"/><Relationship Id="rId37" Type="http://schemas.openxmlformats.org/officeDocument/2006/relationships/hyperlink" Target="https://journals.sagepub.comidoi/pdf/10.1177/1748895817728380" TargetMode="External"/><Relationship Id="rId40" Type="http://schemas.openxmlformats.org/officeDocument/2006/relationships/hyperlink" Target="https://doi.org/10.1111/1468-2230.12578" TargetMode="External"/><Relationship Id="rId45" Type="http://schemas.openxmlformats.org/officeDocument/2006/relationships/hyperlink" Target="https://onlinelibrary.wiley.comfdoi/abs/10.1111/jels.12229" TargetMode="External"/><Relationship Id="rId53" Type="http://schemas.openxmlformats.org/officeDocument/2006/relationships/hyperlink" Target="https://dx.doi.org/10.2139/ssrn.3492868" TargetMode="External"/><Relationship Id="rId5" Type="http://schemas.openxmlformats.org/officeDocument/2006/relationships/footnotes" Target="footnotes.xml"/><Relationship Id="rId10" Type="http://schemas.openxmlformats.org/officeDocument/2006/relationships/hyperlink" Target="https://ieeexplore.ieee.org/abstract/document/8552051/" TargetMode="External"/><Relationship Id="rId19" Type="http://schemas.openxmlformats.org/officeDocument/2006/relationships/hyperlink" Target="https://doi.org/10.1017/S1744552320000038" TargetMode="External"/><Relationship Id="rId31" Type="http://schemas.openxmlformats.org/officeDocument/2006/relationships/hyperlink" Target="https://www.lawsociety.org.ukicampaignsicourt-reformiwhats-changingicourt-closures/" TargetMode="External"/><Relationship Id="rId44" Type="http://schemas.openxmlformats.org/officeDocument/2006/relationships/hyperlink" Target="https://onlinelibrary.wiley.comfdoi/abs/10.1111/jels.12229" TargetMode="External"/><Relationship Id="rId52" Type="http://schemas.openxmlformats.org/officeDocument/2006/relationships/hyperlink" Target="https://dx.doi.org/10.2139/ssrn.3492868" TargetMode="External"/><Relationship Id="rId4" Type="http://schemas.openxmlformats.org/officeDocument/2006/relationships/webSettings" Target="webSettings.xml"/><Relationship Id="rId9" Type="http://schemas.openxmlformats.org/officeDocument/2006/relationships/hyperlink" Target="https://heinonline.org/hol-cgi-bin/get_pdf.cgi?handle=hein.journals/intlawmanr5&amp;section=5" TargetMode="External"/><Relationship Id="rId14" Type="http://schemas.openxmlformats.org/officeDocument/2006/relationships/hyperlink" Target="https://brill.com/downloadpdf/book/9789047440437/Bej.9789004167384.i-336_009.pdf" TargetMode="External"/><Relationship Id="rId22" Type="http://schemas.openxmlformats.org/officeDocument/2006/relationships/hyperlink" Target="https://digitalcommons.pepperdine.edu/drlj/vol22/iss1/6/" TargetMode="External"/><Relationship Id="rId27" Type="http://schemas.openxmlformats.org/officeDocument/2006/relationships/hyperlink" Target="https://heinonline.org/hol-cgi-bin/get_pdf.cgi?handle=hein.journals/chknt94&amp;section=4" TargetMode="External"/><Relationship Id="rId30" Type="http://schemas.openxmlformats.org/officeDocument/2006/relationships/hyperlink" Target="https://www.lawsociety.org.ukicampaignsicourt-reformiwhats-changingicourt-closures/" TargetMode="External"/><Relationship Id="rId35" Type="http://schemas.openxmlformats.org/officeDocument/2006/relationships/hyperlink" Target="https://heinonline.org/hol-cgi-bin/get_pdf.cgi?handle=hein.journals/vantl52&amp;section=13" TargetMode="External"/><Relationship Id="rId43" Type="http://schemas.openxmlformats.org/officeDocument/2006/relationships/hyperlink" Target="https://doi.org/10.1177/0022018320957110" TargetMode="External"/><Relationship Id="rId48" Type="http://schemas.openxmlformats.org/officeDocument/2006/relationships/hyperlink" Target="https://doi.org/10.1177/1748895818786997" TargetMode="External"/><Relationship Id="rId56" Type="http://schemas.openxmlformats.org/officeDocument/2006/relationships/theme" Target="theme/theme1.xml"/><Relationship Id="rId8" Type="http://schemas.openxmlformats.org/officeDocument/2006/relationships/hyperlink" Target="https://heinonline.org/hol-cgi-bin/get_pdf.cgi?handle=hein.journals/intlawmanr5&amp;section=5" TargetMode="External"/><Relationship Id="rId51" Type="http://schemas.openxmlformats.org/officeDocument/2006/relationships/hyperlink" Target="https://jhnr.uni.luiindex.phpijhrularticleiview/74" TargetMode="External"/><Relationship Id="rId3" Type="http://schemas.openxmlformats.org/officeDocument/2006/relationships/settings" Target="settings.xml"/><Relationship Id="rId12" Type="http://schemas.openxmlformats.org/officeDocument/2006/relationships/hyperlink" Target="https://www.lawsociety.org.uk/Topics/Research/Are-our-courts-fit-for-purpose" TargetMode="External"/><Relationship Id="rId17" Type="http://schemas.openxmlformats.org/officeDocument/2006/relationships/hyperlink" Target="https://brill.com/downloadpdf/book/9789047440437/Bej.9789004167384.i-336_009.pdf" TargetMode="External"/><Relationship Id="rId25" Type="http://schemas.openxmlformats.org/officeDocument/2006/relationships/hyperlink" Target="https://digitalcommons.pepperdine.edu/drlj/vol22/iss1/6/" TargetMode="External"/><Relationship Id="rId33" Type="http://schemas.openxmlformats.org/officeDocument/2006/relationships/hyperlink" Target="https://heinonline.org/hol-cgi-bin/get_pdf.cgi?handle=hein.journals/vantl52&amp;section=13" TargetMode="External"/><Relationship Id="rId38" Type="http://schemas.openxmlformats.org/officeDocument/2006/relationships/hyperlink" Target="http://inews.co.uk/" TargetMode="External"/><Relationship Id="rId46" Type="http://schemas.openxmlformats.org/officeDocument/2006/relationships/hyperlink" Target="https://www.judiciary.ukiabout-the-udiciary/who-are-the-judiciarvimagistratesi" TargetMode="External"/><Relationship Id="rId20" Type="http://schemas.openxmlformats.org/officeDocument/2006/relationships/hyperlink" Target="about:blank" TargetMode="External"/><Relationship Id="rId41" Type="http://schemas.openxmlformats.org/officeDocument/2006/relationships/hyperlink" Target="https://doi.org/10.1111/1468-2230.12578"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brill.com/downloadpdf/book/9789047440437/Bej.9789004167384.i-336_009.pdf" TargetMode="External"/><Relationship Id="rId23" Type="http://schemas.openxmlformats.org/officeDocument/2006/relationships/hyperlink" Target="https://digitalcommons.pepperdine.edu/drlj/vol22/iss1/6/" TargetMode="External"/><Relationship Id="rId28" Type="http://schemas.openxmlformats.org/officeDocument/2006/relationships/hyperlink" Target="https://ieeexplore.ieee.org/abstract/document/8552051/" TargetMode="External"/><Relationship Id="rId36" Type="http://schemas.openxmlformats.org/officeDocument/2006/relationships/hyperlink" Target="https://journals.sagepub.comidoi/pdf/10.1177/1748895817728380" TargetMode="External"/><Relationship Id="rId49" Type="http://schemas.openxmlformats.org/officeDocument/2006/relationships/hyperlink" Target="https://doi.org/10.1177/17488958187869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BDE28-5E8D-422E-98A8-02173273B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3824</Words>
  <Characters>21801</Characters>
  <Application>Microsoft Office Word</Application>
  <DocSecurity>0</DocSecurity>
  <Lines>181</Lines>
  <Paragraphs>51</Paragraphs>
  <ScaleCrop>false</ScaleCrop>
  <Company/>
  <LinksUpToDate>false</LinksUpToDate>
  <CharactersWithSpaces>25574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Daniela Mirsu (2132560)</cp:lastModifiedBy>
  <cp:revision>3</cp:revision>
  <dcterms:created xsi:type="dcterms:W3CDTF">2023-07-20T19:57:00Z</dcterms:created>
  <dcterms:modified xsi:type="dcterms:W3CDTF">2023-07-20T20:46:00Z</dcterms:modified>
</cp:coreProperties>
</file>