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1081B4" w14:textId="77777777" w:rsidR="00E44F23" w:rsidRPr="00E44F23" w:rsidRDefault="00E44F23" w:rsidP="00E44F23">
      <w:pPr>
        <w:rPr>
          <w:b/>
          <w:bCs/>
          <w:sz w:val="36"/>
          <w:szCs w:val="36"/>
          <w:u w:val="single"/>
        </w:rPr>
      </w:pPr>
      <w:r w:rsidRPr="00E44F23">
        <w:rPr>
          <w:b/>
          <w:bCs/>
          <w:sz w:val="36"/>
          <w:szCs w:val="36"/>
          <w:u w:val="single"/>
        </w:rPr>
        <w:t xml:space="preserve">Introduction </w:t>
      </w:r>
    </w:p>
    <w:p w14:paraId="214CD65F" w14:textId="77777777" w:rsidR="00E44F23" w:rsidRPr="00E44F23" w:rsidRDefault="00E44F23" w:rsidP="00E44F23">
      <w:pPr>
        <w:rPr>
          <w:sz w:val="36"/>
          <w:szCs w:val="36"/>
        </w:rPr>
      </w:pPr>
      <w:r w:rsidRPr="00E44F23">
        <w:rPr>
          <w:sz w:val="36"/>
          <w:szCs w:val="36"/>
        </w:rPr>
        <w:t>My exchange of diverging or opposite views on the statement “the law in relation to non-fatal offences against the person is no longer fit for purpose and needs reform” will be based on the analysis from my research and personal views.  Before giving a straightforward answer like yes or no we must look at the evidence Infront of us, which includes a look at the entire OATPA (Offences Against the Person Act 1861), how it affects us (the general public) and the bases of its act in previous cases to prove its utility.</w:t>
      </w:r>
    </w:p>
    <w:p w14:paraId="1BC8B748" w14:textId="2DF49845" w:rsidR="00E44F23" w:rsidRPr="00E44F23" w:rsidRDefault="00E44F23" w:rsidP="00E44F23">
      <w:pPr>
        <w:rPr>
          <w:sz w:val="36"/>
          <w:szCs w:val="36"/>
        </w:rPr>
      </w:pPr>
      <w:r w:rsidRPr="00E44F23">
        <w:rPr>
          <w:sz w:val="36"/>
          <w:szCs w:val="36"/>
        </w:rPr>
        <w:t xml:space="preserve">Firstly, what is the 1861 offences Against the person Act? This is a joint combination of earlier statues combined into a single Act and was originally drafted to list specific methods whereby harm might be caused to a person, these acts against a person includes things such as homicides, assaults, bigamy etc. Furthermore, in relation to whether it needs reform I would start off by saying that the OATA (offences against a person act) is anachronistic meaning that it belonged to a period other than that being portrayed which it is the old era, as times have changed it should still be applied in this new generation as it uses outdated language as well. With that being said  as a result to the legislation being ratified  in 1861, it shows that some words and expressions within the act are old and inapplicable for example ABH) assault occasioning actual bodily harm, which Is set out at s47 of the act, which states “whosoever shall be convicted upon an indictment of any assault occasioning actual bodily harm shall be liable to be kept in penal servitude” the word “bodily” is old fashion in a later report by LCR (law commission report). In addition to this from the aspect of a post from a source www.lawteacher.net   It affix with my point as </w:t>
      </w:r>
      <w:proofErr w:type="gramStart"/>
      <w:r w:rsidRPr="00E44F23">
        <w:rPr>
          <w:sz w:val="36"/>
          <w:szCs w:val="36"/>
        </w:rPr>
        <w:t>it</w:t>
      </w:r>
      <w:proofErr w:type="gramEnd"/>
      <w:r w:rsidRPr="00E44F23">
        <w:rPr>
          <w:sz w:val="36"/>
          <w:szCs w:val="36"/>
        </w:rPr>
        <w:t xml:space="preserve"> says” with respect to the medical terminology, the term “bodily harm” is used in section 47, 20 and 18 yet the probability of fear causing psychiatric injury had not been recognized, in turn case law has been developed by judges through the use of advanced medical knowledge as demonstrated in R v Ireland. This case shows the complication as the issue in the way the offence was committed as a query that silence could amount to assault referring to ABH for the purpose of section 47 of the offence against a person act if psychiatric injury can amount to actual bodily harm under the same provision.</w:t>
      </w:r>
    </w:p>
    <w:p w14:paraId="7E2C048B" w14:textId="77777777" w:rsidR="00E44F23" w:rsidRPr="00E44F23" w:rsidRDefault="00E44F23" w:rsidP="00E44F23">
      <w:pPr>
        <w:rPr>
          <w:sz w:val="36"/>
          <w:szCs w:val="36"/>
        </w:rPr>
      </w:pPr>
    </w:p>
    <w:p w14:paraId="79B73BF5" w14:textId="77777777" w:rsidR="00E44F23" w:rsidRPr="00E44F23" w:rsidRDefault="00E44F23" w:rsidP="00E44F23">
      <w:pPr>
        <w:rPr>
          <w:sz w:val="36"/>
          <w:szCs w:val="36"/>
        </w:rPr>
      </w:pPr>
      <w:r w:rsidRPr="00E44F23">
        <w:rPr>
          <w:sz w:val="36"/>
          <w:szCs w:val="36"/>
        </w:rPr>
        <w:t xml:space="preserve">  In relation to this the offences against the person Act further legislation principles are lacking coherence, due to the fact the aim of law in a society is to guide the conduct if citizens by deterring them from behaving in  bad way, the 1861 Act is not an effective piece of legislation because everyone knows right from wrong which is to not harm others but vast majority don’t understand the </w:t>
      </w:r>
      <w:proofErr w:type="spellStart"/>
      <w:r w:rsidRPr="00E44F23">
        <w:rPr>
          <w:sz w:val="36"/>
          <w:szCs w:val="36"/>
        </w:rPr>
        <w:t>in</w:t>
      </w:r>
      <w:proofErr w:type="spellEnd"/>
      <w:r w:rsidRPr="00E44F23">
        <w:rPr>
          <w:sz w:val="36"/>
          <w:szCs w:val="36"/>
        </w:rPr>
        <w:t xml:space="preserve"> and outs of the statue because it can only be fully understood by a lawyer or somebody with a textbook or wide vocabulary knowledge with a fair bit of time in their hands. Legislation like section 20 and 18 are very much identical but the act of “intent” is what separates the two as section 18 is that the defendant is required the intention to cause grievous bodily harm to someone while section 20 is the exact same but without intention. </w:t>
      </w:r>
    </w:p>
    <w:p w14:paraId="058422C3" w14:textId="77777777" w:rsidR="00E44F23" w:rsidRPr="00E44F23" w:rsidRDefault="00E44F23" w:rsidP="00E44F23">
      <w:pPr>
        <w:rPr>
          <w:sz w:val="36"/>
          <w:szCs w:val="36"/>
        </w:rPr>
      </w:pPr>
      <w:r w:rsidRPr="00E44F23">
        <w:rPr>
          <w:sz w:val="36"/>
          <w:szCs w:val="36"/>
        </w:rPr>
        <w:t xml:space="preserve">This has caused a conundrum in society as its intended could be framed and can be hidden and is not always justifiable when the result is murder, and Section 18 gives a maximum penalty of a life sentence in prison. If the victim skin </w:t>
      </w:r>
      <w:proofErr w:type="gramStart"/>
      <w:r w:rsidRPr="00E44F23">
        <w:rPr>
          <w:sz w:val="36"/>
          <w:szCs w:val="36"/>
        </w:rPr>
        <w:t>doesn’t</w:t>
      </w:r>
      <w:proofErr w:type="gramEnd"/>
      <w:r w:rsidRPr="00E44F23">
        <w:rPr>
          <w:sz w:val="36"/>
          <w:szCs w:val="36"/>
        </w:rPr>
        <w:t xml:space="preserve"> break, then the offence could be anything from assault (battery) to s18 GBH which includes actually bodily harm. So, if there is no wounding involved depending on the seriousness of the injury, the defendant can be charged battery, actual bodily harm or grievous bodily harm for there to be a conviction of actual bodily harm there must be an injury that is more than insignificant. A quote from Eisenhower (politician) that backs this is “s20 wounding is the breaking of both layers of skin, but internal bleeding doesn’t constitute as being wounding”. Considering that I would say the offences against the person Act is not. suitable for today as crime has changed over decades. Copious number of offences contain within the OATP Act further reveals the concerns over discrete types of violence which were of significant social and political concern at the time. An example is that in the 19th century people saw an increase in nationalistic sentiment in Ireland with corresponding attacks of violence by groups. Sec28-30 and 64, concerning the use of gunpowder to cause deaths or injury, reflects what we must address today (this era) as terrorist attacks.</w:t>
      </w:r>
    </w:p>
    <w:p w14:paraId="393656F3" w14:textId="77777777" w:rsidR="00E44F23" w:rsidRPr="00E44F23" w:rsidRDefault="00E44F23" w:rsidP="00E44F23">
      <w:pPr>
        <w:rPr>
          <w:sz w:val="36"/>
          <w:szCs w:val="36"/>
        </w:rPr>
      </w:pPr>
      <w:r w:rsidRPr="00E44F23">
        <w:rPr>
          <w:sz w:val="36"/>
          <w:szCs w:val="36"/>
        </w:rPr>
        <w:t xml:space="preserve"> </w:t>
      </w:r>
    </w:p>
    <w:p w14:paraId="74B28662" w14:textId="77777777" w:rsidR="00E44F23" w:rsidRPr="00E44F23" w:rsidRDefault="00E44F23" w:rsidP="00E44F23">
      <w:pPr>
        <w:rPr>
          <w:sz w:val="36"/>
          <w:szCs w:val="36"/>
        </w:rPr>
      </w:pPr>
      <w:r w:rsidRPr="00E44F23">
        <w:rPr>
          <w:sz w:val="36"/>
          <w:szCs w:val="36"/>
        </w:rPr>
        <w:t>The Act can also be criticised as failing leaving no room for confusion to address some injuries we now see as important such as psychological injuries. Although actual bodily harm is now accepted to understand recognised psychiatric illnesses, this is not obvious on face of the legislation and it seems outdated to consider it as “bodily” injury.  In addition, there also a strange anomaly in that   murder is at no point prohibited by according to statue.</w:t>
      </w:r>
    </w:p>
    <w:p w14:paraId="7FDA6332" w14:textId="77777777" w:rsidR="00E44F23" w:rsidRPr="00E44F23" w:rsidRDefault="00E44F23" w:rsidP="00E44F23">
      <w:pPr>
        <w:rPr>
          <w:sz w:val="36"/>
          <w:szCs w:val="36"/>
        </w:rPr>
      </w:pPr>
      <w:r w:rsidRPr="00E44F23">
        <w:rPr>
          <w:sz w:val="36"/>
          <w:szCs w:val="36"/>
        </w:rPr>
        <w:t xml:space="preserve"> </w:t>
      </w:r>
    </w:p>
    <w:p w14:paraId="781C7045" w14:textId="77777777" w:rsidR="00E44F23" w:rsidRPr="00E44F23" w:rsidRDefault="00E44F23" w:rsidP="00E44F23">
      <w:pPr>
        <w:rPr>
          <w:sz w:val="36"/>
          <w:szCs w:val="36"/>
        </w:rPr>
      </w:pPr>
    </w:p>
    <w:p w14:paraId="760BF1B0" w14:textId="5DFA8293" w:rsidR="00E44F23" w:rsidRDefault="00E44F23" w:rsidP="00E44F23">
      <w:pPr>
        <w:rPr>
          <w:sz w:val="36"/>
          <w:szCs w:val="36"/>
        </w:rPr>
      </w:pPr>
    </w:p>
    <w:p w14:paraId="0C281997" w14:textId="796A6A74" w:rsidR="00E44F23" w:rsidRDefault="00E44F23" w:rsidP="00E44F23">
      <w:pPr>
        <w:rPr>
          <w:sz w:val="36"/>
          <w:szCs w:val="36"/>
        </w:rPr>
      </w:pPr>
    </w:p>
    <w:p w14:paraId="0282D19D" w14:textId="6FB0360B" w:rsidR="00E44F23" w:rsidRDefault="00E44F23" w:rsidP="00E44F23">
      <w:pPr>
        <w:rPr>
          <w:sz w:val="36"/>
          <w:szCs w:val="36"/>
        </w:rPr>
      </w:pPr>
    </w:p>
    <w:p w14:paraId="13CDEF96" w14:textId="77777777" w:rsidR="00E44F23" w:rsidRPr="00E44F23" w:rsidRDefault="00E44F23" w:rsidP="00E44F23">
      <w:pPr>
        <w:rPr>
          <w:sz w:val="36"/>
          <w:szCs w:val="36"/>
        </w:rPr>
      </w:pPr>
    </w:p>
    <w:p w14:paraId="4343D90F" w14:textId="3D2C004B" w:rsidR="00E44F23" w:rsidRPr="00E44F23" w:rsidRDefault="00E44F23" w:rsidP="00E44F23">
      <w:pPr>
        <w:rPr>
          <w:sz w:val="36"/>
          <w:szCs w:val="36"/>
        </w:rPr>
      </w:pPr>
      <w:r w:rsidRPr="00E44F23">
        <w:rPr>
          <w:sz w:val="36"/>
          <w:szCs w:val="36"/>
        </w:rPr>
        <w:t>The rest of my work need correction which will be update</w:t>
      </w:r>
      <w:r w:rsidR="001934E7">
        <w:rPr>
          <w:sz w:val="36"/>
          <w:szCs w:val="36"/>
        </w:rPr>
        <w:t xml:space="preserve"> But will be added before due date </w:t>
      </w:r>
    </w:p>
    <w:p w14:paraId="1CEAF27D" w14:textId="7B5A937A" w:rsidR="00E44F23" w:rsidRPr="00E44F23" w:rsidRDefault="001934E7" w:rsidP="00E44F23">
      <w:pPr>
        <w:rPr>
          <w:sz w:val="36"/>
          <w:szCs w:val="36"/>
        </w:rPr>
      </w:pPr>
      <w:r>
        <w:rPr>
          <w:noProof/>
        </w:rPr>
        <w:drawing>
          <wp:inline distT="0" distB="0" distL="0" distR="0" wp14:anchorId="5CD8A82E" wp14:editId="7EB8C619">
            <wp:extent cx="3437467" cy="168603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6511" t="32292" r="31892" b="11796"/>
                    <a:stretch/>
                  </pic:blipFill>
                  <pic:spPr bwMode="auto">
                    <a:xfrm>
                      <a:off x="0" y="0"/>
                      <a:ext cx="3459061" cy="1696622"/>
                    </a:xfrm>
                    <a:prstGeom prst="rect">
                      <a:avLst/>
                    </a:prstGeom>
                    <a:noFill/>
                    <a:ln>
                      <a:noFill/>
                    </a:ln>
                    <a:extLst>
                      <a:ext uri="{53640926-AAD7-44D8-BBD7-CCE9431645EC}">
                        <a14:shadowObscured xmlns:a14="http://schemas.microsoft.com/office/drawing/2010/main"/>
                      </a:ext>
                    </a:extLst>
                  </pic:spPr>
                </pic:pic>
              </a:graphicData>
            </a:graphic>
          </wp:inline>
        </w:drawing>
      </w:r>
    </w:p>
    <w:p w14:paraId="7C65574F" w14:textId="7421D14E" w:rsidR="00E44F23" w:rsidRPr="00E44F23" w:rsidRDefault="00E44F23" w:rsidP="00E44F23">
      <w:pPr>
        <w:rPr>
          <w:sz w:val="36"/>
          <w:szCs w:val="36"/>
        </w:rPr>
      </w:pPr>
    </w:p>
    <w:p w14:paraId="56D370DA" w14:textId="77777777" w:rsidR="00E44F23" w:rsidRDefault="00E44F23" w:rsidP="00E44F23"/>
    <w:p w14:paraId="30C94BD2" w14:textId="77777777" w:rsidR="00B1245C" w:rsidRDefault="00B1245C"/>
    <w:sectPr w:rsidR="00B124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F23"/>
    <w:rsid w:val="001934E7"/>
    <w:rsid w:val="00B1245C"/>
    <w:rsid w:val="00E44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76D8E"/>
  <w15:chartTrackingRefBased/>
  <w15:docId w15:val="{74B78171-DE29-425B-B307-CCDB421F4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777</Words>
  <Characters>4431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1</cp:revision>
  <dcterms:created xsi:type="dcterms:W3CDTF">2021-03-01T14:33:00Z</dcterms:created>
  <dcterms:modified xsi:type="dcterms:W3CDTF">2021-03-01T15:01:00Z</dcterms:modified>
</cp:coreProperties>
</file>