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2BAAB" w14:textId="6D7A4C33" w:rsidR="00E13C84" w:rsidRDefault="00C836CB" w:rsidP="00E13C84">
      <w:pPr>
        <w:spacing w:after="0"/>
        <w:ind w:right="2626"/>
        <w:jc w:val="right"/>
      </w:pPr>
      <w:r>
        <w:rPr>
          <w:rFonts w:ascii="Arial" w:eastAsia="Arial" w:hAnsi="Arial" w:cs="Arial"/>
          <w:sz w:val="23"/>
        </w:rPr>
        <w:t xml:space="preserve">       </w:t>
      </w:r>
      <w:r w:rsidR="00E13C84">
        <w:rPr>
          <w:noProof/>
        </w:rPr>
        <w:drawing>
          <wp:inline distT="0" distB="0" distL="0" distR="0" wp14:anchorId="56366656" wp14:editId="0000E529">
            <wp:extent cx="3180581" cy="1272232"/>
            <wp:effectExtent l="0" t="0" r="0" b="0"/>
            <wp:docPr id="46" name="Picture 46"/>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7"/>
                    <a:stretch>
                      <a:fillRect/>
                    </a:stretch>
                  </pic:blipFill>
                  <pic:spPr>
                    <a:xfrm>
                      <a:off x="0" y="0"/>
                      <a:ext cx="3180581" cy="1272232"/>
                    </a:xfrm>
                    <a:prstGeom prst="rect">
                      <a:avLst/>
                    </a:prstGeom>
                  </pic:spPr>
                </pic:pic>
              </a:graphicData>
            </a:graphic>
          </wp:inline>
        </w:drawing>
      </w:r>
      <w:r w:rsidR="00E13C84">
        <w:rPr>
          <w:rFonts w:ascii="Arial" w:eastAsia="Arial" w:hAnsi="Arial" w:cs="Arial"/>
          <w:sz w:val="23"/>
        </w:rPr>
        <w:t xml:space="preserve"> </w:t>
      </w:r>
    </w:p>
    <w:p w14:paraId="6DC02E33" w14:textId="77777777" w:rsidR="00E13C84" w:rsidRDefault="00E13C84" w:rsidP="00E13C84">
      <w:pPr>
        <w:spacing w:after="0"/>
        <w:ind w:right="894"/>
        <w:jc w:val="center"/>
      </w:pPr>
      <w:r>
        <w:rPr>
          <w:rFonts w:ascii="Arial" w:eastAsia="Arial" w:hAnsi="Arial" w:cs="Arial"/>
          <w:sz w:val="23"/>
        </w:rPr>
        <w:t xml:space="preserve"> </w:t>
      </w:r>
    </w:p>
    <w:p w14:paraId="00B952F1" w14:textId="77777777" w:rsidR="00E13C84" w:rsidRDefault="00E13C84" w:rsidP="00E13C84">
      <w:pPr>
        <w:spacing w:after="0"/>
        <w:ind w:right="894"/>
        <w:jc w:val="center"/>
      </w:pPr>
      <w:r>
        <w:rPr>
          <w:rFonts w:ascii="Arial" w:eastAsia="Arial" w:hAnsi="Arial" w:cs="Arial"/>
          <w:sz w:val="23"/>
        </w:rPr>
        <w:t xml:space="preserve"> </w:t>
      </w:r>
    </w:p>
    <w:p w14:paraId="60AF9721" w14:textId="77777777" w:rsidR="00E13C84" w:rsidRDefault="00E13C84" w:rsidP="00E13C84">
      <w:pPr>
        <w:spacing w:after="0"/>
        <w:ind w:right="894"/>
        <w:jc w:val="center"/>
      </w:pPr>
      <w:r>
        <w:rPr>
          <w:rFonts w:ascii="Arial" w:eastAsia="Arial" w:hAnsi="Arial" w:cs="Arial"/>
          <w:sz w:val="23"/>
        </w:rPr>
        <w:t xml:space="preserve"> </w:t>
      </w:r>
    </w:p>
    <w:p w14:paraId="65EF3307" w14:textId="77777777" w:rsidR="00E13C84" w:rsidRDefault="00E13C84" w:rsidP="00E13C84">
      <w:pPr>
        <w:spacing w:after="0"/>
        <w:ind w:right="894"/>
        <w:jc w:val="center"/>
        <w:rPr>
          <w:rFonts w:ascii="Arial" w:eastAsia="Arial" w:hAnsi="Arial" w:cs="Arial"/>
          <w:b/>
          <w:bCs/>
          <w:sz w:val="26"/>
          <w:szCs w:val="26"/>
        </w:rPr>
      </w:pPr>
      <w:r w:rsidRPr="00E13C84">
        <w:rPr>
          <w:rFonts w:ascii="Arial" w:eastAsia="Arial" w:hAnsi="Arial" w:cs="Arial"/>
          <w:b/>
          <w:bCs/>
          <w:sz w:val="26"/>
          <w:szCs w:val="26"/>
        </w:rPr>
        <w:t>University of Wales Trinity Saint David</w:t>
      </w:r>
    </w:p>
    <w:p w14:paraId="2A2D4741" w14:textId="77777777" w:rsidR="00E13C84" w:rsidRPr="00E13C84" w:rsidRDefault="00E13C84" w:rsidP="00E13C84">
      <w:pPr>
        <w:spacing w:after="0"/>
        <w:ind w:right="894"/>
        <w:jc w:val="center"/>
        <w:rPr>
          <w:rFonts w:ascii="Arial" w:eastAsia="Arial" w:hAnsi="Arial" w:cs="Arial"/>
          <w:b/>
          <w:bCs/>
          <w:sz w:val="26"/>
          <w:szCs w:val="26"/>
        </w:rPr>
      </w:pPr>
    </w:p>
    <w:p w14:paraId="333AE176" w14:textId="77777777" w:rsidR="00E13C84" w:rsidRDefault="00E13C84" w:rsidP="00E13C84">
      <w:pPr>
        <w:spacing w:after="0"/>
        <w:ind w:right="894"/>
        <w:jc w:val="center"/>
        <w:rPr>
          <w:b/>
          <w:bCs/>
          <w:sz w:val="26"/>
          <w:szCs w:val="26"/>
        </w:rPr>
      </w:pPr>
      <w:r w:rsidRPr="00E13C84">
        <w:rPr>
          <w:rFonts w:ascii="Arial" w:eastAsia="Arial" w:hAnsi="Arial" w:cs="Arial"/>
          <w:b/>
          <w:bCs/>
          <w:sz w:val="26"/>
          <w:szCs w:val="26"/>
        </w:rPr>
        <w:t xml:space="preserve">Master of Business Administration (MBA) </w:t>
      </w:r>
    </w:p>
    <w:p w14:paraId="0BC120F6" w14:textId="77777777" w:rsidR="00E13C84" w:rsidRDefault="00E13C84" w:rsidP="00E13C84">
      <w:pPr>
        <w:spacing w:after="0"/>
        <w:ind w:right="894"/>
        <w:jc w:val="center"/>
        <w:rPr>
          <w:b/>
          <w:bCs/>
          <w:sz w:val="26"/>
          <w:szCs w:val="26"/>
        </w:rPr>
      </w:pPr>
    </w:p>
    <w:p w14:paraId="424055F9" w14:textId="74E83834" w:rsidR="00E13C84" w:rsidRPr="00E13C84" w:rsidRDefault="00E13C84" w:rsidP="00E13C84">
      <w:pPr>
        <w:spacing w:after="0"/>
        <w:ind w:right="894"/>
        <w:jc w:val="center"/>
        <w:rPr>
          <w:b/>
          <w:bCs/>
          <w:sz w:val="26"/>
          <w:szCs w:val="26"/>
        </w:rPr>
      </w:pPr>
      <w:r>
        <w:rPr>
          <w:rFonts w:ascii="Arial" w:eastAsia="Arial" w:hAnsi="Arial" w:cs="Arial"/>
          <w:b/>
          <w:sz w:val="26"/>
        </w:rPr>
        <w:t xml:space="preserve">Module Name: </w:t>
      </w:r>
      <w:r w:rsidRPr="00E13C84">
        <w:rPr>
          <w:rFonts w:ascii="Arial" w:eastAsia="Arial" w:hAnsi="Arial" w:cs="Arial"/>
          <w:b/>
          <w:sz w:val="26"/>
        </w:rPr>
        <w:t>International Business Concepts</w:t>
      </w:r>
    </w:p>
    <w:p w14:paraId="392EFF9C" w14:textId="77777777" w:rsidR="00E13C84" w:rsidRDefault="00E13C84" w:rsidP="00E13C84">
      <w:pPr>
        <w:spacing w:after="0"/>
        <w:ind w:right="884"/>
        <w:jc w:val="center"/>
      </w:pPr>
      <w:r>
        <w:rPr>
          <w:rFonts w:ascii="Arial" w:eastAsia="Arial" w:hAnsi="Arial" w:cs="Arial"/>
          <w:b/>
          <w:sz w:val="26"/>
        </w:rPr>
        <w:t xml:space="preserve"> </w:t>
      </w:r>
    </w:p>
    <w:p w14:paraId="5B10C874" w14:textId="62721057" w:rsidR="00E13C84" w:rsidRDefault="00E13C84" w:rsidP="00E13C84">
      <w:pPr>
        <w:spacing w:after="0"/>
        <w:ind w:left="2663"/>
      </w:pPr>
      <w:r>
        <w:rPr>
          <w:rFonts w:ascii="Arial" w:eastAsia="Arial" w:hAnsi="Arial" w:cs="Arial"/>
          <w:b/>
          <w:sz w:val="26"/>
        </w:rPr>
        <w:t xml:space="preserve">Module Code: </w:t>
      </w:r>
      <w:r w:rsidRPr="00E13C84">
        <w:rPr>
          <w:rFonts w:ascii="Arial" w:eastAsia="Arial" w:hAnsi="Arial" w:cs="Arial"/>
          <w:b/>
          <w:sz w:val="26"/>
        </w:rPr>
        <w:t>LCMB7034</w:t>
      </w:r>
    </w:p>
    <w:p w14:paraId="2DE7009B" w14:textId="77777777" w:rsidR="00E13C84" w:rsidRDefault="00E13C84" w:rsidP="00E13C84">
      <w:pPr>
        <w:spacing w:after="0"/>
        <w:ind w:right="884"/>
        <w:jc w:val="center"/>
      </w:pPr>
      <w:r>
        <w:rPr>
          <w:rFonts w:ascii="Arial" w:eastAsia="Arial" w:hAnsi="Arial" w:cs="Arial"/>
          <w:b/>
          <w:sz w:val="26"/>
        </w:rPr>
        <w:t xml:space="preserve"> </w:t>
      </w:r>
    </w:p>
    <w:p w14:paraId="120EF475" w14:textId="77777777" w:rsidR="00E13C84" w:rsidRDefault="00E13C84" w:rsidP="00E13C84">
      <w:pPr>
        <w:spacing w:after="0"/>
        <w:ind w:right="884"/>
        <w:jc w:val="center"/>
      </w:pPr>
      <w:r>
        <w:rPr>
          <w:rFonts w:ascii="Arial" w:eastAsia="Arial" w:hAnsi="Arial" w:cs="Arial"/>
          <w:b/>
          <w:sz w:val="26"/>
        </w:rPr>
        <w:t xml:space="preserve"> </w:t>
      </w:r>
    </w:p>
    <w:p w14:paraId="62C4DE2E" w14:textId="77777777" w:rsidR="00E13C84" w:rsidRDefault="00E13C84" w:rsidP="00E13C84">
      <w:pPr>
        <w:spacing w:after="0"/>
        <w:ind w:right="884"/>
        <w:jc w:val="center"/>
      </w:pPr>
      <w:r>
        <w:rPr>
          <w:rFonts w:ascii="Arial" w:eastAsia="Arial" w:hAnsi="Arial" w:cs="Arial"/>
          <w:b/>
          <w:sz w:val="26"/>
        </w:rPr>
        <w:t xml:space="preserve"> </w:t>
      </w:r>
    </w:p>
    <w:p w14:paraId="358C74F6" w14:textId="77777777" w:rsidR="00E13C84" w:rsidRDefault="00E13C84" w:rsidP="00E13C84">
      <w:pPr>
        <w:spacing w:after="0"/>
        <w:ind w:right="884"/>
        <w:jc w:val="center"/>
      </w:pPr>
      <w:r>
        <w:rPr>
          <w:rFonts w:ascii="Arial" w:eastAsia="Arial" w:hAnsi="Arial" w:cs="Arial"/>
          <w:b/>
          <w:sz w:val="26"/>
        </w:rPr>
        <w:t xml:space="preserve"> </w:t>
      </w:r>
    </w:p>
    <w:p w14:paraId="686FCA92" w14:textId="7A0B07F1" w:rsidR="00E13C84" w:rsidRDefault="00E13C84" w:rsidP="00E13C84">
      <w:pPr>
        <w:spacing w:after="0" w:line="265" w:lineRule="auto"/>
        <w:ind w:left="10" w:right="965" w:hanging="10"/>
        <w:jc w:val="center"/>
        <w:rPr>
          <w:rFonts w:ascii="Arial" w:eastAsia="Arial" w:hAnsi="Arial" w:cs="Arial"/>
          <w:b/>
          <w:sz w:val="26"/>
        </w:rPr>
      </w:pPr>
      <w:r>
        <w:rPr>
          <w:rFonts w:ascii="Arial" w:eastAsia="Arial" w:hAnsi="Arial" w:cs="Arial"/>
          <w:b/>
          <w:sz w:val="26"/>
        </w:rPr>
        <w:t xml:space="preserve">Lecturer’s Name: </w:t>
      </w:r>
      <w:r w:rsidR="00506B41">
        <w:rPr>
          <w:rFonts w:ascii="Arial" w:eastAsia="Arial" w:hAnsi="Arial" w:cs="Arial"/>
          <w:b/>
          <w:sz w:val="26"/>
        </w:rPr>
        <w:t>Jean Wang</w:t>
      </w:r>
    </w:p>
    <w:p w14:paraId="785B4419" w14:textId="77777777" w:rsidR="00E13C84" w:rsidRDefault="00E13C84" w:rsidP="00E13C84">
      <w:pPr>
        <w:spacing w:after="0" w:line="265" w:lineRule="auto"/>
        <w:ind w:left="10" w:right="965" w:hanging="10"/>
        <w:jc w:val="center"/>
        <w:rPr>
          <w:rFonts w:ascii="Arial" w:eastAsia="Arial" w:hAnsi="Arial" w:cs="Arial"/>
          <w:b/>
          <w:sz w:val="26"/>
        </w:rPr>
      </w:pPr>
    </w:p>
    <w:p w14:paraId="3D225A73" w14:textId="6BD5407F" w:rsidR="00E13C84" w:rsidRDefault="00E13C84" w:rsidP="00E13C84">
      <w:pPr>
        <w:spacing w:after="0" w:line="265" w:lineRule="auto"/>
        <w:ind w:left="10" w:right="955" w:hanging="10"/>
        <w:jc w:val="center"/>
      </w:pPr>
      <w:r>
        <w:rPr>
          <w:rFonts w:ascii="Arial" w:eastAsia="Arial" w:hAnsi="Arial" w:cs="Arial"/>
          <w:b/>
          <w:sz w:val="26"/>
        </w:rPr>
        <w:t xml:space="preserve">Student Name: </w:t>
      </w:r>
      <w:r w:rsidR="00506B41">
        <w:rPr>
          <w:rFonts w:ascii="Arial" w:eastAsia="Arial" w:hAnsi="Arial" w:cs="Arial"/>
          <w:b/>
          <w:sz w:val="26"/>
        </w:rPr>
        <w:t xml:space="preserve">Darshil rakesh vaddoriya </w:t>
      </w:r>
    </w:p>
    <w:p w14:paraId="69F4D40D" w14:textId="77777777" w:rsidR="00E13C84" w:rsidRDefault="00E13C84" w:rsidP="00E13C84">
      <w:pPr>
        <w:spacing w:after="0"/>
        <w:ind w:right="884"/>
        <w:jc w:val="center"/>
      </w:pPr>
      <w:r>
        <w:rPr>
          <w:rFonts w:ascii="Arial" w:eastAsia="Arial" w:hAnsi="Arial" w:cs="Arial"/>
          <w:b/>
          <w:sz w:val="26"/>
        </w:rPr>
        <w:t xml:space="preserve"> </w:t>
      </w:r>
    </w:p>
    <w:p w14:paraId="7077F499" w14:textId="3CC0B4AE" w:rsidR="00E13C84" w:rsidRDefault="00E13C84" w:rsidP="00E13C84">
      <w:pPr>
        <w:spacing w:after="0" w:line="265" w:lineRule="auto"/>
        <w:ind w:left="10" w:right="956" w:hanging="10"/>
        <w:jc w:val="center"/>
      </w:pPr>
      <w:r>
        <w:rPr>
          <w:rFonts w:ascii="Arial" w:eastAsia="Arial" w:hAnsi="Arial" w:cs="Arial"/>
          <w:b/>
          <w:sz w:val="26"/>
        </w:rPr>
        <w:t xml:space="preserve">Student ID: </w:t>
      </w:r>
      <w:r w:rsidR="00506B41">
        <w:rPr>
          <w:rFonts w:ascii="Arial" w:eastAsia="Arial" w:hAnsi="Arial" w:cs="Arial"/>
          <w:b/>
          <w:sz w:val="26"/>
        </w:rPr>
        <w:t>2525507</w:t>
      </w:r>
    </w:p>
    <w:p w14:paraId="6E9AA113" w14:textId="77777777" w:rsidR="00E13C84" w:rsidRDefault="00E13C84" w:rsidP="00E13C84">
      <w:pPr>
        <w:spacing w:after="0" w:line="265" w:lineRule="auto"/>
        <w:ind w:left="10" w:right="965" w:hanging="10"/>
        <w:jc w:val="center"/>
      </w:pPr>
    </w:p>
    <w:p w14:paraId="23BB2EA3" w14:textId="77777777" w:rsidR="00E13C84" w:rsidRDefault="00E13C84" w:rsidP="00E13C84">
      <w:pPr>
        <w:spacing w:after="0"/>
        <w:ind w:right="884"/>
        <w:jc w:val="center"/>
      </w:pPr>
      <w:r>
        <w:rPr>
          <w:rFonts w:ascii="Arial" w:eastAsia="Arial" w:hAnsi="Arial" w:cs="Arial"/>
          <w:b/>
          <w:sz w:val="26"/>
        </w:rPr>
        <w:t xml:space="preserve"> </w:t>
      </w:r>
    </w:p>
    <w:p w14:paraId="5EF8F6C2" w14:textId="77777777" w:rsidR="00E13C84" w:rsidRDefault="00E13C84" w:rsidP="00E13C84">
      <w:pPr>
        <w:spacing w:after="0"/>
        <w:ind w:right="884"/>
        <w:jc w:val="center"/>
      </w:pPr>
      <w:r>
        <w:rPr>
          <w:rFonts w:ascii="Arial" w:eastAsia="Arial" w:hAnsi="Arial" w:cs="Arial"/>
          <w:b/>
          <w:sz w:val="26"/>
        </w:rPr>
        <w:t xml:space="preserve"> </w:t>
      </w:r>
    </w:p>
    <w:p w14:paraId="101F5EA0" w14:textId="77777777" w:rsidR="00E13C84" w:rsidRDefault="00E13C84" w:rsidP="00E13C84">
      <w:pPr>
        <w:spacing w:after="0"/>
      </w:pPr>
      <w:r>
        <w:rPr>
          <w:rFonts w:ascii="Arial" w:eastAsia="Arial" w:hAnsi="Arial" w:cs="Arial"/>
          <w:b/>
          <w:sz w:val="26"/>
        </w:rPr>
        <w:t xml:space="preserve"> </w:t>
      </w:r>
    </w:p>
    <w:p w14:paraId="1E7DD40D" w14:textId="4981B279" w:rsidR="00E13C84" w:rsidRDefault="00E13C84" w:rsidP="00E13C84">
      <w:pPr>
        <w:spacing w:after="0" w:line="265" w:lineRule="auto"/>
        <w:ind w:left="10" w:right="956" w:hanging="10"/>
        <w:jc w:val="center"/>
        <w:rPr>
          <w:rFonts w:ascii="Arial" w:eastAsia="Arial" w:hAnsi="Arial" w:cs="Arial"/>
          <w:b/>
          <w:sz w:val="26"/>
        </w:rPr>
      </w:pPr>
      <w:r>
        <w:rPr>
          <w:rFonts w:ascii="Arial" w:eastAsia="Arial" w:hAnsi="Arial" w:cs="Arial"/>
          <w:b/>
          <w:sz w:val="26"/>
        </w:rPr>
        <w:t xml:space="preserve">Work Count: </w:t>
      </w:r>
      <w:r w:rsidR="00B968F5">
        <w:rPr>
          <w:rFonts w:ascii="Arial" w:eastAsia="Arial" w:hAnsi="Arial" w:cs="Arial"/>
          <w:b/>
          <w:sz w:val="26"/>
        </w:rPr>
        <w:t>5000</w:t>
      </w:r>
    </w:p>
    <w:p w14:paraId="54C5CDAB" w14:textId="77777777" w:rsidR="00E13C84" w:rsidRDefault="00E13C84" w:rsidP="00E13C84">
      <w:pPr>
        <w:spacing w:after="0" w:line="265" w:lineRule="auto"/>
        <w:ind w:left="10" w:right="956" w:hanging="10"/>
        <w:jc w:val="center"/>
        <w:rPr>
          <w:rFonts w:ascii="Arial" w:eastAsia="Arial" w:hAnsi="Arial" w:cs="Arial"/>
          <w:b/>
          <w:sz w:val="26"/>
        </w:rPr>
      </w:pPr>
    </w:p>
    <w:p w14:paraId="390AB611" w14:textId="77777777" w:rsidR="00E13C84" w:rsidRDefault="00E13C84" w:rsidP="00E13C84">
      <w:pPr>
        <w:spacing w:after="0" w:line="265" w:lineRule="auto"/>
        <w:ind w:left="10" w:right="956" w:hanging="10"/>
        <w:jc w:val="center"/>
        <w:rPr>
          <w:rFonts w:ascii="Arial" w:eastAsia="Arial" w:hAnsi="Arial" w:cs="Arial"/>
          <w:b/>
          <w:sz w:val="26"/>
        </w:rPr>
      </w:pPr>
    </w:p>
    <w:p w14:paraId="0AB9F26C" w14:textId="57E90953" w:rsidR="00E13C84" w:rsidRDefault="00E13C84" w:rsidP="00E13C84">
      <w:pPr>
        <w:spacing w:after="0" w:line="265" w:lineRule="auto"/>
        <w:ind w:left="10" w:right="956" w:hanging="10"/>
        <w:jc w:val="center"/>
      </w:pPr>
      <w:r>
        <w:rPr>
          <w:rFonts w:ascii="Arial" w:eastAsia="Arial" w:hAnsi="Arial" w:cs="Arial"/>
          <w:b/>
          <w:sz w:val="26"/>
        </w:rPr>
        <w:t>Submission Date:</w:t>
      </w:r>
      <w:r w:rsidR="007B1230">
        <w:rPr>
          <w:rFonts w:ascii="Arial" w:eastAsia="Arial" w:hAnsi="Arial" w:cs="Arial"/>
          <w:b/>
          <w:sz w:val="26"/>
        </w:rPr>
        <w:t>14</w:t>
      </w:r>
      <w:r w:rsidR="007B1230" w:rsidRPr="007B1230">
        <w:rPr>
          <w:rFonts w:ascii="Arial" w:eastAsia="Arial" w:hAnsi="Arial" w:cs="Arial"/>
          <w:b/>
          <w:sz w:val="26"/>
          <w:vertAlign w:val="superscript"/>
        </w:rPr>
        <w:t>th</w:t>
      </w:r>
      <w:r w:rsidR="007B1230">
        <w:rPr>
          <w:rFonts w:ascii="Arial" w:eastAsia="Arial" w:hAnsi="Arial" w:cs="Arial"/>
          <w:b/>
          <w:sz w:val="26"/>
        </w:rPr>
        <w:t xml:space="preserve"> August, 2026</w:t>
      </w:r>
    </w:p>
    <w:p w14:paraId="5C3CCBD7" w14:textId="77777777" w:rsidR="00E13C84" w:rsidRDefault="00E13C84" w:rsidP="00E13C84">
      <w:pPr>
        <w:spacing w:after="0"/>
        <w:ind w:right="884"/>
        <w:jc w:val="center"/>
      </w:pPr>
      <w:r>
        <w:rPr>
          <w:rFonts w:ascii="Arial" w:eastAsia="Arial" w:hAnsi="Arial" w:cs="Arial"/>
          <w:b/>
          <w:sz w:val="26"/>
        </w:rPr>
        <w:t xml:space="preserve"> </w:t>
      </w:r>
    </w:p>
    <w:p w14:paraId="2364DE22" w14:textId="77777777" w:rsidR="00E13C84" w:rsidRDefault="00E13C84" w:rsidP="00E13C84">
      <w:pPr>
        <w:spacing w:after="0"/>
        <w:ind w:right="884"/>
        <w:jc w:val="center"/>
      </w:pPr>
      <w:r>
        <w:rPr>
          <w:rFonts w:ascii="Arial" w:eastAsia="Arial" w:hAnsi="Arial" w:cs="Arial"/>
          <w:b/>
          <w:sz w:val="26"/>
        </w:rPr>
        <w:t xml:space="preserve"> </w:t>
      </w:r>
    </w:p>
    <w:p w14:paraId="6FAA8ED2" w14:textId="77777777" w:rsidR="00E13C84" w:rsidRDefault="00E13C84" w:rsidP="00E13C84">
      <w:pPr>
        <w:spacing w:after="0"/>
        <w:ind w:right="884"/>
        <w:jc w:val="center"/>
      </w:pPr>
      <w:r>
        <w:rPr>
          <w:rFonts w:ascii="Arial" w:eastAsia="Arial" w:hAnsi="Arial" w:cs="Arial"/>
          <w:b/>
          <w:sz w:val="26"/>
        </w:rPr>
        <w:t xml:space="preserve"> </w:t>
      </w:r>
    </w:p>
    <w:p w14:paraId="7D3611A3" w14:textId="77777777" w:rsidR="00E13C84" w:rsidRDefault="00E13C84" w:rsidP="00E13C84">
      <w:pPr>
        <w:spacing w:after="0"/>
        <w:ind w:right="884"/>
        <w:jc w:val="center"/>
      </w:pPr>
      <w:r>
        <w:rPr>
          <w:rFonts w:ascii="Arial" w:eastAsia="Arial" w:hAnsi="Arial" w:cs="Arial"/>
          <w:b/>
          <w:sz w:val="26"/>
        </w:rPr>
        <w:t xml:space="preserve"> </w:t>
      </w:r>
    </w:p>
    <w:p w14:paraId="1E4F8417" w14:textId="77777777" w:rsidR="00E13C84" w:rsidRDefault="00E13C84" w:rsidP="00E13C84">
      <w:pPr>
        <w:spacing w:after="0"/>
        <w:ind w:right="884"/>
        <w:jc w:val="center"/>
      </w:pPr>
      <w:r>
        <w:rPr>
          <w:rFonts w:ascii="Arial" w:eastAsia="Arial" w:hAnsi="Arial" w:cs="Arial"/>
          <w:b/>
          <w:sz w:val="26"/>
        </w:rPr>
        <w:t xml:space="preserve"> </w:t>
      </w:r>
    </w:p>
    <w:p w14:paraId="6B8B3328" w14:textId="3FC3356E" w:rsidR="00E13C84" w:rsidRDefault="00E13C84" w:rsidP="00E13C84">
      <w:pPr>
        <w:spacing w:after="2931" w:line="265" w:lineRule="auto"/>
        <w:ind w:right="947"/>
      </w:pPr>
    </w:p>
    <w:p w14:paraId="3761EB22" w14:textId="77777777" w:rsidR="00E13C84" w:rsidRDefault="00E13C84" w:rsidP="00E13C84">
      <w:pPr>
        <w:jc w:val="center"/>
        <w:rPr>
          <w:b/>
          <w:bCs/>
        </w:rPr>
      </w:pPr>
      <w:r w:rsidRPr="00E13C84">
        <w:rPr>
          <w:b/>
          <w:bCs/>
          <w:sz w:val="28"/>
          <w:szCs w:val="28"/>
        </w:rPr>
        <w:t>AI Acknowledgment</w:t>
      </w:r>
    </w:p>
    <w:p w14:paraId="7D65C6E1" w14:textId="75825F96" w:rsidR="00A952EC" w:rsidRDefault="00E13C84" w:rsidP="00E13C84">
      <w:pPr>
        <w:rPr>
          <w:rFonts w:ascii="Times New Roman" w:hAnsi="Times New Roman" w:cs="Times New Roman"/>
        </w:rPr>
      </w:pPr>
      <w:r w:rsidRPr="00E13C84">
        <w:rPr>
          <w:rFonts w:ascii="Times New Roman" w:hAnsi="Times New Roman" w:cs="Times New Roman"/>
          <w:sz w:val="24"/>
          <w:szCs w:val="24"/>
        </w:rPr>
        <w:t>For this assignment, I have not used any Gen Al tool. I performed the assignment through my own effort on the available resources online such as company websites, articles and journals obtained from Google Scholar and Library of the University. For grammar and punctuation error minimisation I used Grammarly tool.</w:t>
      </w:r>
      <w:r w:rsidRPr="00E13C84">
        <w:rPr>
          <w:rFonts w:ascii="Times New Roman" w:hAnsi="Times New Roman" w:cs="Times New Roman"/>
        </w:rPr>
        <w:br w:type="page"/>
      </w:r>
    </w:p>
    <w:p w14:paraId="7CC9F876" w14:textId="77777777" w:rsidR="007B1230" w:rsidRDefault="007B1230" w:rsidP="00E13C84">
      <w:pPr>
        <w:rPr>
          <w:rFonts w:ascii="Times New Roman" w:hAnsi="Times New Roman" w:cs="Times New Roman"/>
        </w:rPr>
      </w:pPr>
    </w:p>
    <w:p w14:paraId="35821C4A" w14:textId="77777777" w:rsidR="007B1230" w:rsidRDefault="007B1230" w:rsidP="00E13C84">
      <w:pPr>
        <w:rPr>
          <w:rFonts w:ascii="Times New Roman" w:hAnsi="Times New Roman" w:cs="Times New Roman"/>
        </w:rPr>
      </w:pPr>
    </w:p>
    <w:p w14:paraId="75ADBE1E" w14:textId="77777777" w:rsidR="007B1230" w:rsidRDefault="007B1230" w:rsidP="00E13C84">
      <w:pPr>
        <w:rPr>
          <w:rFonts w:ascii="Times New Roman" w:hAnsi="Times New Roman" w:cs="Times New Roman"/>
        </w:rPr>
      </w:pPr>
    </w:p>
    <w:p w14:paraId="75FBC7EE" w14:textId="77777777" w:rsidR="007B1230" w:rsidRDefault="007B1230" w:rsidP="00E13C84">
      <w:pPr>
        <w:rPr>
          <w:rFonts w:ascii="Times New Roman" w:hAnsi="Times New Roman" w:cs="Times New Roman"/>
        </w:rPr>
      </w:pPr>
    </w:p>
    <w:p w14:paraId="32682F68" w14:textId="77777777" w:rsidR="007B1230" w:rsidRDefault="007B1230" w:rsidP="00E13C84">
      <w:pPr>
        <w:rPr>
          <w:rFonts w:ascii="Times New Roman" w:hAnsi="Times New Roman" w:cs="Times New Roman"/>
        </w:rPr>
      </w:pPr>
    </w:p>
    <w:p w14:paraId="1E8235D4" w14:textId="77777777" w:rsidR="007B1230" w:rsidRPr="00E13C84" w:rsidRDefault="007B1230" w:rsidP="00E13C84">
      <w:pPr>
        <w:rPr>
          <w:rFonts w:ascii="Times New Roman" w:hAnsi="Times New Roman" w:cs="Times New Roman"/>
        </w:rPr>
      </w:pPr>
    </w:p>
    <w:sdt>
      <w:sdtPr>
        <w:rPr>
          <w:rFonts w:asciiTheme="minorHAnsi" w:eastAsiaTheme="minorHAnsi" w:hAnsiTheme="minorHAnsi" w:cstheme="minorBidi"/>
          <w:color w:val="auto"/>
          <w:kern w:val="2"/>
          <w:sz w:val="22"/>
          <w:szCs w:val="22"/>
          <w:lang w:val="en-IN"/>
          <w14:ligatures w14:val="standardContextual"/>
        </w:rPr>
        <w:id w:val="1223951101"/>
        <w:docPartObj>
          <w:docPartGallery w:val="Table of Contents"/>
          <w:docPartUnique/>
        </w:docPartObj>
      </w:sdtPr>
      <w:sdtEndPr>
        <w:rPr>
          <w:b/>
          <w:bCs/>
          <w:noProof/>
        </w:rPr>
      </w:sdtEndPr>
      <w:sdtContent>
        <w:p w14:paraId="29B1B6A6" w14:textId="77777777" w:rsidR="00A952EC" w:rsidRDefault="00A952EC" w:rsidP="00A952EC">
          <w:pPr>
            <w:pStyle w:val="TOCHeading"/>
          </w:pPr>
          <w:r>
            <w:t>Contents</w:t>
          </w:r>
        </w:p>
        <w:p w14:paraId="5753184A" w14:textId="5B53E960" w:rsidR="001C49B2" w:rsidRDefault="00A952EC">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36835875" w:history="1">
            <w:r w:rsidR="001C49B2" w:rsidRPr="00A74409">
              <w:rPr>
                <w:rStyle w:val="Hyperlink"/>
                <w:rFonts w:ascii="Times New Roman" w:hAnsi="Times New Roman" w:cs="Times New Roman"/>
                <w:b/>
                <w:bCs/>
                <w:noProof/>
              </w:rPr>
              <w:t>INTRODUCTION</w:t>
            </w:r>
            <w:r w:rsidR="001C49B2">
              <w:rPr>
                <w:noProof/>
                <w:webHidden/>
              </w:rPr>
              <w:tab/>
            </w:r>
            <w:r w:rsidR="001C49B2">
              <w:rPr>
                <w:noProof/>
                <w:webHidden/>
              </w:rPr>
              <w:fldChar w:fldCharType="begin"/>
            </w:r>
            <w:r w:rsidR="001C49B2">
              <w:rPr>
                <w:noProof/>
                <w:webHidden/>
              </w:rPr>
              <w:instrText xml:space="preserve"> PAGEREF _Toc236835875 \h </w:instrText>
            </w:r>
            <w:r w:rsidR="001C49B2">
              <w:rPr>
                <w:noProof/>
                <w:webHidden/>
              </w:rPr>
            </w:r>
            <w:r w:rsidR="001C49B2">
              <w:rPr>
                <w:noProof/>
                <w:webHidden/>
              </w:rPr>
              <w:fldChar w:fldCharType="separate"/>
            </w:r>
            <w:r w:rsidR="001C49B2">
              <w:rPr>
                <w:noProof/>
                <w:webHidden/>
              </w:rPr>
              <w:t>4</w:t>
            </w:r>
            <w:r w:rsidR="001C49B2">
              <w:rPr>
                <w:noProof/>
                <w:webHidden/>
              </w:rPr>
              <w:fldChar w:fldCharType="end"/>
            </w:r>
          </w:hyperlink>
        </w:p>
        <w:p w14:paraId="29D7BF47" w14:textId="7EFE4E16" w:rsidR="001C49B2" w:rsidRDefault="001C49B2">
          <w:pPr>
            <w:pStyle w:val="TOC1"/>
            <w:tabs>
              <w:tab w:val="right" w:leader="dot" w:pos="9016"/>
            </w:tabs>
            <w:rPr>
              <w:rFonts w:eastAsiaTheme="minorEastAsia"/>
              <w:noProof/>
              <w:sz w:val="24"/>
              <w:szCs w:val="24"/>
              <w:lang w:eastAsia="en-IN"/>
            </w:rPr>
          </w:pPr>
          <w:hyperlink w:anchor="_Toc236835876" w:history="1">
            <w:r w:rsidRPr="00A74409">
              <w:rPr>
                <w:rStyle w:val="Hyperlink"/>
                <w:rFonts w:ascii="Times New Roman" w:hAnsi="Times New Roman" w:cs="Times New Roman"/>
                <w:b/>
                <w:bCs/>
                <w:noProof/>
              </w:rPr>
              <w:t>SECTION 1</w:t>
            </w:r>
            <w:r>
              <w:rPr>
                <w:noProof/>
                <w:webHidden/>
              </w:rPr>
              <w:tab/>
            </w:r>
            <w:r>
              <w:rPr>
                <w:noProof/>
                <w:webHidden/>
              </w:rPr>
              <w:fldChar w:fldCharType="begin"/>
            </w:r>
            <w:r>
              <w:rPr>
                <w:noProof/>
                <w:webHidden/>
              </w:rPr>
              <w:instrText xml:space="preserve"> PAGEREF _Toc236835876 \h </w:instrText>
            </w:r>
            <w:r>
              <w:rPr>
                <w:noProof/>
                <w:webHidden/>
              </w:rPr>
            </w:r>
            <w:r>
              <w:rPr>
                <w:noProof/>
                <w:webHidden/>
              </w:rPr>
              <w:fldChar w:fldCharType="separate"/>
            </w:r>
            <w:r>
              <w:rPr>
                <w:noProof/>
                <w:webHidden/>
              </w:rPr>
              <w:t>4</w:t>
            </w:r>
            <w:r>
              <w:rPr>
                <w:noProof/>
                <w:webHidden/>
              </w:rPr>
              <w:fldChar w:fldCharType="end"/>
            </w:r>
          </w:hyperlink>
        </w:p>
        <w:p w14:paraId="54D1CBF3" w14:textId="035540CF" w:rsidR="001C49B2" w:rsidRDefault="001C49B2">
          <w:pPr>
            <w:pStyle w:val="TOC1"/>
            <w:tabs>
              <w:tab w:val="right" w:leader="dot" w:pos="9016"/>
            </w:tabs>
            <w:rPr>
              <w:rFonts w:eastAsiaTheme="minorEastAsia"/>
              <w:noProof/>
              <w:sz w:val="24"/>
              <w:szCs w:val="24"/>
              <w:lang w:eastAsia="en-IN"/>
            </w:rPr>
          </w:pPr>
          <w:hyperlink w:anchor="_Toc236835877" w:history="1">
            <w:r w:rsidRPr="00A74409">
              <w:rPr>
                <w:rStyle w:val="Hyperlink"/>
                <w:rFonts w:ascii="Times New Roman" w:hAnsi="Times New Roman" w:cs="Times New Roman"/>
                <w:b/>
                <w:bCs/>
                <w:noProof/>
              </w:rPr>
              <w:t>1. Organizational Classification and Global Strategy</w:t>
            </w:r>
            <w:r>
              <w:rPr>
                <w:noProof/>
                <w:webHidden/>
              </w:rPr>
              <w:tab/>
            </w:r>
            <w:r>
              <w:rPr>
                <w:noProof/>
                <w:webHidden/>
              </w:rPr>
              <w:fldChar w:fldCharType="begin"/>
            </w:r>
            <w:r>
              <w:rPr>
                <w:noProof/>
                <w:webHidden/>
              </w:rPr>
              <w:instrText xml:space="preserve"> PAGEREF _Toc236835877 \h </w:instrText>
            </w:r>
            <w:r>
              <w:rPr>
                <w:noProof/>
                <w:webHidden/>
              </w:rPr>
            </w:r>
            <w:r>
              <w:rPr>
                <w:noProof/>
                <w:webHidden/>
              </w:rPr>
              <w:fldChar w:fldCharType="separate"/>
            </w:r>
            <w:r>
              <w:rPr>
                <w:noProof/>
                <w:webHidden/>
              </w:rPr>
              <w:t>4</w:t>
            </w:r>
            <w:r>
              <w:rPr>
                <w:noProof/>
                <w:webHidden/>
              </w:rPr>
              <w:fldChar w:fldCharType="end"/>
            </w:r>
          </w:hyperlink>
        </w:p>
        <w:p w14:paraId="0F8A1C38" w14:textId="43F568A1" w:rsidR="001C49B2" w:rsidRDefault="001C49B2">
          <w:pPr>
            <w:pStyle w:val="TOC2"/>
            <w:tabs>
              <w:tab w:val="right" w:leader="dot" w:pos="9016"/>
            </w:tabs>
            <w:rPr>
              <w:rFonts w:eastAsiaTheme="minorEastAsia"/>
              <w:noProof/>
              <w:sz w:val="24"/>
              <w:szCs w:val="24"/>
              <w:lang w:eastAsia="en-IN"/>
            </w:rPr>
          </w:pPr>
          <w:hyperlink w:anchor="_Toc236835878" w:history="1">
            <w:r w:rsidRPr="00A74409">
              <w:rPr>
                <w:rStyle w:val="Hyperlink"/>
                <w:rFonts w:ascii="Times New Roman" w:hAnsi="Times New Roman" w:cs="Times New Roman"/>
                <w:i/>
                <w:iCs/>
                <w:noProof/>
              </w:rPr>
              <w:t>1.1 Strategic Categorisation</w:t>
            </w:r>
            <w:r>
              <w:rPr>
                <w:noProof/>
                <w:webHidden/>
              </w:rPr>
              <w:tab/>
            </w:r>
            <w:r>
              <w:rPr>
                <w:noProof/>
                <w:webHidden/>
              </w:rPr>
              <w:fldChar w:fldCharType="begin"/>
            </w:r>
            <w:r>
              <w:rPr>
                <w:noProof/>
                <w:webHidden/>
              </w:rPr>
              <w:instrText xml:space="preserve"> PAGEREF _Toc236835878 \h </w:instrText>
            </w:r>
            <w:r>
              <w:rPr>
                <w:noProof/>
                <w:webHidden/>
              </w:rPr>
            </w:r>
            <w:r>
              <w:rPr>
                <w:noProof/>
                <w:webHidden/>
              </w:rPr>
              <w:fldChar w:fldCharType="separate"/>
            </w:r>
            <w:r>
              <w:rPr>
                <w:noProof/>
                <w:webHidden/>
              </w:rPr>
              <w:t>4</w:t>
            </w:r>
            <w:r>
              <w:rPr>
                <w:noProof/>
                <w:webHidden/>
              </w:rPr>
              <w:fldChar w:fldCharType="end"/>
            </w:r>
          </w:hyperlink>
        </w:p>
        <w:p w14:paraId="40695C3F" w14:textId="13F8BAC3" w:rsidR="001C49B2" w:rsidRDefault="001C49B2">
          <w:pPr>
            <w:pStyle w:val="TOC2"/>
            <w:tabs>
              <w:tab w:val="right" w:leader="dot" w:pos="9016"/>
            </w:tabs>
            <w:rPr>
              <w:rFonts w:eastAsiaTheme="minorEastAsia"/>
              <w:noProof/>
              <w:sz w:val="24"/>
              <w:szCs w:val="24"/>
              <w:lang w:eastAsia="en-IN"/>
            </w:rPr>
          </w:pPr>
          <w:hyperlink w:anchor="_Toc236835879" w:history="1">
            <w:r w:rsidRPr="00A74409">
              <w:rPr>
                <w:rStyle w:val="Hyperlink"/>
                <w:rFonts w:ascii="Times New Roman" w:hAnsi="Times New Roman" w:cs="Times New Roman"/>
                <w:i/>
                <w:iCs/>
                <w:noProof/>
              </w:rPr>
              <w:t>1.2 Global Configuration</w:t>
            </w:r>
            <w:r>
              <w:rPr>
                <w:noProof/>
                <w:webHidden/>
              </w:rPr>
              <w:tab/>
            </w:r>
            <w:r>
              <w:rPr>
                <w:noProof/>
                <w:webHidden/>
              </w:rPr>
              <w:fldChar w:fldCharType="begin"/>
            </w:r>
            <w:r>
              <w:rPr>
                <w:noProof/>
                <w:webHidden/>
              </w:rPr>
              <w:instrText xml:space="preserve"> PAGEREF _Toc236835879 \h </w:instrText>
            </w:r>
            <w:r>
              <w:rPr>
                <w:noProof/>
                <w:webHidden/>
              </w:rPr>
            </w:r>
            <w:r>
              <w:rPr>
                <w:noProof/>
                <w:webHidden/>
              </w:rPr>
              <w:fldChar w:fldCharType="separate"/>
            </w:r>
            <w:r>
              <w:rPr>
                <w:noProof/>
                <w:webHidden/>
              </w:rPr>
              <w:t>5</w:t>
            </w:r>
            <w:r>
              <w:rPr>
                <w:noProof/>
                <w:webHidden/>
              </w:rPr>
              <w:fldChar w:fldCharType="end"/>
            </w:r>
          </w:hyperlink>
        </w:p>
        <w:p w14:paraId="2504B6CD" w14:textId="4A4220B7" w:rsidR="001C49B2" w:rsidRDefault="001C49B2">
          <w:pPr>
            <w:pStyle w:val="TOC1"/>
            <w:tabs>
              <w:tab w:val="right" w:leader="dot" w:pos="9016"/>
            </w:tabs>
            <w:rPr>
              <w:rFonts w:eastAsiaTheme="minorEastAsia"/>
              <w:noProof/>
              <w:sz w:val="24"/>
              <w:szCs w:val="24"/>
              <w:lang w:eastAsia="en-IN"/>
            </w:rPr>
          </w:pPr>
          <w:hyperlink w:anchor="_Toc236835880" w:history="1">
            <w:r w:rsidRPr="00A74409">
              <w:rPr>
                <w:rStyle w:val="Hyperlink"/>
                <w:rFonts w:ascii="Times New Roman" w:hAnsi="Times New Roman" w:cs="Times New Roman"/>
                <w:b/>
                <w:bCs/>
                <w:noProof/>
              </w:rPr>
              <w:t>2. Macro-Environmental Appraisal and Market Attractiveness of Egypt</w:t>
            </w:r>
            <w:r>
              <w:rPr>
                <w:noProof/>
                <w:webHidden/>
              </w:rPr>
              <w:tab/>
            </w:r>
            <w:r>
              <w:rPr>
                <w:noProof/>
                <w:webHidden/>
              </w:rPr>
              <w:fldChar w:fldCharType="begin"/>
            </w:r>
            <w:r>
              <w:rPr>
                <w:noProof/>
                <w:webHidden/>
              </w:rPr>
              <w:instrText xml:space="preserve"> PAGEREF _Toc236835880 \h </w:instrText>
            </w:r>
            <w:r>
              <w:rPr>
                <w:noProof/>
                <w:webHidden/>
              </w:rPr>
            </w:r>
            <w:r>
              <w:rPr>
                <w:noProof/>
                <w:webHidden/>
              </w:rPr>
              <w:fldChar w:fldCharType="separate"/>
            </w:r>
            <w:r>
              <w:rPr>
                <w:noProof/>
                <w:webHidden/>
              </w:rPr>
              <w:t>5</w:t>
            </w:r>
            <w:r>
              <w:rPr>
                <w:noProof/>
                <w:webHidden/>
              </w:rPr>
              <w:fldChar w:fldCharType="end"/>
            </w:r>
          </w:hyperlink>
        </w:p>
        <w:p w14:paraId="40E5AF1D" w14:textId="7316E48B" w:rsidR="001C49B2" w:rsidRDefault="001C49B2">
          <w:pPr>
            <w:pStyle w:val="TOC2"/>
            <w:tabs>
              <w:tab w:val="right" w:leader="dot" w:pos="9016"/>
            </w:tabs>
            <w:rPr>
              <w:rFonts w:eastAsiaTheme="minorEastAsia"/>
              <w:noProof/>
              <w:sz w:val="24"/>
              <w:szCs w:val="24"/>
              <w:lang w:eastAsia="en-IN"/>
            </w:rPr>
          </w:pPr>
          <w:hyperlink w:anchor="_Toc236835881" w:history="1">
            <w:r w:rsidRPr="00A74409">
              <w:rPr>
                <w:rStyle w:val="Hyperlink"/>
                <w:rFonts w:ascii="Times New Roman" w:hAnsi="Times New Roman" w:cs="Times New Roman"/>
                <w:i/>
                <w:iCs/>
                <w:noProof/>
              </w:rPr>
              <w:t>2.1 Political Environment</w:t>
            </w:r>
            <w:r>
              <w:rPr>
                <w:noProof/>
                <w:webHidden/>
              </w:rPr>
              <w:tab/>
            </w:r>
            <w:r>
              <w:rPr>
                <w:noProof/>
                <w:webHidden/>
              </w:rPr>
              <w:fldChar w:fldCharType="begin"/>
            </w:r>
            <w:r>
              <w:rPr>
                <w:noProof/>
                <w:webHidden/>
              </w:rPr>
              <w:instrText xml:space="preserve"> PAGEREF _Toc236835881 \h </w:instrText>
            </w:r>
            <w:r>
              <w:rPr>
                <w:noProof/>
                <w:webHidden/>
              </w:rPr>
            </w:r>
            <w:r>
              <w:rPr>
                <w:noProof/>
                <w:webHidden/>
              </w:rPr>
              <w:fldChar w:fldCharType="separate"/>
            </w:r>
            <w:r>
              <w:rPr>
                <w:noProof/>
                <w:webHidden/>
              </w:rPr>
              <w:t>5</w:t>
            </w:r>
            <w:r>
              <w:rPr>
                <w:noProof/>
                <w:webHidden/>
              </w:rPr>
              <w:fldChar w:fldCharType="end"/>
            </w:r>
          </w:hyperlink>
        </w:p>
        <w:p w14:paraId="467BC0CE" w14:textId="5AACB2FB" w:rsidR="001C49B2" w:rsidRDefault="001C49B2">
          <w:pPr>
            <w:pStyle w:val="TOC2"/>
            <w:tabs>
              <w:tab w:val="right" w:leader="dot" w:pos="9016"/>
            </w:tabs>
            <w:rPr>
              <w:rFonts w:eastAsiaTheme="minorEastAsia"/>
              <w:noProof/>
              <w:sz w:val="24"/>
              <w:szCs w:val="24"/>
              <w:lang w:eastAsia="en-IN"/>
            </w:rPr>
          </w:pPr>
          <w:hyperlink w:anchor="_Toc236835882" w:history="1">
            <w:r w:rsidRPr="00A74409">
              <w:rPr>
                <w:rStyle w:val="Hyperlink"/>
                <w:rFonts w:ascii="Times New Roman" w:hAnsi="Times New Roman" w:cs="Times New Roman"/>
                <w:i/>
                <w:iCs/>
                <w:noProof/>
              </w:rPr>
              <w:t>2.2 Economic Environment</w:t>
            </w:r>
            <w:r>
              <w:rPr>
                <w:noProof/>
                <w:webHidden/>
              </w:rPr>
              <w:tab/>
            </w:r>
            <w:r>
              <w:rPr>
                <w:noProof/>
                <w:webHidden/>
              </w:rPr>
              <w:fldChar w:fldCharType="begin"/>
            </w:r>
            <w:r>
              <w:rPr>
                <w:noProof/>
                <w:webHidden/>
              </w:rPr>
              <w:instrText xml:space="preserve"> PAGEREF _Toc236835882 \h </w:instrText>
            </w:r>
            <w:r>
              <w:rPr>
                <w:noProof/>
                <w:webHidden/>
              </w:rPr>
            </w:r>
            <w:r>
              <w:rPr>
                <w:noProof/>
                <w:webHidden/>
              </w:rPr>
              <w:fldChar w:fldCharType="separate"/>
            </w:r>
            <w:r>
              <w:rPr>
                <w:noProof/>
                <w:webHidden/>
              </w:rPr>
              <w:t>6</w:t>
            </w:r>
            <w:r>
              <w:rPr>
                <w:noProof/>
                <w:webHidden/>
              </w:rPr>
              <w:fldChar w:fldCharType="end"/>
            </w:r>
          </w:hyperlink>
        </w:p>
        <w:p w14:paraId="14A06D70" w14:textId="7AEEBF40" w:rsidR="001C49B2" w:rsidRDefault="001C49B2">
          <w:pPr>
            <w:pStyle w:val="TOC2"/>
            <w:tabs>
              <w:tab w:val="right" w:leader="dot" w:pos="9016"/>
            </w:tabs>
            <w:rPr>
              <w:rFonts w:eastAsiaTheme="minorEastAsia"/>
              <w:noProof/>
              <w:sz w:val="24"/>
              <w:szCs w:val="24"/>
              <w:lang w:eastAsia="en-IN"/>
            </w:rPr>
          </w:pPr>
          <w:hyperlink w:anchor="_Toc236835883" w:history="1">
            <w:r w:rsidRPr="00A74409">
              <w:rPr>
                <w:rStyle w:val="Hyperlink"/>
                <w:rFonts w:ascii="Times New Roman" w:hAnsi="Times New Roman" w:cs="Times New Roman"/>
                <w:i/>
                <w:iCs/>
                <w:noProof/>
              </w:rPr>
              <w:t>2.3 Legal Environment</w:t>
            </w:r>
            <w:r>
              <w:rPr>
                <w:noProof/>
                <w:webHidden/>
              </w:rPr>
              <w:tab/>
            </w:r>
            <w:r>
              <w:rPr>
                <w:noProof/>
                <w:webHidden/>
              </w:rPr>
              <w:fldChar w:fldCharType="begin"/>
            </w:r>
            <w:r>
              <w:rPr>
                <w:noProof/>
                <w:webHidden/>
              </w:rPr>
              <w:instrText xml:space="preserve"> PAGEREF _Toc236835883 \h </w:instrText>
            </w:r>
            <w:r>
              <w:rPr>
                <w:noProof/>
                <w:webHidden/>
              </w:rPr>
            </w:r>
            <w:r>
              <w:rPr>
                <w:noProof/>
                <w:webHidden/>
              </w:rPr>
              <w:fldChar w:fldCharType="separate"/>
            </w:r>
            <w:r>
              <w:rPr>
                <w:noProof/>
                <w:webHidden/>
              </w:rPr>
              <w:t>8</w:t>
            </w:r>
            <w:r>
              <w:rPr>
                <w:noProof/>
                <w:webHidden/>
              </w:rPr>
              <w:fldChar w:fldCharType="end"/>
            </w:r>
          </w:hyperlink>
        </w:p>
        <w:p w14:paraId="699329EB" w14:textId="167BE295" w:rsidR="001C49B2" w:rsidRDefault="001C49B2">
          <w:pPr>
            <w:pStyle w:val="TOC2"/>
            <w:tabs>
              <w:tab w:val="right" w:leader="dot" w:pos="9016"/>
            </w:tabs>
            <w:rPr>
              <w:rFonts w:eastAsiaTheme="minorEastAsia"/>
              <w:noProof/>
              <w:sz w:val="24"/>
              <w:szCs w:val="24"/>
              <w:lang w:eastAsia="en-IN"/>
            </w:rPr>
          </w:pPr>
          <w:hyperlink w:anchor="_Toc236835884" w:history="1">
            <w:r w:rsidRPr="00A74409">
              <w:rPr>
                <w:rStyle w:val="Hyperlink"/>
                <w:rFonts w:ascii="Times New Roman" w:hAnsi="Times New Roman" w:cs="Times New Roman"/>
                <w:i/>
                <w:iCs/>
                <w:noProof/>
              </w:rPr>
              <w:t>2.4 Cultural Environment</w:t>
            </w:r>
            <w:r>
              <w:rPr>
                <w:noProof/>
                <w:webHidden/>
              </w:rPr>
              <w:tab/>
            </w:r>
            <w:r>
              <w:rPr>
                <w:noProof/>
                <w:webHidden/>
              </w:rPr>
              <w:fldChar w:fldCharType="begin"/>
            </w:r>
            <w:r>
              <w:rPr>
                <w:noProof/>
                <w:webHidden/>
              </w:rPr>
              <w:instrText xml:space="preserve"> PAGEREF _Toc236835884 \h </w:instrText>
            </w:r>
            <w:r>
              <w:rPr>
                <w:noProof/>
                <w:webHidden/>
              </w:rPr>
            </w:r>
            <w:r>
              <w:rPr>
                <w:noProof/>
                <w:webHidden/>
              </w:rPr>
              <w:fldChar w:fldCharType="separate"/>
            </w:r>
            <w:r>
              <w:rPr>
                <w:noProof/>
                <w:webHidden/>
              </w:rPr>
              <w:t>9</w:t>
            </w:r>
            <w:r>
              <w:rPr>
                <w:noProof/>
                <w:webHidden/>
              </w:rPr>
              <w:fldChar w:fldCharType="end"/>
            </w:r>
          </w:hyperlink>
        </w:p>
        <w:p w14:paraId="4DBBFA1B" w14:textId="66C394EF" w:rsidR="001C49B2" w:rsidRDefault="001C49B2">
          <w:pPr>
            <w:pStyle w:val="TOC2"/>
            <w:tabs>
              <w:tab w:val="right" w:leader="dot" w:pos="9016"/>
            </w:tabs>
            <w:rPr>
              <w:rFonts w:eastAsiaTheme="minorEastAsia"/>
              <w:noProof/>
              <w:sz w:val="24"/>
              <w:szCs w:val="24"/>
              <w:lang w:eastAsia="en-IN"/>
            </w:rPr>
          </w:pPr>
          <w:hyperlink w:anchor="_Toc236835885" w:history="1">
            <w:r w:rsidRPr="00A74409">
              <w:rPr>
                <w:rStyle w:val="Hyperlink"/>
                <w:rFonts w:ascii="Times New Roman" w:hAnsi="Times New Roman" w:cs="Times New Roman"/>
                <w:i/>
                <w:iCs/>
                <w:noProof/>
              </w:rPr>
              <w:t>2.5 Market Entry Analysis Using the Eclectic Paradigm (OLI Framework)</w:t>
            </w:r>
            <w:r>
              <w:rPr>
                <w:noProof/>
                <w:webHidden/>
              </w:rPr>
              <w:tab/>
            </w:r>
            <w:r>
              <w:rPr>
                <w:noProof/>
                <w:webHidden/>
              </w:rPr>
              <w:fldChar w:fldCharType="begin"/>
            </w:r>
            <w:r>
              <w:rPr>
                <w:noProof/>
                <w:webHidden/>
              </w:rPr>
              <w:instrText xml:space="preserve"> PAGEREF _Toc236835885 \h </w:instrText>
            </w:r>
            <w:r>
              <w:rPr>
                <w:noProof/>
                <w:webHidden/>
              </w:rPr>
            </w:r>
            <w:r>
              <w:rPr>
                <w:noProof/>
                <w:webHidden/>
              </w:rPr>
              <w:fldChar w:fldCharType="separate"/>
            </w:r>
            <w:r>
              <w:rPr>
                <w:noProof/>
                <w:webHidden/>
              </w:rPr>
              <w:t>10</w:t>
            </w:r>
            <w:r>
              <w:rPr>
                <w:noProof/>
                <w:webHidden/>
              </w:rPr>
              <w:fldChar w:fldCharType="end"/>
            </w:r>
          </w:hyperlink>
        </w:p>
        <w:p w14:paraId="3F76C090" w14:textId="36D48B0F" w:rsidR="001C49B2" w:rsidRDefault="001C49B2">
          <w:pPr>
            <w:pStyle w:val="TOC1"/>
            <w:tabs>
              <w:tab w:val="right" w:leader="dot" w:pos="9016"/>
            </w:tabs>
            <w:rPr>
              <w:rFonts w:eastAsiaTheme="minorEastAsia"/>
              <w:noProof/>
              <w:sz w:val="24"/>
              <w:szCs w:val="24"/>
              <w:lang w:eastAsia="en-IN"/>
            </w:rPr>
          </w:pPr>
          <w:hyperlink w:anchor="_Toc236835886" w:history="1">
            <w:r w:rsidRPr="00A74409">
              <w:rPr>
                <w:rStyle w:val="Hyperlink"/>
                <w:rFonts w:ascii="Times New Roman" w:hAnsi="Times New Roman" w:cs="Times New Roman"/>
                <w:b/>
                <w:bCs/>
                <w:noProof/>
              </w:rPr>
              <w:t>3. Entry Mode Strategy and Strategic Synthesis</w:t>
            </w:r>
            <w:r>
              <w:rPr>
                <w:noProof/>
                <w:webHidden/>
              </w:rPr>
              <w:tab/>
            </w:r>
            <w:r>
              <w:rPr>
                <w:noProof/>
                <w:webHidden/>
              </w:rPr>
              <w:fldChar w:fldCharType="begin"/>
            </w:r>
            <w:r>
              <w:rPr>
                <w:noProof/>
                <w:webHidden/>
              </w:rPr>
              <w:instrText xml:space="preserve"> PAGEREF _Toc236835886 \h </w:instrText>
            </w:r>
            <w:r>
              <w:rPr>
                <w:noProof/>
                <w:webHidden/>
              </w:rPr>
            </w:r>
            <w:r>
              <w:rPr>
                <w:noProof/>
                <w:webHidden/>
              </w:rPr>
              <w:fldChar w:fldCharType="separate"/>
            </w:r>
            <w:r>
              <w:rPr>
                <w:noProof/>
                <w:webHidden/>
              </w:rPr>
              <w:t>12</w:t>
            </w:r>
            <w:r>
              <w:rPr>
                <w:noProof/>
                <w:webHidden/>
              </w:rPr>
              <w:fldChar w:fldCharType="end"/>
            </w:r>
          </w:hyperlink>
        </w:p>
        <w:p w14:paraId="49C63D96" w14:textId="566047DE" w:rsidR="001C49B2" w:rsidRDefault="001C49B2">
          <w:pPr>
            <w:pStyle w:val="TOC2"/>
            <w:tabs>
              <w:tab w:val="right" w:leader="dot" w:pos="9016"/>
            </w:tabs>
            <w:rPr>
              <w:rFonts w:eastAsiaTheme="minorEastAsia"/>
              <w:noProof/>
              <w:sz w:val="24"/>
              <w:szCs w:val="24"/>
              <w:lang w:eastAsia="en-IN"/>
            </w:rPr>
          </w:pPr>
          <w:hyperlink w:anchor="_Toc236835887" w:history="1">
            <w:r w:rsidRPr="00A74409">
              <w:rPr>
                <w:rStyle w:val="Hyperlink"/>
                <w:rFonts w:ascii="Times New Roman" w:hAnsi="Times New Roman" w:cs="Times New Roman"/>
                <w:i/>
                <w:iCs/>
                <w:noProof/>
              </w:rPr>
              <w:t>3.1 Historical Pattern Recognition</w:t>
            </w:r>
            <w:r>
              <w:rPr>
                <w:noProof/>
                <w:webHidden/>
              </w:rPr>
              <w:tab/>
            </w:r>
            <w:r>
              <w:rPr>
                <w:noProof/>
                <w:webHidden/>
              </w:rPr>
              <w:fldChar w:fldCharType="begin"/>
            </w:r>
            <w:r>
              <w:rPr>
                <w:noProof/>
                <w:webHidden/>
              </w:rPr>
              <w:instrText xml:space="preserve"> PAGEREF _Toc236835887 \h </w:instrText>
            </w:r>
            <w:r>
              <w:rPr>
                <w:noProof/>
                <w:webHidden/>
              </w:rPr>
            </w:r>
            <w:r>
              <w:rPr>
                <w:noProof/>
                <w:webHidden/>
              </w:rPr>
              <w:fldChar w:fldCharType="separate"/>
            </w:r>
            <w:r>
              <w:rPr>
                <w:noProof/>
                <w:webHidden/>
              </w:rPr>
              <w:t>12</w:t>
            </w:r>
            <w:r>
              <w:rPr>
                <w:noProof/>
                <w:webHidden/>
              </w:rPr>
              <w:fldChar w:fldCharType="end"/>
            </w:r>
          </w:hyperlink>
        </w:p>
        <w:p w14:paraId="55358533" w14:textId="360BC768" w:rsidR="001C49B2" w:rsidRDefault="001C49B2">
          <w:pPr>
            <w:pStyle w:val="TOC2"/>
            <w:tabs>
              <w:tab w:val="right" w:leader="dot" w:pos="9016"/>
            </w:tabs>
            <w:rPr>
              <w:rFonts w:eastAsiaTheme="minorEastAsia"/>
              <w:noProof/>
              <w:sz w:val="24"/>
              <w:szCs w:val="24"/>
              <w:lang w:eastAsia="en-IN"/>
            </w:rPr>
          </w:pPr>
          <w:hyperlink w:anchor="_Toc236835888" w:history="1">
            <w:r w:rsidRPr="00A74409">
              <w:rPr>
                <w:rStyle w:val="Hyperlink"/>
                <w:rFonts w:ascii="Times New Roman" w:hAnsi="Times New Roman" w:cs="Times New Roman"/>
                <w:i/>
                <w:iCs/>
                <w:noProof/>
              </w:rPr>
              <w:t>3.2 Strategic Fit and Justification for Egypt</w:t>
            </w:r>
            <w:r>
              <w:rPr>
                <w:noProof/>
                <w:webHidden/>
              </w:rPr>
              <w:tab/>
            </w:r>
            <w:r>
              <w:rPr>
                <w:noProof/>
                <w:webHidden/>
              </w:rPr>
              <w:fldChar w:fldCharType="begin"/>
            </w:r>
            <w:r>
              <w:rPr>
                <w:noProof/>
                <w:webHidden/>
              </w:rPr>
              <w:instrText xml:space="preserve"> PAGEREF _Toc236835888 \h </w:instrText>
            </w:r>
            <w:r>
              <w:rPr>
                <w:noProof/>
                <w:webHidden/>
              </w:rPr>
            </w:r>
            <w:r>
              <w:rPr>
                <w:noProof/>
                <w:webHidden/>
              </w:rPr>
              <w:fldChar w:fldCharType="separate"/>
            </w:r>
            <w:r>
              <w:rPr>
                <w:noProof/>
                <w:webHidden/>
              </w:rPr>
              <w:t>13</w:t>
            </w:r>
            <w:r>
              <w:rPr>
                <w:noProof/>
                <w:webHidden/>
              </w:rPr>
              <w:fldChar w:fldCharType="end"/>
            </w:r>
          </w:hyperlink>
        </w:p>
        <w:p w14:paraId="0143C9FA" w14:textId="4476D5F4" w:rsidR="001C49B2" w:rsidRDefault="001C49B2">
          <w:pPr>
            <w:pStyle w:val="TOC2"/>
            <w:tabs>
              <w:tab w:val="right" w:leader="dot" w:pos="9016"/>
            </w:tabs>
            <w:rPr>
              <w:rFonts w:eastAsiaTheme="minorEastAsia"/>
              <w:noProof/>
              <w:sz w:val="24"/>
              <w:szCs w:val="24"/>
              <w:lang w:eastAsia="en-IN"/>
            </w:rPr>
          </w:pPr>
          <w:hyperlink w:anchor="_Toc236835889" w:history="1">
            <w:r w:rsidRPr="00A74409">
              <w:rPr>
                <w:rStyle w:val="Hyperlink"/>
                <w:rFonts w:ascii="Times New Roman" w:hAnsi="Times New Roman" w:cs="Times New Roman"/>
                <w:i/>
                <w:iCs/>
                <w:noProof/>
              </w:rPr>
              <w:t>3.3 Conclusion and Recommendations</w:t>
            </w:r>
            <w:r>
              <w:rPr>
                <w:noProof/>
                <w:webHidden/>
              </w:rPr>
              <w:tab/>
            </w:r>
            <w:r>
              <w:rPr>
                <w:noProof/>
                <w:webHidden/>
              </w:rPr>
              <w:fldChar w:fldCharType="begin"/>
            </w:r>
            <w:r>
              <w:rPr>
                <w:noProof/>
                <w:webHidden/>
              </w:rPr>
              <w:instrText xml:space="preserve"> PAGEREF _Toc236835889 \h </w:instrText>
            </w:r>
            <w:r>
              <w:rPr>
                <w:noProof/>
                <w:webHidden/>
              </w:rPr>
            </w:r>
            <w:r>
              <w:rPr>
                <w:noProof/>
                <w:webHidden/>
              </w:rPr>
              <w:fldChar w:fldCharType="separate"/>
            </w:r>
            <w:r>
              <w:rPr>
                <w:noProof/>
                <w:webHidden/>
              </w:rPr>
              <w:t>14</w:t>
            </w:r>
            <w:r>
              <w:rPr>
                <w:noProof/>
                <w:webHidden/>
              </w:rPr>
              <w:fldChar w:fldCharType="end"/>
            </w:r>
          </w:hyperlink>
        </w:p>
        <w:p w14:paraId="20A82422" w14:textId="3B56E898" w:rsidR="001C49B2" w:rsidRDefault="001C49B2">
          <w:pPr>
            <w:pStyle w:val="TOC1"/>
            <w:tabs>
              <w:tab w:val="right" w:leader="dot" w:pos="9016"/>
            </w:tabs>
            <w:rPr>
              <w:rFonts w:eastAsiaTheme="minorEastAsia"/>
              <w:noProof/>
              <w:sz w:val="24"/>
              <w:szCs w:val="24"/>
              <w:lang w:eastAsia="en-IN"/>
            </w:rPr>
          </w:pPr>
          <w:hyperlink w:anchor="_Toc236835890" w:history="1">
            <w:r w:rsidRPr="00A74409">
              <w:rPr>
                <w:rStyle w:val="Hyperlink"/>
                <w:rFonts w:ascii="Times New Roman" w:hAnsi="Times New Roman" w:cs="Times New Roman"/>
                <w:b/>
                <w:bCs/>
                <w:noProof/>
              </w:rPr>
              <w:t>SECTION 2</w:t>
            </w:r>
            <w:r>
              <w:rPr>
                <w:noProof/>
                <w:webHidden/>
              </w:rPr>
              <w:tab/>
            </w:r>
            <w:r>
              <w:rPr>
                <w:noProof/>
                <w:webHidden/>
              </w:rPr>
              <w:fldChar w:fldCharType="begin"/>
            </w:r>
            <w:r>
              <w:rPr>
                <w:noProof/>
                <w:webHidden/>
              </w:rPr>
              <w:instrText xml:space="preserve"> PAGEREF _Toc236835890 \h </w:instrText>
            </w:r>
            <w:r>
              <w:rPr>
                <w:noProof/>
                <w:webHidden/>
              </w:rPr>
            </w:r>
            <w:r>
              <w:rPr>
                <w:noProof/>
                <w:webHidden/>
              </w:rPr>
              <w:fldChar w:fldCharType="separate"/>
            </w:r>
            <w:r>
              <w:rPr>
                <w:noProof/>
                <w:webHidden/>
              </w:rPr>
              <w:t>15</w:t>
            </w:r>
            <w:r>
              <w:rPr>
                <w:noProof/>
                <w:webHidden/>
              </w:rPr>
              <w:fldChar w:fldCharType="end"/>
            </w:r>
          </w:hyperlink>
        </w:p>
        <w:p w14:paraId="6D7EFB8D" w14:textId="19E370B1" w:rsidR="001C49B2" w:rsidRDefault="001C49B2">
          <w:pPr>
            <w:pStyle w:val="TOC2"/>
            <w:tabs>
              <w:tab w:val="right" w:leader="dot" w:pos="9016"/>
            </w:tabs>
            <w:rPr>
              <w:rFonts w:eastAsiaTheme="minorEastAsia"/>
              <w:noProof/>
              <w:sz w:val="24"/>
              <w:szCs w:val="24"/>
              <w:lang w:eastAsia="en-IN"/>
            </w:rPr>
          </w:pPr>
          <w:hyperlink w:anchor="_Toc236835891" w:history="1">
            <w:r w:rsidRPr="00A74409">
              <w:rPr>
                <w:rStyle w:val="Hyperlink"/>
                <w:rFonts w:ascii="Times New Roman" w:hAnsi="Times New Roman" w:cs="Times New Roman"/>
                <w:i/>
                <w:iCs/>
                <w:noProof/>
              </w:rPr>
              <w:t>Reflective Account of the Research and Preparation Process</w:t>
            </w:r>
            <w:r>
              <w:rPr>
                <w:noProof/>
                <w:webHidden/>
              </w:rPr>
              <w:tab/>
            </w:r>
            <w:r>
              <w:rPr>
                <w:noProof/>
                <w:webHidden/>
              </w:rPr>
              <w:fldChar w:fldCharType="begin"/>
            </w:r>
            <w:r>
              <w:rPr>
                <w:noProof/>
                <w:webHidden/>
              </w:rPr>
              <w:instrText xml:space="preserve"> PAGEREF _Toc236835891 \h </w:instrText>
            </w:r>
            <w:r>
              <w:rPr>
                <w:noProof/>
                <w:webHidden/>
              </w:rPr>
            </w:r>
            <w:r>
              <w:rPr>
                <w:noProof/>
                <w:webHidden/>
              </w:rPr>
              <w:fldChar w:fldCharType="separate"/>
            </w:r>
            <w:r>
              <w:rPr>
                <w:noProof/>
                <w:webHidden/>
              </w:rPr>
              <w:t>15</w:t>
            </w:r>
            <w:r>
              <w:rPr>
                <w:noProof/>
                <w:webHidden/>
              </w:rPr>
              <w:fldChar w:fldCharType="end"/>
            </w:r>
          </w:hyperlink>
        </w:p>
        <w:p w14:paraId="3B853557" w14:textId="1AE0A969" w:rsidR="001C49B2" w:rsidRDefault="001C49B2">
          <w:pPr>
            <w:pStyle w:val="TOC1"/>
            <w:tabs>
              <w:tab w:val="right" w:leader="dot" w:pos="9016"/>
            </w:tabs>
            <w:rPr>
              <w:rFonts w:eastAsiaTheme="minorEastAsia"/>
              <w:noProof/>
              <w:sz w:val="24"/>
              <w:szCs w:val="24"/>
              <w:lang w:eastAsia="en-IN"/>
            </w:rPr>
          </w:pPr>
          <w:hyperlink w:anchor="_Toc236835892" w:history="1">
            <w:r w:rsidRPr="00A74409">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_Toc236835892 \h </w:instrText>
            </w:r>
            <w:r>
              <w:rPr>
                <w:noProof/>
                <w:webHidden/>
              </w:rPr>
            </w:r>
            <w:r>
              <w:rPr>
                <w:noProof/>
                <w:webHidden/>
              </w:rPr>
              <w:fldChar w:fldCharType="separate"/>
            </w:r>
            <w:r>
              <w:rPr>
                <w:noProof/>
                <w:webHidden/>
              </w:rPr>
              <w:t>18</w:t>
            </w:r>
            <w:r>
              <w:rPr>
                <w:noProof/>
                <w:webHidden/>
              </w:rPr>
              <w:fldChar w:fldCharType="end"/>
            </w:r>
          </w:hyperlink>
        </w:p>
        <w:p w14:paraId="16704D2C" w14:textId="005C1610" w:rsidR="00A952EC" w:rsidRDefault="00A952EC" w:rsidP="00A952EC">
          <w:r>
            <w:rPr>
              <w:b/>
              <w:bCs/>
              <w:noProof/>
            </w:rPr>
            <w:fldChar w:fldCharType="end"/>
          </w:r>
        </w:p>
      </w:sdtContent>
    </w:sdt>
    <w:p w14:paraId="39AC7FDB" w14:textId="174F0BD6" w:rsidR="00A952EC" w:rsidRDefault="00A952EC">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62835006" w14:textId="62DA1EAD" w:rsidR="00257CDB" w:rsidRDefault="00257CDB" w:rsidP="003005AD">
      <w:pPr>
        <w:pStyle w:val="Heading1"/>
        <w:spacing w:line="360" w:lineRule="auto"/>
        <w:jc w:val="both"/>
        <w:rPr>
          <w:rFonts w:ascii="Times New Roman" w:hAnsi="Times New Roman" w:cs="Times New Roman"/>
          <w:b/>
          <w:bCs/>
          <w:color w:val="000000" w:themeColor="text1"/>
          <w:sz w:val="28"/>
          <w:szCs w:val="28"/>
        </w:rPr>
      </w:pPr>
      <w:bookmarkStart w:id="0" w:name="_Toc236835875"/>
      <w:r>
        <w:rPr>
          <w:rFonts w:ascii="Times New Roman" w:hAnsi="Times New Roman" w:cs="Times New Roman"/>
          <w:b/>
          <w:bCs/>
          <w:color w:val="000000" w:themeColor="text1"/>
          <w:sz w:val="28"/>
          <w:szCs w:val="28"/>
        </w:rPr>
        <w:t>INTRODUCTION</w:t>
      </w:r>
      <w:bookmarkEnd w:id="0"/>
    </w:p>
    <w:p w14:paraId="4208907C" w14:textId="07D63C62" w:rsidR="00257CDB" w:rsidRPr="00CD17DC" w:rsidRDefault="00257CDB" w:rsidP="00CD17DC">
      <w:pPr>
        <w:spacing w:line="360" w:lineRule="auto"/>
        <w:jc w:val="both"/>
        <w:rPr>
          <w:rFonts w:ascii="Times New Roman" w:hAnsi="Times New Roman" w:cs="Times New Roman"/>
          <w:sz w:val="24"/>
          <w:szCs w:val="24"/>
        </w:rPr>
      </w:pPr>
      <w:r>
        <w:tab/>
      </w:r>
      <w:r w:rsidR="00CD17DC" w:rsidRPr="00CD17DC">
        <w:rPr>
          <w:rFonts w:ascii="Times New Roman" w:hAnsi="Times New Roman" w:cs="Times New Roman"/>
          <w:sz w:val="24"/>
          <w:szCs w:val="24"/>
        </w:rPr>
        <w:t>This research paper will critically analyze the potential strategy for Lululemon Athletica to enter Egypt as an emergent market. Firstly, the global strategy of the firm is identified in Bartlett and Ghoshal’s TNSC model as it continuously adjusts and evolves between global integration and local responsiveness. Secondly, the macro environment of Egypt is carefully analyzed from the perspectives that matter for the premium athletic wear market. Then, the results are combined in the analysis of the OLI paradigm of Dunning’s Eclectic Theory of Foreign Direct Investment. Lastly, the report considers the previous practices of Lululemon in entering other markets and recommends master-franchising as a suitable mode for entering Egypt. Only verified data from 2022 to 2026 is used in the analysis.</w:t>
      </w:r>
    </w:p>
    <w:p w14:paraId="3263304A" w14:textId="22599A5B" w:rsidR="00443E7E" w:rsidRDefault="00443E7E" w:rsidP="003005AD">
      <w:pPr>
        <w:pStyle w:val="Heading1"/>
        <w:spacing w:line="360" w:lineRule="auto"/>
        <w:jc w:val="both"/>
        <w:rPr>
          <w:rFonts w:ascii="Times New Roman" w:hAnsi="Times New Roman" w:cs="Times New Roman"/>
          <w:b/>
          <w:bCs/>
          <w:color w:val="000000" w:themeColor="text1"/>
          <w:sz w:val="28"/>
          <w:szCs w:val="28"/>
        </w:rPr>
      </w:pPr>
      <w:bookmarkStart w:id="1" w:name="_Toc236835876"/>
      <w:r>
        <w:rPr>
          <w:rFonts w:ascii="Times New Roman" w:hAnsi="Times New Roman" w:cs="Times New Roman"/>
          <w:b/>
          <w:bCs/>
          <w:color w:val="000000" w:themeColor="text1"/>
          <w:sz w:val="28"/>
          <w:szCs w:val="28"/>
        </w:rPr>
        <w:t>SECTION 1</w:t>
      </w:r>
      <w:bookmarkEnd w:id="1"/>
    </w:p>
    <w:p w14:paraId="148EB050" w14:textId="29335C28" w:rsidR="00C774DE" w:rsidRPr="003005AD" w:rsidRDefault="00602912" w:rsidP="003005AD">
      <w:pPr>
        <w:pStyle w:val="Heading1"/>
        <w:spacing w:line="360" w:lineRule="auto"/>
        <w:jc w:val="both"/>
        <w:rPr>
          <w:rFonts w:ascii="Times New Roman" w:hAnsi="Times New Roman" w:cs="Times New Roman"/>
          <w:b/>
          <w:bCs/>
          <w:color w:val="000000" w:themeColor="text1"/>
          <w:sz w:val="28"/>
          <w:szCs w:val="28"/>
        </w:rPr>
      </w:pPr>
      <w:bookmarkStart w:id="2" w:name="_Toc236835877"/>
      <w:r w:rsidRPr="003005AD">
        <w:rPr>
          <w:rFonts w:ascii="Times New Roman" w:hAnsi="Times New Roman" w:cs="Times New Roman"/>
          <w:b/>
          <w:bCs/>
          <w:color w:val="000000" w:themeColor="text1"/>
          <w:sz w:val="28"/>
          <w:szCs w:val="28"/>
        </w:rPr>
        <w:t>1. Organizational Classification and Global Strategy</w:t>
      </w:r>
      <w:bookmarkEnd w:id="2"/>
    </w:p>
    <w:p w14:paraId="31BA3905" w14:textId="2D1718ED" w:rsidR="00602912" w:rsidRPr="00EF588F" w:rsidRDefault="004B6D49" w:rsidP="00EF588F">
      <w:pPr>
        <w:pStyle w:val="Heading2"/>
        <w:spacing w:line="360" w:lineRule="auto"/>
        <w:jc w:val="both"/>
        <w:rPr>
          <w:rFonts w:ascii="Times New Roman" w:hAnsi="Times New Roman" w:cs="Times New Roman"/>
          <w:i/>
          <w:iCs/>
          <w:color w:val="000000" w:themeColor="text1"/>
          <w:sz w:val="24"/>
          <w:szCs w:val="24"/>
          <w:u w:val="single"/>
        </w:rPr>
      </w:pPr>
      <w:bookmarkStart w:id="3" w:name="_Toc236835878"/>
      <w:r w:rsidRPr="00EF588F">
        <w:rPr>
          <w:rFonts w:ascii="Times New Roman" w:hAnsi="Times New Roman" w:cs="Times New Roman"/>
          <w:i/>
          <w:iCs/>
          <w:color w:val="000000" w:themeColor="text1"/>
          <w:sz w:val="24"/>
          <w:szCs w:val="24"/>
          <w:u w:val="single"/>
        </w:rPr>
        <w:t>1.1 Strategic Categorisation</w:t>
      </w:r>
      <w:bookmarkEnd w:id="3"/>
    </w:p>
    <w:p w14:paraId="53AB3195" w14:textId="03627702" w:rsidR="00A71F9D" w:rsidRDefault="00A71F9D" w:rsidP="00602912">
      <w:pPr>
        <w:spacing w:line="360" w:lineRule="auto"/>
        <w:jc w:val="both"/>
        <w:rPr>
          <w:rFonts w:ascii="Times New Roman" w:hAnsi="Times New Roman" w:cs="Times New Roman"/>
          <w:sz w:val="24"/>
          <w:szCs w:val="24"/>
        </w:rPr>
      </w:pPr>
      <w:r w:rsidRPr="00A71F9D">
        <w:rPr>
          <w:rFonts w:ascii="Times New Roman" w:hAnsi="Times New Roman" w:cs="Times New Roman"/>
          <w:sz w:val="24"/>
          <w:szCs w:val="24"/>
        </w:rPr>
        <w:t>The Lululemon Athletica Company is one company that is a representation of the transnational archetype proposed by Bartlett and Ghoshal (1989). This firm has both high global integration and high local responsiveness compared to other organizations</w:t>
      </w:r>
      <w:r w:rsidR="009E5619">
        <w:rPr>
          <w:rFonts w:ascii="Times New Roman" w:hAnsi="Times New Roman" w:cs="Times New Roman"/>
          <w:sz w:val="24"/>
          <w:szCs w:val="24"/>
        </w:rPr>
        <w:t>,</w:t>
      </w:r>
      <w:r w:rsidRPr="00A71F9D">
        <w:rPr>
          <w:rFonts w:ascii="Times New Roman" w:hAnsi="Times New Roman" w:cs="Times New Roman"/>
          <w:sz w:val="24"/>
          <w:szCs w:val="24"/>
        </w:rPr>
        <w:t xml:space="preserve"> which have both low levels. The features of global integration of the organization include technical-fabric IP, </w:t>
      </w:r>
      <w:r w:rsidR="009E5619">
        <w:rPr>
          <w:rFonts w:ascii="Times New Roman" w:hAnsi="Times New Roman" w:cs="Times New Roman"/>
          <w:sz w:val="24"/>
          <w:szCs w:val="24"/>
        </w:rPr>
        <w:t xml:space="preserve">a </w:t>
      </w:r>
      <w:r w:rsidRPr="00A71F9D">
        <w:rPr>
          <w:rFonts w:ascii="Times New Roman" w:hAnsi="Times New Roman" w:cs="Times New Roman"/>
          <w:sz w:val="24"/>
          <w:szCs w:val="24"/>
        </w:rPr>
        <w:t xml:space="preserve">consistent premium pricing framework, and </w:t>
      </w:r>
      <w:r w:rsidR="009E5619">
        <w:rPr>
          <w:rFonts w:ascii="Times New Roman" w:hAnsi="Times New Roman" w:cs="Times New Roman"/>
          <w:sz w:val="24"/>
          <w:szCs w:val="24"/>
        </w:rPr>
        <w:t xml:space="preserve">a </w:t>
      </w:r>
      <w:r w:rsidRPr="00A71F9D">
        <w:rPr>
          <w:rFonts w:ascii="Times New Roman" w:hAnsi="Times New Roman" w:cs="Times New Roman"/>
          <w:sz w:val="24"/>
          <w:szCs w:val="24"/>
        </w:rPr>
        <w:t>brand identity framework that is central and consistently practiced in all markets. The feature of local responsiveness is illustrated through the community marketing framework used by the firm in all new market entry strategies.</w:t>
      </w:r>
    </w:p>
    <w:p w14:paraId="6D68DF52" w14:textId="5D3CDE5D" w:rsidR="004B6D49" w:rsidRDefault="004B6D49" w:rsidP="0060291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9F3C42" w:rsidRPr="009F3C42">
        <w:rPr>
          <w:rFonts w:ascii="Times New Roman" w:hAnsi="Times New Roman" w:cs="Times New Roman"/>
          <w:sz w:val="24"/>
          <w:szCs w:val="24"/>
        </w:rPr>
        <w:t xml:space="preserve">The latest academic literature calls attention to the wrong assumption that the implementation of the transnational strategy is seen as an end-stage per se. From the findings of Macro and Ott's (2024) fsQCA case study of the multinational corporation working in the pharmaceutical industry, it becomes clear that the transnational organization continuously reconfigures towards some other state; in particular, for Macro and Ott (2024), it is "neomultidomestic" due to the growing pressures of local responsiveness. Of course, it means that we need to change our vision concerning Lululemon. Rather than seeing it as an existing transnational organization, we have to see it as a continuously reconfiguring transnational organization. A </w:t>
      </w:r>
      <w:r w:rsidR="009E5619">
        <w:rPr>
          <w:rFonts w:ascii="Times New Roman" w:hAnsi="Times New Roman" w:cs="Times New Roman"/>
          <w:sz w:val="24"/>
          <w:szCs w:val="24"/>
        </w:rPr>
        <w:t>case in point</w:t>
      </w:r>
      <w:r w:rsidR="009F3C42" w:rsidRPr="009F3C42">
        <w:rPr>
          <w:rFonts w:ascii="Times New Roman" w:hAnsi="Times New Roman" w:cs="Times New Roman"/>
          <w:sz w:val="24"/>
          <w:szCs w:val="24"/>
        </w:rPr>
        <w:t xml:space="preserve"> is the move of Lululemon's Mexican operations in 2024 from franchising to </w:t>
      </w:r>
      <w:r w:rsidR="009E5619">
        <w:rPr>
          <w:rFonts w:ascii="Times New Roman" w:hAnsi="Times New Roman" w:cs="Times New Roman"/>
          <w:sz w:val="24"/>
          <w:szCs w:val="24"/>
        </w:rPr>
        <w:t xml:space="preserve">a </w:t>
      </w:r>
      <w:r w:rsidR="009F3C42" w:rsidRPr="009F3C42">
        <w:rPr>
          <w:rFonts w:ascii="Times New Roman" w:hAnsi="Times New Roman" w:cs="Times New Roman"/>
          <w:sz w:val="24"/>
          <w:szCs w:val="24"/>
        </w:rPr>
        <w:t>company-operated format (Pestel-Analysis.com, 2025).</w:t>
      </w:r>
    </w:p>
    <w:p w14:paraId="4A8F326C" w14:textId="4A9A164C" w:rsidR="009F3C42" w:rsidRPr="00EF588F" w:rsidRDefault="00AC631D" w:rsidP="00EF588F">
      <w:pPr>
        <w:pStyle w:val="Heading2"/>
        <w:spacing w:line="360" w:lineRule="auto"/>
        <w:jc w:val="both"/>
        <w:rPr>
          <w:rFonts w:ascii="Times New Roman" w:hAnsi="Times New Roman" w:cs="Times New Roman"/>
          <w:i/>
          <w:iCs/>
          <w:color w:val="000000" w:themeColor="text1"/>
          <w:sz w:val="24"/>
          <w:szCs w:val="24"/>
          <w:u w:val="single"/>
        </w:rPr>
      </w:pPr>
      <w:bookmarkStart w:id="4" w:name="_Toc236835879"/>
      <w:r w:rsidRPr="00EF588F">
        <w:rPr>
          <w:rFonts w:ascii="Times New Roman" w:hAnsi="Times New Roman" w:cs="Times New Roman"/>
          <w:i/>
          <w:iCs/>
          <w:color w:val="000000" w:themeColor="text1"/>
          <w:sz w:val="24"/>
          <w:szCs w:val="24"/>
          <w:u w:val="single"/>
        </w:rPr>
        <w:t>1.2 Global Configuration</w:t>
      </w:r>
      <w:bookmarkEnd w:id="4"/>
    </w:p>
    <w:p w14:paraId="220CF774" w14:textId="243B779C" w:rsidR="00AC631D" w:rsidRDefault="00AC631D" w:rsidP="0060291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D9496C" w:rsidRPr="00D9496C">
        <w:rPr>
          <w:rFonts w:ascii="Times New Roman" w:hAnsi="Times New Roman" w:cs="Times New Roman"/>
          <w:sz w:val="24"/>
          <w:szCs w:val="24"/>
        </w:rPr>
        <w:t>The 2026 Lululemon fiscal outlook clearly indicates that international markets, especially those in Asia and Europe, have been earmarked as the growth drivers for the organization</w:t>
      </w:r>
      <w:r w:rsidR="009E5619">
        <w:rPr>
          <w:rFonts w:ascii="Times New Roman" w:hAnsi="Times New Roman" w:cs="Times New Roman"/>
          <w:sz w:val="24"/>
          <w:szCs w:val="24"/>
        </w:rPr>
        <w:t>,</w:t>
      </w:r>
      <w:r w:rsidR="00D9496C" w:rsidRPr="00D9496C">
        <w:rPr>
          <w:rFonts w:ascii="Times New Roman" w:hAnsi="Times New Roman" w:cs="Times New Roman"/>
          <w:sz w:val="24"/>
          <w:szCs w:val="24"/>
        </w:rPr>
        <w:t xml:space="preserve"> with the like-for-like growth of North America expected to slacken </w:t>
      </w:r>
      <w:r w:rsidR="002D539A" w:rsidRPr="002D539A">
        <w:rPr>
          <w:rFonts w:ascii="Times New Roman" w:hAnsi="Times New Roman" w:cs="Times New Roman"/>
          <w:sz w:val="24"/>
          <w:szCs w:val="24"/>
        </w:rPr>
        <w:t>(Patterson and Patterson, 2026)</w:t>
      </w:r>
      <w:r w:rsidR="009E5619">
        <w:rPr>
          <w:rFonts w:ascii="Times New Roman" w:hAnsi="Times New Roman" w:cs="Times New Roman"/>
          <w:sz w:val="24"/>
          <w:szCs w:val="24"/>
        </w:rPr>
        <w:t>,</w:t>
      </w:r>
      <w:r w:rsidR="002D539A">
        <w:rPr>
          <w:rFonts w:ascii="Times New Roman" w:hAnsi="Times New Roman" w:cs="Times New Roman"/>
          <w:sz w:val="24"/>
          <w:szCs w:val="24"/>
        </w:rPr>
        <w:t xml:space="preserve"> </w:t>
      </w:r>
      <w:r w:rsidR="00D9496C" w:rsidRPr="00D9496C">
        <w:rPr>
          <w:rFonts w:ascii="Times New Roman" w:hAnsi="Times New Roman" w:cs="Times New Roman"/>
          <w:sz w:val="24"/>
          <w:szCs w:val="24"/>
        </w:rPr>
        <w:t xml:space="preserve">and there is an ambitious target of quadrupling international revenues by </w:t>
      </w:r>
      <w:r w:rsidR="009E5619">
        <w:rPr>
          <w:rFonts w:ascii="Times New Roman" w:hAnsi="Times New Roman" w:cs="Times New Roman"/>
          <w:sz w:val="24"/>
          <w:szCs w:val="24"/>
        </w:rPr>
        <w:t xml:space="preserve">the </w:t>
      </w:r>
      <w:r w:rsidR="00D9496C" w:rsidRPr="00D9496C">
        <w:rPr>
          <w:rFonts w:ascii="Times New Roman" w:hAnsi="Times New Roman" w:cs="Times New Roman"/>
          <w:sz w:val="24"/>
          <w:szCs w:val="24"/>
        </w:rPr>
        <w:t>end of 2026 compared to that of 2021 (MatrixBCG, 2026). The structure of this type adds to the competitive advantage in two ways. One, the diversification in geographies limits the reliance on the North American market</w:t>
      </w:r>
      <w:r w:rsidR="009E5619">
        <w:rPr>
          <w:rFonts w:ascii="Times New Roman" w:hAnsi="Times New Roman" w:cs="Times New Roman"/>
          <w:sz w:val="24"/>
          <w:szCs w:val="24"/>
        </w:rPr>
        <w:t>,</w:t>
      </w:r>
      <w:r w:rsidR="00D9496C" w:rsidRPr="00D9496C">
        <w:rPr>
          <w:rFonts w:ascii="Times New Roman" w:hAnsi="Times New Roman" w:cs="Times New Roman"/>
          <w:sz w:val="24"/>
          <w:szCs w:val="24"/>
        </w:rPr>
        <w:t xml:space="preserve"> which is fast becoming saturated</w:t>
      </w:r>
      <w:r w:rsidR="009E5619">
        <w:rPr>
          <w:rFonts w:ascii="Times New Roman" w:hAnsi="Times New Roman" w:cs="Times New Roman"/>
          <w:sz w:val="24"/>
          <w:szCs w:val="24"/>
        </w:rPr>
        <w:t>,</w:t>
      </w:r>
      <w:r w:rsidR="00D9496C" w:rsidRPr="00D9496C">
        <w:rPr>
          <w:rFonts w:ascii="Times New Roman" w:hAnsi="Times New Roman" w:cs="Times New Roman"/>
          <w:sz w:val="24"/>
          <w:szCs w:val="24"/>
        </w:rPr>
        <w:t xml:space="preserve"> thereby making the revenues less volatile. Two, the introduction of the 2026 cohort</w:t>
      </w:r>
      <w:r w:rsidR="009E5619">
        <w:rPr>
          <w:rFonts w:ascii="Times New Roman" w:hAnsi="Times New Roman" w:cs="Times New Roman"/>
          <w:sz w:val="24"/>
          <w:szCs w:val="24"/>
        </w:rPr>
        <w:t>,</w:t>
      </w:r>
      <w:r w:rsidR="00D9496C" w:rsidRPr="00D9496C">
        <w:rPr>
          <w:rFonts w:ascii="Times New Roman" w:hAnsi="Times New Roman" w:cs="Times New Roman"/>
          <w:sz w:val="24"/>
          <w:szCs w:val="24"/>
        </w:rPr>
        <w:t xml:space="preserve"> which involves the entry into six new geographies (five in Europe under the Arion Retail Group franchise arrangement and India under Tata CLiQ, BusinessWire, 2025</w:t>
      </w:r>
      <w:r w:rsidR="008A6C24">
        <w:rPr>
          <w:rFonts w:ascii="Times New Roman" w:hAnsi="Times New Roman" w:cs="Times New Roman"/>
          <w:sz w:val="24"/>
          <w:szCs w:val="24"/>
        </w:rPr>
        <w:t>a</w:t>
      </w:r>
      <w:r w:rsidR="00D9496C" w:rsidRPr="00D9496C">
        <w:rPr>
          <w:rFonts w:ascii="Times New Roman" w:hAnsi="Times New Roman" w:cs="Times New Roman"/>
          <w:sz w:val="24"/>
          <w:szCs w:val="24"/>
        </w:rPr>
        <w:t>)</w:t>
      </w:r>
      <w:r w:rsidR="009E5619">
        <w:rPr>
          <w:rFonts w:ascii="Times New Roman" w:hAnsi="Times New Roman" w:cs="Times New Roman"/>
          <w:sz w:val="24"/>
          <w:szCs w:val="24"/>
        </w:rPr>
        <w:t>,</w:t>
      </w:r>
      <w:r w:rsidR="00D9496C" w:rsidRPr="00D9496C">
        <w:rPr>
          <w:rFonts w:ascii="Times New Roman" w:hAnsi="Times New Roman" w:cs="Times New Roman"/>
          <w:sz w:val="24"/>
          <w:szCs w:val="24"/>
        </w:rPr>
        <w:t xml:space="preserve"> is a </w:t>
      </w:r>
      <w:r w:rsidR="009E5619">
        <w:rPr>
          <w:rFonts w:ascii="Times New Roman" w:hAnsi="Times New Roman" w:cs="Times New Roman"/>
          <w:sz w:val="24"/>
          <w:szCs w:val="24"/>
        </w:rPr>
        <w:t>low-capital</w:t>
      </w:r>
      <w:r w:rsidR="00D9496C" w:rsidRPr="00D9496C">
        <w:rPr>
          <w:rFonts w:ascii="Times New Roman" w:hAnsi="Times New Roman" w:cs="Times New Roman"/>
          <w:sz w:val="24"/>
          <w:szCs w:val="24"/>
        </w:rPr>
        <w:t xml:space="preserve"> strategy.</w:t>
      </w:r>
    </w:p>
    <w:p w14:paraId="6DBAEC88" w14:textId="186850E0" w:rsidR="00D9496C" w:rsidRDefault="00D9496C" w:rsidP="0060291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D9496C">
        <w:rPr>
          <w:rFonts w:ascii="Times New Roman" w:hAnsi="Times New Roman" w:cs="Times New Roman"/>
          <w:sz w:val="24"/>
          <w:szCs w:val="24"/>
        </w:rPr>
        <w:t>One such drawback has to be highlighted: six market entries at once within a single year is something that the company characterizes as a record speed (BusinessWire, 2025</w:t>
      </w:r>
      <w:r w:rsidR="008A6C24">
        <w:rPr>
          <w:rFonts w:ascii="Times New Roman" w:hAnsi="Times New Roman" w:cs="Times New Roman"/>
          <w:sz w:val="24"/>
          <w:szCs w:val="24"/>
        </w:rPr>
        <w:t>a</w:t>
      </w:r>
      <w:r w:rsidRPr="00D9496C">
        <w:rPr>
          <w:rFonts w:ascii="Times New Roman" w:hAnsi="Times New Roman" w:cs="Times New Roman"/>
          <w:sz w:val="24"/>
          <w:szCs w:val="24"/>
        </w:rPr>
        <w:t>), which entails the risk of failure of reconfiguration in line with the notion provided by Macro and Ott (2024) regarding the fact that reconfiguration in response to the pressures of complexity does not necessarily lead to success, and the partner inconsistencies and brand dilution due to an accelerated expansion of the network of franchises can be some of its costs that have been neglected here. Overall, the configuration is consistent with value creation.</w:t>
      </w:r>
    </w:p>
    <w:p w14:paraId="31A520BE" w14:textId="626D8C20" w:rsidR="002D539A" w:rsidRPr="003005AD" w:rsidRDefault="002D539A" w:rsidP="003005AD">
      <w:pPr>
        <w:pStyle w:val="Heading1"/>
        <w:spacing w:line="360" w:lineRule="auto"/>
        <w:jc w:val="both"/>
        <w:rPr>
          <w:rFonts w:ascii="Times New Roman" w:hAnsi="Times New Roman" w:cs="Times New Roman"/>
          <w:b/>
          <w:bCs/>
          <w:color w:val="000000" w:themeColor="text1"/>
          <w:sz w:val="28"/>
          <w:szCs w:val="28"/>
        </w:rPr>
      </w:pPr>
      <w:bookmarkStart w:id="5" w:name="_Toc236835880"/>
      <w:r w:rsidRPr="003005AD">
        <w:rPr>
          <w:rFonts w:ascii="Times New Roman" w:hAnsi="Times New Roman" w:cs="Times New Roman"/>
          <w:b/>
          <w:bCs/>
          <w:color w:val="000000" w:themeColor="text1"/>
          <w:sz w:val="28"/>
          <w:szCs w:val="28"/>
        </w:rPr>
        <w:t>2. Macro-Environmental Appraisal and Market Attractiveness of Egypt</w:t>
      </w:r>
      <w:bookmarkEnd w:id="5"/>
    </w:p>
    <w:p w14:paraId="5C96FFFE" w14:textId="5A2234C3" w:rsidR="002D539A" w:rsidRPr="00EF588F" w:rsidRDefault="004A3E85" w:rsidP="00EF588F">
      <w:pPr>
        <w:pStyle w:val="Heading2"/>
        <w:spacing w:line="360" w:lineRule="auto"/>
        <w:jc w:val="both"/>
        <w:rPr>
          <w:rFonts w:ascii="Times New Roman" w:hAnsi="Times New Roman" w:cs="Times New Roman"/>
          <w:i/>
          <w:iCs/>
          <w:color w:val="000000" w:themeColor="text1"/>
          <w:sz w:val="24"/>
          <w:szCs w:val="24"/>
          <w:u w:val="single"/>
        </w:rPr>
      </w:pPr>
      <w:bookmarkStart w:id="6" w:name="_Toc236835881"/>
      <w:r w:rsidRPr="00EF588F">
        <w:rPr>
          <w:rFonts w:ascii="Times New Roman" w:hAnsi="Times New Roman" w:cs="Times New Roman"/>
          <w:i/>
          <w:iCs/>
          <w:color w:val="000000" w:themeColor="text1"/>
          <w:sz w:val="24"/>
          <w:szCs w:val="24"/>
          <w:u w:val="single"/>
        </w:rPr>
        <w:t>2.1 Political Environment</w:t>
      </w:r>
      <w:bookmarkEnd w:id="6"/>
    </w:p>
    <w:p w14:paraId="7189C656" w14:textId="22C096DA" w:rsidR="004A3E85" w:rsidRDefault="004A3E85" w:rsidP="0060291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90858" w:rsidRPr="00790858">
        <w:rPr>
          <w:rFonts w:ascii="Times New Roman" w:hAnsi="Times New Roman" w:cs="Times New Roman"/>
          <w:sz w:val="24"/>
          <w:szCs w:val="24"/>
        </w:rPr>
        <w:t>Egypt can be said to have an institutionally stable and socially sensitive political climate; however, this is relevant to the specific context of the discretionary</w:t>
      </w:r>
      <w:r w:rsidR="000A25C7">
        <w:rPr>
          <w:rFonts w:ascii="Times New Roman" w:hAnsi="Times New Roman" w:cs="Times New Roman"/>
          <w:sz w:val="24"/>
          <w:szCs w:val="24"/>
        </w:rPr>
        <w:t xml:space="preserve"> premium goods retailer compared with the essential goods retail sectors, which</w:t>
      </w:r>
      <w:r w:rsidR="00790858" w:rsidRPr="00790858">
        <w:rPr>
          <w:rFonts w:ascii="Times New Roman" w:hAnsi="Times New Roman" w:cs="Times New Roman"/>
          <w:sz w:val="24"/>
          <w:szCs w:val="24"/>
        </w:rPr>
        <w:t xml:space="preserve"> are normally less susceptible to sentiment-related demand shocks. In a recent assessment of Egypt's prospects in 2026, an Emerging Markets Debt Report (2026) states that Egypt's political future will be "one of institutional continuity and increased social sensitivity" since, while it has the capability to contain the dissenters, the latitude of the government would be dependent on the balance between reforms required by the IMF and progress in employment, income and services delivery (Emerging Markets Debt Report, 2026). Particularly for a premium goods retailer, </w:t>
      </w:r>
      <w:r w:rsidR="000A25C7">
        <w:rPr>
          <w:rFonts w:ascii="Times New Roman" w:hAnsi="Times New Roman" w:cs="Times New Roman"/>
          <w:sz w:val="24"/>
          <w:szCs w:val="24"/>
        </w:rPr>
        <w:t xml:space="preserve">the </w:t>
      </w:r>
      <w:r w:rsidR="00790858" w:rsidRPr="00790858">
        <w:rPr>
          <w:rFonts w:ascii="Times New Roman" w:hAnsi="Times New Roman" w:cs="Times New Roman"/>
          <w:sz w:val="24"/>
          <w:szCs w:val="24"/>
        </w:rPr>
        <w:t>Emerging Markets Debt Report (2026) highlights the risks associated with a repeat price hike, delay to strategic projects</w:t>
      </w:r>
      <w:r w:rsidR="000A25C7">
        <w:rPr>
          <w:rFonts w:ascii="Times New Roman" w:hAnsi="Times New Roman" w:cs="Times New Roman"/>
          <w:sz w:val="24"/>
          <w:szCs w:val="24"/>
        </w:rPr>
        <w:t>,</w:t>
      </w:r>
      <w:r w:rsidR="00790858" w:rsidRPr="00790858">
        <w:rPr>
          <w:rFonts w:ascii="Times New Roman" w:hAnsi="Times New Roman" w:cs="Times New Roman"/>
          <w:sz w:val="24"/>
          <w:szCs w:val="24"/>
        </w:rPr>
        <w:t xml:space="preserve"> or failure to meet the IMF's requirements, without even considering opposition from any quarter (Emerging Markets Debt Report, 2026) </w:t>
      </w:r>
      <w:r w:rsidR="002A4726">
        <w:rPr>
          <w:rFonts w:ascii="Times New Roman" w:hAnsi="Times New Roman" w:cs="Times New Roman"/>
          <w:sz w:val="24"/>
          <w:szCs w:val="24"/>
        </w:rPr>
        <w:t>-</w:t>
      </w:r>
      <w:r w:rsidR="00790858" w:rsidRPr="00790858">
        <w:rPr>
          <w:rFonts w:ascii="Times New Roman" w:hAnsi="Times New Roman" w:cs="Times New Roman"/>
          <w:sz w:val="24"/>
          <w:szCs w:val="24"/>
        </w:rPr>
        <w:t xml:space="preserve"> this is exactly the situation where discretionary expenditures on athletic clothing decline.</w:t>
      </w:r>
    </w:p>
    <w:p w14:paraId="6EADA182" w14:textId="11B273C5" w:rsidR="00790858" w:rsidRDefault="00EF0F2C" w:rsidP="0060291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EF0F2C">
        <w:rPr>
          <w:rFonts w:ascii="Times New Roman" w:hAnsi="Times New Roman" w:cs="Times New Roman"/>
          <w:sz w:val="24"/>
          <w:szCs w:val="24"/>
        </w:rPr>
        <w:t>Comparative assessments of governance indicate a less positive picture compared to assessments that are centered around investments. The findings of the Bertelsmann Transformation Index 2026 report on Egypt state that the repressive regime has taken hold against the civil society sector, as witnessed by the imprisonment of tens of thousands of political prisoners, instances of enforced disappearances, and state control over the media (BTI, 202</w:t>
      </w:r>
      <w:r w:rsidR="009E5619">
        <w:rPr>
          <w:rFonts w:ascii="Times New Roman" w:hAnsi="Times New Roman" w:cs="Times New Roman"/>
          <w:sz w:val="24"/>
          <w:szCs w:val="24"/>
        </w:rPr>
        <w:t>2</w:t>
      </w:r>
      <w:r w:rsidRPr="00EF0F2C">
        <w:rPr>
          <w:rFonts w:ascii="Times New Roman" w:hAnsi="Times New Roman" w:cs="Times New Roman"/>
          <w:sz w:val="24"/>
          <w:szCs w:val="24"/>
        </w:rPr>
        <w:t>). The independent assessment of the hosting country should address this paradox as, although economic stability attracts investors and franchisees, civil liberties have their own reputational connotations when talking about such a brand.</w:t>
      </w:r>
    </w:p>
    <w:p w14:paraId="2533CCE9" w14:textId="7A567F9C" w:rsidR="00EF0F2C" w:rsidRDefault="005373D1" w:rsidP="0060291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5373D1">
        <w:rPr>
          <w:rFonts w:ascii="Times New Roman" w:hAnsi="Times New Roman" w:cs="Times New Roman"/>
          <w:sz w:val="24"/>
          <w:szCs w:val="24"/>
        </w:rPr>
        <w:t>Though Egypt is seen as a buffer state that absorbs dangers and does not pose them, the danger level is obviously not negligible. According to Chatham House's analysis of Egypt’s foreign policy in 2026, the foreign policy of Cairo will definitely prove to be reactive, and not proactive, concerning regional developments, keeping in mind US interest in regards to Gaza, developing its ties with Qatar and Turkey, and leaving its proactive foreign policy to be taken care of by Gulf states due to its necessity of stabilizing the country economically (Chatham House, 2025). This point holds relevance even for business activities since the security of Egypt’s main shipping routes through the Red Sea and Suez Canal, which are vital for its economy, is not "conditionally stable". Any destabilization of this route would result in increasing the costs of insurance and disrupting trade, in an atmosphere where an escalation of the Israeli-Iranian conflict is considered a possible threat in 202</w:t>
      </w:r>
      <w:r w:rsidR="0004310E">
        <w:rPr>
          <w:rFonts w:ascii="Times New Roman" w:hAnsi="Times New Roman" w:cs="Times New Roman"/>
          <w:sz w:val="24"/>
          <w:szCs w:val="24"/>
        </w:rPr>
        <w:t>6</w:t>
      </w:r>
      <w:r w:rsidRPr="005373D1">
        <w:rPr>
          <w:rFonts w:ascii="Times New Roman" w:hAnsi="Times New Roman" w:cs="Times New Roman"/>
          <w:sz w:val="24"/>
          <w:szCs w:val="24"/>
        </w:rPr>
        <w:t xml:space="preserve"> (SpecialEurasia, 202</w:t>
      </w:r>
      <w:r w:rsidR="00BE4B54">
        <w:rPr>
          <w:rFonts w:ascii="Times New Roman" w:hAnsi="Times New Roman" w:cs="Times New Roman"/>
          <w:sz w:val="24"/>
          <w:szCs w:val="24"/>
        </w:rPr>
        <w:t>5</w:t>
      </w:r>
      <w:r w:rsidRPr="005373D1">
        <w:rPr>
          <w:rFonts w:ascii="Times New Roman" w:hAnsi="Times New Roman" w:cs="Times New Roman"/>
          <w:sz w:val="24"/>
          <w:szCs w:val="24"/>
        </w:rPr>
        <w:t>).</w:t>
      </w:r>
    </w:p>
    <w:p w14:paraId="305B7230" w14:textId="4309B50A" w:rsidR="00CB799C" w:rsidRDefault="0078446B" w:rsidP="00602912">
      <w:pPr>
        <w:spacing w:line="360" w:lineRule="auto"/>
        <w:jc w:val="both"/>
        <w:rPr>
          <w:rFonts w:ascii="Times New Roman" w:hAnsi="Times New Roman" w:cs="Times New Roman"/>
          <w:sz w:val="24"/>
          <w:szCs w:val="24"/>
        </w:rPr>
      </w:pPr>
      <w:r w:rsidRPr="0036042A">
        <w:rPr>
          <w:rFonts w:ascii="Times New Roman" w:hAnsi="Times New Roman" w:cs="Times New Roman"/>
          <w:b/>
          <w:bCs/>
          <w:i/>
          <w:iCs/>
          <w:sz w:val="24"/>
          <w:szCs w:val="24"/>
        </w:rPr>
        <w:t>Implications for Lululemon</w:t>
      </w:r>
      <w:r w:rsidR="0036042A" w:rsidRPr="0036042A">
        <w:rPr>
          <w:rFonts w:ascii="Times New Roman" w:hAnsi="Times New Roman" w:cs="Times New Roman"/>
          <w:b/>
          <w:bCs/>
          <w:i/>
          <w:iCs/>
          <w:sz w:val="24"/>
          <w:szCs w:val="24"/>
        </w:rPr>
        <w:t>:</w:t>
      </w:r>
      <w:r w:rsidRPr="0078446B">
        <w:rPr>
          <w:rFonts w:ascii="Times New Roman" w:hAnsi="Times New Roman" w:cs="Times New Roman"/>
          <w:sz w:val="24"/>
          <w:szCs w:val="24"/>
        </w:rPr>
        <w:t xml:space="preserve"> The political risks of Egypt are not severe </w:t>
      </w:r>
      <w:r w:rsidR="00940B32">
        <w:rPr>
          <w:rFonts w:ascii="Times New Roman" w:hAnsi="Times New Roman" w:cs="Times New Roman"/>
          <w:sz w:val="24"/>
          <w:szCs w:val="24"/>
        </w:rPr>
        <w:t xml:space="preserve">enough </w:t>
      </w:r>
      <w:r w:rsidRPr="0078446B">
        <w:rPr>
          <w:rFonts w:ascii="Times New Roman" w:hAnsi="Times New Roman" w:cs="Times New Roman"/>
          <w:sz w:val="24"/>
          <w:szCs w:val="24"/>
        </w:rPr>
        <w:t xml:space="preserve">to pose an impediment to business; however, it is due to the nature of such a risk environment - characterized by stability within the institutions punctuated with periodic disturbances from society and </w:t>
      </w:r>
      <w:r w:rsidR="009E5619">
        <w:rPr>
          <w:rFonts w:ascii="Times New Roman" w:hAnsi="Times New Roman" w:cs="Times New Roman"/>
          <w:sz w:val="24"/>
          <w:szCs w:val="24"/>
        </w:rPr>
        <w:t xml:space="preserve">the </w:t>
      </w:r>
      <w:r w:rsidRPr="0078446B">
        <w:rPr>
          <w:rFonts w:ascii="Times New Roman" w:hAnsi="Times New Roman" w:cs="Times New Roman"/>
          <w:sz w:val="24"/>
          <w:szCs w:val="24"/>
        </w:rPr>
        <w:t>region - that a fixed-capital approach to entry becomes more desirable than a wholly-owned one at first entry.</w:t>
      </w:r>
    </w:p>
    <w:p w14:paraId="41F08A45" w14:textId="2E5ABA94" w:rsidR="00595C6A" w:rsidRPr="00EF588F" w:rsidRDefault="00595C6A" w:rsidP="00EF588F">
      <w:pPr>
        <w:pStyle w:val="Heading2"/>
        <w:spacing w:line="360" w:lineRule="auto"/>
        <w:jc w:val="both"/>
        <w:rPr>
          <w:rFonts w:ascii="Times New Roman" w:hAnsi="Times New Roman" w:cs="Times New Roman"/>
          <w:i/>
          <w:iCs/>
          <w:color w:val="000000" w:themeColor="text1"/>
          <w:sz w:val="24"/>
          <w:szCs w:val="24"/>
          <w:u w:val="single"/>
        </w:rPr>
      </w:pPr>
      <w:bookmarkStart w:id="7" w:name="_Toc236835882"/>
      <w:r w:rsidRPr="00EF588F">
        <w:rPr>
          <w:rFonts w:ascii="Times New Roman" w:hAnsi="Times New Roman" w:cs="Times New Roman"/>
          <w:i/>
          <w:iCs/>
          <w:color w:val="000000" w:themeColor="text1"/>
          <w:sz w:val="24"/>
          <w:szCs w:val="24"/>
          <w:u w:val="single"/>
        </w:rPr>
        <w:t>2.2 Economic Environment</w:t>
      </w:r>
      <w:bookmarkEnd w:id="7"/>
    </w:p>
    <w:p w14:paraId="1B094F94" w14:textId="07D4CD20" w:rsidR="00595C6A" w:rsidRDefault="00595C6A" w:rsidP="0060291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FA173D" w:rsidRPr="00FA173D">
        <w:rPr>
          <w:rFonts w:ascii="Times New Roman" w:hAnsi="Times New Roman" w:cs="Times New Roman"/>
          <w:sz w:val="24"/>
          <w:szCs w:val="24"/>
        </w:rPr>
        <w:t>The macroeconomic situation in Egypt has improved considerably after the currency crisis in 2022-2023; however, the improvement is partial, and there have been upward revisions in Egypt's inflation rates, which is an important detail not often noted in positive descriptions of market entry opportunities. According to the IMF World Economic Outlook for October 2025, the IMF revised up its economic growth forecast for Egypt for 2025 by 4.3%, and for 2026 by 4.5%, based on positive dynamics in non-oil manufacturing, tourism, and telecommunications, despite poor performance in the Suez Canal operations and mining sector (IMF, cited in Amwal Al Ghad, 2025). This positive trend comes after a severe economic slowdown, as the economists polled by Reuters predicted GDP growth of only 2.4% in FY 2023</w:t>
      </w:r>
      <w:r w:rsidR="00C359C2">
        <w:rPr>
          <w:rFonts w:ascii="Times New Roman" w:hAnsi="Times New Roman" w:cs="Times New Roman"/>
          <w:sz w:val="24"/>
          <w:szCs w:val="24"/>
        </w:rPr>
        <w:t>/</w:t>
      </w:r>
      <w:r w:rsidR="00FA173D" w:rsidRPr="00FA173D">
        <w:rPr>
          <w:rFonts w:ascii="Times New Roman" w:hAnsi="Times New Roman" w:cs="Times New Roman"/>
          <w:sz w:val="24"/>
          <w:szCs w:val="24"/>
        </w:rPr>
        <w:t>2024, due to the currency crisis and conflict impact (Reuters, 2024).</w:t>
      </w:r>
    </w:p>
    <w:p w14:paraId="53B1C65C" w14:textId="4564A5C0" w:rsidR="0078446B" w:rsidRDefault="00FA173D" w:rsidP="0060291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FA173D">
        <w:rPr>
          <w:rFonts w:ascii="Times New Roman" w:hAnsi="Times New Roman" w:cs="Times New Roman"/>
          <w:sz w:val="24"/>
          <w:szCs w:val="24"/>
        </w:rPr>
        <w:t>The rate of inflation, which is the most important factor affecting the discretionary premium retailer's pricing in light of import</w:t>
      </w:r>
      <w:r w:rsidR="00C359C2">
        <w:rPr>
          <w:rFonts w:ascii="Times New Roman" w:hAnsi="Times New Roman" w:cs="Times New Roman"/>
          <w:sz w:val="24"/>
          <w:szCs w:val="24"/>
        </w:rPr>
        <w:t>/</w:t>
      </w:r>
      <w:r w:rsidRPr="00FA173D">
        <w:rPr>
          <w:rFonts w:ascii="Times New Roman" w:hAnsi="Times New Roman" w:cs="Times New Roman"/>
          <w:sz w:val="24"/>
          <w:szCs w:val="24"/>
        </w:rPr>
        <w:t>USD-based cost of production, has declined steeply from its peak levels; however, the level is still high, and the pattern is beginning to reverse itself again. An economist poll conducted by Reuters during the month of July 2026 showed that the economic experts have increased their estimate of inflation levels in the fiscal year 2026</w:t>
      </w:r>
      <w:r w:rsidR="00C359C2">
        <w:rPr>
          <w:rFonts w:ascii="Times New Roman" w:hAnsi="Times New Roman" w:cs="Times New Roman"/>
          <w:sz w:val="24"/>
          <w:szCs w:val="24"/>
        </w:rPr>
        <w:t>/</w:t>
      </w:r>
      <w:r w:rsidRPr="00FA173D">
        <w:rPr>
          <w:rFonts w:ascii="Times New Roman" w:hAnsi="Times New Roman" w:cs="Times New Roman"/>
          <w:sz w:val="24"/>
          <w:szCs w:val="24"/>
        </w:rPr>
        <w:t>27 from 12% to 13.5%, although their GDP growth predictions have increased to about 4.8%; annual urban inflation rates have slowed down to 14.3% in June 2026 but were still significantly higher than the Central Bank of Egypt's medium term inflation target (Economy Middle East, 2026). According to the World Bank country update on Egypt, the inflation rates in Egypt have come down from a peak level of 38% reached in late 2023 to 13.4% by February 2026, allowing the Central Bank of Egypt to reduce interest rates by 825 basis points cumulatively from April 2025 through February 2026 (World Bank, 2026).</w:t>
      </w:r>
    </w:p>
    <w:p w14:paraId="09D4F4EF" w14:textId="423B7BB4" w:rsidR="00FA173D" w:rsidRDefault="00FB02B3" w:rsidP="0060291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FB02B3">
        <w:rPr>
          <w:rFonts w:ascii="Times New Roman" w:hAnsi="Times New Roman" w:cs="Times New Roman"/>
          <w:sz w:val="24"/>
          <w:szCs w:val="24"/>
        </w:rPr>
        <w:t xml:space="preserve">The currency risk represents a structural issue in the Egyptian economy and not a transient one. As per Statistics of the World's 2026 Egypt economic profile, the Egyptian pound depreciated by more than 50 percent in terms of </w:t>
      </w:r>
      <w:r w:rsidR="009E5619">
        <w:rPr>
          <w:rFonts w:ascii="Times New Roman" w:hAnsi="Times New Roman" w:cs="Times New Roman"/>
          <w:sz w:val="24"/>
          <w:szCs w:val="24"/>
        </w:rPr>
        <w:t xml:space="preserve">the </w:t>
      </w:r>
      <w:r w:rsidRPr="00FB02B3">
        <w:rPr>
          <w:rFonts w:ascii="Times New Roman" w:hAnsi="Times New Roman" w:cs="Times New Roman"/>
          <w:sz w:val="24"/>
          <w:szCs w:val="24"/>
        </w:rPr>
        <w:t xml:space="preserve">US dollar from 2022 to 2024, a depreciation shock for which several stabilization programs, assisted by </w:t>
      </w:r>
      <w:r w:rsidR="009E5619">
        <w:rPr>
          <w:rFonts w:ascii="Times New Roman" w:hAnsi="Times New Roman" w:cs="Times New Roman"/>
          <w:sz w:val="24"/>
          <w:szCs w:val="24"/>
        </w:rPr>
        <w:t xml:space="preserve">the </w:t>
      </w:r>
      <w:r w:rsidRPr="00FB02B3">
        <w:rPr>
          <w:rFonts w:ascii="Times New Roman" w:hAnsi="Times New Roman" w:cs="Times New Roman"/>
          <w:sz w:val="24"/>
          <w:szCs w:val="24"/>
        </w:rPr>
        <w:t>IMF, were undertaken (Statistics of the World, 2026). On the other hand, purchasing power concerns increase the same risk on the demand side. As per AGBI's 2026 Egypt economic profile, GDP per capita, which exceeded $4,000 in 2021</w:t>
      </w:r>
      <w:r w:rsidR="008801A0">
        <w:rPr>
          <w:rFonts w:ascii="Times New Roman" w:hAnsi="Times New Roman" w:cs="Times New Roman"/>
          <w:sz w:val="24"/>
          <w:szCs w:val="24"/>
        </w:rPr>
        <w:t>-</w:t>
      </w:r>
      <w:r w:rsidRPr="00FB02B3">
        <w:rPr>
          <w:rFonts w:ascii="Times New Roman" w:hAnsi="Times New Roman" w:cs="Times New Roman"/>
          <w:sz w:val="24"/>
          <w:szCs w:val="24"/>
        </w:rPr>
        <w:t>2022, is not expected to touch the same levels till 2027</w:t>
      </w:r>
      <w:r w:rsidR="009E5619">
        <w:rPr>
          <w:rFonts w:ascii="Times New Roman" w:hAnsi="Times New Roman" w:cs="Times New Roman"/>
          <w:sz w:val="24"/>
          <w:szCs w:val="24"/>
        </w:rPr>
        <w:t>,</w:t>
      </w:r>
      <w:r w:rsidRPr="00FB02B3">
        <w:rPr>
          <w:rFonts w:ascii="Times New Roman" w:hAnsi="Times New Roman" w:cs="Times New Roman"/>
          <w:sz w:val="24"/>
          <w:szCs w:val="24"/>
        </w:rPr>
        <w:t xml:space="preserve"> and </w:t>
      </w:r>
      <w:r w:rsidR="009E5619">
        <w:rPr>
          <w:rFonts w:ascii="Times New Roman" w:hAnsi="Times New Roman" w:cs="Times New Roman"/>
          <w:sz w:val="24"/>
          <w:szCs w:val="24"/>
        </w:rPr>
        <w:t xml:space="preserve">the </w:t>
      </w:r>
      <w:r w:rsidRPr="00FB02B3">
        <w:rPr>
          <w:rFonts w:ascii="Times New Roman" w:hAnsi="Times New Roman" w:cs="Times New Roman"/>
          <w:sz w:val="24"/>
          <w:szCs w:val="24"/>
        </w:rPr>
        <w:t>government debt-to-GDP ratio, even after having declined from its peak of 95.9 percent in 2023, remains very high in the Arab world (AGBI, 2026).</w:t>
      </w:r>
    </w:p>
    <w:p w14:paraId="5092114C" w14:textId="3FE5A98B" w:rsidR="008801A0" w:rsidRDefault="008801A0" w:rsidP="00602912">
      <w:pPr>
        <w:spacing w:line="360" w:lineRule="auto"/>
        <w:jc w:val="both"/>
        <w:rPr>
          <w:rFonts w:ascii="Times New Roman" w:hAnsi="Times New Roman" w:cs="Times New Roman"/>
          <w:sz w:val="24"/>
          <w:szCs w:val="24"/>
        </w:rPr>
      </w:pPr>
      <w:r w:rsidRPr="008801A0">
        <w:rPr>
          <w:rFonts w:ascii="Times New Roman" w:hAnsi="Times New Roman" w:cs="Times New Roman"/>
          <w:b/>
          <w:bCs/>
          <w:sz w:val="24"/>
          <w:szCs w:val="24"/>
        </w:rPr>
        <w:t>Implications for Lululemon:</w:t>
      </w:r>
      <w:r w:rsidRPr="008801A0">
        <w:rPr>
          <w:rFonts w:ascii="Times New Roman" w:hAnsi="Times New Roman" w:cs="Times New Roman"/>
          <w:sz w:val="24"/>
          <w:szCs w:val="24"/>
        </w:rPr>
        <w:t xml:space="preserve"> Economic stability provides a better opportunity for market entry; hence, entering into the Egyptian </w:t>
      </w:r>
      <w:r w:rsidR="009E5619">
        <w:rPr>
          <w:rFonts w:ascii="Times New Roman" w:hAnsi="Times New Roman" w:cs="Times New Roman"/>
          <w:sz w:val="24"/>
          <w:szCs w:val="24"/>
        </w:rPr>
        <w:t>sportswear</w:t>
      </w:r>
      <w:r w:rsidRPr="008801A0">
        <w:rPr>
          <w:rFonts w:ascii="Times New Roman" w:hAnsi="Times New Roman" w:cs="Times New Roman"/>
          <w:sz w:val="24"/>
          <w:szCs w:val="24"/>
        </w:rPr>
        <w:t xml:space="preserve"> market in 2026 is a much better option than 2023. The current situation of persistent inflation, high volatility of the Egyptian pound (EGP), and per capita GDP not recovering to pre-crisis levels means that the target addressable market is less numerous and narrower geographically (Cairo, Giza, and rich parts of </w:t>
      </w:r>
      <w:r w:rsidR="009E5619">
        <w:rPr>
          <w:rFonts w:ascii="Times New Roman" w:hAnsi="Times New Roman" w:cs="Times New Roman"/>
          <w:sz w:val="24"/>
          <w:szCs w:val="24"/>
        </w:rPr>
        <w:t xml:space="preserve">the </w:t>
      </w:r>
      <w:r w:rsidRPr="008801A0">
        <w:rPr>
          <w:rFonts w:ascii="Times New Roman" w:hAnsi="Times New Roman" w:cs="Times New Roman"/>
          <w:sz w:val="24"/>
          <w:szCs w:val="24"/>
        </w:rPr>
        <w:t xml:space="preserve">North Coast </w:t>
      </w:r>
      <w:r w:rsidR="00C359C2">
        <w:rPr>
          <w:rFonts w:ascii="Times New Roman" w:hAnsi="Times New Roman" w:cs="Times New Roman"/>
          <w:sz w:val="24"/>
          <w:szCs w:val="24"/>
        </w:rPr>
        <w:t>/</w:t>
      </w:r>
      <w:r w:rsidRPr="008801A0">
        <w:rPr>
          <w:rFonts w:ascii="Times New Roman" w:hAnsi="Times New Roman" w:cs="Times New Roman"/>
          <w:sz w:val="24"/>
          <w:szCs w:val="24"/>
        </w:rPr>
        <w:t xml:space="preserve"> Gulf coast areas) than it might appear based on the growth of the </w:t>
      </w:r>
      <w:r w:rsidR="009E5619">
        <w:rPr>
          <w:rFonts w:ascii="Times New Roman" w:hAnsi="Times New Roman" w:cs="Times New Roman"/>
          <w:sz w:val="24"/>
          <w:szCs w:val="24"/>
        </w:rPr>
        <w:t>sportswear</w:t>
      </w:r>
      <w:r w:rsidRPr="008801A0">
        <w:rPr>
          <w:rFonts w:ascii="Times New Roman" w:hAnsi="Times New Roman" w:cs="Times New Roman"/>
          <w:sz w:val="24"/>
          <w:szCs w:val="24"/>
        </w:rPr>
        <w:t xml:space="preserve"> market. This underlines the validity of the approach discussed in the OLI and mode of entry sections.</w:t>
      </w:r>
    </w:p>
    <w:p w14:paraId="31FC907B" w14:textId="77777777" w:rsidR="007E637A" w:rsidRDefault="007E637A" w:rsidP="007E637A">
      <w:pPr>
        <w:keepNext/>
        <w:spacing w:line="360" w:lineRule="auto"/>
        <w:jc w:val="center"/>
      </w:pPr>
      <w:r>
        <w:rPr>
          <w:rFonts w:ascii="Times New Roman" w:hAnsi="Times New Roman" w:cs="Times New Roman"/>
          <w:noProof/>
          <w:sz w:val="24"/>
          <w:szCs w:val="24"/>
        </w:rPr>
        <w:drawing>
          <wp:inline distT="0" distB="0" distL="0" distR="0" wp14:anchorId="5EEFC0BE" wp14:editId="35EE56D7">
            <wp:extent cx="5115553" cy="1816100"/>
            <wp:effectExtent l="0" t="0" r="9525" b="0"/>
            <wp:docPr id="17301631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4181" cy="1829813"/>
                    </a:xfrm>
                    <a:prstGeom prst="rect">
                      <a:avLst/>
                    </a:prstGeom>
                    <a:noFill/>
                  </pic:spPr>
                </pic:pic>
              </a:graphicData>
            </a:graphic>
          </wp:inline>
        </w:drawing>
      </w:r>
    </w:p>
    <w:p w14:paraId="17A0FB32" w14:textId="6219E16B" w:rsidR="00AA1A60" w:rsidRDefault="007E637A" w:rsidP="007E637A">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1</w:t>
      </w:r>
      <w:r>
        <w:fldChar w:fldCharType="end"/>
      </w:r>
      <w:r>
        <w:t>: Egypt Sportswear Market</w:t>
      </w:r>
    </w:p>
    <w:p w14:paraId="6B3E45D9" w14:textId="739A24C3" w:rsidR="007E637A" w:rsidRDefault="007E637A" w:rsidP="007E637A">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(IMARC, 2024)</w:t>
      </w:r>
    </w:p>
    <w:p w14:paraId="64154420" w14:textId="7FC5F271" w:rsidR="003515B4" w:rsidRPr="00EF588F" w:rsidRDefault="00875259" w:rsidP="00EF588F">
      <w:pPr>
        <w:pStyle w:val="Heading2"/>
        <w:spacing w:line="360" w:lineRule="auto"/>
        <w:jc w:val="both"/>
        <w:rPr>
          <w:rFonts w:ascii="Times New Roman" w:hAnsi="Times New Roman" w:cs="Times New Roman"/>
          <w:i/>
          <w:iCs/>
          <w:color w:val="000000" w:themeColor="text1"/>
          <w:sz w:val="24"/>
          <w:szCs w:val="24"/>
          <w:u w:val="single"/>
        </w:rPr>
      </w:pPr>
      <w:bookmarkStart w:id="8" w:name="_Toc236835883"/>
      <w:r w:rsidRPr="00EF588F">
        <w:rPr>
          <w:rFonts w:ascii="Times New Roman" w:hAnsi="Times New Roman" w:cs="Times New Roman"/>
          <w:i/>
          <w:iCs/>
          <w:color w:val="000000" w:themeColor="text1"/>
          <w:sz w:val="24"/>
          <w:szCs w:val="24"/>
          <w:u w:val="single"/>
        </w:rPr>
        <w:t>2.3 Legal Environment</w:t>
      </w:r>
      <w:bookmarkEnd w:id="8"/>
    </w:p>
    <w:p w14:paraId="6B79B94A" w14:textId="38EC1D0B" w:rsidR="00875259" w:rsidRDefault="00875259" w:rsidP="0060291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2F4A54" w:rsidRPr="002F4A54">
        <w:rPr>
          <w:rFonts w:ascii="Times New Roman" w:hAnsi="Times New Roman" w:cs="Times New Roman"/>
          <w:sz w:val="24"/>
          <w:szCs w:val="24"/>
        </w:rPr>
        <w:t>The legal regime in Egypt for foreign investors has become increasingly more liberalized since the passage of the Investment Law No. 72 of 2017. The law ensures national treatment, enables one hundred per cent foreign ownership of enterprises in all major areas of economic activity (which includes retail and consumer goods), and protects the right to transfer earnings and repatriate capital (Investment Law No. 72 of 2017; Chambers and Partners, 2026). Further liberalizations of the remaining restrictions followed. As of 2023, there is an amendment to the law allowing majority foreign ownership of businesses that carry out imports and resale for a period of ten years, and a new change in 2024 eliminates the previous need for at least fifty-one per cent capital being owned by Egyptians when purchasing land for investments (Lexology, 2026; U.S. Department of State, 2025).</w:t>
      </w:r>
    </w:p>
    <w:p w14:paraId="39C3C62F" w14:textId="5894A60C" w:rsidR="002F4A54" w:rsidRDefault="002F4A54" w:rsidP="0060291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4D627E" w:rsidRPr="004D627E">
        <w:rPr>
          <w:rFonts w:ascii="Times New Roman" w:hAnsi="Times New Roman" w:cs="Times New Roman"/>
          <w:sz w:val="24"/>
          <w:szCs w:val="24"/>
        </w:rPr>
        <w:t>The operations of commercial agencies and pure distribution are reserved exclusively for firms owned entirely by Egyptians under the Commercial Agencies Law. This requirement applies only to the pure import and distribution strategy but does not exclude foreign-owned LLCs and joint-stock companies from opening retail stores or engaging in franchising. GAFI keeps playing an important role as a one-stop interface for registration and licensing. Thanks to the digitalisation programmes that include the Economic Entities Platform, most transactions have become faster, and “Golden Licences” can still be obtained for priority projects (Daily News Egypt, 2026; Chambers and Partners, 2026).</w:t>
      </w:r>
    </w:p>
    <w:p w14:paraId="40BF60AA" w14:textId="7F60126A" w:rsidR="004D627E" w:rsidRDefault="00B03AA2" w:rsidP="00602912">
      <w:pPr>
        <w:spacing w:line="360" w:lineRule="auto"/>
        <w:jc w:val="both"/>
        <w:rPr>
          <w:rFonts w:ascii="Times New Roman" w:hAnsi="Times New Roman" w:cs="Times New Roman"/>
          <w:sz w:val="24"/>
          <w:szCs w:val="24"/>
        </w:rPr>
      </w:pPr>
      <w:r w:rsidRPr="00B03AA2">
        <w:rPr>
          <w:rFonts w:ascii="Times New Roman" w:hAnsi="Times New Roman" w:cs="Times New Roman"/>
          <w:sz w:val="24"/>
          <w:szCs w:val="24"/>
        </w:rPr>
        <w:t>Protection of intellectual property rights is carried out pursuant to Law No. 82 of 2002</w:t>
      </w:r>
      <w:r w:rsidR="000A25C7">
        <w:rPr>
          <w:rFonts w:ascii="Times New Roman" w:hAnsi="Times New Roman" w:cs="Times New Roman"/>
          <w:sz w:val="24"/>
          <w:szCs w:val="24"/>
        </w:rPr>
        <w:t>, which</w:t>
      </w:r>
      <w:r w:rsidRPr="00B03AA2">
        <w:rPr>
          <w:rFonts w:ascii="Times New Roman" w:hAnsi="Times New Roman" w:cs="Times New Roman"/>
          <w:sz w:val="24"/>
          <w:szCs w:val="24"/>
        </w:rPr>
        <w:t xml:space="preserve"> complies with </w:t>
      </w:r>
      <w:r w:rsidR="000A25C7">
        <w:rPr>
          <w:rFonts w:ascii="Times New Roman" w:hAnsi="Times New Roman" w:cs="Times New Roman"/>
          <w:sz w:val="24"/>
          <w:szCs w:val="24"/>
        </w:rPr>
        <w:t xml:space="preserve">the </w:t>
      </w:r>
      <w:r w:rsidRPr="00B03AA2">
        <w:rPr>
          <w:rFonts w:ascii="Times New Roman" w:hAnsi="Times New Roman" w:cs="Times New Roman"/>
          <w:sz w:val="24"/>
          <w:szCs w:val="24"/>
        </w:rPr>
        <w:t xml:space="preserve">TRIPS Agreement. Protection of trademarks lasts for ten years from the application date and is unlimitedly renewable. Egypt uses a </w:t>
      </w:r>
      <w:r w:rsidR="000A25C7">
        <w:rPr>
          <w:rFonts w:ascii="Times New Roman" w:hAnsi="Times New Roman" w:cs="Times New Roman"/>
          <w:sz w:val="24"/>
          <w:szCs w:val="24"/>
        </w:rPr>
        <w:t>first-to-file</w:t>
      </w:r>
      <w:r w:rsidRPr="00B03AA2">
        <w:rPr>
          <w:rFonts w:ascii="Times New Roman" w:hAnsi="Times New Roman" w:cs="Times New Roman"/>
          <w:sz w:val="24"/>
          <w:szCs w:val="24"/>
        </w:rPr>
        <w:t xml:space="preserve"> rule</w:t>
      </w:r>
      <w:r w:rsidR="000A25C7">
        <w:rPr>
          <w:rFonts w:ascii="Times New Roman" w:hAnsi="Times New Roman" w:cs="Times New Roman"/>
          <w:sz w:val="24"/>
          <w:szCs w:val="24"/>
        </w:rPr>
        <w:t>;</w:t>
      </w:r>
      <w:r w:rsidRPr="00B03AA2">
        <w:rPr>
          <w:rFonts w:ascii="Times New Roman" w:hAnsi="Times New Roman" w:cs="Times New Roman"/>
          <w:sz w:val="24"/>
          <w:szCs w:val="24"/>
        </w:rPr>
        <w:t xml:space="preserve"> thus, early registration becomes imperative for a design-driven global brand. EGIPA, formed through Law 163 of 2023, centralises the control and implements </w:t>
      </w:r>
      <w:r w:rsidR="000A25C7">
        <w:rPr>
          <w:rFonts w:ascii="Times New Roman" w:hAnsi="Times New Roman" w:cs="Times New Roman"/>
          <w:sz w:val="24"/>
          <w:szCs w:val="24"/>
        </w:rPr>
        <w:t xml:space="preserve">a </w:t>
      </w:r>
      <w:r w:rsidRPr="00B03AA2">
        <w:rPr>
          <w:rFonts w:ascii="Times New Roman" w:hAnsi="Times New Roman" w:cs="Times New Roman"/>
          <w:sz w:val="24"/>
          <w:szCs w:val="24"/>
        </w:rPr>
        <w:t xml:space="preserve">national strategy in the sphere of intellectual property. Fees for patents and trademarks and other services have been increased in 2025. Although the border control performed by the Egyptian Customs Authority has improved, Egypt still appears in the USTR Special 301 Watch List; moreover, there are long delays due to </w:t>
      </w:r>
      <w:r w:rsidR="000A25C7">
        <w:rPr>
          <w:rFonts w:ascii="Times New Roman" w:hAnsi="Times New Roman" w:cs="Times New Roman"/>
          <w:sz w:val="24"/>
          <w:szCs w:val="24"/>
        </w:rPr>
        <w:t xml:space="preserve">a </w:t>
      </w:r>
      <w:r w:rsidRPr="00B03AA2">
        <w:rPr>
          <w:rFonts w:ascii="Times New Roman" w:hAnsi="Times New Roman" w:cs="Times New Roman"/>
          <w:sz w:val="24"/>
          <w:szCs w:val="24"/>
        </w:rPr>
        <w:t xml:space="preserve">backlog </w:t>
      </w:r>
      <w:r w:rsidR="000A25C7">
        <w:rPr>
          <w:rFonts w:ascii="Times New Roman" w:hAnsi="Times New Roman" w:cs="Times New Roman"/>
          <w:sz w:val="24"/>
          <w:szCs w:val="24"/>
        </w:rPr>
        <w:t xml:space="preserve">of </w:t>
      </w:r>
      <w:r w:rsidRPr="00B03AA2">
        <w:rPr>
          <w:rFonts w:ascii="Times New Roman" w:hAnsi="Times New Roman" w:cs="Times New Roman"/>
          <w:sz w:val="24"/>
          <w:szCs w:val="24"/>
        </w:rPr>
        <w:t>up to 18-24 months, and counterfeiting of clothing in non-traditional channels persists (IGBS, 2026; U.S. Department of State, 2025; CWB, 2025).</w:t>
      </w:r>
    </w:p>
    <w:p w14:paraId="5D793A5B" w14:textId="2F9FDC63" w:rsidR="00A823FC" w:rsidRDefault="00A823FC" w:rsidP="00602912">
      <w:pPr>
        <w:spacing w:line="360" w:lineRule="auto"/>
        <w:jc w:val="both"/>
        <w:rPr>
          <w:rFonts w:ascii="Times New Roman" w:hAnsi="Times New Roman" w:cs="Times New Roman"/>
          <w:sz w:val="24"/>
          <w:szCs w:val="24"/>
        </w:rPr>
      </w:pPr>
      <w:r w:rsidRPr="00A823FC">
        <w:rPr>
          <w:rFonts w:ascii="Times New Roman" w:hAnsi="Times New Roman" w:cs="Times New Roman"/>
          <w:sz w:val="24"/>
          <w:szCs w:val="24"/>
        </w:rPr>
        <w:t>Implications for Lululemon Athletica</w:t>
      </w:r>
      <w:r>
        <w:rPr>
          <w:rFonts w:ascii="Times New Roman" w:hAnsi="Times New Roman" w:cs="Times New Roman"/>
          <w:sz w:val="24"/>
          <w:szCs w:val="24"/>
        </w:rPr>
        <w:t xml:space="preserve">: </w:t>
      </w:r>
      <w:r w:rsidR="00926C29" w:rsidRPr="00926C29">
        <w:rPr>
          <w:rFonts w:ascii="Times New Roman" w:hAnsi="Times New Roman" w:cs="Times New Roman"/>
          <w:sz w:val="24"/>
          <w:szCs w:val="24"/>
        </w:rPr>
        <w:t xml:space="preserve">According to Egypt's Law of Investments Number 72 of 2017, 100 percent foreign ownership is allowable for retail activities, allowing Lululemon to form an LLC or joint stock company that is 100 percent owned by Lululemon. Pure commercial agency and distribution are reserved for companies wholly owned by </w:t>
      </w:r>
      <w:r w:rsidR="00CA731B" w:rsidRPr="00926C29">
        <w:rPr>
          <w:rFonts w:ascii="Times New Roman" w:hAnsi="Times New Roman" w:cs="Times New Roman"/>
          <w:sz w:val="24"/>
          <w:szCs w:val="24"/>
        </w:rPr>
        <w:t>Egyptians;</w:t>
      </w:r>
      <w:r w:rsidR="00926C29" w:rsidRPr="00926C29">
        <w:rPr>
          <w:rFonts w:ascii="Times New Roman" w:hAnsi="Times New Roman" w:cs="Times New Roman"/>
          <w:sz w:val="24"/>
          <w:szCs w:val="24"/>
        </w:rPr>
        <w:t xml:space="preserve"> hence</w:t>
      </w:r>
      <w:r w:rsidR="000A25C7">
        <w:rPr>
          <w:rFonts w:ascii="Times New Roman" w:hAnsi="Times New Roman" w:cs="Times New Roman"/>
          <w:sz w:val="24"/>
          <w:szCs w:val="24"/>
        </w:rPr>
        <w:t>,</w:t>
      </w:r>
      <w:r w:rsidR="00926C29" w:rsidRPr="00926C29">
        <w:rPr>
          <w:rFonts w:ascii="Times New Roman" w:hAnsi="Times New Roman" w:cs="Times New Roman"/>
          <w:sz w:val="24"/>
          <w:szCs w:val="24"/>
        </w:rPr>
        <w:t xml:space="preserve"> a franchise arrangement or a master franchise would be the most realistic and </w:t>
      </w:r>
      <w:r w:rsidR="000A25C7">
        <w:rPr>
          <w:rFonts w:ascii="Times New Roman" w:hAnsi="Times New Roman" w:cs="Times New Roman"/>
          <w:sz w:val="24"/>
          <w:szCs w:val="24"/>
        </w:rPr>
        <w:t>low-risk</w:t>
      </w:r>
      <w:r w:rsidR="00926C29" w:rsidRPr="00926C29">
        <w:rPr>
          <w:rFonts w:ascii="Times New Roman" w:hAnsi="Times New Roman" w:cs="Times New Roman"/>
          <w:sz w:val="24"/>
          <w:szCs w:val="24"/>
        </w:rPr>
        <w:t xml:space="preserve"> entry strategy. Registration of the trademarks early on is crucial since Egypt operates on a first-to-file basis, along with constant threats of counterfeiting of apparel. Labour </w:t>
      </w:r>
      <w:r w:rsidR="000A25C7">
        <w:rPr>
          <w:rFonts w:ascii="Times New Roman" w:hAnsi="Times New Roman" w:cs="Times New Roman"/>
          <w:sz w:val="24"/>
          <w:szCs w:val="24"/>
        </w:rPr>
        <w:t>Law</w:t>
      </w:r>
      <w:r w:rsidR="00926C29" w:rsidRPr="00926C29">
        <w:rPr>
          <w:rFonts w:ascii="Times New Roman" w:hAnsi="Times New Roman" w:cs="Times New Roman"/>
          <w:sz w:val="24"/>
          <w:szCs w:val="24"/>
        </w:rPr>
        <w:t xml:space="preserve"> of 2025 will impose more requirements in terms of compliance for foreigners at workplaces.</w:t>
      </w:r>
    </w:p>
    <w:p w14:paraId="19E3D7A2" w14:textId="2F33CFF2" w:rsidR="00926C29" w:rsidRPr="00EF588F" w:rsidRDefault="00931BD6" w:rsidP="00EF588F">
      <w:pPr>
        <w:pStyle w:val="Heading2"/>
        <w:spacing w:line="360" w:lineRule="auto"/>
        <w:jc w:val="both"/>
        <w:rPr>
          <w:rFonts w:ascii="Times New Roman" w:hAnsi="Times New Roman" w:cs="Times New Roman"/>
          <w:i/>
          <w:iCs/>
          <w:color w:val="000000" w:themeColor="text1"/>
          <w:sz w:val="24"/>
          <w:szCs w:val="24"/>
          <w:u w:val="single"/>
        </w:rPr>
      </w:pPr>
      <w:bookmarkStart w:id="9" w:name="_Toc236835884"/>
      <w:r w:rsidRPr="00EF588F">
        <w:rPr>
          <w:rFonts w:ascii="Times New Roman" w:hAnsi="Times New Roman" w:cs="Times New Roman"/>
          <w:i/>
          <w:iCs/>
          <w:color w:val="000000" w:themeColor="text1"/>
          <w:sz w:val="24"/>
          <w:szCs w:val="24"/>
          <w:u w:val="single"/>
        </w:rPr>
        <w:t>2.4 Cultural Environment</w:t>
      </w:r>
      <w:bookmarkEnd w:id="9"/>
    </w:p>
    <w:p w14:paraId="6FACAB55" w14:textId="1AF37ABC" w:rsidR="00F10F90" w:rsidRPr="00F10F90" w:rsidRDefault="00931BD6" w:rsidP="00F10F9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F10F90" w:rsidRPr="00F10F90">
        <w:rPr>
          <w:rFonts w:ascii="Times New Roman" w:hAnsi="Times New Roman" w:cs="Times New Roman"/>
          <w:sz w:val="24"/>
          <w:szCs w:val="24"/>
        </w:rPr>
        <w:t>The Egyptian culture includes the domination of Sunni Muslims (around 90%), hierarchy in society, relationship-oriented business, and youth population. Trust and relationships are valued more than business</w:t>
      </w:r>
      <w:r w:rsidR="000A25C7">
        <w:rPr>
          <w:rFonts w:ascii="Times New Roman" w:hAnsi="Times New Roman" w:cs="Times New Roman"/>
          <w:sz w:val="24"/>
          <w:szCs w:val="24"/>
        </w:rPr>
        <w:t>,</w:t>
      </w:r>
      <w:r w:rsidR="00F10F90" w:rsidRPr="00F10F90">
        <w:rPr>
          <w:rFonts w:ascii="Times New Roman" w:hAnsi="Times New Roman" w:cs="Times New Roman"/>
          <w:sz w:val="24"/>
          <w:szCs w:val="24"/>
        </w:rPr>
        <w:t xml:space="preserve"> and consultations with the top management representatives usually precede decision-making (Global Business Culture, 2026). The hierarchies stay very strong in organizations and among consumers, and any product brand must recognize this and respect the hierarchy in negotiations and marketing communication.</w:t>
      </w:r>
    </w:p>
    <w:p w14:paraId="035A759F" w14:textId="032A0B90" w:rsidR="00931BD6" w:rsidRDefault="00F10F90" w:rsidP="00F10F90">
      <w:pPr>
        <w:spacing w:line="360" w:lineRule="auto"/>
        <w:jc w:val="both"/>
        <w:rPr>
          <w:rFonts w:ascii="Times New Roman" w:hAnsi="Times New Roman" w:cs="Times New Roman"/>
          <w:sz w:val="24"/>
          <w:szCs w:val="24"/>
        </w:rPr>
      </w:pPr>
      <w:r w:rsidRPr="00F10F90">
        <w:rPr>
          <w:rFonts w:ascii="Times New Roman" w:hAnsi="Times New Roman" w:cs="Times New Roman"/>
          <w:sz w:val="24"/>
          <w:szCs w:val="24"/>
        </w:rPr>
        <w:t>The role of religion is obvious in the everyday life of business. Fridays are public holidays; business hours at shops vary during Ramadan (late openings and late closing after Ramadan fasting break); and there are also big religious holidays such as Eid al Fitr and Eid al Adha that require closure of businesses for several days. Therefore, the marketing communication must consider this point. The conservative dress code remains relevant outside the cosmopolitan centers, while the youth in Cairo, Giza, and the coastal regions blend the Western sportswear fashion with conservative and utilitarian clothing (Euromonitor, 2025; Cairo 360, 2026).</w:t>
      </w:r>
    </w:p>
    <w:p w14:paraId="40A24F00" w14:textId="0403B0F2" w:rsidR="00C37C72" w:rsidRPr="00C37C72" w:rsidRDefault="00C37C72" w:rsidP="00C37C7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C37C72">
        <w:rPr>
          <w:rFonts w:ascii="Times New Roman" w:hAnsi="Times New Roman" w:cs="Times New Roman"/>
          <w:sz w:val="24"/>
          <w:szCs w:val="24"/>
        </w:rPr>
        <w:t>Gender roles have continued evolving as women feature more prominently in professional, entrepreneurial</w:t>
      </w:r>
      <w:r w:rsidR="000A25C7">
        <w:rPr>
          <w:rFonts w:ascii="Times New Roman" w:hAnsi="Times New Roman" w:cs="Times New Roman"/>
          <w:sz w:val="24"/>
          <w:szCs w:val="24"/>
        </w:rPr>
        <w:t>,</w:t>
      </w:r>
      <w:r w:rsidRPr="00C37C72">
        <w:rPr>
          <w:rFonts w:ascii="Times New Roman" w:hAnsi="Times New Roman" w:cs="Times New Roman"/>
          <w:sz w:val="24"/>
          <w:szCs w:val="24"/>
        </w:rPr>
        <w:t xml:space="preserve"> and consumer choice settings compared to the previous decades; however, leadership roles and some public spaces still observe gender-based stereotypes. Marketing campaigns that include images of active women that reflect cultural inclusivity appeal more to the new urban middle class (Borham et al., 2024</w:t>
      </w:r>
      <w:r w:rsidR="00CA731B">
        <w:rPr>
          <w:rFonts w:ascii="Times New Roman" w:hAnsi="Times New Roman" w:cs="Times New Roman"/>
          <w:sz w:val="24"/>
          <w:szCs w:val="24"/>
        </w:rPr>
        <w:t xml:space="preserve">; </w:t>
      </w:r>
      <w:r w:rsidR="00CA731B" w:rsidRPr="00CA731B">
        <w:rPr>
          <w:rFonts w:ascii="Times New Roman" w:hAnsi="Times New Roman" w:cs="Times New Roman"/>
          <w:sz w:val="24"/>
          <w:szCs w:val="24"/>
        </w:rPr>
        <w:t>Noble and Saifullah Sabry, 2026</w:t>
      </w:r>
      <w:r w:rsidRPr="00C37C72">
        <w:rPr>
          <w:rFonts w:ascii="Times New Roman" w:hAnsi="Times New Roman" w:cs="Times New Roman"/>
          <w:sz w:val="24"/>
          <w:szCs w:val="24"/>
        </w:rPr>
        <w:t>).</w:t>
      </w:r>
    </w:p>
    <w:p w14:paraId="794DE123" w14:textId="67466606" w:rsidR="00F10F90" w:rsidRDefault="00C37C72" w:rsidP="00C37C72">
      <w:pPr>
        <w:spacing w:line="360" w:lineRule="auto"/>
        <w:jc w:val="both"/>
        <w:rPr>
          <w:rFonts w:ascii="Times New Roman" w:hAnsi="Times New Roman" w:cs="Times New Roman"/>
          <w:sz w:val="24"/>
          <w:szCs w:val="24"/>
        </w:rPr>
      </w:pPr>
      <w:r w:rsidRPr="00C37C72">
        <w:rPr>
          <w:rFonts w:ascii="Times New Roman" w:hAnsi="Times New Roman" w:cs="Times New Roman"/>
          <w:sz w:val="24"/>
          <w:szCs w:val="24"/>
        </w:rPr>
        <w:t xml:space="preserve">The demographics of Egypt are young. Generation Z and the early Millennials form a large portion of the population and are the main generators of demand for sportswear and athleisure. This generation shows greater awareness of health and fitness issues, frequenting gyms and outdoor activities as well as great awareness of fashion trends worldwide through social media. Local sportswear and streetwear brands have become successful through incorporating performance materials with local designs and reasonable prices, presenting opportunities but also posing threats for international high-end brands (Research and Markets, 2026; </w:t>
      </w:r>
      <w:r w:rsidR="00B9646D">
        <w:rPr>
          <w:rFonts w:ascii="Times New Roman" w:hAnsi="Times New Roman" w:cs="Times New Roman"/>
          <w:sz w:val="24"/>
          <w:szCs w:val="24"/>
        </w:rPr>
        <w:t xml:space="preserve">IMARC, </w:t>
      </w:r>
      <w:r w:rsidRPr="00C37C72">
        <w:rPr>
          <w:rFonts w:ascii="Times New Roman" w:hAnsi="Times New Roman" w:cs="Times New Roman"/>
          <w:sz w:val="24"/>
          <w:szCs w:val="24"/>
        </w:rPr>
        <w:t>202</w:t>
      </w:r>
      <w:r w:rsidR="00B9646D">
        <w:rPr>
          <w:rFonts w:ascii="Times New Roman" w:hAnsi="Times New Roman" w:cs="Times New Roman"/>
          <w:sz w:val="24"/>
          <w:szCs w:val="24"/>
        </w:rPr>
        <w:t>4</w:t>
      </w:r>
      <w:r w:rsidRPr="00C37C72">
        <w:rPr>
          <w:rFonts w:ascii="Times New Roman" w:hAnsi="Times New Roman" w:cs="Times New Roman"/>
          <w:sz w:val="24"/>
          <w:szCs w:val="24"/>
        </w:rPr>
        <w:t>). In addition, economic polarization implies that premium spending is only possible for richer urban populations and expats.</w:t>
      </w:r>
    </w:p>
    <w:p w14:paraId="413C82D1" w14:textId="30DE0E63" w:rsidR="00DB7751" w:rsidRPr="00DB7751" w:rsidRDefault="00DB7751" w:rsidP="00DB7751">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DB7751">
        <w:rPr>
          <w:rFonts w:ascii="Times New Roman" w:hAnsi="Times New Roman" w:cs="Times New Roman"/>
          <w:sz w:val="24"/>
          <w:szCs w:val="24"/>
        </w:rPr>
        <w:t>The business culture in this country is also based on relationships and quite high-contextual. Establishing good personal contacts with local partners, landlords</w:t>
      </w:r>
      <w:r w:rsidR="000A25C7">
        <w:rPr>
          <w:rFonts w:ascii="Times New Roman" w:hAnsi="Times New Roman" w:cs="Times New Roman"/>
          <w:sz w:val="24"/>
          <w:szCs w:val="24"/>
        </w:rPr>
        <w:t>,</w:t>
      </w:r>
      <w:r w:rsidRPr="00DB7751">
        <w:rPr>
          <w:rFonts w:ascii="Times New Roman" w:hAnsi="Times New Roman" w:cs="Times New Roman"/>
          <w:sz w:val="24"/>
          <w:szCs w:val="24"/>
        </w:rPr>
        <w:t xml:space="preserve"> and franchisees is imperative; </w:t>
      </w:r>
      <w:r w:rsidR="000A25C7">
        <w:rPr>
          <w:rFonts w:ascii="Times New Roman" w:hAnsi="Times New Roman" w:cs="Times New Roman"/>
          <w:sz w:val="24"/>
          <w:szCs w:val="24"/>
        </w:rPr>
        <w:t xml:space="preserve">a </w:t>
      </w:r>
      <w:r w:rsidRPr="00DB7751">
        <w:rPr>
          <w:rFonts w:ascii="Times New Roman" w:hAnsi="Times New Roman" w:cs="Times New Roman"/>
          <w:sz w:val="24"/>
          <w:szCs w:val="24"/>
        </w:rPr>
        <w:t xml:space="preserve">purely transactional style of doing business is considered quite rude. English is widely spoken by educated city professionals, but </w:t>
      </w:r>
      <w:r w:rsidR="000A25C7">
        <w:rPr>
          <w:rFonts w:ascii="Times New Roman" w:hAnsi="Times New Roman" w:cs="Times New Roman"/>
          <w:sz w:val="24"/>
          <w:szCs w:val="24"/>
        </w:rPr>
        <w:t xml:space="preserve">the </w:t>
      </w:r>
      <w:r w:rsidRPr="00DB7751">
        <w:rPr>
          <w:rFonts w:ascii="Times New Roman" w:hAnsi="Times New Roman" w:cs="Times New Roman"/>
          <w:sz w:val="24"/>
          <w:szCs w:val="24"/>
        </w:rPr>
        <w:t>Arabic language is used in everyday transactions, so the company needs to be bilingual in terms of branding and customer service.</w:t>
      </w:r>
    </w:p>
    <w:p w14:paraId="20B9C814" w14:textId="6ED487CA" w:rsidR="00B03AA2" w:rsidRDefault="00DB7751" w:rsidP="00602912">
      <w:pPr>
        <w:spacing w:line="360" w:lineRule="auto"/>
        <w:jc w:val="both"/>
        <w:rPr>
          <w:rFonts w:ascii="Times New Roman" w:hAnsi="Times New Roman" w:cs="Times New Roman"/>
          <w:sz w:val="24"/>
          <w:szCs w:val="24"/>
        </w:rPr>
      </w:pPr>
      <w:r w:rsidRPr="00453DE7">
        <w:rPr>
          <w:rFonts w:ascii="Times New Roman" w:hAnsi="Times New Roman" w:cs="Times New Roman"/>
          <w:b/>
          <w:bCs/>
          <w:i/>
          <w:iCs/>
          <w:sz w:val="24"/>
          <w:szCs w:val="24"/>
        </w:rPr>
        <w:t>For Lululemon</w:t>
      </w:r>
      <w:r w:rsidRPr="00DB7751">
        <w:rPr>
          <w:rFonts w:ascii="Times New Roman" w:hAnsi="Times New Roman" w:cs="Times New Roman"/>
          <w:sz w:val="24"/>
          <w:szCs w:val="24"/>
        </w:rPr>
        <w:t xml:space="preserve">, the </w:t>
      </w:r>
      <w:r w:rsidR="00453DE7">
        <w:rPr>
          <w:rFonts w:ascii="Times New Roman" w:hAnsi="Times New Roman" w:cs="Times New Roman"/>
          <w:sz w:val="24"/>
          <w:szCs w:val="24"/>
        </w:rPr>
        <w:t>above-mentioned cultural specifics suggest the need for careful localization of the product range (modest but sport-oriented silhouettes), retail format, online presence,</w:t>
      </w:r>
      <w:r w:rsidRPr="00DB7751">
        <w:rPr>
          <w:rFonts w:ascii="Times New Roman" w:hAnsi="Times New Roman" w:cs="Times New Roman"/>
          <w:sz w:val="24"/>
          <w:szCs w:val="24"/>
        </w:rPr>
        <w:t xml:space="preserve"> and timing of promotions. The positioning of the brand</w:t>
      </w:r>
      <w:r w:rsidR="00802EB6">
        <w:rPr>
          <w:rFonts w:ascii="Times New Roman" w:hAnsi="Times New Roman" w:cs="Times New Roman"/>
          <w:sz w:val="24"/>
          <w:szCs w:val="24"/>
        </w:rPr>
        <w:t>,</w:t>
      </w:r>
      <w:r w:rsidRPr="00DB7751">
        <w:rPr>
          <w:rFonts w:ascii="Times New Roman" w:hAnsi="Times New Roman" w:cs="Times New Roman"/>
          <w:sz w:val="24"/>
          <w:szCs w:val="24"/>
        </w:rPr>
        <w:t xml:space="preserve"> which stresses its community nature, wellness programs</w:t>
      </w:r>
      <w:r w:rsidR="00802EB6">
        <w:rPr>
          <w:rFonts w:ascii="Times New Roman" w:hAnsi="Times New Roman" w:cs="Times New Roman"/>
          <w:sz w:val="24"/>
          <w:szCs w:val="24"/>
        </w:rPr>
        <w:t>,</w:t>
      </w:r>
      <w:r w:rsidRPr="00DB7751">
        <w:rPr>
          <w:rFonts w:ascii="Times New Roman" w:hAnsi="Times New Roman" w:cs="Times New Roman"/>
          <w:sz w:val="24"/>
          <w:szCs w:val="24"/>
        </w:rPr>
        <w:t xml:space="preserve"> and active lifestyles of customers while avoiding all inappropriate visuals</w:t>
      </w:r>
      <w:r w:rsidR="00802EB6">
        <w:rPr>
          <w:rFonts w:ascii="Times New Roman" w:hAnsi="Times New Roman" w:cs="Times New Roman"/>
          <w:sz w:val="24"/>
          <w:szCs w:val="24"/>
        </w:rPr>
        <w:t>,</w:t>
      </w:r>
      <w:r w:rsidRPr="00DB7751">
        <w:rPr>
          <w:rFonts w:ascii="Times New Roman" w:hAnsi="Times New Roman" w:cs="Times New Roman"/>
          <w:sz w:val="24"/>
          <w:szCs w:val="24"/>
        </w:rPr>
        <w:t xml:space="preserve"> is culturally most appropriate. A joint venture through </w:t>
      </w:r>
      <w:r w:rsidR="00802EB6">
        <w:rPr>
          <w:rFonts w:ascii="Times New Roman" w:hAnsi="Times New Roman" w:cs="Times New Roman"/>
          <w:sz w:val="24"/>
          <w:szCs w:val="24"/>
        </w:rPr>
        <w:t xml:space="preserve">a </w:t>
      </w:r>
      <w:r w:rsidRPr="00DB7751">
        <w:rPr>
          <w:rFonts w:ascii="Times New Roman" w:hAnsi="Times New Roman" w:cs="Times New Roman"/>
          <w:sz w:val="24"/>
          <w:szCs w:val="24"/>
        </w:rPr>
        <w:t>local franchisee provides better conditions to work through complex local networks.</w:t>
      </w:r>
    </w:p>
    <w:p w14:paraId="369E5E03" w14:textId="77777777" w:rsidR="00DC70A0" w:rsidRPr="00EF588F" w:rsidRDefault="0077715B" w:rsidP="00EF588F">
      <w:pPr>
        <w:pStyle w:val="Heading2"/>
        <w:spacing w:line="360" w:lineRule="auto"/>
        <w:jc w:val="both"/>
        <w:rPr>
          <w:rFonts w:ascii="Times New Roman" w:hAnsi="Times New Roman" w:cs="Times New Roman"/>
          <w:i/>
          <w:iCs/>
          <w:color w:val="000000" w:themeColor="text1"/>
          <w:sz w:val="24"/>
          <w:szCs w:val="24"/>
          <w:u w:val="single"/>
        </w:rPr>
      </w:pPr>
      <w:bookmarkStart w:id="10" w:name="_Toc236835885"/>
      <w:r w:rsidRPr="00EF588F">
        <w:rPr>
          <w:rFonts w:ascii="Times New Roman" w:hAnsi="Times New Roman" w:cs="Times New Roman"/>
          <w:i/>
          <w:iCs/>
          <w:color w:val="000000" w:themeColor="text1"/>
          <w:sz w:val="24"/>
          <w:szCs w:val="24"/>
          <w:u w:val="single"/>
        </w:rPr>
        <w:t xml:space="preserve">2.5 </w:t>
      </w:r>
      <w:r w:rsidR="00DC70A0" w:rsidRPr="00EF588F">
        <w:rPr>
          <w:rFonts w:ascii="Times New Roman" w:hAnsi="Times New Roman" w:cs="Times New Roman"/>
          <w:i/>
          <w:iCs/>
          <w:color w:val="000000" w:themeColor="text1"/>
          <w:sz w:val="24"/>
          <w:szCs w:val="24"/>
          <w:u w:val="single"/>
        </w:rPr>
        <w:t>Market Entry Analysis Using the Eclectic Paradigm (OLI Framework)</w:t>
      </w:r>
      <w:bookmarkEnd w:id="10"/>
    </w:p>
    <w:p w14:paraId="177DF5A7" w14:textId="54C80C8D" w:rsidR="00DC70A0" w:rsidRDefault="00DC70A0" w:rsidP="00DC70A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DB771D" w:rsidRPr="00DB771D">
        <w:rPr>
          <w:rFonts w:ascii="Times New Roman" w:hAnsi="Times New Roman" w:cs="Times New Roman"/>
          <w:sz w:val="24"/>
          <w:szCs w:val="24"/>
        </w:rPr>
        <w:t>The Eclectic Paradigm, put forward by John Dunning, which is known as OLI, serves as an effective framework to assess the viability and ideal form of entry into the Egyptian market for Lululemon Athletica. According to the eclectic paradigm theory, the success of foreign direct investments or entry into the market depends on the relationship between the following three sets of advantages: ownership (O), location (L), and internalization (I).</w:t>
      </w:r>
    </w:p>
    <w:p w14:paraId="4F52BD51" w14:textId="77777777" w:rsidR="00DC02DD" w:rsidRPr="00DC02DD" w:rsidRDefault="00DC02DD" w:rsidP="00DC02DD">
      <w:pPr>
        <w:spacing w:line="360" w:lineRule="auto"/>
        <w:jc w:val="both"/>
        <w:rPr>
          <w:rFonts w:ascii="Times New Roman" w:hAnsi="Times New Roman" w:cs="Times New Roman"/>
          <w:sz w:val="24"/>
          <w:szCs w:val="24"/>
        </w:rPr>
      </w:pPr>
      <w:r w:rsidRPr="00DC02DD">
        <w:rPr>
          <w:rFonts w:ascii="Times New Roman" w:hAnsi="Times New Roman" w:cs="Times New Roman"/>
          <w:sz w:val="24"/>
          <w:szCs w:val="24"/>
        </w:rPr>
        <w:t>Ownership Advantages (O)</w:t>
      </w:r>
    </w:p>
    <w:p w14:paraId="5353D00C" w14:textId="6F520400" w:rsidR="00DC02DD" w:rsidRDefault="00DC02DD" w:rsidP="00DC70A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65F1A" w:rsidRPr="00065F1A">
        <w:rPr>
          <w:rFonts w:ascii="Times New Roman" w:hAnsi="Times New Roman" w:cs="Times New Roman"/>
          <w:sz w:val="24"/>
          <w:szCs w:val="24"/>
        </w:rPr>
        <w:t xml:space="preserve">The Lululemon company enjoys significant firm-specific strengths through having an internationally recognised premium athleisure brand, unique </w:t>
      </w:r>
      <w:r w:rsidR="000A25C7">
        <w:rPr>
          <w:rFonts w:ascii="Times New Roman" w:hAnsi="Times New Roman" w:cs="Times New Roman"/>
          <w:sz w:val="24"/>
          <w:szCs w:val="24"/>
        </w:rPr>
        <w:t>fabric</w:t>
      </w:r>
      <w:r w:rsidR="00065F1A" w:rsidRPr="00065F1A">
        <w:rPr>
          <w:rFonts w:ascii="Times New Roman" w:hAnsi="Times New Roman" w:cs="Times New Roman"/>
          <w:sz w:val="24"/>
          <w:szCs w:val="24"/>
        </w:rPr>
        <w:t xml:space="preserve"> technology, designs</w:t>
      </w:r>
      <w:r w:rsidR="000A25C7">
        <w:rPr>
          <w:rFonts w:ascii="Times New Roman" w:hAnsi="Times New Roman" w:cs="Times New Roman"/>
          <w:sz w:val="24"/>
          <w:szCs w:val="24"/>
        </w:rPr>
        <w:t>,</w:t>
      </w:r>
      <w:r w:rsidR="00065F1A" w:rsidRPr="00065F1A">
        <w:rPr>
          <w:rFonts w:ascii="Times New Roman" w:hAnsi="Times New Roman" w:cs="Times New Roman"/>
          <w:sz w:val="24"/>
          <w:szCs w:val="24"/>
        </w:rPr>
        <w:t xml:space="preserve"> and community-oriented retail operations, which produce substantial customer loyalty and margins. Such intangible resources constitute barriers to differentiation not only compared to mass sportswear brands but also against emergent local Egyptian brands (Research and Markets, 2026; Abilogic, 2025). Given the polarised consumer landscape in Egypt, where wealthy urban consumers keep on preferring global premium brands regardless of the prevailing economic conditions, such ownership benefits retain their transferability potential (Euromonitor, 2025). However, at the same time, such firm-specific strengths make the company more vulnerable to counterfeiting and brand dilution risks.</w:t>
      </w:r>
    </w:p>
    <w:p w14:paraId="5019278B" w14:textId="77777777" w:rsidR="00DC2878" w:rsidRPr="00DC2878" w:rsidRDefault="00DC2878" w:rsidP="00DC2878">
      <w:pPr>
        <w:spacing w:line="360" w:lineRule="auto"/>
        <w:jc w:val="both"/>
        <w:rPr>
          <w:rFonts w:ascii="Times New Roman" w:hAnsi="Times New Roman" w:cs="Times New Roman"/>
          <w:sz w:val="24"/>
          <w:szCs w:val="24"/>
        </w:rPr>
      </w:pPr>
      <w:r w:rsidRPr="00DC2878">
        <w:rPr>
          <w:rFonts w:ascii="Times New Roman" w:hAnsi="Times New Roman" w:cs="Times New Roman"/>
          <w:sz w:val="24"/>
          <w:szCs w:val="24"/>
        </w:rPr>
        <w:t>Location Advantages (L)</w:t>
      </w:r>
    </w:p>
    <w:p w14:paraId="228EB447" w14:textId="763E892A" w:rsidR="008B66D1" w:rsidRPr="008B66D1" w:rsidRDefault="00DC2878" w:rsidP="008B66D1">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8B66D1" w:rsidRPr="008B66D1">
        <w:rPr>
          <w:rFonts w:ascii="Times New Roman" w:hAnsi="Times New Roman" w:cs="Times New Roman"/>
          <w:sz w:val="24"/>
          <w:szCs w:val="24"/>
        </w:rPr>
        <w:t xml:space="preserve">Egypt is one of the countries with a set of location advantages. In this country, there is a young population, increased health awareness among Gen Z and millennial consumers in cities, and high demand for high-quality products in the Cairo-Giza region and affluent coastal regions (Research and Markets, 2026; Cairo 360, 2026). Stable macroeconomics due to the currency float since 2024 and repeated reviews of the IMF program will foster development opportunities (estimated at 4.4-4.6 percent for FY 2025/26) and reduce high inflation levels in the past (IMF, 2026; World Bank, 2026). Investment </w:t>
      </w:r>
      <w:r w:rsidR="000A25C7">
        <w:rPr>
          <w:rFonts w:ascii="Times New Roman" w:hAnsi="Times New Roman" w:cs="Times New Roman"/>
          <w:sz w:val="24"/>
          <w:szCs w:val="24"/>
        </w:rPr>
        <w:t>Law No</w:t>
      </w:r>
      <w:r w:rsidR="008B66D1" w:rsidRPr="008B66D1">
        <w:rPr>
          <w:rFonts w:ascii="Times New Roman" w:hAnsi="Times New Roman" w:cs="Times New Roman"/>
          <w:sz w:val="24"/>
          <w:szCs w:val="24"/>
        </w:rPr>
        <w:t>. 72 of 2017 includes legal amendments for foreign ownership of retail operations (Chambers and Partners, 2026; Lexology, 2026).</w:t>
      </w:r>
    </w:p>
    <w:p w14:paraId="20B8B234" w14:textId="70E59584" w:rsidR="00DC2878" w:rsidRDefault="008B66D1" w:rsidP="008B66D1">
      <w:pPr>
        <w:spacing w:line="360" w:lineRule="auto"/>
        <w:jc w:val="both"/>
        <w:rPr>
          <w:rFonts w:ascii="Times New Roman" w:hAnsi="Times New Roman" w:cs="Times New Roman"/>
          <w:sz w:val="24"/>
          <w:szCs w:val="24"/>
        </w:rPr>
      </w:pPr>
      <w:r w:rsidRPr="008B66D1">
        <w:rPr>
          <w:rFonts w:ascii="Times New Roman" w:hAnsi="Times New Roman" w:cs="Times New Roman"/>
          <w:sz w:val="24"/>
          <w:szCs w:val="24"/>
        </w:rPr>
        <w:t xml:space="preserve">All location advantages are offset by location disadvantages, including relatively high inflation rates, volatility of the Egyptian pound, high government debt, bureaucracy, and security problems related to the Suez Canal and Red Sea passage (IMF, 2026; Reuters, 2026). Moreover, cultural factors include </w:t>
      </w:r>
      <w:r w:rsidR="00940B32">
        <w:rPr>
          <w:rFonts w:ascii="Times New Roman" w:hAnsi="Times New Roman" w:cs="Times New Roman"/>
          <w:sz w:val="24"/>
          <w:szCs w:val="24"/>
        </w:rPr>
        <w:t xml:space="preserve">a </w:t>
      </w:r>
      <w:r w:rsidRPr="008B66D1">
        <w:rPr>
          <w:rFonts w:ascii="Times New Roman" w:hAnsi="Times New Roman" w:cs="Times New Roman"/>
          <w:sz w:val="24"/>
          <w:szCs w:val="24"/>
        </w:rPr>
        <w:t xml:space="preserve">modest </w:t>
      </w:r>
      <w:r w:rsidR="00940B32">
        <w:rPr>
          <w:rFonts w:ascii="Times New Roman" w:hAnsi="Times New Roman" w:cs="Times New Roman"/>
          <w:sz w:val="24"/>
          <w:szCs w:val="24"/>
        </w:rPr>
        <w:t>dress</w:t>
      </w:r>
      <w:r w:rsidRPr="008B66D1">
        <w:rPr>
          <w:rFonts w:ascii="Times New Roman" w:hAnsi="Times New Roman" w:cs="Times New Roman"/>
          <w:sz w:val="24"/>
          <w:szCs w:val="24"/>
        </w:rPr>
        <w:t xml:space="preserve"> code, relationship-oriented business practices, and holidays (Global Business Culture, 2026; Euromonitor, 2025).</w:t>
      </w:r>
    </w:p>
    <w:p w14:paraId="7A080B6C" w14:textId="77777777" w:rsidR="007004A7" w:rsidRPr="007004A7" w:rsidRDefault="007004A7" w:rsidP="007004A7">
      <w:pPr>
        <w:spacing w:line="360" w:lineRule="auto"/>
        <w:jc w:val="both"/>
        <w:rPr>
          <w:rFonts w:ascii="Times New Roman" w:hAnsi="Times New Roman" w:cs="Times New Roman"/>
          <w:sz w:val="24"/>
          <w:szCs w:val="24"/>
        </w:rPr>
      </w:pPr>
      <w:r w:rsidRPr="007004A7">
        <w:rPr>
          <w:rFonts w:ascii="Times New Roman" w:hAnsi="Times New Roman" w:cs="Times New Roman"/>
          <w:sz w:val="24"/>
          <w:szCs w:val="24"/>
        </w:rPr>
        <w:t>Internalisation Advantages (I)</w:t>
      </w:r>
    </w:p>
    <w:p w14:paraId="2FB6A190" w14:textId="3C541C58" w:rsidR="007004A7" w:rsidRDefault="007004A7" w:rsidP="008B66D1">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555B43" w:rsidRPr="00555B43">
        <w:rPr>
          <w:rFonts w:ascii="Times New Roman" w:hAnsi="Times New Roman" w:cs="Times New Roman"/>
          <w:sz w:val="24"/>
          <w:szCs w:val="24"/>
        </w:rPr>
        <w:t xml:space="preserve">The </w:t>
      </w:r>
      <w:r w:rsidR="000A25C7">
        <w:rPr>
          <w:rFonts w:ascii="Times New Roman" w:hAnsi="Times New Roman" w:cs="Times New Roman"/>
          <w:sz w:val="24"/>
          <w:szCs w:val="24"/>
        </w:rPr>
        <w:t>brand-sensitive</w:t>
      </w:r>
      <w:r w:rsidR="00555B43" w:rsidRPr="00555B43">
        <w:rPr>
          <w:rFonts w:ascii="Times New Roman" w:hAnsi="Times New Roman" w:cs="Times New Roman"/>
          <w:sz w:val="24"/>
          <w:szCs w:val="24"/>
        </w:rPr>
        <w:t xml:space="preserve"> business model used by Lululemon prefers internalization (stores owned by the company) due to the need for quality, customer service</w:t>
      </w:r>
      <w:r w:rsidR="000A25C7">
        <w:rPr>
          <w:rFonts w:ascii="Times New Roman" w:hAnsi="Times New Roman" w:cs="Times New Roman"/>
          <w:sz w:val="24"/>
          <w:szCs w:val="24"/>
        </w:rPr>
        <w:t>,</w:t>
      </w:r>
      <w:r w:rsidR="00555B43" w:rsidRPr="00555B43">
        <w:rPr>
          <w:rFonts w:ascii="Times New Roman" w:hAnsi="Times New Roman" w:cs="Times New Roman"/>
          <w:sz w:val="24"/>
          <w:szCs w:val="24"/>
        </w:rPr>
        <w:t xml:space="preserve"> and protection of intellectual property. There are</w:t>
      </w:r>
      <w:r w:rsidR="000A25C7">
        <w:rPr>
          <w:rFonts w:ascii="Times New Roman" w:hAnsi="Times New Roman" w:cs="Times New Roman"/>
          <w:sz w:val="24"/>
          <w:szCs w:val="24"/>
        </w:rPr>
        <w:t>,</w:t>
      </w:r>
      <w:r w:rsidR="00555B43" w:rsidRPr="00555B43">
        <w:rPr>
          <w:rFonts w:ascii="Times New Roman" w:hAnsi="Times New Roman" w:cs="Times New Roman"/>
          <w:sz w:val="24"/>
          <w:szCs w:val="24"/>
        </w:rPr>
        <w:t xml:space="preserve"> however</w:t>
      </w:r>
      <w:r w:rsidR="000A25C7">
        <w:rPr>
          <w:rFonts w:ascii="Times New Roman" w:hAnsi="Times New Roman" w:cs="Times New Roman"/>
          <w:sz w:val="24"/>
          <w:szCs w:val="24"/>
        </w:rPr>
        <w:t>,</w:t>
      </w:r>
      <w:r w:rsidR="00555B43" w:rsidRPr="00555B43">
        <w:rPr>
          <w:rFonts w:ascii="Times New Roman" w:hAnsi="Times New Roman" w:cs="Times New Roman"/>
          <w:sz w:val="24"/>
          <w:szCs w:val="24"/>
        </w:rPr>
        <w:t xml:space="preserve"> some conditions that increase the cost of internalization in Egypt. These include limitations imposed by law on purely commercial agency, the need for relationships in the market, risks of currency and politics, and the need for cultural adjustment (Chambers and Partners, 2026; Pinsent Masons, 2026). The master franchise or joint venture business form allows the firm to use local resources and control the brand.</w:t>
      </w:r>
    </w:p>
    <w:p w14:paraId="77089386" w14:textId="77777777" w:rsidR="00114082" w:rsidRPr="00114082" w:rsidRDefault="00114082" w:rsidP="00114082">
      <w:pPr>
        <w:spacing w:line="360" w:lineRule="auto"/>
        <w:jc w:val="both"/>
        <w:rPr>
          <w:rFonts w:ascii="Times New Roman" w:hAnsi="Times New Roman" w:cs="Times New Roman"/>
          <w:sz w:val="24"/>
          <w:szCs w:val="24"/>
        </w:rPr>
      </w:pPr>
      <w:r w:rsidRPr="00114082">
        <w:rPr>
          <w:rFonts w:ascii="Times New Roman" w:hAnsi="Times New Roman" w:cs="Times New Roman"/>
          <w:sz w:val="24"/>
          <w:szCs w:val="24"/>
        </w:rPr>
        <w:t>Critical Synthesis and Entry Implications</w:t>
      </w:r>
    </w:p>
    <w:p w14:paraId="0CE88252" w14:textId="3C083206" w:rsidR="00321AA4" w:rsidRPr="00321AA4" w:rsidRDefault="00114082" w:rsidP="00321AA4">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321AA4" w:rsidRPr="00321AA4">
        <w:rPr>
          <w:rFonts w:ascii="Times New Roman" w:hAnsi="Times New Roman" w:cs="Times New Roman"/>
          <w:sz w:val="24"/>
          <w:szCs w:val="24"/>
        </w:rPr>
        <w:t>The OLI approach for Egypt suggests high ownership advantages, selective location advantages</w:t>
      </w:r>
      <w:r w:rsidR="000A25C7">
        <w:rPr>
          <w:rFonts w:ascii="Times New Roman" w:hAnsi="Times New Roman" w:cs="Times New Roman"/>
          <w:sz w:val="24"/>
          <w:szCs w:val="24"/>
        </w:rPr>
        <w:t>,</w:t>
      </w:r>
      <w:r w:rsidR="00321AA4" w:rsidRPr="00321AA4">
        <w:rPr>
          <w:rFonts w:ascii="Times New Roman" w:hAnsi="Times New Roman" w:cs="Times New Roman"/>
          <w:sz w:val="24"/>
          <w:szCs w:val="24"/>
        </w:rPr>
        <w:t xml:space="preserve"> and moderate internalization pressure with risks involved. Ownership of the entire network of retail outlets is associated with undue exposure to foreign exchange risks, political risks</w:t>
      </w:r>
      <w:r w:rsidR="000A25C7">
        <w:rPr>
          <w:rFonts w:ascii="Times New Roman" w:hAnsi="Times New Roman" w:cs="Times New Roman"/>
          <w:sz w:val="24"/>
          <w:szCs w:val="24"/>
        </w:rPr>
        <w:t>,</w:t>
      </w:r>
      <w:r w:rsidR="00321AA4" w:rsidRPr="00321AA4">
        <w:rPr>
          <w:rFonts w:ascii="Times New Roman" w:hAnsi="Times New Roman" w:cs="Times New Roman"/>
          <w:sz w:val="24"/>
          <w:szCs w:val="24"/>
        </w:rPr>
        <w:t xml:space="preserve"> and lack of essential location advantages. Arm’s-length licensing will be an inefficient use of the company’s ownership advantages while exposing its brand identity to the risk of dilution.</w:t>
      </w:r>
    </w:p>
    <w:p w14:paraId="16A73E0B" w14:textId="672FEFE7" w:rsidR="00DC70A0" w:rsidRDefault="00321AA4" w:rsidP="00DC70A0">
      <w:pPr>
        <w:spacing w:line="360" w:lineRule="auto"/>
        <w:jc w:val="both"/>
        <w:rPr>
          <w:rFonts w:ascii="Times New Roman" w:hAnsi="Times New Roman" w:cs="Times New Roman"/>
          <w:sz w:val="24"/>
          <w:szCs w:val="24"/>
        </w:rPr>
      </w:pPr>
      <w:r w:rsidRPr="00321AA4">
        <w:rPr>
          <w:rFonts w:ascii="Times New Roman" w:hAnsi="Times New Roman" w:cs="Times New Roman"/>
          <w:sz w:val="24"/>
          <w:szCs w:val="24"/>
        </w:rPr>
        <w:t xml:space="preserve">In such </w:t>
      </w:r>
      <w:r w:rsidR="000A25C7">
        <w:rPr>
          <w:rFonts w:ascii="Times New Roman" w:hAnsi="Times New Roman" w:cs="Times New Roman"/>
          <w:sz w:val="24"/>
          <w:szCs w:val="24"/>
        </w:rPr>
        <w:t xml:space="preserve">a </w:t>
      </w:r>
      <w:r w:rsidRPr="00321AA4">
        <w:rPr>
          <w:rFonts w:ascii="Times New Roman" w:hAnsi="Times New Roman" w:cs="Times New Roman"/>
          <w:sz w:val="24"/>
          <w:szCs w:val="24"/>
        </w:rPr>
        <w:t>case, the best choice will be phased entry through partnership, which will involve using a selected master franchisee / joint venture strategy based on flagship outlets in Cairo and selected coastal cities. This entry strategy allows the company to test demand for its products and services, establish relationships, protect its intellectual property via contractual relations</w:t>
      </w:r>
      <w:r w:rsidR="000A25C7">
        <w:rPr>
          <w:rFonts w:ascii="Times New Roman" w:hAnsi="Times New Roman" w:cs="Times New Roman"/>
          <w:sz w:val="24"/>
          <w:szCs w:val="24"/>
        </w:rPr>
        <w:t>,</w:t>
      </w:r>
      <w:r w:rsidRPr="00321AA4">
        <w:rPr>
          <w:rFonts w:ascii="Times New Roman" w:hAnsi="Times New Roman" w:cs="Times New Roman"/>
          <w:sz w:val="24"/>
          <w:szCs w:val="24"/>
        </w:rPr>
        <w:t xml:space="preserve"> and then gradually increase equity holdings depending on the development of the macro and institutional environment in Egypt (IMF, 2026; Chambers and Partners, 2026). Overall, the OLI approach suggests that Egypt is an interesting but conditional market and the key to success there is efficient exploitation of Lululemon’s ownership advantages through partial internalization.</w:t>
      </w:r>
    </w:p>
    <w:p w14:paraId="2BC26CD4" w14:textId="12627355" w:rsidR="00204EE3" w:rsidRPr="00A626FC" w:rsidRDefault="00131743" w:rsidP="00A626FC">
      <w:pPr>
        <w:pStyle w:val="Heading1"/>
        <w:spacing w:line="360" w:lineRule="auto"/>
        <w:jc w:val="both"/>
        <w:rPr>
          <w:rFonts w:ascii="Times New Roman" w:hAnsi="Times New Roman" w:cs="Times New Roman"/>
          <w:b/>
          <w:bCs/>
          <w:color w:val="000000" w:themeColor="text1"/>
          <w:sz w:val="28"/>
          <w:szCs w:val="28"/>
        </w:rPr>
      </w:pPr>
      <w:bookmarkStart w:id="11" w:name="_Toc236835886"/>
      <w:r w:rsidRPr="00A626FC">
        <w:rPr>
          <w:rFonts w:ascii="Times New Roman" w:hAnsi="Times New Roman" w:cs="Times New Roman"/>
          <w:b/>
          <w:bCs/>
          <w:color w:val="000000" w:themeColor="text1"/>
          <w:sz w:val="28"/>
          <w:szCs w:val="28"/>
        </w:rPr>
        <w:t>3. Entry Mode Strategy and Strategic Synthesis</w:t>
      </w:r>
      <w:bookmarkEnd w:id="11"/>
    </w:p>
    <w:p w14:paraId="269A42FE" w14:textId="77777777" w:rsidR="008A6C24" w:rsidRPr="00EF588F" w:rsidRDefault="008A6C24" w:rsidP="00EF588F">
      <w:pPr>
        <w:pStyle w:val="Heading2"/>
        <w:spacing w:line="360" w:lineRule="auto"/>
        <w:jc w:val="both"/>
        <w:rPr>
          <w:rFonts w:ascii="Times New Roman" w:hAnsi="Times New Roman" w:cs="Times New Roman"/>
          <w:i/>
          <w:iCs/>
          <w:color w:val="000000" w:themeColor="text1"/>
          <w:sz w:val="24"/>
          <w:szCs w:val="24"/>
          <w:u w:val="single"/>
        </w:rPr>
      </w:pPr>
      <w:bookmarkStart w:id="12" w:name="_Toc236835887"/>
      <w:r w:rsidRPr="00EF588F">
        <w:rPr>
          <w:rFonts w:ascii="Times New Roman" w:hAnsi="Times New Roman" w:cs="Times New Roman"/>
          <w:i/>
          <w:iCs/>
          <w:color w:val="000000" w:themeColor="text1"/>
          <w:sz w:val="24"/>
          <w:szCs w:val="24"/>
          <w:u w:val="single"/>
        </w:rPr>
        <w:t>3.1 Historical Pattern Recognition</w:t>
      </w:r>
      <w:bookmarkEnd w:id="12"/>
    </w:p>
    <w:p w14:paraId="138CF2C9" w14:textId="6A269DE6" w:rsidR="0045171E" w:rsidRPr="0045171E" w:rsidRDefault="008A6C24" w:rsidP="008F47E3">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45171E" w:rsidRPr="0045171E">
        <w:rPr>
          <w:rFonts w:ascii="Times New Roman" w:hAnsi="Times New Roman" w:cs="Times New Roman"/>
          <w:sz w:val="24"/>
          <w:szCs w:val="24"/>
        </w:rPr>
        <w:t>The internationalization process of Lululemon Athletica can be analyzed in different stages. From the mid-2000s, Lululemon has explored franchising in Australia (2004) and Japan (2005). However, these early franchises have not performed well due to cultural misalignment issues. Most of these franchises were bought out by the company due to control and profit-related issues, which caused the company to abandon franchising and go for wholly owned stores (MatrixBCG, 2026; PESTLE Analysis, 2025).</w:t>
      </w:r>
    </w:p>
    <w:p w14:paraId="04F488AD" w14:textId="6E52E883" w:rsidR="009E5619" w:rsidRDefault="0045171E" w:rsidP="008F47E3">
      <w:pPr>
        <w:spacing w:line="360" w:lineRule="auto"/>
        <w:jc w:val="both"/>
        <w:rPr>
          <w:rFonts w:ascii="Times New Roman" w:hAnsi="Times New Roman" w:cs="Times New Roman"/>
          <w:sz w:val="24"/>
          <w:szCs w:val="24"/>
        </w:rPr>
      </w:pPr>
      <w:r w:rsidRPr="0045171E">
        <w:rPr>
          <w:rFonts w:ascii="Times New Roman" w:hAnsi="Times New Roman" w:cs="Times New Roman"/>
          <w:sz w:val="24"/>
          <w:szCs w:val="24"/>
        </w:rPr>
        <w:t xml:space="preserve">From the late 2000s up to </w:t>
      </w:r>
      <w:r w:rsidR="00940B32">
        <w:rPr>
          <w:rFonts w:ascii="Times New Roman" w:hAnsi="Times New Roman" w:cs="Times New Roman"/>
          <w:sz w:val="24"/>
          <w:szCs w:val="24"/>
        </w:rPr>
        <w:t xml:space="preserve">the </w:t>
      </w:r>
      <w:r w:rsidRPr="0045171E">
        <w:rPr>
          <w:rFonts w:ascii="Times New Roman" w:hAnsi="Times New Roman" w:cs="Times New Roman"/>
          <w:sz w:val="24"/>
          <w:szCs w:val="24"/>
        </w:rPr>
        <w:t>mid-2020s, the most common international entry mode was through wholly owned, company-run stores. This strategy allowed the company to control the quality and experience of the brand. By the year 2026, there were more than 800 company-operated stores owned by the company, alongside some license and supply agreements in some third countries like the Middle East (Patterson, 2026; MatrixBCG, 2026).</w:t>
      </w:r>
    </w:p>
    <w:p w14:paraId="67C15EB3" w14:textId="1427EB9F" w:rsidR="0045171E" w:rsidRDefault="008023CA" w:rsidP="008023CA">
      <w:pPr>
        <w:spacing w:line="360" w:lineRule="auto"/>
        <w:jc w:val="both"/>
        <w:rPr>
          <w:rFonts w:ascii="Times New Roman" w:hAnsi="Times New Roman" w:cs="Times New Roman"/>
          <w:sz w:val="24"/>
          <w:szCs w:val="24"/>
        </w:rPr>
      </w:pPr>
      <w:r w:rsidRPr="008023CA">
        <w:rPr>
          <w:rFonts w:ascii="Times New Roman" w:hAnsi="Times New Roman" w:cs="Times New Roman"/>
          <w:sz w:val="24"/>
          <w:szCs w:val="24"/>
        </w:rPr>
        <w:t>However, from 2025</w:t>
      </w:r>
      <w:r w:rsidR="00940B32">
        <w:rPr>
          <w:rFonts w:ascii="Times New Roman" w:hAnsi="Times New Roman" w:cs="Times New Roman"/>
          <w:sz w:val="24"/>
          <w:szCs w:val="24"/>
        </w:rPr>
        <w:t>,</w:t>
      </w:r>
      <w:r w:rsidRPr="008023CA">
        <w:rPr>
          <w:rFonts w:ascii="Times New Roman" w:hAnsi="Times New Roman" w:cs="Times New Roman"/>
          <w:sz w:val="24"/>
          <w:szCs w:val="24"/>
        </w:rPr>
        <w:t xml:space="preserve"> a change in strategy could be seen. With the high capital requirement and less growth in the North-American market, Lululemon started selectively employing franchising relationships to enter new markets. In 2025-2026, the firm launched operations via franchising in Denmark, Belgium, Turkey, Greece, Austria, Poland, Hungary, Romania and India (BusinessWire, 2025a). Thus, at present the strategy is mixed where the company employs its own retail stores for core markets while franchising is employed for other markets</w:t>
      </w:r>
      <w:r>
        <w:rPr>
          <w:rFonts w:ascii="Times New Roman" w:hAnsi="Times New Roman" w:cs="Times New Roman"/>
          <w:sz w:val="24"/>
          <w:szCs w:val="24"/>
        </w:rPr>
        <w:t>.</w:t>
      </w:r>
    </w:p>
    <w:p w14:paraId="5A2109D0" w14:textId="77777777" w:rsidR="00E348C1" w:rsidRPr="00EF588F" w:rsidRDefault="00E348C1" w:rsidP="00EF588F">
      <w:pPr>
        <w:pStyle w:val="Heading2"/>
        <w:spacing w:line="360" w:lineRule="auto"/>
        <w:jc w:val="both"/>
        <w:rPr>
          <w:rFonts w:ascii="Times New Roman" w:hAnsi="Times New Roman" w:cs="Times New Roman"/>
          <w:i/>
          <w:iCs/>
          <w:color w:val="000000" w:themeColor="text1"/>
          <w:sz w:val="24"/>
          <w:szCs w:val="24"/>
          <w:u w:val="single"/>
        </w:rPr>
      </w:pPr>
      <w:bookmarkStart w:id="13" w:name="_Toc236835888"/>
      <w:r w:rsidRPr="00EF588F">
        <w:rPr>
          <w:rFonts w:ascii="Times New Roman" w:hAnsi="Times New Roman" w:cs="Times New Roman"/>
          <w:i/>
          <w:iCs/>
          <w:color w:val="000000" w:themeColor="text1"/>
          <w:sz w:val="24"/>
          <w:szCs w:val="24"/>
          <w:u w:val="single"/>
        </w:rPr>
        <w:t>3.2 Strategic Fit and Justification for Egypt</w:t>
      </w:r>
      <w:bookmarkEnd w:id="13"/>
    </w:p>
    <w:p w14:paraId="319ED3C7" w14:textId="1F71E6AE" w:rsidR="002D3969" w:rsidRPr="002D3969" w:rsidRDefault="00E348C1" w:rsidP="002D396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2D3969" w:rsidRPr="002D3969">
        <w:rPr>
          <w:rFonts w:ascii="Times New Roman" w:hAnsi="Times New Roman" w:cs="Times New Roman"/>
          <w:sz w:val="24"/>
          <w:szCs w:val="24"/>
        </w:rPr>
        <w:t>The political, economic, legal</w:t>
      </w:r>
      <w:r w:rsidR="00940B32">
        <w:rPr>
          <w:rFonts w:ascii="Times New Roman" w:hAnsi="Times New Roman" w:cs="Times New Roman"/>
          <w:sz w:val="24"/>
          <w:szCs w:val="24"/>
        </w:rPr>
        <w:t>,</w:t>
      </w:r>
      <w:r w:rsidR="002D3969" w:rsidRPr="002D3969">
        <w:rPr>
          <w:rFonts w:ascii="Times New Roman" w:hAnsi="Times New Roman" w:cs="Times New Roman"/>
          <w:sz w:val="24"/>
          <w:szCs w:val="24"/>
        </w:rPr>
        <w:t xml:space="preserve"> and cultural climate of Egypt needs to be considered relative to Lululemon’s past inclinations.</w:t>
      </w:r>
    </w:p>
    <w:p w14:paraId="17D3C718" w14:textId="56215C33" w:rsidR="008023CA" w:rsidRDefault="002D3969" w:rsidP="002D3969">
      <w:pPr>
        <w:spacing w:line="360" w:lineRule="auto"/>
        <w:jc w:val="both"/>
        <w:rPr>
          <w:rFonts w:ascii="Times New Roman" w:hAnsi="Times New Roman" w:cs="Times New Roman"/>
          <w:sz w:val="24"/>
          <w:szCs w:val="24"/>
        </w:rPr>
      </w:pPr>
      <w:r w:rsidRPr="002D3969">
        <w:rPr>
          <w:rFonts w:ascii="Times New Roman" w:hAnsi="Times New Roman" w:cs="Times New Roman"/>
          <w:sz w:val="24"/>
          <w:szCs w:val="24"/>
        </w:rPr>
        <w:t xml:space="preserve">The risk factors of politics and region continue to matter. Stability is coupled with limitations on civil society and occasional regional instabilities that can influence logistics via the Red Sea and Suez Canal (BTI, 2022; Chatham House, 2025; SpecialEurasia, 2025). In terms of </w:t>
      </w:r>
      <w:r w:rsidR="00940B32">
        <w:rPr>
          <w:rFonts w:ascii="Times New Roman" w:hAnsi="Times New Roman" w:cs="Times New Roman"/>
          <w:sz w:val="24"/>
          <w:szCs w:val="24"/>
        </w:rPr>
        <w:t xml:space="preserve">the </w:t>
      </w:r>
      <w:r w:rsidRPr="002D3969">
        <w:rPr>
          <w:rFonts w:ascii="Times New Roman" w:hAnsi="Times New Roman" w:cs="Times New Roman"/>
          <w:sz w:val="24"/>
          <w:szCs w:val="24"/>
        </w:rPr>
        <w:t>economy, growth has bounced back to the 4.4-4.6% level while inflation has dropped below its peak levels; nevertheless, the Egyptian pound continues to be volatile and disposable income remains limited (AGBI, 2026; Amwal Al Ghad, 2025; Economy Middle East, 2026; IMF, 2026; World Bank, 2025; Statistics of the World, 2026).</w:t>
      </w:r>
    </w:p>
    <w:p w14:paraId="2891859D" w14:textId="57819A0B" w:rsidR="00100130" w:rsidRPr="00100130" w:rsidRDefault="00100130" w:rsidP="0010013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100130">
        <w:rPr>
          <w:rFonts w:ascii="Times New Roman" w:hAnsi="Times New Roman" w:cs="Times New Roman"/>
          <w:sz w:val="24"/>
          <w:szCs w:val="24"/>
        </w:rPr>
        <w:t xml:space="preserve">However, legally, Investment Law Number 72 of 2017 allows for full foreign ownership of retail activities. Nonetheless, the pure commercial agency remains a preserve of Egyptian companies, and although intellectual property rights enforcement has been enhanced, there are still delays and counterfeit concerns. Also, the 2025 Labour Law increases the responsibilities of foreign businesses (Chambers and Partners, 2026; Noble and Saifullah Sabry, 2026). From the cultural perspective, relationship-based business practices, </w:t>
      </w:r>
      <w:r w:rsidR="009D71EF">
        <w:rPr>
          <w:rFonts w:ascii="Times New Roman" w:hAnsi="Times New Roman" w:cs="Times New Roman"/>
          <w:sz w:val="24"/>
          <w:szCs w:val="24"/>
        </w:rPr>
        <w:t>a modest dress</w:t>
      </w:r>
      <w:r w:rsidRPr="00100130">
        <w:rPr>
          <w:rFonts w:ascii="Times New Roman" w:hAnsi="Times New Roman" w:cs="Times New Roman"/>
          <w:sz w:val="24"/>
          <w:szCs w:val="24"/>
        </w:rPr>
        <w:t xml:space="preserve"> code and observance of the religious calendar necessitate localisation</w:t>
      </w:r>
      <w:r w:rsidR="009D71EF">
        <w:rPr>
          <w:rFonts w:ascii="Times New Roman" w:hAnsi="Times New Roman" w:cs="Times New Roman"/>
          <w:sz w:val="24"/>
          <w:szCs w:val="24"/>
        </w:rPr>
        <w:t>,</w:t>
      </w:r>
      <w:r w:rsidRPr="00100130">
        <w:rPr>
          <w:rFonts w:ascii="Times New Roman" w:hAnsi="Times New Roman" w:cs="Times New Roman"/>
          <w:sz w:val="24"/>
          <w:szCs w:val="24"/>
        </w:rPr>
        <w:t xml:space="preserve"> which can be more effectively managed by local partners (Global Business Culture, 2026).</w:t>
      </w:r>
    </w:p>
    <w:p w14:paraId="7DF89B27" w14:textId="6D407BA9" w:rsidR="002D3969" w:rsidRDefault="00100130" w:rsidP="00100130">
      <w:pPr>
        <w:spacing w:line="360" w:lineRule="auto"/>
        <w:jc w:val="both"/>
        <w:rPr>
          <w:rFonts w:ascii="Times New Roman" w:hAnsi="Times New Roman" w:cs="Times New Roman"/>
          <w:sz w:val="24"/>
          <w:szCs w:val="24"/>
        </w:rPr>
      </w:pPr>
      <w:r w:rsidRPr="00100130">
        <w:rPr>
          <w:rFonts w:ascii="Times New Roman" w:hAnsi="Times New Roman" w:cs="Times New Roman"/>
          <w:sz w:val="24"/>
          <w:szCs w:val="24"/>
        </w:rPr>
        <w:t>These factors contribute to higher levels of political, economic and operational risks than the existing business model of Lululemon</w:t>
      </w:r>
      <w:r w:rsidR="009D71EF">
        <w:rPr>
          <w:rFonts w:ascii="Times New Roman" w:hAnsi="Times New Roman" w:cs="Times New Roman"/>
          <w:sz w:val="24"/>
          <w:szCs w:val="24"/>
        </w:rPr>
        <w:t>,</w:t>
      </w:r>
      <w:r w:rsidRPr="00100130">
        <w:rPr>
          <w:rFonts w:ascii="Times New Roman" w:hAnsi="Times New Roman" w:cs="Times New Roman"/>
          <w:sz w:val="24"/>
          <w:szCs w:val="24"/>
        </w:rPr>
        <w:t xml:space="preserve"> characterized by control and resource commitment. In this case, full ownership of multiple stores in the country would mean heavy investment in an environment where its premium target market segment is limited geographically (Research and Markets, 2026; IMARC, 2024).</w:t>
      </w:r>
    </w:p>
    <w:p w14:paraId="55DAC437" w14:textId="6EB11376" w:rsidR="009D71EF" w:rsidRDefault="00BB001A" w:rsidP="0010013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BB001A">
        <w:rPr>
          <w:rFonts w:ascii="Times New Roman" w:hAnsi="Times New Roman" w:cs="Times New Roman"/>
          <w:sz w:val="24"/>
          <w:szCs w:val="24"/>
        </w:rPr>
        <w:t xml:space="preserve">This makes </w:t>
      </w:r>
      <w:r w:rsidR="00940B32">
        <w:rPr>
          <w:rFonts w:ascii="Times New Roman" w:hAnsi="Times New Roman" w:cs="Times New Roman"/>
          <w:sz w:val="24"/>
          <w:szCs w:val="24"/>
        </w:rPr>
        <w:t xml:space="preserve">a </w:t>
      </w:r>
      <w:r w:rsidRPr="00BB001A">
        <w:rPr>
          <w:rFonts w:ascii="Times New Roman" w:hAnsi="Times New Roman" w:cs="Times New Roman"/>
          <w:sz w:val="24"/>
          <w:szCs w:val="24"/>
        </w:rPr>
        <w:t xml:space="preserve">master franchise or </w:t>
      </w:r>
      <w:r w:rsidR="00940B32">
        <w:rPr>
          <w:rFonts w:ascii="Times New Roman" w:hAnsi="Times New Roman" w:cs="Times New Roman"/>
          <w:sz w:val="24"/>
          <w:szCs w:val="24"/>
        </w:rPr>
        <w:t xml:space="preserve">a </w:t>
      </w:r>
      <w:r w:rsidRPr="00BB001A">
        <w:rPr>
          <w:rFonts w:ascii="Times New Roman" w:hAnsi="Times New Roman" w:cs="Times New Roman"/>
          <w:sz w:val="24"/>
          <w:szCs w:val="24"/>
        </w:rPr>
        <w:t xml:space="preserve">well-designed joint venture a better strategic fit since it involves reduced commitments of capital and currency, utilizes regulatory and cultural knowledge of local partners, and yet allows for contractually controlled brand standards, product mix, and store experience. This strategy fits with Lululemon’s recent franchising foray into complex and secondary markets (BusinessWire, 2025a), and with the previous OLI recommendation in </w:t>
      </w:r>
      <w:r w:rsidR="00174B65" w:rsidRPr="00BB001A">
        <w:rPr>
          <w:rFonts w:ascii="Times New Roman" w:hAnsi="Times New Roman" w:cs="Times New Roman"/>
          <w:sz w:val="24"/>
          <w:szCs w:val="24"/>
        </w:rPr>
        <w:t>Favor</w:t>
      </w:r>
      <w:r w:rsidRPr="00BB001A">
        <w:rPr>
          <w:rFonts w:ascii="Times New Roman" w:hAnsi="Times New Roman" w:cs="Times New Roman"/>
          <w:sz w:val="24"/>
          <w:szCs w:val="24"/>
        </w:rPr>
        <w:t xml:space="preserve"> of selective internalization in Egypt.</w:t>
      </w:r>
    </w:p>
    <w:p w14:paraId="04D7CE39" w14:textId="77777777" w:rsidR="00B513B0" w:rsidRPr="00EF588F" w:rsidRDefault="00B513B0" w:rsidP="00EF588F">
      <w:pPr>
        <w:pStyle w:val="Heading2"/>
        <w:spacing w:line="360" w:lineRule="auto"/>
        <w:jc w:val="both"/>
        <w:rPr>
          <w:rFonts w:ascii="Times New Roman" w:hAnsi="Times New Roman" w:cs="Times New Roman"/>
          <w:i/>
          <w:iCs/>
          <w:color w:val="000000" w:themeColor="text1"/>
          <w:sz w:val="24"/>
          <w:szCs w:val="24"/>
          <w:u w:val="single"/>
        </w:rPr>
      </w:pPr>
      <w:bookmarkStart w:id="14" w:name="_Toc236835889"/>
      <w:r w:rsidRPr="00EF588F">
        <w:rPr>
          <w:rFonts w:ascii="Times New Roman" w:hAnsi="Times New Roman" w:cs="Times New Roman"/>
          <w:i/>
          <w:iCs/>
          <w:color w:val="000000" w:themeColor="text1"/>
          <w:sz w:val="24"/>
          <w:szCs w:val="24"/>
          <w:u w:val="single"/>
        </w:rPr>
        <w:t>3.3 Conclusion and Recommendations</w:t>
      </w:r>
      <w:bookmarkEnd w:id="14"/>
    </w:p>
    <w:p w14:paraId="26A5030C" w14:textId="77777777" w:rsidR="005625B1" w:rsidRPr="005625B1" w:rsidRDefault="00B513B0" w:rsidP="005625B1">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5625B1" w:rsidRPr="005625B1">
        <w:rPr>
          <w:rFonts w:ascii="Times New Roman" w:hAnsi="Times New Roman" w:cs="Times New Roman"/>
          <w:sz w:val="24"/>
          <w:szCs w:val="24"/>
        </w:rPr>
        <w:t>The tendency towards company-owned shops from Lululemon is the best option in terms of control, but it is not the appropriate fit for the risk-return ratio prevailing in Egypt at present. However, the more recent strategy of using franchise partnership for market entry seems to be an already-tested approach combining all three aspects.</w:t>
      </w:r>
    </w:p>
    <w:p w14:paraId="6A0B67D1" w14:textId="3B757853" w:rsidR="00BB001A" w:rsidRDefault="005625B1" w:rsidP="00253F50">
      <w:pPr>
        <w:spacing w:line="360" w:lineRule="auto"/>
        <w:jc w:val="both"/>
        <w:rPr>
          <w:rFonts w:ascii="Times New Roman" w:hAnsi="Times New Roman" w:cs="Times New Roman"/>
          <w:sz w:val="24"/>
          <w:szCs w:val="24"/>
        </w:rPr>
      </w:pPr>
      <w:r w:rsidRPr="005625B1">
        <w:rPr>
          <w:rFonts w:ascii="Times New Roman" w:hAnsi="Times New Roman" w:cs="Times New Roman"/>
          <w:sz w:val="24"/>
          <w:szCs w:val="24"/>
        </w:rPr>
        <w:t>As such, the suggested mode of market entry is master-franchise in conjunction with an appropriate Egyptian or regional partner with limited geographic scope in Greater Cairo and selected coastal cities.</w:t>
      </w:r>
      <w:r w:rsidR="00253F50">
        <w:rPr>
          <w:rFonts w:ascii="Times New Roman" w:hAnsi="Times New Roman" w:cs="Times New Roman"/>
          <w:sz w:val="24"/>
          <w:szCs w:val="24"/>
        </w:rPr>
        <w:t xml:space="preserve"> </w:t>
      </w:r>
      <w:r w:rsidR="00253F50" w:rsidRPr="00253F50">
        <w:rPr>
          <w:rFonts w:ascii="Times New Roman" w:hAnsi="Times New Roman" w:cs="Times New Roman"/>
          <w:sz w:val="24"/>
          <w:szCs w:val="24"/>
        </w:rPr>
        <w:t>This strategy reduces both political risk and currency risk, takes advantage of local expertise of the market, safeguards the company’s intellectual property rights via contractual agreements, and maintains the flexibility to eventually increase its ownership once stability improves at the macro level. The parallel development of an e-commerce component using the partner’s online platform can further assess demand without significant capital expenditure.</w:t>
      </w:r>
      <w:r w:rsidR="00B41767">
        <w:rPr>
          <w:rFonts w:ascii="Times New Roman" w:hAnsi="Times New Roman" w:cs="Times New Roman"/>
          <w:sz w:val="24"/>
          <w:szCs w:val="24"/>
        </w:rPr>
        <w:t xml:space="preserve"> </w:t>
      </w:r>
      <w:r w:rsidR="00253F50" w:rsidRPr="00253F50">
        <w:rPr>
          <w:rFonts w:ascii="Times New Roman" w:hAnsi="Times New Roman" w:cs="Times New Roman"/>
          <w:sz w:val="24"/>
          <w:szCs w:val="24"/>
        </w:rPr>
        <w:t>On the whole, a phased entry based on franchises is the best response strategy that Lululemon should adopt for entry into Egypt.</w:t>
      </w:r>
    </w:p>
    <w:p w14:paraId="4517D0D9" w14:textId="3DB3E7B4" w:rsidR="002E18B4" w:rsidRDefault="002E18B4">
      <w:pPr>
        <w:rPr>
          <w:rFonts w:ascii="Times New Roman" w:hAnsi="Times New Roman" w:cs="Times New Roman"/>
          <w:sz w:val="24"/>
          <w:szCs w:val="24"/>
        </w:rPr>
      </w:pPr>
      <w:r>
        <w:rPr>
          <w:rFonts w:ascii="Times New Roman" w:hAnsi="Times New Roman" w:cs="Times New Roman"/>
          <w:sz w:val="24"/>
          <w:szCs w:val="24"/>
        </w:rPr>
        <w:br w:type="page"/>
      </w:r>
    </w:p>
    <w:p w14:paraId="39CCBA2F" w14:textId="61866102" w:rsidR="002E18B4" w:rsidRPr="00A626FC" w:rsidRDefault="00A50664" w:rsidP="00A626FC">
      <w:pPr>
        <w:pStyle w:val="Heading1"/>
        <w:spacing w:line="360" w:lineRule="auto"/>
        <w:jc w:val="both"/>
        <w:rPr>
          <w:rFonts w:ascii="Times New Roman" w:hAnsi="Times New Roman" w:cs="Times New Roman"/>
          <w:b/>
          <w:bCs/>
          <w:color w:val="000000" w:themeColor="text1"/>
          <w:sz w:val="28"/>
          <w:szCs w:val="28"/>
        </w:rPr>
      </w:pPr>
      <w:bookmarkStart w:id="15" w:name="_Toc236835890"/>
      <w:r w:rsidRPr="00A626FC">
        <w:rPr>
          <w:rFonts w:ascii="Times New Roman" w:hAnsi="Times New Roman" w:cs="Times New Roman"/>
          <w:b/>
          <w:bCs/>
          <w:color w:val="000000" w:themeColor="text1"/>
          <w:sz w:val="28"/>
          <w:szCs w:val="28"/>
        </w:rPr>
        <w:t xml:space="preserve">SECTION </w:t>
      </w:r>
      <w:r w:rsidR="00A626FC">
        <w:rPr>
          <w:rFonts w:ascii="Times New Roman" w:hAnsi="Times New Roman" w:cs="Times New Roman"/>
          <w:b/>
          <w:bCs/>
          <w:color w:val="000000" w:themeColor="text1"/>
          <w:sz w:val="28"/>
          <w:szCs w:val="28"/>
        </w:rPr>
        <w:t>2</w:t>
      </w:r>
      <w:bookmarkEnd w:id="15"/>
    </w:p>
    <w:p w14:paraId="78467EE9" w14:textId="77777777" w:rsidR="009E412E" w:rsidRPr="00943CC4" w:rsidRDefault="009E412E" w:rsidP="00943CC4">
      <w:pPr>
        <w:pStyle w:val="Heading2"/>
        <w:spacing w:line="360" w:lineRule="auto"/>
        <w:jc w:val="both"/>
        <w:rPr>
          <w:rFonts w:ascii="Times New Roman" w:hAnsi="Times New Roman" w:cs="Times New Roman"/>
          <w:i/>
          <w:iCs/>
          <w:color w:val="000000" w:themeColor="text1"/>
          <w:sz w:val="24"/>
          <w:szCs w:val="24"/>
          <w:u w:val="single"/>
        </w:rPr>
      </w:pPr>
      <w:bookmarkStart w:id="16" w:name="_Toc236835891"/>
      <w:r w:rsidRPr="00943CC4">
        <w:rPr>
          <w:rFonts w:ascii="Times New Roman" w:hAnsi="Times New Roman" w:cs="Times New Roman"/>
          <w:i/>
          <w:iCs/>
          <w:color w:val="000000" w:themeColor="text1"/>
          <w:sz w:val="24"/>
          <w:szCs w:val="24"/>
          <w:u w:val="single"/>
        </w:rPr>
        <w:t>Reflective Account of the Research and Preparation Process</w:t>
      </w:r>
      <w:bookmarkEnd w:id="16"/>
    </w:p>
    <w:p w14:paraId="37B4399B" w14:textId="77777777" w:rsidR="008208D5" w:rsidRPr="008208D5" w:rsidRDefault="008208D5" w:rsidP="008208D5">
      <w:pPr>
        <w:spacing w:line="360" w:lineRule="auto"/>
        <w:jc w:val="both"/>
        <w:rPr>
          <w:rFonts w:ascii="Times New Roman" w:hAnsi="Times New Roman" w:cs="Times New Roman"/>
          <w:b/>
          <w:bCs/>
          <w:sz w:val="24"/>
          <w:szCs w:val="24"/>
        </w:rPr>
      </w:pPr>
      <w:r w:rsidRPr="008208D5">
        <w:rPr>
          <w:rFonts w:ascii="Times New Roman" w:hAnsi="Times New Roman" w:cs="Times New Roman"/>
          <w:b/>
          <w:bCs/>
          <w:sz w:val="24"/>
          <w:szCs w:val="24"/>
        </w:rPr>
        <w:t>Description</w:t>
      </w:r>
    </w:p>
    <w:p w14:paraId="3F0FCCFC" w14:textId="059C1774" w:rsidR="002E18B4" w:rsidRDefault="008208D5" w:rsidP="00253F5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943CC4" w:rsidRPr="00943CC4">
        <w:rPr>
          <w:rFonts w:ascii="Times New Roman" w:hAnsi="Times New Roman" w:cs="Times New Roman"/>
          <w:sz w:val="24"/>
          <w:szCs w:val="24"/>
        </w:rPr>
        <w:t xml:space="preserve">A complete international business analysis for the possibility of the entry of Lululemon Athletica to Egypt was needed. This entailed the categorization of its global business strategy, assessment of the macro-environment of Egypt with </w:t>
      </w:r>
      <w:r w:rsidR="00940B32">
        <w:rPr>
          <w:rFonts w:ascii="Times New Roman" w:hAnsi="Times New Roman" w:cs="Times New Roman"/>
          <w:sz w:val="24"/>
          <w:szCs w:val="24"/>
        </w:rPr>
        <w:t>regard</w:t>
      </w:r>
      <w:r w:rsidR="00943CC4" w:rsidRPr="00943CC4">
        <w:rPr>
          <w:rFonts w:ascii="Times New Roman" w:hAnsi="Times New Roman" w:cs="Times New Roman"/>
          <w:sz w:val="24"/>
          <w:szCs w:val="24"/>
        </w:rPr>
        <w:t xml:space="preserve"> to the political, economic, legal</w:t>
      </w:r>
      <w:r w:rsidR="00940B32">
        <w:rPr>
          <w:rFonts w:ascii="Times New Roman" w:hAnsi="Times New Roman" w:cs="Times New Roman"/>
          <w:sz w:val="24"/>
          <w:szCs w:val="24"/>
        </w:rPr>
        <w:t>,</w:t>
      </w:r>
      <w:r w:rsidR="00943CC4" w:rsidRPr="00943CC4">
        <w:rPr>
          <w:rFonts w:ascii="Times New Roman" w:hAnsi="Times New Roman" w:cs="Times New Roman"/>
          <w:sz w:val="24"/>
          <w:szCs w:val="24"/>
        </w:rPr>
        <w:t xml:space="preserve"> and cultural facets, Dunning's OLI approach, and the mode of entry. This was initiated by reviewing relevant materials from secondary sources written within the period of 2022 to 2026 through the IMF and World Bank publications, press releases of the firm, legal advice publications, and academic papers. Relevant theoretical frameworks included Bartlett and Ghoshal’s transnational perspective, Dunning's Eclectic Paradigm</w:t>
      </w:r>
      <w:r w:rsidR="00940B32">
        <w:rPr>
          <w:rFonts w:ascii="Times New Roman" w:hAnsi="Times New Roman" w:cs="Times New Roman"/>
          <w:sz w:val="24"/>
          <w:szCs w:val="24"/>
        </w:rPr>
        <w:t>,</w:t>
      </w:r>
      <w:r w:rsidR="00943CC4" w:rsidRPr="00943CC4">
        <w:rPr>
          <w:rFonts w:ascii="Times New Roman" w:hAnsi="Times New Roman" w:cs="Times New Roman"/>
          <w:sz w:val="24"/>
          <w:szCs w:val="24"/>
        </w:rPr>
        <w:t xml:space="preserve"> and reconfiguration of organizations</w:t>
      </w:r>
      <w:r w:rsidR="00940B32">
        <w:rPr>
          <w:rFonts w:ascii="Times New Roman" w:hAnsi="Times New Roman" w:cs="Times New Roman"/>
          <w:sz w:val="24"/>
          <w:szCs w:val="24"/>
        </w:rPr>
        <w:t xml:space="preserve"> (</w:t>
      </w:r>
      <w:r w:rsidR="00940B32" w:rsidRPr="00940B32">
        <w:rPr>
          <w:rFonts w:ascii="Times New Roman" w:hAnsi="Times New Roman" w:cs="Times New Roman"/>
          <w:sz w:val="24"/>
          <w:szCs w:val="24"/>
        </w:rPr>
        <w:t>Gibbs</w:t>
      </w:r>
      <w:r w:rsidR="00940B32">
        <w:rPr>
          <w:rFonts w:ascii="Times New Roman" w:hAnsi="Times New Roman" w:cs="Times New Roman"/>
          <w:sz w:val="24"/>
          <w:szCs w:val="24"/>
        </w:rPr>
        <w:t>, 1998)</w:t>
      </w:r>
      <w:r w:rsidR="00943CC4" w:rsidRPr="00943CC4">
        <w:rPr>
          <w:rFonts w:ascii="Times New Roman" w:hAnsi="Times New Roman" w:cs="Times New Roman"/>
          <w:sz w:val="24"/>
          <w:szCs w:val="24"/>
        </w:rPr>
        <w:t xml:space="preserve">. These were used to organize the analysis. The drafts were edited to ensure factual accuracy and </w:t>
      </w:r>
      <w:r w:rsidR="00940B32">
        <w:rPr>
          <w:rFonts w:ascii="Times New Roman" w:hAnsi="Times New Roman" w:cs="Times New Roman"/>
          <w:sz w:val="24"/>
          <w:szCs w:val="24"/>
        </w:rPr>
        <w:t xml:space="preserve">the </w:t>
      </w:r>
      <w:r w:rsidR="00943CC4" w:rsidRPr="00943CC4">
        <w:rPr>
          <w:rFonts w:ascii="Times New Roman" w:hAnsi="Times New Roman" w:cs="Times New Roman"/>
          <w:sz w:val="24"/>
          <w:szCs w:val="24"/>
        </w:rPr>
        <w:t>Harvard referencing system</w:t>
      </w:r>
      <w:r w:rsidR="00940B32">
        <w:rPr>
          <w:rFonts w:ascii="Times New Roman" w:hAnsi="Times New Roman" w:cs="Times New Roman"/>
          <w:sz w:val="24"/>
          <w:szCs w:val="24"/>
        </w:rPr>
        <w:t>,</w:t>
      </w:r>
      <w:r w:rsidR="00943CC4" w:rsidRPr="00943CC4">
        <w:rPr>
          <w:rFonts w:ascii="Times New Roman" w:hAnsi="Times New Roman" w:cs="Times New Roman"/>
          <w:sz w:val="24"/>
          <w:szCs w:val="24"/>
        </w:rPr>
        <w:t xml:space="preserve"> as well as consistency with the actual pattern of expansion of the firm through company-owned outlets and selected franchising.</w:t>
      </w:r>
    </w:p>
    <w:p w14:paraId="5CF18605" w14:textId="77777777" w:rsidR="004E5BCA" w:rsidRPr="004E5BCA" w:rsidRDefault="004E5BCA" w:rsidP="004E5BCA">
      <w:pPr>
        <w:spacing w:line="360" w:lineRule="auto"/>
        <w:jc w:val="both"/>
        <w:rPr>
          <w:rFonts w:ascii="Times New Roman" w:hAnsi="Times New Roman" w:cs="Times New Roman"/>
          <w:b/>
          <w:bCs/>
          <w:sz w:val="24"/>
          <w:szCs w:val="24"/>
        </w:rPr>
      </w:pPr>
      <w:r w:rsidRPr="004E5BCA">
        <w:rPr>
          <w:rFonts w:ascii="Times New Roman" w:hAnsi="Times New Roman" w:cs="Times New Roman"/>
          <w:b/>
          <w:bCs/>
          <w:sz w:val="24"/>
          <w:szCs w:val="24"/>
        </w:rPr>
        <w:t>Feelings</w:t>
      </w:r>
    </w:p>
    <w:p w14:paraId="63E8422B" w14:textId="286DEE6E" w:rsidR="005625B1" w:rsidRDefault="004E5BCA" w:rsidP="005625B1">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F1749C" w:rsidRPr="00F1749C">
        <w:rPr>
          <w:rFonts w:ascii="Times New Roman" w:hAnsi="Times New Roman" w:cs="Times New Roman"/>
          <w:sz w:val="24"/>
          <w:szCs w:val="24"/>
        </w:rPr>
        <w:t xml:space="preserve">From the beginning, I was sure about my theoretical frameworks, as I had already worked on them during my </w:t>
      </w:r>
      <w:r w:rsidR="00940B32">
        <w:rPr>
          <w:rFonts w:ascii="Times New Roman" w:hAnsi="Times New Roman" w:cs="Times New Roman"/>
          <w:sz w:val="24"/>
          <w:szCs w:val="24"/>
        </w:rPr>
        <w:t>lectures</w:t>
      </w:r>
      <w:r w:rsidR="00F1749C" w:rsidRPr="00F1749C">
        <w:rPr>
          <w:rFonts w:ascii="Times New Roman" w:hAnsi="Times New Roman" w:cs="Times New Roman"/>
          <w:sz w:val="24"/>
          <w:szCs w:val="24"/>
        </w:rPr>
        <w:t xml:space="preserve"> and readings. Nevertheless, while working on collecting data, I faced a challenge. Some of the earlier cited sources in my draft appeared to be dubious or even fictitious (such as “Emerging Markets Debt Report 2026”), and macroeconomic indicators for Egypt changed quickly from year to year during the 2025-2026 updates of the IMF and World Bank. In addition to this, I was under pressure </w:t>
      </w:r>
      <w:r w:rsidR="00940B32">
        <w:rPr>
          <w:rFonts w:ascii="Times New Roman" w:hAnsi="Times New Roman" w:cs="Times New Roman"/>
          <w:sz w:val="24"/>
          <w:szCs w:val="24"/>
        </w:rPr>
        <w:t>to provide</w:t>
      </w:r>
      <w:r w:rsidR="00F1749C" w:rsidRPr="00F1749C">
        <w:rPr>
          <w:rFonts w:ascii="Times New Roman" w:hAnsi="Times New Roman" w:cs="Times New Roman"/>
          <w:sz w:val="24"/>
          <w:szCs w:val="24"/>
        </w:rPr>
        <w:t xml:space="preserve"> deep analysis </w:t>
      </w:r>
      <w:r w:rsidR="00940B32">
        <w:rPr>
          <w:rFonts w:ascii="Times New Roman" w:hAnsi="Times New Roman" w:cs="Times New Roman"/>
          <w:sz w:val="24"/>
          <w:szCs w:val="24"/>
        </w:rPr>
        <w:t>within word limits</w:t>
      </w:r>
      <w:r w:rsidR="00F1749C" w:rsidRPr="00F1749C">
        <w:rPr>
          <w:rFonts w:ascii="Times New Roman" w:hAnsi="Times New Roman" w:cs="Times New Roman"/>
          <w:sz w:val="24"/>
          <w:szCs w:val="24"/>
        </w:rPr>
        <w:t xml:space="preserve">, and not just </w:t>
      </w:r>
      <w:r w:rsidR="00940B32">
        <w:rPr>
          <w:rFonts w:ascii="Times New Roman" w:hAnsi="Times New Roman" w:cs="Times New Roman"/>
          <w:sz w:val="24"/>
          <w:szCs w:val="24"/>
        </w:rPr>
        <w:t>describe</w:t>
      </w:r>
      <w:r w:rsidR="00F1749C" w:rsidRPr="00F1749C">
        <w:rPr>
          <w:rFonts w:ascii="Times New Roman" w:hAnsi="Times New Roman" w:cs="Times New Roman"/>
          <w:sz w:val="24"/>
          <w:szCs w:val="24"/>
        </w:rPr>
        <w:t xml:space="preserve"> something without criticism. Moments of satisfaction came up when I could find credible and recent sources (Chambers and Partners 2026, BusinessWire 2025), which helped me to prove my point by replacing speculative information with facts.</w:t>
      </w:r>
    </w:p>
    <w:p w14:paraId="4DEA21D0" w14:textId="77777777" w:rsidR="00E23470" w:rsidRPr="00E23470" w:rsidRDefault="00E23470" w:rsidP="00E23470">
      <w:pPr>
        <w:spacing w:line="360" w:lineRule="auto"/>
        <w:jc w:val="both"/>
        <w:rPr>
          <w:rFonts w:ascii="Times New Roman" w:hAnsi="Times New Roman" w:cs="Times New Roman"/>
          <w:b/>
          <w:bCs/>
          <w:sz w:val="24"/>
          <w:szCs w:val="24"/>
        </w:rPr>
      </w:pPr>
      <w:r w:rsidRPr="00E23470">
        <w:rPr>
          <w:rFonts w:ascii="Times New Roman" w:hAnsi="Times New Roman" w:cs="Times New Roman"/>
          <w:b/>
          <w:bCs/>
          <w:sz w:val="24"/>
          <w:szCs w:val="24"/>
        </w:rPr>
        <w:t>Evaluation</w:t>
      </w:r>
    </w:p>
    <w:p w14:paraId="64C539D8" w14:textId="77777777" w:rsidR="00AF2542" w:rsidRPr="00AF2542" w:rsidRDefault="00E23470" w:rsidP="00AF254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F2542" w:rsidRPr="00AF2542">
        <w:rPr>
          <w:rFonts w:ascii="Times New Roman" w:hAnsi="Times New Roman" w:cs="Times New Roman"/>
          <w:sz w:val="24"/>
          <w:szCs w:val="24"/>
        </w:rPr>
        <w:t>There were definitely certain strengths associated with the research methodology chosen. Using information from primary sources (IMF, World Bank, U.S. Department of State Investment Climate Statement, Chambers and Partners) ensured a much more reliable assessment compared to previous attempts when using secondary sources. Cross-referencing the historical data regarding Lululemon’s entry modes with their press releases and 10-K type of disclosure provided additional confirmation for a hybrid strategy of owning stores and experimenting with franchising. Using the OLI paradigm methodically resulted in linking firm-specific factors with country-specific factors, leading to a reasonable recommendation for master-franchising.</w:t>
      </w:r>
    </w:p>
    <w:p w14:paraId="2F05760A" w14:textId="2B637EE7" w:rsidR="00F1749C" w:rsidRDefault="00AF2542" w:rsidP="00AF2542">
      <w:pPr>
        <w:spacing w:line="360" w:lineRule="auto"/>
        <w:jc w:val="both"/>
        <w:rPr>
          <w:rFonts w:ascii="Times New Roman" w:hAnsi="Times New Roman" w:cs="Times New Roman"/>
          <w:sz w:val="24"/>
          <w:szCs w:val="24"/>
        </w:rPr>
      </w:pPr>
      <w:r w:rsidRPr="00AF2542">
        <w:rPr>
          <w:rFonts w:ascii="Times New Roman" w:hAnsi="Times New Roman" w:cs="Times New Roman"/>
          <w:sz w:val="24"/>
          <w:szCs w:val="24"/>
        </w:rPr>
        <w:t>Some weaknesses could be noted in this case as well. At the very beginning</w:t>
      </w:r>
      <w:r w:rsidR="00940B32">
        <w:rPr>
          <w:rFonts w:ascii="Times New Roman" w:hAnsi="Times New Roman" w:cs="Times New Roman"/>
          <w:sz w:val="24"/>
          <w:szCs w:val="24"/>
        </w:rPr>
        <w:t>,</w:t>
      </w:r>
      <w:r w:rsidRPr="00AF2542">
        <w:rPr>
          <w:rFonts w:ascii="Times New Roman" w:hAnsi="Times New Roman" w:cs="Times New Roman"/>
          <w:sz w:val="24"/>
          <w:szCs w:val="24"/>
        </w:rPr>
        <w:t xml:space="preserve"> there was overreliance on secondary websites for information, which brought in some inaccurate/unverified claims that needed serious revision later. Spending time checking all figures and citations did not leave enough time for comparison analysis of other premium apparel companies. What is more, cultural analysis was general to some extent since there was no primary consumer research performed in Egypt; only secondary sources (Euromonitor, Cairo 360) helped a little bit.</w:t>
      </w:r>
    </w:p>
    <w:p w14:paraId="1EB3C3CA" w14:textId="77777777" w:rsidR="00A8676C" w:rsidRPr="00A8676C" w:rsidRDefault="00A8676C" w:rsidP="00A8676C">
      <w:pPr>
        <w:spacing w:line="360" w:lineRule="auto"/>
        <w:jc w:val="both"/>
        <w:rPr>
          <w:rFonts w:ascii="Times New Roman" w:hAnsi="Times New Roman" w:cs="Times New Roman"/>
          <w:b/>
          <w:bCs/>
          <w:sz w:val="24"/>
          <w:szCs w:val="24"/>
        </w:rPr>
      </w:pPr>
      <w:r w:rsidRPr="00A8676C">
        <w:rPr>
          <w:rFonts w:ascii="Times New Roman" w:hAnsi="Times New Roman" w:cs="Times New Roman"/>
          <w:b/>
          <w:bCs/>
          <w:sz w:val="24"/>
          <w:szCs w:val="24"/>
        </w:rPr>
        <w:t>Analysis</w:t>
      </w:r>
    </w:p>
    <w:p w14:paraId="13DDEDF7" w14:textId="589804CE" w:rsidR="00AF2542" w:rsidRDefault="00B515B8" w:rsidP="00AF254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672997" w:rsidRPr="00672997">
        <w:rPr>
          <w:rFonts w:ascii="Times New Roman" w:hAnsi="Times New Roman" w:cs="Times New Roman"/>
          <w:sz w:val="24"/>
          <w:szCs w:val="24"/>
        </w:rPr>
        <w:t xml:space="preserve">These challenges were primarily brought about by the very nature of emerging-market data and how fast the macroeconomic and regulatory environments of Egypt have changed since 2023–2024. The figures for inflation, growth, and exchange rates for 2024–2026 needed regular updates, as 2023–2024 statistics quickly became obsolete. However, the concepts covered during the course came to my assistance in this regard. Bartlett and Ghoshal’s idea of the transnational company helped me understand that Lululemon is an entity that constantly redefines itself, shifting from globalisation to localisation and vice versa (Macro &amp; Ott, 2024), which was also supported by the configurational analysis framework. The framework of Dunning’s OLI model ensured that the macro-environmental parts of the case study did not turn into </w:t>
      </w:r>
      <w:r w:rsidR="00940B32">
        <w:rPr>
          <w:rFonts w:ascii="Times New Roman" w:hAnsi="Times New Roman" w:cs="Times New Roman"/>
          <w:sz w:val="24"/>
          <w:szCs w:val="24"/>
        </w:rPr>
        <w:t xml:space="preserve">a </w:t>
      </w:r>
      <w:r w:rsidR="00672997" w:rsidRPr="00672997">
        <w:rPr>
          <w:rFonts w:ascii="Times New Roman" w:hAnsi="Times New Roman" w:cs="Times New Roman"/>
          <w:sz w:val="24"/>
          <w:szCs w:val="24"/>
        </w:rPr>
        <w:t>simple description without any structure</w:t>
      </w:r>
      <w:r w:rsidR="00940B32">
        <w:rPr>
          <w:rFonts w:ascii="Times New Roman" w:hAnsi="Times New Roman" w:cs="Times New Roman"/>
          <w:sz w:val="24"/>
          <w:szCs w:val="24"/>
        </w:rPr>
        <w:t xml:space="preserve"> </w:t>
      </w:r>
      <w:r w:rsidR="00940B32" w:rsidRPr="00940B32">
        <w:rPr>
          <w:rFonts w:ascii="Times New Roman" w:hAnsi="Times New Roman" w:cs="Times New Roman"/>
          <w:sz w:val="24"/>
          <w:szCs w:val="24"/>
        </w:rPr>
        <w:t>(The University of Edinburgh, 2024)</w:t>
      </w:r>
      <w:r w:rsidR="00672997" w:rsidRPr="00672997">
        <w:rPr>
          <w:rFonts w:ascii="Times New Roman" w:hAnsi="Times New Roman" w:cs="Times New Roman"/>
          <w:sz w:val="24"/>
          <w:szCs w:val="24"/>
        </w:rPr>
        <w:t>. Lectures on institutional voids and entry mode trade-offs helped to understand that full ownership would be ill-suited to the political, currency, and relational risks of Egypt.</w:t>
      </w:r>
    </w:p>
    <w:p w14:paraId="41CD7434" w14:textId="5920099F" w:rsidR="00672997" w:rsidRDefault="00DD2A13" w:rsidP="00AF254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DD2A13">
        <w:rPr>
          <w:rFonts w:ascii="Times New Roman" w:hAnsi="Times New Roman" w:cs="Times New Roman"/>
          <w:sz w:val="24"/>
          <w:szCs w:val="24"/>
        </w:rPr>
        <w:t>It was through this repeated process of eliminating untrustworthy sources and substituting them with credible sources that I gained a better insight into academic integrity. It was also through this that the need to separate location benefits that exist from those which have some limitations became evident.</w:t>
      </w:r>
    </w:p>
    <w:p w14:paraId="43BF6F49" w14:textId="0F369E33" w:rsidR="00DD2A13" w:rsidRDefault="00D37C91" w:rsidP="00AF2542">
      <w:pPr>
        <w:spacing w:line="360" w:lineRule="auto"/>
        <w:jc w:val="both"/>
        <w:rPr>
          <w:rFonts w:ascii="Times New Roman" w:hAnsi="Times New Roman" w:cs="Times New Roman"/>
          <w:b/>
          <w:bCs/>
          <w:sz w:val="24"/>
          <w:szCs w:val="24"/>
        </w:rPr>
      </w:pPr>
      <w:r w:rsidRPr="00D34D23">
        <w:rPr>
          <w:rFonts w:ascii="Times New Roman" w:hAnsi="Times New Roman" w:cs="Times New Roman"/>
          <w:b/>
          <w:bCs/>
          <w:sz w:val="24"/>
          <w:szCs w:val="24"/>
        </w:rPr>
        <w:t>Conclusion</w:t>
      </w:r>
    </w:p>
    <w:p w14:paraId="3541DF63" w14:textId="0019D4D3" w:rsidR="00413242" w:rsidRPr="00860E06" w:rsidRDefault="00413242" w:rsidP="00AF2542">
      <w:pPr>
        <w:spacing w:line="360" w:lineRule="auto"/>
        <w:jc w:val="both"/>
        <w:rPr>
          <w:rFonts w:ascii="Times New Roman" w:hAnsi="Times New Roman" w:cs="Times New Roman"/>
          <w:sz w:val="24"/>
          <w:szCs w:val="24"/>
        </w:rPr>
      </w:pPr>
      <w:r>
        <w:rPr>
          <w:rFonts w:ascii="Times New Roman" w:hAnsi="Times New Roman" w:cs="Times New Roman"/>
          <w:b/>
          <w:bCs/>
          <w:sz w:val="24"/>
          <w:szCs w:val="24"/>
        </w:rPr>
        <w:tab/>
      </w:r>
      <w:r w:rsidR="00860E06" w:rsidRPr="00860E06">
        <w:rPr>
          <w:rFonts w:ascii="Times New Roman" w:hAnsi="Times New Roman" w:cs="Times New Roman"/>
          <w:sz w:val="24"/>
          <w:szCs w:val="24"/>
        </w:rPr>
        <w:t xml:space="preserve">In general, the project improved </w:t>
      </w:r>
      <w:r w:rsidR="00940B32">
        <w:rPr>
          <w:rFonts w:ascii="Times New Roman" w:hAnsi="Times New Roman" w:cs="Times New Roman"/>
          <w:sz w:val="24"/>
          <w:szCs w:val="24"/>
        </w:rPr>
        <w:t>my</w:t>
      </w:r>
      <w:r w:rsidR="00860E06" w:rsidRPr="00860E06">
        <w:rPr>
          <w:rFonts w:ascii="Times New Roman" w:hAnsi="Times New Roman" w:cs="Times New Roman"/>
          <w:sz w:val="24"/>
          <w:szCs w:val="24"/>
        </w:rPr>
        <w:t xml:space="preserve"> abilities </w:t>
      </w:r>
      <w:r w:rsidR="00940B32">
        <w:rPr>
          <w:rFonts w:ascii="Times New Roman" w:hAnsi="Times New Roman" w:cs="Times New Roman"/>
          <w:sz w:val="24"/>
          <w:szCs w:val="24"/>
        </w:rPr>
        <w:t>in</w:t>
      </w:r>
      <w:r w:rsidR="00860E06" w:rsidRPr="00860E06">
        <w:rPr>
          <w:rFonts w:ascii="Times New Roman" w:hAnsi="Times New Roman" w:cs="Times New Roman"/>
          <w:sz w:val="24"/>
          <w:szCs w:val="24"/>
        </w:rPr>
        <w:t xml:space="preserve"> analysis and research. I understand now much better that theory becomes really valuable when it is used critically for application to actual facts instead of using it as an absolute template. The project has shown me that even though the advantages of ownership of Lululemon are transferable, the situation in the host country of Egypt will allow only selective internalization through franchising, but this conclusion was made after putting into harmony the company's history with the current risks. The key lesson is the importance of source verification while analyzing developing countries and applying various theories.</w:t>
      </w:r>
    </w:p>
    <w:p w14:paraId="630280D8" w14:textId="06A39FD5" w:rsidR="00413242" w:rsidRPr="00D34D23" w:rsidRDefault="00413242" w:rsidP="00AF254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Action Plan</w:t>
      </w:r>
    </w:p>
    <w:p w14:paraId="1EACAB28" w14:textId="672691A9" w:rsidR="00D37C91" w:rsidRDefault="00D37C91" w:rsidP="00AF254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A4789" w:rsidRPr="00EA4789">
        <w:rPr>
          <w:rFonts w:ascii="Times New Roman" w:hAnsi="Times New Roman" w:cs="Times New Roman"/>
          <w:sz w:val="24"/>
          <w:szCs w:val="24"/>
        </w:rPr>
        <w:t xml:space="preserve">For any future project in international business, I will use a source evaluation checklist in which I will prioritize the institutional sources and the peer-reviewed material and then move on to other sources. There is an explicit provision of time that would be spent on the process of </w:t>
      </w:r>
      <w:r w:rsidR="00940B32">
        <w:rPr>
          <w:rFonts w:ascii="Times New Roman" w:hAnsi="Times New Roman" w:cs="Times New Roman"/>
          <w:sz w:val="24"/>
          <w:szCs w:val="24"/>
        </w:rPr>
        <w:t>fact-checking</w:t>
      </w:r>
      <w:r w:rsidR="00EA4789" w:rsidRPr="00EA4789">
        <w:rPr>
          <w:rFonts w:ascii="Times New Roman" w:hAnsi="Times New Roman" w:cs="Times New Roman"/>
          <w:sz w:val="24"/>
          <w:szCs w:val="24"/>
        </w:rPr>
        <w:t>, and it will not just be the last step in the research process. Another plan is to read up further on institutional theory and the franchise governance mechanisms so as to ensure that I include issues of contract and control.</w:t>
      </w:r>
    </w:p>
    <w:p w14:paraId="1E5F5F94" w14:textId="77777777" w:rsidR="00100130" w:rsidRDefault="00100130" w:rsidP="00100130">
      <w:pPr>
        <w:spacing w:line="360" w:lineRule="auto"/>
        <w:jc w:val="both"/>
        <w:rPr>
          <w:rFonts w:ascii="Times New Roman" w:hAnsi="Times New Roman" w:cs="Times New Roman"/>
          <w:sz w:val="24"/>
          <w:szCs w:val="24"/>
        </w:rPr>
      </w:pPr>
    </w:p>
    <w:p w14:paraId="6F7B40EE" w14:textId="77777777" w:rsidR="00E25279" w:rsidRDefault="00E25279">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1A75D0BD" w14:textId="1FC1F907" w:rsidR="009E5619" w:rsidRPr="003005AD" w:rsidRDefault="009E5619" w:rsidP="003005AD">
      <w:pPr>
        <w:pStyle w:val="Heading1"/>
        <w:spacing w:line="360" w:lineRule="auto"/>
        <w:jc w:val="both"/>
        <w:rPr>
          <w:rFonts w:ascii="Times New Roman" w:hAnsi="Times New Roman" w:cs="Times New Roman"/>
          <w:b/>
          <w:bCs/>
          <w:color w:val="000000" w:themeColor="text1"/>
          <w:sz w:val="28"/>
          <w:szCs w:val="28"/>
        </w:rPr>
      </w:pPr>
      <w:bookmarkStart w:id="17" w:name="_Toc236835892"/>
      <w:r w:rsidRPr="003005AD">
        <w:rPr>
          <w:rFonts w:ascii="Times New Roman" w:hAnsi="Times New Roman" w:cs="Times New Roman"/>
          <w:b/>
          <w:bCs/>
          <w:color w:val="000000" w:themeColor="text1"/>
          <w:sz w:val="28"/>
          <w:szCs w:val="28"/>
        </w:rPr>
        <w:t>References</w:t>
      </w:r>
      <w:bookmarkEnd w:id="17"/>
    </w:p>
    <w:p w14:paraId="4732AD4B"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AGBI (2026). </w:t>
      </w:r>
      <w:r w:rsidRPr="003A69F7">
        <w:rPr>
          <w:rFonts w:ascii="Times New Roman" w:hAnsi="Times New Roman" w:cs="Times New Roman"/>
          <w:i/>
          <w:iCs/>
          <w:sz w:val="24"/>
          <w:szCs w:val="24"/>
        </w:rPr>
        <w:t>Egypt economy</w:t>
      </w:r>
      <w:r w:rsidRPr="003A69F7">
        <w:rPr>
          <w:rFonts w:ascii="Times New Roman" w:hAnsi="Times New Roman" w:cs="Times New Roman"/>
          <w:sz w:val="24"/>
          <w:szCs w:val="24"/>
        </w:rPr>
        <w:t>. [online] AGBI. Available at: https://www.agbi.com/economy/2026/05/egypt-economy/ [Accessed 31 July 2026].</w:t>
      </w:r>
    </w:p>
    <w:p w14:paraId="7E2EFBFF"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Amwal Al Ghad (2025). </w:t>
      </w:r>
      <w:r w:rsidRPr="003A69F7">
        <w:rPr>
          <w:rFonts w:ascii="Times New Roman" w:hAnsi="Times New Roman" w:cs="Times New Roman"/>
          <w:i/>
          <w:iCs/>
          <w:sz w:val="24"/>
          <w:szCs w:val="24"/>
        </w:rPr>
        <w:t>IMF lifts Egypt’s growth outlook to 4.5% in 2026, inflation seen easing below 12%</w:t>
      </w:r>
      <w:r w:rsidRPr="003A69F7">
        <w:rPr>
          <w:rFonts w:ascii="Times New Roman" w:hAnsi="Times New Roman" w:cs="Times New Roman"/>
          <w:sz w:val="24"/>
          <w:szCs w:val="24"/>
        </w:rPr>
        <w:t>. [online] Amwal Al Ghad. Available at: https://en.amwalalghad.com/imf-lifts-egypts-growth-outlook-to-4-5-in-2026-inflation-seen-easing-below-12/ [Accessed 31 July 2026].</w:t>
      </w:r>
    </w:p>
    <w:p w14:paraId="6B865919"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Bartlett, C.A. and Ghoshal, S. (1989). </w:t>
      </w:r>
      <w:r w:rsidRPr="003A69F7">
        <w:rPr>
          <w:rFonts w:ascii="Times New Roman" w:hAnsi="Times New Roman" w:cs="Times New Roman"/>
          <w:i/>
          <w:iCs/>
          <w:sz w:val="24"/>
          <w:szCs w:val="24"/>
        </w:rPr>
        <w:t>Managing Across Borders: The Transnational Solution</w:t>
      </w:r>
      <w:r w:rsidRPr="003A69F7">
        <w:rPr>
          <w:rFonts w:ascii="Times New Roman" w:hAnsi="Times New Roman" w:cs="Times New Roman"/>
          <w:sz w:val="24"/>
          <w:szCs w:val="24"/>
        </w:rPr>
        <w:t xml:space="preserve">. [online] </w:t>
      </w:r>
      <w:r w:rsidRPr="003A69F7">
        <w:rPr>
          <w:rFonts w:ascii="Times New Roman" w:hAnsi="Times New Roman" w:cs="Times New Roman"/>
          <w:i/>
          <w:iCs/>
          <w:sz w:val="24"/>
          <w:szCs w:val="24"/>
        </w:rPr>
        <w:t>Harvard Business School</w:t>
      </w:r>
      <w:r w:rsidRPr="003A69F7">
        <w:rPr>
          <w:rFonts w:ascii="Times New Roman" w:hAnsi="Times New Roman" w:cs="Times New Roman"/>
          <w:sz w:val="24"/>
          <w:szCs w:val="24"/>
        </w:rPr>
        <w:t>. Available at: https://www.hbs.edu/faculty/Pages/item.aspx?num=32 [Accessed 31 July 2026].</w:t>
      </w:r>
    </w:p>
    <w:p w14:paraId="1C1510D7"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Borham, A.A., Taib, R.B.M., Sisodia, G.S. and Fadahunsi, A. (2024). Formal and informal institutional factors and women entrepreneurship in Egypt: A qualitative perspective. </w:t>
      </w:r>
      <w:r w:rsidRPr="003A69F7">
        <w:rPr>
          <w:rFonts w:ascii="Times New Roman" w:hAnsi="Times New Roman" w:cs="Times New Roman"/>
          <w:i/>
          <w:iCs/>
          <w:sz w:val="24"/>
          <w:szCs w:val="24"/>
        </w:rPr>
        <w:t>Sage Open</w:t>
      </w:r>
      <w:r w:rsidRPr="003A69F7">
        <w:rPr>
          <w:rFonts w:ascii="Times New Roman" w:hAnsi="Times New Roman" w:cs="Times New Roman"/>
          <w:sz w:val="24"/>
          <w:szCs w:val="24"/>
        </w:rPr>
        <w:t>, 14(3). doi:10.1177/21582440241271306.</w:t>
      </w:r>
    </w:p>
    <w:p w14:paraId="6F33CC36"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BTI (2022). </w:t>
      </w:r>
      <w:r w:rsidRPr="003A69F7">
        <w:rPr>
          <w:rFonts w:ascii="Times New Roman" w:hAnsi="Times New Roman" w:cs="Times New Roman"/>
          <w:i/>
          <w:iCs/>
          <w:sz w:val="24"/>
          <w:szCs w:val="24"/>
        </w:rPr>
        <w:t>Bti 2022 Egypt Country Report</w:t>
      </w:r>
      <w:r w:rsidRPr="003A69F7">
        <w:rPr>
          <w:rFonts w:ascii="Times New Roman" w:hAnsi="Times New Roman" w:cs="Times New Roman"/>
          <w:sz w:val="24"/>
          <w:szCs w:val="24"/>
        </w:rPr>
        <w:t xml:space="preserve">. [online] </w:t>
      </w:r>
      <w:r w:rsidRPr="003A69F7">
        <w:rPr>
          <w:rFonts w:ascii="Times New Roman" w:hAnsi="Times New Roman" w:cs="Times New Roman"/>
          <w:i/>
          <w:iCs/>
          <w:sz w:val="24"/>
          <w:szCs w:val="24"/>
        </w:rPr>
        <w:t>BTI 2022</w:t>
      </w:r>
      <w:r w:rsidRPr="003A69F7">
        <w:rPr>
          <w:rFonts w:ascii="Times New Roman" w:hAnsi="Times New Roman" w:cs="Times New Roman"/>
          <w:sz w:val="24"/>
          <w:szCs w:val="24"/>
        </w:rPr>
        <w:t>. Available at: https://bti-project.org/en/reports/country-report/EGY [Accessed 31 July 2026].</w:t>
      </w:r>
    </w:p>
    <w:p w14:paraId="312E3817"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BusinessWire. (2025a). [online] </w:t>
      </w:r>
      <w:r w:rsidRPr="003A69F7">
        <w:rPr>
          <w:rFonts w:ascii="Times New Roman" w:hAnsi="Times New Roman" w:cs="Times New Roman"/>
          <w:i/>
          <w:iCs/>
          <w:sz w:val="24"/>
          <w:szCs w:val="24"/>
        </w:rPr>
        <w:t>Lululemon to expand international presence in 2026 with stores to open in six new markets</w:t>
      </w:r>
      <w:r w:rsidRPr="003A69F7">
        <w:rPr>
          <w:rFonts w:ascii="Times New Roman" w:hAnsi="Times New Roman" w:cs="Times New Roman"/>
          <w:sz w:val="24"/>
          <w:szCs w:val="24"/>
        </w:rPr>
        <w:t>. Available at: https://corporate.lululemon.com/media/press-releases/2025/12-18-2025-113011673 [Accessed 31 July 2026a].</w:t>
      </w:r>
    </w:p>
    <w:p w14:paraId="552AA997"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Cairo 360 (2026). </w:t>
      </w:r>
      <w:r w:rsidRPr="003A69F7">
        <w:rPr>
          <w:rFonts w:ascii="Times New Roman" w:hAnsi="Times New Roman" w:cs="Times New Roman"/>
          <w:i/>
          <w:iCs/>
          <w:sz w:val="24"/>
          <w:szCs w:val="24"/>
        </w:rPr>
        <w:t>Local Sports Brands Changing Egypt’s Fitness and Wellness Scene</w:t>
      </w:r>
      <w:r w:rsidRPr="003A69F7">
        <w:rPr>
          <w:rFonts w:ascii="Times New Roman" w:hAnsi="Times New Roman" w:cs="Times New Roman"/>
          <w:sz w:val="24"/>
          <w:szCs w:val="24"/>
        </w:rPr>
        <w:t>. [online] Cairo 360 Guide to Cairo, Egypt. Available at: https://www.cairo360.com/article/health-fitness/local-egyptian-sports-brands-fitness-wellness/ [Accessed 31 July 2026].</w:t>
      </w:r>
    </w:p>
    <w:p w14:paraId="60B8DA86"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Chambers and Partners (2026). </w:t>
      </w:r>
      <w:r w:rsidRPr="003A69F7">
        <w:rPr>
          <w:rFonts w:ascii="Times New Roman" w:hAnsi="Times New Roman" w:cs="Times New Roman"/>
          <w:i/>
          <w:iCs/>
          <w:sz w:val="24"/>
          <w:szCs w:val="24"/>
        </w:rPr>
        <w:t>Doing Business In... 2026 - Egypt | Global Practice Guides | Chambers and Partners</w:t>
      </w:r>
      <w:r w:rsidRPr="003A69F7">
        <w:rPr>
          <w:rFonts w:ascii="Times New Roman" w:hAnsi="Times New Roman" w:cs="Times New Roman"/>
          <w:sz w:val="24"/>
          <w:szCs w:val="24"/>
        </w:rPr>
        <w:t>. [online] Chambers.com. Available at: https://practiceguides.chambers.com/practice-guides/doing-business-in-2026/egypt/trends-and-developments [Accessed 31 July 2026].</w:t>
      </w:r>
    </w:p>
    <w:p w14:paraId="2EA42A43"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Chatham House (2025). </w:t>
      </w:r>
      <w:r w:rsidRPr="003A69F7">
        <w:rPr>
          <w:rFonts w:ascii="Times New Roman" w:hAnsi="Times New Roman" w:cs="Times New Roman"/>
          <w:i/>
          <w:iCs/>
          <w:sz w:val="24"/>
          <w:szCs w:val="24"/>
        </w:rPr>
        <w:t>Egypt’s foreign policy will remain too little, too late in 2026</w:t>
      </w:r>
      <w:r w:rsidRPr="003A69F7">
        <w:rPr>
          <w:rFonts w:ascii="Times New Roman" w:hAnsi="Times New Roman" w:cs="Times New Roman"/>
          <w:sz w:val="24"/>
          <w:szCs w:val="24"/>
        </w:rPr>
        <w:t xml:space="preserve">. [online] </w:t>
      </w:r>
      <w:r w:rsidRPr="003A69F7">
        <w:rPr>
          <w:rFonts w:ascii="Times New Roman" w:hAnsi="Times New Roman" w:cs="Times New Roman"/>
          <w:i/>
          <w:iCs/>
          <w:sz w:val="24"/>
          <w:szCs w:val="24"/>
        </w:rPr>
        <w:t>Chatham House – International Affairs Think Tank</w:t>
      </w:r>
      <w:r w:rsidRPr="003A69F7">
        <w:rPr>
          <w:rFonts w:ascii="Times New Roman" w:hAnsi="Times New Roman" w:cs="Times New Roman"/>
          <w:sz w:val="24"/>
          <w:szCs w:val="24"/>
        </w:rPr>
        <w:t>. Available at: https://www.chathamhouse.org/2025/12/egypts-foreign-policy-will-remain-too-little-too-late-2026 [Accessed 31 July 2026].</w:t>
      </w:r>
    </w:p>
    <w:p w14:paraId="6AF60F2C"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CWB (2025). </w:t>
      </w:r>
      <w:r w:rsidRPr="003A69F7">
        <w:rPr>
          <w:rFonts w:ascii="Times New Roman" w:hAnsi="Times New Roman" w:cs="Times New Roman"/>
          <w:i/>
          <w:iCs/>
          <w:sz w:val="24"/>
          <w:szCs w:val="24"/>
        </w:rPr>
        <w:t>Egypt updates official fees for patents, plant varieties, and copyrights | CWB</w:t>
      </w:r>
      <w:r w:rsidRPr="003A69F7">
        <w:rPr>
          <w:rFonts w:ascii="Times New Roman" w:hAnsi="Times New Roman" w:cs="Times New Roman"/>
          <w:sz w:val="24"/>
          <w:szCs w:val="24"/>
        </w:rPr>
        <w:t>. [online] Cwbip.com. Available at: https://cwbip.com/insights/news/2025/egypt-updates-official-fees-patents-plant-varieties-and-copyrights [Accessed 31 July 2026].</w:t>
      </w:r>
    </w:p>
    <w:p w14:paraId="7CB10C15"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Daily News Egypt (2026). </w:t>
      </w:r>
      <w:r w:rsidRPr="003A69F7">
        <w:rPr>
          <w:rFonts w:ascii="Times New Roman" w:hAnsi="Times New Roman" w:cs="Times New Roman"/>
          <w:i/>
          <w:iCs/>
          <w:sz w:val="24"/>
          <w:szCs w:val="24"/>
        </w:rPr>
        <w:t>Egypt Tops Africa with $15.5bn in 2025 FDI as Government Readies New Investment Strategy and Digital Platforms</w:t>
      </w:r>
      <w:r w:rsidRPr="003A69F7">
        <w:rPr>
          <w:rFonts w:ascii="Times New Roman" w:hAnsi="Times New Roman" w:cs="Times New Roman"/>
          <w:sz w:val="24"/>
          <w:szCs w:val="24"/>
        </w:rPr>
        <w:t>. [online] Dailynewsegypt - Egypt’s Only Daily Independent Newspaper In English. Available at: https://www.dailynewsegypt.com/2026/07/27/egypt-tops-africa-with-15-5bn-in-2025-fdi-as-government-readies-new-investment-strategy-and-digital-platforms/ [Accessed 31 July 2026].</w:t>
      </w:r>
    </w:p>
    <w:p w14:paraId="2F2980A2"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Economy Middle East. (2026a). </w:t>
      </w:r>
      <w:r w:rsidRPr="003A69F7">
        <w:rPr>
          <w:rFonts w:ascii="Times New Roman" w:hAnsi="Times New Roman" w:cs="Times New Roman"/>
          <w:i/>
          <w:iCs/>
          <w:sz w:val="24"/>
          <w:szCs w:val="24"/>
        </w:rPr>
        <w:t>Economy Middle East</w:t>
      </w:r>
      <w:r w:rsidRPr="003A69F7">
        <w:rPr>
          <w:rFonts w:ascii="Times New Roman" w:hAnsi="Times New Roman" w:cs="Times New Roman"/>
          <w:sz w:val="24"/>
          <w:szCs w:val="24"/>
        </w:rPr>
        <w:t>. [online] Available at: https://economymiddleeast.com/news/egypts-economic-growth-seen-at-4-8-percent-as-inflation-forecast-rises-to-13-5-percent/ [Accessed 31 July 2026a].</w:t>
      </w:r>
    </w:p>
    <w:p w14:paraId="66389C31" w14:textId="77777777" w:rsidR="003A69F7" w:rsidRDefault="003A69F7" w:rsidP="003A69F7">
      <w:pPr>
        <w:spacing w:line="360" w:lineRule="auto"/>
        <w:ind w:left="567" w:hanging="567"/>
        <w:jc w:val="both"/>
        <w:rPr>
          <w:rFonts w:ascii="Times New Roman" w:hAnsi="Times New Roman" w:cs="Times New Roman"/>
          <w:sz w:val="24"/>
          <w:szCs w:val="24"/>
        </w:rPr>
      </w:pPr>
      <w:r w:rsidRPr="009E5619">
        <w:rPr>
          <w:rFonts w:ascii="Times New Roman" w:hAnsi="Times New Roman" w:cs="Times New Roman"/>
          <w:sz w:val="24"/>
          <w:szCs w:val="24"/>
        </w:rPr>
        <w:t xml:space="preserve">Emerging Markets Debt Report (2026) </w:t>
      </w:r>
      <w:r w:rsidRPr="009E5619">
        <w:rPr>
          <w:rFonts w:ascii="Times New Roman" w:hAnsi="Times New Roman" w:cs="Times New Roman"/>
          <w:i/>
          <w:iCs/>
          <w:sz w:val="24"/>
          <w:szCs w:val="24"/>
        </w:rPr>
        <w:t>Egypt Outlook 2026</w:t>
      </w:r>
      <w:r w:rsidRPr="009E5619">
        <w:rPr>
          <w:rFonts w:ascii="Times New Roman" w:hAnsi="Times New Roman" w:cs="Times New Roman"/>
          <w:sz w:val="24"/>
          <w:szCs w:val="24"/>
        </w:rPr>
        <w:t xml:space="preserve">. Available at: </w:t>
      </w:r>
      <w:hyperlink r:id="rId9" w:history="1">
        <w:r w:rsidRPr="009E5619">
          <w:rPr>
            <w:rStyle w:val="Hyperlink"/>
            <w:rFonts w:ascii="Times New Roman" w:hAnsi="Times New Roman" w:cs="Times New Roman"/>
            <w:sz w:val="24"/>
            <w:szCs w:val="24"/>
          </w:rPr>
          <w:t>https:</w:t>
        </w:r>
        <w:r>
          <w:rPr>
            <w:rStyle w:val="Hyperlink"/>
            <w:rFonts w:ascii="Times New Roman" w:hAnsi="Times New Roman" w:cs="Times New Roman"/>
            <w:sz w:val="24"/>
            <w:szCs w:val="24"/>
          </w:rPr>
          <w:t>//</w:t>
        </w:r>
        <w:r w:rsidRPr="009E5619">
          <w:rPr>
            <w:rStyle w:val="Hyperlink"/>
            <w:rFonts w:ascii="Times New Roman" w:hAnsi="Times New Roman" w:cs="Times New Roman"/>
            <w:sz w:val="24"/>
            <w:szCs w:val="24"/>
          </w:rPr>
          <w:t>emd-drupal-production-copy.s3.amazonaws.com</w:t>
        </w:r>
        <w:r>
          <w:rPr>
            <w:rStyle w:val="Hyperlink"/>
            <w:rFonts w:ascii="Times New Roman" w:hAnsi="Times New Roman" w:cs="Times New Roman"/>
            <w:sz w:val="24"/>
            <w:szCs w:val="24"/>
          </w:rPr>
          <w:t>/</w:t>
        </w:r>
        <w:r w:rsidRPr="009E5619">
          <w:rPr>
            <w:rStyle w:val="Hyperlink"/>
            <w:rFonts w:ascii="Times New Roman" w:hAnsi="Times New Roman" w:cs="Times New Roman"/>
            <w:sz w:val="24"/>
            <w:szCs w:val="24"/>
          </w:rPr>
          <w:t>articlefiles</w:t>
        </w:r>
        <w:r>
          <w:rPr>
            <w:rStyle w:val="Hyperlink"/>
            <w:rFonts w:ascii="Times New Roman" w:hAnsi="Times New Roman" w:cs="Times New Roman"/>
            <w:sz w:val="24"/>
            <w:szCs w:val="24"/>
          </w:rPr>
          <w:t>/</w:t>
        </w:r>
        <w:r w:rsidRPr="009E5619">
          <w:rPr>
            <w:rStyle w:val="Hyperlink"/>
            <w:rFonts w:ascii="Times New Roman" w:hAnsi="Times New Roman" w:cs="Times New Roman"/>
            <w:sz w:val="24"/>
            <w:szCs w:val="24"/>
          </w:rPr>
          <w:t>Egypt%20outlook%202026.pdf</w:t>
        </w:r>
      </w:hyperlink>
      <w:r w:rsidRPr="009E5619">
        <w:rPr>
          <w:rFonts w:ascii="Times New Roman" w:hAnsi="Times New Roman" w:cs="Times New Roman"/>
          <w:sz w:val="24"/>
          <w:szCs w:val="24"/>
        </w:rPr>
        <w:t xml:space="preserve"> (Accessed: 31 July 2026).</w:t>
      </w:r>
    </w:p>
    <w:p w14:paraId="24CCFFBC"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Euromonitor. (2025b). </w:t>
      </w:r>
      <w:r w:rsidRPr="003A69F7">
        <w:rPr>
          <w:rFonts w:ascii="Times New Roman" w:hAnsi="Times New Roman" w:cs="Times New Roman"/>
          <w:i/>
          <w:iCs/>
          <w:sz w:val="24"/>
          <w:szCs w:val="24"/>
        </w:rPr>
        <w:t>Euromonitor International</w:t>
      </w:r>
      <w:r w:rsidRPr="003A69F7">
        <w:rPr>
          <w:rFonts w:ascii="Times New Roman" w:hAnsi="Times New Roman" w:cs="Times New Roman"/>
          <w:sz w:val="24"/>
          <w:szCs w:val="24"/>
        </w:rPr>
        <w:t>. [online] Available at: https://www.euromonitor.com/consumer-values-and-behaviour-in-egypt/report [Accessed 31 July 2026b].</w:t>
      </w:r>
    </w:p>
    <w:p w14:paraId="677B9368" w14:textId="77777777" w:rsidR="003A69F7" w:rsidRDefault="003A69F7" w:rsidP="003A69F7">
      <w:pPr>
        <w:spacing w:line="360" w:lineRule="auto"/>
        <w:ind w:left="567" w:hanging="567"/>
        <w:jc w:val="both"/>
        <w:rPr>
          <w:rFonts w:ascii="Times New Roman" w:hAnsi="Times New Roman" w:cs="Times New Roman"/>
          <w:sz w:val="24"/>
          <w:szCs w:val="24"/>
        </w:rPr>
      </w:pPr>
      <w:r w:rsidRPr="00940B32">
        <w:rPr>
          <w:rFonts w:ascii="Times New Roman" w:hAnsi="Times New Roman" w:cs="Times New Roman"/>
          <w:sz w:val="24"/>
          <w:szCs w:val="24"/>
        </w:rPr>
        <w:t>Gibbs, G. (1998) Learning by Doing: A Guide to Teaching and Learning Methods. Oxford Brooks University, Oxford.</w:t>
      </w:r>
    </w:p>
    <w:p w14:paraId="0AD2DAE5"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Global Business Culture. (2026b). </w:t>
      </w:r>
      <w:r w:rsidRPr="003A69F7">
        <w:rPr>
          <w:rFonts w:ascii="Times New Roman" w:hAnsi="Times New Roman" w:cs="Times New Roman"/>
          <w:i/>
          <w:iCs/>
          <w:sz w:val="24"/>
          <w:szCs w:val="24"/>
        </w:rPr>
        <w:t>Egypt Business Culture Guide | Global Business Culture</w:t>
      </w:r>
      <w:r w:rsidRPr="003A69F7">
        <w:rPr>
          <w:rFonts w:ascii="Times New Roman" w:hAnsi="Times New Roman" w:cs="Times New Roman"/>
          <w:sz w:val="24"/>
          <w:szCs w:val="24"/>
        </w:rPr>
        <w:t>. [online] Available at: https://www.globalbusinessculture.com/countries/global-business-culture-resources/country-profiles/egypt-business-culture/ [Accessed 31 July 2026b].</w:t>
      </w:r>
    </w:p>
    <w:p w14:paraId="56243C10"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IGBS (2026). </w:t>
      </w:r>
      <w:r w:rsidRPr="003A69F7">
        <w:rPr>
          <w:rFonts w:ascii="Times New Roman" w:hAnsi="Times New Roman" w:cs="Times New Roman"/>
          <w:i/>
          <w:iCs/>
          <w:sz w:val="24"/>
          <w:szCs w:val="24"/>
        </w:rPr>
        <w:t>Trademark Registration in Egypt | IGBS</w:t>
      </w:r>
      <w:r w:rsidRPr="003A69F7">
        <w:rPr>
          <w:rFonts w:ascii="Times New Roman" w:hAnsi="Times New Roman" w:cs="Times New Roman"/>
          <w:sz w:val="24"/>
          <w:szCs w:val="24"/>
        </w:rPr>
        <w:t>. [online] Ig-bs.com. Available at: https://ig-bs.com/register/egypt [Accessed 31 July 2026].</w:t>
      </w:r>
    </w:p>
    <w:p w14:paraId="4721067B"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IMARC (2024). </w:t>
      </w:r>
      <w:r w:rsidRPr="003A69F7">
        <w:rPr>
          <w:rFonts w:ascii="Times New Roman" w:hAnsi="Times New Roman" w:cs="Times New Roman"/>
          <w:i/>
          <w:iCs/>
          <w:sz w:val="24"/>
          <w:szCs w:val="24"/>
        </w:rPr>
        <w:t>Egypt Sportswear Market Size, Growth &amp; Trends Report 2033</w:t>
      </w:r>
      <w:r w:rsidRPr="003A69F7">
        <w:rPr>
          <w:rFonts w:ascii="Times New Roman" w:hAnsi="Times New Roman" w:cs="Times New Roman"/>
          <w:sz w:val="24"/>
          <w:szCs w:val="24"/>
        </w:rPr>
        <w:t xml:space="preserve">. [online] </w:t>
      </w:r>
      <w:r w:rsidRPr="003A69F7">
        <w:rPr>
          <w:rFonts w:ascii="Times New Roman" w:hAnsi="Times New Roman" w:cs="Times New Roman"/>
          <w:i/>
          <w:iCs/>
          <w:sz w:val="24"/>
          <w:szCs w:val="24"/>
        </w:rPr>
        <w:t>Imarcgroup.com</w:t>
      </w:r>
      <w:r w:rsidRPr="003A69F7">
        <w:rPr>
          <w:rFonts w:ascii="Times New Roman" w:hAnsi="Times New Roman" w:cs="Times New Roman"/>
          <w:sz w:val="24"/>
          <w:szCs w:val="24"/>
        </w:rPr>
        <w:t>. Available at: https://www.imarcgroup.com/egypt-sportswear-market [Accessed 31 July 2026].</w:t>
      </w:r>
    </w:p>
    <w:p w14:paraId="59028043"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IMF (2026). Arab Republic of Egypt. </w:t>
      </w:r>
      <w:r w:rsidRPr="003A69F7">
        <w:rPr>
          <w:rFonts w:ascii="Times New Roman" w:hAnsi="Times New Roman" w:cs="Times New Roman"/>
          <w:i/>
          <w:iCs/>
          <w:sz w:val="24"/>
          <w:szCs w:val="24"/>
        </w:rPr>
        <w:t>IMF Staff Country Reports</w:t>
      </w:r>
      <w:r w:rsidRPr="003A69F7">
        <w:rPr>
          <w:rFonts w:ascii="Times New Roman" w:hAnsi="Times New Roman" w:cs="Times New Roman"/>
          <w:sz w:val="24"/>
          <w:szCs w:val="24"/>
        </w:rPr>
        <w:t>, 2026(069), p.1. doi:10.5089/9798229042239.002.</w:t>
      </w:r>
    </w:p>
    <w:p w14:paraId="4FFF738A" w14:textId="77777777" w:rsidR="003A69F7" w:rsidRDefault="003A69F7" w:rsidP="003A69F7">
      <w:pPr>
        <w:spacing w:line="360" w:lineRule="auto"/>
        <w:ind w:left="567" w:hanging="567"/>
        <w:jc w:val="both"/>
        <w:rPr>
          <w:rFonts w:ascii="Times New Roman" w:hAnsi="Times New Roman" w:cs="Times New Roman"/>
          <w:sz w:val="24"/>
          <w:szCs w:val="24"/>
        </w:rPr>
      </w:pPr>
      <w:r w:rsidRPr="00720DE3">
        <w:rPr>
          <w:rFonts w:ascii="Times New Roman" w:hAnsi="Times New Roman" w:cs="Times New Roman"/>
          <w:sz w:val="24"/>
          <w:szCs w:val="24"/>
        </w:rPr>
        <w:t xml:space="preserve">Lexology (2026) ‘Foreign Ownership Restrictions in Egypt: Which Sectors Are Limited?’, 17 July. Available at: </w:t>
      </w:r>
      <w:hyperlink r:id="rId10" w:history="1">
        <w:r w:rsidRPr="00720DE3">
          <w:rPr>
            <w:rStyle w:val="Hyperlink"/>
            <w:rFonts w:ascii="Times New Roman" w:hAnsi="Times New Roman" w:cs="Times New Roman"/>
            <w:sz w:val="24"/>
            <w:szCs w:val="24"/>
          </w:rPr>
          <w:t>https://www.lexology.com/library/detail.aspx?g=11730db6-22c4-4164-ad43-35804d72e90f</w:t>
        </w:r>
      </w:hyperlink>
      <w:r>
        <w:rPr>
          <w:rFonts w:ascii="Times New Roman" w:hAnsi="Times New Roman" w:cs="Times New Roman"/>
          <w:sz w:val="24"/>
          <w:szCs w:val="24"/>
        </w:rPr>
        <w:t xml:space="preserve"> </w:t>
      </w:r>
    </w:p>
    <w:p w14:paraId="16004FE0"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Macro, S. and Ott, U.F. (2024). The Evolution of the Ability to Effectively Innovate in a Transnational Organization – A Configurational Analysis. </w:t>
      </w:r>
      <w:r w:rsidRPr="003A69F7">
        <w:rPr>
          <w:rFonts w:ascii="Times New Roman" w:hAnsi="Times New Roman" w:cs="Times New Roman"/>
          <w:i/>
          <w:iCs/>
          <w:sz w:val="24"/>
          <w:szCs w:val="24"/>
        </w:rPr>
        <w:t>Journal of International Management</w:t>
      </w:r>
      <w:r w:rsidRPr="003A69F7">
        <w:rPr>
          <w:rFonts w:ascii="Times New Roman" w:hAnsi="Times New Roman" w:cs="Times New Roman"/>
          <w:sz w:val="24"/>
          <w:szCs w:val="24"/>
        </w:rPr>
        <w:t>, 30(6), pp.101200–101200. doi:10.1016/j.intman.2024.101200.</w:t>
      </w:r>
    </w:p>
    <w:p w14:paraId="2504F694"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MatrixBCG (2026). </w:t>
      </w:r>
      <w:r w:rsidRPr="003A69F7">
        <w:rPr>
          <w:rFonts w:ascii="Times New Roman" w:hAnsi="Times New Roman" w:cs="Times New Roman"/>
          <w:i/>
          <w:iCs/>
          <w:sz w:val="24"/>
          <w:szCs w:val="24"/>
        </w:rPr>
        <w:t>What is Growth Strategy and Future Prospects of Lululemon Athletica company?</w:t>
      </w:r>
      <w:r w:rsidRPr="003A69F7">
        <w:rPr>
          <w:rFonts w:ascii="Times New Roman" w:hAnsi="Times New Roman" w:cs="Times New Roman"/>
          <w:sz w:val="24"/>
          <w:szCs w:val="24"/>
        </w:rPr>
        <w:t xml:space="preserve"> [online] </w:t>
      </w:r>
      <w:r w:rsidRPr="003A69F7">
        <w:rPr>
          <w:rFonts w:ascii="Times New Roman" w:hAnsi="Times New Roman" w:cs="Times New Roman"/>
          <w:i/>
          <w:iCs/>
          <w:sz w:val="24"/>
          <w:szCs w:val="24"/>
        </w:rPr>
        <w:t>MatrixBCG</w:t>
      </w:r>
      <w:r w:rsidRPr="003A69F7">
        <w:rPr>
          <w:rFonts w:ascii="Times New Roman" w:hAnsi="Times New Roman" w:cs="Times New Roman"/>
          <w:sz w:val="24"/>
          <w:szCs w:val="24"/>
        </w:rPr>
        <w:t>. Available at: https://matrixbcg.com/blogs/growth-strategy/lululemon [Accessed 31 July 2026].</w:t>
      </w:r>
    </w:p>
    <w:p w14:paraId="4A745A11"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Noble, E. and Saifullah Sabry (2026). </w:t>
      </w:r>
      <w:r w:rsidRPr="003A69F7">
        <w:rPr>
          <w:rFonts w:ascii="Times New Roman" w:hAnsi="Times New Roman" w:cs="Times New Roman"/>
          <w:i/>
          <w:iCs/>
          <w:sz w:val="24"/>
          <w:szCs w:val="24"/>
        </w:rPr>
        <w:t>How Egypt’s revamped labour laws will significantly impact workers’ rights</w:t>
      </w:r>
      <w:r w:rsidRPr="003A69F7">
        <w:rPr>
          <w:rFonts w:ascii="Times New Roman" w:hAnsi="Times New Roman" w:cs="Times New Roman"/>
          <w:sz w:val="24"/>
          <w:szCs w:val="24"/>
        </w:rPr>
        <w:t>. [online] Pinsent Masons. Available at: https://www.pinsentmasons.com/out-law/analysis/egypt-labour-laws-impact-workers-rights [Accessed 31 July 2026].</w:t>
      </w:r>
    </w:p>
    <w:p w14:paraId="6CB010E5"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Patterson, C. and Patterson, C. (2026). </w:t>
      </w:r>
      <w:r w:rsidRPr="003A69F7">
        <w:rPr>
          <w:rFonts w:ascii="Times New Roman" w:hAnsi="Times New Roman" w:cs="Times New Roman"/>
          <w:i/>
          <w:iCs/>
          <w:sz w:val="24"/>
          <w:szCs w:val="24"/>
        </w:rPr>
        <w:t>Lululemon Q4 profit falls as global growth shifts</w:t>
      </w:r>
      <w:r w:rsidRPr="003A69F7">
        <w:rPr>
          <w:rFonts w:ascii="Times New Roman" w:hAnsi="Times New Roman" w:cs="Times New Roman"/>
          <w:sz w:val="24"/>
          <w:szCs w:val="24"/>
        </w:rPr>
        <w:t xml:space="preserve">. [online] </w:t>
      </w:r>
      <w:r w:rsidRPr="003A69F7">
        <w:rPr>
          <w:rFonts w:ascii="Times New Roman" w:hAnsi="Times New Roman" w:cs="Times New Roman"/>
          <w:i/>
          <w:iCs/>
          <w:sz w:val="24"/>
          <w:szCs w:val="24"/>
        </w:rPr>
        <w:t>Retail Insider</w:t>
      </w:r>
      <w:r w:rsidRPr="003A69F7">
        <w:rPr>
          <w:rFonts w:ascii="Times New Roman" w:hAnsi="Times New Roman" w:cs="Times New Roman"/>
          <w:sz w:val="24"/>
          <w:szCs w:val="24"/>
        </w:rPr>
        <w:t>. Available at: https://retail-insider.com/retail-insider/2026/03/lululemon-q4-profit-falls-as-global-growth-shifts/ [Accessed 31 July 2026].</w:t>
      </w:r>
    </w:p>
    <w:p w14:paraId="39850F69"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PESTEL Analysis (2025). </w:t>
      </w:r>
      <w:r w:rsidRPr="003A69F7">
        <w:rPr>
          <w:rFonts w:ascii="Times New Roman" w:hAnsi="Times New Roman" w:cs="Times New Roman"/>
          <w:i/>
          <w:iCs/>
          <w:sz w:val="24"/>
          <w:szCs w:val="24"/>
        </w:rPr>
        <w:t>What is Growth Strategy and Future Prospects of Lululemon Athletica company?</w:t>
      </w:r>
      <w:r w:rsidRPr="003A69F7">
        <w:rPr>
          <w:rFonts w:ascii="Times New Roman" w:hAnsi="Times New Roman" w:cs="Times New Roman"/>
          <w:sz w:val="24"/>
          <w:szCs w:val="24"/>
        </w:rPr>
        <w:t xml:space="preserve"> [online] </w:t>
      </w:r>
      <w:r w:rsidRPr="003A69F7">
        <w:rPr>
          <w:rFonts w:ascii="Times New Roman" w:hAnsi="Times New Roman" w:cs="Times New Roman"/>
          <w:i/>
          <w:iCs/>
          <w:sz w:val="24"/>
          <w:szCs w:val="24"/>
        </w:rPr>
        <w:t>PESTEL ANALYSIS</w:t>
      </w:r>
      <w:r w:rsidRPr="003A69F7">
        <w:rPr>
          <w:rFonts w:ascii="Times New Roman" w:hAnsi="Times New Roman" w:cs="Times New Roman"/>
          <w:sz w:val="24"/>
          <w:szCs w:val="24"/>
        </w:rPr>
        <w:t>. Available at: https://pestel-analysis.com/blogs/growth-strategy/lululemon [Accessed 31 July 2026].</w:t>
      </w:r>
    </w:p>
    <w:p w14:paraId="40AD107A"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Research and Markets ltd (2026). </w:t>
      </w:r>
      <w:r w:rsidRPr="003A69F7">
        <w:rPr>
          <w:rFonts w:ascii="Times New Roman" w:hAnsi="Times New Roman" w:cs="Times New Roman"/>
          <w:i/>
          <w:iCs/>
          <w:sz w:val="24"/>
          <w:szCs w:val="24"/>
        </w:rPr>
        <w:t>Research and Markets</w:t>
      </w:r>
      <w:r w:rsidRPr="003A69F7">
        <w:rPr>
          <w:rFonts w:ascii="Times New Roman" w:hAnsi="Times New Roman" w:cs="Times New Roman"/>
          <w:sz w:val="24"/>
          <w:szCs w:val="24"/>
        </w:rPr>
        <w:t>. [online] researchmarkets. Available at: https://www.researchandmarkets.com/reports/3001361/apparel-and-footwear-in-egypt?srsltid=AfmBOopKDre3pwu-9nf7vdIqZfg_T_HmB6YLHM9vmXnmJBqbfO5wxRo6 [Accessed 31 July 2026].</w:t>
      </w:r>
    </w:p>
    <w:p w14:paraId="4A5DF049"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Reuters (2024). </w:t>
      </w:r>
      <w:r w:rsidRPr="003A69F7">
        <w:rPr>
          <w:rFonts w:ascii="Times New Roman" w:hAnsi="Times New Roman" w:cs="Times New Roman"/>
          <w:i/>
          <w:iCs/>
          <w:sz w:val="24"/>
          <w:szCs w:val="24"/>
        </w:rPr>
        <w:t>Egypt economy seen growing as IMF measures run course: Reuters poll</w:t>
      </w:r>
      <w:r w:rsidRPr="003A69F7">
        <w:rPr>
          <w:rFonts w:ascii="Times New Roman" w:hAnsi="Times New Roman" w:cs="Times New Roman"/>
          <w:sz w:val="24"/>
          <w:szCs w:val="24"/>
        </w:rPr>
        <w:t>. [online] Investing.com. Available at: https://investing.com/news/economy-news/egypt-economy-seen-growing-as-imf-measures-run-course-reuters-poll-3680138 [Accessed 31 July 2026].</w:t>
      </w:r>
    </w:p>
    <w:p w14:paraId="10D803CD"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SpecialEurasia (2025). </w:t>
      </w:r>
      <w:r w:rsidRPr="003A69F7">
        <w:rPr>
          <w:rFonts w:ascii="Times New Roman" w:hAnsi="Times New Roman" w:cs="Times New Roman"/>
          <w:i/>
          <w:iCs/>
          <w:sz w:val="24"/>
          <w:szCs w:val="24"/>
        </w:rPr>
        <w:t>Middle East geopolitical risk 2026 - SpecialEurasia</w:t>
      </w:r>
      <w:r w:rsidRPr="003A69F7">
        <w:rPr>
          <w:rFonts w:ascii="Times New Roman" w:hAnsi="Times New Roman" w:cs="Times New Roman"/>
          <w:sz w:val="24"/>
          <w:szCs w:val="24"/>
        </w:rPr>
        <w:t xml:space="preserve">. [online] </w:t>
      </w:r>
      <w:r w:rsidRPr="003A69F7">
        <w:rPr>
          <w:rFonts w:ascii="Times New Roman" w:hAnsi="Times New Roman" w:cs="Times New Roman"/>
          <w:i/>
          <w:iCs/>
          <w:sz w:val="24"/>
          <w:szCs w:val="24"/>
        </w:rPr>
        <w:t>SpecialEurasia</w:t>
      </w:r>
      <w:r w:rsidRPr="003A69F7">
        <w:rPr>
          <w:rFonts w:ascii="Times New Roman" w:hAnsi="Times New Roman" w:cs="Times New Roman"/>
          <w:sz w:val="24"/>
          <w:szCs w:val="24"/>
        </w:rPr>
        <w:t>. Available at: https://www.specialeurasia.com/2025/12/28/middle-east-risk-2026/ [Accessed 31 July 2026].</w:t>
      </w:r>
    </w:p>
    <w:p w14:paraId="4A169CCC"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Statistics of the World (2026). </w:t>
      </w:r>
      <w:r w:rsidRPr="003A69F7">
        <w:rPr>
          <w:rFonts w:ascii="Times New Roman" w:hAnsi="Times New Roman" w:cs="Times New Roman"/>
          <w:i/>
          <w:iCs/>
          <w:sz w:val="24"/>
          <w:szCs w:val="24"/>
        </w:rPr>
        <w:t>Egypt Economy 2026</w:t>
      </w:r>
      <w:r w:rsidRPr="003A69F7">
        <w:rPr>
          <w:rFonts w:ascii="Times New Roman" w:hAnsi="Times New Roman" w:cs="Times New Roman"/>
          <w:sz w:val="24"/>
          <w:szCs w:val="24"/>
        </w:rPr>
        <w:t>. [online] Statistics of the World. Available at: https://statisticsoftheworld.com/egypt-economy [Accessed 31 July 2026].</w:t>
      </w:r>
    </w:p>
    <w:p w14:paraId="608A2955"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The University of Edinburgh (2024). </w:t>
      </w:r>
      <w:r w:rsidRPr="003A69F7">
        <w:rPr>
          <w:rFonts w:ascii="Times New Roman" w:hAnsi="Times New Roman" w:cs="Times New Roman"/>
          <w:i/>
          <w:iCs/>
          <w:sz w:val="24"/>
          <w:szCs w:val="24"/>
        </w:rPr>
        <w:t>Gibbs” Reflective Cycle</w:t>
      </w:r>
      <w:r w:rsidRPr="003A69F7">
        <w:rPr>
          <w:rFonts w:ascii="Times New Roman" w:hAnsi="Times New Roman" w:cs="Times New Roman"/>
          <w:sz w:val="24"/>
          <w:szCs w:val="24"/>
        </w:rPr>
        <w:t xml:space="preserve">. [online] </w:t>
      </w:r>
      <w:r w:rsidRPr="003A69F7">
        <w:rPr>
          <w:rFonts w:ascii="Times New Roman" w:hAnsi="Times New Roman" w:cs="Times New Roman"/>
          <w:i/>
          <w:iCs/>
          <w:sz w:val="24"/>
          <w:szCs w:val="24"/>
        </w:rPr>
        <w:t>The University of Edinburgh</w:t>
      </w:r>
      <w:r w:rsidRPr="003A69F7">
        <w:rPr>
          <w:rFonts w:ascii="Times New Roman" w:hAnsi="Times New Roman" w:cs="Times New Roman"/>
          <w:sz w:val="24"/>
          <w:szCs w:val="24"/>
        </w:rPr>
        <w:t>. Available at: https://reflection.ed.ac.uk/reflectors-toolkit/reflecting-on-experience/gibbs-reflective-cycle [Accessed 31 July 2026].</w:t>
      </w:r>
    </w:p>
    <w:p w14:paraId="2F6078F2"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U.S. Department of State (2025). </w:t>
      </w:r>
      <w:r w:rsidRPr="003A69F7">
        <w:rPr>
          <w:rFonts w:ascii="Times New Roman" w:hAnsi="Times New Roman" w:cs="Times New Roman"/>
          <w:i/>
          <w:iCs/>
          <w:sz w:val="24"/>
          <w:szCs w:val="24"/>
        </w:rPr>
        <w:t>Egypt - United States Department of State</w:t>
      </w:r>
      <w:r w:rsidRPr="003A69F7">
        <w:rPr>
          <w:rFonts w:ascii="Times New Roman" w:hAnsi="Times New Roman" w:cs="Times New Roman"/>
          <w:sz w:val="24"/>
          <w:szCs w:val="24"/>
        </w:rPr>
        <w:t xml:space="preserve">. [online] </w:t>
      </w:r>
      <w:r w:rsidRPr="003A69F7">
        <w:rPr>
          <w:rFonts w:ascii="Times New Roman" w:hAnsi="Times New Roman" w:cs="Times New Roman"/>
          <w:i/>
          <w:iCs/>
          <w:sz w:val="24"/>
          <w:szCs w:val="24"/>
        </w:rPr>
        <w:t>United States Department of State</w:t>
      </w:r>
      <w:r w:rsidRPr="003A69F7">
        <w:rPr>
          <w:rFonts w:ascii="Times New Roman" w:hAnsi="Times New Roman" w:cs="Times New Roman"/>
          <w:sz w:val="24"/>
          <w:szCs w:val="24"/>
        </w:rPr>
        <w:t>. Available at: https://www.state.gov/reports/2025-investment-climate-statements/egypt [Accessed 31 July 2026].</w:t>
      </w:r>
    </w:p>
    <w:p w14:paraId="230CB84E" w14:textId="77777777" w:rsidR="003A69F7" w:rsidRPr="003A69F7" w:rsidRDefault="003A69F7" w:rsidP="003A69F7">
      <w:pPr>
        <w:spacing w:line="360" w:lineRule="auto"/>
        <w:ind w:left="567" w:hanging="567"/>
        <w:jc w:val="both"/>
        <w:rPr>
          <w:rFonts w:ascii="Times New Roman" w:hAnsi="Times New Roman" w:cs="Times New Roman"/>
          <w:sz w:val="24"/>
          <w:szCs w:val="24"/>
        </w:rPr>
      </w:pPr>
      <w:r w:rsidRPr="003A69F7">
        <w:rPr>
          <w:rFonts w:ascii="Times New Roman" w:hAnsi="Times New Roman" w:cs="Times New Roman"/>
          <w:sz w:val="24"/>
          <w:szCs w:val="24"/>
        </w:rPr>
        <w:t xml:space="preserve">World Bank (2025). </w:t>
      </w:r>
      <w:r w:rsidRPr="003A69F7">
        <w:rPr>
          <w:rFonts w:ascii="Times New Roman" w:hAnsi="Times New Roman" w:cs="Times New Roman"/>
          <w:i/>
          <w:iCs/>
          <w:sz w:val="24"/>
          <w:szCs w:val="24"/>
        </w:rPr>
        <w:t>Egypt | World Bank Group</w:t>
      </w:r>
      <w:r w:rsidRPr="003A69F7">
        <w:rPr>
          <w:rFonts w:ascii="Times New Roman" w:hAnsi="Times New Roman" w:cs="Times New Roman"/>
          <w:sz w:val="24"/>
          <w:szCs w:val="24"/>
        </w:rPr>
        <w:t xml:space="preserve">. [online] </w:t>
      </w:r>
      <w:r w:rsidRPr="003A69F7">
        <w:rPr>
          <w:rFonts w:ascii="Times New Roman" w:hAnsi="Times New Roman" w:cs="Times New Roman"/>
          <w:i/>
          <w:iCs/>
          <w:sz w:val="24"/>
          <w:szCs w:val="24"/>
        </w:rPr>
        <w:t>Worldbank.org</w:t>
      </w:r>
      <w:r w:rsidRPr="003A69F7">
        <w:rPr>
          <w:rFonts w:ascii="Times New Roman" w:hAnsi="Times New Roman" w:cs="Times New Roman"/>
          <w:sz w:val="24"/>
          <w:szCs w:val="24"/>
        </w:rPr>
        <w:t>. Available at: https://www.worldbank.org/ext/en/country/egypt [Accessed 31 July 2026].</w:t>
      </w:r>
    </w:p>
    <w:p w14:paraId="13BC155B" w14:textId="77777777" w:rsidR="003A69F7" w:rsidRPr="00602912" w:rsidRDefault="003A69F7" w:rsidP="00602912">
      <w:pPr>
        <w:spacing w:line="360" w:lineRule="auto"/>
        <w:jc w:val="both"/>
        <w:rPr>
          <w:rFonts w:ascii="Times New Roman" w:hAnsi="Times New Roman" w:cs="Times New Roman"/>
          <w:sz w:val="24"/>
          <w:szCs w:val="24"/>
        </w:rPr>
      </w:pPr>
    </w:p>
    <w:sectPr w:rsidR="003A69F7" w:rsidRPr="0060291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457171" w14:textId="77777777" w:rsidR="00AF77DE" w:rsidRDefault="00AF77DE" w:rsidP="001754C7">
      <w:pPr>
        <w:spacing w:after="0" w:line="240" w:lineRule="auto"/>
      </w:pPr>
      <w:r>
        <w:separator/>
      </w:r>
    </w:p>
  </w:endnote>
  <w:endnote w:type="continuationSeparator" w:id="0">
    <w:p w14:paraId="6C6F1D4C" w14:textId="77777777" w:rsidR="00AF77DE" w:rsidRDefault="00AF77DE" w:rsidP="001754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3061912"/>
      <w:docPartObj>
        <w:docPartGallery w:val="Page Numbers (Bottom of Page)"/>
        <w:docPartUnique/>
      </w:docPartObj>
    </w:sdtPr>
    <w:sdtEndPr>
      <w:rPr>
        <w:noProof/>
      </w:rPr>
    </w:sdtEndPr>
    <w:sdtContent>
      <w:p w14:paraId="6B88578E" w14:textId="09203736" w:rsidR="001754C7" w:rsidRDefault="001754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E793D8" w14:textId="77777777" w:rsidR="001754C7" w:rsidRDefault="00175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D734E" w14:textId="77777777" w:rsidR="00AF77DE" w:rsidRDefault="00AF77DE" w:rsidP="001754C7">
      <w:pPr>
        <w:spacing w:after="0" w:line="240" w:lineRule="auto"/>
      </w:pPr>
      <w:r>
        <w:separator/>
      </w:r>
    </w:p>
  </w:footnote>
  <w:footnote w:type="continuationSeparator" w:id="0">
    <w:p w14:paraId="78BD0230" w14:textId="77777777" w:rsidR="00AF77DE" w:rsidRDefault="00AF77DE" w:rsidP="001754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912"/>
    <w:rsid w:val="00031A05"/>
    <w:rsid w:val="0004310E"/>
    <w:rsid w:val="00065F1A"/>
    <w:rsid w:val="000A25C7"/>
    <w:rsid w:val="000C1278"/>
    <w:rsid w:val="000E387C"/>
    <w:rsid w:val="000E64D5"/>
    <w:rsid w:val="000F564C"/>
    <w:rsid w:val="000F6D85"/>
    <w:rsid w:val="00100130"/>
    <w:rsid w:val="00114082"/>
    <w:rsid w:val="00131743"/>
    <w:rsid w:val="00174B65"/>
    <w:rsid w:val="001754C7"/>
    <w:rsid w:val="001A31BF"/>
    <w:rsid w:val="001C49B2"/>
    <w:rsid w:val="001C608E"/>
    <w:rsid w:val="002010E3"/>
    <w:rsid w:val="00204EE3"/>
    <w:rsid w:val="00214F10"/>
    <w:rsid w:val="00253F50"/>
    <w:rsid w:val="00257CDB"/>
    <w:rsid w:val="002A4726"/>
    <w:rsid w:val="002D3969"/>
    <w:rsid w:val="002D539A"/>
    <w:rsid w:val="002E18B4"/>
    <w:rsid w:val="002F4A54"/>
    <w:rsid w:val="003005AD"/>
    <w:rsid w:val="003053EE"/>
    <w:rsid w:val="00321AA4"/>
    <w:rsid w:val="003515B4"/>
    <w:rsid w:val="0036042A"/>
    <w:rsid w:val="00365D99"/>
    <w:rsid w:val="00393A2D"/>
    <w:rsid w:val="003A69F7"/>
    <w:rsid w:val="00413242"/>
    <w:rsid w:val="00443E7E"/>
    <w:rsid w:val="0045171E"/>
    <w:rsid w:val="00453DE7"/>
    <w:rsid w:val="004A3E85"/>
    <w:rsid w:val="004B6D49"/>
    <w:rsid w:val="004D110D"/>
    <w:rsid w:val="004D627E"/>
    <w:rsid w:val="004E5BCA"/>
    <w:rsid w:val="00506B41"/>
    <w:rsid w:val="005373D1"/>
    <w:rsid w:val="00555B43"/>
    <w:rsid w:val="005625B1"/>
    <w:rsid w:val="00566770"/>
    <w:rsid w:val="00595C6A"/>
    <w:rsid w:val="00602912"/>
    <w:rsid w:val="00672997"/>
    <w:rsid w:val="007004A7"/>
    <w:rsid w:val="00720DE3"/>
    <w:rsid w:val="00731690"/>
    <w:rsid w:val="0077715B"/>
    <w:rsid w:val="0078446B"/>
    <w:rsid w:val="00790858"/>
    <w:rsid w:val="007B1230"/>
    <w:rsid w:val="007C7B92"/>
    <w:rsid w:val="007E36A7"/>
    <w:rsid w:val="007E637A"/>
    <w:rsid w:val="008023CA"/>
    <w:rsid w:val="00802EB6"/>
    <w:rsid w:val="008208D5"/>
    <w:rsid w:val="00857B27"/>
    <w:rsid w:val="00860E06"/>
    <w:rsid w:val="00875259"/>
    <w:rsid w:val="008801A0"/>
    <w:rsid w:val="008A6C24"/>
    <w:rsid w:val="008B66D1"/>
    <w:rsid w:val="008F47E3"/>
    <w:rsid w:val="00926C29"/>
    <w:rsid w:val="00931BD6"/>
    <w:rsid w:val="00940B32"/>
    <w:rsid w:val="00943CC4"/>
    <w:rsid w:val="009545C2"/>
    <w:rsid w:val="009A0402"/>
    <w:rsid w:val="009D71EF"/>
    <w:rsid w:val="009E412E"/>
    <w:rsid w:val="009E5619"/>
    <w:rsid w:val="009F3C42"/>
    <w:rsid w:val="00A50664"/>
    <w:rsid w:val="00A626FC"/>
    <w:rsid w:val="00A71F9D"/>
    <w:rsid w:val="00A823FC"/>
    <w:rsid w:val="00A8676C"/>
    <w:rsid w:val="00A952EC"/>
    <w:rsid w:val="00AA1A60"/>
    <w:rsid w:val="00AC631D"/>
    <w:rsid w:val="00AF2542"/>
    <w:rsid w:val="00AF77DE"/>
    <w:rsid w:val="00B034A0"/>
    <w:rsid w:val="00B03AA2"/>
    <w:rsid w:val="00B41767"/>
    <w:rsid w:val="00B513B0"/>
    <w:rsid w:val="00B515B8"/>
    <w:rsid w:val="00B9646D"/>
    <w:rsid w:val="00B968F5"/>
    <w:rsid w:val="00BA3646"/>
    <w:rsid w:val="00BB001A"/>
    <w:rsid w:val="00BE4B54"/>
    <w:rsid w:val="00C359C2"/>
    <w:rsid w:val="00C37C72"/>
    <w:rsid w:val="00C774DE"/>
    <w:rsid w:val="00C836CB"/>
    <w:rsid w:val="00CA1DBB"/>
    <w:rsid w:val="00CA731B"/>
    <w:rsid w:val="00CB799C"/>
    <w:rsid w:val="00CD17DC"/>
    <w:rsid w:val="00D2478D"/>
    <w:rsid w:val="00D34D23"/>
    <w:rsid w:val="00D37C91"/>
    <w:rsid w:val="00D8655B"/>
    <w:rsid w:val="00D9496C"/>
    <w:rsid w:val="00DB771D"/>
    <w:rsid w:val="00DB7751"/>
    <w:rsid w:val="00DC02DD"/>
    <w:rsid w:val="00DC2878"/>
    <w:rsid w:val="00DC6AE0"/>
    <w:rsid w:val="00DC70A0"/>
    <w:rsid w:val="00DD2A13"/>
    <w:rsid w:val="00DE460C"/>
    <w:rsid w:val="00E13C84"/>
    <w:rsid w:val="00E23470"/>
    <w:rsid w:val="00E25279"/>
    <w:rsid w:val="00E348C1"/>
    <w:rsid w:val="00E44377"/>
    <w:rsid w:val="00E72B9A"/>
    <w:rsid w:val="00E85981"/>
    <w:rsid w:val="00EA4789"/>
    <w:rsid w:val="00EF0F2C"/>
    <w:rsid w:val="00EF54E4"/>
    <w:rsid w:val="00EF588F"/>
    <w:rsid w:val="00F10F90"/>
    <w:rsid w:val="00F1749C"/>
    <w:rsid w:val="00F53908"/>
    <w:rsid w:val="00F55403"/>
    <w:rsid w:val="00F74BE4"/>
    <w:rsid w:val="00F7597A"/>
    <w:rsid w:val="00FA173D"/>
    <w:rsid w:val="00FB02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86986"/>
  <w15:chartTrackingRefBased/>
  <w15:docId w15:val="{C3D88EDF-694F-4FBA-955F-5CE9EBFD0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291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0291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0291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0291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0291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029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29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29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29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91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0291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0291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0291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0291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029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29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29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2912"/>
    <w:rPr>
      <w:rFonts w:eastAsiaTheme="majorEastAsia" w:cstheme="majorBidi"/>
      <w:color w:val="272727" w:themeColor="text1" w:themeTint="D8"/>
    </w:rPr>
  </w:style>
  <w:style w:type="paragraph" w:styleId="Title">
    <w:name w:val="Title"/>
    <w:basedOn w:val="Normal"/>
    <w:next w:val="Normal"/>
    <w:link w:val="TitleChar"/>
    <w:uiPriority w:val="10"/>
    <w:qFormat/>
    <w:rsid w:val="006029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29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29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29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2912"/>
    <w:pPr>
      <w:spacing w:before="160"/>
      <w:jc w:val="center"/>
    </w:pPr>
    <w:rPr>
      <w:i/>
      <w:iCs/>
      <w:color w:val="404040" w:themeColor="text1" w:themeTint="BF"/>
    </w:rPr>
  </w:style>
  <w:style w:type="character" w:customStyle="1" w:styleId="QuoteChar">
    <w:name w:val="Quote Char"/>
    <w:basedOn w:val="DefaultParagraphFont"/>
    <w:link w:val="Quote"/>
    <w:uiPriority w:val="29"/>
    <w:rsid w:val="00602912"/>
    <w:rPr>
      <w:i/>
      <w:iCs/>
      <w:color w:val="404040" w:themeColor="text1" w:themeTint="BF"/>
    </w:rPr>
  </w:style>
  <w:style w:type="paragraph" w:styleId="ListParagraph">
    <w:name w:val="List Paragraph"/>
    <w:basedOn w:val="Normal"/>
    <w:uiPriority w:val="34"/>
    <w:qFormat/>
    <w:rsid w:val="00602912"/>
    <w:pPr>
      <w:ind w:left="720"/>
      <w:contextualSpacing/>
    </w:pPr>
  </w:style>
  <w:style w:type="character" w:styleId="IntenseEmphasis">
    <w:name w:val="Intense Emphasis"/>
    <w:basedOn w:val="DefaultParagraphFont"/>
    <w:uiPriority w:val="21"/>
    <w:qFormat/>
    <w:rsid w:val="00602912"/>
    <w:rPr>
      <w:i/>
      <w:iCs/>
      <w:color w:val="2F5496" w:themeColor="accent1" w:themeShade="BF"/>
    </w:rPr>
  </w:style>
  <w:style w:type="paragraph" w:styleId="IntenseQuote">
    <w:name w:val="Intense Quote"/>
    <w:basedOn w:val="Normal"/>
    <w:next w:val="Normal"/>
    <w:link w:val="IntenseQuoteChar"/>
    <w:uiPriority w:val="30"/>
    <w:qFormat/>
    <w:rsid w:val="006029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02912"/>
    <w:rPr>
      <w:i/>
      <w:iCs/>
      <w:color w:val="2F5496" w:themeColor="accent1" w:themeShade="BF"/>
    </w:rPr>
  </w:style>
  <w:style w:type="character" w:styleId="IntenseReference">
    <w:name w:val="Intense Reference"/>
    <w:basedOn w:val="DefaultParagraphFont"/>
    <w:uiPriority w:val="32"/>
    <w:qFormat/>
    <w:rsid w:val="00602912"/>
    <w:rPr>
      <w:b/>
      <w:bCs/>
      <w:smallCaps/>
      <w:color w:val="2F5496" w:themeColor="accent1" w:themeShade="BF"/>
      <w:spacing w:val="5"/>
    </w:rPr>
  </w:style>
  <w:style w:type="character" w:styleId="Hyperlink">
    <w:name w:val="Hyperlink"/>
    <w:basedOn w:val="DefaultParagraphFont"/>
    <w:uiPriority w:val="99"/>
    <w:unhideWhenUsed/>
    <w:rsid w:val="009E5619"/>
    <w:rPr>
      <w:color w:val="0563C1" w:themeColor="hyperlink"/>
      <w:u w:val="single"/>
    </w:rPr>
  </w:style>
  <w:style w:type="character" w:styleId="UnresolvedMention">
    <w:name w:val="Unresolved Mention"/>
    <w:basedOn w:val="DefaultParagraphFont"/>
    <w:uiPriority w:val="99"/>
    <w:semiHidden/>
    <w:unhideWhenUsed/>
    <w:rsid w:val="009E5619"/>
    <w:rPr>
      <w:color w:val="605E5C"/>
      <w:shd w:val="clear" w:color="auto" w:fill="E1DFDD"/>
    </w:rPr>
  </w:style>
  <w:style w:type="paragraph" w:styleId="Caption">
    <w:name w:val="caption"/>
    <w:basedOn w:val="Normal"/>
    <w:next w:val="Normal"/>
    <w:uiPriority w:val="35"/>
    <w:unhideWhenUsed/>
    <w:qFormat/>
    <w:rsid w:val="007E637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626F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626FC"/>
    <w:pPr>
      <w:spacing w:after="100"/>
    </w:pPr>
  </w:style>
  <w:style w:type="paragraph" w:styleId="TOC2">
    <w:name w:val="toc 2"/>
    <w:basedOn w:val="Normal"/>
    <w:next w:val="Normal"/>
    <w:autoRedefine/>
    <w:uiPriority w:val="39"/>
    <w:unhideWhenUsed/>
    <w:rsid w:val="00A626FC"/>
    <w:pPr>
      <w:spacing w:after="100"/>
      <w:ind w:left="220"/>
    </w:pPr>
  </w:style>
  <w:style w:type="paragraph" w:styleId="Header">
    <w:name w:val="header"/>
    <w:basedOn w:val="Normal"/>
    <w:link w:val="HeaderChar"/>
    <w:uiPriority w:val="99"/>
    <w:unhideWhenUsed/>
    <w:rsid w:val="001754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4C7"/>
  </w:style>
  <w:style w:type="paragraph" w:styleId="Footer">
    <w:name w:val="footer"/>
    <w:basedOn w:val="Normal"/>
    <w:link w:val="FooterChar"/>
    <w:uiPriority w:val="99"/>
    <w:unhideWhenUsed/>
    <w:rsid w:val="001754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4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yperlink" Target="https://www.lexology.com/library/detail.aspx?g=11730db6-22c4-4164-ad43-35804d72e90f" TargetMode="External" /><Relationship Id="rId4" Type="http://schemas.openxmlformats.org/officeDocument/2006/relationships/webSettings" Target="webSettings.xml" /><Relationship Id="rId9" Type="http://schemas.openxmlformats.org/officeDocument/2006/relationships/hyperlink" Target="https://emd-drupal-production-copy.s3.amazonaws.com/articlefiles/Egypt%20outlook%202026.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B46128-3E46-4F38-9F17-37EFD4BE30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6371</Words>
  <Characters>36315</Characters>
  <Application>Microsoft Office Word</Application>
  <DocSecurity>0</DocSecurity>
  <Lines>302</Lines>
  <Paragraphs>85</Paragraphs>
  <ScaleCrop>false</ScaleCrop>
  <Company/>
  <LinksUpToDate>false</LinksUpToDate>
  <CharactersWithSpaces>42601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Darshil Vaddoriya</cp:lastModifiedBy>
  <cp:revision>2</cp:revision>
  <dcterms:created xsi:type="dcterms:W3CDTF">2026-08-14T08:11:00Z</dcterms:created>
  <dcterms:modified xsi:type="dcterms:W3CDTF">2026-08-14T08:11:00Z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a7e50992-24ea-411c-8ef5-0bcfa6244f50</vt:lpwstr>
  </property>
</Properties>
</file>