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4F656" w14:textId="77777777" w:rsidR="00061B9A" w:rsidRDefault="00061B9A" w:rsidP="00061B9A">
      <w:pPr>
        <w:spacing w:after="220"/>
        <w:ind w:right="1438"/>
        <w:jc w:val="right"/>
      </w:pPr>
      <w:r>
        <w:rPr>
          <w:noProof/>
        </w:rPr>
        <w:drawing>
          <wp:inline distT="0" distB="0" distL="0" distR="0" wp14:anchorId="37B8E03E" wp14:editId="4A7F8A82">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669B080C" w14:textId="77777777" w:rsidR="00061B9A" w:rsidRDefault="00061B9A" w:rsidP="00061B9A">
      <w:pPr>
        <w:spacing w:after="273"/>
        <w:ind w:right="5"/>
        <w:jc w:val="center"/>
      </w:pPr>
      <w:r>
        <w:rPr>
          <w:rFonts w:ascii="Times New Roman" w:eastAsia="Times New Roman" w:hAnsi="Times New Roman" w:cs="Times New Roman"/>
          <w:b/>
        </w:rPr>
        <w:t xml:space="preserve"> </w:t>
      </w:r>
    </w:p>
    <w:p w14:paraId="6490A726" w14:textId="77777777" w:rsidR="00061B9A" w:rsidRDefault="00061B9A" w:rsidP="00061B9A">
      <w:pPr>
        <w:spacing w:after="274"/>
      </w:pPr>
      <w:r>
        <w:rPr>
          <w:rFonts w:ascii="Times New Roman" w:eastAsia="Times New Roman" w:hAnsi="Times New Roman" w:cs="Times New Roman"/>
          <w:b/>
        </w:rPr>
        <w:t xml:space="preserve"> </w:t>
      </w:r>
    </w:p>
    <w:p w14:paraId="1C694123" w14:textId="77777777" w:rsidR="00061B9A" w:rsidRPr="00D51540" w:rsidRDefault="00061B9A" w:rsidP="00061B9A">
      <w:pPr>
        <w:spacing w:after="276"/>
        <w:jc w:val="center"/>
        <w:rPr>
          <w:sz w:val="24"/>
          <w:szCs w:val="32"/>
        </w:rPr>
      </w:pPr>
    </w:p>
    <w:p w14:paraId="0CF49783" w14:textId="77777777" w:rsidR="00061B9A" w:rsidRPr="00D51540" w:rsidRDefault="00061B9A" w:rsidP="00061B9A">
      <w:pPr>
        <w:spacing w:after="274"/>
        <w:ind w:left="2716" w:firstLine="93"/>
        <w:rPr>
          <w:sz w:val="28"/>
        </w:rPr>
      </w:pPr>
      <w:r w:rsidRPr="00D51540">
        <w:rPr>
          <w:rFonts w:ascii="Times New Roman" w:eastAsia="Times New Roman" w:hAnsi="Times New Roman" w:cs="Times New Roman"/>
          <w:b/>
          <w:sz w:val="28"/>
        </w:rPr>
        <w:t>Programme: Master of Business Administration</w:t>
      </w:r>
    </w:p>
    <w:p w14:paraId="1E652E1F" w14:textId="77777777" w:rsidR="00061B9A" w:rsidRPr="00D51540" w:rsidRDefault="00061B9A" w:rsidP="00061B9A">
      <w:pPr>
        <w:spacing w:after="274"/>
        <w:ind w:left="2809"/>
        <w:rPr>
          <w:sz w:val="28"/>
        </w:rPr>
      </w:pPr>
      <w:r w:rsidRPr="00D51540">
        <w:rPr>
          <w:rFonts w:ascii="Times New Roman" w:eastAsia="Times New Roman" w:hAnsi="Times New Roman" w:cs="Times New Roman"/>
          <w:b/>
          <w:sz w:val="28"/>
        </w:rPr>
        <w:t>Module: Human Capital Management</w:t>
      </w:r>
    </w:p>
    <w:p w14:paraId="2AA71136" w14:textId="77777777" w:rsidR="00061B9A" w:rsidRPr="00D51540" w:rsidRDefault="00061B9A" w:rsidP="00061B9A">
      <w:pPr>
        <w:spacing w:after="274"/>
        <w:ind w:left="2099" w:right="66" w:firstLine="710"/>
        <w:rPr>
          <w:sz w:val="28"/>
        </w:rPr>
      </w:pPr>
      <w:r w:rsidRPr="00D51540">
        <w:rPr>
          <w:rFonts w:ascii="Times New Roman" w:eastAsia="Times New Roman" w:hAnsi="Times New Roman" w:cs="Times New Roman"/>
          <w:b/>
          <w:sz w:val="28"/>
        </w:rPr>
        <w:t xml:space="preserve">Module code: </w:t>
      </w:r>
      <w:r w:rsidRPr="00D51540">
        <w:rPr>
          <w:rFonts w:ascii="Arial" w:hAnsi="Arial" w:cs="Arial"/>
          <w:b/>
          <w:sz w:val="24"/>
          <w:szCs w:val="24"/>
        </w:rPr>
        <w:t>LCMB7023</w:t>
      </w:r>
    </w:p>
    <w:p w14:paraId="664C1610" w14:textId="072E10DA" w:rsidR="00061B9A" w:rsidRPr="00061B9A" w:rsidRDefault="00061B9A" w:rsidP="00061B9A">
      <w:pPr>
        <w:spacing w:after="274"/>
        <w:ind w:left="2099" w:right="65" w:firstLine="710"/>
        <w:rPr>
          <w:rFonts w:ascii="Times New Roman" w:eastAsia="Times New Roman" w:hAnsi="Times New Roman" w:cs="Times New Roman"/>
          <w:b/>
          <w:bCs/>
          <w:sz w:val="28"/>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 xml:space="preserve">: </w:t>
      </w:r>
      <w:r w:rsidR="00250E3A">
        <w:rPr>
          <w:rFonts w:ascii="Times New Roman" w:eastAsia="Times New Roman" w:hAnsi="Times New Roman" w:cs="Times New Roman"/>
          <w:b/>
          <w:sz w:val="24"/>
          <w:szCs w:val="24"/>
        </w:rPr>
        <w:t>Assesment Component 1: Individual Report</w:t>
      </w:r>
    </w:p>
    <w:p w14:paraId="0FF74EAA" w14:textId="7D9A886D" w:rsidR="00061B9A" w:rsidRPr="00D51540" w:rsidRDefault="00061B9A" w:rsidP="00061B9A">
      <w:pPr>
        <w:spacing w:after="274"/>
        <w:ind w:left="2089" w:right="62" w:firstLine="720"/>
        <w:rPr>
          <w:sz w:val="28"/>
        </w:rPr>
      </w:pPr>
      <w:r w:rsidRPr="00D51540">
        <w:rPr>
          <w:rFonts w:ascii="Times New Roman" w:eastAsia="Times New Roman" w:hAnsi="Times New Roman" w:cs="Times New Roman"/>
          <w:b/>
          <w:sz w:val="28"/>
        </w:rPr>
        <w:t>Word count: 2</w:t>
      </w:r>
      <w:r>
        <w:rPr>
          <w:rFonts w:ascii="Times New Roman" w:eastAsia="Times New Roman" w:hAnsi="Times New Roman" w:cs="Times New Roman"/>
          <w:b/>
          <w:sz w:val="28"/>
        </w:rPr>
        <w:t>471</w:t>
      </w:r>
    </w:p>
    <w:p w14:paraId="1D9183FC" w14:textId="77777777" w:rsidR="00061B9A" w:rsidRPr="00D51540" w:rsidRDefault="00061B9A" w:rsidP="00061B9A">
      <w:pPr>
        <w:spacing w:after="165" w:line="352" w:lineRule="auto"/>
        <w:ind w:left="2835" w:right="2836"/>
        <w:rPr>
          <w:rFonts w:ascii="Arial" w:eastAsia="Arial" w:hAnsi="Arial" w:cs="Arial"/>
          <w:b/>
          <w:sz w:val="28"/>
        </w:rPr>
      </w:pPr>
      <w:r w:rsidRPr="00D51540">
        <w:rPr>
          <w:rFonts w:ascii="Arial" w:eastAsia="Arial" w:hAnsi="Arial" w:cs="Arial"/>
          <w:b/>
          <w:sz w:val="28"/>
        </w:rPr>
        <w:t xml:space="preserve">Lecturer : </w:t>
      </w:r>
      <w:r w:rsidRPr="00D51540">
        <w:rPr>
          <w:rFonts w:ascii="Arial" w:hAnsi="Arial" w:cs="Arial"/>
          <w:b/>
          <w:sz w:val="24"/>
          <w:szCs w:val="24"/>
        </w:rPr>
        <w:t>Ejike Udeogu (Birmingham)</w:t>
      </w:r>
    </w:p>
    <w:p w14:paraId="7281252C" w14:textId="06B6BD5F" w:rsidR="00061B9A" w:rsidRPr="00D51540" w:rsidRDefault="00061B9A" w:rsidP="00061B9A">
      <w:pPr>
        <w:spacing w:after="165" w:line="352" w:lineRule="auto"/>
        <w:ind w:left="2835" w:right="2836"/>
        <w:rPr>
          <w:sz w:val="28"/>
        </w:rPr>
      </w:pPr>
      <w:r w:rsidRPr="00D51540">
        <w:rPr>
          <w:rFonts w:ascii="Times New Roman" w:eastAsia="Times New Roman" w:hAnsi="Times New Roman" w:cs="Times New Roman"/>
          <w:b/>
          <w:sz w:val="28"/>
        </w:rPr>
        <w:t>Student Name :</w:t>
      </w:r>
      <w:r>
        <w:rPr>
          <w:rFonts w:ascii="Times New Roman" w:eastAsia="Times New Roman" w:hAnsi="Times New Roman" w:cs="Times New Roman"/>
          <w:b/>
          <w:sz w:val="28"/>
        </w:rPr>
        <w:t>Md Ashrafuzzaman</w:t>
      </w:r>
    </w:p>
    <w:p w14:paraId="5F7C05E3" w14:textId="59BB2E45" w:rsidR="00061B9A" w:rsidRPr="00D51540" w:rsidRDefault="00061B9A" w:rsidP="00061B9A">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2504074</w:t>
      </w:r>
    </w:p>
    <w:p w14:paraId="33FACDE0" w14:textId="791BADD6" w:rsidR="00061B9A" w:rsidRPr="00D51540" w:rsidRDefault="00061B9A" w:rsidP="00061B9A">
      <w:pPr>
        <w:spacing w:after="274"/>
        <w:ind w:left="2125" w:right="62" w:firstLine="710"/>
        <w:rPr>
          <w:sz w:val="28"/>
        </w:rPr>
      </w:pPr>
      <w:r w:rsidRPr="00D51540">
        <w:rPr>
          <w:rFonts w:ascii="Times New Roman" w:eastAsia="Times New Roman" w:hAnsi="Times New Roman" w:cs="Times New Roman"/>
          <w:b/>
          <w:sz w:val="28"/>
        </w:rPr>
        <w:t>Submission Date-</w:t>
      </w:r>
      <w:r>
        <w:rPr>
          <w:rFonts w:ascii="Times New Roman" w:eastAsia="Times New Roman" w:hAnsi="Times New Roman" w:cs="Times New Roman"/>
          <w:b/>
          <w:sz w:val="28"/>
        </w:rPr>
        <w:t>16</w:t>
      </w:r>
      <w:r w:rsidRPr="00061B9A">
        <w:rPr>
          <w:rFonts w:ascii="Times New Roman" w:eastAsia="Times New Roman" w:hAnsi="Times New Roman" w:cs="Times New Roman"/>
          <w:b/>
          <w:sz w:val="28"/>
          <w:vertAlign w:val="superscript"/>
        </w:rPr>
        <w:t>th</w:t>
      </w:r>
      <w:r>
        <w:rPr>
          <w:rFonts w:ascii="Times New Roman" w:eastAsia="Times New Roman" w:hAnsi="Times New Roman" w:cs="Times New Roman"/>
          <w:b/>
          <w:sz w:val="28"/>
        </w:rPr>
        <w:t xml:space="preserve"> October 2025</w:t>
      </w:r>
    </w:p>
    <w:p w14:paraId="02886E07" w14:textId="77777777" w:rsidR="00FA7F79" w:rsidRDefault="00FA7F79">
      <w:pPr>
        <w:rPr>
          <w:rFonts w:ascii="Arial" w:hAnsi="Arial" w:cs="Arial"/>
          <w:b/>
          <w:bCs/>
          <w:sz w:val="24"/>
          <w:szCs w:val="24"/>
        </w:rPr>
      </w:pPr>
      <w:r>
        <w:rPr>
          <w:rFonts w:ascii="Arial" w:hAnsi="Arial" w:cs="Arial"/>
          <w:b/>
          <w:bCs/>
          <w:sz w:val="24"/>
          <w:szCs w:val="24"/>
        </w:rPr>
        <w:br w:type="page"/>
      </w:r>
    </w:p>
    <w:p w14:paraId="30FEC008" w14:textId="77777777" w:rsidR="00FA7F79" w:rsidRDefault="00FA7F79" w:rsidP="00FA7F79">
      <w:pPr>
        <w:jc w:val="center"/>
        <w:rPr>
          <w:rFonts w:ascii="Arial" w:hAnsi="Arial" w:cs="Arial"/>
          <w:b/>
          <w:bCs/>
          <w:sz w:val="28"/>
        </w:rPr>
      </w:pPr>
      <w:r w:rsidRPr="00FA7F79">
        <w:rPr>
          <w:rFonts w:ascii="Arial" w:hAnsi="Arial" w:cs="Arial"/>
          <w:b/>
          <w:bCs/>
          <w:sz w:val="28"/>
        </w:rPr>
        <w:lastRenderedPageBreak/>
        <w:t>Table of content</w:t>
      </w:r>
    </w:p>
    <w:p w14:paraId="3189898C" w14:textId="77777777" w:rsidR="00FA7F79" w:rsidRDefault="00FA7F79" w:rsidP="00FA7F79">
      <w:pPr>
        <w:rPr>
          <w:rFonts w:ascii="Arial" w:hAnsi="Arial" w:cs="Arial"/>
          <w:b/>
          <w:bCs/>
          <w:sz w:val="28"/>
        </w:rPr>
      </w:pPr>
    </w:p>
    <w:p w14:paraId="40F632CE" w14:textId="2E186B34" w:rsidR="00FA7F79" w:rsidRPr="00FA7F79" w:rsidRDefault="00FA7F79" w:rsidP="00FA7F79">
      <w:pPr>
        <w:rPr>
          <w:rFonts w:ascii="Arial" w:hAnsi="Arial" w:cs="Arial"/>
          <w:sz w:val="24"/>
          <w:szCs w:val="24"/>
        </w:rPr>
      </w:pPr>
      <w:r w:rsidRPr="00FA7F79">
        <w:rPr>
          <w:rFonts w:ascii="Arial" w:hAnsi="Arial" w:cs="Arial"/>
          <w:sz w:val="24"/>
          <w:szCs w:val="24"/>
        </w:rPr>
        <w:t>Introduction</w:t>
      </w:r>
      <w:r w:rsidR="003B3F12">
        <w:rPr>
          <w:rFonts w:ascii="Arial" w:hAnsi="Arial" w:cs="Arial"/>
          <w:sz w:val="24"/>
          <w:szCs w:val="24"/>
        </w:rPr>
        <w:t>………………………………………………………………………………..3</w:t>
      </w:r>
    </w:p>
    <w:p w14:paraId="4007EA2B" w14:textId="660E0A18" w:rsidR="00FA7F79" w:rsidRPr="00D16E7E" w:rsidRDefault="00FA7F79" w:rsidP="00FA7F79">
      <w:pPr>
        <w:rPr>
          <w:rFonts w:ascii="Arial" w:hAnsi="Arial" w:cs="Arial"/>
          <w:sz w:val="24"/>
          <w:szCs w:val="24"/>
        </w:rPr>
      </w:pPr>
      <w:r w:rsidRPr="00D16E7E">
        <w:rPr>
          <w:rFonts w:ascii="Arial" w:hAnsi="Arial" w:cs="Arial"/>
          <w:sz w:val="24"/>
          <w:szCs w:val="24"/>
        </w:rPr>
        <w:t>Digital Transformation And Automation: Redefining Hr Service Delivery</w:t>
      </w:r>
      <w:r w:rsidR="003B3F12">
        <w:rPr>
          <w:rFonts w:ascii="Arial" w:hAnsi="Arial" w:cs="Arial"/>
          <w:sz w:val="24"/>
          <w:szCs w:val="24"/>
        </w:rPr>
        <w:t>………….3-5</w:t>
      </w:r>
    </w:p>
    <w:p w14:paraId="79D22541" w14:textId="335CC4E7" w:rsidR="00FA7F79" w:rsidRPr="00D16E7E" w:rsidRDefault="00FA7F79" w:rsidP="00FA7F79">
      <w:pPr>
        <w:rPr>
          <w:rFonts w:ascii="Arial" w:hAnsi="Arial" w:cs="Arial"/>
          <w:sz w:val="24"/>
          <w:szCs w:val="24"/>
        </w:rPr>
      </w:pPr>
      <w:r w:rsidRPr="00D16E7E">
        <w:rPr>
          <w:rFonts w:ascii="Arial" w:hAnsi="Arial" w:cs="Arial"/>
          <w:sz w:val="24"/>
          <w:szCs w:val="24"/>
        </w:rPr>
        <w:t>Employee Wellbeing And Mental Health: From Peripheral Concern To Strategic Priority</w:t>
      </w:r>
      <w:r w:rsidR="003B3F12">
        <w:rPr>
          <w:rFonts w:ascii="Arial" w:hAnsi="Arial" w:cs="Arial"/>
          <w:sz w:val="24"/>
          <w:szCs w:val="24"/>
        </w:rPr>
        <w:t>…………………………………………………………………………………….. 6</w:t>
      </w:r>
    </w:p>
    <w:p w14:paraId="35A814D0" w14:textId="7B7C232D" w:rsidR="00FA7F79" w:rsidRPr="00FA7F79" w:rsidRDefault="00FA7F79" w:rsidP="00FA7F79">
      <w:pPr>
        <w:rPr>
          <w:rFonts w:ascii="Arial" w:hAnsi="Arial" w:cs="Arial"/>
          <w:sz w:val="24"/>
          <w:szCs w:val="24"/>
        </w:rPr>
      </w:pPr>
      <w:r w:rsidRPr="00D16E7E">
        <w:rPr>
          <w:rFonts w:ascii="Arial" w:hAnsi="Arial" w:cs="Arial"/>
          <w:sz w:val="24"/>
          <w:szCs w:val="24"/>
        </w:rPr>
        <w:t>Remote And Hybrid Working: Reimagining The Workplace Paradigm</w:t>
      </w:r>
      <w:r w:rsidR="003B3F12">
        <w:rPr>
          <w:rFonts w:ascii="Arial" w:hAnsi="Arial" w:cs="Arial"/>
          <w:sz w:val="24"/>
          <w:szCs w:val="24"/>
        </w:rPr>
        <w:t>…………….6-8</w:t>
      </w:r>
    </w:p>
    <w:p w14:paraId="597BE0F8" w14:textId="45ADEBD1" w:rsidR="00FA7F79" w:rsidRPr="00FA7F79" w:rsidRDefault="00FA7F79" w:rsidP="00FA7F79">
      <w:pPr>
        <w:rPr>
          <w:rFonts w:ascii="Arial" w:hAnsi="Arial" w:cs="Arial"/>
          <w:sz w:val="24"/>
          <w:szCs w:val="24"/>
        </w:rPr>
      </w:pPr>
      <w:r w:rsidRPr="00D16E7E">
        <w:rPr>
          <w:rFonts w:ascii="Arial" w:hAnsi="Arial" w:cs="Arial"/>
          <w:sz w:val="24"/>
          <w:szCs w:val="24"/>
        </w:rPr>
        <w:t>Sustainability And Corporate Social Responsibility: Hr's Role In Organisational Purpose</w:t>
      </w:r>
      <w:r w:rsidR="003B3F12">
        <w:rPr>
          <w:rFonts w:ascii="Arial" w:hAnsi="Arial" w:cs="Arial"/>
          <w:sz w:val="24"/>
          <w:szCs w:val="24"/>
        </w:rPr>
        <w:t>……………………………………………………………………………………8-9</w:t>
      </w:r>
    </w:p>
    <w:p w14:paraId="5DF84302" w14:textId="7582B8D9" w:rsidR="00FA7F79" w:rsidRPr="00D16E7E" w:rsidRDefault="00FA7F79" w:rsidP="00FA7F79">
      <w:pPr>
        <w:rPr>
          <w:rFonts w:ascii="Arial" w:hAnsi="Arial" w:cs="Arial"/>
          <w:sz w:val="24"/>
          <w:szCs w:val="24"/>
        </w:rPr>
      </w:pPr>
      <w:r w:rsidRPr="00D16E7E">
        <w:rPr>
          <w:rFonts w:ascii="Arial" w:hAnsi="Arial" w:cs="Arial"/>
          <w:sz w:val="24"/>
          <w:szCs w:val="24"/>
        </w:rPr>
        <w:t>Personal Competency Reflection: Preparing For The Transformed Workplace</w:t>
      </w:r>
      <w:r w:rsidR="003B3F12">
        <w:rPr>
          <w:rFonts w:ascii="Arial" w:hAnsi="Arial" w:cs="Arial"/>
          <w:sz w:val="24"/>
          <w:szCs w:val="24"/>
        </w:rPr>
        <w:t>....9-11</w:t>
      </w:r>
    </w:p>
    <w:p w14:paraId="6AEE95DE" w14:textId="2CE56A95" w:rsidR="00FA7F79" w:rsidRDefault="00FA7F79" w:rsidP="00FA7F79">
      <w:pPr>
        <w:rPr>
          <w:rFonts w:ascii="Arial" w:hAnsi="Arial" w:cs="Arial"/>
          <w:sz w:val="24"/>
          <w:szCs w:val="24"/>
        </w:rPr>
      </w:pPr>
      <w:r w:rsidRPr="00FA7F79">
        <w:rPr>
          <w:rFonts w:ascii="Arial" w:hAnsi="Arial" w:cs="Arial"/>
          <w:sz w:val="24"/>
          <w:szCs w:val="24"/>
        </w:rPr>
        <w:t>Conclusion</w:t>
      </w:r>
      <w:r w:rsidR="003B3F12">
        <w:rPr>
          <w:rFonts w:ascii="Arial" w:hAnsi="Arial" w:cs="Arial"/>
          <w:sz w:val="24"/>
          <w:szCs w:val="24"/>
        </w:rPr>
        <w:t>………………………………………………………………………………. 11</w:t>
      </w:r>
    </w:p>
    <w:p w14:paraId="63CD5CFD" w14:textId="521DB4A8" w:rsidR="003B3F12" w:rsidRPr="00D16E7E" w:rsidRDefault="003B3F12" w:rsidP="00FA7F79">
      <w:pPr>
        <w:rPr>
          <w:rFonts w:ascii="Arial" w:hAnsi="Arial" w:cs="Arial"/>
          <w:sz w:val="24"/>
          <w:szCs w:val="24"/>
        </w:rPr>
      </w:pPr>
      <w:r>
        <w:rPr>
          <w:rFonts w:ascii="Arial" w:hAnsi="Arial" w:cs="Arial"/>
          <w:sz w:val="24"/>
          <w:szCs w:val="24"/>
        </w:rPr>
        <w:t>References……………………………………………………………………………12-14</w:t>
      </w:r>
    </w:p>
    <w:p w14:paraId="14353D43" w14:textId="77777777" w:rsidR="00FA7F79" w:rsidRPr="00D16E7E" w:rsidRDefault="00FA7F79" w:rsidP="00FA7F79">
      <w:pPr>
        <w:rPr>
          <w:rFonts w:ascii="Arial" w:hAnsi="Arial" w:cs="Arial"/>
          <w:b/>
          <w:bCs/>
          <w:sz w:val="24"/>
          <w:szCs w:val="24"/>
        </w:rPr>
      </w:pPr>
    </w:p>
    <w:p w14:paraId="408A9EE1" w14:textId="6F20309F" w:rsidR="00FA7F79" w:rsidRDefault="00FA7F79" w:rsidP="00FA7F79">
      <w:pPr>
        <w:rPr>
          <w:rFonts w:ascii="Arial" w:hAnsi="Arial" w:cs="Arial"/>
          <w:b/>
          <w:bCs/>
          <w:sz w:val="24"/>
          <w:szCs w:val="24"/>
        </w:rPr>
      </w:pPr>
      <w:r>
        <w:rPr>
          <w:rFonts w:ascii="Arial" w:hAnsi="Arial" w:cs="Arial"/>
          <w:b/>
          <w:bCs/>
          <w:sz w:val="24"/>
          <w:szCs w:val="24"/>
        </w:rPr>
        <w:br w:type="page"/>
      </w:r>
    </w:p>
    <w:p w14:paraId="5B98D0C8" w14:textId="46F1AD1A" w:rsidR="00D16E7E" w:rsidRPr="00D16E7E" w:rsidRDefault="00D16E7E" w:rsidP="00D16E7E">
      <w:pPr>
        <w:rPr>
          <w:rFonts w:ascii="Arial" w:hAnsi="Arial" w:cs="Arial"/>
          <w:b/>
          <w:bCs/>
          <w:sz w:val="24"/>
          <w:szCs w:val="24"/>
        </w:rPr>
      </w:pPr>
      <w:r w:rsidRPr="00D16E7E">
        <w:rPr>
          <w:rFonts w:ascii="Arial" w:hAnsi="Arial" w:cs="Arial"/>
          <w:b/>
          <w:bCs/>
          <w:sz w:val="24"/>
          <w:szCs w:val="24"/>
        </w:rPr>
        <w:lastRenderedPageBreak/>
        <w:t>INTRODUCTION</w:t>
      </w:r>
    </w:p>
    <w:p w14:paraId="40ACB69E" w14:textId="674C4618" w:rsidR="00D16E7E" w:rsidRDefault="003D45CB" w:rsidP="00D16E7E">
      <w:pPr>
        <w:rPr>
          <w:rFonts w:ascii="Arial" w:hAnsi="Arial" w:cs="Arial"/>
          <w:sz w:val="24"/>
          <w:szCs w:val="24"/>
        </w:rPr>
      </w:pPr>
      <w:r w:rsidRPr="003D45CB">
        <w:rPr>
          <w:rFonts w:ascii="Arial" w:hAnsi="Arial" w:cs="Arial"/>
          <w:sz w:val="24"/>
          <w:szCs w:val="24"/>
        </w:rPr>
        <w:t>Since the digital disruption to the constant presence of the global pandemic, to the growing concern of environmental sustainability, the HRM today has changed on a seismic scale. These mega trends have radically changed how organizations deal with their talent today, as a post-graduation degree student in the United Kingdom, I have seen how these trends have fundamentally transformed how organizations are currently managing their talent and how they are able to designing an inclusive culture in which employees feel that they are a part of organization. The boundaries between HRM and international human resource management (IHRM) had already been erased as organisations started to work with hybrid working patterns, place more focus on mental health, and develop policies that would allow it to establish a framework within which sustainability would be embedded into the core of HR. It is noteworthy that in this decade, HRM practice is experiencing some substantial shifts, and this critical examination identifies four aspects, namely, digitalisation and automation, employee wellbeing and mental health, the introduction of remote and hybrid working, as well as sustainability and corporate social responsibility. It also provides a personal reflection that skills were necessary to facilitate me in coping with this new world and also connects it with the skills that I had acquired during my experience between Bangladesh and the UK.</w:t>
      </w:r>
    </w:p>
    <w:p w14:paraId="5A3C346C" w14:textId="77777777" w:rsidR="003D45CB" w:rsidRDefault="003D45CB" w:rsidP="00D16E7E">
      <w:pPr>
        <w:rPr>
          <w:rFonts w:ascii="Arial" w:hAnsi="Arial" w:cs="Arial"/>
          <w:sz w:val="24"/>
          <w:szCs w:val="24"/>
        </w:rPr>
      </w:pPr>
    </w:p>
    <w:p w14:paraId="4528687C" w14:textId="44B31C62" w:rsidR="00D16E7E" w:rsidRPr="00D16E7E" w:rsidRDefault="00D16E7E" w:rsidP="00D16E7E">
      <w:pPr>
        <w:rPr>
          <w:rFonts w:ascii="Arial" w:hAnsi="Arial" w:cs="Arial"/>
          <w:b/>
          <w:bCs/>
          <w:sz w:val="24"/>
          <w:szCs w:val="24"/>
        </w:rPr>
      </w:pPr>
      <w:r w:rsidRPr="00D16E7E">
        <w:rPr>
          <w:rFonts w:ascii="Arial" w:hAnsi="Arial" w:cs="Arial"/>
          <w:b/>
          <w:bCs/>
          <w:sz w:val="24"/>
          <w:szCs w:val="24"/>
        </w:rPr>
        <w:t>DIGITAL TRANSFORMATION AND AUTOMATION: REDEFINING HR SERVICE DELIVERY</w:t>
      </w:r>
    </w:p>
    <w:p w14:paraId="7F63E194" w14:textId="77777777" w:rsidR="0066459D" w:rsidRDefault="003D45CB" w:rsidP="00D16E7E">
      <w:pPr>
        <w:rPr>
          <w:rFonts w:ascii="Arial" w:hAnsi="Arial" w:cs="Arial"/>
          <w:sz w:val="24"/>
          <w:szCs w:val="24"/>
        </w:rPr>
      </w:pPr>
      <w:r w:rsidRPr="003D45CB">
        <w:rPr>
          <w:rFonts w:ascii="Arial" w:hAnsi="Arial" w:cs="Arial"/>
          <w:sz w:val="24"/>
          <w:szCs w:val="24"/>
        </w:rPr>
        <w:t xml:space="preserve">Digitalisation of HR functions goes beyond automation, it is a redefining and re-engineering of the processes within the organisation to attract, develop talent in retaining the talent within the organisation in the connected world. Other authors such as Ulrich and Dulebohn (2015) conclude that digital HR extends beyond process automation and offer experience or data experience enhancing employee experience and data expediting decision which leads to value. This will communicate all that the AI-driven hiring management systems to the blockchain-driven credential checking will transform the HR professional into the strategic enabler of the role, rather than an administrative gatekeeper. </w:t>
      </w:r>
    </w:p>
    <w:p w14:paraId="4DE003EB" w14:textId="77777777" w:rsidR="0066459D" w:rsidRDefault="003D45CB" w:rsidP="00D16E7E">
      <w:pPr>
        <w:rPr>
          <w:rFonts w:ascii="Arial" w:hAnsi="Arial" w:cs="Arial"/>
          <w:sz w:val="24"/>
          <w:szCs w:val="24"/>
        </w:rPr>
      </w:pPr>
      <w:r w:rsidRPr="003D45CB">
        <w:rPr>
          <w:rFonts w:ascii="Arial" w:hAnsi="Arial" w:cs="Arial"/>
          <w:sz w:val="24"/>
          <w:szCs w:val="24"/>
        </w:rPr>
        <w:t xml:space="preserve">In domestic environments of HRMs, DT enjoys the strength of democratisation of access to HR services through self-service portals and mobile applications (Tansley et al., 2021:732). According to Armstrong and Taylor (2020), cloud-based Human resource information system (HRIS) has enhanced the capacity to perform real time analysis of workforce information that in effect enable organisations to make proactive talent choices rather than responding to them after the event. Time-to-hire is reduced by 75% through gamified assessment tools and AI screening tools including those led by Unilever and making the applicant pool more diverse (Dessler, 2020). </w:t>
      </w:r>
    </w:p>
    <w:p w14:paraId="17F98333" w14:textId="77777777" w:rsidR="0066459D" w:rsidRDefault="0066459D" w:rsidP="00D16E7E">
      <w:pPr>
        <w:rPr>
          <w:rFonts w:ascii="Arial" w:hAnsi="Arial" w:cs="Arial"/>
          <w:sz w:val="24"/>
          <w:szCs w:val="24"/>
        </w:rPr>
      </w:pPr>
    </w:p>
    <w:p w14:paraId="409D974E" w14:textId="54CCFFBA" w:rsidR="0066459D" w:rsidRDefault="0066459D" w:rsidP="00D16E7E">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577B591D" wp14:editId="082F2136">
            <wp:simplePos x="0" y="0"/>
            <wp:positionH relativeFrom="margin">
              <wp:posOffset>-236855</wp:posOffset>
            </wp:positionH>
            <wp:positionV relativeFrom="paragraph">
              <wp:posOffset>0</wp:posOffset>
            </wp:positionV>
            <wp:extent cx="6162675" cy="3779520"/>
            <wp:effectExtent l="0" t="0" r="9525" b="0"/>
            <wp:wrapTight wrapText="bothSides">
              <wp:wrapPolygon edited="0">
                <wp:start x="0" y="0"/>
                <wp:lineTo x="0" y="21448"/>
                <wp:lineTo x="21567" y="21448"/>
                <wp:lineTo x="21567" y="0"/>
                <wp:lineTo x="0" y="0"/>
              </wp:wrapPolygon>
            </wp:wrapTight>
            <wp:docPr id="409487207" name="Picture 2" descr="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487207" name="Picture 2" descr="A graph showing different colored lin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162675" cy="3779520"/>
                    </a:xfrm>
                    <a:prstGeom prst="rect">
                      <a:avLst/>
                    </a:prstGeom>
                  </pic:spPr>
                </pic:pic>
              </a:graphicData>
            </a:graphic>
            <wp14:sizeRelH relativeFrom="margin">
              <wp14:pctWidth>0</wp14:pctWidth>
            </wp14:sizeRelH>
            <wp14:sizeRelV relativeFrom="margin">
              <wp14:pctHeight>0</wp14:pctHeight>
            </wp14:sizeRelV>
          </wp:anchor>
        </w:drawing>
      </w:r>
    </w:p>
    <w:p w14:paraId="605026A0" w14:textId="77777777" w:rsidR="0066459D" w:rsidRDefault="003D45CB" w:rsidP="00D16E7E">
      <w:pPr>
        <w:rPr>
          <w:rFonts w:ascii="Arial" w:hAnsi="Arial" w:cs="Arial"/>
          <w:sz w:val="24"/>
          <w:szCs w:val="24"/>
        </w:rPr>
      </w:pPr>
      <w:r w:rsidRPr="003D45CB">
        <w:rPr>
          <w:rFonts w:ascii="Arial" w:hAnsi="Arial" w:cs="Arial"/>
          <w:sz w:val="24"/>
          <w:szCs w:val="24"/>
        </w:rPr>
        <w:t xml:space="preserve">However, the digital revolution is associated with such challenges as the digital divide and the necessity to continuously upskill. Stone and Deadrick (2015) explain that excessive use of technology transfers the risk of developing a depersonalised employee experience that will have a direct negative impact on the human element of the HR practice itself. Digital transformation has both opportunities and complexities to the IHRM practitioners. The use of global teams is not a recent development but it requires an elaborate technological system that can surmount geographic, time zones and cultural differences. According to Tarique and Schuler (2018), the digital platform provides the global HR systems both to be administered in a standardised way and at the same time be adapted locally. Implementation difficulties are however attributed to various technological infrastructure differences between countries. </w:t>
      </w:r>
    </w:p>
    <w:p w14:paraId="5DA2A376" w14:textId="77777777" w:rsidR="0066459D" w:rsidRDefault="0066459D" w:rsidP="00D16E7E">
      <w:pPr>
        <w:rPr>
          <w:rFonts w:ascii="Arial" w:hAnsi="Arial" w:cs="Arial"/>
          <w:sz w:val="24"/>
          <w:szCs w:val="24"/>
        </w:rPr>
      </w:pPr>
    </w:p>
    <w:p w14:paraId="326F894E" w14:textId="0FBD9545" w:rsidR="0066459D" w:rsidRDefault="0066459D" w:rsidP="00D16E7E">
      <w:pPr>
        <w:rPr>
          <w:rFonts w:ascii="Arial" w:hAnsi="Arial" w:cs="Arial"/>
          <w:sz w:val="24"/>
          <w:szCs w:val="24"/>
        </w:rPr>
      </w:pPr>
      <w:r>
        <w:rPr>
          <w:rFonts w:ascii="Arial" w:hAnsi="Arial" w:cs="Arial"/>
          <w:noProof/>
          <w:sz w:val="24"/>
          <w:szCs w:val="24"/>
        </w:rPr>
        <w:lastRenderedPageBreak/>
        <w:drawing>
          <wp:inline distT="0" distB="0" distL="0" distR="0" wp14:anchorId="771431FC" wp14:editId="6D9B7DD0">
            <wp:extent cx="5731510" cy="6340475"/>
            <wp:effectExtent l="0" t="0" r="2540" b="3175"/>
            <wp:docPr id="48856735"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6735" name="Picture 3" descr="A screenshot of a graph&#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6340475"/>
                    </a:xfrm>
                    <a:prstGeom prst="rect">
                      <a:avLst/>
                    </a:prstGeom>
                  </pic:spPr>
                </pic:pic>
              </a:graphicData>
            </a:graphic>
          </wp:inline>
        </w:drawing>
      </w:r>
    </w:p>
    <w:p w14:paraId="3EC15393" w14:textId="1D787BF8" w:rsidR="0066459D" w:rsidRDefault="0066459D" w:rsidP="00EB0B4C">
      <w:pPr>
        <w:ind w:left="1440" w:firstLine="720"/>
        <w:rPr>
          <w:rFonts w:ascii="Arial" w:hAnsi="Arial" w:cs="Arial"/>
          <w:sz w:val="24"/>
          <w:szCs w:val="24"/>
        </w:rPr>
      </w:pPr>
      <w:r>
        <w:rPr>
          <w:rFonts w:ascii="Arial" w:hAnsi="Arial" w:cs="Arial"/>
          <w:sz w:val="24"/>
          <w:szCs w:val="24"/>
        </w:rPr>
        <w:t xml:space="preserve">Source: </w:t>
      </w:r>
      <w:r w:rsidR="00EB0B4C" w:rsidRPr="00EB0B4C">
        <w:rPr>
          <w:rFonts w:ascii="Arial" w:hAnsi="Arial" w:cs="Arial"/>
          <w:sz w:val="24"/>
          <w:szCs w:val="24"/>
        </w:rPr>
        <w:t xml:space="preserve">Matellio HR Digital Transformation Services. </w:t>
      </w:r>
    </w:p>
    <w:p w14:paraId="74FB442C" w14:textId="77777777" w:rsidR="0066459D" w:rsidRDefault="0066459D" w:rsidP="00D16E7E">
      <w:pPr>
        <w:rPr>
          <w:rFonts w:ascii="Arial" w:hAnsi="Arial" w:cs="Arial"/>
          <w:sz w:val="24"/>
          <w:szCs w:val="24"/>
        </w:rPr>
      </w:pPr>
    </w:p>
    <w:p w14:paraId="110C96B4" w14:textId="072A1884" w:rsidR="00D16E7E" w:rsidRDefault="003D45CB" w:rsidP="00D16E7E">
      <w:pPr>
        <w:rPr>
          <w:rFonts w:ascii="Arial" w:hAnsi="Arial" w:cs="Arial"/>
          <w:sz w:val="24"/>
          <w:szCs w:val="24"/>
        </w:rPr>
      </w:pPr>
      <w:r w:rsidRPr="003D45CB">
        <w:rPr>
          <w:rFonts w:ascii="Arial" w:hAnsi="Arial" w:cs="Arial"/>
          <w:sz w:val="24"/>
          <w:szCs w:val="24"/>
        </w:rPr>
        <w:t>In my country Bangladesh where digitalisation has grown significantly at this time of pandemic, the disconnectivity gap will continue to shape remote HR service delivery (Mamun and Hasan, 2017). To mitigate such gaps, IHRM professionals develop contingency plans which they can use to accommodate the technology differences and yet give high quality service.</w:t>
      </w:r>
    </w:p>
    <w:p w14:paraId="16BD3314" w14:textId="77777777" w:rsidR="003D45CB" w:rsidRDefault="003D45CB" w:rsidP="00D16E7E">
      <w:pPr>
        <w:rPr>
          <w:rFonts w:ascii="Arial" w:hAnsi="Arial" w:cs="Arial"/>
          <w:sz w:val="24"/>
          <w:szCs w:val="24"/>
        </w:rPr>
      </w:pPr>
    </w:p>
    <w:p w14:paraId="21132196" w14:textId="77777777" w:rsidR="0066459D" w:rsidRDefault="0066459D">
      <w:pPr>
        <w:rPr>
          <w:rFonts w:ascii="Arial" w:hAnsi="Arial" w:cs="Arial"/>
          <w:b/>
          <w:bCs/>
          <w:sz w:val="24"/>
          <w:szCs w:val="24"/>
        </w:rPr>
      </w:pPr>
      <w:r>
        <w:rPr>
          <w:rFonts w:ascii="Arial" w:hAnsi="Arial" w:cs="Arial"/>
          <w:b/>
          <w:bCs/>
          <w:sz w:val="24"/>
          <w:szCs w:val="24"/>
        </w:rPr>
        <w:br w:type="page"/>
      </w:r>
    </w:p>
    <w:p w14:paraId="30A5F63D" w14:textId="6F86CA7D" w:rsidR="00D16E7E" w:rsidRPr="00D16E7E" w:rsidRDefault="00D16E7E" w:rsidP="00D16E7E">
      <w:pPr>
        <w:rPr>
          <w:rFonts w:ascii="Arial" w:hAnsi="Arial" w:cs="Arial"/>
          <w:b/>
          <w:bCs/>
          <w:sz w:val="24"/>
          <w:szCs w:val="24"/>
        </w:rPr>
      </w:pPr>
      <w:r w:rsidRPr="00D16E7E">
        <w:rPr>
          <w:rFonts w:ascii="Arial" w:hAnsi="Arial" w:cs="Arial"/>
          <w:b/>
          <w:bCs/>
          <w:sz w:val="24"/>
          <w:szCs w:val="24"/>
        </w:rPr>
        <w:lastRenderedPageBreak/>
        <w:t>EMPLOYEE WELLBEING AND MENTAL HEALTH: FROM PERIPHERAL CONCERN TO STRATEGIC PRIORITY</w:t>
      </w:r>
    </w:p>
    <w:p w14:paraId="52DEDDB9" w14:textId="7E8C4828" w:rsidR="00D16E7E" w:rsidRPr="00D16E7E" w:rsidRDefault="00D16E7E" w:rsidP="00D16E7E">
      <w:pPr>
        <w:rPr>
          <w:rFonts w:ascii="Arial" w:hAnsi="Arial" w:cs="Arial"/>
          <w:sz w:val="24"/>
          <w:szCs w:val="24"/>
        </w:rPr>
      </w:pPr>
      <w:r w:rsidRPr="00D16E7E">
        <w:rPr>
          <w:rFonts w:ascii="Arial" w:hAnsi="Arial" w:cs="Arial"/>
          <w:sz w:val="24"/>
          <w:szCs w:val="24"/>
        </w:rPr>
        <w:t>Perhaps one of the most profound changes in modern HRM thought is the elevation of employee wellbeing from a marginal benefit to a core strategic priority. Guest (2017) points out that the HR practices, which are focused on well being, do act more directly on organisational performance, innovation and organisational resilience. The pandemic not only forced the change but also helped accelerate it with its psychological effects since organisations are now called to rethink their duty of care from physical safety to overall employee wellness.</w:t>
      </w:r>
    </w:p>
    <w:p w14:paraId="507FD871" w14:textId="66B922FC" w:rsidR="00D16E7E" w:rsidRPr="00D16E7E" w:rsidRDefault="00D16E7E" w:rsidP="00D16E7E">
      <w:pPr>
        <w:rPr>
          <w:rFonts w:ascii="Arial" w:hAnsi="Arial" w:cs="Arial"/>
          <w:sz w:val="24"/>
          <w:szCs w:val="24"/>
        </w:rPr>
      </w:pPr>
      <w:r w:rsidRPr="00D16E7E">
        <w:rPr>
          <w:rFonts w:ascii="Arial" w:hAnsi="Arial" w:cs="Arial"/>
          <w:sz w:val="24"/>
          <w:szCs w:val="24"/>
        </w:rPr>
        <w:t>Contemporary HRM perspectives on wellbeing seek to encompass not just Employee Assistance Programmes (EAPs), which have long been part of the corporate scene, but also to formalize mental health strategies in general. The Job Demands-Resources model (Bakker and Demerouti, 2017) shows the corresponding relationship between workplace demands and appropriate resources to perform their work and how this ultimately leads to employee wellbeing, engagement and performance. Organisations like Microsoft who realise the implications of burnout have introduced "wellness days" along with flexible working arrangements targeting burnout (Cooper and Quick, 2017). PwC, the financial services firm, invested £40 million on wellbeing programmes including mental health first-aiders and resilience training with quantifiable gains in employee retention and productivity (CIPD, 2023).</w:t>
      </w:r>
    </w:p>
    <w:p w14:paraId="433885E2" w14:textId="77777777" w:rsidR="00D16E7E" w:rsidRDefault="00D16E7E" w:rsidP="00D16E7E">
      <w:pPr>
        <w:rPr>
          <w:rFonts w:ascii="Arial" w:hAnsi="Arial" w:cs="Arial"/>
          <w:sz w:val="24"/>
          <w:szCs w:val="24"/>
        </w:rPr>
      </w:pPr>
      <w:r w:rsidRPr="00D16E7E">
        <w:rPr>
          <w:rFonts w:ascii="Arial" w:hAnsi="Arial" w:cs="Arial"/>
          <w:sz w:val="24"/>
          <w:szCs w:val="24"/>
        </w:rPr>
        <w:t>Wellbeing management as an IHRM dimension has to be culture sensitive and localised As perceptions of mental health differ greatly between cultures (Hofstede et al., 2010), Hofstede's cultural dimensions theory continues to be applicable for the purpose of designing global wellbeing initiatives. Published by Hossain et al. 2018In cultures such as Bangladesh, where collectivist values prevail, directly discussing mental health topics is usually stigmatized and will necessitate much more tedious communication strategies (Hossain &amp; Purohit, 2019). Global wellbeing programmes must reconcile universal principles of care and mechanisms for culturally appropriate delivery. Sparrow and Cooper (2014) suggest the minimum global standard setting followed by local strategic HR design, empowered to contextualize implementation action plans.</w:t>
      </w:r>
    </w:p>
    <w:p w14:paraId="23EDF95E" w14:textId="77777777" w:rsidR="00D16E7E" w:rsidRDefault="00D16E7E" w:rsidP="00D16E7E">
      <w:pPr>
        <w:rPr>
          <w:rFonts w:ascii="Arial" w:hAnsi="Arial" w:cs="Arial"/>
          <w:sz w:val="24"/>
          <w:szCs w:val="24"/>
        </w:rPr>
      </w:pPr>
    </w:p>
    <w:p w14:paraId="1C75681A" w14:textId="5CDF50A2" w:rsidR="00D16E7E" w:rsidRPr="00D16E7E" w:rsidRDefault="00D16E7E" w:rsidP="00D16E7E">
      <w:pPr>
        <w:rPr>
          <w:rFonts w:ascii="Arial" w:hAnsi="Arial" w:cs="Arial"/>
          <w:b/>
          <w:bCs/>
          <w:sz w:val="24"/>
          <w:szCs w:val="24"/>
        </w:rPr>
      </w:pPr>
      <w:r w:rsidRPr="00D16E7E">
        <w:rPr>
          <w:rFonts w:ascii="Arial" w:hAnsi="Arial" w:cs="Arial"/>
          <w:b/>
          <w:bCs/>
          <w:sz w:val="24"/>
          <w:szCs w:val="24"/>
        </w:rPr>
        <w:t>REMOTE AND HYBRID WORKING: REIMAGINING THE WORKPLACE PARADIGM</w:t>
      </w:r>
    </w:p>
    <w:p w14:paraId="361BF5F3" w14:textId="7E2544B1" w:rsidR="00D16E7E" w:rsidRDefault="00D16E7E" w:rsidP="00D16E7E">
      <w:pPr>
        <w:rPr>
          <w:rFonts w:ascii="Arial" w:hAnsi="Arial" w:cs="Arial"/>
          <w:sz w:val="24"/>
          <w:szCs w:val="24"/>
        </w:rPr>
      </w:pPr>
      <w:r w:rsidRPr="00D16E7E">
        <w:rPr>
          <w:rFonts w:ascii="Arial" w:hAnsi="Arial" w:cs="Arial"/>
          <w:sz w:val="24"/>
          <w:szCs w:val="24"/>
        </w:rPr>
        <w:t>The sudden shift to remote working in response to the pandemic has shifted into permanent hybrid ways of working, radically challenging inherent notions about, not only where we work, but how we work, and how we define organisational culture. Bloom et al. Remote working was something (2015) recognised the potential of long before it became a household phrase, but nothing could have predicted just how vast and rapid adoption would occur. It requires different set of skills for HR professionals in the way they manage distributed teams, reach out to people to maintain culture and treat everyone fairly, regardless of their workplace location.</w:t>
      </w:r>
    </w:p>
    <w:p w14:paraId="0F8049FE" w14:textId="77777777" w:rsidR="0066459D" w:rsidRDefault="0066459D" w:rsidP="00D16E7E">
      <w:pPr>
        <w:rPr>
          <w:rFonts w:ascii="Arial" w:hAnsi="Arial" w:cs="Arial"/>
          <w:sz w:val="24"/>
          <w:szCs w:val="24"/>
        </w:rPr>
      </w:pPr>
    </w:p>
    <w:p w14:paraId="5D6FE7D4" w14:textId="697C51FC" w:rsidR="0066459D" w:rsidRDefault="0066459D" w:rsidP="00D16E7E">
      <w:pPr>
        <w:rPr>
          <w:rFonts w:ascii="Arial" w:hAnsi="Arial" w:cs="Arial"/>
          <w:sz w:val="24"/>
          <w:szCs w:val="24"/>
        </w:rPr>
      </w:pPr>
      <w:r>
        <w:rPr>
          <w:rFonts w:ascii="Arial" w:hAnsi="Arial" w:cs="Arial"/>
          <w:noProof/>
          <w:sz w:val="24"/>
          <w:szCs w:val="24"/>
        </w:rPr>
        <w:lastRenderedPageBreak/>
        <w:drawing>
          <wp:inline distT="0" distB="0" distL="0" distR="0" wp14:anchorId="616218B2" wp14:editId="039511D1">
            <wp:extent cx="5731510" cy="4403090"/>
            <wp:effectExtent l="0" t="0" r="2540" b="0"/>
            <wp:docPr id="1880018090" name="Picture 5" descr="A graph of a number of work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18090" name="Picture 5" descr="A graph of a number of worke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03090"/>
                    </a:xfrm>
                    <a:prstGeom prst="rect">
                      <a:avLst/>
                    </a:prstGeom>
                  </pic:spPr>
                </pic:pic>
              </a:graphicData>
            </a:graphic>
          </wp:inline>
        </w:drawing>
      </w:r>
    </w:p>
    <w:p w14:paraId="6D134A2B" w14:textId="462BFABA" w:rsidR="0066459D" w:rsidRDefault="0066459D" w:rsidP="00D16E7E">
      <w:pPr>
        <w:rPr>
          <w:rFonts w:ascii="Arial" w:hAnsi="Arial" w:cs="Arial"/>
          <w:sz w:val="24"/>
          <w:szCs w:val="24"/>
        </w:rPr>
      </w:pPr>
      <w:r>
        <w:rPr>
          <w:rFonts w:ascii="Arial" w:hAnsi="Arial" w:cs="Arial"/>
          <w:sz w:val="24"/>
          <w:szCs w:val="24"/>
        </w:rPr>
        <w:t xml:space="preserve">Source: </w:t>
      </w:r>
      <w:r w:rsidR="00EB0B4C" w:rsidRPr="00EB0B4C">
        <w:rPr>
          <w:rFonts w:ascii="Arial" w:hAnsi="Arial" w:cs="Arial"/>
          <w:sz w:val="24"/>
          <w:szCs w:val="24"/>
        </w:rPr>
        <w:t>Remote working statistics UK: Percentage of full-time remote workers over time.</w:t>
      </w:r>
    </w:p>
    <w:p w14:paraId="29D33111" w14:textId="77777777" w:rsidR="0066459D" w:rsidRPr="00D16E7E" w:rsidRDefault="0066459D" w:rsidP="00D16E7E">
      <w:pPr>
        <w:rPr>
          <w:rFonts w:ascii="Arial" w:hAnsi="Arial" w:cs="Arial"/>
          <w:sz w:val="24"/>
          <w:szCs w:val="24"/>
        </w:rPr>
      </w:pPr>
    </w:p>
    <w:p w14:paraId="36340976" w14:textId="31AC891D" w:rsidR="00D16E7E" w:rsidRDefault="00D16E7E" w:rsidP="00D16E7E">
      <w:pPr>
        <w:rPr>
          <w:rFonts w:ascii="Arial" w:hAnsi="Arial" w:cs="Arial"/>
          <w:sz w:val="24"/>
          <w:szCs w:val="24"/>
        </w:rPr>
      </w:pPr>
      <w:r w:rsidRPr="00D16E7E">
        <w:rPr>
          <w:rFonts w:ascii="Arial" w:hAnsi="Arial" w:cs="Arial"/>
          <w:sz w:val="24"/>
          <w:szCs w:val="24"/>
        </w:rPr>
        <w:t xml:space="preserve">For domestic HRM, the challenge is to develop policies that are flexible while still meeting organisational needs. Some of the essential considerations listed by Bailey and Kurland (2022), are performance appraisal, fairness in promotion and team cohesion in the physical and virtual spaces.  However, Bailey and Kurland (2022) recognize that there are some emerging challenges like. Companies such as Spotify adopted a "work from anywhere" strategy, backed by robust digital infrastructure and an infrastructural redesign of the way output is assessed, which emphasized outputs instead of presence (Torrington et al, 2020). </w:t>
      </w:r>
      <w:r w:rsidR="003D45CB" w:rsidRPr="003D45CB">
        <w:rPr>
          <w:rFonts w:ascii="Arial" w:hAnsi="Arial" w:cs="Arial"/>
          <w:sz w:val="24"/>
          <w:szCs w:val="24"/>
        </w:rPr>
        <w:t>However, hurdles are still present as far as informal learning, mentoring and keeping the corporate culture. Recent literature by Cascio and Montealegre (2016) warns of the potential threat of proximity bias, which might result in favoritism to office-based employees, an imbalance that will need active efforts on behalf of HR to address.</w:t>
      </w:r>
    </w:p>
    <w:p w14:paraId="686AA259" w14:textId="77777777" w:rsidR="0066459D" w:rsidRDefault="0066459D" w:rsidP="00D16E7E">
      <w:pPr>
        <w:rPr>
          <w:rFonts w:ascii="Arial" w:hAnsi="Arial" w:cs="Arial"/>
          <w:sz w:val="24"/>
          <w:szCs w:val="24"/>
        </w:rPr>
      </w:pPr>
    </w:p>
    <w:p w14:paraId="6B4BFD2B" w14:textId="34F05F27" w:rsidR="0066459D" w:rsidRDefault="0066459D" w:rsidP="00D16E7E">
      <w:pPr>
        <w:rPr>
          <w:rFonts w:ascii="Arial" w:hAnsi="Arial" w:cs="Arial"/>
          <w:sz w:val="24"/>
          <w:szCs w:val="24"/>
        </w:rPr>
      </w:pPr>
      <w:r>
        <w:rPr>
          <w:rFonts w:ascii="Arial" w:hAnsi="Arial" w:cs="Arial"/>
          <w:noProof/>
          <w:sz w:val="24"/>
          <w:szCs w:val="24"/>
        </w:rPr>
        <w:lastRenderedPageBreak/>
        <w:drawing>
          <wp:inline distT="0" distB="0" distL="0" distR="0" wp14:anchorId="047F280D" wp14:editId="6774DA46">
            <wp:extent cx="5731510" cy="4322435"/>
            <wp:effectExtent l="0" t="0" r="2540" b="2540"/>
            <wp:docPr id="4146440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44007"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1510" cy="4322435"/>
                    </a:xfrm>
                    <a:prstGeom prst="rect">
                      <a:avLst/>
                    </a:prstGeom>
                  </pic:spPr>
                </pic:pic>
              </a:graphicData>
            </a:graphic>
          </wp:inline>
        </w:drawing>
      </w:r>
    </w:p>
    <w:p w14:paraId="6F35E53E" w14:textId="299CEC54" w:rsidR="0066459D" w:rsidRDefault="0066459D" w:rsidP="00D16E7E">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Source:</w:t>
      </w:r>
      <w:r w:rsidR="00EB0B4C" w:rsidRPr="00EB0B4C">
        <w:t xml:space="preserve"> </w:t>
      </w:r>
      <w:r w:rsidR="00EB0B4C" w:rsidRPr="00EB0B4C">
        <w:rPr>
          <w:rFonts w:ascii="Arial" w:hAnsi="Arial" w:cs="Arial"/>
          <w:sz w:val="24"/>
          <w:szCs w:val="24"/>
        </w:rPr>
        <w:t>State of Remote Work Report / Buffer / Intuition.</w:t>
      </w:r>
      <w:r>
        <w:rPr>
          <w:rFonts w:ascii="Arial" w:hAnsi="Arial" w:cs="Arial"/>
          <w:sz w:val="24"/>
          <w:szCs w:val="24"/>
        </w:rPr>
        <w:t xml:space="preserve"> </w:t>
      </w:r>
    </w:p>
    <w:p w14:paraId="6620841D" w14:textId="77777777" w:rsidR="0066459D" w:rsidRPr="00D16E7E" w:rsidRDefault="0066459D" w:rsidP="00D16E7E">
      <w:pPr>
        <w:rPr>
          <w:rFonts w:ascii="Arial" w:hAnsi="Arial" w:cs="Arial"/>
          <w:sz w:val="24"/>
          <w:szCs w:val="24"/>
        </w:rPr>
      </w:pPr>
    </w:p>
    <w:p w14:paraId="1A2F7CAF" w14:textId="74254C28" w:rsidR="00D16E7E" w:rsidRDefault="003D45CB" w:rsidP="00D16E7E">
      <w:pPr>
        <w:rPr>
          <w:rFonts w:ascii="Arial" w:hAnsi="Arial" w:cs="Arial"/>
          <w:sz w:val="24"/>
          <w:szCs w:val="24"/>
        </w:rPr>
      </w:pPr>
      <w:r w:rsidRPr="003D45CB">
        <w:rPr>
          <w:rFonts w:ascii="Arial" w:hAnsi="Arial" w:cs="Arial"/>
          <w:sz w:val="24"/>
          <w:szCs w:val="24"/>
        </w:rPr>
        <w:t>The complexity is bound to be more to the IHRM practitioners handling hybrid arrangements in cross-cultural and national paradigms. The regulations in terms of laws, taxes, and data protection differ in each country (Dowling et al., 2017). Another aspect contributing to a further dimension of complications is the concept of digital nomadism where workers are based in other nations and it begs the question of what legal framework governs work and whether they have social security. Proposals of such adaptive IHRM frameworks enabling this location flexibility, without contravening the compliance and equity principles, have been put forward (Collings et al., 2019). Cultural variations in remote working acceptance should also be considered, e.g. in Nordic countries, most of the people are more inclined towards a flexible working philosophy, whereas in the presence-oriented cultures, working in full remote form might still be resisted (Meyer, 2015).</w:t>
      </w:r>
    </w:p>
    <w:p w14:paraId="3561B7C5" w14:textId="77777777" w:rsidR="003D45CB" w:rsidRPr="00D16E7E" w:rsidRDefault="003D45CB" w:rsidP="00D16E7E">
      <w:pPr>
        <w:rPr>
          <w:rFonts w:ascii="Arial" w:hAnsi="Arial" w:cs="Arial"/>
          <w:sz w:val="24"/>
          <w:szCs w:val="24"/>
        </w:rPr>
      </w:pPr>
    </w:p>
    <w:p w14:paraId="2B39FB6B" w14:textId="396EFD24" w:rsidR="00D16E7E" w:rsidRPr="00D16E7E" w:rsidRDefault="00D16E7E" w:rsidP="00D16E7E">
      <w:pPr>
        <w:rPr>
          <w:rFonts w:ascii="Arial" w:hAnsi="Arial" w:cs="Arial"/>
          <w:b/>
          <w:bCs/>
          <w:sz w:val="24"/>
          <w:szCs w:val="24"/>
        </w:rPr>
      </w:pPr>
      <w:r w:rsidRPr="00D16E7E">
        <w:rPr>
          <w:rFonts w:ascii="Arial" w:hAnsi="Arial" w:cs="Arial"/>
          <w:b/>
          <w:bCs/>
          <w:sz w:val="24"/>
          <w:szCs w:val="24"/>
        </w:rPr>
        <w:t>SUSTAINABILITY AND CORPORATE SOCIAL RESPONSIBILITY: HR'S ROLE IN ORGANISATIONAL PURPOSE</w:t>
      </w:r>
    </w:p>
    <w:p w14:paraId="3B551853" w14:textId="77777777" w:rsidR="003D45CB" w:rsidRDefault="003D45CB" w:rsidP="00D16E7E">
      <w:pPr>
        <w:rPr>
          <w:rFonts w:ascii="Arial" w:hAnsi="Arial" w:cs="Arial"/>
          <w:sz w:val="24"/>
          <w:szCs w:val="24"/>
        </w:rPr>
      </w:pPr>
      <w:r w:rsidRPr="003D45CB">
        <w:rPr>
          <w:rFonts w:ascii="Arial" w:hAnsi="Arial" w:cs="Arial"/>
          <w:sz w:val="24"/>
          <w:szCs w:val="24"/>
        </w:rPr>
        <w:t xml:space="preserve">The growing concern that organisations must fill the gap between profit and purpose in which sustainability and corporate social responsibility (CSR) must be entrenched in core HR strategy has been described as Sustainable HRM functioning in a way </w:t>
      </w:r>
      <w:r w:rsidRPr="003D45CB">
        <w:rPr>
          <w:rFonts w:ascii="Arial" w:hAnsi="Arial" w:cs="Arial"/>
          <w:sz w:val="24"/>
          <w:szCs w:val="24"/>
        </w:rPr>
        <w:lastRenderedPageBreak/>
        <w:t>that generates a balance between long-term success as opposed to social and environmental goals - (2016). This development places the HR professionals in a custodial position of organizational values and facilitators of sustainable business practice.</w:t>
      </w:r>
    </w:p>
    <w:p w14:paraId="4BE2AA9B" w14:textId="6C029D30" w:rsidR="00D16E7E" w:rsidRPr="00D16E7E" w:rsidRDefault="00D16E7E" w:rsidP="00D16E7E">
      <w:pPr>
        <w:rPr>
          <w:rFonts w:ascii="Arial" w:hAnsi="Arial" w:cs="Arial"/>
          <w:sz w:val="24"/>
          <w:szCs w:val="24"/>
        </w:rPr>
      </w:pPr>
      <w:r w:rsidRPr="00D16E7E">
        <w:rPr>
          <w:rFonts w:ascii="Arial" w:hAnsi="Arial" w:cs="Arial"/>
          <w:sz w:val="24"/>
          <w:szCs w:val="24"/>
        </w:rPr>
        <w:t>With the emergence of better and new generations who do not just seek but demand alignment of employer values and employee values, Contemporary HRM is getting keenly engaged in the challenge of attracting and retaining such talent. Renwick et al. The practices of "Green HRM" include environmental training, sustainability-weighted performance evaluations, and green recruitment as detailed by Mandip (2016). One great example of this is Patagonia, a company that infuses environmental activism into the fabric of its employer brand and HR practices (bonding with employees with great engagement &amp; retention) (Kramar, 2014). Sustainable HRM goes beyond the environment as it includes social aspects of labour practices, community involvement and supply chain.</w:t>
      </w:r>
    </w:p>
    <w:p w14:paraId="14C338D5" w14:textId="77777777" w:rsidR="00D16E7E" w:rsidRDefault="00D16E7E" w:rsidP="00D16E7E">
      <w:pPr>
        <w:rPr>
          <w:rFonts w:ascii="Arial" w:hAnsi="Arial" w:cs="Arial"/>
          <w:sz w:val="24"/>
          <w:szCs w:val="24"/>
        </w:rPr>
      </w:pPr>
      <w:r w:rsidRPr="00D16E7E">
        <w:rPr>
          <w:rFonts w:ascii="Arial" w:hAnsi="Arial" w:cs="Arial"/>
          <w:sz w:val="24"/>
          <w:szCs w:val="24"/>
        </w:rPr>
        <w:t>IHRM takes the perspective on sustainability of dealing with mixed regulations around the world as well as stakeholder environment. Multinational organizations are to balance huge number global pledges they made for sustainability and the actual realities in how to implement them (Stahl et al., 2020). In developing countries like Bangladesh, achieving economic development is quite often against protecting the environment; the IHRM professionals have to be innovative in their approaches to get the two usefully synced up (Khan and Agha, 2015). Global sustainability strategies cannot be successful without the involvement of local communities, local governments, and NGOs in shaping these strategies; and therefore, an HR specialist role in organizing and coordinating such collaborative efforts is essential (Jackson et al., 2018).</w:t>
      </w:r>
    </w:p>
    <w:p w14:paraId="282F3958" w14:textId="77777777" w:rsidR="00D16E7E" w:rsidRDefault="00D16E7E" w:rsidP="00D16E7E">
      <w:pPr>
        <w:rPr>
          <w:rFonts w:ascii="Arial" w:hAnsi="Arial" w:cs="Arial"/>
          <w:b/>
          <w:bCs/>
          <w:sz w:val="24"/>
          <w:szCs w:val="24"/>
        </w:rPr>
      </w:pPr>
    </w:p>
    <w:p w14:paraId="2EF53250" w14:textId="758B2A6A" w:rsidR="00D16E7E" w:rsidRPr="00D16E7E" w:rsidRDefault="00D16E7E" w:rsidP="00D16E7E">
      <w:pPr>
        <w:rPr>
          <w:rFonts w:ascii="Arial" w:hAnsi="Arial" w:cs="Arial"/>
          <w:b/>
          <w:bCs/>
          <w:sz w:val="24"/>
          <w:szCs w:val="24"/>
        </w:rPr>
      </w:pPr>
      <w:r w:rsidRPr="00D16E7E">
        <w:rPr>
          <w:rFonts w:ascii="Arial" w:hAnsi="Arial" w:cs="Arial"/>
          <w:b/>
          <w:bCs/>
          <w:sz w:val="24"/>
          <w:szCs w:val="24"/>
        </w:rPr>
        <w:t>PERSONAL COMPETENCY REFLECTION: PREPARING FOR THE TRANSFORMED WORKPLACE</w:t>
      </w:r>
    </w:p>
    <w:p w14:paraId="0725EFEB" w14:textId="64617C72" w:rsidR="0089006F" w:rsidRDefault="0089006F" w:rsidP="0089006F">
      <w:pPr>
        <w:rPr>
          <w:rFonts w:ascii="Arial" w:hAnsi="Arial" w:cs="Arial"/>
          <w:sz w:val="24"/>
          <w:szCs w:val="24"/>
        </w:rPr>
      </w:pPr>
      <w:r w:rsidRPr="0089006F">
        <w:rPr>
          <w:rFonts w:ascii="Arial" w:hAnsi="Arial" w:cs="Arial"/>
          <w:sz w:val="24"/>
          <w:szCs w:val="24"/>
        </w:rPr>
        <w:t>My experiences as a student from Bangladesh in the UK educational system has revealed strengths and areas of personal development important for my success in the evolving landscape of HRM.</w:t>
      </w:r>
    </w:p>
    <w:p w14:paraId="3818A9A6" w14:textId="77777777" w:rsidR="007E0A32" w:rsidRPr="0089006F" w:rsidRDefault="007E0A32" w:rsidP="0089006F">
      <w:pPr>
        <w:rPr>
          <w:rFonts w:ascii="Arial" w:hAnsi="Arial" w:cs="Arial"/>
          <w:sz w:val="24"/>
          <w:szCs w:val="24"/>
        </w:rPr>
      </w:pPr>
    </w:p>
    <w:p w14:paraId="05FD717C" w14:textId="19A1E896" w:rsidR="0089006F" w:rsidRPr="007E0A32" w:rsidRDefault="0089006F" w:rsidP="0089006F">
      <w:pPr>
        <w:rPr>
          <w:rFonts w:ascii="Arial" w:hAnsi="Arial" w:cs="Arial"/>
          <w:b/>
          <w:bCs/>
          <w:sz w:val="24"/>
          <w:szCs w:val="24"/>
        </w:rPr>
      </w:pPr>
      <w:r w:rsidRPr="007E0A32">
        <w:rPr>
          <w:rFonts w:ascii="Arial" w:hAnsi="Arial" w:cs="Arial"/>
          <w:b/>
          <w:bCs/>
          <w:sz w:val="24"/>
          <w:szCs w:val="24"/>
        </w:rPr>
        <w:t>Digital Literacy and Analytical Skills</w:t>
      </w:r>
    </w:p>
    <w:p w14:paraId="3922ECA8" w14:textId="76E71F9D" w:rsidR="0089006F" w:rsidRPr="0089006F" w:rsidRDefault="0089006F" w:rsidP="0089006F">
      <w:pPr>
        <w:rPr>
          <w:rFonts w:ascii="Arial" w:hAnsi="Arial" w:cs="Arial"/>
          <w:sz w:val="24"/>
          <w:szCs w:val="24"/>
        </w:rPr>
      </w:pPr>
      <w:r w:rsidRPr="0089006F">
        <w:rPr>
          <w:rFonts w:ascii="Arial" w:hAnsi="Arial" w:cs="Arial"/>
          <w:sz w:val="24"/>
          <w:szCs w:val="24"/>
        </w:rPr>
        <w:t>Strong quantitative skills from my engineering educational background in Bangladesh helped me to adapt to any HR analytics software in a very short time (e.g., SPSS, Python for people analytics). For a university project, I had to create a predictive model for employee turnover for which I achieved 82% accuracy.</w:t>
      </w:r>
    </w:p>
    <w:p w14:paraId="520BBEE7" w14:textId="7364810E" w:rsidR="0089006F" w:rsidRPr="0089006F" w:rsidRDefault="0089006F" w:rsidP="0089006F">
      <w:pPr>
        <w:rPr>
          <w:rFonts w:ascii="Arial" w:hAnsi="Arial" w:cs="Arial"/>
          <w:sz w:val="24"/>
          <w:szCs w:val="24"/>
        </w:rPr>
      </w:pPr>
      <w:r w:rsidRPr="0089006F">
        <w:rPr>
          <w:rFonts w:ascii="Arial" w:hAnsi="Arial" w:cs="Arial"/>
          <w:sz w:val="24"/>
          <w:szCs w:val="24"/>
        </w:rPr>
        <w:t>Proposed Improvements: The opportunity to gain experience with advanced AI based applications relevant to the HR context is still lacking. I do not have hands-on experience with advanced HRIS implementations as seen in some Western organisations because I am coming from a developing nation context.</w:t>
      </w:r>
    </w:p>
    <w:p w14:paraId="27A78CF8" w14:textId="77777777" w:rsidR="0089006F" w:rsidRPr="0089006F" w:rsidRDefault="0089006F" w:rsidP="0089006F">
      <w:pPr>
        <w:rPr>
          <w:rFonts w:ascii="Arial" w:hAnsi="Arial" w:cs="Arial"/>
          <w:sz w:val="24"/>
          <w:szCs w:val="24"/>
        </w:rPr>
      </w:pPr>
      <w:r w:rsidRPr="0089006F">
        <w:rPr>
          <w:rFonts w:ascii="Arial" w:hAnsi="Arial" w:cs="Arial"/>
          <w:sz w:val="24"/>
          <w:szCs w:val="24"/>
        </w:rPr>
        <w:lastRenderedPageBreak/>
        <w:t>Development Plan: Within three months, I will complete the "AI in HR" certification and apply for internships with UK organisations that are expanding the use of available, sophisticated, HR technologies.</w:t>
      </w:r>
    </w:p>
    <w:p w14:paraId="61D7D2E5" w14:textId="77777777" w:rsidR="0089006F" w:rsidRPr="0089006F" w:rsidRDefault="0089006F" w:rsidP="0089006F">
      <w:pPr>
        <w:rPr>
          <w:rFonts w:ascii="Arial" w:hAnsi="Arial" w:cs="Arial"/>
          <w:sz w:val="24"/>
          <w:szCs w:val="24"/>
        </w:rPr>
      </w:pPr>
    </w:p>
    <w:p w14:paraId="2FC27C00" w14:textId="77777777" w:rsidR="0089006F" w:rsidRPr="007E0A32" w:rsidRDefault="0089006F" w:rsidP="0089006F">
      <w:pPr>
        <w:rPr>
          <w:rFonts w:ascii="Arial" w:hAnsi="Arial" w:cs="Arial"/>
          <w:b/>
          <w:bCs/>
          <w:sz w:val="24"/>
          <w:szCs w:val="24"/>
        </w:rPr>
      </w:pPr>
      <w:r w:rsidRPr="007E0A32">
        <w:rPr>
          <w:rFonts w:ascii="Arial" w:hAnsi="Arial" w:cs="Arial"/>
          <w:b/>
          <w:bCs/>
          <w:sz w:val="24"/>
          <w:szCs w:val="24"/>
        </w:rPr>
        <w:t>Cross-Cultural Competence</w:t>
      </w:r>
    </w:p>
    <w:p w14:paraId="38B8E79D" w14:textId="71B7E99F" w:rsidR="0089006F" w:rsidRPr="0089006F" w:rsidRDefault="0089006F" w:rsidP="0089006F">
      <w:pPr>
        <w:rPr>
          <w:rFonts w:ascii="Arial" w:hAnsi="Arial" w:cs="Arial"/>
          <w:sz w:val="24"/>
          <w:szCs w:val="24"/>
        </w:rPr>
      </w:pPr>
      <w:r w:rsidRPr="0089006F">
        <w:rPr>
          <w:rFonts w:ascii="Arial" w:hAnsi="Arial" w:cs="Arial"/>
          <w:sz w:val="24"/>
          <w:szCs w:val="24"/>
        </w:rPr>
        <w:t>Strengths: As a child of Bangladeshi immigrants raised in the UK, I have a unique perspective on both collectivist Bangladeshi culture and British individualism. I mediated those conflicts in a multicultural project teams, using expertise to find a cultural assumptions below the surface.</w:t>
      </w:r>
    </w:p>
    <w:p w14:paraId="42ED5B95" w14:textId="378A7C90" w:rsidR="0089006F" w:rsidRPr="0089006F" w:rsidRDefault="0089006F" w:rsidP="0089006F">
      <w:pPr>
        <w:rPr>
          <w:rFonts w:ascii="Arial" w:hAnsi="Arial" w:cs="Arial"/>
          <w:sz w:val="24"/>
          <w:szCs w:val="24"/>
        </w:rPr>
      </w:pPr>
      <w:r w:rsidRPr="0089006F">
        <w:rPr>
          <w:rFonts w:ascii="Arial" w:hAnsi="Arial" w:cs="Arial"/>
          <w:sz w:val="24"/>
          <w:szCs w:val="24"/>
        </w:rPr>
        <w:t>Areas of Development: Having only lived and worked in South Asian and British settings limits my view of the world. I have difficulty with the direct feedback styles common in Western business culture.</w:t>
      </w:r>
    </w:p>
    <w:p w14:paraId="26DF2E49" w14:textId="77777777" w:rsidR="0089006F" w:rsidRPr="0089006F" w:rsidRDefault="0089006F" w:rsidP="0089006F">
      <w:pPr>
        <w:rPr>
          <w:rFonts w:ascii="Arial" w:hAnsi="Arial" w:cs="Arial"/>
          <w:sz w:val="24"/>
          <w:szCs w:val="24"/>
        </w:rPr>
      </w:pPr>
      <w:r w:rsidRPr="0089006F">
        <w:rPr>
          <w:rFonts w:ascii="Arial" w:hAnsi="Arial" w:cs="Arial"/>
          <w:sz w:val="24"/>
          <w:szCs w:val="24"/>
        </w:rPr>
        <w:t>Development Plan: Employed in university international mentorship programme, actively looking for mentors of African/Latin American descent. Moreover, I will do assertiveness communication practice from the participation of debate societies.</w:t>
      </w:r>
    </w:p>
    <w:p w14:paraId="5AFF611D" w14:textId="77777777" w:rsidR="0089006F" w:rsidRPr="0089006F" w:rsidRDefault="0089006F" w:rsidP="0089006F">
      <w:pPr>
        <w:rPr>
          <w:rFonts w:ascii="Arial" w:hAnsi="Arial" w:cs="Arial"/>
          <w:sz w:val="24"/>
          <w:szCs w:val="24"/>
        </w:rPr>
      </w:pPr>
    </w:p>
    <w:p w14:paraId="5A25C4B3" w14:textId="56D96745" w:rsidR="0089006F" w:rsidRPr="007E0A32" w:rsidRDefault="0089006F" w:rsidP="0089006F">
      <w:pPr>
        <w:rPr>
          <w:rFonts w:ascii="Arial" w:hAnsi="Arial" w:cs="Arial"/>
          <w:b/>
          <w:bCs/>
          <w:sz w:val="24"/>
          <w:szCs w:val="24"/>
        </w:rPr>
      </w:pPr>
      <w:r w:rsidRPr="007E0A32">
        <w:rPr>
          <w:rFonts w:ascii="Arial" w:hAnsi="Arial" w:cs="Arial"/>
          <w:b/>
          <w:bCs/>
          <w:sz w:val="24"/>
          <w:szCs w:val="24"/>
        </w:rPr>
        <w:t>Sustainability and Ethical Leadership</w:t>
      </w:r>
    </w:p>
    <w:p w14:paraId="45124CF0" w14:textId="6D5B9C6D" w:rsidR="0089006F" w:rsidRPr="0089006F" w:rsidRDefault="0089006F" w:rsidP="0089006F">
      <w:pPr>
        <w:rPr>
          <w:rFonts w:ascii="Arial" w:hAnsi="Arial" w:cs="Arial"/>
          <w:sz w:val="24"/>
          <w:szCs w:val="24"/>
        </w:rPr>
      </w:pPr>
      <w:r w:rsidRPr="0089006F">
        <w:rPr>
          <w:rFonts w:ascii="Arial" w:hAnsi="Arial" w:cs="Arial"/>
          <w:sz w:val="24"/>
          <w:szCs w:val="24"/>
        </w:rPr>
        <w:t>Strengths: A childhood in Bangladesh facing climate change impacts directly, which developed deep commitment to sustainability. The community mobilisation skills I developed in Bangladesh helped me start a green campus project at my university in the UK.</w:t>
      </w:r>
    </w:p>
    <w:p w14:paraId="2A161090" w14:textId="6E8D040C" w:rsidR="0089006F" w:rsidRPr="0089006F" w:rsidRDefault="0089006F" w:rsidP="0089006F">
      <w:pPr>
        <w:rPr>
          <w:rFonts w:ascii="Arial" w:hAnsi="Arial" w:cs="Arial"/>
          <w:sz w:val="24"/>
          <w:szCs w:val="24"/>
        </w:rPr>
      </w:pPr>
      <w:r w:rsidRPr="0089006F">
        <w:rPr>
          <w:rFonts w:ascii="Arial" w:hAnsi="Arial" w:cs="Arial"/>
          <w:sz w:val="24"/>
          <w:szCs w:val="24"/>
        </w:rPr>
        <w:t>Potential Development Areas: Formal sustainability frameworks and the reporting standards that go along with them in the business context are less well understood. Becoming smarter with respect to balancing economic and environmental priorities in business decision-making.</w:t>
      </w:r>
    </w:p>
    <w:p w14:paraId="2B863FCD" w14:textId="77777777" w:rsidR="0089006F" w:rsidRPr="0089006F" w:rsidRDefault="0089006F" w:rsidP="0089006F">
      <w:pPr>
        <w:rPr>
          <w:rFonts w:ascii="Arial" w:hAnsi="Arial" w:cs="Arial"/>
          <w:sz w:val="24"/>
          <w:szCs w:val="24"/>
        </w:rPr>
      </w:pPr>
      <w:r w:rsidRPr="0089006F">
        <w:rPr>
          <w:rFonts w:ascii="Arial" w:hAnsi="Arial" w:cs="Arial"/>
          <w:sz w:val="24"/>
          <w:szCs w:val="24"/>
        </w:rPr>
        <w:t>Development Plan: I will begin by pursuing the GRI Sustainability Professional Certification and contribute my time and efforts with a local CSR consultancy.</w:t>
      </w:r>
    </w:p>
    <w:p w14:paraId="584A6CFE" w14:textId="77777777" w:rsidR="0089006F" w:rsidRPr="0089006F" w:rsidRDefault="0089006F" w:rsidP="0089006F">
      <w:pPr>
        <w:rPr>
          <w:rFonts w:ascii="Arial" w:hAnsi="Arial" w:cs="Arial"/>
          <w:sz w:val="24"/>
          <w:szCs w:val="24"/>
        </w:rPr>
      </w:pPr>
    </w:p>
    <w:p w14:paraId="670ECED2" w14:textId="32E12357" w:rsidR="0089006F" w:rsidRPr="007E0A32" w:rsidRDefault="0089006F" w:rsidP="0089006F">
      <w:pPr>
        <w:rPr>
          <w:rFonts w:ascii="Arial" w:hAnsi="Arial" w:cs="Arial"/>
          <w:b/>
          <w:bCs/>
          <w:sz w:val="24"/>
          <w:szCs w:val="24"/>
        </w:rPr>
      </w:pPr>
      <w:r w:rsidRPr="007E0A32">
        <w:rPr>
          <w:rFonts w:ascii="Arial" w:hAnsi="Arial" w:cs="Arial"/>
          <w:b/>
          <w:bCs/>
          <w:sz w:val="24"/>
          <w:szCs w:val="24"/>
        </w:rPr>
        <w:t>Emotional Intelligence and Wellbeing Management</w:t>
      </w:r>
    </w:p>
    <w:p w14:paraId="1C93E30E" w14:textId="11881C74" w:rsidR="0089006F" w:rsidRPr="0089006F" w:rsidRDefault="0089006F" w:rsidP="0089006F">
      <w:pPr>
        <w:rPr>
          <w:rFonts w:ascii="Arial" w:hAnsi="Arial" w:cs="Arial"/>
          <w:sz w:val="24"/>
          <w:szCs w:val="24"/>
        </w:rPr>
      </w:pPr>
      <w:r w:rsidRPr="0089006F">
        <w:rPr>
          <w:rFonts w:ascii="Arial" w:hAnsi="Arial" w:cs="Arial"/>
          <w:sz w:val="24"/>
          <w:szCs w:val="24"/>
        </w:rPr>
        <w:t>Weakness: My cultural context values harmony in the social realm and as such, I have a tendency to avoid confrontation in favour of creating a sense of social harmony which is counter productive in this role. Through personal experience, I was able to successfully help international students struggling to adjust.</w:t>
      </w:r>
    </w:p>
    <w:p w14:paraId="1EFA2BEA" w14:textId="02159880" w:rsidR="0089006F" w:rsidRPr="0089006F" w:rsidRDefault="0089006F" w:rsidP="0089006F">
      <w:pPr>
        <w:rPr>
          <w:rFonts w:ascii="Arial" w:hAnsi="Arial" w:cs="Arial"/>
          <w:sz w:val="24"/>
          <w:szCs w:val="24"/>
        </w:rPr>
      </w:pPr>
      <w:r w:rsidRPr="0089006F">
        <w:rPr>
          <w:rFonts w:ascii="Arial" w:hAnsi="Arial" w:cs="Arial"/>
          <w:sz w:val="24"/>
          <w:szCs w:val="24"/>
        </w:rPr>
        <w:t>Areas of Development: Cultural conditioning sometimes prevents open conversations around mental health, which may limit effectiveness in HR roles focusing on wellbeing. Must be able to gain confidence in leading challenging exchanges in relation to psychological safety.</w:t>
      </w:r>
    </w:p>
    <w:p w14:paraId="7E7382A6" w14:textId="77777777" w:rsidR="0089006F" w:rsidRPr="0089006F" w:rsidRDefault="0089006F" w:rsidP="0089006F">
      <w:pPr>
        <w:rPr>
          <w:rFonts w:ascii="Arial" w:hAnsi="Arial" w:cs="Arial"/>
          <w:sz w:val="24"/>
          <w:szCs w:val="24"/>
        </w:rPr>
      </w:pPr>
      <w:r w:rsidRPr="0089006F">
        <w:rPr>
          <w:rFonts w:ascii="Arial" w:hAnsi="Arial" w:cs="Arial"/>
          <w:sz w:val="24"/>
          <w:szCs w:val="24"/>
        </w:rPr>
        <w:lastRenderedPageBreak/>
        <w:t>Development Plan: Finish Mental Health First Aid and go to some psychology safety facilitation workshops. Also, I will work towards gaining counselling supervision experience while at uni.</w:t>
      </w:r>
    </w:p>
    <w:p w14:paraId="306827EC" w14:textId="77777777" w:rsidR="0089006F" w:rsidRPr="0089006F" w:rsidRDefault="0089006F" w:rsidP="0089006F">
      <w:pPr>
        <w:rPr>
          <w:rFonts w:ascii="Arial" w:hAnsi="Arial" w:cs="Arial"/>
          <w:sz w:val="24"/>
          <w:szCs w:val="24"/>
        </w:rPr>
      </w:pPr>
    </w:p>
    <w:p w14:paraId="1F63211E" w14:textId="2DB8393A" w:rsidR="0089006F" w:rsidRPr="007E0A32" w:rsidRDefault="0089006F" w:rsidP="0089006F">
      <w:pPr>
        <w:rPr>
          <w:rFonts w:ascii="Arial" w:hAnsi="Arial" w:cs="Arial"/>
          <w:b/>
          <w:bCs/>
          <w:sz w:val="24"/>
          <w:szCs w:val="24"/>
        </w:rPr>
      </w:pPr>
      <w:r w:rsidRPr="007E0A32">
        <w:rPr>
          <w:rFonts w:ascii="Arial" w:hAnsi="Arial" w:cs="Arial"/>
          <w:b/>
          <w:bCs/>
          <w:sz w:val="24"/>
          <w:szCs w:val="24"/>
        </w:rPr>
        <w:t>Agile and Adaptive Thinking</w:t>
      </w:r>
    </w:p>
    <w:p w14:paraId="724B7849" w14:textId="0F784190" w:rsidR="0089006F" w:rsidRPr="0089006F" w:rsidRDefault="0089006F" w:rsidP="0089006F">
      <w:pPr>
        <w:rPr>
          <w:rFonts w:ascii="Arial" w:hAnsi="Arial" w:cs="Arial"/>
          <w:sz w:val="24"/>
          <w:szCs w:val="24"/>
        </w:rPr>
      </w:pPr>
      <w:r w:rsidRPr="0089006F">
        <w:rPr>
          <w:rFonts w:ascii="Arial" w:hAnsi="Arial" w:cs="Arial"/>
          <w:sz w:val="24"/>
          <w:szCs w:val="24"/>
        </w:rPr>
        <w:t>Strengths: Ability to adapt from what I see as polar opposite educational and social systems Coming from a background where everything is studied in a rote manner, at least in Bangladesh, the days to come required a fast transformation to be able to understand and work with the emphasis on critical thinking over here in the UK.</w:t>
      </w:r>
    </w:p>
    <w:p w14:paraId="79602079" w14:textId="1377DC79" w:rsidR="0089006F" w:rsidRPr="0089006F" w:rsidRDefault="0089006F" w:rsidP="0089006F">
      <w:pPr>
        <w:rPr>
          <w:rFonts w:ascii="Arial" w:hAnsi="Arial" w:cs="Arial"/>
          <w:sz w:val="24"/>
          <w:szCs w:val="24"/>
        </w:rPr>
      </w:pPr>
      <w:r w:rsidRPr="0089006F">
        <w:rPr>
          <w:rFonts w:ascii="Arial" w:hAnsi="Arial" w:cs="Arial"/>
          <w:sz w:val="24"/>
          <w:szCs w:val="24"/>
        </w:rPr>
        <w:t>Areas To Develop: Can lean too heavily into recognized structure and away from creative problem-solving You must work on building up a level of confidence in decision-making that is exercised in ambiguity and with limited information.</w:t>
      </w:r>
    </w:p>
    <w:p w14:paraId="07C708E1" w14:textId="77CAC17B" w:rsidR="00D16E7E" w:rsidRDefault="0089006F" w:rsidP="0089006F">
      <w:pPr>
        <w:rPr>
          <w:rFonts w:ascii="Arial" w:hAnsi="Arial" w:cs="Arial"/>
          <w:b/>
          <w:bCs/>
          <w:sz w:val="24"/>
          <w:szCs w:val="24"/>
        </w:rPr>
      </w:pPr>
      <w:r w:rsidRPr="0089006F">
        <w:rPr>
          <w:rFonts w:ascii="Arial" w:hAnsi="Arial" w:cs="Arial"/>
          <w:sz w:val="24"/>
          <w:szCs w:val="24"/>
        </w:rPr>
        <w:t>Development Plan: I will attend workshops around design thinking, as well as agile project management Lastly, I will look for opportunities to lead innovation projects of student organisations.</w:t>
      </w:r>
    </w:p>
    <w:p w14:paraId="770E679C" w14:textId="77777777" w:rsidR="0089006F" w:rsidRDefault="0089006F" w:rsidP="00D16E7E">
      <w:pPr>
        <w:rPr>
          <w:rFonts w:ascii="Arial" w:hAnsi="Arial" w:cs="Arial"/>
          <w:b/>
          <w:bCs/>
          <w:sz w:val="24"/>
          <w:szCs w:val="24"/>
        </w:rPr>
      </w:pPr>
    </w:p>
    <w:p w14:paraId="5AAF0746" w14:textId="7851D968" w:rsidR="00D16E7E" w:rsidRPr="00D16E7E" w:rsidRDefault="00D16E7E" w:rsidP="00D16E7E">
      <w:pPr>
        <w:rPr>
          <w:rFonts w:ascii="Arial" w:hAnsi="Arial" w:cs="Arial"/>
          <w:b/>
          <w:bCs/>
          <w:sz w:val="24"/>
          <w:szCs w:val="24"/>
        </w:rPr>
      </w:pPr>
      <w:r w:rsidRPr="00D16E7E">
        <w:rPr>
          <w:rFonts w:ascii="Arial" w:hAnsi="Arial" w:cs="Arial"/>
          <w:b/>
          <w:bCs/>
          <w:sz w:val="24"/>
          <w:szCs w:val="24"/>
        </w:rPr>
        <w:t>CONCLUSION</w:t>
      </w:r>
    </w:p>
    <w:p w14:paraId="2E7A01C0" w14:textId="517D544A" w:rsidR="0089006F" w:rsidRDefault="003D45CB" w:rsidP="00D16E7E">
      <w:pPr>
        <w:rPr>
          <w:rFonts w:ascii="Arial" w:hAnsi="Arial" w:cs="Arial"/>
          <w:sz w:val="24"/>
          <w:szCs w:val="24"/>
        </w:rPr>
      </w:pPr>
      <w:r w:rsidRPr="003D45CB">
        <w:rPr>
          <w:rFonts w:ascii="Arial" w:hAnsi="Arial" w:cs="Arial"/>
          <w:sz w:val="24"/>
          <w:szCs w:val="24"/>
        </w:rPr>
        <w:t>The HRM and IHRM changes reflect bigger social trends that adopt the aspects of digitalisation, humanisation, and sustainability. Such changes demand HR professionals that are aware how to manage the complexity of technology whilst remembering human-centricity, balance between being global and local, and organizational success at the same time as enhancing the wellbeing of the society as a whole. My case of migrating to the UK since my first time in Bangladesh also provides me with a clear perspective on these issues and their significance to HR practice. Students will also require skills that transcend the technical like cultural intelligence, ethical leadership and adaptive thinking to equip students to succeed in the future. I will use my cross-cultural encounters because I am willing to develop the skills consciously because I aim to create a positive impact on the development of inclusive, sustainable, and effective HR practices. The future of work demands an HR practitioner who is bridge builder inter-technology and inter-human, inter-global and inter-local, inter-profit and inter-purpose, to facilitate workplaces where individual flourish and organization thrive.</w:t>
      </w:r>
    </w:p>
    <w:p w14:paraId="50CBBB78" w14:textId="77777777" w:rsidR="0089006F" w:rsidRDefault="0089006F">
      <w:pPr>
        <w:rPr>
          <w:b/>
          <w:bCs/>
          <w:sz w:val="24"/>
          <w:szCs w:val="24"/>
        </w:rPr>
      </w:pPr>
      <w:r>
        <w:rPr>
          <w:b/>
          <w:bCs/>
          <w:sz w:val="24"/>
          <w:szCs w:val="24"/>
        </w:rPr>
        <w:br w:type="page"/>
      </w:r>
    </w:p>
    <w:p w14:paraId="1171A768" w14:textId="7EA9BD2F" w:rsidR="00D16E7E" w:rsidRPr="00D16E7E" w:rsidRDefault="00D16E7E" w:rsidP="00D16E7E">
      <w:pPr>
        <w:rPr>
          <w:b/>
          <w:bCs/>
          <w:sz w:val="24"/>
          <w:szCs w:val="24"/>
        </w:rPr>
      </w:pPr>
      <w:r w:rsidRPr="00D16E7E">
        <w:rPr>
          <w:b/>
          <w:bCs/>
          <w:sz w:val="24"/>
          <w:szCs w:val="24"/>
        </w:rPr>
        <w:lastRenderedPageBreak/>
        <w:t>REFERENCES</w:t>
      </w:r>
    </w:p>
    <w:p w14:paraId="50300976" w14:textId="77777777" w:rsidR="00D16E7E" w:rsidRPr="00D16E7E" w:rsidRDefault="00D16E7E" w:rsidP="00D16E7E">
      <w:pPr>
        <w:rPr>
          <w:sz w:val="24"/>
          <w:szCs w:val="24"/>
        </w:rPr>
      </w:pPr>
      <w:r w:rsidRPr="00D16E7E">
        <w:rPr>
          <w:sz w:val="24"/>
          <w:szCs w:val="24"/>
        </w:rPr>
        <w:t>Armstrong, M. and Taylor, S. (2020) </w:t>
      </w:r>
      <w:r w:rsidRPr="00D16E7E">
        <w:rPr>
          <w:i/>
          <w:iCs/>
          <w:sz w:val="24"/>
          <w:szCs w:val="24"/>
        </w:rPr>
        <w:t>Armstrong's handbook of human resource management practice</w:t>
      </w:r>
      <w:r w:rsidRPr="00D16E7E">
        <w:rPr>
          <w:sz w:val="24"/>
          <w:szCs w:val="24"/>
        </w:rPr>
        <w:t>. 15th edn. London: Kogan Page.</w:t>
      </w:r>
    </w:p>
    <w:p w14:paraId="5DE7D50C" w14:textId="77777777" w:rsidR="00D16E7E" w:rsidRPr="00D16E7E" w:rsidRDefault="00D16E7E" w:rsidP="00D16E7E">
      <w:pPr>
        <w:rPr>
          <w:sz w:val="24"/>
          <w:szCs w:val="24"/>
        </w:rPr>
      </w:pPr>
      <w:r w:rsidRPr="00D16E7E">
        <w:rPr>
          <w:sz w:val="24"/>
          <w:szCs w:val="24"/>
        </w:rPr>
        <w:t>Bailey, D.E. and Kurland, N.B. (2022) </w:t>
      </w:r>
      <w:r w:rsidRPr="00D16E7E">
        <w:rPr>
          <w:i/>
          <w:iCs/>
          <w:sz w:val="24"/>
          <w:szCs w:val="24"/>
        </w:rPr>
        <w:t>Remote work: Redesigning work for the 21st century</w:t>
      </w:r>
      <w:r w:rsidRPr="00D16E7E">
        <w:rPr>
          <w:sz w:val="24"/>
          <w:szCs w:val="24"/>
        </w:rPr>
        <w:t>. Cambridge: MIT Press.</w:t>
      </w:r>
    </w:p>
    <w:p w14:paraId="21E51DC1" w14:textId="1BF720B8" w:rsidR="00D16E7E" w:rsidRPr="00D16E7E" w:rsidRDefault="00D16E7E" w:rsidP="00D16E7E">
      <w:pPr>
        <w:rPr>
          <w:sz w:val="24"/>
          <w:szCs w:val="24"/>
        </w:rPr>
      </w:pPr>
      <w:r w:rsidRPr="00D16E7E">
        <w:rPr>
          <w:sz w:val="24"/>
          <w:szCs w:val="24"/>
        </w:rPr>
        <w:t>Bakker, A.B. and Demerouti, E. (2017) </w:t>
      </w:r>
      <w:r w:rsidRPr="00D16E7E">
        <w:rPr>
          <w:i/>
          <w:iCs/>
          <w:sz w:val="24"/>
          <w:szCs w:val="24"/>
        </w:rPr>
        <w:t>Job demands-resources theory: Taking stock and looking forward</w:t>
      </w:r>
      <w:r w:rsidRPr="00D16E7E">
        <w:rPr>
          <w:sz w:val="24"/>
          <w:szCs w:val="24"/>
        </w:rPr>
        <w:t>. Available at: </w:t>
      </w:r>
      <w:hyperlink r:id="rId12" w:history="1">
        <w:r w:rsidRPr="00D16E7E">
          <w:rPr>
            <w:rStyle w:val="Hyperlink"/>
            <w:sz w:val="24"/>
            <w:szCs w:val="24"/>
          </w:rPr>
          <w:t>https://www.annualreviews.org/doi/10.1146/annurev-orgpsych-032516-113108</w:t>
        </w:r>
      </w:hyperlink>
      <w:r w:rsidRPr="00D16E7E">
        <w:rPr>
          <w:sz w:val="24"/>
          <w:szCs w:val="24"/>
        </w:rPr>
        <w:t xml:space="preserve"> (Accessed: </w:t>
      </w:r>
      <w:r w:rsidR="007E0A32">
        <w:rPr>
          <w:sz w:val="24"/>
          <w:szCs w:val="24"/>
        </w:rPr>
        <w:t>16 October</w:t>
      </w:r>
      <w:r w:rsidRPr="00D16E7E">
        <w:rPr>
          <w:sz w:val="24"/>
          <w:szCs w:val="24"/>
        </w:rPr>
        <w:t xml:space="preserve"> 202</w:t>
      </w:r>
      <w:r w:rsidR="007E0A32">
        <w:rPr>
          <w:sz w:val="24"/>
          <w:szCs w:val="24"/>
        </w:rPr>
        <w:t>5</w:t>
      </w:r>
      <w:r w:rsidRPr="00D16E7E">
        <w:rPr>
          <w:sz w:val="24"/>
          <w:szCs w:val="24"/>
        </w:rPr>
        <w:t>).</w:t>
      </w:r>
    </w:p>
    <w:p w14:paraId="6DB33A45" w14:textId="710E9C32" w:rsidR="00D16E7E" w:rsidRPr="00D16E7E" w:rsidRDefault="00D16E7E" w:rsidP="00D16E7E">
      <w:pPr>
        <w:rPr>
          <w:sz w:val="24"/>
          <w:szCs w:val="24"/>
        </w:rPr>
      </w:pPr>
      <w:r w:rsidRPr="00D16E7E">
        <w:rPr>
          <w:sz w:val="24"/>
          <w:szCs w:val="24"/>
        </w:rPr>
        <w:t>Bloom, N., Liang, J., Roberts, J. and Ying, Z.J. (2015) </w:t>
      </w:r>
      <w:r w:rsidRPr="00D16E7E">
        <w:rPr>
          <w:i/>
          <w:iCs/>
          <w:sz w:val="24"/>
          <w:szCs w:val="24"/>
        </w:rPr>
        <w:t>Does working from home work? Evidence from a Chinese experiment</w:t>
      </w:r>
      <w:r w:rsidRPr="00D16E7E">
        <w:rPr>
          <w:sz w:val="24"/>
          <w:szCs w:val="24"/>
        </w:rPr>
        <w:t>. Available at: </w:t>
      </w:r>
      <w:hyperlink r:id="rId13" w:history="1">
        <w:r w:rsidRPr="00D16E7E">
          <w:rPr>
            <w:rStyle w:val="Hyperlink"/>
            <w:sz w:val="24"/>
            <w:szCs w:val="24"/>
          </w:rPr>
          <w:t>https://www.gsb.stanford.edu/faculty-research/publications/does-working-home-work-evidence-chinese-experiment</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0FCF5C02" w14:textId="6A980FEA" w:rsidR="00D16E7E" w:rsidRPr="00D16E7E" w:rsidRDefault="00D16E7E" w:rsidP="00D16E7E">
      <w:pPr>
        <w:rPr>
          <w:sz w:val="24"/>
          <w:szCs w:val="24"/>
        </w:rPr>
      </w:pPr>
      <w:r w:rsidRPr="00D16E7E">
        <w:rPr>
          <w:sz w:val="24"/>
          <w:szCs w:val="24"/>
        </w:rPr>
        <w:t>Cascio, W.F. and Montealegre, R. (2016) </w:t>
      </w:r>
      <w:r w:rsidRPr="00D16E7E">
        <w:rPr>
          <w:i/>
          <w:iCs/>
          <w:sz w:val="24"/>
          <w:szCs w:val="24"/>
        </w:rPr>
        <w:t>How technology is changing work and organizations</w:t>
      </w:r>
      <w:r w:rsidRPr="00D16E7E">
        <w:rPr>
          <w:sz w:val="24"/>
          <w:szCs w:val="24"/>
        </w:rPr>
        <w:t>. Available at: </w:t>
      </w:r>
      <w:hyperlink r:id="rId14" w:history="1">
        <w:r w:rsidRPr="00D16E7E">
          <w:rPr>
            <w:rStyle w:val="Hyperlink"/>
            <w:sz w:val="24"/>
            <w:szCs w:val="24"/>
          </w:rPr>
          <w:t>https://www.annualreviews.org/doi/10.1146/annurev-orgpsych-041015-062352</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210984C8" w14:textId="421ACDB7" w:rsidR="00D16E7E" w:rsidRPr="00D16E7E" w:rsidRDefault="00D16E7E" w:rsidP="00D16E7E">
      <w:pPr>
        <w:rPr>
          <w:sz w:val="24"/>
          <w:szCs w:val="24"/>
        </w:rPr>
      </w:pPr>
      <w:r w:rsidRPr="00D16E7E">
        <w:rPr>
          <w:sz w:val="24"/>
          <w:szCs w:val="24"/>
        </w:rPr>
        <w:t>CIPD (2023) </w:t>
      </w:r>
      <w:r w:rsidRPr="00D16E7E">
        <w:rPr>
          <w:i/>
          <w:iCs/>
          <w:sz w:val="24"/>
          <w:szCs w:val="24"/>
        </w:rPr>
        <w:t>Health and wellbeing at work survey 2023</w:t>
      </w:r>
      <w:r w:rsidRPr="00D16E7E">
        <w:rPr>
          <w:sz w:val="24"/>
          <w:szCs w:val="24"/>
        </w:rPr>
        <w:t>. Available at: </w:t>
      </w:r>
      <w:hyperlink r:id="rId15" w:history="1">
        <w:r w:rsidRPr="00D16E7E">
          <w:rPr>
            <w:rStyle w:val="Hyperlink"/>
            <w:sz w:val="24"/>
            <w:szCs w:val="24"/>
          </w:rPr>
          <w:t>https://www.cipd.co.uk/knowledge/culture/well-being/health-well-being-work</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0537AE26" w14:textId="77777777" w:rsidR="00D16E7E" w:rsidRPr="00D16E7E" w:rsidRDefault="00D16E7E" w:rsidP="00D16E7E">
      <w:pPr>
        <w:rPr>
          <w:sz w:val="24"/>
          <w:szCs w:val="24"/>
        </w:rPr>
      </w:pPr>
      <w:r w:rsidRPr="00D16E7E">
        <w:rPr>
          <w:sz w:val="24"/>
          <w:szCs w:val="24"/>
        </w:rPr>
        <w:t>Collings, D.G., Scullion, H. and Morley, M.J. (2019) </w:t>
      </w:r>
      <w:r w:rsidRPr="00D16E7E">
        <w:rPr>
          <w:i/>
          <w:iCs/>
          <w:sz w:val="24"/>
          <w:szCs w:val="24"/>
        </w:rPr>
        <w:t>Global staffing</w:t>
      </w:r>
      <w:r w:rsidRPr="00D16E7E">
        <w:rPr>
          <w:sz w:val="24"/>
          <w:szCs w:val="24"/>
        </w:rPr>
        <w:t>. 3rd edn. New York: Routledge.</w:t>
      </w:r>
    </w:p>
    <w:p w14:paraId="442091D7" w14:textId="77777777" w:rsidR="00D16E7E" w:rsidRPr="00D16E7E" w:rsidRDefault="00D16E7E" w:rsidP="00D16E7E">
      <w:pPr>
        <w:rPr>
          <w:sz w:val="24"/>
          <w:szCs w:val="24"/>
        </w:rPr>
      </w:pPr>
      <w:r w:rsidRPr="00D16E7E">
        <w:rPr>
          <w:sz w:val="24"/>
          <w:szCs w:val="24"/>
        </w:rPr>
        <w:t>Cooper, C.L. and Quick, J.C. (2017) </w:t>
      </w:r>
      <w:r w:rsidRPr="00D16E7E">
        <w:rPr>
          <w:i/>
          <w:iCs/>
          <w:sz w:val="24"/>
          <w:szCs w:val="24"/>
        </w:rPr>
        <w:t>The handbook of stress and health: A guide to research and practice</w:t>
      </w:r>
      <w:r w:rsidRPr="00D16E7E">
        <w:rPr>
          <w:sz w:val="24"/>
          <w:szCs w:val="24"/>
        </w:rPr>
        <w:t>. Chichester: John Wiley &amp; Sons.</w:t>
      </w:r>
    </w:p>
    <w:p w14:paraId="3087BB20" w14:textId="77777777" w:rsidR="00D16E7E" w:rsidRPr="00D16E7E" w:rsidRDefault="00D16E7E" w:rsidP="00D16E7E">
      <w:pPr>
        <w:rPr>
          <w:sz w:val="24"/>
          <w:szCs w:val="24"/>
        </w:rPr>
      </w:pPr>
      <w:r w:rsidRPr="00D16E7E">
        <w:rPr>
          <w:sz w:val="24"/>
          <w:szCs w:val="24"/>
        </w:rPr>
        <w:t>Dessler, G. (2020) </w:t>
      </w:r>
      <w:r w:rsidRPr="00D16E7E">
        <w:rPr>
          <w:i/>
          <w:iCs/>
          <w:sz w:val="24"/>
          <w:szCs w:val="24"/>
        </w:rPr>
        <w:t>Human resource management</w:t>
      </w:r>
      <w:r w:rsidRPr="00D16E7E">
        <w:rPr>
          <w:sz w:val="24"/>
          <w:szCs w:val="24"/>
        </w:rPr>
        <w:t>. 16th edn. Harlow: Pearson Education.</w:t>
      </w:r>
    </w:p>
    <w:p w14:paraId="6222822E" w14:textId="77777777" w:rsidR="00D16E7E" w:rsidRPr="00D16E7E" w:rsidRDefault="00D16E7E" w:rsidP="00D16E7E">
      <w:pPr>
        <w:rPr>
          <w:sz w:val="24"/>
          <w:szCs w:val="24"/>
        </w:rPr>
      </w:pPr>
      <w:r w:rsidRPr="00D16E7E">
        <w:rPr>
          <w:sz w:val="24"/>
          <w:szCs w:val="24"/>
        </w:rPr>
        <w:t>Dowling, P.J., Festing, M. and Engle, A.D. (2017) </w:t>
      </w:r>
      <w:r w:rsidRPr="00D16E7E">
        <w:rPr>
          <w:i/>
          <w:iCs/>
          <w:sz w:val="24"/>
          <w:szCs w:val="24"/>
        </w:rPr>
        <w:t>International human resource management</w:t>
      </w:r>
      <w:r w:rsidRPr="00D16E7E">
        <w:rPr>
          <w:sz w:val="24"/>
          <w:szCs w:val="24"/>
        </w:rPr>
        <w:t>. 7th edn. London: Cengage Learning.</w:t>
      </w:r>
    </w:p>
    <w:p w14:paraId="60E90A75" w14:textId="77777777" w:rsidR="00D16E7E" w:rsidRPr="00D16E7E" w:rsidRDefault="00D16E7E" w:rsidP="00D16E7E">
      <w:pPr>
        <w:rPr>
          <w:sz w:val="24"/>
          <w:szCs w:val="24"/>
        </w:rPr>
      </w:pPr>
      <w:r w:rsidRPr="00D16E7E">
        <w:rPr>
          <w:sz w:val="24"/>
          <w:szCs w:val="24"/>
        </w:rPr>
        <w:t>Ehnert, I., Harry, W. and Zink, K.J. (2016) </w:t>
      </w:r>
      <w:r w:rsidRPr="00D16E7E">
        <w:rPr>
          <w:i/>
          <w:iCs/>
          <w:sz w:val="24"/>
          <w:szCs w:val="24"/>
        </w:rPr>
        <w:t>Sustainability and human resource management</w:t>
      </w:r>
      <w:r w:rsidRPr="00D16E7E">
        <w:rPr>
          <w:sz w:val="24"/>
          <w:szCs w:val="24"/>
        </w:rPr>
        <w:t>. Berlin: Springer.</w:t>
      </w:r>
    </w:p>
    <w:p w14:paraId="67430BFC" w14:textId="146336E8" w:rsidR="00D16E7E" w:rsidRPr="00D16E7E" w:rsidRDefault="00D16E7E" w:rsidP="00D16E7E">
      <w:pPr>
        <w:rPr>
          <w:sz w:val="24"/>
          <w:szCs w:val="24"/>
        </w:rPr>
      </w:pPr>
      <w:r w:rsidRPr="00D16E7E">
        <w:rPr>
          <w:sz w:val="24"/>
          <w:szCs w:val="24"/>
        </w:rPr>
        <w:t>Guest, D.E. (2017) </w:t>
      </w:r>
      <w:r w:rsidRPr="00D16E7E">
        <w:rPr>
          <w:i/>
          <w:iCs/>
          <w:sz w:val="24"/>
          <w:szCs w:val="24"/>
        </w:rPr>
        <w:t>Human resource management and employee well-being</w:t>
      </w:r>
      <w:r w:rsidRPr="00D16E7E">
        <w:rPr>
          <w:sz w:val="24"/>
          <w:szCs w:val="24"/>
        </w:rPr>
        <w:t>. Available at: </w:t>
      </w:r>
      <w:hyperlink r:id="rId16" w:history="1">
        <w:r w:rsidRPr="00D16E7E">
          <w:rPr>
            <w:rStyle w:val="Hyperlink"/>
            <w:sz w:val="24"/>
            <w:szCs w:val="24"/>
          </w:rPr>
          <w:t>https://onlinelibrary.wiley.com/doi/10.1111/1748-8583.12139</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122FA874" w14:textId="77777777" w:rsidR="00D16E7E" w:rsidRPr="00D16E7E" w:rsidRDefault="00D16E7E" w:rsidP="00D16E7E">
      <w:pPr>
        <w:rPr>
          <w:sz w:val="24"/>
          <w:szCs w:val="24"/>
        </w:rPr>
      </w:pPr>
      <w:r w:rsidRPr="00D16E7E">
        <w:rPr>
          <w:sz w:val="24"/>
          <w:szCs w:val="24"/>
        </w:rPr>
        <w:t>Hofstede, G., Hofstede, G.J. and Minkov, M. (2010) </w:t>
      </w:r>
      <w:r w:rsidRPr="00D16E7E">
        <w:rPr>
          <w:i/>
          <w:iCs/>
          <w:sz w:val="24"/>
          <w:szCs w:val="24"/>
        </w:rPr>
        <w:t>Cultures and organizations: Software of the mind</w:t>
      </w:r>
      <w:r w:rsidRPr="00D16E7E">
        <w:rPr>
          <w:sz w:val="24"/>
          <w:szCs w:val="24"/>
        </w:rPr>
        <w:t>. 3rd edn. New York: McGraw-Hill.</w:t>
      </w:r>
    </w:p>
    <w:p w14:paraId="495E1ED1" w14:textId="1381D1E2" w:rsidR="00D16E7E" w:rsidRPr="00D16E7E" w:rsidRDefault="00D16E7E" w:rsidP="00D16E7E">
      <w:pPr>
        <w:rPr>
          <w:sz w:val="24"/>
          <w:szCs w:val="24"/>
        </w:rPr>
      </w:pPr>
      <w:r w:rsidRPr="00D16E7E">
        <w:rPr>
          <w:sz w:val="24"/>
          <w:szCs w:val="24"/>
        </w:rPr>
        <w:t>Hossain, M.D. and Purohit, N. (2019) </w:t>
      </w:r>
      <w:r w:rsidRPr="00D16E7E">
        <w:rPr>
          <w:i/>
          <w:iCs/>
          <w:sz w:val="24"/>
          <w:szCs w:val="24"/>
        </w:rPr>
        <w:t>Mental health scenario in Bangladesh</w:t>
      </w:r>
      <w:r w:rsidRPr="00D16E7E">
        <w:rPr>
          <w:sz w:val="24"/>
          <w:szCs w:val="24"/>
        </w:rPr>
        <w:t>. Available at: </w:t>
      </w:r>
      <w:hyperlink r:id="rId17" w:history="1">
        <w:r w:rsidRPr="00D16E7E">
          <w:rPr>
            <w:rStyle w:val="Hyperlink"/>
            <w:sz w:val="24"/>
            <w:szCs w:val="24"/>
          </w:rPr>
          <w:t>https://www.who.int/bangladesh/news/detail/mental-health-scenario</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3AD10600" w14:textId="77777777" w:rsidR="00D16E7E" w:rsidRPr="00D16E7E" w:rsidRDefault="00D16E7E" w:rsidP="00D16E7E">
      <w:pPr>
        <w:rPr>
          <w:sz w:val="24"/>
          <w:szCs w:val="24"/>
        </w:rPr>
      </w:pPr>
      <w:r w:rsidRPr="00D16E7E">
        <w:rPr>
          <w:sz w:val="24"/>
          <w:szCs w:val="24"/>
        </w:rPr>
        <w:lastRenderedPageBreak/>
        <w:t>Jackson, S.E., Ones, D.S. and Dilchert, S. (2018) </w:t>
      </w:r>
      <w:r w:rsidRPr="00D16E7E">
        <w:rPr>
          <w:i/>
          <w:iCs/>
          <w:sz w:val="24"/>
          <w:szCs w:val="24"/>
        </w:rPr>
        <w:t>Managing human resources for environmental sustainability</w:t>
      </w:r>
      <w:r w:rsidRPr="00D16E7E">
        <w:rPr>
          <w:sz w:val="24"/>
          <w:szCs w:val="24"/>
        </w:rPr>
        <w:t>. San Francisco: Jossey-Bass.</w:t>
      </w:r>
    </w:p>
    <w:p w14:paraId="7FE0122D" w14:textId="77777777" w:rsidR="00D16E7E" w:rsidRPr="00D16E7E" w:rsidRDefault="00D16E7E" w:rsidP="00D16E7E">
      <w:pPr>
        <w:rPr>
          <w:sz w:val="24"/>
          <w:szCs w:val="24"/>
        </w:rPr>
      </w:pPr>
      <w:r w:rsidRPr="00D16E7E">
        <w:rPr>
          <w:sz w:val="24"/>
          <w:szCs w:val="24"/>
        </w:rPr>
        <w:t>Khan, S.A. and Agha, K. (2015) </w:t>
      </w:r>
      <w:r w:rsidRPr="00D16E7E">
        <w:rPr>
          <w:i/>
          <w:iCs/>
          <w:sz w:val="24"/>
          <w:szCs w:val="24"/>
        </w:rPr>
        <w:t>Dynamics of the work environment in Bangladesh</w:t>
      </w:r>
      <w:r w:rsidRPr="00D16E7E">
        <w:rPr>
          <w:sz w:val="24"/>
          <w:szCs w:val="24"/>
        </w:rPr>
        <w:t>. Dhaka: University Press Limited.</w:t>
      </w:r>
    </w:p>
    <w:p w14:paraId="522642EE" w14:textId="7BB3E699" w:rsidR="00D16E7E" w:rsidRPr="00D16E7E" w:rsidRDefault="00D16E7E" w:rsidP="00D16E7E">
      <w:pPr>
        <w:rPr>
          <w:sz w:val="24"/>
          <w:szCs w:val="24"/>
        </w:rPr>
      </w:pPr>
      <w:r w:rsidRPr="00D16E7E">
        <w:rPr>
          <w:sz w:val="24"/>
          <w:szCs w:val="24"/>
        </w:rPr>
        <w:t>Kramar, R. (2014) </w:t>
      </w:r>
      <w:r w:rsidRPr="00D16E7E">
        <w:rPr>
          <w:i/>
          <w:iCs/>
          <w:sz w:val="24"/>
          <w:szCs w:val="24"/>
        </w:rPr>
        <w:t>Beyond strategic human resource management</w:t>
      </w:r>
      <w:r w:rsidRPr="00D16E7E">
        <w:rPr>
          <w:sz w:val="24"/>
          <w:szCs w:val="24"/>
        </w:rPr>
        <w:t>. Available at: </w:t>
      </w:r>
      <w:hyperlink r:id="rId18" w:history="1">
        <w:r w:rsidRPr="00D16E7E">
          <w:rPr>
            <w:rStyle w:val="Hyperlink"/>
            <w:sz w:val="24"/>
            <w:szCs w:val="24"/>
          </w:rPr>
          <w:t>https://www.emerald.com/insight/content/doi/10.1108/IJHRM-01-2013-0009</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20E28499" w14:textId="5734629C" w:rsidR="00D16E7E" w:rsidRPr="00D16E7E" w:rsidRDefault="00D16E7E" w:rsidP="00D16E7E">
      <w:pPr>
        <w:rPr>
          <w:sz w:val="24"/>
          <w:szCs w:val="24"/>
        </w:rPr>
      </w:pPr>
      <w:r w:rsidRPr="00D16E7E">
        <w:rPr>
          <w:sz w:val="24"/>
          <w:szCs w:val="24"/>
        </w:rPr>
        <w:t>Mamun, M.Z. and Hasan, M.N. (2017) </w:t>
      </w:r>
      <w:r w:rsidRPr="00D16E7E">
        <w:rPr>
          <w:i/>
          <w:iCs/>
          <w:sz w:val="24"/>
          <w:szCs w:val="24"/>
        </w:rPr>
        <w:t>Digital Bangladesh: How far have we come?</w:t>
      </w:r>
      <w:r w:rsidRPr="00D16E7E">
        <w:rPr>
          <w:sz w:val="24"/>
          <w:szCs w:val="24"/>
        </w:rPr>
        <w:t>. Available at: </w:t>
      </w:r>
      <w:hyperlink r:id="rId19" w:history="1">
        <w:r w:rsidRPr="00D16E7E">
          <w:rPr>
            <w:rStyle w:val="Hyperlink"/>
            <w:sz w:val="24"/>
            <w:szCs w:val="24"/>
          </w:rPr>
          <w:t>https://www.thedailystar.net/supplements/digital-bangladesh-how-far-have-we-come</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2D0596C8" w14:textId="77777777" w:rsidR="00D16E7E" w:rsidRPr="00D16E7E" w:rsidRDefault="00D16E7E" w:rsidP="00D16E7E">
      <w:pPr>
        <w:rPr>
          <w:sz w:val="24"/>
          <w:szCs w:val="24"/>
        </w:rPr>
      </w:pPr>
      <w:r w:rsidRPr="00D16E7E">
        <w:rPr>
          <w:sz w:val="24"/>
          <w:szCs w:val="24"/>
        </w:rPr>
        <w:t>Meyer, E. (2015) </w:t>
      </w:r>
      <w:r w:rsidRPr="00D16E7E">
        <w:rPr>
          <w:i/>
          <w:iCs/>
          <w:sz w:val="24"/>
          <w:szCs w:val="24"/>
        </w:rPr>
        <w:t>The culture map: Decoding how people think across cultures</w:t>
      </w:r>
      <w:r w:rsidRPr="00D16E7E">
        <w:rPr>
          <w:sz w:val="24"/>
          <w:szCs w:val="24"/>
        </w:rPr>
        <w:t>. New York: PublicAffairs.</w:t>
      </w:r>
    </w:p>
    <w:p w14:paraId="4A764F25" w14:textId="1D7133F5" w:rsidR="00D16E7E" w:rsidRPr="00D16E7E" w:rsidRDefault="00D16E7E" w:rsidP="00D16E7E">
      <w:pPr>
        <w:rPr>
          <w:sz w:val="24"/>
          <w:szCs w:val="24"/>
        </w:rPr>
      </w:pPr>
      <w:r w:rsidRPr="00D16E7E">
        <w:rPr>
          <w:sz w:val="24"/>
          <w:szCs w:val="24"/>
        </w:rPr>
        <w:t>Renwick, D.W., Jabbour, C.J., Muller-Camen, M., Redman, T. and Wilkinson, A. (2016) </w:t>
      </w:r>
      <w:r w:rsidRPr="00D16E7E">
        <w:rPr>
          <w:i/>
          <w:iCs/>
          <w:sz w:val="24"/>
          <w:szCs w:val="24"/>
        </w:rPr>
        <w:t>Green human resource management</w:t>
      </w:r>
      <w:r w:rsidRPr="00D16E7E">
        <w:rPr>
          <w:sz w:val="24"/>
          <w:szCs w:val="24"/>
        </w:rPr>
        <w:t>. Available at: </w:t>
      </w:r>
      <w:hyperlink r:id="rId20" w:history="1">
        <w:r w:rsidRPr="00D16E7E">
          <w:rPr>
            <w:rStyle w:val="Hyperlink"/>
            <w:sz w:val="24"/>
            <w:szCs w:val="24"/>
          </w:rPr>
          <w:t>https://www.tandfonline.com/doi/full/10.1080/09585192.2015.1105844</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37C72C23" w14:textId="13254184" w:rsidR="00D16E7E" w:rsidRPr="00D16E7E" w:rsidRDefault="00D16E7E" w:rsidP="00D16E7E">
      <w:pPr>
        <w:rPr>
          <w:sz w:val="24"/>
          <w:szCs w:val="24"/>
        </w:rPr>
      </w:pPr>
      <w:r w:rsidRPr="00D16E7E">
        <w:rPr>
          <w:sz w:val="24"/>
          <w:szCs w:val="24"/>
        </w:rPr>
        <w:t>Sparrow, P. and Cooper, C.L. (2014) </w:t>
      </w:r>
      <w:r w:rsidRPr="00D16E7E">
        <w:rPr>
          <w:i/>
          <w:iCs/>
          <w:sz w:val="24"/>
          <w:szCs w:val="24"/>
        </w:rPr>
        <w:t>Organizational effectiveness, people and performance</w:t>
      </w:r>
      <w:r w:rsidRPr="00D16E7E">
        <w:rPr>
          <w:sz w:val="24"/>
          <w:szCs w:val="24"/>
        </w:rPr>
        <w:t>. Available at: </w:t>
      </w:r>
      <w:hyperlink r:id="rId21" w:history="1">
        <w:r w:rsidRPr="00D16E7E">
          <w:rPr>
            <w:rStyle w:val="Hyperlink"/>
            <w:sz w:val="24"/>
            <w:szCs w:val="24"/>
          </w:rPr>
          <w:t>https://www.emerald.com/insight/content/doi/10.1108/JOEPP-01-2014-0004</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6EF5118E" w14:textId="53B33FBD" w:rsidR="00D16E7E" w:rsidRPr="00D16E7E" w:rsidRDefault="00D16E7E" w:rsidP="00D16E7E">
      <w:pPr>
        <w:rPr>
          <w:sz w:val="24"/>
          <w:szCs w:val="24"/>
        </w:rPr>
      </w:pPr>
      <w:r w:rsidRPr="00D16E7E">
        <w:rPr>
          <w:sz w:val="24"/>
          <w:szCs w:val="24"/>
        </w:rPr>
        <w:t>Stahl, G.K., Brewster, C.J., Collings, D.G. and Hajro, A. (2020) </w:t>
      </w:r>
      <w:r w:rsidRPr="00D16E7E">
        <w:rPr>
          <w:i/>
          <w:iCs/>
          <w:sz w:val="24"/>
          <w:szCs w:val="24"/>
        </w:rPr>
        <w:t>Enhancing the role of human resource management in corporate sustainability</w:t>
      </w:r>
      <w:r w:rsidRPr="00D16E7E">
        <w:rPr>
          <w:sz w:val="24"/>
          <w:szCs w:val="24"/>
        </w:rPr>
        <w:t>. Available at: </w:t>
      </w:r>
      <w:hyperlink r:id="rId22" w:history="1">
        <w:r w:rsidRPr="00D16E7E">
          <w:rPr>
            <w:rStyle w:val="Hyperlink"/>
            <w:sz w:val="24"/>
            <w:szCs w:val="24"/>
          </w:rPr>
          <w:t>https://onlinelibrary.wiley.com/doi/10.1002/hrm.21963</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4AAF626E" w14:textId="26D07129" w:rsidR="00D16E7E" w:rsidRPr="00D16E7E" w:rsidRDefault="00D16E7E" w:rsidP="00D16E7E">
      <w:pPr>
        <w:rPr>
          <w:sz w:val="24"/>
          <w:szCs w:val="24"/>
        </w:rPr>
      </w:pPr>
      <w:r w:rsidRPr="00D16E7E">
        <w:rPr>
          <w:sz w:val="24"/>
          <w:szCs w:val="24"/>
        </w:rPr>
        <w:t>Stone, D.L. and Deadrick, D.L. (2015) </w:t>
      </w:r>
      <w:r w:rsidRPr="00D16E7E">
        <w:rPr>
          <w:i/>
          <w:iCs/>
          <w:sz w:val="24"/>
          <w:szCs w:val="24"/>
        </w:rPr>
        <w:t>Challenges and opportunities affecting the future of human resource management</w:t>
      </w:r>
      <w:r w:rsidRPr="00D16E7E">
        <w:rPr>
          <w:sz w:val="24"/>
          <w:szCs w:val="24"/>
        </w:rPr>
        <w:t>. Available at: </w:t>
      </w:r>
      <w:hyperlink r:id="rId23" w:history="1">
        <w:r w:rsidRPr="00D16E7E">
          <w:rPr>
            <w:rStyle w:val="Hyperlink"/>
            <w:sz w:val="24"/>
            <w:szCs w:val="24"/>
          </w:rPr>
          <w:t>https://www.sciencedirect.com/science/article/pii/S1053482214000606</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455FFAE4" w14:textId="77777777" w:rsidR="00D16E7E" w:rsidRPr="00D16E7E" w:rsidRDefault="00D16E7E" w:rsidP="00D16E7E">
      <w:pPr>
        <w:rPr>
          <w:sz w:val="24"/>
          <w:szCs w:val="24"/>
        </w:rPr>
      </w:pPr>
      <w:r w:rsidRPr="00D16E7E">
        <w:rPr>
          <w:sz w:val="24"/>
          <w:szCs w:val="24"/>
        </w:rPr>
        <w:t>Tarique, I. and Schuler, R.S. (2018) </w:t>
      </w:r>
      <w:r w:rsidRPr="00D16E7E">
        <w:rPr>
          <w:i/>
          <w:iCs/>
          <w:sz w:val="24"/>
          <w:szCs w:val="24"/>
        </w:rPr>
        <w:t>Global talent management</w:t>
      </w:r>
      <w:r w:rsidRPr="00D16E7E">
        <w:rPr>
          <w:sz w:val="24"/>
          <w:szCs w:val="24"/>
        </w:rPr>
        <w:t>. 2nd edn. London: Routledge.</w:t>
      </w:r>
    </w:p>
    <w:p w14:paraId="0E28CA02" w14:textId="77777777" w:rsidR="00D16E7E" w:rsidRPr="00D16E7E" w:rsidRDefault="00D16E7E" w:rsidP="00D16E7E">
      <w:pPr>
        <w:rPr>
          <w:sz w:val="24"/>
          <w:szCs w:val="24"/>
        </w:rPr>
      </w:pPr>
      <w:r w:rsidRPr="00D16E7E">
        <w:rPr>
          <w:sz w:val="24"/>
          <w:szCs w:val="24"/>
        </w:rPr>
        <w:t>Torrington, D., Hall, L., Atkinson, C. and Taylor, S. (2020) </w:t>
      </w:r>
      <w:r w:rsidRPr="00D16E7E">
        <w:rPr>
          <w:i/>
          <w:iCs/>
          <w:sz w:val="24"/>
          <w:szCs w:val="24"/>
        </w:rPr>
        <w:t>Human resource management</w:t>
      </w:r>
      <w:r w:rsidRPr="00D16E7E">
        <w:rPr>
          <w:sz w:val="24"/>
          <w:szCs w:val="24"/>
        </w:rPr>
        <w:t>. 11th edn. Harlow: Pearson Education.</w:t>
      </w:r>
    </w:p>
    <w:p w14:paraId="4DDA65A6" w14:textId="6D54EE6D" w:rsidR="00D16E7E" w:rsidRPr="00D16E7E" w:rsidRDefault="00D16E7E" w:rsidP="00D16E7E">
      <w:pPr>
        <w:rPr>
          <w:sz w:val="24"/>
          <w:szCs w:val="24"/>
        </w:rPr>
      </w:pPr>
      <w:r w:rsidRPr="00D16E7E">
        <w:rPr>
          <w:sz w:val="24"/>
          <w:szCs w:val="24"/>
        </w:rPr>
        <w:t>Ulrich, D. and Dulebohn, J.H. (2015) </w:t>
      </w:r>
      <w:r w:rsidRPr="00D16E7E">
        <w:rPr>
          <w:i/>
          <w:iCs/>
          <w:sz w:val="24"/>
          <w:szCs w:val="24"/>
        </w:rPr>
        <w:t>Are we there yet? What's next for HR?</w:t>
      </w:r>
      <w:r w:rsidRPr="00D16E7E">
        <w:rPr>
          <w:sz w:val="24"/>
          <w:szCs w:val="24"/>
        </w:rPr>
        <w:t>. Available at: </w:t>
      </w:r>
      <w:hyperlink r:id="rId24" w:history="1">
        <w:r w:rsidRPr="00D16E7E">
          <w:rPr>
            <w:rStyle w:val="Hyperlink"/>
            <w:sz w:val="24"/>
            <w:szCs w:val="24"/>
          </w:rPr>
          <w:t>https://onlinelibrary.wiley.com/doi/10.1002/hrm.21681</w:t>
        </w:r>
      </w:hyperlink>
      <w:r w:rsidRPr="00D16E7E">
        <w:rPr>
          <w:sz w:val="24"/>
          <w:szCs w:val="24"/>
        </w:rPr>
        <w:t xml:space="preserve"> (Accessed: </w:t>
      </w:r>
      <w:r w:rsidR="007E0A32">
        <w:rPr>
          <w:sz w:val="24"/>
          <w:szCs w:val="24"/>
        </w:rPr>
        <w:t>16 October</w:t>
      </w:r>
      <w:r w:rsidR="007E0A32" w:rsidRPr="00D16E7E">
        <w:rPr>
          <w:sz w:val="24"/>
          <w:szCs w:val="24"/>
        </w:rPr>
        <w:t xml:space="preserve"> 202</w:t>
      </w:r>
      <w:r w:rsidR="007E0A32">
        <w:rPr>
          <w:sz w:val="24"/>
          <w:szCs w:val="24"/>
        </w:rPr>
        <w:t>5</w:t>
      </w:r>
      <w:r w:rsidRPr="00D16E7E">
        <w:rPr>
          <w:sz w:val="24"/>
          <w:szCs w:val="24"/>
        </w:rPr>
        <w:t>).</w:t>
      </w:r>
    </w:p>
    <w:p w14:paraId="4BCEEFB0" w14:textId="60F375A8" w:rsidR="002A5174" w:rsidRDefault="00EB0B4C">
      <w:pPr>
        <w:rPr>
          <w:i/>
          <w:iCs/>
          <w:sz w:val="24"/>
          <w:szCs w:val="24"/>
        </w:rPr>
      </w:pPr>
      <w:r w:rsidRPr="00EB0B4C">
        <w:rPr>
          <w:sz w:val="24"/>
          <w:szCs w:val="24"/>
        </w:rPr>
        <w:t xml:space="preserve">Beaming; Censuswide; Opinium. (2024). </w:t>
      </w:r>
      <w:r w:rsidRPr="00EB0B4C">
        <w:rPr>
          <w:i/>
          <w:iCs/>
          <w:sz w:val="24"/>
          <w:szCs w:val="24"/>
        </w:rPr>
        <w:t>Adoption of Digital Transformation Technologies in UK Industry (2021-2024)</w:t>
      </w:r>
    </w:p>
    <w:p w14:paraId="427200CD" w14:textId="295461F6" w:rsidR="00EB0B4C" w:rsidRDefault="00EB0B4C">
      <w:pPr>
        <w:rPr>
          <w:sz w:val="24"/>
          <w:szCs w:val="24"/>
        </w:rPr>
      </w:pPr>
      <w:r w:rsidRPr="00EB0B4C">
        <w:rPr>
          <w:sz w:val="24"/>
          <w:szCs w:val="24"/>
        </w:rPr>
        <w:lastRenderedPageBreak/>
        <w:t xml:space="preserve">Matellio. (2023/2024). </w:t>
      </w:r>
      <w:r w:rsidRPr="00EB0B4C">
        <w:rPr>
          <w:i/>
          <w:iCs/>
          <w:sz w:val="24"/>
          <w:szCs w:val="24"/>
        </w:rPr>
        <w:t>HR Digital Transformation in Numbers: Key Statistics &amp; Insights.</w:t>
      </w:r>
      <w:r w:rsidRPr="00EB0B4C">
        <w:rPr>
          <w:sz w:val="24"/>
          <w:szCs w:val="24"/>
        </w:rPr>
        <w:t xml:space="preserve"> Retrieved from </w:t>
      </w:r>
      <w:hyperlink r:id="rId25" w:history="1">
        <w:r w:rsidR="009105A2" w:rsidRPr="00D176BF">
          <w:rPr>
            <w:rStyle w:val="Hyperlink"/>
            <w:sz w:val="24"/>
            <w:szCs w:val="24"/>
          </w:rPr>
          <w:t>https://www.matellio.com/blog/hr-digital-transformation-services/</w:t>
        </w:r>
      </w:hyperlink>
      <w:r w:rsidR="009105A2" w:rsidRPr="009105A2">
        <w:rPr>
          <w:sz w:val="24"/>
          <w:szCs w:val="24"/>
        </w:rPr>
        <w:t>?</w:t>
      </w:r>
      <w:r w:rsidR="009105A2">
        <w:rPr>
          <w:sz w:val="24"/>
          <w:szCs w:val="24"/>
        </w:rPr>
        <w:t xml:space="preserve"> (Accessed: 16 October 2025).</w:t>
      </w:r>
    </w:p>
    <w:p w14:paraId="062FEF37" w14:textId="0A8C68D0" w:rsidR="00EB0B4C" w:rsidRDefault="00EB0B4C">
      <w:pPr>
        <w:rPr>
          <w:sz w:val="24"/>
          <w:szCs w:val="24"/>
        </w:rPr>
      </w:pPr>
      <w:r w:rsidRPr="00EB0B4C">
        <w:rPr>
          <w:sz w:val="24"/>
          <w:szCs w:val="24"/>
        </w:rPr>
        <w:t xml:space="preserve">Standout-CV. (2025). </w:t>
      </w:r>
      <w:r w:rsidRPr="00EB0B4C">
        <w:rPr>
          <w:i/>
          <w:iCs/>
          <w:sz w:val="24"/>
          <w:szCs w:val="24"/>
        </w:rPr>
        <w:t>Remote Working Statistics UK.</w:t>
      </w:r>
      <w:r w:rsidRPr="00EB0B4C">
        <w:rPr>
          <w:sz w:val="24"/>
          <w:szCs w:val="24"/>
        </w:rPr>
        <w:t xml:space="preserve"> Retrieved from </w:t>
      </w:r>
      <w:hyperlink r:id="rId26" w:history="1">
        <w:r w:rsidR="009105A2" w:rsidRPr="00D176BF">
          <w:rPr>
            <w:rStyle w:val="Hyperlink"/>
            <w:sz w:val="24"/>
            <w:szCs w:val="24"/>
          </w:rPr>
          <w:t>https://standout-cv.com/stats/remote-working-statistics-uk</w:t>
        </w:r>
      </w:hyperlink>
      <w:r w:rsidR="009105A2" w:rsidRPr="009105A2">
        <w:rPr>
          <w:sz w:val="24"/>
          <w:szCs w:val="24"/>
        </w:rPr>
        <w:t>?</w:t>
      </w:r>
      <w:r w:rsidR="009105A2">
        <w:rPr>
          <w:sz w:val="24"/>
          <w:szCs w:val="24"/>
        </w:rPr>
        <w:t xml:space="preserve"> (Accessed: 16 October 2025).</w:t>
      </w:r>
    </w:p>
    <w:p w14:paraId="380BF466" w14:textId="30BD309A" w:rsidR="00EB0B4C" w:rsidRPr="00D16E7E" w:rsidRDefault="00EB0B4C">
      <w:pPr>
        <w:rPr>
          <w:sz w:val="24"/>
          <w:szCs w:val="24"/>
        </w:rPr>
      </w:pPr>
      <w:r w:rsidRPr="00EB0B4C">
        <w:rPr>
          <w:sz w:val="24"/>
          <w:szCs w:val="24"/>
        </w:rPr>
        <w:t xml:space="preserve">Buffer; Intuition. (2023). </w:t>
      </w:r>
      <w:r w:rsidRPr="00EB0B4C">
        <w:rPr>
          <w:i/>
          <w:iCs/>
          <w:sz w:val="24"/>
          <w:szCs w:val="24"/>
        </w:rPr>
        <w:t>Remote Work Report: Challenges of Remote Working.</w:t>
      </w:r>
      <w:r w:rsidRPr="00EB0B4C">
        <w:rPr>
          <w:sz w:val="24"/>
          <w:szCs w:val="24"/>
        </w:rPr>
        <w:t xml:space="preserve"> Retrieved from </w:t>
      </w:r>
      <w:hyperlink r:id="rId27" w:history="1">
        <w:r w:rsidR="009105A2" w:rsidRPr="00D176BF">
          <w:rPr>
            <w:rStyle w:val="Hyperlink"/>
            <w:sz w:val="24"/>
            <w:szCs w:val="24"/>
          </w:rPr>
          <w:t>https://www.intuition.com/must-know-remote-working-statistics-for-2025/</w:t>
        </w:r>
      </w:hyperlink>
      <w:r w:rsidR="009105A2">
        <w:rPr>
          <w:sz w:val="24"/>
          <w:szCs w:val="24"/>
        </w:rPr>
        <w:t xml:space="preserve">  (Accessed: 16 October 2025).</w:t>
      </w:r>
    </w:p>
    <w:sectPr w:rsidR="00EB0B4C" w:rsidRPr="00D16E7E" w:rsidSect="00954CC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D421C" w14:textId="77777777" w:rsidR="00CD2DD7" w:rsidRDefault="00CD2DD7" w:rsidP="003B3F12">
      <w:pPr>
        <w:spacing w:after="0" w:line="240" w:lineRule="auto"/>
      </w:pPr>
      <w:r>
        <w:separator/>
      </w:r>
    </w:p>
  </w:endnote>
  <w:endnote w:type="continuationSeparator" w:id="0">
    <w:p w14:paraId="7B4BC5B2" w14:textId="77777777" w:rsidR="00CD2DD7" w:rsidRDefault="00CD2DD7" w:rsidP="003B3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2262484"/>
      <w:docPartObj>
        <w:docPartGallery w:val="Page Numbers (Bottom of Page)"/>
        <w:docPartUnique/>
      </w:docPartObj>
    </w:sdtPr>
    <w:sdtEndPr>
      <w:rPr>
        <w:noProof/>
      </w:rPr>
    </w:sdtEndPr>
    <w:sdtContent>
      <w:p w14:paraId="3BC9FCDA" w14:textId="2E230C3F" w:rsidR="003B3F12" w:rsidRDefault="003B3F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C6F634" w14:textId="77777777" w:rsidR="003B3F12" w:rsidRDefault="003B3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88991" w14:textId="77777777" w:rsidR="00CD2DD7" w:rsidRDefault="00CD2DD7" w:rsidP="003B3F12">
      <w:pPr>
        <w:spacing w:after="0" w:line="240" w:lineRule="auto"/>
      </w:pPr>
      <w:r>
        <w:separator/>
      </w:r>
    </w:p>
  </w:footnote>
  <w:footnote w:type="continuationSeparator" w:id="0">
    <w:p w14:paraId="785C7EA9" w14:textId="77777777" w:rsidR="00CD2DD7" w:rsidRDefault="00CD2DD7" w:rsidP="003B3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3037E"/>
    <w:multiLevelType w:val="multilevel"/>
    <w:tmpl w:val="3BD6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CC34C3"/>
    <w:multiLevelType w:val="multilevel"/>
    <w:tmpl w:val="B55AF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2C3F0A"/>
    <w:multiLevelType w:val="multilevel"/>
    <w:tmpl w:val="4726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360BF9"/>
    <w:multiLevelType w:val="multilevel"/>
    <w:tmpl w:val="E2104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E84618"/>
    <w:multiLevelType w:val="multilevel"/>
    <w:tmpl w:val="A446A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EC4883"/>
    <w:multiLevelType w:val="multilevel"/>
    <w:tmpl w:val="FFF4F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77851090">
    <w:abstractNumId w:val="5"/>
  </w:num>
  <w:num w:numId="2" w16cid:durableId="491221103">
    <w:abstractNumId w:val="4"/>
  </w:num>
  <w:num w:numId="3" w16cid:durableId="1362630574">
    <w:abstractNumId w:val="0"/>
  </w:num>
  <w:num w:numId="4" w16cid:durableId="811948879">
    <w:abstractNumId w:val="1"/>
  </w:num>
  <w:num w:numId="5" w16cid:durableId="300575886">
    <w:abstractNumId w:val="2"/>
  </w:num>
  <w:num w:numId="6" w16cid:durableId="761802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84A"/>
    <w:rsid w:val="00061B9A"/>
    <w:rsid w:val="00250E3A"/>
    <w:rsid w:val="002A5174"/>
    <w:rsid w:val="003B3F12"/>
    <w:rsid w:val="003D45CB"/>
    <w:rsid w:val="004735F9"/>
    <w:rsid w:val="0066459D"/>
    <w:rsid w:val="007E0A32"/>
    <w:rsid w:val="00871B2E"/>
    <w:rsid w:val="0089006F"/>
    <w:rsid w:val="009105A2"/>
    <w:rsid w:val="00954CC6"/>
    <w:rsid w:val="0096055C"/>
    <w:rsid w:val="00A72A50"/>
    <w:rsid w:val="00A864F4"/>
    <w:rsid w:val="00B80273"/>
    <w:rsid w:val="00BE3FF5"/>
    <w:rsid w:val="00CD2DD7"/>
    <w:rsid w:val="00CD684A"/>
    <w:rsid w:val="00D0068D"/>
    <w:rsid w:val="00D16E7E"/>
    <w:rsid w:val="00D82DBB"/>
    <w:rsid w:val="00EB0B4C"/>
    <w:rsid w:val="00FA7F7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150E3"/>
  <w15:chartTrackingRefBased/>
  <w15:docId w15:val="{4EDA2A63-2A49-408D-AE7F-5C6E4CFB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CD684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CD684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CD684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D68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8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8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8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8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8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84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CD684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CD684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D68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8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8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8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8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84A"/>
    <w:rPr>
      <w:rFonts w:eastAsiaTheme="majorEastAsia" w:cstheme="majorBidi"/>
      <w:color w:val="272727" w:themeColor="text1" w:themeTint="D8"/>
    </w:rPr>
  </w:style>
  <w:style w:type="paragraph" w:styleId="Title">
    <w:name w:val="Title"/>
    <w:basedOn w:val="Normal"/>
    <w:next w:val="Normal"/>
    <w:link w:val="TitleChar"/>
    <w:uiPriority w:val="10"/>
    <w:qFormat/>
    <w:rsid w:val="00CD684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D684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D684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D684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D684A"/>
    <w:pPr>
      <w:spacing w:before="160"/>
      <w:jc w:val="center"/>
    </w:pPr>
    <w:rPr>
      <w:i/>
      <w:iCs/>
      <w:color w:val="404040" w:themeColor="text1" w:themeTint="BF"/>
    </w:rPr>
  </w:style>
  <w:style w:type="character" w:customStyle="1" w:styleId="QuoteChar">
    <w:name w:val="Quote Char"/>
    <w:basedOn w:val="DefaultParagraphFont"/>
    <w:link w:val="Quote"/>
    <w:uiPriority w:val="29"/>
    <w:rsid w:val="00CD684A"/>
    <w:rPr>
      <w:rFonts w:cs="Vrinda"/>
      <w:i/>
      <w:iCs/>
      <w:color w:val="404040" w:themeColor="text1" w:themeTint="BF"/>
    </w:rPr>
  </w:style>
  <w:style w:type="paragraph" w:styleId="ListParagraph">
    <w:name w:val="List Paragraph"/>
    <w:basedOn w:val="Normal"/>
    <w:uiPriority w:val="34"/>
    <w:qFormat/>
    <w:rsid w:val="00CD684A"/>
    <w:pPr>
      <w:ind w:left="720"/>
      <w:contextualSpacing/>
    </w:pPr>
  </w:style>
  <w:style w:type="character" w:styleId="IntenseEmphasis">
    <w:name w:val="Intense Emphasis"/>
    <w:basedOn w:val="DefaultParagraphFont"/>
    <w:uiPriority w:val="21"/>
    <w:qFormat/>
    <w:rsid w:val="00CD684A"/>
    <w:rPr>
      <w:i/>
      <w:iCs/>
      <w:color w:val="0F4761" w:themeColor="accent1" w:themeShade="BF"/>
    </w:rPr>
  </w:style>
  <w:style w:type="paragraph" w:styleId="IntenseQuote">
    <w:name w:val="Intense Quote"/>
    <w:basedOn w:val="Normal"/>
    <w:next w:val="Normal"/>
    <w:link w:val="IntenseQuoteChar"/>
    <w:uiPriority w:val="30"/>
    <w:qFormat/>
    <w:rsid w:val="00CD68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84A"/>
    <w:rPr>
      <w:rFonts w:cs="Vrinda"/>
      <w:i/>
      <w:iCs/>
      <w:color w:val="0F4761" w:themeColor="accent1" w:themeShade="BF"/>
    </w:rPr>
  </w:style>
  <w:style w:type="character" w:styleId="IntenseReference">
    <w:name w:val="Intense Reference"/>
    <w:basedOn w:val="DefaultParagraphFont"/>
    <w:uiPriority w:val="32"/>
    <w:qFormat/>
    <w:rsid w:val="00CD684A"/>
    <w:rPr>
      <w:b/>
      <w:bCs/>
      <w:smallCaps/>
      <w:color w:val="0F4761" w:themeColor="accent1" w:themeShade="BF"/>
      <w:spacing w:val="5"/>
    </w:rPr>
  </w:style>
  <w:style w:type="character" w:styleId="Hyperlink">
    <w:name w:val="Hyperlink"/>
    <w:basedOn w:val="DefaultParagraphFont"/>
    <w:uiPriority w:val="99"/>
    <w:unhideWhenUsed/>
    <w:rsid w:val="004735F9"/>
    <w:rPr>
      <w:color w:val="467886" w:themeColor="hyperlink"/>
      <w:u w:val="single"/>
    </w:rPr>
  </w:style>
  <w:style w:type="character" w:styleId="UnresolvedMention">
    <w:name w:val="Unresolved Mention"/>
    <w:basedOn w:val="DefaultParagraphFont"/>
    <w:uiPriority w:val="99"/>
    <w:semiHidden/>
    <w:unhideWhenUsed/>
    <w:rsid w:val="004735F9"/>
    <w:rPr>
      <w:color w:val="605E5C"/>
      <w:shd w:val="clear" w:color="auto" w:fill="E1DFDD"/>
    </w:rPr>
  </w:style>
  <w:style w:type="paragraph" w:styleId="Header">
    <w:name w:val="header"/>
    <w:basedOn w:val="Normal"/>
    <w:link w:val="HeaderChar"/>
    <w:uiPriority w:val="99"/>
    <w:unhideWhenUsed/>
    <w:rsid w:val="003B3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F12"/>
    <w:rPr>
      <w:rFonts w:cs="Vrinda"/>
    </w:rPr>
  </w:style>
  <w:style w:type="paragraph" w:styleId="Footer">
    <w:name w:val="footer"/>
    <w:basedOn w:val="Normal"/>
    <w:link w:val="FooterChar"/>
    <w:uiPriority w:val="99"/>
    <w:unhideWhenUsed/>
    <w:rsid w:val="003B3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F12"/>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gsb.stanford.edu/faculty-research/publications/does-working-home-work-evidence-chinese-experiment" TargetMode="External"/><Relationship Id="rId18" Type="http://schemas.openxmlformats.org/officeDocument/2006/relationships/hyperlink" Target="https://www.emerald.com/insight/content/doi/10.1108/IJHRM-01-2013-0009" TargetMode="External"/><Relationship Id="rId26" Type="http://schemas.openxmlformats.org/officeDocument/2006/relationships/hyperlink" Target="https://standout-cv.com/stats/remote-working-statistics-uk" TargetMode="External"/><Relationship Id="rId3" Type="http://schemas.openxmlformats.org/officeDocument/2006/relationships/settings" Target="settings.xml"/><Relationship Id="rId21" Type="http://schemas.openxmlformats.org/officeDocument/2006/relationships/hyperlink" Target="https://www.emerald.com/insight/content/doi/10.1108/JOEPP-01-2014-0004" TargetMode="External"/><Relationship Id="rId7" Type="http://schemas.openxmlformats.org/officeDocument/2006/relationships/image" Target="media/image1.jpg"/><Relationship Id="rId12" Type="http://schemas.openxmlformats.org/officeDocument/2006/relationships/hyperlink" Target="https://www.annualreviews.org/doi/10.1146/annurev-orgpsych-032516-113108" TargetMode="External"/><Relationship Id="rId17" Type="http://schemas.openxmlformats.org/officeDocument/2006/relationships/hyperlink" Target="https://www.who.int/bangladesh/news/detail/mental-health-scenario" TargetMode="External"/><Relationship Id="rId25" Type="http://schemas.openxmlformats.org/officeDocument/2006/relationships/hyperlink" Target="https://www.matellio.com/blog/hr-digital-transformation-services/" TargetMode="External"/><Relationship Id="rId2" Type="http://schemas.openxmlformats.org/officeDocument/2006/relationships/styles" Target="styles.xml"/><Relationship Id="rId16" Type="http://schemas.openxmlformats.org/officeDocument/2006/relationships/hyperlink" Target="https://onlinelibrary.wiley.com/doi/10.1111/1748-8583.12139" TargetMode="External"/><Relationship Id="rId20" Type="http://schemas.openxmlformats.org/officeDocument/2006/relationships/hyperlink" Target="https://www.tandfonline.com/doi/full/10.1080/09585192.2015.110584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onlinelibrary.wiley.com/doi/10.1002/hrm.21681" TargetMode="External"/><Relationship Id="rId5" Type="http://schemas.openxmlformats.org/officeDocument/2006/relationships/footnotes" Target="footnotes.xml"/><Relationship Id="rId15" Type="http://schemas.openxmlformats.org/officeDocument/2006/relationships/hyperlink" Target="https://www.cipd.co.uk/knowledge/culture/well-being/health-well-being-work" TargetMode="External"/><Relationship Id="rId23" Type="http://schemas.openxmlformats.org/officeDocument/2006/relationships/hyperlink" Target="https://www.sciencedirect.com/science/article/pii/S1053482214000606"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hedailystar.net/supplements/digital-bangladesh-how-far-have-we-come"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annualreviews.org/doi/10.1146/annurev-orgpsych-041015-062352" TargetMode="External"/><Relationship Id="rId22" Type="http://schemas.openxmlformats.org/officeDocument/2006/relationships/hyperlink" Target="https://onlinelibrary.wiley.com/doi/10.1002/hrm.21963" TargetMode="External"/><Relationship Id="rId27" Type="http://schemas.openxmlformats.org/officeDocument/2006/relationships/hyperlink" Target="https://www.intuition.com/must-know-remote-working-statistics-for-202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14</Pages>
  <Words>3596</Words>
  <Characters>20501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28</cp:revision>
  <dcterms:created xsi:type="dcterms:W3CDTF">2025-10-15T00:49:00Z</dcterms:created>
  <dcterms:modified xsi:type="dcterms:W3CDTF">2025-10-16T21:44:00Z</dcterms:modified>
</cp:coreProperties>
</file>