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E2792" w14:textId="77777777" w:rsidR="000374D6" w:rsidRDefault="000374D6" w:rsidP="000374D6">
      <w:pPr>
        <w:pStyle w:val="p1"/>
        <w:spacing w:line="360" w:lineRule="auto"/>
        <w:rPr>
          <w:rFonts w:asciiTheme="majorHAnsi" w:hAnsiTheme="majorHAnsi"/>
          <w:b/>
          <w:bCs/>
        </w:rPr>
      </w:pPr>
    </w:p>
    <w:p w14:paraId="7EA1063E" w14:textId="77777777" w:rsidR="000374D6" w:rsidRDefault="000374D6" w:rsidP="000374D6">
      <w:pPr>
        <w:pStyle w:val="p1"/>
        <w:spacing w:line="360" w:lineRule="auto"/>
        <w:rPr>
          <w:rFonts w:asciiTheme="majorHAnsi" w:hAnsiTheme="majorHAnsi"/>
          <w:b/>
          <w:bCs/>
        </w:rPr>
      </w:pPr>
    </w:p>
    <w:p w14:paraId="0279829F" w14:textId="77777777" w:rsidR="000374D6" w:rsidRDefault="000374D6" w:rsidP="000374D6">
      <w:pPr>
        <w:pStyle w:val="p1"/>
        <w:spacing w:line="360" w:lineRule="auto"/>
        <w:rPr>
          <w:rFonts w:asciiTheme="majorHAnsi" w:hAnsiTheme="majorHAnsi"/>
          <w:b/>
          <w:bCs/>
        </w:rPr>
      </w:pPr>
    </w:p>
    <w:p w14:paraId="0A94B840" w14:textId="77777777" w:rsidR="000374D6" w:rsidRDefault="000374D6" w:rsidP="000374D6">
      <w:pPr>
        <w:pStyle w:val="p1"/>
        <w:spacing w:line="360" w:lineRule="auto"/>
        <w:rPr>
          <w:rFonts w:asciiTheme="majorHAnsi" w:hAnsiTheme="majorHAnsi"/>
          <w:b/>
          <w:bCs/>
        </w:rPr>
      </w:pPr>
    </w:p>
    <w:p w14:paraId="066D225B" w14:textId="77777777" w:rsidR="000374D6" w:rsidRDefault="000374D6" w:rsidP="000374D6">
      <w:pPr>
        <w:pStyle w:val="p1"/>
        <w:spacing w:line="360" w:lineRule="auto"/>
        <w:rPr>
          <w:rFonts w:asciiTheme="majorHAnsi" w:hAnsiTheme="majorHAnsi"/>
          <w:b/>
          <w:bCs/>
        </w:rPr>
      </w:pPr>
    </w:p>
    <w:p w14:paraId="23CBC2E2" w14:textId="77777777" w:rsidR="000374D6" w:rsidRDefault="000374D6" w:rsidP="000374D6">
      <w:pPr>
        <w:pStyle w:val="p1"/>
        <w:spacing w:line="360" w:lineRule="auto"/>
        <w:rPr>
          <w:rFonts w:asciiTheme="majorHAnsi" w:hAnsiTheme="majorHAnsi"/>
          <w:b/>
          <w:bCs/>
        </w:rPr>
      </w:pPr>
    </w:p>
    <w:p w14:paraId="5B002DC5" w14:textId="77777777" w:rsidR="000374D6" w:rsidRDefault="000374D6" w:rsidP="000374D6">
      <w:pPr>
        <w:pStyle w:val="p1"/>
        <w:spacing w:line="360" w:lineRule="auto"/>
        <w:rPr>
          <w:rFonts w:asciiTheme="majorHAnsi" w:hAnsiTheme="majorHAnsi"/>
          <w:b/>
          <w:bCs/>
        </w:rPr>
      </w:pPr>
    </w:p>
    <w:p w14:paraId="30E8D76D" w14:textId="77777777" w:rsidR="000374D6" w:rsidRDefault="000374D6" w:rsidP="000374D6">
      <w:pPr>
        <w:pStyle w:val="p1"/>
        <w:spacing w:line="360" w:lineRule="auto"/>
        <w:rPr>
          <w:rFonts w:asciiTheme="majorHAnsi" w:hAnsiTheme="majorHAnsi"/>
          <w:b/>
          <w:bCs/>
        </w:rPr>
      </w:pPr>
    </w:p>
    <w:p w14:paraId="6F9D49E9" w14:textId="77777777" w:rsidR="000374D6" w:rsidRDefault="000374D6" w:rsidP="000374D6">
      <w:pPr>
        <w:pStyle w:val="p1"/>
        <w:spacing w:line="360" w:lineRule="auto"/>
        <w:rPr>
          <w:rFonts w:asciiTheme="majorHAnsi" w:hAnsiTheme="majorHAnsi"/>
          <w:b/>
          <w:bCs/>
        </w:rPr>
      </w:pPr>
    </w:p>
    <w:p w14:paraId="00295D45" w14:textId="77777777" w:rsidR="000374D6" w:rsidRPr="000374D6" w:rsidRDefault="000374D6" w:rsidP="000374D6">
      <w:pPr>
        <w:pStyle w:val="p1"/>
        <w:spacing w:line="360" w:lineRule="auto"/>
        <w:rPr>
          <w:rFonts w:asciiTheme="minorHAnsi" w:hAnsiTheme="minorHAnsi"/>
          <w:b/>
          <w:bCs/>
        </w:rPr>
      </w:pPr>
    </w:p>
    <w:p w14:paraId="330A8198" w14:textId="77777777" w:rsidR="000374D6" w:rsidRDefault="000374D6" w:rsidP="000374D6">
      <w:pPr>
        <w:pStyle w:val="Heading1"/>
        <w:rPr>
          <w:rFonts w:asciiTheme="minorHAnsi" w:hAnsiTheme="minorHAnsi" w:cs="Calibri"/>
          <w:b/>
          <w:bCs/>
          <w:color w:val="000000" w:themeColor="text1"/>
          <w:sz w:val="24"/>
          <w:szCs w:val="24"/>
        </w:rPr>
      </w:pPr>
    </w:p>
    <w:p w14:paraId="51A576AD" w14:textId="77777777" w:rsidR="000374D6" w:rsidRDefault="000374D6" w:rsidP="000374D6">
      <w:pPr>
        <w:pStyle w:val="Heading1"/>
        <w:rPr>
          <w:rFonts w:asciiTheme="minorHAnsi" w:hAnsiTheme="minorHAnsi" w:cs="Calibri"/>
          <w:b/>
          <w:bCs/>
          <w:color w:val="000000" w:themeColor="text1"/>
          <w:sz w:val="24"/>
          <w:szCs w:val="24"/>
        </w:rPr>
      </w:pPr>
    </w:p>
    <w:p w14:paraId="07CDF86C" w14:textId="77777777" w:rsidR="000374D6" w:rsidRDefault="000374D6" w:rsidP="000374D6">
      <w:pPr>
        <w:pStyle w:val="Heading1"/>
        <w:rPr>
          <w:rFonts w:asciiTheme="minorHAnsi" w:hAnsiTheme="minorHAnsi" w:cs="Calibri"/>
          <w:b/>
          <w:bCs/>
          <w:color w:val="000000" w:themeColor="text1"/>
          <w:sz w:val="24"/>
          <w:szCs w:val="24"/>
        </w:rPr>
      </w:pPr>
    </w:p>
    <w:p w14:paraId="64934FE3" w14:textId="77777777" w:rsidR="000374D6" w:rsidRDefault="000374D6" w:rsidP="000374D6">
      <w:pPr>
        <w:pStyle w:val="Heading1"/>
        <w:rPr>
          <w:rFonts w:asciiTheme="minorHAnsi" w:hAnsiTheme="minorHAnsi" w:cs="Calibri"/>
          <w:b/>
          <w:bCs/>
          <w:color w:val="000000" w:themeColor="text1"/>
          <w:sz w:val="24"/>
          <w:szCs w:val="24"/>
        </w:rPr>
      </w:pPr>
    </w:p>
    <w:p w14:paraId="1FA98E7A" w14:textId="77777777" w:rsidR="000374D6" w:rsidRDefault="000374D6" w:rsidP="000374D6">
      <w:pPr>
        <w:pStyle w:val="Heading1"/>
        <w:rPr>
          <w:rFonts w:asciiTheme="minorHAnsi" w:hAnsiTheme="minorHAnsi" w:cs="Calibri"/>
          <w:b/>
          <w:bCs/>
          <w:color w:val="000000" w:themeColor="text1"/>
          <w:sz w:val="24"/>
          <w:szCs w:val="24"/>
        </w:rPr>
      </w:pPr>
    </w:p>
    <w:p w14:paraId="4DEBC9A7" w14:textId="026CB6B2" w:rsidR="000374D6" w:rsidRPr="000374D6" w:rsidRDefault="000374D6" w:rsidP="000374D6">
      <w:pPr>
        <w:pStyle w:val="Heading1"/>
        <w:rPr>
          <w:rFonts w:asciiTheme="minorHAnsi" w:eastAsia="Times New Roman" w:hAnsiTheme="minorHAnsi" w:cs="Times New Roman"/>
          <w:b/>
          <w:bCs/>
          <w:color w:val="auto"/>
          <w:kern w:val="36"/>
          <w:sz w:val="24"/>
          <w:szCs w:val="24"/>
          <w:lang w:eastAsia="en-GB"/>
          <w14:ligatures w14:val="none"/>
        </w:rPr>
      </w:pPr>
      <w:r w:rsidRPr="000374D6">
        <w:rPr>
          <w:rFonts w:asciiTheme="minorHAnsi" w:hAnsiTheme="minorHAnsi" w:cs="Calibri"/>
          <w:b/>
          <w:bCs/>
          <w:color w:val="000000" w:themeColor="text1"/>
          <w:sz w:val="24"/>
          <w:szCs w:val="24"/>
        </w:rPr>
        <w:t>Title</w:t>
      </w:r>
      <w:r w:rsidRPr="000374D6">
        <w:rPr>
          <w:rFonts w:asciiTheme="minorHAnsi" w:hAnsiTheme="minorHAnsi" w:cs="Calibri"/>
          <w:color w:val="000000" w:themeColor="text1"/>
          <w:sz w:val="24"/>
          <w:szCs w:val="24"/>
        </w:rPr>
        <w:t xml:space="preserve">: </w:t>
      </w:r>
      <w:r w:rsidRPr="000374D6">
        <w:rPr>
          <w:rFonts w:asciiTheme="minorHAnsi" w:eastAsia="Times New Roman" w:hAnsiTheme="minorHAnsi" w:cs="Times New Roman"/>
          <w:color w:val="auto"/>
          <w:kern w:val="36"/>
          <w:sz w:val="24"/>
          <w:szCs w:val="24"/>
          <w:lang w:eastAsia="en-GB"/>
          <w14:ligatures w14:val="none"/>
        </w:rPr>
        <w:t>A Reflective Evaluation of a Sport Nutrition Research Project</w:t>
      </w:r>
    </w:p>
    <w:p w14:paraId="69A3DE3D" w14:textId="77777777" w:rsidR="000374D6" w:rsidRPr="000374D6" w:rsidRDefault="000374D6" w:rsidP="000374D6">
      <w:pPr>
        <w:pStyle w:val="NormalWeb"/>
        <w:spacing w:line="360" w:lineRule="auto"/>
        <w:rPr>
          <w:rFonts w:asciiTheme="minorHAnsi" w:hAnsiTheme="minorHAnsi" w:cs="Calibri"/>
          <w:color w:val="000000" w:themeColor="text1"/>
        </w:rPr>
      </w:pPr>
      <w:r w:rsidRPr="000374D6">
        <w:rPr>
          <w:rFonts w:asciiTheme="minorHAnsi" w:hAnsiTheme="minorHAnsi" w:cs="Calibri"/>
          <w:b/>
          <w:bCs/>
          <w:color w:val="000000" w:themeColor="text1"/>
        </w:rPr>
        <w:t>Module Code</w:t>
      </w:r>
      <w:r w:rsidRPr="000374D6">
        <w:rPr>
          <w:rFonts w:asciiTheme="minorHAnsi" w:hAnsiTheme="minorHAnsi" w:cs="Calibri"/>
          <w:color w:val="000000" w:themeColor="text1"/>
        </w:rPr>
        <w:t>: BMOE7014</w:t>
      </w:r>
    </w:p>
    <w:p w14:paraId="4E91B8D4" w14:textId="77777777" w:rsidR="000374D6" w:rsidRPr="000374D6" w:rsidRDefault="000374D6" w:rsidP="000374D6">
      <w:pPr>
        <w:pStyle w:val="NormalWeb"/>
        <w:spacing w:line="360" w:lineRule="auto"/>
        <w:rPr>
          <w:rFonts w:asciiTheme="minorHAnsi" w:hAnsiTheme="minorHAnsi" w:cs="Calibri"/>
          <w:color w:val="000000" w:themeColor="text1"/>
        </w:rPr>
      </w:pPr>
      <w:r w:rsidRPr="000374D6">
        <w:rPr>
          <w:rFonts w:asciiTheme="minorHAnsi" w:hAnsiTheme="minorHAnsi" w:cs="Calibri"/>
          <w:b/>
          <w:bCs/>
          <w:color w:val="000000" w:themeColor="text1"/>
        </w:rPr>
        <w:t>Module Lead:</w:t>
      </w:r>
      <w:r w:rsidRPr="000374D6">
        <w:rPr>
          <w:rFonts w:asciiTheme="minorHAnsi" w:hAnsiTheme="minorHAnsi" w:cs="Calibri"/>
          <w:color w:val="000000" w:themeColor="text1"/>
        </w:rPr>
        <w:t xml:space="preserve"> Dr Nalda Wainwright</w:t>
      </w:r>
    </w:p>
    <w:p w14:paraId="476C81B8" w14:textId="77777777" w:rsidR="000374D6" w:rsidRDefault="000374D6" w:rsidP="000374D6">
      <w:pPr>
        <w:pStyle w:val="NormalWeb"/>
        <w:spacing w:line="360" w:lineRule="auto"/>
        <w:rPr>
          <w:rFonts w:asciiTheme="minorHAnsi" w:hAnsiTheme="minorHAnsi" w:cs="Calibri"/>
          <w:color w:val="000000" w:themeColor="text1"/>
        </w:rPr>
      </w:pPr>
      <w:r w:rsidRPr="000374D6">
        <w:rPr>
          <w:rFonts w:asciiTheme="minorHAnsi" w:hAnsiTheme="minorHAnsi" w:cs="Calibri"/>
          <w:b/>
          <w:bCs/>
          <w:color w:val="000000" w:themeColor="text1"/>
        </w:rPr>
        <w:t>Submission Date</w:t>
      </w:r>
      <w:r w:rsidRPr="000374D6">
        <w:rPr>
          <w:rFonts w:asciiTheme="minorHAnsi" w:hAnsiTheme="minorHAnsi" w:cs="Calibri"/>
          <w:color w:val="000000" w:themeColor="text1"/>
        </w:rPr>
        <w:t>: 11</w:t>
      </w:r>
      <w:r w:rsidRPr="000374D6">
        <w:rPr>
          <w:rFonts w:asciiTheme="minorHAnsi" w:hAnsiTheme="minorHAnsi" w:cs="Calibri"/>
          <w:color w:val="000000" w:themeColor="text1"/>
          <w:vertAlign w:val="superscript"/>
        </w:rPr>
        <w:t>TH</w:t>
      </w:r>
      <w:r w:rsidRPr="000374D6">
        <w:rPr>
          <w:rFonts w:asciiTheme="minorHAnsi" w:hAnsiTheme="minorHAnsi" w:cs="Calibri"/>
          <w:color w:val="000000" w:themeColor="text1"/>
        </w:rPr>
        <w:t xml:space="preserve"> May 2026</w:t>
      </w:r>
    </w:p>
    <w:p w14:paraId="0CDB6E4F" w14:textId="054F002F" w:rsidR="000374D6" w:rsidRPr="000374D6" w:rsidRDefault="000374D6" w:rsidP="000374D6">
      <w:pPr>
        <w:pStyle w:val="NormalWeb"/>
        <w:spacing w:line="360" w:lineRule="auto"/>
        <w:rPr>
          <w:rFonts w:asciiTheme="minorHAnsi" w:hAnsiTheme="minorHAnsi" w:cs="Calibri"/>
          <w:b/>
          <w:bCs/>
          <w:color w:val="000000" w:themeColor="text1"/>
        </w:rPr>
      </w:pPr>
      <w:r w:rsidRPr="000374D6">
        <w:rPr>
          <w:rFonts w:asciiTheme="minorHAnsi" w:hAnsiTheme="minorHAnsi" w:cs="Calibri"/>
          <w:b/>
          <w:bCs/>
          <w:color w:val="000000" w:themeColor="text1"/>
        </w:rPr>
        <w:t>Word count:</w:t>
      </w:r>
      <w:r>
        <w:rPr>
          <w:rFonts w:asciiTheme="minorHAnsi" w:hAnsiTheme="minorHAnsi" w:cs="Calibri"/>
          <w:b/>
          <w:bCs/>
          <w:color w:val="000000" w:themeColor="text1"/>
        </w:rPr>
        <w:t xml:space="preserve"> </w:t>
      </w:r>
      <w:r w:rsidRPr="000374D6">
        <w:rPr>
          <w:rFonts w:asciiTheme="minorHAnsi" w:hAnsiTheme="minorHAnsi" w:cs="Calibri"/>
          <w:color w:val="000000" w:themeColor="text1"/>
        </w:rPr>
        <w:t>3024</w:t>
      </w:r>
    </w:p>
    <w:p w14:paraId="680487F8" w14:textId="0370DFA6" w:rsidR="000374D6" w:rsidRPr="000374D6" w:rsidRDefault="000374D6" w:rsidP="000374D6">
      <w:pPr>
        <w:pStyle w:val="p1"/>
        <w:spacing w:line="360" w:lineRule="auto"/>
        <w:rPr>
          <w:rFonts w:asciiTheme="minorHAnsi" w:hAnsiTheme="minorHAnsi"/>
          <w:b/>
          <w:bCs/>
        </w:rPr>
      </w:pPr>
      <w:r w:rsidRPr="000374D6">
        <w:rPr>
          <w:rFonts w:asciiTheme="minorHAnsi" w:hAnsiTheme="minorHAnsi"/>
          <w:b/>
          <w:bCs/>
        </w:rPr>
        <w:lastRenderedPageBreak/>
        <w:t>Introduction</w:t>
      </w:r>
    </w:p>
    <w:p w14:paraId="10E11348"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 xml:space="preserve">This reflective journal critically evaluates the development and implementation of a small research project investigating the sport nutrition knowledge of parents and guardians of primary-aged football academy players. The project involved the creation and adaptation of a validated questionnaire, quantitative data analysis using </w:t>
      </w:r>
      <w:r w:rsidRPr="000374D6">
        <w:rPr>
          <w:rStyle w:val="s2"/>
          <w:rFonts w:asciiTheme="minorHAnsi" w:hAnsiTheme="minorHAnsi"/>
        </w:rPr>
        <w:t>IBM SPSS Statistics</w:t>
      </w:r>
      <w:r w:rsidRPr="000374D6">
        <w:rPr>
          <w:rStyle w:val="s1"/>
          <w:rFonts w:asciiTheme="minorHAnsi" w:hAnsiTheme="minorHAnsi"/>
        </w:rPr>
        <w:t xml:space="preserve"> and the creation of an academic research poster to present the findings. The small study aimed to identify key strengths and misconceptions within parental </w:t>
      </w:r>
      <w:bookmarkStart w:id="0" w:name="OLE_LINK2"/>
      <w:r w:rsidRPr="000374D6">
        <w:rPr>
          <w:rStyle w:val="s1"/>
          <w:rFonts w:asciiTheme="minorHAnsi" w:hAnsiTheme="minorHAnsi"/>
        </w:rPr>
        <w:t xml:space="preserve">sport nutrition knowledge </w:t>
      </w:r>
      <w:bookmarkEnd w:id="0"/>
      <w:r w:rsidRPr="000374D6">
        <w:rPr>
          <w:rStyle w:val="s1"/>
          <w:rFonts w:asciiTheme="minorHAnsi" w:hAnsiTheme="minorHAnsi"/>
        </w:rPr>
        <w:t>and explore areas where future nutrition education may be beneficial.</w:t>
      </w:r>
    </w:p>
    <w:p w14:paraId="09D4B730" w14:textId="086C76CB" w:rsidR="000374D6" w:rsidRPr="000374D6" w:rsidRDefault="000374D6" w:rsidP="000374D6">
      <w:pPr>
        <w:pStyle w:val="p1"/>
        <w:spacing w:line="360" w:lineRule="auto"/>
        <w:rPr>
          <w:rFonts w:asciiTheme="minorHAnsi" w:hAnsiTheme="minorHAnsi"/>
          <w:color w:val="EE0000"/>
        </w:rPr>
      </w:pPr>
      <w:r w:rsidRPr="000374D6">
        <w:rPr>
          <w:rFonts w:asciiTheme="minorHAnsi" w:hAnsiTheme="minorHAnsi"/>
        </w:rPr>
        <w:t xml:space="preserve">Reflection is necessary and important component of research and academic development, as it enables individuals to critically evaluate experiences, identify areas for improvement and improve future practice (Gibbs, 1988). Therefore, this reflective journal will utilise Gibbs’ </w:t>
      </w:r>
      <w:r w:rsidRPr="000374D6">
        <w:rPr>
          <w:rFonts w:asciiTheme="minorHAnsi" w:hAnsiTheme="minorHAnsi"/>
          <w:color w:val="000000" w:themeColor="text1"/>
        </w:rPr>
        <w:t>Reflective Cycle (1988) to critically reflect upon the different stages of the research process and will split the reflective process up into 6 sections which include description, feeling, evaluation, analysis, conclusion and action plan.</w:t>
      </w:r>
    </w:p>
    <w:p w14:paraId="40846A07"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Throughout the project, several challenges and areas of development emerged, particularly in relation to adapting an existing validated questionnaire for a younger population, managing quantitative data and using SPSS for statistical analysis. However, the project also provided valuable opportunities to develop research and analytical and communication skills. In addition, the process increased my understanding of the practical and methodological considerations involved in conducting research within this environment. Conducting this small group research highlighted both the opportunities and challenges associated with quantitative research, particularly within sport nutrition settings.</w:t>
      </w:r>
    </w:p>
    <w:p w14:paraId="32E47439" w14:textId="77777777" w:rsidR="000374D6" w:rsidRPr="000374D6" w:rsidRDefault="000374D6" w:rsidP="000374D6">
      <w:pPr>
        <w:pStyle w:val="p1"/>
        <w:spacing w:line="360" w:lineRule="auto"/>
        <w:rPr>
          <w:rFonts w:asciiTheme="minorHAnsi" w:hAnsiTheme="minorHAnsi"/>
        </w:rPr>
      </w:pPr>
    </w:p>
    <w:p w14:paraId="014B74D8"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 xml:space="preserve">This reflection will critically evaluate both the strengths and limitations of the project, while also considering how the experience has influenced my understanding of </w:t>
      </w:r>
      <w:r w:rsidRPr="000374D6">
        <w:rPr>
          <w:rFonts w:asciiTheme="minorHAnsi" w:hAnsiTheme="minorHAnsi"/>
        </w:rPr>
        <w:lastRenderedPageBreak/>
        <w:t>research practice and informed my future professional development within sport and exercise nutrition.</w:t>
      </w:r>
    </w:p>
    <w:p w14:paraId="46CE368B" w14:textId="77777777" w:rsidR="000374D6" w:rsidRPr="000374D6" w:rsidRDefault="000374D6" w:rsidP="000374D6">
      <w:pPr>
        <w:pStyle w:val="p1"/>
        <w:spacing w:line="360" w:lineRule="auto"/>
        <w:rPr>
          <w:rFonts w:asciiTheme="minorHAnsi" w:hAnsiTheme="minorHAnsi"/>
        </w:rPr>
      </w:pPr>
    </w:p>
    <w:p w14:paraId="700F558D" w14:textId="77777777" w:rsidR="000374D6" w:rsidRPr="000374D6" w:rsidRDefault="000374D6" w:rsidP="000374D6">
      <w:pPr>
        <w:pStyle w:val="p1"/>
        <w:spacing w:line="360" w:lineRule="auto"/>
        <w:rPr>
          <w:rFonts w:asciiTheme="minorHAnsi" w:hAnsiTheme="minorHAnsi"/>
          <w:b/>
          <w:bCs/>
        </w:rPr>
      </w:pPr>
      <w:r w:rsidRPr="000374D6">
        <w:rPr>
          <w:rFonts w:asciiTheme="minorHAnsi" w:hAnsiTheme="minorHAnsi"/>
          <w:b/>
          <w:bCs/>
        </w:rPr>
        <w:t>Description</w:t>
      </w:r>
    </w:p>
    <w:p w14:paraId="1751EC79"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This research project focused on investigating the sport nutrition knowledge of parents and guardians of primary-aged football academy players aged between seven and eleven years. The topic was selected due to a personal interest in youth sport nutrition, and the important influence parents and caregivers have on children’s dietary behaviours. Previous literature highlighted that caregivers play a significant role in shaping children’s eating habits, which subsequently has an impact on their athletic performance (Birch and Ventura, 2009). Existing research also demonstrated that sport nutrition knowledge among both athletes and caregivers is often limited, particularly in areas such as carbohydrate intake, hydration and recovery nutrition (Walsh et al., 2011). Furthermore, research conducted by Cole et al. (2025) identified relatively low levels of sport nutrition knowledge among caregivers supporting academy football players. Despite this, limited research had explored parental &amp; guardian sport nutrition knowledge within younger academy football populations, which contributed to the rationale for the study.</w:t>
      </w:r>
    </w:p>
    <w:p w14:paraId="3CE9A750" w14:textId="77777777" w:rsidR="000374D6" w:rsidRPr="000374D6" w:rsidRDefault="000374D6" w:rsidP="000374D6">
      <w:pPr>
        <w:pStyle w:val="p1"/>
        <w:spacing w:line="360" w:lineRule="auto"/>
        <w:rPr>
          <w:rFonts w:asciiTheme="minorHAnsi" w:hAnsiTheme="minorHAnsi"/>
        </w:rPr>
      </w:pPr>
    </w:p>
    <w:p w14:paraId="6AC47B3B"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 xml:space="preserve">The project adopted a quantitative cross-sectional survey design within a positivist research paradigm to assess parental sport nutrition knowledge. A questionnaire adapted from the validated PEAKS Nutrition Knowledge Questionnaire (Trakman et al., 2018) was used to assess both general and sport-specific nutrition knowledge. The original questionnaire was designed primarily for athletes therefore, several questions required adaptation to ensure relevance for parents and guardians of younger football academy players. The questionnaire included 31 questions focusing on key areas of sport nutrition, including macronutrient intake, hydration, supplementation and recovery nutrition. Participants were recruited through a local football academy, and </w:t>
      </w:r>
      <w:r w:rsidRPr="000374D6">
        <w:rPr>
          <w:rFonts w:asciiTheme="minorHAnsi" w:hAnsiTheme="minorHAnsi"/>
        </w:rPr>
        <w:lastRenderedPageBreak/>
        <w:t>questionnaires were distributed using Microsoft Forms. The questionnaire remained open for a two-week period to allow sufficient time for participation and support response rates. A total of 46 parents and guardians completed the questionnaire during two-week collection period. Participant anonymity was maintained throughout the study to encourage honest responses and minimise the potential for feelings of judgement or discomfort during questionnaire completion.</w:t>
      </w:r>
    </w:p>
    <w:p w14:paraId="0EB8781A"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 xml:space="preserve">Following completion of data collection, responses were exported into Microsoft Excel to organise data before being transferred into </w:t>
      </w:r>
      <w:r w:rsidRPr="000374D6">
        <w:rPr>
          <w:rStyle w:val="s2"/>
          <w:rFonts w:asciiTheme="minorHAnsi" w:hAnsiTheme="minorHAnsi"/>
        </w:rPr>
        <w:t>IBM SPSS Statistics</w:t>
      </w:r>
      <w:r w:rsidRPr="000374D6">
        <w:rPr>
          <w:rStyle w:val="s1"/>
          <w:rFonts w:asciiTheme="minorHAnsi" w:hAnsiTheme="minorHAnsi"/>
        </w:rPr>
        <w:t xml:space="preserve"> for analysis. Initially, questionnaire responses were coded numerically to allow statistical analysis to be conducted. Descriptive statistical analysis was used throughout the project, including frequencies, percentages, means and standard deviations, to identify patterns in parental sport nutrition knowledge. In addition to analysing individual questionnaire responses, thematic knowledge scores relating to macronutrients, hydration and micronutrient knowledge were also calculated to provide a broader overview of participant understanding across key nutritional domains. </w:t>
      </w:r>
      <w:r w:rsidRPr="000374D6">
        <w:rPr>
          <w:rFonts w:asciiTheme="minorHAnsi" w:hAnsiTheme="minorHAnsi"/>
        </w:rPr>
        <w:t>The findings were presented within an academic research poster using graphs, tables and key findings to communicate the results in a clear and visually engaging way.</w:t>
      </w:r>
    </w:p>
    <w:p w14:paraId="55E4460D"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Throughout the project, several barriers emerged particularly in relation to questionnaire adaptation, participant engagement, statistical analysis and visual presentation of findings. Completing the project enhanced my understanding of data collection methods, alongside developing my problem-solving and organisational skills during the data analysis and poster development stages.</w:t>
      </w:r>
    </w:p>
    <w:p w14:paraId="31603AF0"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Despite challenging periods during the research project, the process provided valuable insight into the realities of conducting quantitative research within applied sport and exercise nutrition settings.</w:t>
      </w:r>
    </w:p>
    <w:p w14:paraId="53C1D756" w14:textId="77777777" w:rsidR="000374D6" w:rsidRPr="000374D6" w:rsidRDefault="000374D6" w:rsidP="000374D6">
      <w:pPr>
        <w:pStyle w:val="p1"/>
        <w:spacing w:line="360" w:lineRule="auto"/>
        <w:rPr>
          <w:rFonts w:asciiTheme="minorHAnsi" w:hAnsiTheme="minorHAnsi"/>
          <w:b/>
          <w:bCs/>
        </w:rPr>
      </w:pPr>
      <w:r w:rsidRPr="000374D6">
        <w:rPr>
          <w:rFonts w:asciiTheme="minorHAnsi" w:hAnsiTheme="minorHAnsi"/>
          <w:b/>
          <w:bCs/>
        </w:rPr>
        <w:t>Feelings</w:t>
      </w:r>
    </w:p>
    <w:p w14:paraId="4E6EE964"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 xml:space="preserve">Initially, I felt relatively confident in relation to the topic area due to my existing interest in sport nutrition and experience within the environment. However, I also experienced </w:t>
      </w:r>
      <w:r w:rsidRPr="000374D6">
        <w:rPr>
          <w:rFonts w:asciiTheme="minorHAnsi" w:hAnsiTheme="minorHAnsi"/>
        </w:rPr>
        <w:lastRenderedPageBreak/>
        <w:t>some uncertainty during the early stages of the project, particularly when adapting the questionnaire and ensuring that questions were appropriate for parents and guardians of younger academy football players. I was conscious that poorly worded questions or inappropriate terminology could influence participant understanding and potentially affect the reliability of responses.</w:t>
      </w:r>
    </w:p>
    <w:p w14:paraId="0FFC716E"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I also lacked confidence during the data analysis stage, as I had limited previous experience using SPSS and quantitative statistical analysis. Initially, the process of coding questionnaire responses, recoding variables and calculating thematic knowledge scores felt overwhelming and considerably more complex than anticipated. This created some uncertainty during the early stages of analysis, particularly when errors occurred during data coding and interpretation. However, as I became more familiar with the software and sought additional guidance through university library support, my confidence gradually improved and I began to enjoy using the data analysis tool.</w:t>
      </w:r>
    </w:p>
    <w:p w14:paraId="6298431A" w14:textId="77777777" w:rsidR="000374D6" w:rsidRPr="000374D6" w:rsidRDefault="000374D6" w:rsidP="000374D6">
      <w:pPr>
        <w:pStyle w:val="p2"/>
        <w:spacing w:line="360" w:lineRule="auto"/>
        <w:rPr>
          <w:rFonts w:asciiTheme="minorHAnsi" w:hAnsiTheme="minorHAnsi"/>
        </w:rPr>
      </w:pPr>
      <w:r w:rsidRPr="000374D6">
        <w:rPr>
          <w:rFonts w:asciiTheme="minorHAnsi" w:hAnsiTheme="minorHAnsi"/>
        </w:rPr>
        <w:t>Despite these challenges, I found the overall process enjoyable and rewarding, particularly during the poster development stage. I enjoyed designing the visual layout of the poster and presenting the findings using graphs, tables and colour themes. In addition, receiving positive feedback from some parents and guardians who completed the questionnaire was encouraging, as it suggested that the project had increased awareness and interest surrounding sport nutrition within the academy environment.</w:t>
      </w:r>
    </w:p>
    <w:p w14:paraId="06533ADA" w14:textId="77777777" w:rsidR="000374D6" w:rsidRPr="000374D6" w:rsidRDefault="000374D6" w:rsidP="000374D6">
      <w:pPr>
        <w:pStyle w:val="p1"/>
        <w:spacing w:line="360" w:lineRule="auto"/>
        <w:rPr>
          <w:rFonts w:asciiTheme="minorHAnsi" w:hAnsiTheme="minorHAnsi"/>
          <w:b/>
          <w:bCs/>
        </w:rPr>
      </w:pPr>
    </w:p>
    <w:p w14:paraId="42058115" w14:textId="77777777" w:rsidR="000374D6" w:rsidRPr="000374D6" w:rsidRDefault="000374D6" w:rsidP="000374D6">
      <w:pPr>
        <w:pStyle w:val="p1"/>
        <w:spacing w:line="360" w:lineRule="auto"/>
        <w:rPr>
          <w:rFonts w:asciiTheme="minorHAnsi" w:hAnsiTheme="minorHAnsi"/>
          <w:b/>
          <w:bCs/>
        </w:rPr>
      </w:pPr>
      <w:r w:rsidRPr="000374D6">
        <w:rPr>
          <w:rFonts w:asciiTheme="minorHAnsi" w:hAnsiTheme="minorHAnsi"/>
          <w:b/>
          <w:bCs/>
        </w:rPr>
        <w:t xml:space="preserve">Evaluation </w:t>
      </w:r>
    </w:p>
    <w:p w14:paraId="6835CBD5"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 xml:space="preserve">Overall, several aspects of the research project were successful and contributed positively to both the quality of the study and my personal development as a postgraduate student. One of the main strengths of the project was the level of participant engagement achieved during the data collection stage. A total of 46 parents and guardians completed the questionnaire, which provided a suitable sample to identify patterns in sport nutrition knowledge. In addition, some participants provided </w:t>
      </w:r>
      <w:r w:rsidRPr="000374D6">
        <w:rPr>
          <w:rFonts w:asciiTheme="minorHAnsi" w:hAnsiTheme="minorHAnsi"/>
        </w:rPr>
        <w:lastRenderedPageBreak/>
        <w:t>positive feedback regarding the questionnaire and expressed that completing it had encouraged them to reflect upon their own sport nutrition knowledge and consider the importance of nutrition within youth football environments. This highlighted the potential practical value of the research beyond data collection alone.</w:t>
      </w:r>
    </w:p>
    <w:p w14:paraId="72D995F9"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Another positive aspect of the project was the successful presentation of findings through the academic poster. I particularly enjoyed the process of designing the poster and selecting a colour scheme, which created a visually engaging appearance. The use of graphs and tables helped simplify complex statistical findings and made the results easier to interpret visually. Furthermore, despite initially lacking confidence using SPSS, I was able to successfully code, analyse and interpret the questionnaire data using descriptive statistical analysis by the end of research analysis confidently. Developing thematic knowledge scores for different nutritional domains significantly improved my confidence in quantitative data analysis and provided a clearer understanding of participant knowledge patterns.</w:t>
      </w:r>
    </w:p>
    <w:p w14:paraId="205B6B5E" w14:textId="77777777" w:rsidR="000374D6" w:rsidRPr="000374D6" w:rsidRDefault="000374D6" w:rsidP="000374D6">
      <w:pPr>
        <w:pStyle w:val="p1"/>
        <w:spacing w:line="360" w:lineRule="auto"/>
        <w:rPr>
          <w:rFonts w:asciiTheme="minorHAnsi" w:hAnsiTheme="minorHAnsi"/>
        </w:rPr>
      </w:pPr>
    </w:p>
    <w:p w14:paraId="6E32BD01"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However, several limitations and challenges also emerged throughout the project. One of the most significant weaknesses was the design of the questionnaire itself. Although the questionnaire was adapted from the validated PEAKS Nutrition Knowledge Questionnaire (Trakman et al., 2018), some questions required modification to ensure relevance for parents and guardians of younger academy players, therefore I had to adapt and research into the most relevant questions for my questionnaire which proved difficult at times. Reflecting on the final questionnaire, I identified several minor grammatical errors and wording issues that may have affected participant interpretation of certain questions.</w:t>
      </w:r>
    </w:p>
    <w:p w14:paraId="2B89B09F" w14:textId="77777777" w:rsidR="000374D6" w:rsidRPr="000374D6" w:rsidRDefault="000374D6" w:rsidP="000374D6">
      <w:pPr>
        <w:pStyle w:val="p1"/>
        <w:spacing w:line="360" w:lineRule="auto"/>
        <w:rPr>
          <w:rFonts w:asciiTheme="minorHAnsi" w:hAnsiTheme="minorHAnsi"/>
        </w:rPr>
      </w:pPr>
    </w:p>
    <w:p w14:paraId="5C4994E8"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 xml:space="preserve">In addition, the questionnaire did not include an “I don’t know” response option. As a result, participants who lacked knowledge may have selected an alternative answer despite uncertainty, potentially reducing the accuracy and validity of some findings. I </w:t>
      </w:r>
      <w:r w:rsidRPr="000374D6">
        <w:rPr>
          <w:rFonts w:asciiTheme="minorHAnsi" w:hAnsiTheme="minorHAnsi"/>
        </w:rPr>
        <w:lastRenderedPageBreak/>
        <w:t>also found the data analysis stage considerably more time-consuming than anticipated due to my limited previous experience using SPSS. This created some pressure during the later stages of the project and reduced the amount of time available for refining the visual presentation of the poster. Consequently, some sections of the poster appeared visually overcrowded due to the volume of information included and my limited experience in condensing research findings into concise and relevant poster content.</w:t>
      </w:r>
    </w:p>
    <w:p w14:paraId="0DE27D9F" w14:textId="77777777" w:rsidR="000374D6" w:rsidRPr="000374D6" w:rsidRDefault="000374D6" w:rsidP="000374D6">
      <w:pPr>
        <w:pStyle w:val="p1"/>
        <w:spacing w:line="360" w:lineRule="auto"/>
        <w:rPr>
          <w:rFonts w:asciiTheme="minorHAnsi" w:hAnsiTheme="minorHAnsi"/>
        </w:rPr>
      </w:pPr>
    </w:p>
    <w:p w14:paraId="44FA0179" w14:textId="77777777" w:rsidR="000374D6" w:rsidRPr="000374D6" w:rsidRDefault="000374D6" w:rsidP="000374D6">
      <w:pPr>
        <w:pStyle w:val="p2"/>
        <w:spacing w:line="360" w:lineRule="auto"/>
        <w:rPr>
          <w:rFonts w:asciiTheme="minorHAnsi" w:hAnsiTheme="minorHAnsi"/>
        </w:rPr>
      </w:pPr>
      <w:r w:rsidRPr="000374D6">
        <w:rPr>
          <w:rFonts w:asciiTheme="minorHAnsi" w:hAnsiTheme="minorHAnsi"/>
        </w:rPr>
        <w:t xml:space="preserve">Despite these limitations, the project provided valuable insight into the practical realities of conducting quantitative research and significantly improved my confidence in research design, data analysis and research presentation. </w:t>
      </w:r>
    </w:p>
    <w:p w14:paraId="46174816" w14:textId="77777777" w:rsidR="000374D6" w:rsidRPr="000374D6" w:rsidRDefault="000374D6" w:rsidP="000374D6">
      <w:pPr>
        <w:pStyle w:val="p2"/>
        <w:spacing w:line="360" w:lineRule="auto"/>
        <w:rPr>
          <w:rFonts w:asciiTheme="minorHAnsi" w:hAnsiTheme="minorHAnsi"/>
        </w:rPr>
      </w:pPr>
    </w:p>
    <w:p w14:paraId="063558A0" w14:textId="77777777" w:rsidR="000374D6" w:rsidRPr="000374D6" w:rsidRDefault="000374D6" w:rsidP="000374D6">
      <w:pPr>
        <w:pStyle w:val="p2"/>
        <w:spacing w:line="360" w:lineRule="auto"/>
        <w:rPr>
          <w:rFonts w:asciiTheme="minorHAnsi" w:hAnsiTheme="minorHAnsi"/>
          <w:b/>
          <w:bCs/>
        </w:rPr>
      </w:pPr>
      <w:r w:rsidRPr="000374D6">
        <w:rPr>
          <w:rFonts w:asciiTheme="minorHAnsi" w:hAnsiTheme="minorHAnsi"/>
          <w:b/>
          <w:bCs/>
        </w:rPr>
        <w:t>Analysis</w:t>
      </w:r>
    </w:p>
    <w:p w14:paraId="4795A36D"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One of the most significant aspects of the research process was the development and adaptation of the questionnaire. Although the PEAKS Nutrition Knowledge Questionnaire had previously been validated for assessing sport nutrition knowledge within athletic populations (Trakman et al., 2018), adapting the questionnaire for parents and guardians of younger academy football players highlighted the challenges associated with ensuring that questionnaire content was appropriate for the target population. Several questions required modification to ensure that the terminology and nutritional concepts were relevant to caregivers rather than athletes participating in sport. This process increased my understanding of the importance of questionnaire validity and demonstrated that even validated research tools may require adaptation depending on the target population.</w:t>
      </w:r>
    </w:p>
    <w:p w14:paraId="52AB7A5E" w14:textId="77777777" w:rsidR="000374D6" w:rsidRPr="000374D6" w:rsidRDefault="000374D6" w:rsidP="000374D6">
      <w:pPr>
        <w:pStyle w:val="p1"/>
        <w:spacing w:line="360" w:lineRule="auto"/>
        <w:rPr>
          <w:rFonts w:asciiTheme="minorHAnsi" w:hAnsiTheme="minorHAnsi"/>
        </w:rPr>
      </w:pPr>
    </w:p>
    <w:p w14:paraId="178245F6"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 xml:space="preserve">Reflecting on the questionnaire design also highlighted several limitations that may have influenced the findings of the study. One of the most significant limitations was the absence of an “I don’t know” response option. Although the questionnaire </w:t>
      </w:r>
      <w:r w:rsidRPr="000374D6">
        <w:rPr>
          <w:rFonts w:asciiTheme="minorHAnsi" w:hAnsiTheme="minorHAnsi"/>
        </w:rPr>
        <w:lastRenderedPageBreak/>
        <w:t>successfully identified patterns in parental sport nutrition knowledge, participants who lacked knowledge may have selected answers despite uncertainty. This may have introduced response bias and reduced the accuracy of some findings. Oppenheim (1992) suggests that questionnaire structure and response design can significantly influence participant responses and data validity. Consequently, including an “I don’t know” option in future research may improve reliability and provide a more accurate representation of participant knowledge levels.</w:t>
      </w:r>
    </w:p>
    <w:p w14:paraId="7BC2B1B9"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From analysing the survey design, the use of a quantitative cross-sectional survey design proved appropriate for the aims of the study. It allowed patterns in parental sport nutrition knowledge to be identified efficiently across a group of participants. Punch (2014) highlights that quantitative methods are particularly useful when measuring variables such as knowledge and attitudes, which aligned well with the purpose of this research. Furthermore, descriptive statistical analysis enabled trends and misconceptions to be identified clearly through frequencies, percentages and thematic knowledge scores (a simple format for all individuals to understand). However, reflecting on the methodology also highlighted limitations associated with quantitative approaches. While descriptive statistics effectively identified areas of misunderstanding, the questionnaire design did not allow participants to explain the reasoning behind their answers. Consequently, the findings were limited to identifying knowledge gaps rather than exploring why these misconceptions existed. In future research, incorporating qualitative methods such as interviews or focus groups may provide a more detailed understanding of parental attitudes and behaviours surrounding sport nutrition.</w:t>
      </w:r>
    </w:p>
    <w:p w14:paraId="772911B8" w14:textId="77777777" w:rsidR="000374D6" w:rsidRPr="000374D6" w:rsidRDefault="000374D6" w:rsidP="000374D6">
      <w:pPr>
        <w:pStyle w:val="p1"/>
        <w:spacing w:line="360" w:lineRule="auto"/>
        <w:rPr>
          <w:rFonts w:asciiTheme="minorHAnsi" w:hAnsiTheme="minorHAnsi"/>
        </w:rPr>
      </w:pPr>
    </w:p>
    <w:p w14:paraId="7D99C86F" w14:textId="77777777" w:rsidR="000374D6" w:rsidRPr="000374D6" w:rsidRDefault="000374D6" w:rsidP="000374D6">
      <w:pPr>
        <w:pStyle w:val="p1"/>
        <w:spacing w:line="360" w:lineRule="auto"/>
        <w:rPr>
          <w:rFonts w:asciiTheme="minorHAnsi" w:hAnsiTheme="minorHAnsi"/>
          <w:color w:val="000000" w:themeColor="text1"/>
        </w:rPr>
      </w:pPr>
      <w:r w:rsidRPr="000374D6">
        <w:rPr>
          <w:rFonts w:asciiTheme="minorHAnsi" w:hAnsiTheme="minorHAnsi"/>
        </w:rPr>
        <w:t xml:space="preserve">The data analysis stage represented one of the most challenging yet valuable aspects of the project. Initially, I lacked confidence using SPSS particularly when recoding variables, calculating thematic knowledge scores and interpreting statistical outputs. The process highlighted the importance of accurate data preparation within quantitative research, as minor coding errors significantly influenced the statistical outputs produced. Through repeated practice and additional guidance from university </w:t>
      </w:r>
      <w:r w:rsidRPr="000374D6">
        <w:rPr>
          <w:rFonts w:asciiTheme="minorHAnsi" w:hAnsiTheme="minorHAnsi"/>
        </w:rPr>
        <w:lastRenderedPageBreak/>
        <w:t xml:space="preserve">library support, I was able to develop a stronger understanding of descriptive statistical analysis and became more confident using SPSS to interpret quantitative findings. </w:t>
      </w:r>
      <w:r w:rsidRPr="000374D6">
        <w:rPr>
          <w:rFonts w:asciiTheme="minorHAnsi" w:hAnsiTheme="minorHAnsi"/>
          <w:color w:val="000000" w:themeColor="text1"/>
        </w:rPr>
        <w:t>Gibbs (1988) suggests that reflection is an important process in supporting professional learning and development, which was evident throughout the statistical analysis stage of the project.</w:t>
      </w:r>
    </w:p>
    <w:p w14:paraId="0FAB4FA0"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The development of thematic knowledge scores relating to protein, carbohydrate, fat, hydration and micronutrient knowledge significantly improved my understanding of how quantitative data can be interpreted more meaningfully. Rather than analysing individual questions, grouping questions into nutritional domains allowed broader patterns in participant knowledge to be identified more effectively. For example, hydration-related knowledge appeared considerably stronger than protein-related knowledge, while misconceptions surrounding carbohydrate fuelling strategies were highly prevalent. This process reinforced the importance of interpreting data beyond basic percentages and demonstrated how thematic analysis can enhance the interpretation and practical application of quantitative findings.</w:t>
      </w:r>
    </w:p>
    <w:p w14:paraId="3A1A65FF" w14:textId="77777777" w:rsidR="000374D6" w:rsidRPr="000374D6" w:rsidRDefault="000374D6" w:rsidP="000374D6">
      <w:pPr>
        <w:pStyle w:val="p1"/>
        <w:spacing w:line="360" w:lineRule="auto"/>
        <w:rPr>
          <w:rFonts w:asciiTheme="minorHAnsi" w:hAnsiTheme="minorHAnsi"/>
        </w:rPr>
      </w:pPr>
    </w:p>
    <w:p w14:paraId="21C7BC4F"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The process of developing the academic poster also increased my awareness of the importance of visual communication within research. Translating large amounts of quantitative data into a concise and visually engaging format proved more challenging than initially anticipated. Although the use of graphs, colour themes and thematic summaries improved understanding, some sections of the poster appeared visually crowded due to the volume of information included. This process reinforced the importance of presenting complex academic information in a concise and accessible manner within research poster presentations.</w:t>
      </w:r>
    </w:p>
    <w:p w14:paraId="068FDFEB" w14:textId="77777777" w:rsidR="000374D6" w:rsidRPr="000374D6" w:rsidRDefault="000374D6" w:rsidP="000374D6">
      <w:pPr>
        <w:pStyle w:val="p2"/>
        <w:spacing w:line="360" w:lineRule="auto"/>
        <w:rPr>
          <w:rFonts w:asciiTheme="minorHAnsi" w:hAnsiTheme="minorHAnsi"/>
        </w:rPr>
      </w:pPr>
      <w:r w:rsidRPr="000374D6">
        <w:rPr>
          <w:rFonts w:asciiTheme="minorHAnsi" w:hAnsiTheme="minorHAnsi"/>
        </w:rPr>
        <w:t>Overall, my understanding of quantitative research methods and statistical analysis has greatly improved. The project highlighted both the strengths and limitations associated with questionnaire-based research and increased my confidence in applying research methods within sport and exercise nutrition settings.</w:t>
      </w:r>
    </w:p>
    <w:p w14:paraId="588DFD35" w14:textId="77777777" w:rsidR="000374D6" w:rsidRPr="000374D6" w:rsidRDefault="000374D6" w:rsidP="000374D6">
      <w:pPr>
        <w:pStyle w:val="p2"/>
        <w:spacing w:line="360" w:lineRule="auto"/>
        <w:rPr>
          <w:rFonts w:asciiTheme="minorHAnsi" w:hAnsiTheme="minorHAnsi"/>
        </w:rPr>
      </w:pPr>
    </w:p>
    <w:p w14:paraId="5A37B4FE" w14:textId="77777777" w:rsidR="000374D6" w:rsidRPr="000374D6" w:rsidRDefault="000374D6" w:rsidP="000374D6">
      <w:pPr>
        <w:pStyle w:val="p1"/>
        <w:spacing w:line="360" w:lineRule="auto"/>
        <w:rPr>
          <w:rFonts w:asciiTheme="minorHAnsi" w:hAnsiTheme="minorHAnsi"/>
          <w:b/>
          <w:bCs/>
        </w:rPr>
      </w:pPr>
      <w:r w:rsidRPr="000374D6">
        <w:rPr>
          <w:rFonts w:asciiTheme="minorHAnsi" w:hAnsiTheme="minorHAnsi"/>
          <w:b/>
          <w:bCs/>
        </w:rPr>
        <w:t xml:space="preserve">Conclusion </w:t>
      </w:r>
    </w:p>
    <w:p w14:paraId="26274CD7" w14:textId="77777777" w:rsidR="000374D6" w:rsidRPr="000374D6" w:rsidRDefault="000374D6" w:rsidP="000374D6">
      <w:pPr>
        <w:spacing w:before="100" w:beforeAutospacing="1" w:after="100" w:afterAutospacing="1" w:line="360" w:lineRule="auto"/>
        <w:rPr>
          <w:rFonts w:eastAsia="Times New Roman" w:cs="Times New Roman"/>
          <w:kern w:val="0"/>
          <w:lang w:eastAsia="en-GB"/>
          <w14:ligatures w14:val="none"/>
        </w:rPr>
      </w:pPr>
      <w:r w:rsidRPr="000374D6">
        <w:rPr>
          <w:rFonts w:eastAsia="Times New Roman" w:cs="Times New Roman"/>
          <w:kern w:val="0"/>
          <w:lang w:eastAsia="en-GB"/>
          <w14:ligatures w14:val="none"/>
        </w:rPr>
        <w:t xml:space="preserve">Overall, completing this research project provided valuable insight into the practical and methods associated with conducting quantitative research within sport and exercise nutrition settings. Throughout this project, I have been able to a significantly develop a greater understanding of research design, questionnaire development, participant recruitment, data analysis and the presentation of data through academic poster presentation. </w:t>
      </w:r>
      <w:bookmarkStart w:id="1" w:name="OLE_LINK10"/>
      <w:r w:rsidRPr="000374D6">
        <w:rPr>
          <w:rFonts w:eastAsia="Times New Roman" w:cs="Times New Roman"/>
          <w:kern w:val="0"/>
          <w:lang w:eastAsia="en-GB"/>
          <w14:ligatures w14:val="none"/>
        </w:rPr>
        <w:t xml:space="preserve">Although I initially viewed the project mainly as an assessment of my research abilities, the process developed my appreciation of the complexity involved in designing and conducting methodologically appropriate research and allowed me to enjoy and understand the importance of research. </w:t>
      </w:r>
    </w:p>
    <w:bookmarkEnd w:id="1"/>
    <w:p w14:paraId="4CBBA268" w14:textId="77777777" w:rsidR="000374D6" w:rsidRPr="000374D6" w:rsidRDefault="000374D6" w:rsidP="000374D6">
      <w:pPr>
        <w:spacing w:before="100" w:beforeAutospacing="1" w:after="100" w:afterAutospacing="1" w:line="360" w:lineRule="auto"/>
        <w:rPr>
          <w:rFonts w:eastAsia="Times New Roman" w:cs="Times New Roman"/>
          <w:kern w:val="0"/>
          <w:lang w:eastAsia="en-GB"/>
          <w14:ligatures w14:val="none"/>
        </w:rPr>
      </w:pPr>
      <w:r w:rsidRPr="000374D6">
        <w:rPr>
          <w:rFonts w:eastAsia="Times New Roman" w:cs="Times New Roman"/>
          <w:kern w:val="0"/>
          <w:lang w:eastAsia="en-GB"/>
          <w14:ligatures w14:val="none"/>
        </w:rPr>
        <w:t>One of the most significant areas of personal development throughout the project was my understanding and application of quantitative data analysis. Prior to beginning the research, I had very limited experience using SPSS and initially lacked confidence when attempting to code questionnaire responses, recode variables and interpret descriptive statistical outputs. The process of calculating frequencies, percentages, means and thematic knowledge scores initially felt overwhelming and considerably more difficult than anticipated. However, through repeated practice, independent learning and seeking additional support through university library guidance, I gradually became more confident in using statistical software and interpreting quantitative findings. As a result, the project significantly improved both my analytical skills and my confidence in applying descriptive statistical methods within research.</w:t>
      </w:r>
    </w:p>
    <w:p w14:paraId="55524280" w14:textId="77777777" w:rsidR="000374D6" w:rsidRPr="000374D6" w:rsidRDefault="000374D6" w:rsidP="000374D6">
      <w:pPr>
        <w:spacing w:before="100" w:beforeAutospacing="1" w:after="100" w:afterAutospacing="1" w:line="360" w:lineRule="auto"/>
        <w:rPr>
          <w:rFonts w:eastAsia="Times New Roman" w:cs="Times New Roman"/>
          <w:kern w:val="0"/>
          <w:lang w:eastAsia="en-GB"/>
          <w14:ligatures w14:val="none"/>
        </w:rPr>
      </w:pPr>
      <w:r w:rsidRPr="000374D6">
        <w:rPr>
          <w:rFonts w:eastAsia="Times New Roman" w:cs="Times New Roman"/>
          <w:kern w:val="0"/>
          <w:lang w:eastAsia="en-GB"/>
          <w14:ligatures w14:val="none"/>
        </w:rPr>
        <w:t xml:space="preserve">The project also increased my awareness of the importance of careful questionnaire design and participant appropriateness within quantitative research. Adapting the PEAKS Nutrition Knowledge Questionnaire for parents and guardians of younger academy football players highlighted the importance of ensuring that research is relevant to the target population. Reflecting on the absence of an “I don’t know” response option and the presence of several minor wording inconsistencies demonstrated how small design choices may influence participant responses and </w:t>
      </w:r>
      <w:r w:rsidRPr="000374D6">
        <w:rPr>
          <w:rFonts w:eastAsia="Times New Roman" w:cs="Times New Roman"/>
          <w:kern w:val="0"/>
          <w:lang w:eastAsia="en-GB"/>
          <w14:ligatures w14:val="none"/>
        </w:rPr>
        <w:lastRenderedPageBreak/>
        <w:t>potentially affect the validity of findings. Consequently, the project reinforced the importance of critically evaluating research tools rather than relying on previously validated ones without adaptation.</w:t>
      </w:r>
    </w:p>
    <w:p w14:paraId="4FCE16B8" w14:textId="77777777" w:rsidR="000374D6" w:rsidRPr="000374D6" w:rsidRDefault="000374D6" w:rsidP="000374D6">
      <w:pPr>
        <w:spacing w:before="100" w:beforeAutospacing="1" w:after="100" w:afterAutospacing="1" w:line="360" w:lineRule="auto"/>
        <w:rPr>
          <w:rFonts w:eastAsia="Times New Roman" w:cs="Times New Roman"/>
          <w:kern w:val="0"/>
          <w:lang w:eastAsia="en-GB"/>
          <w14:ligatures w14:val="none"/>
        </w:rPr>
      </w:pPr>
      <w:r w:rsidRPr="000374D6">
        <w:rPr>
          <w:rFonts w:eastAsia="Times New Roman" w:cs="Times New Roman"/>
          <w:kern w:val="0"/>
          <w:lang w:eastAsia="en-GB"/>
          <w14:ligatures w14:val="none"/>
        </w:rPr>
        <w:t>In addition, the process of developing the academic poster improved my understanding of scientific communication and the challenge of presenting complex information in a visually accessible format. Although I was satisfied with the overall layout and colour scheme of the poster, I recognised that some sections became visually overcrowded due to the volume of information included. This experience highlighted the importance of balancing academic detail with audience accessibility and concise communication within poster presentations.</w:t>
      </w:r>
    </w:p>
    <w:p w14:paraId="304A721A"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Overall, this project enhanced my confidence in conducting research and strengthened my understanding of quantitative methodology, statistical analysis and research communication. The experience reinforced the importance of reflection throughout the research process, as critically evaluating both strengths and limitations enabled me to identify areas for future improvement and further professional development. In addition, the project provided valuable preparation for completing my final-year dissertation.</w:t>
      </w:r>
    </w:p>
    <w:p w14:paraId="33082072" w14:textId="77777777" w:rsidR="000374D6" w:rsidRPr="000374D6" w:rsidRDefault="000374D6" w:rsidP="000374D6">
      <w:pPr>
        <w:pStyle w:val="p1"/>
        <w:spacing w:line="360" w:lineRule="auto"/>
        <w:rPr>
          <w:rFonts w:asciiTheme="minorHAnsi" w:hAnsiTheme="minorHAnsi"/>
        </w:rPr>
      </w:pPr>
    </w:p>
    <w:p w14:paraId="59D17673" w14:textId="77777777" w:rsidR="000374D6" w:rsidRPr="000374D6" w:rsidRDefault="000374D6" w:rsidP="000374D6">
      <w:pPr>
        <w:pStyle w:val="p1"/>
        <w:spacing w:line="360" w:lineRule="auto"/>
        <w:rPr>
          <w:rFonts w:asciiTheme="minorHAnsi" w:hAnsiTheme="minorHAnsi"/>
          <w:b/>
          <w:bCs/>
        </w:rPr>
      </w:pPr>
      <w:r w:rsidRPr="000374D6">
        <w:rPr>
          <w:rFonts w:asciiTheme="minorHAnsi" w:hAnsiTheme="minorHAnsi"/>
          <w:b/>
          <w:bCs/>
        </w:rPr>
        <w:t>Action plan</w:t>
      </w:r>
    </w:p>
    <w:p w14:paraId="53BA0D17"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Reflecting on the overall research process has allowed me to identify several areas that could be improved within future research projects. One of the main improvements would involve refining the questionnaire design prior to data collection. Although the questionnaire successfully identified patterns in parental sport nutrition knowledge, including an “I don’t know” response option would likely improve the accuracy and validity of responses by reducing the possibility of participants selecting answers despite uncertainty. In addition, conducting a pilot study prior to distribution may have helped identify minor grammatical inconsistencies and wording issues before the questionnaire was completed by participants.</w:t>
      </w:r>
    </w:p>
    <w:p w14:paraId="23951A1A" w14:textId="77777777" w:rsidR="000374D6" w:rsidRPr="000374D6" w:rsidRDefault="000374D6" w:rsidP="000374D6">
      <w:pPr>
        <w:pStyle w:val="p1"/>
        <w:spacing w:line="360" w:lineRule="auto"/>
        <w:rPr>
          <w:rFonts w:asciiTheme="minorHAnsi" w:hAnsiTheme="minorHAnsi"/>
        </w:rPr>
      </w:pPr>
    </w:p>
    <w:p w14:paraId="2A171CC1"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 xml:space="preserve">In my future research, I would also allocate additional time to the data analysis stage of the project. Due to my limited prior experience using SPSS, the process of coding and analysing questionnaire responses took considerably longer than anticipated. Allowing more time for statistical analysis would reduce pressure during the later stages of the project and provide greater opportunity to critically interpret findings and further refine the visual presentation of the poster. I would also aim to further develop my confidence using statistical software and quantitative research methods to improve efficiency and analytical understanding in future studies, therefore conducting some small-scale research before writing my dissertation next year to gain confidence in the analysis tool. </w:t>
      </w:r>
    </w:p>
    <w:p w14:paraId="53B6F2A0" w14:textId="77777777" w:rsidR="000374D6" w:rsidRPr="000374D6" w:rsidRDefault="000374D6" w:rsidP="000374D6">
      <w:pPr>
        <w:pStyle w:val="p1"/>
        <w:spacing w:line="360" w:lineRule="auto"/>
        <w:rPr>
          <w:rFonts w:asciiTheme="minorHAnsi" w:hAnsiTheme="minorHAnsi"/>
        </w:rPr>
      </w:pPr>
      <w:r w:rsidRPr="000374D6">
        <w:rPr>
          <w:rFonts w:asciiTheme="minorHAnsi" w:hAnsiTheme="minorHAnsi"/>
        </w:rPr>
        <w:t>Although the cross-sectional quantitative design proved effective in identifying patterns in sport nutrition knowledge, future research could potentially benefit from incorporating qualitative methods such as interviews or focus groups. This may provide a deeper understanding of why misconceptions exist among parents and guardians, rather than only identifying the presence of knowledge gaps. Expanding the sample size and recruiting participants from multiple academy settings may also improve the findings.</w:t>
      </w:r>
    </w:p>
    <w:p w14:paraId="2C86CE26" w14:textId="77777777" w:rsidR="000374D6" w:rsidRPr="000374D6" w:rsidRDefault="000374D6" w:rsidP="000374D6">
      <w:pPr>
        <w:pStyle w:val="p2"/>
        <w:spacing w:line="360" w:lineRule="auto"/>
        <w:rPr>
          <w:rFonts w:asciiTheme="minorHAnsi" w:hAnsiTheme="minorHAnsi"/>
        </w:rPr>
      </w:pPr>
      <w:r w:rsidRPr="000374D6">
        <w:rPr>
          <w:rFonts w:asciiTheme="minorHAnsi" w:hAnsiTheme="minorHAnsi"/>
        </w:rPr>
        <w:t>Finally, reflecting on the development of the academic poster highlighted the importance of concise communication. In future poster presentations, I would aim to further simplify the layout and prioritise key findings more effectively to improve readability and visual accessibility. Overall, this project has provided valuable experience that will support my future academic development, particularly in preparation for completing my dissertation and conducting future research within sport and exercise nutrition settings.</w:t>
      </w:r>
    </w:p>
    <w:p w14:paraId="4A9F6278" w14:textId="77777777" w:rsidR="000374D6" w:rsidRPr="000374D6" w:rsidRDefault="000374D6" w:rsidP="000374D6">
      <w:pPr>
        <w:spacing w:after="240" w:line="360" w:lineRule="auto"/>
        <w:outlineLvl w:val="0"/>
        <w:rPr>
          <w:rFonts w:eastAsia="Times New Roman" w:cs="Times New Roman"/>
          <w:b/>
          <w:bCs/>
          <w:kern w:val="36"/>
          <w:lang w:eastAsia="en-GB"/>
          <w14:ligatures w14:val="none"/>
        </w:rPr>
      </w:pPr>
    </w:p>
    <w:p w14:paraId="5F916730" w14:textId="77777777" w:rsidR="000374D6" w:rsidRPr="000374D6" w:rsidRDefault="000374D6" w:rsidP="000374D6">
      <w:pPr>
        <w:spacing w:after="240" w:line="360" w:lineRule="auto"/>
        <w:outlineLvl w:val="0"/>
        <w:rPr>
          <w:rFonts w:eastAsia="Times New Roman" w:cs="Times New Roman"/>
          <w:b/>
          <w:bCs/>
          <w:kern w:val="36"/>
          <w:lang w:eastAsia="en-GB"/>
          <w14:ligatures w14:val="none"/>
        </w:rPr>
      </w:pPr>
    </w:p>
    <w:p w14:paraId="27AC988C" w14:textId="77777777" w:rsidR="000374D6" w:rsidRDefault="000374D6" w:rsidP="000374D6">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32064776" w14:textId="58253D46" w:rsidR="000374D6" w:rsidRPr="000374D6" w:rsidRDefault="000374D6" w:rsidP="000374D6">
      <w:pPr>
        <w:spacing w:after="240" w:line="360" w:lineRule="auto"/>
        <w:outlineLvl w:val="0"/>
        <w:rPr>
          <w:rFonts w:eastAsia="Times New Roman" w:cs="Times New Roman"/>
          <w:b/>
          <w:bCs/>
          <w:kern w:val="36"/>
          <w:sz w:val="36"/>
          <w:szCs w:val="36"/>
          <w:lang w:eastAsia="en-GB"/>
          <w14:ligatures w14:val="none"/>
        </w:rPr>
      </w:pPr>
      <w:r w:rsidRPr="000374D6">
        <w:rPr>
          <w:rFonts w:eastAsia="Times New Roman" w:cs="Times New Roman"/>
          <w:b/>
          <w:bCs/>
          <w:kern w:val="36"/>
          <w:sz w:val="36"/>
          <w:szCs w:val="36"/>
          <w:lang w:eastAsia="en-GB"/>
          <w14:ligatures w14:val="none"/>
        </w:rPr>
        <w:lastRenderedPageBreak/>
        <w:t>Reference list</w:t>
      </w:r>
    </w:p>
    <w:p w14:paraId="35F036DC" w14:textId="77777777" w:rsidR="000374D6" w:rsidRPr="000374D6" w:rsidRDefault="000374D6" w:rsidP="000374D6">
      <w:pPr>
        <w:spacing w:after="240" w:line="360" w:lineRule="auto"/>
        <w:rPr>
          <w:rFonts w:eastAsia="Times New Roman" w:cs="Times New Roman"/>
          <w:kern w:val="0"/>
          <w:lang w:eastAsia="en-GB"/>
          <w14:ligatures w14:val="none"/>
        </w:rPr>
      </w:pPr>
      <w:r w:rsidRPr="000374D6">
        <w:rPr>
          <w:rFonts w:eastAsia="Times New Roman" w:cs="Times New Roman"/>
          <w:kern w:val="0"/>
          <w:lang w:eastAsia="en-GB"/>
          <w14:ligatures w14:val="none"/>
        </w:rPr>
        <w:t xml:space="preserve">Birch, L.L. and Ventura, A.K. (2009). Preventing childhood obesity: what works? </w:t>
      </w:r>
      <w:r w:rsidRPr="000374D6">
        <w:rPr>
          <w:rFonts w:eastAsia="Times New Roman" w:cs="Times New Roman"/>
          <w:i/>
          <w:iCs/>
          <w:kern w:val="0"/>
          <w:lang w:eastAsia="en-GB"/>
          <w14:ligatures w14:val="none"/>
        </w:rPr>
        <w:t>International Journal of Obesity</w:t>
      </w:r>
      <w:r w:rsidRPr="000374D6">
        <w:rPr>
          <w:rFonts w:eastAsia="Times New Roman" w:cs="Times New Roman"/>
          <w:kern w:val="0"/>
          <w:lang w:eastAsia="en-GB"/>
          <w14:ligatures w14:val="none"/>
        </w:rPr>
        <w:t xml:space="preserve">, [online] 33(S1), </w:t>
      </w:r>
      <w:proofErr w:type="gramStart"/>
      <w:r w:rsidRPr="000374D6">
        <w:rPr>
          <w:rFonts w:eastAsia="Times New Roman" w:cs="Times New Roman"/>
          <w:kern w:val="0"/>
          <w:lang w:eastAsia="en-GB"/>
          <w14:ligatures w14:val="none"/>
        </w:rPr>
        <w:t>pp.S</w:t>
      </w:r>
      <w:proofErr w:type="gramEnd"/>
      <w:r w:rsidRPr="000374D6">
        <w:rPr>
          <w:rFonts w:eastAsia="Times New Roman" w:cs="Times New Roman"/>
          <w:kern w:val="0"/>
          <w:lang w:eastAsia="en-GB"/>
          <w14:ligatures w14:val="none"/>
        </w:rPr>
        <w:t xml:space="preserve">74–S81. </w:t>
      </w:r>
      <w:proofErr w:type="spellStart"/>
      <w:proofErr w:type="gramStart"/>
      <w:r w:rsidRPr="000374D6">
        <w:rPr>
          <w:rFonts w:eastAsia="Times New Roman" w:cs="Times New Roman"/>
          <w:kern w:val="0"/>
          <w:lang w:eastAsia="en-GB"/>
          <w14:ligatures w14:val="none"/>
        </w:rPr>
        <w:t>doi:https</w:t>
      </w:r>
      <w:proofErr w:type="spellEnd"/>
      <w:r w:rsidRPr="000374D6">
        <w:rPr>
          <w:rFonts w:eastAsia="Times New Roman" w:cs="Times New Roman"/>
          <w:kern w:val="0"/>
          <w:lang w:eastAsia="en-GB"/>
          <w14:ligatures w14:val="none"/>
        </w:rPr>
        <w:t>://doi.org/10.1038/ijo.2009.22</w:t>
      </w:r>
      <w:proofErr w:type="gramEnd"/>
      <w:r w:rsidRPr="000374D6">
        <w:rPr>
          <w:rFonts w:eastAsia="Times New Roman" w:cs="Times New Roman"/>
          <w:kern w:val="0"/>
          <w:lang w:eastAsia="en-GB"/>
          <w14:ligatures w14:val="none"/>
        </w:rPr>
        <w:t>.</w:t>
      </w:r>
    </w:p>
    <w:p w14:paraId="5B756A37" w14:textId="77777777" w:rsidR="000374D6" w:rsidRPr="000374D6" w:rsidRDefault="000374D6" w:rsidP="000374D6">
      <w:pPr>
        <w:spacing w:after="240" w:line="360" w:lineRule="auto"/>
        <w:rPr>
          <w:rFonts w:eastAsia="Times New Roman" w:cs="Times New Roman"/>
          <w:kern w:val="0"/>
          <w:lang w:eastAsia="en-GB"/>
          <w14:ligatures w14:val="none"/>
        </w:rPr>
      </w:pPr>
      <w:r w:rsidRPr="000374D6">
        <w:rPr>
          <w:rFonts w:eastAsia="Times New Roman" w:cs="Times New Roman"/>
          <w:kern w:val="0"/>
          <w:lang w:eastAsia="en-GB"/>
          <w14:ligatures w14:val="none"/>
        </w:rPr>
        <w:t xml:space="preserve">Cole, M., Carter, J.L., Brooks, F. and Roberts, C.J. (2025). </w:t>
      </w:r>
      <w:proofErr w:type="gramStart"/>
      <w:r w:rsidRPr="000374D6">
        <w:rPr>
          <w:rFonts w:eastAsia="Times New Roman" w:cs="Times New Roman"/>
          <w:kern w:val="0"/>
          <w:lang w:eastAsia="en-GB"/>
          <w14:ligatures w14:val="none"/>
        </w:rPr>
        <w:t>Caregivers</w:t>
      </w:r>
      <w:proofErr w:type="gramEnd"/>
      <w:r w:rsidRPr="000374D6">
        <w:rPr>
          <w:rFonts w:eastAsia="Times New Roman" w:cs="Times New Roman"/>
          <w:kern w:val="0"/>
          <w:lang w:eastAsia="en-GB"/>
          <w14:ligatures w14:val="none"/>
        </w:rPr>
        <w:t xml:space="preserve"> nutrition knowledge and perspectives on the enablers and barriers to nutrition provision for male academy football players. </w:t>
      </w:r>
      <w:r w:rsidRPr="000374D6">
        <w:rPr>
          <w:rFonts w:eastAsia="Times New Roman" w:cs="Times New Roman"/>
          <w:i/>
          <w:iCs/>
          <w:kern w:val="0"/>
          <w:lang w:eastAsia="en-GB"/>
          <w14:ligatures w14:val="none"/>
        </w:rPr>
        <w:t>Journal of the International Society of Sports Nutrition</w:t>
      </w:r>
      <w:r w:rsidRPr="000374D6">
        <w:rPr>
          <w:rFonts w:eastAsia="Times New Roman" w:cs="Times New Roman"/>
          <w:kern w:val="0"/>
          <w:lang w:eastAsia="en-GB"/>
          <w14:ligatures w14:val="none"/>
        </w:rPr>
        <w:t xml:space="preserve">, 22(1). </w:t>
      </w:r>
      <w:proofErr w:type="spellStart"/>
      <w:proofErr w:type="gramStart"/>
      <w:r w:rsidRPr="000374D6">
        <w:rPr>
          <w:rFonts w:eastAsia="Times New Roman" w:cs="Times New Roman"/>
          <w:kern w:val="0"/>
          <w:lang w:eastAsia="en-GB"/>
          <w14:ligatures w14:val="none"/>
        </w:rPr>
        <w:t>doi:https</w:t>
      </w:r>
      <w:proofErr w:type="spellEnd"/>
      <w:r w:rsidRPr="000374D6">
        <w:rPr>
          <w:rFonts w:eastAsia="Times New Roman" w:cs="Times New Roman"/>
          <w:kern w:val="0"/>
          <w:lang w:eastAsia="en-GB"/>
          <w14:ligatures w14:val="none"/>
        </w:rPr>
        <w:t>://doi.org/10.1080/15502783.2025.2495879</w:t>
      </w:r>
      <w:proofErr w:type="gramEnd"/>
      <w:r w:rsidRPr="000374D6">
        <w:rPr>
          <w:rFonts w:eastAsia="Times New Roman" w:cs="Times New Roman"/>
          <w:kern w:val="0"/>
          <w:lang w:eastAsia="en-GB"/>
          <w14:ligatures w14:val="none"/>
        </w:rPr>
        <w:t>.</w:t>
      </w:r>
    </w:p>
    <w:p w14:paraId="4278A715" w14:textId="77777777" w:rsidR="000374D6" w:rsidRPr="000374D6" w:rsidRDefault="000374D6" w:rsidP="000374D6">
      <w:pPr>
        <w:spacing w:after="240" w:line="360" w:lineRule="auto"/>
        <w:rPr>
          <w:rFonts w:eastAsia="Times New Roman" w:cs="Times New Roman"/>
          <w:kern w:val="0"/>
          <w:lang w:eastAsia="en-GB"/>
          <w14:ligatures w14:val="none"/>
        </w:rPr>
      </w:pPr>
      <w:r w:rsidRPr="000374D6">
        <w:rPr>
          <w:rFonts w:eastAsia="Times New Roman" w:cs="Times New Roman"/>
          <w:kern w:val="0"/>
          <w:lang w:eastAsia="en-GB"/>
          <w14:ligatures w14:val="none"/>
        </w:rPr>
        <w:t xml:space="preserve">Gibbs (1998). </w:t>
      </w:r>
      <w:r w:rsidRPr="000374D6">
        <w:rPr>
          <w:rFonts w:eastAsia="Times New Roman" w:cs="Times New Roman"/>
          <w:i/>
          <w:iCs/>
          <w:kern w:val="0"/>
          <w:lang w:eastAsia="en-GB"/>
          <w14:ligatures w14:val="none"/>
        </w:rPr>
        <w:t xml:space="preserve">Learning by Doing </w:t>
      </w:r>
      <w:proofErr w:type="gramStart"/>
      <w:r w:rsidRPr="000374D6">
        <w:rPr>
          <w:rFonts w:eastAsia="Times New Roman" w:cs="Times New Roman"/>
          <w:i/>
          <w:iCs/>
          <w:kern w:val="0"/>
          <w:lang w:eastAsia="en-GB"/>
          <w14:ligatures w14:val="none"/>
        </w:rPr>
        <w:t>A</w:t>
      </w:r>
      <w:proofErr w:type="gramEnd"/>
      <w:r w:rsidRPr="000374D6">
        <w:rPr>
          <w:rFonts w:eastAsia="Times New Roman" w:cs="Times New Roman"/>
          <w:i/>
          <w:iCs/>
          <w:kern w:val="0"/>
          <w:lang w:eastAsia="en-GB"/>
          <w14:ligatures w14:val="none"/>
        </w:rPr>
        <w:t xml:space="preserve"> Guide to Teaching and Learning Methods. Oxford Brooks University, Oxford. - References - Scientific Research Publishing</w:t>
      </w:r>
      <w:r w:rsidRPr="000374D6">
        <w:rPr>
          <w:rFonts w:eastAsia="Times New Roman" w:cs="Times New Roman"/>
          <w:kern w:val="0"/>
          <w:lang w:eastAsia="en-GB"/>
          <w14:ligatures w14:val="none"/>
        </w:rPr>
        <w:t>. [online] SCRIP. Available at: https://www.scirp.org/reference/referencespapers?referenceid=2230149.</w:t>
      </w:r>
    </w:p>
    <w:p w14:paraId="29AEA812" w14:textId="77777777" w:rsidR="000374D6" w:rsidRPr="000374D6" w:rsidRDefault="000374D6" w:rsidP="000374D6">
      <w:pPr>
        <w:spacing w:after="240" w:line="360" w:lineRule="auto"/>
        <w:rPr>
          <w:rFonts w:eastAsia="Times New Roman" w:cs="Times New Roman"/>
          <w:kern w:val="0"/>
          <w:lang w:eastAsia="en-GB"/>
          <w14:ligatures w14:val="none"/>
        </w:rPr>
      </w:pPr>
      <w:r w:rsidRPr="000374D6">
        <w:rPr>
          <w:rFonts w:eastAsia="Times New Roman" w:cs="Times New Roman"/>
          <w:kern w:val="0"/>
          <w:lang w:eastAsia="en-GB"/>
          <w14:ligatures w14:val="none"/>
        </w:rPr>
        <w:t xml:space="preserve">Oppenheim (1992). </w:t>
      </w:r>
      <w:r w:rsidRPr="000374D6">
        <w:rPr>
          <w:rFonts w:eastAsia="Times New Roman" w:cs="Times New Roman"/>
          <w:i/>
          <w:iCs/>
          <w:kern w:val="0"/>
          <w:lang w:eastAsia="en-GB"/>
          <w14:ligatures w14:val="none"/>
        </w:rPr>
        <w:t xml:space="preserve">APA </w:t>
      </w:r>
      <w:proofErr w:type="spellStart"/>
      <w:r w:rsidRPr="000374D6">
        <w:rPr>
          <w:rFonts w:eastAsia="Times New Roman" w:cs="Times New Roman"/>
          <w:i/>
          <w:iCs/>
          <w:kern w:val="0"/>
          <w:lang w:eastAsia="en-GB"/>
          <w14:ligatures w14:val="none"/>
        </w:rPr>
        <w:t>PsycNet</w:t>
      </w:r>
      <w:proofErr w:type="spellEnd"/>
      <w:r w:rsidRPr="000374D6">
        <w:rPr>
          <w:rFonts w:eastAsia="Times New Roman" w:cs="Times New Roman"/>
          <w:kern w:val="0"/>
          <w:lang w:eastAsia="en-GB"/>
          <w14:ligatures w14:val="none"/>
        </w:rPr>
        <w:t>. [online] psycnet.apa.org. Available at: https://psycnet.apa.org/record/1992-98252-000.</w:t>
      </w:r>
    </w:p>
    <w:p w14:paraId="2C729368" w14:textId="5E5CDE6F" w:rsidR="000374D6" w:rsidRPr="000374D6" w:rsidRDefault="000374D6" w:rsidP="000374D6">
      <w:pPr>
        <w:spacing w:after="240" w:line="360" w:lineRule="auto"/>
        <w:rPr>
          <w:rFonts w:eastAsia="Times New Roman" w:cs="Times New Roman"/>
          <w:kern w:val="0"/>
          <w:lang w:eastAsia="en-GB"/>
          <w14:ligatures w14:val="none"/>
        </w:rPr>
      </w:pPr>
      <w:r w:rsidRPr="000374D6">
        <w:rPr>
          <w:rFonts w:eastAsia="Times New Roman" w:cs="Times New Roman"/>
          <w:kern w:val="0"/>
          <w:lang w:eastAsia="en-GB"/>
          <w14:ligatures w14:val="none"/>
        </w:rPr>
        <w:t xml:space="preserve">Punch, K. (2014). </w:t>
      </w:r>
      <w:r w:rsidRPr="000374D6">
        <w:rPr>
          <w:rFonts w:eastAsia="Times New Roman" w:cs="Times New Roman"/>
          <w:i/>
          <w:iCs/>
          <w:kern w:val="0"/>
          <w:lang w:eastAsia="en-GB"/>
          <w14:ligatures w14:val="none"/>
        </w:rPr>
        <w:t>Introduction to social research: quantitative &amp; qualitative approaches: Punch, Keith, author: Free Download, Borrow, and Streaming: Internet Archive</w:t>
      </w:r>
      <w:r w:rsidRPr="000374D6">
        <w:rPr>
          <w:rFonts w:eastAsia="Times New Roman" w:cs="Times New Roman"/>
          <w:kern w:val="0"/>
          <w:lang w:eastAsia="en-GB"/>
          <w14:ligatures w14:val="none"/>
        </w:rPr>
        <w:t>. [online] Internet Archive. Available at: https://archive.org/details/introductiontoso0000punc_edi03/page/n9/mode/1up [Accessed 10 May 2026].</w:t>
      </w:r>
      <w:r w:rsidR="00CD34C0">
        <w:rPr>
          <w:rFonts w:eastAsia="Times New Roman" w:cs="Times New Roman"/>
          <w:kern w:val="0"/>
          <w:lang w:eastAsia="en-GB"/>
          <w14:ligatures w14:val="none"/>
        </w:rPr>
        <w:t xml:space="preserve"> </w:t>
      </w:r>
    </w:p>
    <w:p w14:paraId="428DC097" w14:textId="77777777" w:rsidR="000374D6" w:rsidRPr="000374D6" w:rsidRDefault="000374D6" w:rsidP="000374D6">
      <w:pPr>
        <w:spacing w:after="240" w:line="360" w:lineRule="auto"/>
        <w:rPr>
          <w:rFonts w:eastAsia="Times New Roman" w:cs="Times New Roman"/>
          <w:kern w:val="0"/>
          <w:lang w:eastAsia="en-GB"/>
          <w14:ligatures w14:val="none"/>
        </w:rPr>
      </w:pPr>
      <w:r w:rsidRPr="000374D6">
        <w:rPr>
          <w:rFonts w:eastAsia="Times New Roman" w:cs="Times New Roman"/>
          <w:kern w:val="0"/>
          <w:lang w:eastAsia="en-GB"/>
          <w14:ligatures w14:val="none"/>
        </w:rPr>
        <w:t xml:space="preserve">Trakman, G.L., Forsyth, A., Hoye, R. and Belski, R. (2018). Development and validation of a brief general and sports nutrition knowledge questionnaire and assessment of athletes’ nutrition knowledge. </w:t>
      </w:r>
      <w:r w:rsidRPr="000374D6">
        <w:rPr>
          <w:rFonts w:eastAsia="Times New Roman" w:cs="Times New Roman"/>
          <w:i/>
          <w:iCs/>
          <w:kern w:val="0"/>
          <w:lang w:eastAsia="en-GB"/>
          <w14:ligatures w14:val="none"/>
        </w:rPr>
        <w:t>Journal of the International Society of Sports Nutrition</w:t>
      </w:r>
      <w:r w:rsidRPr="000374D6">
        <w:rPr>
          <w:rFonts w:eastAsia="Times New Roman" w:cs="Times New Roman"/>
          <w:kern w:val="0"/>
          <w:lang w:eastAsia="en-GB"/>
          <w14:ligatures w14:val="none"/>
        </w:rPr>
        <w:t xml:space="preserve">, 15(1). </w:t>
      </w:r>
      <w:proofErr w:type="spellStart"/>
      <w:proofErr w:type="gramStart"/>
      <w:r w:rsidRPr="000374D6">
        <w:rPr>
          <w:rFonts w:eastAsia="Times New Roman" w:cs="Times New Roman"/>
          <w:kern w:val="0"/>
          <w:lang w:eastAsia="en-GB"/>
          <w14:ligatures w14:val="none"/>
        </w:rPr>
        <w:t>doi:https</w:t>
      </w:r>
      <w:proofErr w:type="spellEnd"/>
      <w:r w:rsidRPr="000374D6">
        <w:rPr>
          <w:rFonts w:eastAsia="Times New Roman" w:cs="Times New Roman"/>
          <w:kern w:val="0"/>
          <w:lang w:eastAsia="en-GB"/>
          <w14:ligatures w14:val="none"/>
        </w:rPr>
        <w:t>://doi.org/10.1186/s12970-018-0223-1</w:t>
      </w:r>
      <w:proofErr w:type="gramEnd"/>
      <w:r w:rsidRPr="000374D6">
        <w:rPr>
          <w:rFonts w:eastAsia="Times New Roman" w:cs="Times New Roman"/>
          <w:kern w:val="0"/>
          <w:lang w:eastAsia="en-GB"/>
          <w14:ligatures w14:val="none"/>
        </w:rPr>
        <w:t>.</w:t>
      </w:r>
    </w:p>
    <w:p w14:paraId="53224974" w14:textId="77777777" w:rsidR="000374D6" w:rsidRPr="000374D6" w:rsidRDefault="000374D6" w:rsidP="000374D6">
      <w:pPr>
        <w:spacing w:after="240" w:line="360" w:lineRule="auto"/>
        <w:rPr>
          <w:rFonts w:eastAsia="Times New Roman" w:cs="Times New Roman"/>
          <w:kern w:val="0"/>
          <w:lang w:eastAsia="en-GB"/>
          <w14:ligatures w14:val="none"/>
        </w:rPr>
      </w:pPr>
      <w:r w:rsidRPr="000374D6">
        <w:rPr>
          <w:rFonts w:eastAsia="Times New Roman" w:cs="Times New Roman"/>
          <w:kern w:val="0"/>
          <w:lang w:eastAsia="en-GB"/>
          <w14:ligatures w14:val="none"/>
        </w:rPr>
        <w:t xml:space="preserve">Walsh, M., Cartwright, L., Corish, C., Sugrue, S. and Wood-Martin, R. (2011). The Body Composition, Nutritional Knowledge, Attitudes, </w:t>
      </w:r>
      <w:proofErr w:type="spellStart"/>
      <w:r w:rsidRPr="000374D6">
        <w:rPr>
          <w:rFonts w:eastAsia="Times New Roman" w:cs="Times New Roman"/>
          <w:kern w:val="0"/>
          <w:lang w:eastAsia="en-GB"/>
          <w14:ligatures w14:val="none"/>
        </w:rPr>
        <w:t>Behaviors</w:t>
      </w:r>
      <w:proofErr w:type="spellEnd"/>
      <w:r w:rsidRPr="000374D6">
        <w:rPr>
          <w:rFonts w:eastAsia="Times New Roman" w:cs="Times New Roman"/>
          <w:kern w:val="0"/>
          <w:lang w:eastAsia="en-GB"/>
          <w14:ligatures w14:val="none"/>
        </w:rPr>
        <w:t xml:space="preserve">, and Future Education Needs of Senior Schoolboy Rugby Players in Ireland. </w:t>
      </w:r>
      <w:r w:rsidRPr="000374D6">
        <w:rPr>
          <w:rFonts w:eastAsia="Times New Roman" w:cs="Times New Roman"/>
          <w:i/>
          <w:iCs/>
          <w:kern w:val="0"/>
          <w:lang w:eastAsia="en-GB"/>
          <w14:ligatures w14:val="none"/>
        </w:rPr>
        <w:t>International Journal of Sport Nutrition and Exercise Metabolism</w:t>
      </w:r>
      <w:r w:rsidRPr="000374D6">
        <w:rPr>
          <w:rFonts w:eastAsia="Times New Roman" w:cs="Times New Roman"/>
          <w:kern w:val="0"/>
          <w:lang w:eastAsia="en-GB"/>
          <w14:ligatures w14:val="none"/>
        </w:rPr>
        <w:t xml:space="preserve">, 21(5), pp.365–376. </w:t>
      </w:r>
      <w:proofErr w:type="spellStart"/>
      <w:proofErr w:type="gramStart"/>
      <w:r w:rsidRPr="000374D6">
        <w:rPr>
          <w:rFonts w:eastAsia="Times New Roman" w:cs="Times New Roman"/>
          <w:kern w:val="0"/>
          <w:lang w:eastAsia="en-GB"/>
          <w14:ligatures w14:val="none"/>
        </w:rPr>
        <w:t>doi:https</w:t>
      </w:r>
      <w:proofErr w:type="spellEnd"/>
      <w:r w:rsidRPr="000374D6">
        <w:rPr>
          <w:rFonts w:eastAsia="Times New Roman" w:cs="Times New Roman"/>
          <w:kern w:val="0"/>
          <w:lang w:eastAsia="en-GB"/>
          <w14:ligatures w14:val="none"/>
        </w:rPr>
        <w:t>://doi.org/10.1123/ijsnem.21.5.365</w:t>
      </w:r>
      <w:proofErr w:type="gramEnd"/>
      <w:r w:rsidRPr="000374D6">
        <w:rPr>
          <w:rFonts w:eastAsia="Times New Roman" w:cs="Times New Roman"/>
          <w:kern w:val="0"/>
          <w:lang w:eastAsia="en-GB"/>
          <w14:ligatures w14:val="none"/>
        </w:rPr>
        <w:t>.</w:t>
      </w:r>
    </w:p>
    <w:p w14:paraId="16851DAD" w14:textId="77777777" w:rsidR="000374D6" w:rsidRDefault="000374D6"/>
    <w:sectPr w:rsidR="000374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4D6"/>
    <w:rsid w:val="000374D6"/>
    <w:rsid w:val="005607A5"/>
    <w:rsid w:val="006714E7"/>
    <w:rsid w:val="00CD3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8F272"/>
  <w15:chartTrackingRefBased/>
  <w15:docId w15:val="{9781375E-A0B0-1F44-8B4B-B925BB43F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4D6"/>
  </w:style>
  <w:style w:type="paragraph" w:styleId="Heading1">
    <w:name w:val="heading 1"/>
    <w:basedOn w:val="Normal"/>
    <w:next w:val="Normal"/>
    <w:link w:val="Heading1Char"/>
    <w:uiPriority w:val="9"/>
    <w:qFormat/>
    <w:rsid w:val="000374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74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74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74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74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74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74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74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74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4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74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74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74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74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74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74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74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74D6"/>
    <w:rPr>
      <w:rFonts w:eastAsiaTheme="majorEastAsia" w:cstheme="majorBidi"/>
      <w:color w:val="272727" w:themeColor="text1" w:themeTint="D8"/>
    </w:rPr>
  </w:style>
  <w:style w:type="paragraph" w:styleId="Title">
    <w:name w:val="Title"/>
    <w:basedOn w:val="Normal"/>
    <w:next w:val="Normal"/>
    <w:link w:val="TitleChar"/>
    <w:uiPriority w:val="10"/>
    <w:qFormat/>
    <w:rsid w:val="000374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74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74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74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74D6"/>
    <w:pPr>
      <w:spacing w:before="160"/>
      <w:jc w:val="center"/>
    </w:pPr>
    <w:rPr>
      <w:i/>
      <w:iCs/>
      <w:color w:val="404040" w:themeColor="text1" w:themeTint="BF"/>
    </w:rPr>
  </w:style>
  <w:style w:type="character" w:customStyle="1" w:styleId="QuoteChar">
    <w:name w:val="Quote Char"/>
    <w:basedOn w:val="DefaultParagraphFont"/>
    <w:link w:val="Quote"/>
    <w:uiPriority w:val="29"/>
    <w:rsid w:val="000374D6"/>
    <w:rPr>
      <w:i/>
      <w:iCs/>
      <w:color w:val="404040" w:themeColor="text1" w:themeTint="BF"/>
    </w:rPr>
  </w:style>
  <w:style w:type="paragraph" w:styleId="ListParagraph">
    <w:name w:val="List Paragraph"/>
    <w:basedOn w:val="Normal"/>
    <w:uiPriority w:val="34"/>
    <w:qFormat/>
    <w:rsid w:val="000374D6"/>
    <w:pPr>
      <w:ind w:left="720"/>
      <w:contextualSpacing/>
    </w:pPr>
  </w:style>
  <w:style w:type="character" w:styleId="IntenseEmphasis">
    <w:name w:val="Intense Emphasis"/>
    <w:basedOn w:val="DefaultParagraphFont"/>
    <w:uiPriority w:val="21"/>
    <w:qFormat/>
    <w:rsid w:val="000374D6"/>
    <w:rPr>
      <w:i/>
      <w:iCs/>
      <w:color w:val="0F4761" w:themeColor="accent1" w:themeShade="BF"/>
    </w:rPr>
  </w:style>
  <w:style w:type="paragraph" w:styleId="IntenseQuote">
    <w:name w:val="Intense Quote"/>
    <w:basedOn w:val="Normal"/>
    <w:next w:val="Normal"/>
    <w:link w:val="IntenseQuoteChar"/>
    <w:uiPriority w:val="30"/>
    <w:qFormat/>
    <w:rsid w:val="000374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74D6"/>
    <w:rPr>
      <w:i/>
      <w:iCs/>
      <w:color w:val="0F4761" w:themeColor="accent1" w:themeShade="BF"/>
    </w:rPr>
  </w:style>
  <w:style w:type="character" w:styleId="IntenseReference">
    <w:name w:val="Intense Reference"/>
    <w:basedOn w:val="DefaultParagraphFont"/>
    <w:uiPriority w:val="32"/>
    <w:qFormat/>
    <w:rsid w:val="000374D6"/>
    <w:rPr>
      <w:b/>
      <w:bCs/>
      <w:smallCaps/>
      <w:color w:val="0F4761" w:themeColor="accent1" w:themeShade="BF"/>
      <w:spacing w:val="5"/>
    </w:rPr>
  </w:style>
  <w:style w:type="paragraph" w:customStyle="1" w:styleId="p1">
    <w:name w:val="p1"/>
    <w:basedOn w:val="Normal"/>
    <w:rsid w:val="000374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0374D6"/>
  </w:style>
  <w:style w:type="character" w:customStyle="1" w:styleId="s1">
    <w:name w:val="s1"/>
    <w:basedOn w:val="DefaultParagraphFont"/>
    <w:rsid w:val="000374D6"/>
  </w:style>
  <w:style w:type="paragraph" w:customStyle="1" w:styleId="p2">
    <w:name w:val="p2"/>
    <w:basedOn w:val="Normal"/>
    <w:rsid w:val="000374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0374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3678</Words>
  <Characters>20971</Characters>
  <Application>Microsoft Office Word</Application>
  <DocSecurity>0</DocSecurity>
  <Lines>174</Lines>
  <Paragraphs>49</Paragraphs>
  <ScaleCrop>false</ScaleCrop>
  <Company/>
  <LinksUpToDate>false</LinksUpToDate>
  <CharactersWithSpaces>24600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Anya Chodecka (2405883)</dc:creator>
  <cp:keywords/>
  <dc:description/>
  <cp:lastModifiedBy>Anya Chodecka (2405883)</cp:lastModifiedBy>
  <cp:revision>3</cp:revision>
  <dcterms:created xsi:type="dcterms:W3CDTF">2026-05-11T12:23:00Z</dcterms:created>
  <dcterms:modified xsi:type="dcterms:W3CDTF">2026-05-11T12:28:00Z</dcterms:modified>
</cp:coreProperties>
</file>