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B8D4C3" w14:textId="77777777" w:rsidR="00EE45D4" w:rsidRPr="00EE45D4" w:rsidRDefault="00EE45D4" w:rsidP="00EE45D4">
      <w:pPr>
        <w:spacing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t xml:space="preserve">Critically reflect upon the concept of Person-Centred Practice within Health and Social Care and its implication for service users, justifying your conclusions. </w:t>
      </w:r>
    </w:p>
    <w:p w14:paraId="7FC72CDB" w14:textId="77777777"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t xml:space="preserve">This assignment will look at what person-centred practice is, why person-centred practice is important, what health and social care are and how the two are linked together. It will look into the laws and legislations that protect the patients and the workers. In this case, it will look at older people who require person-centred practice and look at end-of-life care. End of life care plans are positive to many, and as a negative to some, this is proven by the case study of Lucy who had a good outcome in the end, but it could have been very different. This assignment will argue some of the positives and negatives to end of life care plans, although each of us as individuals will have a different opinion on the matter. </w:t>
      </w:r>
    </w:p>
    <w:p w14:paraId="1710BC9B" w14:textId="77777777"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t xml:space="preserve">Henderson and </w:t>
      </w:r>
      <w:proofErr w:type="spellStart"/>
      <w:r w:rsidRPr="00EE45D4">
        <w:rPr>
          <w:rFonts w:ascii="Times New Roman" w:hAnsi="Times New Roman" w:cs="Times New Roman"/>
          <w:sz w:val="24"/>
          <w:szCs w:val="24"/>
        </w:rPr>
        <w:t>Vesperi</w:t>
      </w:r>
      <w:proofErr w:type="spellEnd"/>
      <w:r w:rsidRPr="00EE45D4">
        <w:rPr>
          <w:rFonts w:ascii="Times New Roman" w:hAnsi="Times New Roman" w:cs="Times New Roman"/>
          <w:sz w:val="24"/>
          <w:szCs w:val="24"/>
        </w:rPr>
        <w:t xml:space="preserve"> described the person-centred practice (PCP) as 'person-centredness is becoming more and more important in the research and the practice regarding health care. Ensuring a full and comprehensive approach to care is taken, placing the individual at the centre of all decisions and interventions, PCP is used in a wide range of care environments' (Henderson &amp; Vesperi,1995). It is recognised that person-centred practices consider that every individual is different, and their unique needs differ from everyone else. PCP places the individual at the centre of all decisions and the centre of everything done. It means that they are physically comfortable and safe in their surroundings and helps support family and friends emotionally and physically. The individual's needs and preferences are respected when making decisions about their health care needs and plans. PCP can help prevent and minimise the functional decline of elderly individuals in hospitals and help make plans tailored to meet each individual's needs. With a plan in place, it can help reduce the number of times an individual is readmitted to the hospital, reduce mortality, and increase individual and career satisfaction. Within the health care profession, person-centred care is an "often quoted and poorly defined concept that has had a considerate impact on policy and literature especially in the field of nursing" (Nolan et al 2004, p. 46). Although everyone does not share that view as Packers thoughts "have provided a sense of purpose and methodology for health care staff and some have started to wonder if person-centred care is possible and not just an idealistic idea" (Packer, 2000). </w:t>
      </w:r>
    </w:p>
    <w:p w14:paraId="78204146" w14:textId="77777777"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lastRenderedPageBreak/>
        <w:t>PCP is important to individuals because foremost, it helps them get more. It helps them get the confidence they require to feel comfortable in a service. The individual will build up a mutual respect with the worker. Therefore, the individual will trust the worker to do what is best for them, which will make every situation a lot easier for both parties</w:t>
      </w:r>
      <w:r w:rsidRPr="00EE45D4">
        <w:rPr>
          <w:rFonts w:ascii="Times New Roman" w:hAnsi="Times New Roman" w:cs="Times New Roman"/>
          <w:sz w:val="24"/>
          <w:szCs w:val="24"/>
          <w:shd w:val="clear" w:color="auto" w:fill="FFFFFF"/>
        </w:rPr>
        <w:t xml:space="preserve"> (Burton and Burton, 2021)</w:t>
      </w:r>
      <w:r w:rsidRPr="00EE45D4">
        <w:rPr>
          <w:rFonts w:ascii="Times New Roman" w:hAnsi="Times New Roman" w:cs="Times New Roman"/>
          <w:sz w:val="24"/>
          <w:szCs w:val="24"/>
        </w:rPr>
        <w:t xml:space="preserve"> . Nolan emphasises this when he mentions "interactions between different teaching methods are only likely to be successful when partnerships between the individual and the worker are based on mutual respect. The theory of person-centred care and self -determination and independence are created so that asymmetrical relationship is the result" (Nolan et al., 2004, p. 47). The worker will meet the individuals emotional, social and practical needs in order for them to maintain a high quality of life. PCP will also help workers support individuals with disabilities who may not directly communicate their needs or wants themselves. A few examples of the disabilities that make individuals unable to communicate for themselves include dementia, learning disabilities and those who do not have the confidence to speak for themselves. Finding ways to communicate with these individuals will help maximise their quality of care and life. Improving an individual’s independence is beneficial on a personal level. However, it also empowers them enough to take part in decision making about their care plan and minimise the input the worker has to put in in the future, the more confident an individual, the better. </w:t>
      </w:r>
    </w:p>
    <w:p w14:paraId="087518C3" w14:textId="77777777"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t>Health and social care are the names given to services available for individuals from health and care providers in the United Kingdom (UK). It is a generic term used to advertise to the healthcare system, including the private sector. Services available in the UK can get very confusing as there are so many available, that is due to all the different agencies involved in them. The National health Service (NHS) centrally organises the healthcare system. In contrast, local authorities administered the social care side of things, meaning the number of organisations involved can mean finding the answers to questions difficult (</w:t>
      </w:r>
      <w:r w:rsidRPr="00EE45D4">
        <w:rPr>
          <w:rFonts w:ascii="Times New Roman" w:hAnsi="Times New Roman" w:cs="Times New Roman"/>
          <w:sz w:val="24"/>
          <w:szCs w:val="24"/>
          <w:shd w:val="clear" w:color="auto" w:fill="FFFFFF"/>
        </w:rPr>
        <w:t>The Care Workers Charity, 2021)</w:t>
      </w:r>
      <w:r w:rsidRPr="00EE45D4">
        <w:rPr>
          <w:rFonts w:ascii="Times New Roman" w:hAnsi="Times New Roman" w:cs="Times New Roman"/>
          <w:sz w:val="24"/>
          <w:szCs w:val="24"/>
        </w:rPr>
        <w:t xml:space="preserve"> . Many families who provide support to loved ones also have to juggle careers and childcare responsibilities and look after themselves, so when it comes to finding the required help, support and medical intervention or social assistance it can become a minefield. Hospital staff, such as doctors and nurses, also find it difficult to access the right care at the right time, Santana argues this when he states “many health systems implementing PCC are struggling (Santana et al.,2018). The professionals are so busy, leaving social care services offering many options that can be overwhelming to the uneducated. Patients with complex needs who need extra additional input from social workers and therapists </w:t>
      </w:r>
      <w:r w:rsidRPr="00EE45D4">
        <w:rPr>
          <w:rFonts w:ascii="Times New Roman" w:hAnsi="Times New Roman" w:cs="Times New Roman"/>
          <w:sz w:val="24"/>
          <w:szCs w:val="24"/>
        </w:rPr>
        <w:lastRenderedPageBreak/>
        <w:t xml:space="preserve">are kept in hospital while their care plans or end of life care plans are put into place. These patients are known as 'bed blockers' as they are ready to be discharged from the hospital. However, social services and the other professionals involved in their care have not had the time to find suitable and much need accommodation or services that they require. The involvement of additional services and specialities makes the earlier communication and planning even more important, especially in the frail and vulnerable elderly and those with mental health issues. These patients may have poor communication and coordination, which leaves them having an unfair and unequal effect on their discharge process. </w:t>
      </w:r>
    </w:p>
    <w:p w14:paraId="0F43ADE9" w14:textId="77777777"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t>Advocacy is an important part of health and social care professionals role. They advocate for their patients without even realising they are doing it; equally, they could find themselves on the receiving end of advocacy. Family members also advocate without realizing they are doing it but, there should be clear documents and procedures for the involvement of independent advocates and be available to all care staff, patients and family. Professionals should advertise the fact that patients are entitled to an advocate and it should be part of the regular care plan reviews (Care Talk, 2021). Brandon uses this helpful description to describe advocacy "it is a device to determine the individuals' rights and needs, especially those on social margins" (Brandon, 1995). Payne states "to deny advocacy as a legal part of the process of helping and supporting people’s lives is to deny the reality of life itself, advocacy ensures that the interests of the powerless clients are turned into powerful individuals and social structures" (Payne, 1997). All individuals have the right to have an actual advocate to help themselves heard and empowered, even if they already have other professionals involved in their care. All services provided to patients should have up to date records of local and independent advocacy services</w:t>
      </w:r>
      <w:r w:rsidRPr="00EE45D4">
        <w:rPr>
          <w:rFonts w:ascii="Times New Roman" w:hAnsi="Times New Roman" w:cs="Times New Roman"/>
          <w:kern w:val="24"/>
          <w:sz w:val="24"/>
          <w:szCs w:val="24"/>
        </w:rPr>
        <w:t xml:space="preserve"> (Care Talk, 2021)</w:t>
      </w:r>
      <w:r w:rsidRPr="00EE45D4">
        <w:rPr>
          <w:rFonts w:ascii="Times New Roman" w:hAnsi="Times New Roman" w:cs="Times New Roman"/>
          <w:sz w:val="24"/>
          <w:szCs w:val="24"/>
          <w:shd w:val="clear" w:color="auto" w:fill="FFFFFF"/>
        </w:rPr>
        <w:t xml:space="preserve">. </w:t>
      </w:r>
      <w:r w:rsidRPr="00EE45D4">
        <w:rPr>
          <w:rFonts w:ascii="Times New Roman" w:hAnsi="Times New Roman" w:cs="Times New Roman"/>
          <w:sz w:val="24"/>
          <w:szCs w:val="24"/>
        </w:rPr>
        <w:t xml:space="preserve">An advocate would listen to the patient and then put their points across, working with the professionals to get the best possible outcome. Advocates and advocacy can be used on many different occasions and stages of an individual's life. Whatever the advocacy context, it needs to have a firm moral and ethical basis if it is to work and be effective. To make advocacy, effective clients must have access to an advocate to even out the imbalance and unfairness of power between the provider and the consumer (Bateman, 2000). </w:t>
      </w:r>
    </w:p>
    <w:p w14:paraId="7041A01B" w14:textId="77777777" w:rsidR="00657546"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t xml:space="preserve">The government has set up laws and legislation to help protect the patient and the professionals while they are being treated or looked after. The Human Rights Act 1998 was put in place to give </w:t>
      </w:r>
      <w:r w:rsidRPr="00EE45D4">
        <w:rPr>
          <w:rFonts w:ascii="Times New Roman" w:hAnsi="Times New Roman" w:cs="Times New Roman"/>
          <w:sz w:val="24"/>
          <w:szCs w:val="24"/>
        </w:rPr>
        <w:lastRenderedPageBreak/>
        <w:t xml:space="preserve">more in-depth rights and freedoms to individuals under the European Convention on Human Rights. The Equalities Act 2006 was established by the Commissioner for Equality and Human Rights. The Act makes provision about discrimination, and individuals can face on the grounds of their religion or belief, their sexual orientation, and amend the Disability Discrimination Act 1995 and for all connected purposes. The Disability Discrimination Act 1995 makes it unlawful to discriminate against a disabled individual regarding employment, facilities and services available or the disposal or management of premises. The establishment of a National Disability Council will also prevent disabled individuals from being discriminated. NHS and Community Care Act 1990 is an Act to protect any adult aged over eighteen who is eligible and needs facilities and services from their local authority. Ensuring they have a full assessment of their individual needs; the provided services are tailored specifically. Mental health Capacity Act (MCA) 2005 applies to anyone over the age of sixteen living in England and Wales who are involved in the care, treatment and support of an individual who cannot make certain or all decisions for themselves. The Social Services and Wellbeing (Wales) Act 2014 came into force in April 2016 is a law that changes how social services operate across Wales. It ensures that the care and support provided is personal to one's needs, helping one stay independent for longer and letting one live the life one chooses. The Regulation and Inspection of Social Care (Wales) Act 2016 establishes a balanced system in-line with the Social Services and Well-being (Wales) Act 2014 to ensure the quality and improvement of services are the heart of the Act. It improves and strengthens protection for those who need care and support and the social care </w:t>
      </w:r>
      <w:r w:rsidRPr="00657546">
        <w:rPr>
          <w:rFonts w:ascii="Times New Roman" w:hAnsi="Times New Roman" w:cs="Times New Roman"/>
          <w:sz w:val="24"/>
          <w:szCs w:val="24"/>
        </w:rPr>
        <w:t>workforce</w:t>
      </w:r>
      <w:r w:rsidR="00657546" w:rsidRPr="00657546">
        <w:rPr>
          <w:rFonts w:ascii="Times New Roman" w:eastAsia="+mn-ea" w:hAnsi="Times New Roman" w:cs="Times New Roman"/>
          <w:kern w:val="24"/>
          <w:sz w:val="24"/>
          <w:szCs w:val="24"/>
          <w:lang w:val="en-US"/>
        </w:rPr>
        <w:t xml:space="preserve"> </w:t>
      </w:r>
      <w:r w:rsidR="00657546" w:rsidRPr="00657546">
        <w:rPr>
          <w:rFonts w:ascii="Times New Roman" w:eastAsia="+mn-ea" w:hAnsi="Times New Roman" w:cs="Times New Roman"/>
          <w:kern w:val="24"/>
          <w:sz w:val="24"/>
          <w:szCs w:val="24"/>
          <w:lang w:val="en-US"/>
        </w:rPr>
        <w:t>(Care Quality Commission, 2021)</w:t>
      </w:r>
      <w:r w:rsidRPr="00EE45D4">
        <w:rPr>
          <w:rFonts w:ascii="Times New Roman" w:hAnsi="Times New Roman" w:cs="Times New Roman"/>
          <w:sz w:val="24"/>
          <w:szCs w:val="24"/>
        </w:rPr>
        <w:t>.</w:t>
      </w:r>
      <w:r w:rsidR="00657546">
        <w:rPr>
          <w:rFonts w:ascii="Times New Roman" w:hAnsi="Times New Roman" w:cs="Times New Roman"/>
          <w:sz w:val="24"/>
          <w:szCs w:val="24"/>
        </w:rPr>
        <w:t xml:space="preserve"> </w:t>
      </w:r>
    </w:p>
    <w:p w14:paraId="12E44F7B" w14:textId="05D84B04" w:rsidR="00EE45D4" w:rsidRPr="00657546" w:rsidRDefault="00EE45D4" w:rsidP="00EE45D4">
      <w:pPr>
        <w:spacing w:before="240" w:after="240" w:line="360" w:lineRule="auto"/>
        <w:jc w:val="both"/>
        <w:rPr>
          <w:rFonts w:ascii="Times New Roman" w:hAnsi="Times New Roman" w:cs="Times New Roman"/>
          <w:sz w:val="24"/>
          <w:szCs w:val="24"/>
          <w:shd w:val="clear" w:color="auto" w:fill="FFFFFF"/>
        </w:rPr>
      </w:pPr>
      <w:r w:rsidRPr="00EE45D4">
        <w:rPr>
          <w:rFonts w:ascii="Times New Roman" w:hAnsi="Times New Roman" w:cs="Times New Roman"/>
          <w:sz w:val="24"/>
          <w:szCs w:val="24"/>
        </w:rPr>
        <w:t xml:space="preserve">The PCP for vulnerable elderly adults is an important but also a daunting and frightening set of challenges for many families and health care workers. Finding ways to ensure these challenges are overcome are very important. As a society, we often overlook the challenges faced by the elderly individual and tend to focus on the issues related to those around the elderly individual. Worrying about the elderly individual in society is a challenge. How will they adapt and how will society adapt or accept them and how much will it cost for these challenges to be met and overcome. One of the first steps into resolving these challenges is to ensure that the elderly individual is continued to be empowered and can continue living independently for as long as possible to ensure their best lives is continuing. The person-centred care plan will achieve these five important accomplishments, an autonomy that understands their unique needs. Competency, helping the elderly individual progress in their strength and encourage them to cultivate and utilise their </w:t>
      </w:r>
      <w:r w:rsidRPr="00EE45D4">
        <w:rPr>
          <w:rFonts w:ascii="Times New Roman" w:hAnsi="Times New Roman" w:cs="Times New Roman"/>
          <w:sz w:val="24"/>
          <w:szCs w:val="24"/>
        </w:rPr>
        <w:lastRenderedPageBreak/>
        <w:t xml:space="preserve">distinctive ability. Encouraging community presence and sharing ordinary space with the community will help the individual feel a sense of belonging, but, that is if they are healthy enough to do that. Giving individuals a valued social role will help them contribute to their community and develop and share their abilities with others. Community participation will help deepen and make them feel a sense of belonging and experience community life and offer them opportunities they cannot get at home </w:t>
      </w:r>
      <w:r w:rsidRPr="00EE45D4">
        <w:rPr>
          <w:rStyle w:val="Strong"/>
          <w:rFonts w:ascii="Times New Roman" w:hAnsi="Times New Roman" w:cs="Times New Roman"/>
          <w:sz w:val="24"/>
          <w:szCs w:val="24"/>
          <w:shd w:val="clear" w:color="auto" w:fill="FFFFFF"/>
        </w:rPr>
        <w:t>(</w:t>
      </w:r>
      <w:r w:rsidRPr="00EE45D4">
        <w:rPr>
          <w:rStyle w:val="selectable"/>
          <w:rFonts w:ascii="Times New Roman" w:hAnsi="Times New Roman" w:cs="Times New Roman"/>
          <w:sz w:val="24"/>
          <w:szCs w:val="24"/>
          <w:shd w:val="clear" w:color="auto" w:fill="FFFFFF"/>
        </w:rPr>
        <w:t>Inclusive Solutions. 2021)</w:t>
      </w:r>
      <w:r w:rsidRPr="00EE45D4">
        <w:rPr>
          <w:rFonts w:ascii="Times New Roman" w:hAnsi="Times New Roman" w:cs="Times New Roman"/>
          <w:sz w:val="24"/>
          <w:szCs w:val="24"/>
        </w:rPr>
        <w:t xml:space="preserve">. These plans are carried out by professionals and put into force by many different professionals, including homecare staff who attend elderly patients’ homes. The shift to home care as well as hospital based care services means providing integrated health care and social care around </w:t>
      </w:r>
      <w:r w:rsidR="00657546" w:rsidRPr="00EE45D4">
        <w:rPr>
          <w:rFonts w:ascii="Times New Roman" w:hAnsi="Times New Roman" w:cs="Times New Roman"/>
          <w:sz w:val="24"/>
          <w:szCs w:val="24"/>
        </w:rPr>
        <w:t>patients’</w:t>
      </w:r>
      <w:r w:rsidRPr="00EE45D4">
        <w:rPr>
          <w:rFonts w:ascii="Times New Roman" w:hAnsi="Times New Roman" w:cs="Times New Roman"/>
          <w:sz w:val="24"/>
          <w:szCs w:val="24"/>
        </w:rPr>
        <w:t xml:space="preserve"> needs and needs to be effectively coordinated across all providers. PCC in healthcare is designed around the individual, their family and community choices, values and support needs (World Health Organisation, 2015). Although home care is very much needed in society, the workers are very much working to the clock and not the patient; they tend to have a big turnover of staff, making it harder to get to know their needs on a professional level. Being allocated only half an hour with a patient can put patients at risk as their health deterioration could be missed. Grey argues this when he says "This often is a lone- working role meaning that healthcare professionals carry a great deal of responsibility for picking up on the deterioration in patients conditions" (Gray et al., </w:t>
      </w:r>
      <w:hyperlink r:id="rId10" w:anchor="jocn15255-bib-0015" w:history="1">
        <w:r w:rsidRPr="00EE45D4">
          <w:rPr>
            <w:rFonts w:ascii="Times New Roman" w:hAnsi="Times New Roman" w:cs="Times New Roman"/>
            <w:sz w:val="24"/>
            <w:szCs w:val="24"/>
            <w:u w:val="single" w:color="0000EE"/>
          </w:rPr>
          <w:t>2018a</w:t>
        </w:r>
      </w:hyperlink>
      <w:r w:rsidRPr="00EE45D4">
        <w:rPr>
          <w:rFonts w:ascii="Times New Roman" w:hAnsi="Times New Roman" w:cs="Times New Roman"/>
          <w:sz w:val="24"/>
          <w:szCs w:val="24"/>
        </w:rPr>
        <w:t xml:space="preserve">; Gray, Currey, &amp; Considine, </w:t>
      </w:r>
      <w:hyperlink r:id="rId11" w:anchor="jocn15255-bib-0016" w:history="1">
        <w:r w:rsidRPr="00EE45D4">
          <w:rPr>
            <w:rFonts w:ascii="Times New Roman" w:hAnsi="Times New Roman" w:cs="Times New Roman"/>
            <w:sz w:val="24"/>
            <w:szCs w:val="24"/>
            <w:u w:val="single" w:color="0000EE"/>
          </w:rPr>
          <w:t>2018b</w:t>
        </w:r>
      </w:hyperlink>
      <w:r w:rsidRPr="00EE45D4">
        <w:rPr>
          <w:rFonts w:ascii="Times New Roman" w:hAnsi="Times New Roman" w:cs="Times New Roman"/>
          <w:sz w:val="24"/>
          <w:szCs w:val="24"/>
        </w:rPr>
        <w:t xml:space="preserve">). Noticing any deterioration is important and is just one of the many issues faced by professionals carrying out the person-centred practice. </w:t>
      </w:r>
    </w:p>
    <w:p w14:paraId="5BC9D323" w14:textId="7BE2BBA2"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t>While ensuring elderly adults live an independent life for as long as possible, an important part of their care is the end of a life care plan. Unfortunately, most of us will have one if we are lucky enough to get to that time in our life. An end of a life care plan is guidance that covers the care of an individual aged eighteen or over who are dying and are in the last few days of life. The plan aims to involve the elderly individual as much as possible by communicating with them, respecting their wishes, maintaining their comfort and dignity throughout, and engaging with family members so that they are involved as much as possible. This is argued by Kite who thinks "</w:t>
      </w:r>
      <w:r w:rsidR="00657546">
        <w:rPr>
          <w:rFonts w:ascii="Times New Roman" w:hAnsi="Times New Roman" w:cs="Times New Roman"/>
          <w:sz w:val="24"/>
          <w:szCs w:val="24"/>
        </w:rPr>
        <w:t xml:space="preserve">a plan allows patients to have their treatment preferences, goals and where they would like to be cared for documented by professionals after having a </w:t>
      </w:r>
      <w:r w:rsidR="00BE16D0">
        <w:rPr>
          <w:rFonts w:ascii="Times New Roman" w:hAnsi="Times New Roman" w:cs="Times New Roman"/>
          <w:sz w:val="24"/>
          <w:szCs w:val="24"/>
        </w:rPr>
        <w:t>structured discussion with them, all of these need to be discussed” (Kite, 2010</w:t>
      </w:r>
      <w:r w:rsidRPr="00EE45D4">
        <w:rPr>
          <w:rFonts w:ascii="Times New Roman" w:hAnsi="Times New Roman" w:cs="Times New Roman"/>
          <w:sz w:val="24"/>
          <w:szCs w:val="24"/>
        </w:rPr>
        <w:t xml:space="preserve">). An end of life care plan will also include whether or not a patient has signed a do not resuscitate (DNR) form, having a DNR on applies at the time of the patient's death. The end of a life care plan is there to help and guide health and social care professionals caring for </w:t>
      </w:r>
      <w:r w:rsidRPr="00EE45D4">
        <w:rPr>
          <w:rFonts w:ascii="Times New Roman" w:hAnsi="Times New Roman" w:cs="Times New Roman"/>
          <w:sz w:val="24"/>
          <w:szCs w:val="24"/>
        </w:rPr>
        <w:lastRenderedPageBreak/>
        <w:t xml:space="preserve">people who are dying and the person dying. This includes people working in care homes, hospitals, primary care, hospices and older adults living in their own homes. Family members, friends or important people must be informed and kept up to date with the plan. </w:t>
      </w:r>
    </w:p>
    <w:p w14:paraId="68B5BB0E" w14:textId="03BD0612"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t>A benefit of the end of a life care plan is that the professionals and the family know what will happen and that the elderly persons' symptoms are checked and managed appropriately. This is described perfectly by Brinkman-Stoppelenburg "</w:t>
      </w:r>
      <w:r w:rsidR="00BE16D0">
        <w:rPr>
          <w:rFonts w:ascii="Times New Roman" w:hAnsi="Times New Roman" w:cs="Times New Roman"/>
          <w:sz w:val="24"/>
          <w:szCs w:val="24"/>
        </w:rPr>
        <w:t xml:space="preserve">having an end of life plan ensures that the care received by a patient shifts from curative to palliative, which then allows all the professionals involved in the care to focus on managing the symptoms and improving quality of life” </w:t>
      </w:r>
      <w:r w:rsidRPr="00EE45D4">
        <w:rPr>
          <w:rFonts w:ascii="Times New Roman" w:hAnsi="Times New Roman" w:cs="Times New Roman"/>
          <w:sz w:val="24"/>
          <w:szCs w:val="24"/>
        </w:rPr>
        <w:t xml:space="preserve">(Brinkman-Stoppelenburg et al., 2014). These symptoms may include pain, breathlessness, nausea and vomiting, anxiety, noisy breathing, and hydration. Not every dying individual is in pain in their last few days of life, but ensuring those are offered the correct help to relieve it and as quickly as possible. The best type of painkiller will be decided by a professional who would have made an assessment to discover the best solution to the problem. Managing breathlessness is very important even if a cause for the problem is not clear. Medication or breathing apparatus is usually used to prevent it after a full assessment is done. Suppose the elderly individual feels nauseated or is vomiting. In that case, their professional will check to find possible causes, such as stomach problems or side effects to a medication they may already be on. Anti-sickness medication is usually offered as long as it does not affect their prescribed medication, and it will benefit them. Elderly individuals may feel anxiety, agitated or become delirious in the last few days of life, keeping them calm and finding a treatment is important as one does not want them in any discomfort. Noisy breathing can be distressing for a person so ensuring their throat or chest is clear of saliva and mucus is a must, sometimes known as the 'death rattle' it can be upsetting for the person and their family. Hydration in any individual is essential, some will not be able to drink for themselves, but making their lips and mouth moist is important. Keeping someone hydrated will not necessarily keep them alive longer if they are already at the end of life stage, but it will keep them more comfortable. Having an end of life care plan 'allows carers and health professionals to make arrangements so patients who are approaching the end of their life may spend extra in their preferred place in their home, in a care home or in a hospice, rather than spending their final days in hospital' (Khan et al., 2014). </w:t>
      </w:r>
    </w:p>
    <w:p w14:paraId="1ED60405" w14:textId="4303DB94"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lastRenderedPageBreak/>
        <w:t>A negative point to the end of a life care plan is at what point a professional thinks the time is right to start a discussion with the elderly adult and how one starts that discussion. Ensuring the elderly adult understands what is being discussed and how important it is, is another issue, then explaining to the family or friends is another barrier that needs to be bridged. The elderly adult and their family may disagree on the plan. This is argued by Noyes, who thinks "</w:t>
      </w:r>
      <w:r w:rsidR="00BE16D0">
        <w:rPr>
          <w:rFonts w:ascii="Times New Roman" w:hAnsi="Times New Roman" w:cs="Times New Roman"/>
          <w:sz w:val="24"/>
          <w:szCs w:val="24"/>
        </w:rPr>
        <w:t xml:space="preserve">families may try and create barriers and fail to communicate </w:t>
      </w:r>
      <w:r w:rsidR="001B5AB1">
        <w:rPr>
          <w:rFonts w:ascii="Times New Roman" w:hAnsi="Times New Roman" w:cs="Times New Roman"/>
          <w:sz w:val="24"/>
          <w:szCs w:val="24"/>
        </w:rPr>
        <w:t>and pass on their relatives end of life care wishes with each other and the professionals involved”</w:t>
      </w:r>
      <w:r w:rsidRPr="00EE45D4">
        <w:rPr>
          <w:rFonts w:ascii="Times New Roman" w:hAnsi="Times New Roman" w:cs="Times New Roman"/>
          <w:sz w:val="24"/>
          <w:szCs w:val="24"/>
        </w:rPr>
        <w:t xml:space="preserve"> (Noyes et al., 2013). The family might not be ready to hear or understand that their loved one is dying; they may disagree with the professionals' decisions or think that the discussion's timing is not right. Horne argues this when he says </w:t>
      </w:r>
      <w:r w:rsidR="001B5AB1">
        <w:rPr>
          <w:rFonts w:ascii="Times New Roman" w:hAnsi="Times New Roman" w:cs="Times New Roman"/>
          <w:sz w:val="24"/>
          <w:szCs w:val="24"/>
        </w:rPr>
        <w:t>“some patients may believe that thinking about and planning their death is a little on the morbid side. The non-communication about the subject may leave family and friends not wanting to discuss the process to avoid upsetting the patient, even though they can no longer be cured”</w:t>
      </w:r>
      <w:r w:rsidRPr="00EE45D4">
        <w:rPr>
          <w:rFonts w:ascii="Times New Roman" w:hAnsi="Times New Roman" w:cs="Times New Roman"/>
          <w:sz w:val="24"/>
          <w:szCs w:val="24"/>
        </w:rPr>
        <w:t xml:space="preserve"> (Horne et al., 2012). Depending on how unwell they are, some older people may not see the relevance of having an end-of-life care plan. Guo argues this suggested 'patients who lack understanding or have not been informed that their death is imminent is less likely to see why a plan is relevant to them and so are less likely to participate and engage in having one done' (Guo et al., 2010). Elderly patients who are ill have many different professionals involved in their care, therefore ensuring that all the professionals have the same information, consistent documents and share the information being given to them with each other is important. </w:t>
      </w:r>
      <w:proofErr w:type="spellStart"/>
      <w:r w:rsidRPr="00EE45D4">
        <w:rPr>
          <w:rFonts w:ascii="Times New Roman" w:hAnsi="Times New Roman" w:cs="Times New Roman"/>
          <w:sz w:val="24"/>
          <w:szCs w:val="24"/>
        </w:rPr>
        <w:t>Heyland</w:t>
      </w:r>
      <w:proofErr w:type="spellEnd"/>
      <w:r w:rsidRPr="00EE45D4">
        <w:rPr>
          <w:rFonts w:ascii="Times New Roman" w:hAnsi="Times New Roman" w:cs="Times New Roman"/>
          <w:sz w:val="24"/>
          <w:szCs w:val="24"/>
        </w:rPr>
        <w:t xml:space="preserve"> argues the importance of this, whose opinion about important information is 'it can be made much more difficult by the amount of different confusing documents. That can be used to record a patient's wishes and the wide range of different processes for sharing and accessing that information with other professionals' (</w:t>
      </w:r>
      <w:proofErr w:type="spellStart"/>
      <w:r w:rsidRPr="00EE45D4">
        <w:rPr>
          <w:rFonts w:ascii="Times New Roman" w:hAnsi="Times New Roman" w:cs="Times New Roman"/>
          <w:sz w:val="24"/>
          <w:szCs w:val="24"/>
        </w:rPr>
        <w:t>Heyland</w:t>
      </w:r>
      <w:proofErr w:type="spellEnd"/>
      <w:r w:rsidRPr="00EE45D4">
        <w:rPr>
          <w:rFonts w:ascii="Times New Roman" w:hAnsi="Times New Roman" w:cs="Times New Roman"/>
          <w:sz w:val="24"/>
          <w:szCs w:val="24"/>
        </w:rPr>
        <w:t xml:space="preserve"> et al., 2013). As individuals, we have the right to change our minds, so it needs to be updated even though the end of life plan may only be needed for a few days. </w:t>
      </w:r>
    </w:p>
    <w:p w14:paraId="1364F7EE" w14:textId="77777777"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t xml:space="preserve">The case study used to show how the end of life plans is a positive strategy to help individuals have their voice heard is that of Lucy, an elderly lady who had needs to be met. Lucy had lived on her own for forty years, but she needed help and support due to her health and frequent falls. She needed more support than she was already receiving. She was referred to </w:t>
      </w:r>
      <w:proofErr w:type="spellStart"/>
      <w:r w:rsidRPr="00EE45D4">
        <w:rPr>
          <w:rFonts w:ascii="Times New Roman" w:hAnsi="Times New Roman" w:cs="Times New Roman"/>
          <w:sz w:val="24"/>
          <w:szCs w:val="24"/>
        </w:rPr>
        <w:t>Elmgrove</w:t>
      </w:r>
      <w:proofErr w:type="spellEnd"/>
      <w:r w:rsidRPr="00EE45D4">
        <w:rPr>
          <w:rFonts w:ascii="Times New Roman" w:hAnsi="Times New Roman" w:cs="Times New Roman"/>
          <w:sz w:val="24"/>
          <w:szCs w:val="24"/>
        </w:rPr>
        <w:t xml:space="preserve"> House Extra Care Service, she settled in and adapted quickly, and with the help of her daughter, she decorated her flat and made it home. Lucy made friends with the other residents and her daughter, close friends and other relatives visited her often to ensure she had regular social and emotional support. </w:t>
      </w:r>
      <w:r w:rsidRPr="00EE45D4">
        <w:rPr>
          <w:rFonts w:ascii="Times New Roman" w:hAnsi="Times New Roman" w:cs="Times New Roman"/>
          <w:sz w:val="24"/>
          <w:szCs w:val="24"/>
        </w:rPr>
        <w:lastRenderedPageBreak/>
        <w:t xml:space="preserve">Unfortunately for Lucy within a year of having moved into </w:t>
      </w:r>
      <w:proofErr w:type="spellStart"/>
      <w:r w:rsidRPr="00EE45D4">
        <w:rPr>
          <w:rFonts w:ascii="Times New Roman" w:hAnsi="Times New Roman" w:cs="Times New Roman"/>
          <w:sz w:val="24"/>
          <w:szCs w:val="24"/>
        </w:rPr>
        <w:t>Elmgrove</w:t>
      </w:r>
      <w:proofErr w:type="spellEnd"/>
      <w:r w:rsidRPr="00EE45D4">
        <w:rPr>
          <w:rFonts w:ascii="Times New Roman" w:hAnsi="Times New Roman" w:cs="Times New Roman"/>
          <w:sz w:val="24"/>
          <w:szCs w:val="24"/>
        </w:rPr>
        <w:t xml:space="preserve">, her health started to deteriorate quite rapidly. Her physical, mental health, and well-being all suffered. She also had dementia and lost her mobility. Due to her illness, she was given support and equipment by an occupational therapist, and she received intense involvement from speech and language specialists and dieticians. Lucy's liquid diet meant that she needs more support and supervision, with other professionals involved in her care. It was discussed that what she was receiving still was not enough for her requirements. A review of Lucy's care needs was conducted by Lucy's social worker, who unfortunately and to the disbelief of Lucy and her daughter concluded that she should be moved to a nursing home. Lucy, her daughter and </w:t>
      </w:r>
      <w:proofErr w:type="spellStart"/>
      <w:r w:rsidRPr="00EE45D4">
        <w:rPr>
          <w:rFonts w:ascii="Times New Roman" w:hAnsi="Times New Roman" w:cs="Times New Roman"/>
          <w:sz w:val="24"/>
          <w:szCs w:val="24"/>
        </w:rPr>
        <w:t>Elmgrove</w:t>
      </w:r>
      <w:proofErr w:type="spellEnd"/>
      <w:r w:rsidRPr="00EE45D4">
        <w:rPr>
          <w:rFonts w:ascii="Times New Roman" w:hAnsi="Times New Roman" w:cs="Times New Roman"/>
          <w:sz w:val="24"/>
          <w:szCs w:val="24"/>
        </w:rPr>
        <w:t xml:space="preserve"> staff all agreed that Lucy's best interest was to stay where she was, where she was happy and content, so they had further reviews and assessments conducted by a multi-agency team. The multi-agency meeting involved Lucy's general practitioner, </w:t>
      </w:r>
      <w:proofErr w:type="spellStart"/>
      <w:r w:rsidRPr="00EE45D4">
        <w:rPr>
          <w:rFonts w:ascii="Times New Roman" w:hAnsi="Times New Roman" w:cs="Times New Roman"/>
          <w:sz w:val="24"/>
          <w:szCs w:val="24"/>
        </w:rPr>
        <w:t>Elmgrove</w:t>
      </w:r>
      <w:proofErr w:type="spellEnd"/>
      <w:r w:rsidRPr="00EE45D4">
        <w:rPr>
          <w:rFonts w:ascii="Times New Roman" w:hAnsi="Times New Roman" w:cs="Times New Roman"/>
          <w:sz w:val="24"/>
          <w:szCs w:val="24"/>
        </w:rPr>
        <w:t xml:space="preserve"> staff, and social services. They managed to get additional care hours, so working in partnership with an external care agency ensured that Lucy was supported sufficiently and her needs were met. With all the new measures in place Lucy was allowed to stay at </w:t>
      </w:r>
      <w:proofErr w:type="spellStart"/>
      <w:r w:rsidRPr="00EE45D4">
        <w:rPr>
          <w:rFonts w:ascii="Times New Roman" w:hAnsi="Times New Roman" w:cs="Times New Roman"/>
          <w:sz w:val="24"/>
          <w:szCs w:val="24"/>
        </w:rPr>
        <w:t>Elmgrove</w:t>
      </w:r>
      <w:proofErr w:type="spellEnd"/>
      <w:r w:rsidRPr="00EE45D4">
        <w:rPr>
          <w:rFonts w:ascii="Times New Roman" w:hAnsi="Times New Roman" w:cs="Times New Roman"/>
          <w:sz w:val="24"/>
          <w:szCs w:val="24"/>
        </w:rPr>
        <w:t xml:space="preserve">, she did visit the hospital when her health deteriorated even further, but she was discharged within a few days for palliative care. Fortunately, Lucy remained in </w:t>
      </w:r>
      <w:proofErr w:type="spellStart"/>
      <w:r w:rsidRPr="00EE45D4">
        <w:rPr>
          <w:rFonts w:ascii="Times New Roman" w:hAnsi="Times New Roman" w:cs="Times New Roman"/>
          <w:sz w:val="24"/>
          <w:szCs w:val="24"/>
        </w:rPr>
        <w:t>Elmgrove</w:t>
      </w:r>
      <w:proofErr w:type="spellEnd"/>
      <w:r w:rsidRPr="00EE45D4">
        <w:rPr>
          <w:rFonts w:ascii="Times New Roman" w:hAnsi="Times New Roman" w:cs="Times New Roman"/>
          <w:sz w:val="24"/>
          <w:szCs w:val="24"/>
        </w:rPr>
        <w:t xml:space="preserve"> House until the end of her life surrounded by family and familiar faces, the staff that had supported her for the last year. Lucy was comfortable and even though her daughter was finding it difficult to cope she knew that she was being supported and reassured that her mum had spent her last few days in the place she called home which meant a lot to her (SCIE: End of life care, 2021). </w:t>
      </w:r>
    </w:p>
    <w:p w14:paraId="23881D36" w14:textId="77777777"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t xml:space="preserve">This case study proves that an end of a life care plan is important in making individuals feel comfortable and their wishes are respected in the best way possible. The end of life care plan would not have been successful if it was not for the multi-agency meeting; the professionals involved knew what was best for Lucy and how to ensure she was supported correctly. Although this case study turned out to be successful for Lucy and her daughter, it could also be looked at as causing a lot of stress and anxiety. The case study mentions that Lucy's social worker had concluded for her to move into a care home, having this decision overturned and to stay at </w:t>
      </w:r>
      <w:proofErr w:type="spellStart"/>
      <w:r w:rsidRPr="00EE45D4">
        <w:rPr>
          <w:rFonts w:ascii="Times New Roman" w:hAnsi="Times New Roman" w:cs="Times New Roman"/>
          <w:sz w:val="24"/>
          <w:szCs w:val="24"/>
        </w:rPr>
        <w:t>Elmgrove</w:t>
      </w:r>
      <w:proofErr w:type="spellEnd"/>
      <w:r w:rsidRPr="00EE45D4">
        <w:rPr>
          <w:rFonts w:ascii="Times New Roman" w:hAnsi="Times New Roman" w:cs="Times New Roman"/>
          <w:sz w:val="24"/>
          <w:szCs w:val="24"/>
        </w:rPr>
        <w:t xml:space="preserve"> would have taken time and effort. The multi-agency meetings would have taken time to arrange and set up, and then the professionals involved would have had to prove why Lucy would be better off where she is. </w:t>
      </w:r>
    </w:p>
    <w:p w14:paraId="37D5597D" w14:textId="77777777" w:rsidR="00EE45D4" w:rsidRPr="00EE45D4" w:rsidRDefault="00EE45D4" w:rsidP="00EE45D4">
      <w:pPr>
        <w:spacing w:before="240" w:after="240" w:line="360" w:lineRule="auto"/>
        <w:jc w:val="both"/>
        <w:rPr>
          <w:rFonts w:ascii="Times New Roman" w:hAnsi="Times New Roman" w:cs="Times New Roman"/>
          <w:sz w:val="24"/>
          <w:szCs w:val="24"/>
        </w:rPr>
      </w:pPr>
      <w:r w:rsidRPr="00EE45D4">
        <w:rPr>
          <w:rFonts w:ascii="Times New Roman" w:hAnsi="Times New Roman" w:cs="Times New Roman"/>
          <w:sz w:val="24"/>
          <w:szCs w:val="24"/>
        </w:rPr>
        <w:lastRenderedPageBreak/>
        <w:t xml:space="preserve">To conclude this assignment, we can see that person-centred practice is an important part of the health and social care setting. Many different professionals can be involved in carrying out the care plans put in place. These professionals are trained in their specific field such as doctors, nurses, home care staff, but they are also advocates for their patients without even realising it. An advocate could be appointed to speak on behalf of the patient, but if the patient is aware, they can have one and if they want one. The person-centred practice is vital in caring for individuals, and their care continues until the end of their life, including the end-of-life care plan. This plan is an important but distressing plan that has to be discussed with patients and their families and then filed, so every professional involved in their care knows what the plan consists. Hickman's perspective of person-centred practice is 'it ensures that the care received by each patient is individualised. Putting their wishes about care and treatment they want to receive, and how and when the treatment will be administrated is all at the centre of the plan' (Hickman et al., 2015). To effectively carry out care plans, Seymour suggests 'nurses, as well as doctors, should have the relevant training so that they have the right skills to be able to initiate and manage care plan conversations. With better communication, the appropriate and right skills and the use of an easy to use system can enhance the quality of such a process' (Seymour et al., 2010). The quality and effectiveness of care plans can be improved by being discussed by the correct professionals at the right time. Discussing how care plans will help ensure patients understand them as early on in treatment as possible is the best practice. </w:t>
      </w:r>
    </w:p>
    <w:p w14:paraId="3B1E76E1" w14:textId="77777777" w:rsidR="008837FE" w:rsidRDefault="008837FE" w:rsidP="008837FE">
      <w:pPr>
        <w:autoSpaceDE w:val="0"/>
        <w:autoSpaceDN w:val="0"/>
        <w:adjustRightInd w:val="0"/>
        <w:spacing w:line="259" w:lineRule="atLeast"/>
        <w:rPr>
          <w:rFonts w:ascii="Calibri" w:hAnsi="Calibri" w:cs="Calibri"/>
          <w:lang w:val="en"/>
        </w:rPr>
      </w:pPr>
    </w:p>
    <w:p w14:paraId="1AC36EE8" w14:textId="77777777" w:rsidR="008837FE" w:rsidRDefault="008837FE" w:rsidP="008837FE">
      <w:pPr>
        <w:autoSpaceDE w:val="0"/>
        <w:autoSpaceDN w:val="0"/>
        <w:adjustRightInd w:val="0"/>
        <w:spacing w:line="259" w:lineRule="atLeast"/>
        <w:rPr>
          <w:rFonts w:ascii="Calibri" w:hAnsi="Calibri" w:cs="Calibri"/>
          <w:lang w:val="en"/>
        </w:rPr>
      </w:pPr>
    </w:p>
    <w:p w14:paraId="5682739A" w14:textId="77777777" w:rsidR="008837FE" w:rsidRDefault="008837FE" w:rsidP="008837FE">
      <w:pPr>
        <w:autoSpaceDE w:val="0"/>
        <w:autoSpaceDN w:val="0"/>
        <w:adjustRightInd w:val="0"/>
        <w:spacing w:line="259" w:lineRule="atLeast"/>
        <w:rPr>
          <w:rFonts w:ascii="Calibri" w:hAnsi="Calibri" w:cs="Calibri"/>
          <w:lang w:val="en"/>
        </w:rPr>
      </w:pPr>
    </w:p>
    <w:p w14:paraId="6599B30F" w14:textId="77777777" w:rsidR="008837FE" w:rsidRDefault="008837FE" w:rsidP="008837FE">
      <w:pPr>
        <w:autoSpaceDE w:val="0"/>
        <w:autoSpaceDN w:val="0"/>
        <w:adjustRightInd w:val="0"/>
        <w:spacing w:line="259" w:lineRule="atLeast"/>
        <w:rPr>
          <w:rFonts w:ascii="Calibri" w:hAnsi="Calibri" w:cs="Calibri"/>
          <w:lang w:val="en"/>
        </w:rPr>
      </w:pPr>
    </w:p>
    <w:p w14:paraId="547737AA" w14:textId="77777777" w:rsidR="008837FE" w:rsidRDefault="008837FE" w:rsidP="008837FE">
      <w:pPr>
        <w:autoSpaceDE w:val="0"/>
        <w:autoSpaceDN w:val="0"/>
        <w:adjustRightInd w:val="0"/>
        <w:spacing w:line="259" w:lineRule="atLeast"/>
        <w:rPr>
          <w:rFonts w:ascii="Calibri" w:hAnsi="Calibri" w:cs="Calibri"/>
          <w:lang w:val="en"/>
        </w:rPr>
      </w:pPr>
    </w:p>
    <w:p w14:paraId="7C9F6034" w14:textId="77777777" w:rsidR="008837FE" w:rsidRDefault="008837FE" w:rsidP="008837FE">
      <w:pPr>
        <w:autoSpaceDE w:val="0"/>
        <w:autoSpaceDN w:val="0"/>
        <w:adjustRightInd w:val="0"/>
        <w:spacing w:line="259" w:lineRule="atLeast"/>
        <w:rPr>
          <w:rFonts w:ascii="Calibri" w:hAnsi="Calibri" w:cs="Calibri"/>
          <w:lang w:val="en"/>
        </w:rPr>
      </w:pPr>
    </w:p>
    <w:p w14:paraId="093A96DE" w14:textId="77777777" w:rsidR="008837FE" w:rsidRDefault="008837FE" w:rsidP="008837FE">
      <w:pPr>
        <w:autoSpaceDE w:val="0"/>
        <w:autoSpaceDN w:val="0"/>
        <w:adjustRightInd w:val="0"/>
        <w:spacing w:line="259" w:lineRule="atLeast"/>
        <w:rPr>
          <w:rFonts w:ascii="Calibri" w:hAnsi="Calibri" w:cs="Calibri"/>
          <w:lang w:val="en"/>
        </w:rPr>
      </w:pPr>
    </w:p>
    <w:p w14:paraId="27BA6C63" w14:textId="77777777" w:rsidR="008837FE" w:rsidRDefault="008837FE" w:rsidP="008837FE">
      <w:pPr>
        <w:autoSpaceDE w:val="0"/>
        <w:autoSpaceDN w:val="0"/>
        <w:adjustRightInd w:val="0"/>
        <w:spacing w:line="259" w:lineRule="atLeast"/>
        <w:rPr>
          <w:rFonts w:ascii="Calibri" w:hAnsi="Calibri" w:cs="Calibri"/>
          <w:lang w:val="en"/>
        </w:rPr>
      </w:pPr>
    </w:p>
    <w:p w14:paraId="35DCCC1C" w14:textId="77777777" w:rsidR="008837FE" w:rsidRDefault="008837FE" w:rsidP="008837FE">
      <w:pPr>
        <w:autoSpaceDE w:val="0"/>
        <w:autoSpaceDN w:val="0"/>
        <w:adjustRightInd w:val="0"/>
        <w:spacing w:line="259" w:lineRule="atLeast"/>
        <w:rPr>
          <w:rFonts w:ascii="Calibri" w:hAnsi="Calibri" w:cs="Calibri"/>
          <w:lang w:val="en"/>
        </w:rPr>
      </w:pPr>
    </w:p>
    <w:p w14:paraId="728F2636" w14:textId="77777777" w:rsidR="008837FE" w:rsidRDefault="008837FE" w:rsidP="008837FE">
      <w:pPr>
        <w:autoSpaceDE w:val="0"/>
        <w:autoSpaceDN w:val="0"/>
        <w:adjustRightInd w:val="0"/>
        <w:spacing w:line="259" w:lineRule="atLeast"/>
        <w:rPr>
          <w:rFonts w:ascii="Calibri" w:hAnsi="Calibri" w:cs="Calibri"/>
          <w:lang w:val="en"/>
        </w:rPr>
      </w:pPr>
    </w:p>
    <w:p w14:paraId="369F12E2" w14:textId="77777777" w:rsidR="007E404D" w:rsidRDefault="007E404D" w:rsidP="008837FE">
      <w:pPr>
        <w:autoSpaceDE w:val="0"/>
        <w:autoSpaceDN w:val="0"/>
        <w:adjustRightInd w:val="0"/>
        <w:spacing w:line="259" w:lineRule="atLeast"/>
        <w:rPr>
          <w:rFonts w:ascii="Calibri" w:hAnsi="Calibri" w:cs="Calibri"/>
          <w:highlight w:val="yellow"/>
          <w:lang w:val="en"/>
        </w:rPr>
      </w:pPr>
    </w:p>
    <w:p w14:paraId="27F0755A" w14:textId="40F73A50" w:rsidR="007E404D" w:rsidRPr="00840802" w:rsidRDefault="00840802" w:rsidP="008837FE">
      <w:pPr>
        <w:autoSpaceDE w:val="0"/>
        <w:autoSpaceDN w:val="0"/>
        <w:adjustRightInd w:val="0"/>
        <w:spacing w:line="259" w:lineRule="atLeast"/>
        <w:rPr>
          <w:rFonts w:ascii="Times New Roman" w:hAnsi="Times New Roman" w:cs="Times New Roman"/>
          <w:sz w:val="24"/>
          <w:szCs w:val="24"/>
          <w:u w:val="single"/>
          <w:lang w:val="en"/>
        </w:rPr>
      </w:pPr>
      <w:r w:rsidRPr="00840802">
        <w:rPr>
          <w:rFonts w:ascii="Times New Roman" w:hAnsi="Times New Roman" w:cs="Times New Roman"/>
          <w:sz w:val="24"/>
          <w:szCs w:val="24"/>
          <w:u w:val="single"/>
          <w:lang w:val="en"/>
        </w:rPr>
        <w:lastRenderedPageBreak/>
        <w:t xml:space="preserve">Reference List </w:t>
      </w:r>
    </w:p>
    <w:p w14:paraId="7A9A93B1" w14:textId="77777777" w:rsidR="00840802" w:rsidRPr="008C2366" w:rsidRDefault="00840802" w:rsidP="00840802">
      <w:pPr>
        <w:spacing w:line="360" w:lineRule="auto"/>
        <w:jc w:val="both"/>
        <w:rPr>
          <w:rFonts w:ascii="Times New Roman" w:hAnsi="Times New Roman" w:cs="Times New Roman"/>
          <w:sz w:val="24"/>
          <w:szCs w:val="24"/>
        </w:rPr>
      </w:pPr>
      <w:r w:rsidRPr="008C2366">
        <w:rPr>
          <w:rFonts w:ascii="Times New Roman" w:hAnsi="Times New Roman" w:cs="Times New Roman"/>
          <w:sz w:val="24"/>
          <w:szCs w:val="24"/>
        </w:rPr>
        <w:t>Bateman, N. (2000). Advocacy Skills for Health and Social Care Professionals. Jessica Kingsley Publishers.</w:t>
      </w:r>
    </w:p>
    <w:p w14:paraId="1720EA0F" w14:textId="77777777" w:rsidR="00840802" w:rsidRPr="008C2366" w:rsidRDefault="00840802" w:rsidP="00840802">
      <w:pPr>
        <w:spacing w:line="360" w:lineRule="auto"/>
        <w:jc w:val="both"/>
        <w:rPr>
          <w:rFonts w:ascii="Times New Roman" w:hAnsi="Times New Roman" w:cs="Times New Roman"/>
          <w:sz w:val="24"/>
          <w:szCs w:val="24"/>
        </w:rPr>
      </w:pPr>
      <w:r w:rsidRPr="008C2366">
        <w:rPr>
          <w:rFonts w:ascii="Times New Roman" w:hAnsi="Times New Roman" w:cs="Times New Roman"/>
          <w:sz w:val="24"/>
          <w:szCs w:val="24"/>
        </w:rPr>
        <w:t>Bateman, Neil. Advocacy Skills for Health and Social Care Professionals. Jessica Kingsley Publishers, 2000</w:t>
      </w:r>
    </w:p>
    <w:p w14:paraId="64C0058F" w14:textId="77777777" w:rsidR="00840802" w:rsidRPr="008C2366" w:rsidRDefault="00840802" w:rsidP="00840802">
      <w:pPr>
        <w:autoSpaceDE w:val="0"/>
        <w:autoSpaceDN w:val="0"/>
        <w:adjustRightInd w:val="0"/>
        <w:spacing w:line="360" w:lineRule="auto"/>
        <w:jc w:val="both"/>
        <w:rPr>
          <w:rFonts w:ascii="Times New Roman" w:hAnsi="Times New Roman" w:cs="Times New Roman"/>
          <w:sz w:val="24"/>
          <w:szCs w:val="24"/>
          <w:shd w:val="clear" w:color="auto" w:fill="FFFFFF"/>
        </w:rPr>
      </w:pPr>
      <w:r w:rsidRPr="00C37040">
        <w:rPr>
          <w:rStyle w:val="Strong"/>
          <w:rFonts w:ascii="Times New Roman" w:hAnsi="Times New Roman" w:cs="Times New Roman"/>
          <w:b w:val="0"/>
          <w:bCs w:val="0"/>
          <w:sz w:val="24"/>
          <w:szCs w:val="24"/>
          <w:bdr w:val="none" w:sz="0" w:space="0" w:color="auto" w:frame="1"/>
          <w:shd w:val="clear" w:color="auto" w:fill="FFFFFF"/>
        </w:rPr>
        <w:t>Brinkman-Stoppelenburg A et al</w:t>
      </w:r>
      <w:r w:rsidRPr="008C2366">
        <w:rPr>
          <w:rFonts w:ascii="Times New Roman" w:hAnsi="Times New Roman" w:cs="Times New Roman"/>
          <w:sz w:val="24"/>
          <w:szCs w:val="24"/>
          <w:shd w:val="clear" w:color="auto" w:fill="FFFFFF"/>
        </w:rPr>
        <w:t> (2014) The effects of advance care planning on end-of-life care: a systematic review. </w:t>
      </w:r>
      <w:r w:rsidRPr="008C2366">
        <w:rPr>
          <w:rStyle w:val="Emphasis"/>
          <w:rFonts w:ascii="Times New Roman" w:hAnsi="Times New Roman" w:cs="Times New Roman"/>
          <w:sz w:val="24"/>
          <w:szCs w:val="24"/>
          <w:bdr w:val="none" w:sz="0" w:space="0" w:color="auto" w:frame="1"/>
          <w:shd w:val="clear" w:color="auto" w:fill="FFFFFF"/>
        </w:rPr>
        <w:t>Palliative Medicine</w:t>
      </w:r>
      <w:r w:rsidRPr="008C2366">
        <w:rPr>
          <w:rFonts w:ascii="Times New Roman" w:hAnsi="Times New Roman" w:cs="Times New Roman"/>
          <w:sz w:val="24"/>
          <w:szCs w:val="24"/>
          <w:shd w:val="clear" w:color="auto" w:fill="FFFFFF"/>
        </w:rPr>
        <w:t xml:space="preserve">; 28: 8, 1000-1025.                                                                                                  </w:t>
      </w:r>
    </w:p>
    <w:p w14:paraId="35A21D0F" w14:textId="77777777" w:rsidR="00840802" w:rsidRPr="008C2366" w:rsidRDefault="00840802" w:rsidP="00840802">
      <w:pPr>
        <w:spacing w:line="360" w:lineRule="auto"/>
        <w:jc w:val="both"/>
        <w:rPr>
          <w:rFonts w:ascii="Times New Roman" w:hAnsi="Times New Roman" w:cs="Times New Roman"/>
          <w:sz w:val="24"/>
          <w:szCs w:val="24"/>
          <w:shd w:val="clear" w:color="auto" w:fill="FFFFFF"/>
        </w:rPr>
      </w:pPr>
      <w:r w:rsidRPr="008C2366">
        <w:rPr>
          <w:rFonts w:ascii="Times New Roman" w:hAnsi="Times New Roman" w:cs="Times New Roman"/>
          <w:sz w:val="24"/>
          <w:szCs w:val="24"/>
          <w:shd w:val="clear" w:color="auto" w:fill="FFFFFF"/>
        </w:rPr>
        <w:t>Burton, L. and Burton, L., 2021. </w:t>
      </w:r>
      <w:r w:rsidRPr="008C2366">
        <w:rPr>
          <w:rFonts w:ascii="Times New Roman" w:hAnsi="Times New Roman" w:cs="Times New Roman"/>
          <w:i/>
          <w:iCs/>
          <w:sz w:val="24"/>
          <w:szCs w:val="24"/>
          <w:shd w:val="clear" w:color="auto" w:fill="FFFFFF"/>
        </w:rPr>
        <w:t>Person-Centred Care Guidance</w:t>
      </w:r>
      <w:r w:rsidRPr="008C2366">
        <w:rPr>
          <w:rFonts w:ascii="Times New Roman" w:hAnsi="Times New Roman" w:cs="Times New Roman"/>
          <w:sz w:val="24"/>
          <w:szCs w:val="24"/>
          <w:shd w:val="clear" w:color="auto" w:fill="FFFFFF"/>
        </w:rPr>
        <w:t>. [online] The Hub | High Speed Training. Available at: &lt;https://www.highspeedtraining.co.uk/hub/what-is-person-centred-care/&gt; [Accessed 3 January 2021].</w:t>
      </w:r>
    </w:p>
    <w:p w14:paraId="2741A7AF" w14:textId="77777777" w:rsidR="00840802" w:rsidRPr="008C2366" w:rsidRDefault="00840802" w:rsidP="00840802">
      <w:pPr>
        <w:spacing w:before="240" w:after="240" w:line="360" w:lineRule="auto"/>
        <w:jc w:val="both"/>
        <w:rPr>
          <w:rFonts w:ascii="Times New Roman" w:hAnsi="Times New Roman" w:cs="Times New Roman"/>
          <w:sz w:val="24"/>
          <w:szCs w:val="24"/>
          <w:shd w:val="clear" w:color="auto" w:fill="FFFFFF"/>
        </w:rPr>
      </w:pPr>
      <w:r w:rsidRPr="008C2366">
        <w:rPr>
          <w:rFonts w:ascii="Times New Roman" w:hAnsi="Times New Roman" w:cs="Times New Roman"/>
          <w:sz w:val="24"/>
          <w:szCs w:val="24"/>
          <w:shd w:val="clear" w:color="auto" w:fill="FFFFFF"/>
        </w:rPr>
        <w:t>Care Talk 2021. [online] Available at: &lt;https://www.caretalk.co.uk/the-legal-bit-advocacy-and-person-centred-care/#:~:text=The%20use%20of%20Advocacy%20services%20can%20also%20strengthen,meets%20an%20individual%E2%80%99s%20needs%20and%20reflects%20their%20preferences.&gt; [Accessed 14 January 2021].</w:t>
      </w:r>
    </w:p>
    <w:p w14:paraId="1CCAB93F" w14:textId="77777777" w:rsidR="00840802" w:rsidRPr="008C2366" w:rsidRDefault="00840802" w:rsidP="00840802">
      <w:pPr>
        <w:spacing w:before="240" w:after="240" w:line="360" w:lineRule="auto"/>
        <w:jc w:val="both"/>
        <w:rPr>
          <w:rFonts w:ascii="Times New Roman" w:hAnsi="Times New Roman" w:cs="Times New Roman"/>
          <w:sz w:val="24"/>
          <w:szCs w:val="24"/>
          <w:shd w:val="clear" w:color="auto" w:fill="FFFFFF"/>
        </w:rPr>
      </w:pPr>
      <w:bookmarkStart w:id="0" w:name="_Hlk61559187"/>
      <w:r w:rsidRPr="008C2366">
        <w:rPr>
          <w:rFonts w:ascii="Times New Roman" w:hAnsi="Times New Roman" w:cs="Times New Roman"/>
          <w:kern w:val="24"/>
          <w:sz w:val="24"/>
          <w:szCs w:val="24"/>
          <w:lang w:val="en-US"/>
        </w:rPr>
        <w:t>Care Talk. 2021</w:t>
      </w:r>
      <w:r w:rsidRPr="008C2366">
        <w:rPr>
          <w:rFonts w:ascii="Times New Roman" w:hAnsi="Times New Roman" w:cs="Times New Roman"/>
          <w:sz w:val="24"/>
          <w:szCs w:val="24"/>
          <w:shd w:val="clear" w:color="auto" w:fill="FFFFFF"/>
        </w:rPr>
        <w:t xml:space="preserve"> </w:t>
      </w:r>
      <w:bookmarkEnd w:id="0"/>
      <w:r w:rsidRPr="008C2366">
        <w:rPr>
          <w:rFonts w:ascii="Times New Roman" w:hAnsi="Times New Roman" w:cs="Times New Roman"/>
          <w:sz w:val="24"/>
          <w:szCs w:val="24"/>
          <w:shd w:val="clear" w:color="auto" w:fill="FFFFFF"/>
        </w:rPr>
        <w:t>[online] Available at: &lt;https://www.caretalk.co.uk/the-legal-bit-advocacy-and-person-centred-care/&gt; [Accessed 2 January 2021].</w:t>
      </w:r>
    </w:p>
    <w:p w14:paraId="2831631B" w14:textId="77777777" w:rsidR="00840802" w:rsidRPr="008C2366" w:rsidRDefault="00840802" w:rsidP="00840802">
      <w:pPr>
        <w:spacing w:line="360" w:lineRule="auto"/>
        <w:jc w:val="both"/>
        <w:rPr>
          <w:rStyle w:val="selectable"/>
          <w:rFonts w:ascii="Times New Roman" w:hAnsi="Times New Roman" w:cs="Times New Roman"/>
          <w:sz w:val="24"/>
          <w:szCs w:val="24"/>
          <w:shd w:val="clear" w:color="auto" w:fill="FFFFFF"/>
        </w:rPr>
      </w:pPr>
      <w:r w:rsidRPr="008C2366">
        <w:rPr>
          <w:rStyle w:val="selectable"/>
          <w:rFonts w:ascii="Times New Roman" w:hAnsi="Times New Roman" w:cs="Times New Roman"/>
          <w:sz w:val="24"/>
          <w:szCs w:val="24"/>
          <w:shd w:val="clear" w:color="auto" w:fill="FFFFFF"/>
        </w:rPr>
        <w:t>Contributor, N., 2021. </w:t>
      </w:r>
      <w:r w:rsidRPr="008C2366">
        <w:rPr>
          <w:rStyle w:val="selectable"/>
          <w:rFonts w:ascii="Times New Roman" w:hAnsi="Times New Roman" w:cs="Times New Roman"/>
          <w:i/>
          <w:iCs/>
          <w:sz w:val="24"/>
          <w:szCs w:val="24"/>
          <w:shd w:val="clear" w:color="auto" w:fill="FFFFFF"/>
        </w:rPr>
        <w:t>The Benefits And Barriers Of Ensuring Patients Have Advance Care Planning | Nursing Times</w:t>
      </w:r>
      <w:r w:rsidRPr="008C2366">
        <w:rPr>
          <w:rStyle w:val="selectable"/>
          <w:rFonts w:ascii="Times New Roman" w:hAnsi="Times New Roman" w:cs="Times New Roman"/>
          <w:sz w:val="24"/>
          <w:szCs w:val="24"/>
          <w:shd w:val="clear" w:color="auto" w:fill="FFFFFF"/>
        </w:rPr>
        <w:t>. [online] Nursing Times. Available at: &lt;https://www.nursingtimes.net/clinical-archive/end-of-life-and-palliative-care/the-benefits-and-barriers-of-ensuring-patients-have-advance-care-planning-03-01-2017/&gt; [Accessed 2 January 2021].</w:t>
      </w:r>
    </w:p>
    <w:p w14:paraId="09B3C5A6" w14:textId="77777777" w:rsidR="00840802" w:rsidRPr="00EF6656" w:rsidRDefault="00840802" w:rsidP="00840802">
      <w:pPr>
        <w:tabs>
          <w:tab w:val="left" w:pos="720"/>
        </w:tabs>
        <w:spacing w:line="360" w:lineRule="auto"/>
        <w:jc w:val="both"/>
        <w:rPr>
          <w:color w:val="5FCBEF"/>
        </w:rPr>
      </w:pPr>
      <w:r w:rsidRPr="00EF6656">
        <w:rPr>
          <w:color w:val="000000" w:themeColor="text1"/>
          <w:kern w:val="24"/>
          <w:lang w:val="en-US"/>
        </w:rPr>
        <w:t>Cqc.org.uk. 2021. </w:t>
      </w:r>
      <w:r w:rsidRPr="00EF6656">
        <w:rPr>
          <w:i/>
          <w:iCs/>
          <w:color w:val="000000" w:themeColor="text1"/>
          <w:kern w:val="24"/>
          <w:lang w:val="en-US"/>
        </w:rPr>
        <w:t>Regulation 9: Person-Centred Care | Care Quality Commission</w:t>
      </w:r>
      <w:r w:rsidRPr="00EF6656">
        <w:rPr>
          <w:color w:val="000000" w:themeColor="text1"/>
          <w:kern w:val="24"/>
          <w:lang w:val="en-US"/>
        </w:rPr>
        <w:t>. [online] Available at: &lt;https://www.cqc.org.uk/guidance-providers/regulations-enforcement/regulation-9-person-centred-care#guidance&gt; [Accessed 2 January 2021].</w:t>
      </w:r>
    </w:p>
    <w:p w14:paraId="50B225AE" w14:textId="77777777" w:rsidR="00840802" w:rsidRPr="008C2366" w:rsidRDefault="00840802" w:rsidP="00840802">
      <w:pPr>
        <w:spacing w:line="360" w:lineRule="auto"/>
        <w:jc w:val="both"/>
        <w:rPr>
          <w:rFonts w:ascii="Times New Roman" w:hAnsi="Times New Roman" w:cs="Times New Roman"/>
          <w:sz w:val="24"/>
          <w:szCs w:val="24"/>
        </w:rPr>
      </w:pPr>
      <w:r w:rsidRPr="008C2366">
        <w:rPr>
          <w:rStyle w:val="author"/>
          <w:rFonts w:ascii="Times New Roman" w:hAnsi="Times New Roman" w:cs="Times New Roman"/>
          <w:sz w:val="24"/>
          <w:szCs w:val="24"/>
          <w:shd w:val="clear" w:color="auto" w:fill="FFFFFF"/>
        </w:rPr>
        <w:lastRenderedPageBreak/>
        <w:t>Gray, E.</w:t>
      </w:r>
      <w:r w:rsidRPr="008C2366">
        <w:rPr>
          <w:rFonts w:ascii="Times New Roman" w:hAnsi="Times New Roman" w:cs="Times New Roman"/>
          <w:sz w:val="24"/>
          <w:szCs w:val="24"/>
          <w:shd w:val="clear" w:color="auto" w:fill="FFFFFF"/>
        </w:rPr>
        <w:t>, </w:t>
      </w:r>
      <w:r w:rsidRPr="008C2366">
        <w:rPr>
          <w:rStyle w:val="author"/>
          <w:rFonts w:ascii="Times New Roman" w:hAnsi="Times New Roman" w:cs="Times New Roman"/>
          <w:sz w:val="24"/>
          <w:szCs w:val="24"/>
          <w:shd w:val="clear" w:color="auto" w:fill="FFFFFF"/>
        </w:rPr>
        <w:t>Currey, J.</w:t>
      </w:r>
      <w:r w:rsidRPr="008C2366">
        <w:rPr>
          <w:rFonts w:ascii="Times New Roman" w:hAnsi="Times New Roman" w:cs="Times New Roman"/>
          <w:sz w:val="24"/>
          <w:szCs w:val="24"/>
          <w:shd w:val="clear" w:color="auto" w:fill="FFFFFF"/>
        </w:rPr>
        <w:t>, &amp; </w:t>
      </w:r>
      <w:r w:rsidRPr="008C2366">
        <w:rPr>
          <w:rStyle w:val="author"/>
          <w:rFonts w:ascii="Times New Roman" w:hAnsi="Times New Roman" w:cs="Times New Roman"/>
          <w:sz w:val="24"/>
          <w:szCs w:val="24"/>
          <w:shd w:val="clear" w:color="auto" w:fill="FFFFFF"/>
        </w:rPr>
        <w:t>Considine, J.</w:t>
      </w:r>
      <w:r w:rsidRPr="008C2366">
        <w:rPr>
          <w:rFonts w:ascii="Times New Roman" w:hAnsi="Times New Roman" w:cs="Times New Roman"/>
          <w:sz w:val="24"/>
          <w:szCs w:val="24"/>
          <w:shd w:val="clear" w:color="auto" w:fill="FFFFFF"/>
        </w:rPr>
        <w:t> (</w:t>
      </w:r>
      <w:r w:rsidRPr="008C2366">
        <w:rPr>
          <w:rStyle w:val="pubyear"/>
          <w:rFonts w:ascii="Times New Roman" w:hAnsi="Times New Roman" w:cs="Times New Roman"/>
          <w:sz w:val="24"/>
          <w:szCs w:val="24"/>
          <w:shd w:val="clear" w:color="auto" w:fill="FFFFFF"/>
        </w:rPr>
        <w:t>2018a</w:t>
      </w:r>
      <w:r w:rsidRPr="008C2366">
        <w:rPr>
          <w:rFonts w:ascii="Times New Roman" w:hAnsi="Times New Roman" w:cs="Times New Roman"/>
          <w:sz w:val="24"/>
          <w:szCs w:val="24"/>
          <w:shd w:val="clear" w:color="auto" w:fill="FFFFFF"/>
        </w:rPr>
        <w:t>). </w:t>
      </w:r>
      <w:r w:rsidRPr="008C2366">
        <w:rPr>
          <w:rStyle w:val="articletitle"/>
          <w:rFonts w:ascii="Times New Roman" w:hAnsi="Times New Roman" w:cs="Times New Roman"/>
          <w:sz w:val="24"/>
          <w:szCs w:val="24"/>
          <w:shd w:val="clear" w:color="auto" w:fill="FFFFFF"/>
        </w:rPr>
        <w:t>Hospital in the home nurses’ assessment decision making: An integrative review of the literature</w:t>
      </w:r>
      <w:r w:rsidRPr="008C2366">
        <w:rPr>
          <w:rFonts w:ascii="Times New Roman" w:hAnsi="Times New Roman" w:cs="Times New Roman"/>
          <w:sz w:val="24"/>
          <w:szCs w:val="24"/>
          <w:shd w:val="clear" w:color="auto" w:fill="FFFFFF"/>
        </w:rPr>
        <w:t>. </w:t>
      </w:r>
      <w:r w:rsidRPr="008C2366">
        <w:rPr>
          <w:rFonts w:ascii="Times New Roman" w:hAnsi="Times New Roman" w:cs="Times New Roman"/>
          <w:i/>
          <w:iCs/>
          <w:sz w:val="24"/>
          <w:szCs w:val="24"/>
          <w:shd w:val="clear" w:color="auto" w:fill="FFFFFF"/>
        </w:rPr>
        <w:t>Contemporary Nurse</w:t>
      </w:r>
      <w:r w:rsidRPr="008C2366">
        <w:rPr>
          <w:rFonts w:ascii="Times New Roman" w:hAnsi="Times New Roman" w:cs="Times New Roman"/>
          <w:sz w:val="24"/>
          <w:szCs w:val="24"/>
          <w:shd w:val="clear" w:color="auto" w:fill="FFFFFF"/>
        </w:rPr>
        <w:t>, </w:t>
      </w:r>
      <w:r w:rsidRPr="008C2366">
        <w:rPr>
          <w:rStyle w:val="vol"/>
          <w:rFonts w:ascii="Times New Roman" w:hAnsi="Times New Roman" w:cs="Times New Roman"/>
          <w:b/>
          <w:bCs/>
          <w:sz w:val="24"/>
          <w:szCs w:val="24"/>
          <w:shd w:val="clear" w:color="auto" w:fill="FFFFFF"/>
        </w:rPr>
        <w:t>54</w:t>
      </w:r>
      <w:r w:rsidRPr="008C2366">
        <w:rPr>
          <w:rFonts w:ascii="Times New Roman" w:hAnsi="Times New Roman" w:cs="Times New Roman"/>
          <w:sz w:val="24"/>
          <w:szCs w:val="24"/>
          <w:shd w:val="clear" w:color="auto" w:fill="FFFFFF"/>
        </w:rPr>
        <w:t>(</w:t>
      </w:r>
      <w:r w:rsidRPr="008C2366">
        <w:rPr>
          <w:rStyle w:val="citedissue"/>
          <w:rFonts w:ascii="Times New Roman" w:hAnsi="Times New Roman" w:cs="Times New Roman"/>
          <w:sz w:val="24"/>
          <w:szCs w:val="24"/>
          <w:shd w:val="clear" w:color="auto" w:fill="FFFFFF"/>
        </w:rPr>
        <w:t>6</w:t>
      </w:r>
      <w:r w:rsidRPr="008C2366">
        <w:rPr>
          <w:rFonts w:ascii="Times New Roman" w:hAnsi="Times New Roman" w:cs="Times New Roman"/>
          <w:sz w:val="24"/>
          <w:szCs w:val="24"/>
          <w:shd w:val="clear" w:color="auto" w:fill="FFFFFF"/>
        </w:rPr>
        <w:t>), </w:t>
      </w:r>
      <w:r w:rsidRPr="008C2366">
        <w:rPr>
          <w:rStyle w:val="pagefirst"/>
          <w:rFonts w:ascii="Times New Roman" w:hAnsi="Times New Roman" w:cs="Times New Roman"/>
          <w:sz w:val="24"/>
          <w:szCs w:val="24"/>
          <w:shd w:val="clear" w:color="auto" w:fill="FFFFFF"/>
        </w:rPr>
        <w:t>603</w:t>
      </w:r>
      <w:r w:rsidRPr="008C2366">
        <w:rPr>
          <w:rFonts w:ascii="Times New Roman" w:hAnsi="Times New Roman" w:cs="Times New Roman"/>
          <w:sz w:val="24"/>
          <w:szCs w:val="24"/>
          <w:shd w:val="clear" w:color="auto" w:fill="FFFFFF"/>
        </w:rPr>
        <w:t>– </w:t>
      </w:r>
      <w:r w:rsidRPr="008C2366">
        <w:rPr>
          <w:rStyle w:val="pagelast"/>
          <w:rFonts w:ascii="Times New Roman" w:hAnsi="Times New Roman" w:cs="Times New Roman"/>
          <w:sz w:val="24"/>
          <w:szCs w:val="24"/>
          <w:shd w:val="clear" w:color="auto" w:fill="FFFFFF"/>
        </w:rPr>
        <w:t>616</w:t>
      </w:r>
      <w:r w:rsidRPr="008C2366">
        <w:rPr>
          <w:rFonts w:ascii="Times New Roman" w:hAnsi="Times New Roman" w:cs="Times New Roman"/>
          <w:sz w:val="24"/>
          <w:szCs w:val="24"/>
          <w:shd w:val="clear" w:color="auto" w:fill="FFFFFF"/>
        </w:rPr>
        <w:t>. </w:t>
      </w:r>
      <w:hyperlink r:id="rId12" w:history="1">
        <w:r w:rsidRPr="008C2366">
          <w:rPr>
            <w:rStyle w:val="Hyperlink"/>
            <w:rFonts w:ascii="Times New Roman" w:hAnsi="Times New Roman" w:cs="Times New Roman"/>
            <w:color w:val="auto"/>
            <w:sz w:val="24"/>
            <w:szCs w:val="24"/>
            <w:shd w:val="clear" w:color="auto" w:fill="FFFFFF"/>
          </w:rPr>
          <w:t>https://doi-org.ezproxy.uwtsd.ac.uk/10.1080/10376178.2018.1532802</w:t>
        </w:r>
      </w:hyperlink>
      <w:r w:rsidRPr="008C2366">
        <w:rPr>
          <w:rFonts w:ascii="Times New Roman" w:hAnsi="Times New Roman" w:cs="Times New Roman"/>
          <w:sz w:val="24"/>
          <w:szCs w:val="24"/>
        </w:rPr>
        <w:t xml:space="preserve"> </w:t>
      </w:r>
    </w:p>
    <w:p w14:paraId="5D5C5CC6" w14:textId="77777777" w:rsidR="00840802" w:rsidRPr="008C2366" w:rsidRDefault="00840802" w:rsidP="00840802">
      <w:pPr>
        <w:spacing w:line="360" w:lineRule="auto"/>
        <w:jc w:val="both"/>
        <w:rPr>
          <w:rFonts w:ascii="Times New Roman" w:hAnsi="Times New Roman" w:cs="Times New Roman"/>
          <w:sz w:val="24"/>
          <w:szCs w:val="24"/>
        </w:rPr>
      </w:pPr>
      <w:r w:rsidRPr="008C2366">
        <w:rPr>
          <w:rStyle w:val="author"/>
          <w:rFonts w:ascii="Times New Roman" w:hAnsi="Times New Roman" w:cs="Times New Roman"/>
          <w:sz w:val="24"/>
          <w:szCs w:val="24"/>
          <w:shd w:val="clear" w:color="auto" w:fill="FFFFFF"/>
        </w:rPr>
        <w:t>Gray, E.</w:t>
      </w:r>
      <w:r w:rsidRPr="008C2366">
        <w:rPr>
          <w:rFonts w:ascii="Times New Roman" w:hAnsi="Times New Roman" w:cs="Times New Roman"/>
          <w:sz w:val="24"/>
          <w:szCs w:val="24"/>
          <w:shd w:val="clear" w:color="auto" w:fill="FFFFFF"/>
        </w:rPr>
        <w:t>, </w:t>
      </w:r>
      <w:r w:rsidRPr="008C2366">
        <w:rPr>
          <w:rStyle w:val="author"/>
          <w:rFonts w:ascii="Times New Roman" w:hAnsi="Times New Roman" w:cs="Times New Roman"/>
          <w:sz w:val="24"/>
          <w:szCs w:val="24"/>
          <w:shd w:val="clear" w:color="auto" w:fill="FFFFFF"/>
        </w:rPr>
        <w:t>Currey, J.</w:t>
      </w:r>
      <w:r w:rsidRPr="008C2366">
        <w:rPr>
          <w:rFonts w:ascii="Times New Roman" w:hAnsi="Times New Roman" w:cs="Times New Roman"/>
          <w:sz w:val="24"/>
          <w:szCs w:val="24"/>
          <w:shd w:val="clear" w:color="auto" w:fill="FFFFFF"/>
        </w:rPr>
        <w:t>, &amp; </w:t>
      </w:r>
      <w:r w:rsidRPr="008C2366">
        <w:rPr>
          <w:rStyle w:val="author"/>
          <w:rFonts w:ascii="Times New Roman" w:hAnsi="Times New Roman" w:cs="Times New Roman"/>
          <w:sz w:val="24"/>
          <w:szCs w:val="24"/>
          <w:shd w:val="clear" w:color="auto" w:fill="FFFFFF"/>
        </w:rPr>
        <w:t>Considine, J.</w:t>
      </w:r>
      <w:r w:rsidRPr="008C2366">
        <w:rPr>
          <w:rFonts w:ascii="Times New Roman" w:hAnsi="Times New Roman" w:cs="Times New Roman"/>
          <w:sz w:val="24"/>
          <w:szCs w:val="24"/>
          <w:shd w:val="clear" w:color="auto" w:fill="FFFFFF"/>
        </w:rPr>
        <w:t> (</w:t>
      </w:r>
      <w:r w:rsidRPr="008C2366">
        <w:rPr>
          <w:rStyle w:val="pubyear"/>
          <w:rFonts w:ascii="Times New Roman" w:hAnsi="Times New Roman" w:cs="Times New Roman"/>
          <w:sz w:val="24"/>
          <w:szCs w:val="24"/>
          <w:shd w:val="clear" w:color="auto" w:fill="FFFFFF"/>
        </w:rPr>
        <w:t>2018b</w:t>
      </w:r>
      <w:r w:rsidRPr="008C2366">
        <w:rPr>
          <w:rFonts w:ascii="Times New Roman" w:hAnsi="Times New Roman" w:cs="Times New Roman"/>
          <w:sz w:val="24"/>
          <w:szCs w:val="24"/>
          <w:shd w:val="clear" w:color="auto" w:fill="FFFFFF"/>
        </w:rPr>
        <w:t>). </w:t>
      </w:r>
      <w:r w:rsidRPr="008C2366">
        <w:rPr>
          <w:rStyle w:val="articletitle"/>
          <w:rFonts w:ascii="Times New Roman" w:hAnsi="Times New Roman" w:cs="Times New Roman"/>
          <w:sz w:val="24"/>
          <w:szCs w:val="24"/>
          <w:shd w:val="clear" w:color="auto" w:fill="FFFFFF"/>
        </w:rPr>
        <w:t>Hospital in the Home nurses’ recognition and response to clinical deterioration</w:t>
      </w:r>
      <w:r w:rsidRPr="008C2366">
        <w:rPr>
          <w:rFonts w:ascii="Times New Roman" w:hAnsi="Times New Roman" w:cs="Times New Roman"/>
          <w:sz w:val="24"/>
          <w:szCs w:val="24"/>
          <w:shd w:val="clear" w:color="auto" w:fill="FFFFFF"/>
        </w:rPr>
        <w:t>. </w:t>
      </w:r>
      <w:r w:rsidRPr="008C2366">
        <w:rPr>
          <w:rFonts w:ascii="Times New Roman" w:hAnsi="Times New Roman" w:cs="Times New Roman"/>
          <w:i/>
          <w:iCs/>
          <w:sz w:val="24"/>
          <w:szCs w:val="24"/>
          <w:shd w:val="clear" w:color="auto" w:fill="FFFFFF"/>
        </w:rPr>
        <w:t>Journal of Clinical Nursing</w:t>
      </w:r>
      <w:r w:rsidRPr="008C2366">
        <w:rPr>
          <w:rFonts w:ascii="Times New Roman" w:hAnsi="Times New Roman" w:cs="Times New Roman"/>
          <w:sz w:val="24"/>
          <w:szCs w:val="24"/>
          <w:shd w:val="clear" w:color="auto" w:fill="FFFFFF"/>
        </w:rPr>
        <w:t>, </w:t>
      </w:r>
      <w:r w:rsidRPr="008C2366">
        <w:rPr>
          <w:rStyle w:val="vol"/>
          <w:rFonts w:ascii="Times New Roman" w:hAnsi="Times New Roman" w:cs="Times New Roman"/>
          <w:b/>
          <w:bCs/>
          <w:sz w:val="24"/>
          <w:szCs w:val="24"/>
          <w:shd w:val="clear" w:color="auto" w:fill="FFFFFF"/>
        </w:rPr>
        <w:t>27</w:t>
      </w:r>
      <w:r w:rsidRPr="008C2366">
        <w:rPr>
          <w:rFonts w:ascii="Times New Roman" w:hAnsi="Times New Roman" w:cs="Times New Roman"/>
          <w:sz w:val="24"/>
          <w:szCs w:val="24"/>
          <w:shd w:val="clear" w:color="auto" w:fill="FFFFFF"/>
        </w:rPr>
        <w:t>(</w:t>
      </w:r>
      <w:r w:rsidRPr="008C2366">
        <w:rPr>
          <w:rStyle w:val="citedissue"/>
          <w:rFonts w:ascii="Times New Roman" w:hAnsi="Times New Roman" w:cs="Times New Roman"/>
          <w:sz w:val="24"/>
          <w:szCs w:val="24"/>
          <w:shd w:val="clear" w:color="auto" w:fill="FFFFFF"/>
        </w:rPr>
        <w:t>9–10</w:t>
      </w:r>
      <w:r w:rsidRPr="008C2366">
        <w:rPr>
          <w:rFonts w:ascii="Times New Roman" w:hAnsi="Times New Roman" w:cs="Times New Roman"/>
          <w:sz w:val="24"/>
          <w:szCs w:val="24"/>
          <w:shd w:val="clear" w:color="auto" w:fill="FFFFFF"/>
        </w:rPr>
        <w:t>), </w:t>
      </w:r>
      <w:r w:rsidRPr="008C2366">
        <w:rPr>
          <w:rStyle w:val="pagefirst"/>
          <w:rFonts w:ascii="Times New Roman" w:hAnsi="Times New Roman" w:cs="Times New Roman"/>
          <w:sz w:val="24"/>
          <w:szCs w:val="24"/>
          <w:shd w:val="clear" w:color="auto" w:fill="FFFFFF"/>
        </w:rPr>
        <w:t>2152</w:t>
      </w:r>
      <w:r w:rsidRPr="008C2366">
        <w:rPr>
          <w:rFonts w:ascii="Times New Roman" w:hAnsi="Times New Roman" w:cs="Times New Roman"/>
          <w:sz w:val="24"/>
          <w:szCs w:val="24"/>
          <w:shd w:val="clear" w:color="auto" w:fill="FFFFFF"/>
        </w:rPr>
        <w:t>– </w:t>
      </w:r>
      <w:r w:rsidRPr="008C2366">
        <w:rPr>
          <w:rStyle w:val="pagelast"/>
          <w:rFonts w:ascii="Times New Roman" w:hAnsi="Times New Roman" w:cs="Times New Roman"/>
          <w:sz w:val="24"/>
          <w:szCs w:val="24"/>
          <w:shd w:val="clear" w:color="auto" w:fill="FFFFFF"/>
        </w:rPr>
        <w:t>2160</w:t>
      </w:r>
      <w:r w:rsidRPr="008C2366">
        <w:rPr>
          <w:rFonts w:ascii="Times New Roman" w:hAnsi="Times New Roman" w:cs="Times New Roman"/>
          <w:sz w:val="24"/>
          <w:szCs w:val="24"/>
          <w:shd w:val="clear" w:color="auto" w:fill="FFFFFF"/>
        </w:rPr>
        <w:t>. </w:t>
      </w:r>
      <w:hyperlink r:id="rId13" w:history="1">
        <w:r w:rsidRPr="008C2366">
          <w:rPr>
            <w:rStyle w:val="Hyperlink"/>
            <w:rFonts w:ascii="Times New Roman" w:hAnsi="Times New Roman" w:cs="Times New Roman"/>
            <w:color w:val="auto"/>
            <w:sz w:val="24"/>
            <w:szCs w:val="24"/>
            <w:shd w:val="clear" w:color="auto" w:fill="FFFFFF"/>
          </w:rPr>
          <w:t>https://doi-org.ezproxy.uwtsd.ac.uk/10.1111/jocn.14076</w:t>
        </w:r>
      </w:hyperlink>
      <w:r w:rsidRPr="008C2366">
        <w:rPr>
          <w:rFonts w:ascii="Times New Roman" w:hAnsi="Times New Roman" w:cs="Times New Roman"/>
          <w:sz w:val="24"/>
          <w:szCs w:val="24"/>
        </w:rPr>
        <w:t xml:space="preserve"> </w:t>
      </w:r>
    </w:p>
    <w:p w14:paraId="3B600C98" w14:textId="77777777" w:rsidR="00840802" w:rsidRPr="008C2366" w:rsidRDefault="00840802" w:rsidP="00840802">
      <w:pPr>
        <w:spacing w:line="360" w:lineRule="auto"/>
        <w:jc w:val="both"/>
        <w:rPr>
          <w:rFonts w:ascii="Times New Roman" w:hAnsi="Times New Roman" w:cs="Times New Roman"/>
          <w:sz w:val="24"/>
          <w:szCs w:val="24"/>
          <w:shd w:val="clear" w:color="auto" w:fill="FFFFFF"/>
        </w:rPr>
      </w:pPr>
      <w:r w:rsidRPr="00C37040">
        <w:rPr>
          <w:rStyle w:val="Strong"/>
          <w:rFonts w:ascii="Times New Roman" w:hAnsi="Times New Roman" w:cs="Times New Roman"/>
          <w:b w:val="0"/>
          <w:bCs w:val="0"/>
          <w:sz w:val="24"/>
          <w:szCs w:val="24"/>
          <w:bdr w:val="none" w:sz="0" w:space="0" w:color="auto" w:frame="1"/>
          <w:shd w:val="clear" w:color="auto" w:fill="FFFFFF"/>
        </w:rPr>
        <w:t>Guo Y et al</w:t>
      </w:r>
      <w:r w:rsidRPr="00C37040">
        <w:rPr>
          <w:rFonts w:ascii="Times New Roman" w:hAnsi="Times New Roman" w:cs="Times New Roman"/>
          <w:b/>
          <w:bCs/>
          <w:sz w:val="24"/>
          <w:szCs w:val="24"/>
          <w:shd w:val="clear" w:color="auto" w:fill="FFFFFF"/>
        </w:rPr>
        <w:t> (</w:t>
      </w:r>
      <w:r w:rsidRPr="008C2366">
        <w:rPr>
          <w:rFonts w:ascii="Times New Roman" w:hAnsi="Times New Roman" w:cs="Times New Roman"/>
          <w:sz w:val="24"/>
          <w:szCs w:val="24"/>
          <w:shd w:val="clear" w:color="auto" w:fill="FFFFFF"/>
        </w:rPr>
        <w:t>2010) Advance directives and do-not-resuscitate orders in patients with cancer with metastatic spinal cord compression: advanced care planning implications. </w:t>
      </w:r>
      <w:r w:rsidRPr="008C2366">
        <w:rPr>
          <w:rStyle w:val="Emphasis"/>
          <w:rFonts w:ascii="Times New Roman" w:hAnsi="Times New Roman" w:cs="Times New Roman"/>
          <w:sz w:val="24"/>
          <w:szCs w:val="24"/>
          <w:bdr w:val="none" w:sz="0" w:space="0" w:color="auto" w:frame="1"/>
          <w:shd w:val="clear" w:color="auto" w:fill="FFFFFF"/>
        </w:rPr>
        <w:t>Journal of Palliative Medicine</w:t>
      </w:r>
      <w:r w:rsidRPr="008C2366">
        <w:rPr>
          <w:rFonts w:ascii="Times New Roman" w:hAnsi="Times New Roman" w:cs="Times New Roman"/>
          <w:sz w:val="24"/>
          <w:szCs w:val="24"/>
          <w:shd w:val="clear" w:color="auto" w:fill="FFFFFF"/>
        </w:rPr>
        <w:t>; 13: 5, 513-517. </w:t>
      </w:r>
    </w:p>
    <w:p w14:paraId="6ECFF5F0" w14:textId="77777777" w:rsidR="00840802" w:rsidRPr="008C2366" w:rsidRDefault="00840802" w:rsidP="00840802">
      <w:pPr>
        <w:autoSpaceDE w:val="0"/>
        <w:autoSpaceDN w:val="0"/>
        <w:adjustRightInd w:val="0"/>
        <w:spacing w:line="360" w:lineRule="auto"/>
        <w:jc w:val="both"/>
        <w:rPr>
          <w:rFonts w:ascii="Times New Roman" w:hAnsi="Times New Roman" w:cs="Times New Roman"/>
          <w:sz w:val="24"/>
          <w:szCs w:val="24"/>
          <w:lang w:val="en"/>
        </w:rPr>
      </w:pPr>
      <w:r w:rsidRPr="008C2366">
        <w:rPr>
          <w:rFonts w:ascii="Times New Roman" w:hAnsi="Times New Roman" w:cs="Times New Roman"/>
          <w:sz w:val="24"/>
          <w:szCs w:val="24"/>
          <w:lang w:val="en"/>
        </w:rPr>
        <w:t xml:space="preserve">Henderson, J. A., &amp; </w:t>
      </w:r>
      <w:proofErr w:type="spellStart"/>
      <w:r w:rsidRPr="008C2366">
        <w:rPr>
          <w:rFonts w:ascii="Times New Roman" w:hAnsi="Times New Roman" w:cs="Times New Roman"/>
          <w:sz w:val="24"/>
          <w:szCs w:val="24"/>
          <w:lang w:val="en"/>
        </w:rPr>
        <w:t>Vesperi</w:t>
      </w:r>
      <w:proofErr w:type="spellEnd"/>
      <w:r w:rsidRPr="008C2366">
        <w:rPr>
          <w:rFonts w:ascii="Times New Roman" w:hAnsi="Times New Roman" w:cs="Times New Roman"/>
          <w:sz w:val="24"/>
          <w:szCs w:val="24"/>
          <w:lang w:val="en"/>
        </w:rPr>
        <w:t>, M. D. (1995). The culture of long term care: Nursing home ethnography. New York, NY: Bergin &amp; Garvey.</w:t>
      </w:r>
    </w:p>
    <w:p w14:paraId="3B1AE668" w14:textId="77777777" w:rsidR="00840802" w:rsidRPr="008C2366" w:rsidRDefault="00840802" w:rsidP="00840802">
      <w:pPr>
        <w:spacing w:line="360" w:lineRule="auto"/>
        <w:jc w:val="both"/>
        <w:rPr>
          <w:rFonts w:ascii="Times New Roman" w:hAnsi="Times New Roman" w:cs="Times New Roman"/>
          <w:sz w:val="24"/>
          <w:szCs w:val="24"/>
          <w:shd w:val="clear" w:color="auto" w:fill="FFFFFF"/>
        </w:rPr>
      </w:pPr>
      <w:proofErr w:type="spellStart"/>
      <w:r w:rsidRPr="00C37040">
        <w:rPr>
          <w:rStyle w:val="Strong"/>
          <w:rFonts w:ascii="Times New Roman" w:hAnsi="Times New Roman" w:cs="Times New Roman"/>
          <w:b w:val="0"/>
          <w:bCs w:val="0"/>
          <w:sz w:val="24"/>
          <w:szCs w:val="24"/>
          <w:bdr w:val="none" w:sz="0" w:space="0" w:color="auto" w:frame="1"/>
          <w:shd w:val="clear" w:color="auto" w:fill="FFFFFF"/>
        </w:rPr>
        <w:t>Heyland</w:t>
      </w:r>
      <w:proofErr w:type="spellEnd"/>
      <w:r w:rsidRPr="00C37040">
        <w:rPr>
          <w:rStyle w:val="Strong"/>
          <w:rFonts w:ascii="Times New Roman" w:hAnsi="Times New Roman" w:cs="Times New Roman"/>
          <w:b w:val="0"/>
          <w:bCs w:val="0"/>
          <w:sz w:val="24"/>
          <w:szCs w:val="24"/>
          <w:bdr w:val="none" w:sz="0" w:space="0" w:color="auto" w:frame="1"/>
          <w:shd w:val="clear" w:color="auto" w:fill="FFFFFF"/>
        </w:rPr>
        <w:t xml:space="preserve"> DK et al</w:t>
      </w:r>
      <w:r w:rsidRPr="008C2366">
        <w:rPr>
          <w:rFonts w:ascii="Times New Roman" w:hAnsi="Times New Roman" w:cs="Times New Roman"/>
          <w:sz w:val="24"/>
          <w:szCs w:val="24"/>
          <w:shd w:val="clear" w:color="auto" w:fill="FFFFFF"/>
        </w:rPr>
        <w:t> (2013) Failure to engage hospitalized elderly patients and their families in advance care planning. </w:t>
      </w:r>
      <w:r w:rsidRPr="008C2366">
        <w:rPr>
          <w:rStyle w:val="Emphasis"/>
          <w:rFonts w:ascii="Times New Roman" w:hAnsi="Times New Roman" w:cs="Times New Roman"/>
          <w:sz w:val="24"/>
          <w:szCs w:val="24"/>
          <w:bdr w:val="none" w:sz="0" w:space="0" w:color="auto" w:frame="1"/>
          <w:shd w:val="clear" w:color="auto" w:fill="FFFFFF"/>
        </w:rPr>
        <w:t>Journal of the American Medical Association Internal Medicine;</w:t>
      </w:r>
      <w:r w:rsidRPr="008C2366">
        <w:rPr>
          <w:rFonts w:ascii="Times New Roman" w:hAnsi="Times New Roman" w:cs="Times New Roman"/>
          <w:sz w:val="24"/>
          <w:szCs w:val="24"/>
          <w:shd w:val="clear" w:color="auto" w:fill="FFFFFF"/>
        </w:rPr>
        <w:t> 173: 9, 778-787. </w:t>
      </w:r>
    </w:p>
    <w:p w14:paraId="1206051E" w14:textId="77777777" w:rsidR="00840802" w:rsidRPr="008C2366" w:rsidRDefault="00840802" w:rsidP="00840802">
      <w:pPr>
        <w:autoSpaceDE w:val="0"/>
        <w:autoSpaceDN w:val="0"/>
        <w:adjustRightInd w:val="0"/>
        <w:spacing w:line="360" w:lineRule="auto"/>
        <w:jc w:val="both"/>
        <w:rPr>
          <w:rFonts w:ascii="Times New Roman" w:hAnsi="Times New Roman" w:cs="Times New Roman"/>
          <w:sz w:val="24"/>
          <w:szCs w:val="24"/>
          <w:shd w:val="clear" w:color="auto" w:fill="FFFFFF"/>
        </w:rPr>
      </w:pPr>
      <w:r w:rsidRPr="00C37040">
        <w:rPr>
          <w:rStyle w:val="Strong"/>
          <w:rFonts w:ascii="Times New Roman" w:hAnsi="Times New Roman" w:cs="Times New Roman"/>
          <w:b w:val="0"/>
          <w:bCs w:val="0"/>
          <w:sz w:val="24"/>
          <w:szCs w:val="24"/>
          <w:bdr w:val="none" w:sz="0" w:space="0" w:color="auto" w:frame="1"/>
          <w:shd w:val="clear" w:color="auto" w:fill="FFFFFF"/>
        </w:rPr>
        <w:t>Horne G et al</w:t>
      </w:r>
      <w:r w:rsidRPr="008C2366">
        <w:rPr>
          <w:rFonts w:ascii="Times New Roman" w:hAnsi="Times New Roman" w:cs="Times New Roman"/>
          <w:sz w:val="24"/>
          <w:szCs w:val="24"/>
          <w:shd w:val="clear" w:color="auto" w:fill="FFFFFF"/>
        </w:rPr>
        <w:t> (2012) Maintaining integrity in the face of death: a grounded theory to explain the perspectives of people affected by lung cancer about the expression of wishes for end of life care. </w:t>
      </w:r>
      <w:r w:rsidRPr="008C2366">
        <w:rPr>
          <w:rStyle w:val="Emphasis"/>
          <w:rFonts w:ascii="Times New Roman" w:hAnsi="Times New Roman" w:cs="Times New Roman"/>
          <w:sz w:val="24"/>
          <w:szCs w:val="24"/>
          <w:bdr w:val="none" w:sz="0" w:space="0" w:color="auto" w:frame="1"/>
          <w:shd w:val="clear" w:color="auto" w:fill="FFFFFF"/>
        </w:rPr>
        <w:t>International Journal of Nursing Studies</w:t>
      </w:r>
      <w:r w:rsidRPr="008C2366">
        <w:rPr>
          <w:rFonts w:ascii="Times New Roman" w:hAnsi="Times New Roman" w:cs="Times New Roman"/>
          <w:sz w:val="24"/>
          <w:szCs w:val="24"/>
          <w:shd w:val="clear" w:color="auto" w:fill="FFFFFF"/>
        </w:rPr>
        <w:t xml:space="preserve">; 49: 6, 718-726.                                                               </w:t>
      </w:r>
    </w:p>
    <w:p w14:paraId="0BFF0181" w14:textId="77777777" w:rsidR="00840802" w:rsidRPr="008C2366" w:rsidRDefault="00840802" w:rsidP="00840802">
      <w:pPr>
        <w:spacing w:before="240" w:after="240" w:line="360" w:lineRule="auto"/>
        <w:jc w:val="both"/>
        <w:rPr>
          <w:rFonts w:ascii="Times New Roman" w:hAnsi="Times New Roman" w:cs="Times New Roman"/>
          <w:sz w:val="24"/>
          <w:szCs w:val="24"/>
          <w:shd w:val="clear" w:color="auto" w:fill="FFFFFF"/>
        </w:rPr>
      </w:pPr>
      <w:r w:rsidRPr="008C2366">
        <w:rPr>
          <w:rStyle w:val="Strong"/>
          <w:rFonts w:ascii="Times New Roman" w:hAnsi="Times New Roman" w:cs="Times New Roman"/>
          <w:sz w:val="24"/>
          <w:szCs w:val="24"/>
          <w:shd w:val="clear" w:color="auto" w:fill="FFFFFF"/>
        </w:rPr>
        <w:t> </w:t>
      </w:r>
      <w:r w:rsidRPr="008C2366">
        <w:rPr>
          <w:rStyle w:val="selectable"/>
          <w:rFonts w:ascii="Times New Roman" w:hAnsi="Times New Roman" w:cs="Times New Roman"/>
          <w:sz w:val="24"/>
          <w:szCs w:val="24"/>
          <w:shd w:val="clear" w:color="auto" w:fill="FFFFFF"/>
        </w:rPr>
        <w:t>Inclusive Solutions. 2021. </w:t>
      </w:r>
      <w:r w:rsidRPr="008C2366">
        <w:rPr>
          <w:rStyle w:val="selectable"/>
          <w:rFonts w:ascii="Times New Roman" w:hAnsi="Times New Roman" w:cs="Times New Roman"/>
          <w:i/>
          <w:iCs/>
          <w:sz w:val="24"/>
          <w:szCs w:val="24"/>
          <w:shd w:val="clear" w:color="auto" w:fill="FFFFFF"/>
        </w:rPr>
        <w:t>Person Centred Planning With Older Adults</w:t>
      </w:r>
      <w:r w:rsidRPr="008C2366">
        <w:rPr>
          <w:rStyle w:val="selectable"/>
          <w:rFonts w:ascii="Times New Roman" w:hAnsi="Times New Roman" w:cs="Times New Roman"/>
          <w:sz w:val="24"/>
          <w:szCs w:val="24"/>
          <w:shd w:val="clear" w:color="auto" w:fill="FFFFFF"/>
        </w:rPr>
        <w:t>. [online] Available at: &lt;https://inclusive-solutions.com/blog/person-centred-planning-with-older-adults/&gt; [Accessed 2 January 2021].</w:t>
      </w:r>
    </w:p>
    <w:p w14:paraId="50E96EC7" w14:textId="77777777" w:rsidR="00840802" w:rsidRPr="008C2366" w:rsidRDefault="00840802" w:rsidP="00840802">
      <w:pPr>
        <w:spacing w:line="360" w:lineRule="auto"/>
        <w:jc w:val="both"/>
        <w:rPr>
          <w:rFonts w:ascii="Times New Roman" w:hAnsi="Times New Roman" w:cs="Times New Roman"/>
          <w:sz w:val="24"/>
          <w:szCs w:val="24"/>
          <w:shd w:val="clear" w:color="auto" w:fill="FFFFFF"/>
        </w:rPr>
      </w:pPr>
      <w:r w:rsidRPr="00C37040">
        <w:rPr>
          <w:rStyle w:val="Strong"/>
          <w:rFonts w:ascii="Times New Roman" w:hAnsi="Times New Roman" w:cs="Times New Roman"/>
          <w:b w:val="0"/>
          <w:bCs w:val="0"/>
          <w:sz w:val="24"/>
          <w:szCs w:val="24"/>
          <w:bdr w:val="none" w:sz="0" w:space="0" w:color="auto" w:frame="1"/>
          <w:shd w:val="clear" w:color="auto" w:fill="FFFFFF"/>
        </w:rPr>
        <w:t>Khan SA et al</w:t>
      </w:r>
      <w:r w:rsidRPr="00C37040">
        <w:rPr>
          <w:rFonts w:ascii="Times New Roman" w:hAnsi="Times New Roman" w:cs="Times New Roman"/>
          <w:b/>
          <w:bCs/>
          <w:sz w:val="24"/>
          <w:szCs w:val="24"/>
          <w:shd w:val="clear" w:color="auto" w:fill="FFFFFF"/>
        </w:rPr>
        <w:t> (</w:t>
      </w:r>
      <w:r w:rsidRPr="008C2366">
        <w:rPr>
          <w:rFonts w:ascii="Times New Roman" w:hAnsi="Times New Roman" w:cs="Times New Roman"/>
          <w:sz w:val="24"/>
          <w:szCs w:val="24"/>
          <w:shd w:val="clear" w:color="auto" w:fill="FFFFFF"/>
        </w:rPr>
        <w:t>2014) End-of-life care – what do cancer patients want? </w:t>
      </w:r>
      <w:r w:rsidRPr="008C2366">
        <w:rPr>
          <w:rStyle w:val="Emphasis"/>
          <w:rFonts w:ascii="Times New Roman" w:hAnsi="Times New Roman" w:cs="Times New Roman"/>
          <w:sz w:val="24"/>
          <w:szCs w:val="24"/>
          <w:bdr w:val="none" w:sz="0" w:space="0" w:color="auto" w:frame="1"/>
          <w:shd w:val="clear" w:color="auto" w:fill="FFFFFF"/>
        </w:rPr>
        <w:t>Nature Reviews Clinical Oncology</w:t>
      </w:r>
      <w:r w:rsidRPr="008C2366">
        <w:rPr>
          <w:rFonts w:ascii="Times New Roman" w:hAnsi="Times New Roman" w:cs="Times New Roman"/>
          <w:sz w:val="24"/>
          <w:szCs w:val="24"/>
          <w:shd w:val="clear" w:color="auto" w:fill="FFFFFF"/>
        </w:rPr>
        <w:t>; 11: 2, 100-108.</w:t>
      </w:r>
    </w:p>
    <w:p w14:paraId="264BBBFC" w14:textId="77777777" w:rsidR="00840802" w:rsidRPr="008C2366" w:rsidRDefault="00840802" w:rsidP="00840802">
      <w:pPr>
        <w:autoSpaceDE w:val="0"/>
        <w:autoSpaceDN w:val="0"/>
        <w:adjustRightInd w:val="0"/>
        <w:spacing w:line="360" w:lineRule="auto"/>
        <w:jc w:val="both"/>
        <w:rPr>
          <w:rFonts w:ascii="Times New Roman" w:hAnsi="Times New Roman" w:cs="Times New Roman"/>
          <w:sz w:val="24"/>
          <w:szCs w:val="24"/>
          <w:shd w:val="clear" w:color="auto" w:fill="FFFFFF"/>
        </w:rPr>
      </w:pPr>
      <w:r w:rsidRPr="00C37040">
        <w:rPr>
          <w:rStyle w:val="Strong"/>
          <w:rFonts w:ascii="Times New Roman" w:hAnsi="Times New Roman" w:cs="Times New Roman"/>
          <w:b w:val="0"/>
          <w:bCs w:val="0"/>
          <w:sz w:val="24"/>
          <w:szCs w:val="24"/>
          <w:bdr w:val="none" w:sz="0" w:space="0" w:color="auto" w:frame="1"/>
          <w:shd w:val="clear" w:color="auto" w:fill="FFFFFF"/>
        </w:rPr>
        <w:t>Kite S</w:t>
      </w:r>
      <w:r w:rsidRPr="008C2366">
        <w:rPr>
          <w:rFonts w:ascii="Times New Roman" w:hAnsi="Times New Roman" w:cs="Times New Roman"/>
          <w:sz w:val="24"/>
          <w:szCs w:val="24"/>
          <w:shd w:val="clear" w:color="auto" w:fill="FFFFFF"/>
        </w:rPr>
        <w:t> (2010) Advance care planning. </w:t>
      </w:r>
      <w:r w:rsidRPr="008C2366">
        <w:rPr>
          <w:rStyle w:val="Emphasis"/>
          <w:rFonts w:ascii="Times New Roman" w:hAnsi="Times New Roman" w:cs="Times New Roman"/>
          <w:sz w:val="24"/>
          <w:szCs w:val="24"/>
          <w:bdr w:val="none" w:sz="0" w:space="0" w:color="auto" w:frame="1"/>
          <w:shd w:val="clear" w:color="auto" w:fill="FFFFFF"/>
        </w:rPr>
        <w:t>Clinical Medicine</w:t>
      </w:r>
      <w:r w:rsidRPr="008C2366">
        <w:rPr>
          <w:rFonts w:ascii="Times New Roman" w:hAnsi="Times New Roman" w:cs="Times New Roman"/>
          <w:sz w:val="24"/>
          <w:szCs w:val="24"/>
          <w:shd w:val="clear" w:color="auto" w:fill="FFFFFF"/>
        </w:rPr>
        <w:t>; 10: 3, 275-278</w:t>
      </w:r>
    </w:p>
    <w:p w14:paraId="42777768" w14:textId="77777777" w:rsidR="00840802" w:rsidRPr="008C2366" w:rsidRDefault="00840802" w:rsidP="00840802">
      <w:pPr>
        <w:autoSpaceDE w:val="0"/>
        <w:autoSpaceDN w:val="0"/>
        <w:adjustRightInd w:val="0"/>
        <w:spacing w:line="360" w:lineRule="auto"/>
        <w:jc w:val="both"/>
        <w:rPr>
          <w:rFonts w:ascii="Times New Roman" w:hAnsi="Times New Roman" w:cs="Times New Roman"/>
          <w:sz w:val="24"/>
          <w:szCs w:val="24"/>
          <w:lang w:val="en"/>
        </w:rPr>
      </w:pPr>
      <w:proofErr w:type="spellStart"/>
      <w:r w:rsidRPr="008C2366">
        <w:rPr>
          <w:rFonts w:ascii="Times New Roman" w:hAnsi="Times New Roman" w:cs="Times New Roman"/>
          <w:sz w:val="24"/>
          <w:szCs w:val="24"/>
          <w:lang w:val="en"/>
        </w:rPr>
        <w:t>Kitwood</w:t>
      </w:r>
      <w:proofErr w:type="spellEnd"/>
      <w:r w:rsidRPr="008C2366">
        <w:rPr>
          <w:rFonts w:ascii="Times New Roman" w:hAnsi="Times New Roman" w:cs="Times New Roman"/>
          <w:sz w:val="24"/>
          <w:szCs w:val="24"/>
          <w:lang w:val="en"/>
        </w:rPr>
        <w:t>, T. (1997). Dementia reconsidered: The person comes first. Buckingham, England: Open University Press.</w:t>
      </w:r>
    </w:p>
    <w:p w14:paraId="7C2CA7D8" w14:textId="77777777" w:rsidR="00840802" w:rsidRPr="008C2366" w:rsidRDefault="00840802" w:rsidP="00840802">
      <w:pPr>
        <w:autoSpaceDE w:val="0"/>
        <w:autoSpaceDN w:val="0"/>
        <w:adjustRightInd w:val="0"/>
        <w:spacing w:line="360" w:lineRule="auto"/>
        <w:jc w:val="both"/>
        <w:rPr>
          <w:rFonts w:ascii="Times New Roman" w:hAnsi="Times New Roman" w:cs="Times New Roman"/>
          <w:sz w:val="24"/>
          <w:szCs w:val="24"/>
          <w:lang w:val="en"/>
        </w:rPr>
      </w:pPr>
      <w:r w:rsidRPr="008C2366">
        <w:rPr>
          <w:rFonts w:ascii="Times New Roman" w:hAnsi="Times New Roman" w:cs="Times New Roman"/>
          <w:sz w:val="24"/>
          <w:szCs w:val="24"/>
          <w:lang w:val="en"/>
        </w:rPr>
        <w:t>Nolan, M. R., Davies, S., Brown, J., Keady, J., &amp; Nolan, J. (2004). Beyond person-centred care: A new vision for gerontological nursing. Journal of Clinical Nursing, Í3(3a), 45-53.</w:t>
      </w:r>
    </w:p>
    <w:p w14:paraId="58300C38" w14:textId="77777777" w:rsidR="00840802" w:rsidRPr="008C2366" w:rsidRDefault="00840802" w:rsidP="00840802">
      <w:pPr>
        <w:autoSpaceDE w:val="0"/>
        <w:autoSpaceDN w:val="0"/>
        <w:adjustRightInd w:val="0"/>
        <w:spacing w:line="360" w:lineRule="auto"/>
        <w:jc w:val="both"/>
        <w:rPr>
          <w:rFonts w:ascii="Times New Roman" w:hAnsi="Times New Roman" w:cs="Times New Roman"/>
          <w:sz w:val="24"/>
          <w:szCs w:val="24"/>
          <w:shd w:val="clear" w:color="auto" w:fill="FFFFFF"/>
        </w:rPr>
      </w:pPr>
      <w:r w:rsidRPr="00C37040">
        <w:rPr>
          <w:rStyle w:val="Strong"/>
          <w:rFonts w:ascii="Times New Roman" w:hAnsi="Times New Roman" w:cs="Times New Roman"/>
          <w:b w:val="0"/>
          <w:bCs w:val="0"/>
          <w:sz w:val="24"/>
          <w:szCs w:val="24"/>
          <w:bdr w:val="none" w:sz="0" w:space="0" w:color="auto" w:frame="1"/>
          <w:shd w:val="clear" w:color="auto" w:fill="FFFFFF"/>
        </w:rPr>
        <w:lastRenderedPageBreak/>
        <w:t>Noyes J et al</w:t>
      </w:r>
      <w:r w:rsidRPr="008C2366">
        <w:rPr>
          <w:rFonts w:ascii="Times New Roman" w:hAnsi="Times New Roman" w:cs="Times New Roman"/>
          <w:sz w:val="24"/>
          <w:szCs w:val="24"/>
          <w:shd w:val="clear" w:color="auto" w:fill="FFFFFF"/>
        </w:rPr>
        <w:t> (2013) Planning ahead with children with life-limiting conditions and their families: development, implementation and evaluation of ‘My Choices’. </w:t>
      </w:r>
      <w:r w:rsidRPr="008C2366">
        <w:rPr>
          <w:rStyle w:val="Emphasis"/>
          <w:rFonts w:ascii="Times New Roman" w:hAnsi="Times New Roman" w:cs="Times New Roman"/>
          <w:sz w:val="24"/>
          <w:szCs w:val="24"/>
          <w:bdr w:val="none" w:sz="0" w:space="0" w:color="auto" w:frame="1"/>
          <w:shd w:val="clear" w:color="auto" w:fill="FFFFFF"/>
        </w:rPr>
        <w:t>BMC Palliative Care</w:t>
      </w:r>
      <w:r w:rsidRPr="008C2366">
        <w:rPr>
          <w:rFonts w:ascii="Times New Roman" w:hAnsi="Times New Roman" w:cs="Times New Roman"/>
          <w:sz w:val="24"/>
          <w:szCs w:val="24"/>
          <w:shd w:val="clear" w:color="auto" w:fill="FFFFFF"/>
        </w:rPr>
        <w:t xml:space="preserve">; 12: 5.                                              </w:t>
      </w:r>
    </w:p>
    <w:p w14:paraId="465198D6" w14:textId="77777777" w:rsidR="00840802" w:rsidRPr="00EF6656" w:rsidRDefault="00840802" w:rsidP="00840802">
      <w:pPr>
        <w:pStyle w:val="Heading1"/>
        <w:shd w:val="clear" w:color="auto" w:fill="FFFFFF"/>
        <w:spacing w:before="0" w:line="360" w:lineRule="auto"/>
        <w:jc w:val="both"/>
        <w:rPr>
          <w:rFonts w:ascii="Times New Roman" w:eastAsia="Times New Roman" w:hAnsi="Times New Roman" w:cs="Times New Roman"/>
          <w:color w:val="auto"/>
          <w:kern w:val="36"/>
          <w:sz w:val="24"/>
          <w:szCs w:val="24"/>
          <w:lang w:eastAsia="en-GB"/>
        </w:rPr>
      </w:pPr>
      <w:r w:rsidRPr="00EF6656">
        <w:rPr>
          <w:rFonts w:ascii="Times New Roman" w:hAnsi="Times New Roman" w:cs="Times New Roman"/>
          <w:color w:val="auto"/>
          <w:sz w:val="24"/>
          <w:szCs w:val="24"/>
        </w:rPr>
        <w:t xml:space="preserve">Nursing Times 2017. </w:t>
      </w:r>
      <w:r w:rsidRPr="00EF6656">
        <w:rPr>
          <w:rFonts w:ascii="Times New Roman" w:eastAsia="Times New Roman" w:hAnsi="Times New Roman" w:cs="Times New Roman"/>
          <w:color w:val="auto"/>
          <w:kern w:val="36"/>
          <w:sz w:val="24"/>
          <w:szCs w:val="24"/>
          <w:bdr w:val="none" w:sz="0" w:space="0" w:color="auto" w:frame="1"/>
          <w:lang w:eastAsia="en-GB"/>
        </w:rPr>
        <w:t xml:space="preserve">The benefits and barriers of ensuring patients have advance care planning. </w:t>
      </w:r>
      <w:r>
        <w:rPr>
          <w:rFonts w:ascii="Times New Roman" w:eastAsia="Times New Roman" w:hAnsi="Times New Roman" w:cs="Times New Roman"/>
          <w:color w:val="auto"/>
          <w:kern w:val="36"/>
          <w:sz w:val="24"/>
          <w:szCs w:val="24"/>
          <w:bdr w:val="none" w:sz="0" w:space="0" w:color="auto" w:frame="1"/>
          <w:lang w:eastAsia="en-GB"/>
        </w:rPr>
        <w:t xml:space="preserve">Online </w:t>
      </w:r>
      <w:r w:rsidRPr="00EF6656">
        <w:rPr>
          <w:rFonts w:ascii="Times New Roman" w:eastAsia="Times New Roman" w:hAnsi="Times New Roman" w:cs="Times New Roman"/>
          <w:color w:val="auto"/>
          <w:kern w:val="36"/>
          <w:sz w:val="24"/>
          <w:szCs w:val="24"/>
          <w:bdr w:val="none" w:sz="0" w:space="0" w:color="auto" w:frame="1"/>
          <w:lang w:eastAsia="en-GB"/>
        </w:rPr>
        <w:t>Available at:</w:t>
      </w:r>
      <w:r w:rsidRPr="00EF6656">
        <w:rPr>
          <w:rFonts w:ascii="Times New Roman" w:hAnsi="Times New Roman" w:cs="Times New Roman"/>
          <w:color w:val="auto"/>
          <w:sz w:val="24"/>
          <w:szCs w:val="24"/>
        </w:rPr>
        <w:t xml:space="preserve"> </w:t>
      </w:r>
      <w:hyperlink r:id="rId14" w:history="1">
        <w:r w:rsidRPr="00EF6656">
          <w:rPr>
            <w:rFonts w:ascii="Times New Roman" w:hAnsi="Times New Roman" w:cs="Times New Roman"/>
            <w:i/>
            <w:iCs/>
            <w:color w:val="auto"/>
            <w:sz w:val="24"/>
            <w:szCs w:val="24"/>
          </w:rPr>
          <w:t>The benefits</w:t>
        </w:r>
        <w:r w:rsidRPr="00EF6656">
          <w:rPr>
            <w:rFonts w:ascii="Times New Roman" w:hAnsi="Times New Roman" w:cs="Times New Roman"/>
            <w:i/>
            <w:iCs/>
            <w:color w:val="auto"/>
            <w:sz w:val="24"/>
            <w:szCs w:val="24"/>
          </w:rPr>
          <w:t xml:space="preserve"> and barriers of ensuring patients have advance care planning | Nursing Times</w:t>
        </w:r>
      </w:hyperlink>
      <w:r w:rsidRPr="00EF6656">
        <w:rPr>
          <w:rFonts w:ascii="Times New Roman" w:hAnsi="Times New Roman" w:cs="Times New Roman"/>
          <w:i/>
          <w:iCs/>
          <w:color w:val="auto"/>
          <w:sz w:val="24"/>
          <w:szCs w:val="24"/>
        </w:rPr>
        <w:t>.</w:t>
      </w:r>
      <w:r w:rsidRPr="00C37040">
        <w:rPr>
          <w:rFonts w:ascii="Times New Roman" w:hAnsi="Times New Roman" w:cs="Times New Roman"/>
          <w:color w:val="auto"/>
          <w:sz w:val="24"/>
          <w:szCs w:val="24"/>
        </w:rPr>
        <w:t xml:space="preserve"> (Accessed on 2 January 2021).</w:t>
      </w:r>
    </w:p>
    <w:p w14:paraId="43611113" w14:textId="77777777" w:rsidR="00840802" w:rsidRPr="008C2366" w:rsidRDefault="00840802" w:rsidP="00840802">
      <w:pPr>
        <w:spacing w:line="360" w:lineRule="auto"/>
        <w:jc w:val="both"/>
        <w:rPr>
          <w:rFonts w:ascii="Times New Roman" w:hAnsi="Times New Roman" w:cs="Times New Roman"/>
          <w:sz w:val="24"/>
          <w:szCs w:val="24"/>
        </w:rPr>
      </w:pPr>
      <w:r w:rsidRPr="008C2366">
        <w:rPr>
          <w:rFonts w:ascii="Times New Roman" w:hAnsi="Times New Roman" w:cs="Times New Roman"/>
          <w:sz w:val="24"/>
          <w:szCs w:val="24"/>
          <w:shd w:val="clear" w:color="auto" w:fill="FFFFFF"/>
        </w:rPr>
        <w:t xml:space="preserve">Onlinelibrary-wiley-com.ezproxy.uwtsd.ac.uk. 2021. [online] Available at: &lt;https://onlinelibrary-wiley-com.ezproxy.uwtsd.ac.uk/doi/full/10.1111/jocn.15255&gt; [Accessed 2 January 2021]. </w:t>
      </w:r>
    </w:p>
    <w:p w14:paraId="7DD8DCBE" w14:textId="77777777" w:rsidR="00840802" w:rsidRPr="008C2366" w:rsidRDefault="00840802" w:rsidP="00840802">
      <w:pPr>
        <w:autoSpaceDE w:val="0"/>
        <w:autoSpaceDN w:val="0"/>
        <w:adjustRightInd w:val="0"/>
        <w:spacing w:line="360" w:lineRule="auto"/>
        <w:jc w:val="both"/>
        <w:rPr>
          <w:rFonts w:ascii="Times New Roman" w:hAnsi="Times New Roman" w:cs="Times New Roman"/>
          <w:sz w:val="24"/>
          <w:szCs w:val="24"/>
          <w:lang w:val="en"/>
        </w:rPr>
      </w:pPr>
      <w:r w:rsidRPr="008C2366">
        <w:rPr>
          <w:rFonts w:ascii="Times New Roman" w:hAnsi="Times New Roman" w:cs="Times New Roman"/>
          <w:sz w:val="24"/>
          <w:szCs w:val="24"/>
          <w:lang w:val="en"/>
        </w:rPr>
        <w:t>Packer, T. (2000). Does person-centred care exist? Journal of Dementia Care, 8, 19-21.</w:t>
      </w:r>
    </w:p>
    <w:p w14:paraId="039952DF" w14:textId="77777777" w:rsidR="00840802" w:rsidRPr="008C2366" w:rsidRDefault="00840802" w:rsidP="00840802">
      <w:pPr>
        <w:autoSpaceDE w:val="0"/>
        <w:autoSpaceDN w:val="0"/>
        <w:adjustRightInd w:val="0"/>
        <w:spacing w:line="360" w:lineRule="auto"/>
        <w:jc w:val="both"/>
        <w:rPr>
          <w:rFonts w:ascii="Times New Roman" w:hAnsi="Times New Roman" w:cs="Times New Roman"/>
          <w:sz w:val="24"/>
          <w:szCs w:val="24"/>
          <w:lang w:val="en"/>
        </w:rPr>
      </w:pPr>
      <w:r w:rsidRPr="008C2366">
        <w:rPr>
          <w:rFonts w:ascii="Times New Roman" w:hAnsi="Times New Roman" w:cs="Times New Roman"/>
          <w:sz w:val="24"/>
          <w:szCs w:val="24"/>
        </w:rPr>
        <w:t>Payne, M. (1997)Modern Social Work Theory. Basingstoke: Macmillan.</w:t>
      </w:r>
      <w:r w:rsidRPr="008C2366">
        <w:rPr>
          <w:rFonts w:ascii="Times New Roman" w:hAnsi="Times New Roman" w:cs="Times New Roman"/>
          <w:sz w:val="24"/>
          <w:szCs w:val="24"/>
        </w:rPr>
        <w:br/>
      </w:r>
      <w:r w:rsidRPr="008C2366">
        <w:rPr>
          <w:rFonts w:ascii="Times New Roman" w:hAnsi="Times New Roman" w:cs="Times New Roman"/>
          <w:sz w:val="24"/>
          <w:szCs w:val="24"/>
        </w:rPr>
        <w:br/>
        <w:t xml:space="preserve">Brandon, D. (1995) Advocacy Power to People with Disabilities. Birmingham: </w:t>
      </w:r>
      <w:proofErr w:type="spellStart"/>
      <w:r w:rsidRPr="008C2366">
        <w:rPr>
          <w:rFonts w:ascii="Times New Roman" w:hAnsi="Times New Roman" w:cs="Times New Roman"/>
          <w:sz w:val="24"/>
          <w:szCs w:val="24"/>
        </w:rPr>
        <w:t>VenturePress</w:t>
      </w:r>
      <w:proofErr w:type="spellEnd"/>
      <w:r w:rsidRPr="008C2366">
        <w:rPr>
          <w:rFonts w:ascii="Times New Roman" w:hAnsi="Times New Roman" w:cs="Times New Roman"/>
          <w:sz w:val="24"/>
          <w:szCs w:val="24"/>
        </w:rPr>
        <w:br/>
      </w:r>
      <w:r w:rsidRPr="008C2366">
        <w:rPr>
          <w:rFonts w:ascii="Times New Roman" w:hAnsi="Times New Roman" w:cs="Times New Roman"/>
          <w:sz w:val="24"/>
          <w:szCs w:val="24"/>
        </w:rPr>
        <w:br/>
      </w:r>
      <w:r w:rsidRPr="00C37040">
        <w:rPr>
          <w:rStyle w:val="Strong"/>
          <w:rFonts w:ascii="Times New Roman" w:hAnsi="Times New Roman" w:cs="Times New Roman"/>
          <w:b w:val="0"/>
          <w:bCs w:val="0"/>
          <w:sz w:val="24"/>
          <w:szCs w:val="24"/>
          <w:bdr w:val="none" w:sz="0" w:space="0" w:color="auto" w:frame="1"/>
          <w:shd w:val="clear" w:color="auto" w:fill="FFFFFF"/>
        </w:rPr>
        <w:t>Hickman SE et al</w:t>
      </w:r>
      <w:r w:rsidRPr="008C2366">
        <w:rPr>
          <w:rFonts w:ascii="Times New Roman" w:hAnsi="Times New Roman" w:cs="Times New Roman"/>
          <w:sz w:val="24"/>
          <w:szCs w:val="24"/>
          <w:shd w:val="clear" w:color="auto" w:fill="FFFFFF"/>
        </w:rPr>
        <w:t> (2015) Use of the physician orders for life-sustaining treatment program in the clinical setting: a systematic review of the literature. </w:t>
      </w:r>
      <w:r w:rsidRPr="008C2366">
        <w:rPr>
          <w:rStyle w:val="Emphasis"/>
          <w:rFonts w:ascii="Times New Roman" w:hAnsi="Times New Roman" w:cs="Times New Roman"/>
          <w:sz w:val="24"/>
          <w:szCs w:val="24"/>
          <w:bdr w:val="none" w:sz="0" w:space="0" w:color="auto" w:frame="1"/>
          <w:shd w:val="clear" w:color="auto" w:fill="FFFFFF"/>
        </w:rPr>
        <w:t>Journal of the American Geriatrics Society</w:t>
      </w:r>
      <w:r w:rsidRPr="008C2366">
        <w:rPr>
          <w:rFonts w:ascii="Times New Roman" w:hAnsi="Times New Roman" w:cs="Times New Roman"/>
          <w:sz w:val="24"/>
          <w:szCs w:val="24"/>
          <w:shd w:val="clear" w:color="auto" w:fill="FFFFFF"/>
        </w:rPr>
        <w:t>; 63: 2, 341-350.</w:t>
      </w:r>
    </w:p>
    <w:p w14:paraId="2C0CF394" w14:textId="77777777" w:rsidR="00840802" w:rsidRPr="008C2366" w:rsidRDefault="00840802" w:rsidP="00840802">
      <w:pPr>
        <w:spacing w:before="240" w:after="240" w:line="360" w:lineRule="auto"/>
        <w:jc w:val="both"/>
        <w:rPr>
          <w:rFonts w:ascii="Times New Roman" w:hAnsi="Times New Roman" w:cs="Times New Roman"/>
          <w:sz w:val="24"/>
          <w:szCs w:val="24"/>
          <w:shd w:val="clear" w:color="auto" w:fill="FFFFFF"/>
        </w:rPr>
      </w:pPr>
      <w:r w:rsidRPr="008C2366">
        <w:rPr>
          <w:rStyle w:val="author"/>
          <w:rFonts w:ascii="Times New Roman" w:hAnsi="Times New Roman" w:cs="Times New Roman"/>
          <w:sz w:val="24"/>
          <w:szCs w:val="24"/>
          <w:shd w:val="clear" w:color="auto" w:fill="FFFFFF"/>
        </w:rPr>
        <w:t>Santana, M. J.</w:t>
      </w:r>
      <w:r w:rsidRPr="008C2366">
        <w:rPr>
          <w:rFonts w:ascii="Times New Roman" w:hAnsi="Times New Roman" w:cs="Times New Roman"/>
          <w:sz w:val="24"/>
          <w:szCs w:val="24"/>
          <w:shd w:val="clear" w:color="auto" w:fill="FFFFFF"/>
        </w:rPr>
        <w:t>, </w:t>
      </w:r>
      <w:proofErr w:type="spellStart"/>
      <w:r w:rsidRPr="008C2366">
        <w:rPr>
          <w:rStyle w:val="author"/>
          <w:rFonts w:ascii="Times New Roman" w:hAnsi="Times New Roman" w:cs="Times New Roman"/>
          <w:sz w:val="24"/>
          <w:szCs w:val="24"/>
          <w:shd w:val="clear" w:color="auto" w:fill="FFFFFF"/>
        </w:rPr>
        <w:t>Manalili</w:t>
      </w:r>
      <w:proofErr w:type="spellEnd"/>
      <w:r w:rsidRPr="008C2366">
        <w:rPr>
          <w:rStyle w:val="author"/>
          <w:rFonts w:ascii="Times New Roman" w:hAnsi="Times New Roman" w:cs="Times New Roman"/>
          <w:sz w:val="24"/>
          <w:szCs w:val="24"/>
          <w:shd w:val="clear" w:color="auto" w:fill="FFFFFF"/>
        </w:rPr>
        <w:t>, K.</w:t>
      </w:r>
      <w:r w:rsidRPr="008C2366">
        <w:rPr>
          <w:rFonts w:ascii="Times New Roman" w:hAnsi="Times New Roman" w:cs="Times New Roman"/>
          <w:sz w:val="24"/>
          <w:szCs w:val="24"/>
          <w:shd w:val="clear" w:color="auto" w:fill="FFFFFF"/>
        </w:rPr>
        <w:t>, </w:t>
      </w:r>
      <w:r w:rsidRPr="008C2366">
        <w:rPr>
          <w:rStyle w:val="author"/>
          <w:rFonts w:ascii="Times New Roman" w:hAnsi="Times New Roman" w:cs="Times New Roman"/>
          <w:sz w:val="24"/>
          <w:szCs w:val="24"/>
          <w:shd w:val="clear" w:color="auto" w:fill="FFFFFF"/>
        </w:rPr>
        <w:t>Jolley, R. J.</w:t>
      </w:r>
      <w:r w:rsidRPr="008C2366">
        <w:rPr>
          <w:rFonts w:ascii="Times New Roman" w:hAnsi="Times New Roman" w:cs="Times New Roman"/>
          <w:sz w:val="24"/>
          <w:szCs w:val="24"/>
          <w:shd w:val="clear" w:color="auto" w:fill="FFFFFF"/>
        </w:rPr>
        <w:t>, </w:t>
      </w:r>
      <w:proofErr w:type="spellStart"/>
      <w:r w:rsidRPr="008C2366">
        <w:rPr>
          <w:rStyle w:val="author"/>
          <w:rFonts w:ascii="Times New Roman" w:hAnsi="Times New Roman" w:cs="Times New Roman"/>
          <w:sz w:val="24"/>
          <w:szCs w:val="24"/>
          <w:shd w:val="clear" w:color="auto" w:fill="FFFFFF"/>
        </w:rPr>
        <w:t>Zelinsky</w:t>
      </w:r>
      <w:proofErr w:type="spellEnd"/>
      <w:r w:rsidRPr="008C2366">
        <w:rPr>
          <w:rStyle w:val="author"/>
          <w:rFonts w:ascii="Times New Roman" w:hAnsi="Times New Roman" w:cs="Times New Roman"/>
          <w:sz w:val="24"/>
          <w:szCs w:val="24"/>
          <w:shd w:val="clear" w:color="auto" w:fill="FFFFFF"/>
        </w:rPr>
        <w:t>, S.</w:t>
      </w:r>
      <w:r w:rsidRPr="008C2366">
        <w:rPr>
          <w:rFonts w:ascii="Times New Roman" w:hAnsi="Times New Roman" w:cs="Times New Roman"/>
          <w:sz w:val="24"/>
          <w:szCs w:val="24"/>
          <w:shd w:val="clear" w:color="auto" w:fill="FFFFFF"/>
        </w:rPr>
        <w:t>, </w:t>
      </w:r>
      <w:r w:rsidRPr="008C2366">
        <w:rPr>
          <w:rStyle w:val="author"/>
          <w:rFonts w:ascii="Times New Roman" w:hAnsi="Times New Roman" w:cs="Times New Roman"/>
          <w:sz w:val="24"/>
          <w:szCs w:val="24"/>
          <w:shd w:val="clear" w:color="auto" w:fill="FFFFFF"/>
        </w:rPr>
        <w:t>Quan, H.</w:t>
      </w:r>
      <w:r w:rsidRPr="008C2366">
        <w:rPr>
          <w:rFonts w:ascii="Times New Roman" w:hAnsi="Times New Roman" w:cs="Times New Roman"/>
          <w:sz w:val="24"/>
          <w:szCs w:val="24"/>
          <w:shd w:val="clear" w:color="auto" w:fill="FFFFFF"/>
        </w:rPr>
        <w:t>, &amp; </w:t>
      </w:r>
      <w:r w:rsidRPr="008C2366">
        <w:rPr>
          <w:rStyle w:val="author"/>
          <w:rFonts w:ascii="Times New Roman" w:hAnsi="Times New Roman" w:cs="Times New Roman"/>
          <w:sz w:val="24"/>
          <w:szCs w:val="24"/>
          <w:shd w:val="clear" w:color="auto" w:fill="FFFFFF"/>
        </w:rPr>
        <w:t>Lu, M.</w:t>
      </w:r>
      <w:r w:rsidRPr="008C2366">
        <w:rPr>
          <w:rFonts w:ascii="Times New Roman" w:hAnsi="Times New Roman" w:cs="Times New Roman"/>
          <w:sz w:val="24"/>
          <w:szCs w:val="24"/>
          <w:shd w:val="clear" w:color="auto" w:fill="FFFFFF"/>
        </w:rPr>
        <w:t> (</w:t>
      </w:r>
      <w:r w:rsidRPr="008C2366">
        <w:rPr>
          <w:rStyle w:val="pubyear"/>
          <w:rFonts w:ascii="Times New Roman" w:hAnsi="Times New Roman" w:cs="Times New Roman"/>
          <w:sz w:val="24"/>
          <w:szCs w:val="24"/>
          <w:shd w:val="clear" w:color="auto" w:fill="FFFFFF"/>
        </w:rPr>
        <w:t>2018</w:t>
      </w:r>
      <w:r w:rsidRPr="008C2366">
        <w:rPr>
          <w:rFonts w:ascii="Times New Roman" w:hAnsi="Times New Roman" w:cs="Times New Roman"/>
          <w:sz w:val="24"/>
          <w:szCs w:val="24"/>
          <w:shd w:val="clear" w:color="auto" w:fill="FFFFFF"/>
        </w:rPr>
        <w:t>). </w:t>
      </w:r>
      <w:r w:rsidRPr="008C2366">
        <w:rPr>
          <w:rStyle w:val="articletitle"/>
          <w:rFonts w:ascii="Times New Roman" w:hAnsi="Times New Roman" w:cs="Times New Roman"/>
          <w:sz w:val="24"/>
          <w:szCs w:val="24"/>
          <w:shd w:val="clear" w:color="auto" w:fill="FFFFFF"/>
        </w:rPr>
        <w:t>How to practice person‐centred care: A conceptual framework</w:t>
      </w:r>
      <w:r w:rsidRPr="008C2366">
        <w:rPr>
          <w:rFonts w:ascii="Times New Roman" w:hAnsi="Times New Roman" w:cs="Times New Roman"/>
          <w:sz w:val="24"/>
          <w:szCs w:val="24"/>
          <w:shd w:val="clear" w:color="auto" w:fill="FFFFFF"/>
        </w:rPr>
        <w:t>. </w:t>
      </w:r>
      <w:r w:rsidRPr="008C2366">
        <w:rPr>
          <w:rFonts w:ascii="Times New Roman" w:hAnsi="Times New Roman" w:cs="Times New Roman"/>
          <w:i/>
          <w:iCs/>
          <w:sz w:val="24"/>
          <w:szCs w:val="24"/>
          <w:shd w:val="clear" w:color="auto" w:fill="FFFFFF"/>
        </w:rPr>
        <w:t>Health Expectations</w:t>
      </w:r>
      <w:r w:rsidRPr="008C2366">
        <w:rPr>
          <w:rFonts w:ascii="Times New Roman" w:hAnsi="Times New Roman" w:cs="Times New Roman"/>
          <w:sz w:val="24"/>
          <w:szCs w:val="24"/>
          <w:shd w:val="clear" w:color="auto" w:fill="FFFFFF"/>
        </w:rPr>
        <w:t>, </w:t>
      </w:r>
      <w:r w:rsidRPr="008C2366">
        <w:rPr>
          <w:rStyle w:val="vol"/>
          <w:rFonts w:ascii="Times New Roman" w:hAnsi="Times New Roman" w:cs="Times New Roman"/>
          <w:b/>
          <w:bCs/>
          <w:sz w:val="24"/>
          <w:szCs w:val="24"/>
          <w:shd w:val="clear" w:color="auto" w:fill="FFFFFF"/>
        </w:rPr>
        <w:t>21</w:t>
      </w:r>
      <w:r w:rsidRPr="008C2366">
        <w:rPr>
          <w:rFonts w:ascii="Times New Roman" w:hAnsi="Times New Roman" w:cs="Times New Roman"/>
          <w:sz w:val="24"/>
          <w:szCs w:val="24"/>
          <w:shd w:val="clear" w:color="auto" w:fill="FFFFFF"/>
        </w:rPr>
        <w:t>(</w:t>
      </w:r>
      <w:r w:rsidRPr="008C2366">
        <w:rPr>
          <w:rStyle w:val="citedissue"/>
          <w:rFonts w:ascii="Times New Roman" w:hAnsi="Times New Roman" w:cs="Times New Roman"/>
          <w:sz w:val="24"/>
          <w:szCs w:val="24"/>
          <w:shd w:val="clear" w:color="auto" w:fill="FFFFFF"/>
        </w:rPr>
        <w:t>2</w:t>
      </w:r>
      <w:r w:rsidRPr="008C2366">
        <w:rPr>
          <w:rFonts w:ascii="Times New Roman" w:hAnsi="Times New Roman" w:cs="Times New Roman"/>
          <w:sz w:val="24"/>
          <w:szCs w:val="24"/>
          <w:shd w:val="clear" w:color="auto" w:fill="FFFFFF"/>
        </w:rPr>
        <w:t>), </w:t>
      </w:r>
      <w:r w:rsidRPr="008C2366">
        <w:rPr>
          <w:rStyle w:val="pagefirst"/>
          <w:rFonts w:ascii="Times New Roman" w:hAnsi="Times New Roman" w:cs="Times New Roman"/>
          <w:sz w:val="24"/>
          <w:szCs w:val="24"/>
          <w:shd w:val="clear" w:color="auto" w:fill="FFFFFF"/>
        </w:rPr>
        <w:t>429</w:t>
      </w:r>
      <w:r w:rsidRPr="008C2366">
        <w:rPr>
          <w:rFonts w:ascii="Times New Roman" w:hAnsi="Times New Roman" w:cs="Times New Roman"/>
          <w:sz w:val="24"/>
          <w:szCs w:val="24"/>
          <w:shd w:val="clear" w:color="auto" w:fill="FFFFFF"/>
        </w:rPr>
        <w:t>– </w:t>
      </w:r>
      <w:r w:rsidRPr="008C2366">
        <w:rPr>
          <w:rStyle w:val="pagelast"/>
          <w:rFonts w:ascii="Times New Roman" w:hAnsi="Times New Roman" w:cs="Times New Roman"/>
          <w:sz w:val="24"/>
          <w:szCs w:val="24"/>
          <w:shd w:val="clear" w:color="auto" w:fill="FFFFFF"/>
        </w:rPr>
        <w:t>440</w:t>
      </w:r>
      <w:r w:rsidRPr="008C2366">
        <w:rPr>
          <w:rFonts w:ascii="Times New Roman" w:hAnsi="Times New Roman" w:cs="Times New Roman"/>
          <w:sz w:val="24"/>
          <w:szCs w:val="24"/>
          <w:shd w:val="clear" w:color="auto" w:fill="FFFFFF"/>
        </w:rPr>
        <w:t>.</w:t>
      </w:r>
    </w:p>
    <w:p w14:paraId="07E941F2" w14:textId="77777777" w:rsidR="00840802" w:rsidRPr="008C2366" w:rsidRDefault="00840802" w:rsidP="00840802">
      <w:pPr>
        <w:spacing w:line="360" w:lineRule="auto"/>
        <w:jc w:val="both"/>
        <w:rPr>
          <w:rFonts w:ascii="Times New Roman" w:hAnsi="Times New Roman" w:cs="Times New Roman"/>
          <w:sz w:val="24"/>
          <w:szCs w:val="24"/>
          <w:shd w:val="clear" w:color="auto" w:fill="FFFFFF"/>
        </w:rPr>
      </w:pPr>
      <w:r w:rsidRPr="008C2366">
        <w:rPr>
          <w:rFonts w:ascii="Times New Roman" w:hAnsi="Times New Roman" w:cs="Times New Roman"/>
          <w:sz w:val="24"/>
          <w:szCs w:val="24"/>
          <w:shd w:val="clear" w:color="auto" w:fill="FFFFFF"/>
        </w:rPr>
        <w:t>Scie.org.uk. 2021. </w:t>
      </w:r>
      <w:r w:rsidRPr="008C2366">
        <w:rPr>
          <w:rFonts w:ascii="Times New Roman" w:hAnsi="Times New Roman" w:cs="Times New Roman"/>
          <w:i/>
          <w:iCs/>
          <w:sz w:val="24"/>
          <w:szCs w:val="24"/>
          <w:shd w:val="clear" w:color="auto" w:fill="FFFFFF"/>
        </w:rPr>
        <w:t>SCIE: End Of Life Care - Case Study: Person-Centred Care At The End Of Life</w:t>
      </w:r>
      <w:r w:rsidRPr="008C2366">
        <w:rPr>
          <w:rFonts w:ascii="Times New Roman" w:hAnsi="Times New Roman" w:cs="Times New Roman"/>
          <w:sz w:val="24"/>
          <w:szCs w:val="24"/>
          <w:shd w:val="clear" w:color="auto" w:fill="FFFFFF"/>
        </w:rPr>
        <w:t>. [online] Available at: &lt;https://www.scie.org.uk/adults/endoflifecare/ideasforpractice/personcentredcare.asp&gt; [Accessed 2 January 2021].</w:t>
      </w:r>
    </w:p>
    <w:p w14:paraId="1A9397D7" w14:textId="77777777" w:rsidR="00840802" w:rsidRPr="008C2366" w:rsidRDefault="00840802" w:rsidP="00840802">
      <w:pPr>
        <w:spacing w:line="360" w:lineRule="auto"/>
        <w:jc w:val="both"/>
        <w:rPr>
          <w:rFonts w:ascii="Times New Roman" w:hAnsi="Times New Roman" w:cs="Times New Roman"/>
          <w:sz w:val="24"/>
          <w:szCs w:val="24"/>
          <w:shd w:val="clear" w:color="auto" w:fill="FFFFFF"/>
        </w:rPr>
      </w:pPr>
      <w:r w:rsidRPr="00C37040">
        <w:rPr>
          <w:rStyle w:val="Strong"/>
          <w:rFonts w:ascii="Times New Roman" w:hAnsi="Times New Roman" w:cs="Times New Roman"/>
          <w:b w:val="0"/>
          <w:bCs w:val="0"/>
          <w:sz w:val="24"/>
          <w:szCs w:val="24"/>
          <w:bdr w:val="none" w:sz="0" w:space="0" w:color="auto" w:frame="1"/>
          <w:shd w:val="clear" w:color="auto" w:fill="FFFFFF"/>
        </w:rPr>
        <w:t>Seymour J et al</w:t>
      </w:r>
      <w:r w:rsidRPr="008C2366">
        <w:rPr>
          <w:rFonts w:ascii="Times New Roman" w:hAnsi="Times New Roman" w:cs="Times New Roman"/>
          <w:sz w:val="24"/>
          <w:szCs w:val="24"/>
          <w:shd w:val="clear" w:color="auto" w:fill="FFFFFF"/>
        </w:rPr>
        <w:t> (2010) Implementing advance care planning: a qualitative study of community nurses’ views and experiences. </w:t>
      </w:r>
      <w:r w:rsidRPr="008C2366">
        <w:rPr>
          <w:rStyle w:val="Emphasis"/>
          <w:rFonts w:ascii="Times New Roman" w:hAnsi="Times New Roman" w:cs="Times New Roman"/>
          <w:sz w:val="24"/>
          <w:szCs w:val="24"/>
          <w:bdr w:val="none" w:sz="0" w:space="0" w:color="auto" w:frame="1"/>
          <w:shd w:val="clear" w:color="auto" w:fill="FFFFFF"/>
        </w:rPr>
        <w:t>BMC Palliative Care</w:t>
      </w:r>
      <w:r w:rsidRPr="008C2366">
        <w:rPr>
          <w:rFonts w:ascii="Times New Roman" w:hAnsi="Times New Roman" w:cs="Times New Roman"/>
          <w:sz w:val="24"/>
          <w:szCs w:val="24"/>
          <w:shd w:val="clear" w:color="auto" w:fill="FFFFFF"/>
        </w:rPr>
        <w:t>; 9: 4.</w:t>
      </w:r>
    </w:p>
    <w:p w14:paraId="2B34CC0D" w14:textId="77777777" w:rsidR="00840802" w:rsidRPr="008C2366" w:rsidRDefault="00840802" w:rsidP="00840802">
      <w:pPr>
        <w:spacing w:before="240" w:after="240" w:line="360" w:lineRule="auto"/>
        <w:jc w:val="both"/>
        <w:rPr>
          <w:rFonts w:ascii="Times New Roman" w:hAnsi="Times New Roman" w:cs="Times New Roman"/>
          <w:sz w:val="24"/>
          <w:szCs w:val="24"/>
          <w:shd w:val="clear" w:color="auto" w:fill="FFFFFF"/>
        </w:rPr>
      </w:pPr>
      <w:r w:rsidRPr="008C2366">
        <w:rPr>
          <w:rFonts w:ascii="Times New Roman" w:hAnsi="Times New Roman" w:cs="Times New Roman"/>
          <w:sz w:val="24"/>
          <w:szCs w:val="24"/>
          <w:shd w:val="clear" w:color="auto" w:fill="FFFFFF"/>
        </w:rPr>
        <w:t>The Care Workers Charity. 2021. </w:t>
      </w:r>
      <w:r w:rsidRPr="008C2366">
        <w:rPr>
          <w:rFonts w:ascii="Times New Roman" w:hAnsi="Times New Roman" w:cs="Times New Roman"/>
          <w:i/>
          <w:iCs/>
          <w:sz w:val="24"/>
          <w:szCs w:val="24"/>
          <w:shd w:val="clear" w:color="auto" w:fill="FFFFFF"/>
        </w:rPr>
        <w:t>Health And Social Care Services: The Essential Guide (2019) - The Care Workers Charity</w:t>
      </w:r>
      <w:r w:rsidRPr="008C2366">
        <w:rPr>
          <w:rFonts w:ascii="Times New Roman" w:hAnsi="Times New Roman" w:cs="Times New Roman"/>
          <w:sz w:val="24"/>
          <w:szCs w:val="24"/>
          <w:shd w:val="clear" w:color="auto" w:fill="FFFFFF"/>
        </w:rPr>
        <w:t>. [online] Available at: &lt;https://www.thecareworkerscharity.org.uk/blog/health-and-social-care-services/&gt; [Accessed 2 January 2021].</w:t>
      </w:r>
    </w:p>
    <w:p w14:paraId="2384EA5D" w14:textId="77777777" w:rsidR="00840802" w:rsidRPr="00EF6656" w:rsidRDefault="00840802" w:rsidP="00840802">
      <w:pPr>
        <w:spacing w:before="240" w:after="240" w:line="360" w:lineRule="auto"/>
        <w:jc w:val="both"/>
        <w:rPr>
          <w:rFonts w:ascii="Times New Roman" w:hAnsi="Times New Roman" w:cs="Times New Roman"/>
          <w:sz w:val="24"/>
          <w:szCs w:val="24"/>
          <w:shd w:val="clear" w:color="auto" w:fill="FFFFFF"/>
        </w:rPr>
      </w:pPr>
      <w:r w:rsidRPr="00EF6656">
        <w:rPr>
          <w:rStyle w:val="groupname"/>
          <w:rFonts w:ascii="Times New Roman" w:hAnsi="Times New Roman" w:cs="Times New Roman"/>
          <w:sz w:val="24"/>
          <w:szCs w:val="24"/>
          <w:shd w:val="clear" w:color="auto" w:fill="FFFFFF"/>
        </w:rPr>
        <w:lastRenderedPageBreak/>
        <w:t>World Health Organization</w:t>
      </w:r>
      <w:r w:rsidRPr="00EF6656">
        <w:rPr>
          <w:rFonts w:ascii="Times New Roman" w:hAnsi="Times New Roman" w:cs="Times New Roman"/>
          <w:sz w:val="24"/>
          <w:szCs w:val="24"/>
          <w:shd w:val="clear" w:color="auto" w:fill="FFFFFF"/>
        </w:rPr>
        <w:t>. (</w:t>
      </w:r>
      <w:r w:rsidRPr="00EF6656">
        <w:rPr>
          <w:rStyle w:val="pubyear"/>
          <w:rFonts w:ascii="Times New Roman" w:hAnsi="Times New Roman" w:cs="Times New Roman"/>
          <w:sz w:val="24"/>
          <w:szCs w:val="24"/>
          <w:shd w:val="clear" w:color="auto" w:fill="FFFFFF"/>
        </w:rPr>
        <w:t>2015</w:t>
      </w:r>
      <w:r w:rsidRPr="00EF6656">
        <w:rPr>
          <w:rFonts w:ascii="Times New Roman" w:hAnsi="Times New Roman" w:cs="Times New Roman"/>
          <w:sz w:val="24"/>
          <w:szCs w:val="24"/>
          <w:shd w:val="clear" w:color="auto" w:fill="FFFFFF"/>
        </w:rPr>
        <w:t>). </w:t>
      </w:r>
      <w:r w:rsidRPr="00EF6656">
        <w:rPr>
          <w:rStyle w:val="booktitle"/>
          <w:rFonts w:ascii="Times New Roman" w:hAnsi="Times New Roman" w:cs="Times New Roman"/>
          <w:i/>
          <w:iCs/>
          <w:sz w:val="24"/>
          <w:szCs w:val="24"/>
          <w:shd w:val="clear" w:color="auto" w:fill="FFFFFF"/>
        </w:rPr>
        <w:t>WHO global strategy on people‐centred and integrated health services: Interim report</w:t>
      </w:r>
      <w:r w:rsidRPr="00EF6656">
        <w:rPr>
          <w:rFonts w:ascii="Times New Roman" w:hAnsi="Times New Roman" w:cs="Times New Roman"/>
          <w:sz w:val="24"/>
          <w:szCs w:val="24"/>
          <w:shd w:val="clear" w:color="auto" w:fill="FFFFFF"/>
        </w:rPr>
        <w:t> (No. WHO/HIS/SDS/2015.6). </w:t>
      </w:r>
      <w:r w:rsidRPr="00EF6656">
        <w:rPr>
          <w:rStyle w:val="publisherlocation"/>
          <w:rFonts w:ascii="Times New Roman" w:hAnsi="Times New Roman" w:cs="Times New Roman"/>
          <w:sz w:val="24"/>
          <w:szCs w:val="24"/>
          <w:shd w:val="clear" w:color="auto" w:fill="FFFFFF"/>
        </w:rPr>
        <w:t>Geneva</w:t>
      </w:r>
      <w:r w:rsidRPr="00EF6656">
        <w:rPr>
          <w:rFonts w:ascii="Times New Roman" w:hAnsi="Times New Roman" w:cs="Times New Roman"/>
          <w:sz w:val="24"/>
          <w:szCs w:val="24"/>
          <w:shd w:val="clear" w:color="auto" w:fill="FFFFFF"/>
        </w:rPr>
        <w:t>: WHO.</w:t>
      </w:r>
    </w:p>
    <w:p w14:paraId="371F6172" w14:textId="77777777" w:rsidR="00840802" w:rsidRPr="00840802" w:rsidRDefault="00840802" w:rsidP="00840802">
      <w:pPr>
        <w:autoSpaceDE w:val="0"/>
        <w:autoSpaceDN w:val="0"/>
        <w:adjustRightInd w:val="0"/>
        <w:spacing w:line="259" w:lineRule="atLeast"/>
        <w:jc w:val="both"/>
        <w:rPr>
          <w:rFonts w:ascii="Times New Roman" w:hAnsi="Times New Roman" w:cs="Times New Roman"/>
          <w:sz w:val="24"/>
          <w:szCs w:val="24"/>
          <w:highlight w:val="yellow"/>
          <w:lang w:val="en"/>
        </w:rPr>
      </w:pPr>
    </w:p>
    <w:p w14:paraId="0CA0E0E0" w14:textId="77777777" w:rsidR="007E404D" w:rsidRDefault="007E404D" w:rsidP="008837FE">
      <w:pPr>
        <w:autoSpaceDE w:val="0"/>
        <w:autoSpaceDN w:val="0"/>
        <w:adjustRightInd w:val="0"/>
        <w:spacing w:line="259" w:lineRule="atLeast"/>
        <w:rPr>
          <w:rFonts w:ascii="Calibri" w:hAnsi="Calibri" w:cs="Calibri"/>
          <w:highlight w:val="yellow"/>
          <w:lang w:val="en"/>
        </w:rPr>
      </w:pPr>
    </w:p>
    <w:p w14:paraId="26CA27A1" w14:textId="77777777" w:rsidR="007E404D" w:rsidRDefault="007E404D" w:rsidP="008837FE">
      <w:pPr>
        <w:autoSpaceDE w:val="0"/>
        <w:autoSpaceDN w:val="0"/>
        <w:adjustRightInd w:val="0"/>
        <w:spacing w:line="259" w:lineRule="atLeast"/>
        <w:rPr>
          <w:rFonts w:ascii="Calibri" w:hAnsi="Calibri" w:cs="Calibri"/>
          <w:highlight w:val="yellow"/>
          <w:lang w:val="en"/>
        </w:rPr>
      </w:pPr>
    </w:p>
    <w:p w14:paraId="1D3DA86A" w14:textId="77777777" w:rsidR="00FD006D" w:rsidRDefault="00FD006D" w:rsidP="00FD006D">
      <w:pPr>
        <w:rPr>
          <w:sz w:val="24"/>
          <w:szCs w:val="24"/>
          <w:u w:val="single"/>
        </w:rPr>
      </w:pPr>
    </w:p>
    <w:p w14:paraId="2F5A7418" w14:textId="1FD924C8" w:rsidR="00FD006D" w:rsidRPr="00C66D23" w:rsidRDefault="00FD006D" w:rsidP="00FD006D">
      <w:pPr>
        <w:rPr>
          <w:sz w:val="24"/>
          <w:szCs w:val="24"/>
          <w:u w:val="single"/>
        </w:rPr>
      </w:pPr>
    </w:p>
    <w:p w14:paraId="408CA02C" w14:textId="77777777" w:rsidR="007E404D" w:rsidRDefault="007E404D" w:rsidP="008837FE">
      <w:pPr>
        <w:autoSpaceDE w:val="0"/>
        <w:autoSpaceDN w:val="0"/>
        <w:adjustRightInd w:val="0"/>
        <w:spacing w:line="259" w:lineRule="atLeast"/>
        <w:rPr>
          <w:rFonts w:ascii="Calibri" w:hAnsi="Calibri" w:cs="Calibri"/>
          <w:highlight w:val="yellow"/>
          <w:lang w:val="en"/>
        </w:rPr>
      </w:pPr>
    </w:p>
    <w:p w14:paraId="3355AB4B" w14:textId="77777777" w:rsidR="007E404D" w:rsidRDefault="007E404D" w:rsidP="008837FE">
      <w:pPr>
        <w:autoSpaceDE w:val="0"/>
        <w:autoSpaceDN w:val="0"/>
        <w:adjustRightInd w:val="0"/>
        <w:spacing w:line="259" w:lineRule="atLeast"/>
        <w:rPr>
          <w:rFonts w:ascii="Calibri" w:hAnsi="Calibri" w:cs="Calibri"/>
          <w:highlight w:val="yellow"/>
          <w:lang w:val="en"/>
        </w:rPr>
      </w:pPr>
    </w:p>
    <w:p w14:paraId="5D8F1F79" w14:textId="7A57D1AF" w:rsidR="007E404D" w:rsidRDefault="007E404D" w:rsidP="008837FE">
      <w:pPr>
        <w:autoSpaceDE w:val="0"/>
        <w:autoSpaceDN w:val="0"/>
        <w:adjustRightInd w:val="0"/>
        <w:spacing w:line="259" w:lineRule="atLeast"/>
        <w:rPr>
          <w:rFonts w:ascii="Calibri" w:hAnsi="Calibri" w:cs="Calibri"/>
          <w:lang w:val="en"/>
        </w:rPr>
      </w:pPr>
      <w:r>
        <w:rPr>
          <w:rFonts w:ascii="Helvetica" w:hAnsi="Helvetica"/>
          <w:color w:val="444444"/>
          <w:sz w:val="27"/>
          <w:szCs w:val="27"/>
          <w:shd w:val="clear" w:color="auto" w:fill="FFFFFF"/>
        </w:rPr>
        <w:t> </w:t>
      </w:r>
    </w:p>
    <w:p w14:paraId="168BF464" w14:textId="77777777" w:rsidR="00CB412A" w:rsidRDefault="00CB412A"/>
    <w:sectPr w:rsidR="00CB412A" w:rsidSect="002C4C56">
      <w:headerReference w:type="default" r:id="rId15"/>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66BF91" w14:textId="77777777" w:rsidR="0034758E" w:rsidRDefault="0034758E" w:rsidP="00C50249">
      <w:pPr>
        <w:spacing w:after="0" w:line="240" w:lineRule="auto"/>
      </w:pPr>
      <w:r>
        <w:separator/>
      </w:r>
    </w:p>
  </w:endnote>
  <w:endnote w:type="continuationSeparator" w:id="0">
    <w:p w14:paraId="3D7F1049" w14:textId="77777777" w:rsidR="0034758E" w:rsidRDefault="0034758E" w:rsidP="00C5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5BC81" w14:textId="77777777" w:rsidR="0034758E" w:rsidRDefault="0034758E" w:rsidP="00C50249">
      <w:pPr>
        <w:spacing w:after="0" w:line="240" w:lineRule="auto"/>
      </w:pPr>
      <w:r>
        <w:separator/>
      </w:r>
    </w:p>
  </w:footnote>
  <w:footnote w:type="continuationSeparator" w:id="0">
    <w:p w14:paraId="6E321E18" w14:textId="77777777" w:rsidR="0034758E" w:rsidRDefault="0034758E" w:rsidP="00C50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FD535" w14:textId="68048266" w:rsidR="002C4C56" w:rsidRDefault="002C4C56">
    <w:pPr>
      <w:pStyle w:val="Header"/>
    </w:pPr>
    <w:r>
      <w:t>1804381                                                                      SJSS6004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B30C0F4"/>
    <w:lvl w:ilvl="0">
      <w:numFmt w:val="bullet"/>
      <w:lvlText w:val="*"/>
      <w:lvlJc w:val="left"/>
    </w:lvl>
  </w:abstractNum>
  <w:abstractNum w:abstractNumId="1" w15:restartNumberingAfterBreak="0">
    <w:nsid w:val="0A297628"/>
    <w:multiLevelType w:val="multilevel"/>
    <w:tmpl w:val="6276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DD4445"/>
    <w:multiLevelType w:val="hybridMultilevel"/>
    <w:tmpl w:val="7FE88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D1244D"/>
    <w:multiLevelType w:val="multilevel"/>
    <w:tmpl w:val="D470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A141EF"/>
    <w:multiLevelType w:val="multilevel"/>
    <w:tmpl w:val="7E4A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AB5497"/>
    <w:multiLevelType w:val="multilevel"/>
    <w:tmpl w:val="F82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4B2559"/>
    <w:multiLevelType w:val="multilevel"/>
    <w:tmpl w:val="F662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 w:numId="3">
    <w:abstractNumId w:val="6"/>
  </w:num>
  <w:num w:numId="4">
    <w:abstractNumId w:val="5"/>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4A"/>
    <w:rsid w:val="00016D8E"/>
    <w:rsid w:val="000206D8"/>
    <w:rsid w:val="000275D1"/>
    <w:rsid w:val="00046DBB"/>
    <w:rsid w:val="000637E7"/>
    <w:rsid w:val="00075FFB"/>
    <w:rsid w:val="0009796B"/>
    <w:rsid w:val="000A6232"/>
    <w:rsid w:val="000B65EE"/>
    <w:rsid w:val="000E28EE"/>
    <w:rsid w:val="000F03D5"/>
    <w:rsid w:val="000F0ED9"/>
    <w:rsid w:val="00100870"/>
    <w:rsid w:val="00105C62"/>
    <w:rsid w:val="0012344C"/>
    <w:rsid w:val="00147004"/>
    <w:rsid w:val="0016398B"/>
    <w:rsid w:val="0016505D"/>
    <w:rsid w:val="00166628"/>
    <w:rsid w:val="001807C3"/>
    <w:rsid w:val="00181446"/>
    <w:rsid w:val="001822A9"/>
    <w:rsid w:val="00182DE3"/>
    <w:rsid w:val="00193011"/>
    <w:rsid w:val="00193B4D"/>
    <w:rsid w:val="0019596F"/>
    <w:rsid w:val="001A1854"/>
    <w:rsid w:val="001A2BB5"/>
    <w:rsid w:val="001B4797"/>
    <w:rsid w:val="001B5AB1"/>
    <w:rsid w:val="001C281C"/>
    <w:rsid w:val="001C499E"/>
    <w:rsid w:val="00201214"/>
    <w:rsid w:val="00204845"/>
    <w:rsid w:val="00211041"/>
    <w:rsid w:val="00214A10"/>
    <w:rsid w:val="00216AA6"/>
    <w:rsid w:val="00244E92"/>
    <w:rsid w:val="002518DB"/>
    <w:rsid w:val="00256441"/>
    <w:rsid w:val="00260067"/>
    <w:rsid w:val="0026032D"/>
    <w:rsid w:val="002740AF"/>
    <w:rsid w:val="00282401"/>
    <w:rsid w:val="002A70CD"/>
    <w:rsid w:val="002A7A70"/>
    <w:rsid w:val="002B2221"/>
    <w:rsid w:val="002C09A0"/>
    <w:rsid w:val="002C2D9A"/>
    <w:rsid w:val="002C4C56"/>
    <w:rsid w:val="002C787B"/>
    <w:rsid w:val="002C7F00"/>
    <w:rsid w:val="002D28C2"/>
    <w:rsid w:val="002D51C4"/>
    <w:rsid w:val="002D5605"/>
    <w:rsid w:val="002D69EC"/>
    <w:rsid w:val="002E0228"/>
    <w:rsid w:val="003059C6"/>
    <w:rsid w:val="00316418"/>
    <w:rsid w:val="00331575"/>
    <w:rsid w:val="00346811"/>
    <w:rsid w:val="0034758E"/>
    <w:rsid w:val="003502CA"/>
    <w:rsid w:val="003512A6"/>
    <w:rsid w:val="00375B4E"/>
    <w:rsid w:val="00392C1F"/>
    <w:rsid w:val="003A42F2"/>
    <w:rsid w:val="003C0BAB"/>
    <w:rsid w:val="003C1B8B"/>
    <w:rsid w:val="003C46A3"/>
    <w:rsid w:val="003C49AF"/>
    <w:rsid w:val="003C54C4"/>
    <w:rsid w:val="003C6E3F"/>
    <w:rsid w:val="003D0A87"/>
    <w:rsid w:val="003D3504"/>
    <w:rsid w:val="003D58F7"/>
    <w:rsid w:val="003E60A7"/>
    <w:rsid w:val="00414BD2"/>
    <w:rsid w:val="00415192"/>
    <w:rsid w:val="00421018"/>
    <w:rsid w:val="00422606"/>
    <w:rsid w:val="00442AB9"/>
    <w:rsid w:val="0045445C"/>
    <w:rsid w:val="00457D10"/>
    <w:rsid w:val="004761AD"/>
    <w:rsid w:val="0047717D"/>
    <w:rsid w:val="00491F22"/>
    <w:rsid w:val="00492090"/>
    <w:rsid w:val="00495A51"/>
    <w:rsid w:val="0049655B"/>
    <w:rsid w:val="004A3532"/>
    <w:rsid w:val="004B2AD8"/>
    <w:rsid w:val="004B343C"/>
    <w:rsid w:val="004C25F4"/>
    <w:rsid w:val="004E5A51"/>
    <w:rsid w:val="00515F93"/>
    <w:rsid w:val="00521059"/>
    <w:rsid w:val="00531173"/>
    <w:rsid w:val="005457B0"/>
    <w:rsid w:val="00546882"/>
    <w:rsid w:val="005A1CE4"/>
    <w:rsid w:val="005B109C"/>
    <w:rsid w:val="005C7400"/>
    <w:rsid w:val="005D36C8"/>
    <w:rsid w:val="005D5F87"/>
    <w:rsid w:val="005E1A6A"/>
    <w:rsid w:val="005F47DF"/>
    <w:rsid w:val="00600A34"/>
    <w:rsid w:val="00627BDC"/>
    <w:rsid w:val="00633F1A"/>
    <w:rsid w:val="00635F47"/>
    <w:rsid w:val="00636DFA"/>
    <w:rsid w:val="00640075"/>
    <w:rsid w:val="00646377"/>
    <w:rsid w:val="006571AD"/>
    <w:rsid w:val="00657546"/>
    <w:rsid w:val="00667E58"/>
    <w:rsid w:val="00677E0F"/>
    <w:rsid w:val="006811AE"/>
    <w:rsid w:val="00685A01"/>
    <w:rsid w:val="0069302A"/>
    <w:rsid w:val="006940C2"/>
    <w:rsid w:val="006B1411"/>
    <w:rsid w:val="006B4E4E"/>
    <w:rsid w:val="006C3D9D"/>
    <w:rsid w:val="006E0528"/>
    <w:rsid w:val="0073589D"/>
    <w:rsid w:val="00736E4C"/>
    <w:rsid w:val="0074402A"/>
    <w:rsid w:val="007466FF"/>
    <w:rsid w:val="0075311E"/>
    <w:rsid w:val="00765EF5"/>
    <w:rsid w:val="007749C9"/>
    <w:rsid w:val="007822BC"/>
    <w:rsid w:val="00786EBC"/>
    <w:rsid w:val="007A0BB8"/>
    <w:rsid w:val="007B16A0"/>
    <w:rsid w:val="007C657A"/>
    <w:rsid w:val="007D43E6"/>
    <w:rsid w:val="007E2162"/>
    <w:rsid w:val="007E404D"/>
    <w:rsid w:val="007E57DB"/>
    <w:rsid w:val="007F1EF0"/>
    <w:rsid w:val="007F6077"/>
    <w:rsid w:val="00807095"/>
    <w:rsid w:val="00811C56"/>
    <w:rsid w:val="008165F8"/>
    <w:rsid w:val="00816F17"/>
    <w:rsid w:val="0082619C"/>
    <w:rsid w:val="008376D2"/>
    <w:rsid w:val="00840753"/>
    <w:rsid w:val="00840802"/>
    <w:rsid w:val="008440C5"/>
    <w:rsid w:val="008506DC"/>
    <w:rsid w:val="008508C9"/>
    <w:rsid w:val="00852970"/>
    <w:rsid w:val="00853923"/>
    <w:rsid w:val="00866B8E"/>
    <w:rsid w:val="0087127C"/>
    <w:rsid w:val="00874F91"/>
    <w:rsid w:val="008837FE"/>
    <w:rsid w:val="00883B22"/>
    <w:rsid w:val="00883E93"/>
    <w:rsid w:val="008973F1"/>
    <w:rsid w:val="008B4C65"/>
    <w:rsid w:val="008C6329"/>
    <w:rsid w:val="008F3655"/>
    <w:rsid w:val="008F653D"/>
    <w:rsid w:val="00906897"/>
    <w:rsid w:val="009276AF"/>
    <w:rsid w:val="00933B38"/>
    <w:rsid w:val="009528C4"/>
    <w:rsid w:val="009546FA"/>
    <w:rsid w:val="00976626"/>
    <w:rsid w:val="00987BD7"/>
    <w:rsid w:val="009A04E4"/>
    <w:rsid w:val="009A4031"/>
    <w:rsid w:val="009A5B95"/>
    <w:rsid w:val="009B1222"/>
    <w:rsid w:val="009C2194"/>
    <w:rsid w:val="009C3100"/>
    <w:rsid w:val="009C3650"/>
    <w:rsid w:val="009C536D"/>
    <w:rsid w:val="009E2B1A"/>
    <w:rsid w:val="00A021BE"/>
    <w:rsid w:val="00A05739"/>
    <w:rsid w:val="00A060C2"/>
    <w:rsid w:val="00A15BCE"/>
    <w:rsid w:val="00A22CE2"/>
    <w:rsid w:val="00A25C75"/>
    <w:rsid w:val="00A333E1"/>
    <w:rsid w:val="00A37305"/>
    <w:rsid w:val="00A46838"/>
    <w:rsid w:val="00A523A1"/>
    <w:rsid w:val="00A5447C"/>
    <w:rsid w:val="00A5620F"/>
    <w:rsid w:val="00A631E1"/>
    <w:rsid w:val="00A7041B"/>
    <w:rsid w:val="00AB6B01"/>
    <w:rsid w:val="00AC405A"/>
    <w:rsid w:val="00AF36F1"/>
    <w:rsid w:val="00B25A2A"/>
    <w:rsid w:val="00B27E5D"/>
    <w:rsid w:val="00B32F99"/>
    <w:rsid w:val="00B33872"/>
    <w:rsid w:val="00B35BE4"/>
    <w:rsid w:val="00B662CA"/>
    <w:rsid w:val="00B80F5D"/>
    <w:rsid w:val="00BA234D"/>
    <w:rsid w:val="00BA46C9"/>
    <w:rsid w:val="00BB52AE"/>
    <w:rsid w:val="00BC384C"/>
    <w:rsid w:val="00BD073D"/>
    <w:rsid w:val="00BE16D0"/>
    <w:rsid w:val="00BE7D3A"/>
    <w:rsid w:val="00BF0FCA"/>
    <w:rsid w:val="00BF394B"/>
    <w:rsid w:val="00C05D3E"/>
    <w:rsid w:val="00C14B03"/>
    <w:rsid w:val="00C30534"/>
    <w:rsid w:val="00C319ED"/>
    <w:rsid w:val="00C429DF"/>
    <w:rsid w:val="00C44441"/>
    <w:rsid w:val="00C45C0D"/>
    <w:rsid w:val="00C50249"/>
    <w:rsid w:val="00C5594B"/>
    <w:rsid w:val="00C64255"/>
    <w:rsid w:val="00C65D22"/>
    <w:rsid w:val="00C8380A"/>
    <w:rsid w:val="00C935E7"/>
    <w:rsid w:val="00C97FAF"/>
    <w:rsid w:val="00CB412A"/>
    <w:rsid w:val="00CB7E12"/>
    <w:rsid w:val="00CC2FFA"/>
    <w:rsid w:val="00CC5C3E"/>
    <w:rsid w:val="00CD58D7"/>
    <w:rsid w:val="00CE5964"/>
    <w:rsid w:val="00CF1CC1"/>
    <w:rsid w:val="00D02C07"/>
    <w:rsid w:val="00D10B4A"/>
    <w:rsid w:val="00D21DFE"/>
    <w:rsid w:val="00D23D45"/>
    <w:rsid w:val="00D329AC"/>
    <w:rsid w:val="00D537EC"/>
    <w:rsid w:val="00D54896"/>
    <w:rsid w:val="00D613A4"/>
    <w:rsid w:val="00D6376D"/>
    <w:rsid w:val="00D70240"/>
    <w:rsid w:val="00D7169A"/>
    <w:rsid w:val="00D7301A"/>
    <w:rsid w:val="00D74433"/>
    <w:rsid w:val="00D86723"/>
    <w:rsid w:val="00DA47D6"/>
    <w:rsid w:val="00DB009B"/>
    <w:rsid w:val="00DB70EB"/>
    <w:rsid w:val="00DB7158"/>
    <w:rsid w:val="00DC427A"/>
    <w:rsid w:val="00DD122E"/>
    <w:rsid w:val="00DD7197"/>
    <w:rsid w:val="00DF40F5"/>
    <w:rsid w:val="00E04996"/>
    <w:rsid w:val="00E12F55"/>
    <w:rsid w:val="00E16CC3"/>
    <w:rsid w:val="00E23697"/>
    <w:rsid w:val="00E23FF5"/>
    <w:rsid w:val="00E3316E"/>
    <w:rsid w:val="00E43E12"/>
    <w:rsid w:val="00E54063"/>
    <w:rsid w:val="00E759BA"/>
    <w:rsid w:val="00E8542E"/>
    <w:rsid w:val="00E87147"/>
    <w:rsid w:val="00E92151"/>
    <w:rsid w:val="00E92E4B"/>
    <w:rsid w:val="00E95E8E"/>
    <w:rsid w:val="00EA45EF"/>
    <w:rsid w:val="00EC112F"/>
    <w:rsid w:val="00EE45D4"/>
    <w:rsid w:val="00F0665C"/>
    <w:rsid w:val="00F06C93"/>
    <w:rsid w:val="00F2227B"/>
    <w:rsid w:val="00F33D54"/>
    <w:rsid w:val="00F4706A"/>
    <w:rsid w:val="00F61802"/>
    <w:rsid w:val="00F62C6A"/>
    <w:rsid w:val="00F6317E"/>
    <w:rsid w:val="00F76C50"/>
    <w:rsid w:val="00F94065"/>
    <w:rsid w:val="00F97E8E"/>
    <w:rsid w:val="00FA501C"/>
    <w:rsid w:val="00FA60B2"/>
    <w:rsid w:val="00FB3029"/>
    <w:rsid w:val="00FB62AD"/>
    <w:rsid w:val="00FC6119"/>
    <w:rsid w:val="00FC698C"/>
    <w:rsid w:val="00FD006D"/>
    <w:rsid w:val="00FD1C8D"/>
    <w:rsid w:val="00FD24F3"/>
    <w:rsid w:val="00FE20DC"/>
    <w:rsid w:val="00FE527F"/>
    <w:rsid w:val="00FE7D64"/>
    <w:rsid w:val="00FF1133"/>
    <w:rsid w:val="027A0419"/>
    <w:rsid w:val="0A6BEDA1"/>
    <w:rsid w:val="2741DD6B"/>
    <w:rsid w:val="57D45F04"/>
    <w:rsid w:val="60C326FA"/>
    <w:rsid w:val="781EC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0CD2A"/>
  <w15:chartTrackingRefBased/>
  <w15:docId w15:val="{D32A7740-7CD5-44F1-944D-7004088F5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08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E404D"/>
    <w:rPr>
      <w:b/>
      <w:bCs/>
    </w:rPr>
  </w:style>
  <w:style w:type="character" w:styleId="Emphasis">
    <w:name w:val="Emphasis"/>
    <w:basedOn w:val="DefaultParagraphFont"/>
    <w:uiPriority w:val="20"/>
    <w:qFormat/>
    <w:rsid w:val="007E404D"/>
    <w:rPr>
      <w:i/>
      <w:iCs/>
    </w:rPr>
  </w:style>
  <w:style w:type="paragraph" w:styleId="NormalWeb">
    <w:name w:val="Normal (Web)"/>
    <w:basedOn w:val="Normal"/>
    <w:uiPriority w:val="99"/>
    <w:semiHidden/>
    <w:unhideWhenUsed/>
    <w:rsid w:val="00A562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FD006D"/>
  </w:style>
  <w:style w:type="paragraph" w:styleId="ListParagraph">
    <w:name w:val="List Paragraph"/>
    <w:basedOn w:val="Normal"/>
    <w:uiPriority w:val="34"/>
    <w:qFormat/>
    <w:rsid w:val="000B65EE"/>
    <w:pPr>
      <w:ind w:left="720"/>
      <w:contextualSpacing/>
    </w:pPr>
  </w:style>
  <w:style w:type="character" w:styleId="Hyperlink">
    <w:name w:val="Hyperlink"/>
    <w:basedOn w:val="DefaultParagraphFont"/>
    <w:uiPriority w:val="99"/>
    <w:semiHidden/>
    <w:unhideWhenUsed/>
    <w:rsid w:val="002A70CD"/>
    <w:rPr>
      <w:color w:val="0000FF"/>
      <w:u w:val="single"/>
    </w:rPr>
  </w:style>
  <w:style w:type="paragraph" w:styleId="Header">
    <w:name w:val="header"/>
    <w:basedOn w:val="Normal"/>
    <w:link w:val="HeaderChar"/>
    <w:uiPriority w:val="99"/>
    <w:unhideWhenUsed/>
    <w:rsid w:val="00C50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249"/>
  </w:style>
  <w:style w:type="paragraph" w:styleId="Footer">
    <w:name w:val="footer"/>
    <w:basedOn w:val="Normal"/>
    <w:link w:val="FooterChar"/>
    <w:uiPriority w:val="99"/>
    <w:unhideWhenUsed/>
    <w:rsid w:val="00C50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249"/>
  </w:style>
  <w:style w:type="character" w:customStyle="1" w:styleId="author">
    <w:name w:val="author"/>
    <w:basedOn w:val="DefaultParagraphFont"/>
    <w:rsid w:val="00DF40F5"/>
  </w:style>
  <w:style w:type="character" w:customStyle="1" w:styleId="pubyear">
    <w:name w:val="pubyear"/>
    <w:basedOn w:val="DefaultParagraphFont"/>
    <w:rsid w:val="00DF40F5"/>
  </w:style>
  <w:style w:type="character" w:customStyle="1" w:styleId="articletitle">
    <w:name w:val="articletitle"/>
    <w:basedOn w:val="DefaultParagraphFont"/>
    <w:rsid w:val="00DF40F5"/>
  </w:style>
  <w:style w:type="character" w:customStyle="1" w:styleId="vol">
    <w:name w:val="vol"/>
    <w:basedOn w:val="DefaultParagraphFont"/>
    <w:rsid w:val="00DF40F5"/>
  </w:style>
  <w:style w:type="character" w:customStyle="1" w:styleId="citedissue">
    <w:name w:val="citedissue"/>
    <w:basedOn w:val="DefaultParagraphFont"/>
    <w:rsid w:val="00DF40F5"/>
  </w:style>
  <w:style w:type="character" w:customStyle="1" w:styleId="pagefirst">
    <w:name w:val="pagefirst"/>
    <w:basedOn w:val="DefaultParagraphFont"/>
    <w:rsid w:val="00DF40F5"/>
  </w:style>
  <w:style w:type="character" w:customStyle="1" w:styleId="pagelast">
    <w:name w:val="pagelast"/>
    <w:basedOn w:val="DefaultParagraphFont"/>
    <w:rsid w:val="00DF40F5"/>
  </w:style>
  <w:style w:type="character" w:customStyle="1" w:styleId="Heading1Char">
    <w:name w:val="Heading 1 Char"/>
    <w:basedOn w:val="DefaultParagraphFont"/>
    <w:link w:val="Heading1"/>
    <w:uiPriority w:val="9"/>
    <w:rsid w:val="00840802"/>
    <w:rPr>
      <w:rFonts w:asciiTheme="majorHAnsi" w:eastAsiaTheme="majorEastAsia" w:hAnsiTheme="majorHAnsi" w:cstheme="majorBidi"/>
      <w:color w:val="2F5496" w:themeColor="accent1" w:themeShade="BF"/>
      <w:sz w:val="32"/>
      <w:szCs w:val="32"/>
    </w:rPr>
  </w:style>
  <w:style w:type="character" w:customStyle="1" w:styleId="groupname">
    <w:name w:val="groupname"/>
    <w:basedOn w:val="DefaultParagraphFont"/>
    <w:rsid w:val="00840802"/>
  </w:style>
  <w:style w:type="character" w:customStyle="1" w:styleId="booktitle">
    <w:name w:val="booktitle"/>
    <w:basedOn w:val="DefaultParagraphFont"/>
    <w:rsid w:val="00840802"/>
  </w:style>
  <w:style w:type="character" w:customStyle="1" w:styleId="publisherlocation">
    <w:name w:val="publisherlocation"/>
    <w:basedOn w:val="DefaultParagraphFont"/>
    <w:rsid w:val="00840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20894">
      <w:bodyDiv w:val="1"/>
      <w:marLeft w:val="0"/>
      <w:marRight w:val="0"/>
      <w:marTop w:val="0"/>
      <w:marBottom w:val="0"/>
      <w:divBdr>
        <w:top w:val="none" w:sz="0" w:space="0" w:color="auto"/>
        <w:left w:val="none" w:sz="0" w:space="0" w:color="auto"/>
        <w:bottom w:val="none" w:sz="0" w:space="0" w:color="auto"/>
        <w:right w:val="none" w:sz="0" w:space="0" w:color="auto"/>
      </w:divBdr>
    </w:div>
    <w:div w:id="313029033">
      <w:bodyDiv w:val="1"/>
      <w:marLeft w:val="0"/>
      <w:marRight w:val="0"/>
      <w:marTop w:val="0"/>
      <w:marBottom w:val="0"/>
      <w:divBdr>
        <w:top w:val="none" w:sz="0" w:space="0" w:color="auto"/>
        <w:left w:val="none" w:sz="0" w:space="0" w:color="auto"/>
        <w:bottom w:val="none" w:sz="0" w:space="0" w:color="auto"/>
        <w:right w:val="none" w:sz="0" w:space="0" w:color="auto"/>
      </w:divBdr>
    </w:div>
    <w:div w:id="348141085">
      <w:bodyDiv w:val="1"/>
      <w:marLeft w:val="0"/>
      <w:marRight w:val="0"/>
      <w:marTop w:val="0"/>
      <w:marBottom w:val="0"/>
      <w:divBdr>
        <w:top w:val="none" w:sz="0" w:space="0" w:color="auto"/>
        <w:left w:val="none" w:sz="0" w:space="0" w:color="auto"/>
        <w:bottom w:val="none" w:sz="0" w:space="0" w:color="auto"/>
        <w:right w:val="none" w:sz="0" w:space="0" w:color="auto"/>
      </w:divBdr>
    </w:div>
    <w:div w:id="625237530">
      <w:bodyDiv w:val="1"/>
      <w:marLeft w:val="0"/>
      <w:marRight w:val="0"/>
      <w:marTop w:val="0"/>
      <w:marBottom w:val="0"/>
      <w:divBdr>
        <w:top w:val="none" w:sz="0" w:space="0" w:color="auto"/>
        <w:left w:val="none" w:sz="0" w:space="0" w:color="auto"/>
        <w:bottom w:val="none" w:sz="0" w:space="0" w:color="auto"/>
        <w:right w:val="none" w:sz="0" w:space="0" w:color="auto"/>
      </w:divBdr>
    </w:div>
    <w:div w:id="937637321">
      <w:bodyDiv w:val="1"/>
      <w:marLeft w:val="0"/>
      <w:marRight w:val="0"/>
      <w:marTop w:val="0"/>
      <w:marBottom w:val="0"/>
      <w:divBdr>
        <w:top w:val="none" w:sz="0" w:space="0" w:color="auto"/>
        <w:left w:val="none" w:sz="0" w:space="0" w:color="auto"/>
        <w:bottom w:val="none" w:sz="0" w:space="0" w:color="auto"/>
        <w:right w:val="none" w:sz="0" w:space="0" w:color="auto"/>
      </w:divBdr>
      <w:divsChild>
        <w:div w:id="874002384">
          <w:blockQuote w:val="1"/>
          <w:marLeft w:val="0"/>
          <w:marRight w:val="0"/>
          <w:marTop w:val="360"/>
          <w:marBottom w:val="360"/>
          <w:divBdr>
            <w:top w:val="single" w:sz="12" w:space="13" w:color="1F80C0"/>
            <w:left w:val="none" w:sz="0" w:space="0" w:color="auto"/>
            <w:bottom w:val="single" w:sz="12" w:space="11" w:color="1F80C0"/>
            <w:right w:val="none" w:sz="0" w:space="0" w:color="auto"/>
          </w:divBdr>
        </w:div>
      </w:divsChild>
    </w:div>
    <w:div w:id="1208251232">
      <w:bodyDiv w:val="1"/>
      <w:marLeft w:val="0"/>
      <w:marRight w:val="0"/>
      <w:marTop w:val="0"/>
      <w:marBottom w:val="0"/>
      <w:divBdr>
        <w:top w:val="none" w:sz="0" w:space="0" w:color="auto"/>
        <w:left w:val="none" w:sz="0" w:space="0" w:color="auto"/>
        <w:bottom w:val="none" w:sz="0" w:space="0" w:color="auto"/>
        <w:right w:val="none" w:sz="0" w:space="0" w:color="auto"/>
      </w:divBdr>
    </w:div>
    <w:div w:id="1482503170">
      <w:bodyDiv w:val="1"/>
      <w:marLeft w:val="0"/>
      <w:marRight w:val="0"/>
      <w:marTop w:val="0"/>
      <w:marBottom w:val="0"/>
      <w:divBdr>
        <w:top w:val="none" w:sz="0" w:space="0" w:color="auto"/>
        <w:left w:val="none" w:sz="0" w:space="0" w:color="auto"/>
        <w:bottom w:val="none" w:sz="0" w:space="0" w:color="auto"/>
        <w:right w:val="none" w:sz="0" w:space="0" w:color="auto"/>
      </w:divBdr>
    </w:div>
    <w:div w:id="1584140333">
      <w:bodyDiv w:val="1"/>
      <w:marLeft w:val="0"/>
      <w:marRight w:val="0"/>
      <w:marTop w:val="0"/>
      <w:marBottom w:val="0"/>
      <w:divBdr>
        <w:top w:val="none" w:sz="0" w:space="0" w:color="auto"/>
        <w:left w:val="none" w:sz="0" w:space="0" w:color="auto"/>
        <w:bottom w:val="none" w:sz="0" w:space="0" w:color="auto"/>
        <w:right w:val="none" w:sz="0" w:space="0" w:color="auto"/>
      </w:divBdr>
    </w:div>
    <w:div w:id="1809517917">
      <w:bodyDiv w:val="1"/>
      <w:marLeft w:val="0"/>
      <w:marRight w:val="0"/>
      <w:marTop w:val="0"/>
      <w:marBottom w:val="0"/>
      <w:divBdr>
        <w:top w:val="none" w:sz="0" w:space="0" w:color="auto"/>
        <w:left w:val="none" w:sz="0" w:space="0" w:color="auto"/>
        <w:bottom w:val="none" w:sz="0" w:space="0" w:color="auto"/>
        <w:right w:val="none" w:sz="0" w:space="0" w:color="auto"/>
      </w:divBdr>
    </w:div>
    <w:div w:id="209947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ezproxy.uwtsd.ac.uk/10.1111/jocn.14076"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ezproxy.uwtsd.ac.uk/10.1080/10376178.2018.153280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nlinelibrary-wiley-com.ezproxy.uwtsd.ac.uk/doi/full/10.1111/jocn.1525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onlinelibrary-wiley-com.ezproxy.uwtsd.ac.uk/doi/full/10.1111/jocn.1525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ursingtimes.net/clinical-archive/end-of-life-and-palliative-care/the-benefits-and-barriers-of-ensuring-patients-have-advance-care-planning-03-01-2017/?c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8" ma:contentTypeDescription="Create a new document." ma:contentTypeScope="" ma:versionID="d22f4056ac0a30924f4093cd4ff8f1f5">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a326d0725609a52e9098102735c8b198"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3CBD00-E00C-43A1-8A62-FD586424A238}">
  <ds:schemaRefs>
    <ds:schemaRef ds:uri="http://schemas.microsoft.com/sharepoint/v3/contenttype/forms"/>
  </ds:schemaRefs>
</ds:datastoreItem>
</file>

<file path=customXml/itemProps2.xml><?xml version="1.0" encoding="utf-8"?>
<ds:datastoreItem xmlns:ds="http://schemas.openxmlformats.org/officeDocument/2006/customXml" ds:itemID="{9285B89B-524C-4D38-9690-0B9A90391EE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924A3E-1E7B-4C5A-8921-B23C93E324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4627</Words>
  <Characters>26380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Louise Smith (1804381)</dc:creator>
  <cp:keywords/>
  <dc:description/>
  <cp:lastModifiedBy>Kirsty Louise Smith (1804381)</cp:lastModifiedBy>
  <cp:revision>4</cp:revision>
  <dcterms:created xsi:type="dcterms:W3CDTF">2021-01-15T21:24:00Z</dcterms:created>
  <dcterms:modified xsi:type="dcterms:W3CDTF">2021-01-15T22:29:00Z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