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09CAA" w14:textId="72517A02" w:rsidR="001124DD" w:rsidRPr="001124DD" w:rsidRDefault="001124DD" w:rsidP="001124DD">
      <w:pPr>
        <w:jc w:val="right"/>
        <w:rPr>
          <w:rFonts w:ascii="Times New Roman" w:hAnsi="Times New Roman" w:cs="Times New Roman"/>
          <w:sz w:val="24"/>
          <w:szCs w:val="24"/>
        </w:rPr>
      </w:pPr>
      <w:r w:rsidRPr="001124DD">
        <w:rPr>
          <w:rFonts w:ascii="Times New Roman" w:hAnsi="Times New Roman" w:cs="Times New Roman"/>
          <w:sz w:val="24"/>
          <w:szCs w:val="24"/>
        </w:rPr>
        <w:t>Gareth Jenkins.</w:t>
      </w:r>
    </w:p>
    <w:p w14:paraId="55FEF1BA" w14:textId="74CF76DB" w:rsidR="001124DD" w:rsidRPr="001124DD" w:rsidRDefault="001124DD" w:rsidP="001124DD">
      <w:pPr>
        <w:jc w:val="right"/>
        <w:rPr>
          <w:rFonts w:ascii="Times New Roman" w:hAnsi="Times New Roman" w:cs="Times New Roman"/>
          <w:sz w:val="24"/>
          <w:szCs w:val="24"/>
        </w:rPr>
      </w:pPr>
      <w:r w:rsidRPr="001124DD">
        <w:rPr>
          <w:rFonts w:ascii="Times New Roman" w:hAnsi="Times New Roman" w:cs="Times New Roman"/>
          <w:sz w:val="24"/>
          <w:szCs w:val="24"/>
        </w:rPr>
        <w:t>Student No. 99091195.</w:t>
      </w:r>
    </w:p>
    <w:p w14:paraId="30725936" w14:textId="09138378" w:rsidR="001124DD" w:rsidRPr="001124DD" w:rsidRDefault="001124DD" w:rsidP="001124DD">
      <w:pPr>
        <w:jc w:val="right"/>
        <w:rPr>
          <w:rFonts w:ascii="Times New Roman" w:hAnsi="Times New Roman" w:cs="Times New Roman"/>
          <w:sz w:val="24"/>
          <w:szCs w:val="24"/>
        </w:rPr>
      </w:pPr>
      <w:r w:rsidRPr="001124DD">
        <w:rPr>
          <w:rFonts w:ascii="Times New Roman" w:hAnsi="Times New Roman" w:cs="Times New Roman"/>
          <w:sz w:val="24"/>
          <w:szCs w:val="24"/>
        </w:rPr>
        <w:t>HPAH6080. Ancient Lives in Death.</w:t>
      </w:r>
    </w:p>
    <w:p w14:paraId="1B258CDD" w14:textId="77777777" w:rsidR="001124DD" w:rsidRDefault="001124DD" w:rsidP="001124DD">
      <w:pPr>
        <w:rPr>
          <w:rFonts w:ascii="Times New Roman" w:hAnsi="Times New Roman" w:cs="Times New Roman"/>
          <w:b/>
          <w:bCs/>
          <w:sz w:val="24"/>
          <w:szCs w:val="24"/>
        </w:rPr>
      </w:pPr>
    </w:p>
    <w:p w14:paraId="102DB3A6" w14:textId="4CA74EB0" w:rsidR="005D6F6B" w:rsidRDefault="005D6F6B">
      <w:pPr>
        <w:rPr>
          <w:rFonts w:ascii="Times New Roman" w:hAnsi="Times New Roman" w:cs="Times New Roman"/>
          <w:sz w:val="24"/>
          <w:szCs w:val="24"/>
        </w:rPr>
      </w:pPr>
      <w:r w:rsidRPr="00140369">
        <w:rPr>
          <w:rFonts w:ascii="Times New Roman" w:hAnsi="Times New Roman" w:cs="Times New Roman"/>
          <w:b/>
          <w:bCs/>
          <w:sz w:val="24"/>
          <w:szCs w:val="24"/>
        </w:rPr>
        <w:t>The material culture of death in Ancient Egypt: the tomb of Senneferi TT99 at Thebes.</w:t>
      </w:r>
    </w:p>
    <w:p w14:paraId="3A72E3F1" w14:textId="78646CF1" w:rsidR="006348EF" w:rsidRDefault="00140369" w:rsidP="006348EF">
      <w:pPr>
        <w:rPr>
          <w:rFonts w:ascii="Times New Roman" w:hAnsi="Times New Roman" w:cs="Times New Roman"/>
          <w:sz w:val="24"/>
          <w:szCs w:val="24"/>
        </w:rPr>
      </w:pPr>
      <w:r w:rsidRPr="00140369">
        <w:rPr>
          <w:rFonts w:ascii="Times New Roman" w:hAnsi="Times New Roman" w:cs="Times New Roman"/>
          <w:sz w:val="24"/>
          <w:szCs w:val="24"/>
        </w:rPr>
        <w:t>The question of whether life endures after death has been addressed by every civilisation, both ancient and modern</w:t>
      </w:r>
      <w:r>
        <w:rPr>
          <w:rFonts w:ascii="Times New Roman" w:hAnsi="Times New Roman" w:cs="Times New Roman"/>
          <w:sz w:val="24"/>
          <w:szCs w:val="24"/>
        </w:rPr>
        <w:t xml:space="preserve"> (Taylor 2001, p. 7). </w:t>
      </w:r>
      <w:r w:rsidRPr="00140369">
        <w:rPr>
          <w:rFonts w:ascii="Times New Roman" w:hAnsi="Times New Roman" w:cs="Times New Roman"/>
          <w:sz w:val="24"/>
          <w:szCs w:val="24"/>
        </w:rPr>
        <w:t>One of the characteristics which allows us to determine a society's culture is how it perceives death</w:t>
      </w:r>
      <w:r w:rsidR="000649EE">
        <w:rPr>
          <w:rFonts w:ascii="Times New Roman" w:hAnsi="Times New Roman" w:cs="Times New Roman"/>
          <w:sz w:val="24"/>
          <w:szCs w:val="24"/>
        </w:rPr>
        <w:t>,</w:t>
      </w:r>
      <w:r w:rsidRPr="00140369">
        <w:rPr>
          <w:rFonts w:ascii="Times New Roman" w:hAnsi="Times New Roman" w:cs="Times New Roman"/>
          <w:sz w:val="24"/>
          <w:szCs w:val="24"/>
        </w:rPr>
        <w:t xml:space="preserve"> and a life after death</w:t>
      </w:r>
      <w:r>
        <w:rPr>
          <w:rFonts w:ascii="Times New Roman" w:hAnsi="Times New Roman" w:cs="Times New Roman"/>
          <w:sz w:val="24"/>
          <w:szCs w:val="24"/>
        </w:rPr>
        <w:t xml:space="preserve"> (Ikram, 2015, p. ix; Taylor, 2001, p. 7).</w:t>
      </w:r>
      <w:r w:rsidR="00E5372F">
        <w:rPr>
          <w:rFonts w:ascii="Times New Roman" w:hAnsi="Times New Roman" w:cs="Times New Roman"/>
          <w:sz w:val="24"/>
          <w:szCs w:val="24"/>
        </w:rPr>
        <w:t xml:space="preserve"> The vast amount of funerary material that survives from the civilisation of ancient Egypt </w:t>
      </w:r>
      <w:r w:rsidR="00106946">
        <w:rPr>
          <w:rFonts w:ascii="Times New Roman" w:hAnsi="Times New Roman" w:cs="Times New Roman"/>
          <w:sz w:val="24"/>
          <w:szCs w:val="24"/>
        </w:rPr>
        <w:t>provides</w:t>
      </w:r>
      <w:r w:rsidR="00E5372F">
        <w:rPr>
          <w:rFonts w:ascii="Times New Roman" w:hAnsi="Times New Roman" w:cs="Times New Roman"/>
          <w:sz w:val="24"/>
          <w:szCs w:val="24"/>
        </w:rPr>
        <w:t xml:space="preserve"> Egyptologists </w:t>
      </w:r>
      <w:r w:rsidR="00106946">
        <w:rPr>
          <w:rFonts w:ascii="Times New Roman" w:hAnsi="Times New Roman" w:cs="Times New Roman"/>
          <w:sz w:val="24"/>
          <w:szCs w:val="24"/>
        </w:rPr>
        <w:t xml:space="preserve">with </w:t>
      </w:r>
      <w:r w:rsidR="00F96190">
        <w:rPr>
          <w:rFonts w:ascii="Times New Roman" w:hAnsi="Times New Roman" w:cs="Times New Roman"/>
          <w:sz w:val="24"/>
          <w:szCs w:val="24"/>
        </w:rPr>
        <w:t>a</w:t>
      </w:r>
      <w:r w:rsidR="00E5372F">
        <w:rPr>
          <w:rFonts w:ascii="Times New Roman" w:hAnsi="Times New Roman" w:cs="Times New Roman"/>
          <w:sz w:val="24"/>
          <w:szCs w:val="24"/>
        </w:rPr>
        <w:t xml:space="preserve"> unique perspective on the</w:t>
      </w:r>
      <w:r w:rsidR="00F96190">
        <w:rPr>
          <w:rFonts w:ascii="Times New Roman" w:hAnsi="Times New Roman" w:cs="Times New Roman"/>
          <w:sz w:val="24"/>
          <w:szCs w:val="24"/>
        </w:rPr>
        <w:t>ir</w:t>
      </w:r>
      <w:r w:rsidR="00E5372F">
        <w:rPr>
          <w:rFonts w:ascii="Times New Roman" w:hAnsi="Times New Roman" w:cs="Times New Roman"/>
          <w:sz w:val="24"/>
          <w:szCs w:val="24"/>
        </w:rPr>
        <w:t xml:space="preserve"> funerary beliefs</w:t>
      </w:r>
      <w:r w:rsidR="00F96190">
        <w:rPr>
          <w:rFonts w:ascii="Times New Roman" w:hAnsi="Times New Roman" w:cs="Times New Roman"/>
          <w:sz w:val="24"/>
          <w:szCs w:val="24"/>
        </w:rPr>
        <w:t xml:space="preserve"> (Ikram, 2015, p. ix; Taylor, 2001, p. 7).</w:t>
      </w:r>
      <w:r w:rsidR="00C3375C">
        <w:rPr>
          <w:rFonts w:ascii="Times New Roman" w:hAnsi="Times New Roman" w:cs="Times New Roman"/>
          <w:sz w:val="24"/>
          <w:szCs w:val="24"/>
        </w:rPr>
        <w:t xml:space="preserve"> The Egyptians </w:t>
      </w:r>
      <w:r w:rsidR="000649EE">
        <w:rPr>
          <w:rFonts w:ascii="Times New Roman" w:hAnsi="Times New Roman" w:cs="Times New Roman"/>
          <w:sz w:val="24"/>
          <w:szCs w:val="24"/>
        </w:rPr>
        <w:t xml:space="preserve">had a deep-seated love of life, and believed that when they died, they would continue to live eternally in the afterlife (Ikram, 2015, p. ix; Ikram, 2023, pp. 154-155; Loynes, 2015, p.1; Taylor, 2001, pp. 10-15). </w:t>
      </w:r>
      <w:r w:rsidR="006348EF">
        <w:rPr>
          <w:rFonts w:ascii="Times New Roman" w:hAnsi="Times New Roman" w:cs="Times New Roman"/>
          <w:sz w:val="24"/>
          <w:szCs w:val="24"/>
        </w:rPr>
        <w:t xml:space="preserve">This obsession with a continued existence dominated their everyday lives and they </w:t>
      </w:r>
      <w:r w:rsidR="006348EF" w:rsidRPr="006348EF">
        <w:rPr>
          <w:rFonts w:ascii="Times New Roman" w:hAnsi="Times New Roman" w:cs="Times New Roman"/>
          <w:sz w:val="24"/>
          <w:szCs w:val="24"/>
        </w:rPr>
        <w:t>invested a significant amount of their material culture on mitigating death</w:t>
      </w:r>
      <w:r w:rsidR="006348EF">
        <w:rPr>
          <w:rFonts w:ascii="Times New Roman" w:hAnsi="Times New Roman" w:cs="Times New Roman"/>
          <w:sz w:val="24"/>
          <w:szCs w:val="24"/>
        </w:rPr>
        <w:t xml:space="preserve"> (</w:t>
      </w:r>
      <w:r w:rsidR="00B86DF2">
        <w:rPr>
          <w:rFonts w:ascii="Times New Roman" w:hAnsi="Times New Roman" w:cs="Times New Roman"/>
          <w:sz w:val="24"/>
          <w:szCs w:val="24"/>
        </w:rPr>
        <w:t xml:space="preserve">Johnson, 2000, pp. 21-22; </w:t>
      </w:r>
      <w:r w:rsidR="006348EF">
        <w:rPr>
          <w:rFonts w:ascii="Times New Roman" w:hAnsi="Times New Roman" w:cs="Times New Roman"/>
          <w:sz w:val="24"/>
          <w:szCs w:val="24"/>
        </w:rPr>
        <w:t>Taylor, 2010a, p.12)</w:t>
      </w:r>
      <w:r w:rsidR="006348EF" w:rsidRPr="006348EF">
        <w:rPr>
          <w:rFonts w:ascii="Times New Roman" w:hAnsi="Times New Roman" w:cs="Times New Roman"/>
          <w:sz w:val="24"/>
          <w:szCs w:val="24"/>
        </w:rPr>
        <w:t>.</w:t>
      </w:r>
    </w:p>
    <w:p w14:paraId="467E9A43" w14:textId="598CAD20" w:rsidR="006D7AF9" w:rsidRDefault="00E2086B" w:rsidP="006D7AF9">
      <w:pPr>
        <w:rPr>
          <w:rFonts w:ascii="Times New Roman" w:hAnsi="Times New Roman" w:cs="Times New Roman"/>
          <w:sz w:val="24"/>
          <w:szCs w:val="24"/>
        </w:rPr>
      </w:pPr>
      <w:r>
        <w:rPr>
          <w:rFonts w:ascii="Times New Roman" w:hAnsi="Times New Roman" w:cs="Times New Roman"/>
          <w:sz w:val="24"/>
          <w:szCs w:val="24"/>
        </w:rPr>
        <w:t>The most prominent and impressive tangible artefacts that have been discovered in Egypt are  tombs and their funerary assemblages (Snape, 2011, p. 4).</w:t>
      </w:r>
      <w:r w:rsidR="001124DD">
        <w:rPr>
          <w:rFonts w:ascii="Times New Roman" w:hAnsi="Times New Roman" w:cs="Times New Roman"/>
          <w:sz w:val="24"/>
          <w:szCs w:val="24"/>
        </w:rPr>
        <w:t xml:space="preserve"> </w:t>
      </w:r>
      <w:r w:rsidR="003F6D2C" w:rsidRPr="003F6D2C">
        <w:rPr>
          <w:rFonts w:ascii="Times New Roman" w:hAnsi="Times New Roman" w:cs="Times New Roman"/>
          <w:sz w:val="24"/>
          <w:szCs w:val="24"/>
        </w:rPr>
        <w:t xml:space="preserve">The Egyptians placed great significance on the tomb as the </w:t>
      </w:r>
      <w:r w:rsidR="003F6D2C">
        <w:rPr>
          <w:rFonts w:ascii="Times New Roman" w:hAnsi="Times New Roman" w:cs="Times New Roman"/>
          <w:sz w:val="24"/>
          <w:szCs w:val="24"/>
        </w:rPr>
        <w:t>place where they could live for eternity in the</w:t>
      </w:r>
      <w:r w:rsidR="003F6D2C" w:rsidRPr="003F6D2C">
        <w:rPr>
          <w:rFonts w:ascii="Times New Roman" w:hAnsi="Times New Roman" w:cs="Times New Roman"/>
          <w:sz w:val="24"/>
          <w:szCs w:val="24"/>
        </w:rPr>
        <w:t xml:space="preserve"> afterlife</w:t>
      </w:r>
      <w:r w:rsidR="003F6D2C">
        <w:rPr>
          <w:rFonts w:ascii="Times New Roman" w:hAnsi="Times New Roman" w:cs="Times New Roman"/>
          <w:sz w:val="24"/>
          <w:szCs w:val="24"/>
        </w:rPr>
        <w:t xml:space="preserve"> (Ikram, 2015, p.139; Taylor, 2010, p.113)</w:t>
      </w:r>
      <w:r w:rsidR="003F6D2C" w:rsidRPr="003F6D2C">
        <w:rPr>
          <w:rFonts w:ascii="Times New Roman" w:hAnsi="Times New Roman" w:cs="Times New Roman"/>
          <w:sz w:val="24"/>
          <w:szCs w:val="24"/>
        </w:rPr>
        <w:t>.</w:t>
      </w:r>
      <w:r w:rsidR="003F6D2C">
        <w:rPr>
          <w:rFonts w:ascii="Times New Roman" w:hAnsi="Times New Roman" w:cs="Times New Roman"/>
          <w:sz w:val="24"/>
          <w:szCs w:val="24"/>
        </w:rPr>
        <w:t xml:space="preserve"> Tombs were referred to as the ‘House for eternity’ and were therefore built of stone so that they would be everlasting (Ikram, 2015, p.139</w:t>
      </w:r>
      <w:r w:rsidR="006D7AF9">
        <w:rPr>
          <w:rFonts w:ascii="Times New Roman" w:hAnsi="Times New Roman" w:cs="Times New Roman"/>
          <w:sz w:val="24"/>
          <w:szCs w:val="24"/>
        </w:rPr>
        <w:t>; Taylor, 2010, p. 113</w:t>
      </w:r>
      <w:r w:rsidR="00B16DD6">
        <w:rPr>
          <w:rFonts w:ascii="Times New Roman" w:hAnsi="Times New Roman" w:cs="Times New Roman"/>
          <w:sz w:val="24"/>
          <w:szCs w:val="24"/>
        </w:rPr>
        <w:t>; Taylor, 2011, p. 22</w:t>
      </w:r>
      <w:r w:rsidR="003F6D2C">
        <w:rPr>
          <w:rFonts w:ascii="Times New Roman" w:hAnsi="Times New Roman" w:cs="Times New Roman"/>
          <w:sz w:val="24"/>
          <w:szCs w:val="24"/>
        </w:rPr>
        <w:t xml:space="preserve">). </w:t>
      </w:r>
      <w:r w:rsidR="006D7AF9" w:rsidRPr="006D7AF9">
        <w:rPr>
          <w:rFonts w:ascii="Times New Roman" w:hAnsi="Times New Roman" w:cs="Times New Roman"/>
          <w:sz w:val="24"/>
          <w:szCs w:val="24"/>
        </w:rPr>
        <w:t xml:space="preserve">Tombs differed in size and style depending </w:t>
      </w:r>
      <w:r w:rsidR="00B16DD6">
        <w:rPr>
          <w:rFonts w:ascii="Times New Roman" w:hAnsi="Times New Roman" w:cs="Times New Roman"/>
          <w:sz w:val="24"/>
          <w:szCs w:val="24"/>
        </w:rPr>
        <w:t>on</w:t>
      </w:r>
      <w:r w:rsidR="006D7AF9" w:rsidRPr="006D7AF9">
        <w:rPr>
          <w:rFonts w:ascii="Times New Roman" w:hAnsi="Times New Roman" w:cs="Times New Roman"/>
          <w:sz w:val="24"/>
          <w:szCs w:val="24"/>
        </w:rPr>
        <w:t xml:space="preserve"> the owners' social standing</w:t>
      </w:r>
      <w:r w:rsidR="006D7AF9">
        <w:rPr>
          <w:rFonts w:ascii="Times New Roman" w:hAnsi="Times New Roman" w:cs="Times New Roman"/>
          <w:sz w:val="24"/>
          <w:szCs w:val="24"/>
        </w:rPr>
        <w:t xml:space="preserve"> (Taylor, 2010, p.113)</w:t>
      </w:r>
      <w:r w:rsidR="00034CA0">
        <w:rPr>
          <w:rFonts w:ascii="Times New Roman" w:hAnsi="Times New Roman" w:cs="Times New Roman"/>
          <w:sz w:val="24"/>
          <w:szCs w:val="24"/>
        </w:rPr>
        <w:t>, and were</w:t>
      </w:r>
      <w:r w:rsidR="00034CA0" w:rsidRPr="00034CA0">
        <w:rPr>
          <w:rFonts w:ascii="Times New Roman" w:hAnsi="Times New Roman" w:cs="Times New Roman"/>
          <w:sz w:val="24"/>
          <w:szCs w:val="24"/>
        </w:rPr>
        <w:t xml:space="preserve"> typically divided into two sections comprised of a burial chamber below ground, where the corpse was laid to rest, and a tomb chapel above ground, where the deceased could be commemorated with offerings and prayers (Ikram, 2015, p. 139; Ikram, 2023, p.287; Taylor, 2010, pp. 113-114). The tomb was usually adorned with relief carvings and painted scenes from everyday life to enable the deceased to regenerate in an afterlife (Ikram, 2023, pp. 293-297).  </w:t>
      </w:r>
    </w:p>
    <w:p w14:paraId="01FD2E13" w14:textId="73DAFF54" w:rsidR="00C83D8A" w:rsidRDefault="00C83D8A" w:rsidP="00C83D8A">
      <w:pPr>
        <w:rPr>
          <w:rFonts w:ascii="Times New Roman" w:hAnsi="Times New Roman" w:cs="Times New Roman"/>
          <w:sz w:val="24"/>
          <w:szCs w:val="24"/>
        </w:rPr>
      </w:pPr>
      <w:r w:rsidRPr="00C83D8A">
        <w:rPr>
          <w:rFonts w:ascii="Times New Roman" w:hAnsi="Times New Roman" w:cs="Times New Roman"/>
          <w:sz w:val="24"/>
          <w:szCs w:val="24"/>
        </w:rPr>
        <w:t>This essay will examine the ancient Egyptian tomb of an 18</w:t>
      </w:r>
      <w:r w:rsidRPr="00C83D8A">
        <w:rPr>
          <w:rFonts w:ascii="Times New Roman" w:hAnsi="Times New Roman" w:cs="Times New Roman"/>
          <w:sz w:val="24"/>
          <w:szCs w:val="24"/>
          <w:vertAlign w:val="superscript"/>
        </w:rPr>
        <w:t>th</w:t>
      </w:r>
      <w:r w:rsidRPr="00C83D8A">
        <w:rPr>
          <w:rFonts w:ascii="Times New Roman" w:hAnsi="Times New Roman" w:cs="Times New Roman"/>
          <w:sz w:val="24"/>
          <w:szCs w:val="24"/>
        </w:rPr>
        <w:t xml:space="preserve"> Dynasty high ranking official Senneferi and will discuss the material culture of the tomb and how it </w:t>
      </w:r>
      <w:r>
        <w:rPr>
          <w:rFonts w:ascii="Times New Roman" w:hAnsi="Times New Roman" w:cs="Times New Roman"/>
          <w:sz w:val="24"/>
          <w:szCs w:val="24"/>
        </w:rPr>
        <w:t>encapsulates</w:t>
      </w:r>
      <w:r w:rsidRPr="00C83D8A">
        <w:rPr>
          <w:rFonts w:ascii="Times New Roman" w:hAnsi="Times New Roman" w:cs="Times New Roman"/>
          <w:sz w:val="24"/>
          <w:szCs w:val="24"/>
        </w:rPr>
        <w:t xml:space="preserve"> Senneferi</w:t>
      </w:r>
      <w:r>
        <w:rPr>
          <w:rFonts w:ascii="Times New Roman" w:hAnsi="Times New Roman" w:cs="Times New Roman"/>
          <w:sz w:val="24"/>
          <w:szCs w:val="24"/>
        </w:rPr>
        <w:t>’s position</w:t>
      </w:r>
      <w:r w:rsidRPr="00C83D8A">
        <w:rPr>
          <w:rFonts w:ascii="Times New Roman" w:hAnsi="Times New Roman" w:cs="Times New Roman"/>
          <w:sz w:val="24"/>
          <w:szCs w:val="24"/>
        </w:rPr>
        <w:t xml:space="preserve"> in Egyptian society. (Strudwick, 2016, pp. 1-3). </w:t>
      </w:r>
    </w:p>
    <w:p w14:paraId="7296C720" w14:textId="6D6701ED" w:rsidR="00F90E95" w:rsidRDefault="00034CA0" w:rsidP="00F90E95">
      <w:pPr>
        <w:rPr>
          <w:rFonts w:ascii="Times New Roman" w:hAnsi="Times New Roman" w:cs="Times New Roman"/>
          <w:sz w:val="24"/>
          <w:szCs w:val="24"/>
        </w:rPr>
      </w:pPr>
      <w:r>
        <w:rPr>
          <w:rFonts w:ascii="Times New Roman" w:hAnsi="Times New Roman" w:cs="Times New Roman"/>
          <w:sz w:val="24"/>
          <w:szCs w:val="24"/>
        </w:rPr>
        <w:t>Senneferi’s tomb, TT99, is located</w:t>
      </w:r>
      <w:r w:rsidR="00F90E95">
        <w:rPr>
          <w:rFonts w:ascii="Times New Roman" w:hAnsi="Times New Roman" w:cs="Times New Roman"/>
          <w:sz w:val="24"/>
          <w:szCs w:val="24"/>
        </w:rPr>
        <w:t xml:space="preserve"> </w:t>
      </w:r>
      <w:r w:rsidR="00F90E95" w:rsidRPr="00F90E95">
        <w:rPr>
          <w:rFonts w:ascii="Times New Roman" w:hAnsi="Times New Roman" w:cs="Times New Roman"/>
          <w:sz w:val="24"/>
          <w:szCs w:val="24"/>
        </w:rPr>
        <w:t>on the west bank of</w:t>
      </w:r>
      <w:r w:rsidR="00F90E95">
        <w:rPr>
          <w:rFonts w:ascii="Times New Roman" w:hAnsi="Times New Roman" w:cs="Times New Roman"/>
          <w:sz w:val="24"/>
          <w:szCs w:val="24"/>
        </w:rPr>
        <w:t xml:space="preserve"> the</w:t>
      </w:r>
      <w:r w:rsidR="00F90E95" w:rsidRPr="00F90E95">
        <w:rPr>
          <w:rFonts w:ascii="Times New Roman" w:hAnsi="Times New Roman" w:cs="Times New Roman"/>
          <w:sz w:val="24"/>
          <w:szCs w:val="24"/>
        </w:rPr>
        <w:t xml:space="preserve"> </w:t>
      </w:r>
      <w:r w:rsidR="00F90E95">
        <w:rPr>
          <w:rFonts w:ascii="Times New Roman" w:hAnsi="Times New Roman" w:cs="Times New Roman"/>
          <w:sz w:val="24"/>
          <w:szCs w:val="24"/>
        </w:rPr>
        <w:t xml:space="preserve">modern city of </w:t>
      </w:r>
      <w:r w:rsidR="00F90E95" w:rsidRPr="00F90E95">
        <w:rPr>
          <w:rFonts w:ascii="Times New Roman" w:hAnsi="Times New Roman" w:cs="Times New Roman"/>
          <w:sz w:val="24"/>
          <w:szCs w:val="24"/>
        </w:rPr>
        <w:t xml:space="preserve">Luxor in the Upper Enclosure of </w:t>
      </w:r>
      <w:r w:rsidR="00F90E95">
        <w:rPr>
          <w:rFonts w:ascii="Times New Roman" w:hAnsi="Times New Roman" w:cs="Times New Roman"/>
          <w:sz w:val="24"/>
          <w:szCs w:val="24"/>
        </w:rPr>
        <w:t xml:space="preserve">the </w:t>
      </w:r>
      <w:r w:rsidR="00F90E95" w:rsidRPr="00F90E95">
        <w:rPr>
          <w:rFonts w:ascii="Times New Roman" w:hAnsi="Times New Roman" w:cs="Times New Roman"/>
          <w:sz w:val="24"/>
          <w:szCs w:val="24"/>
        </w:rPr>
        <w:t>Sheikh Abd</w:t>
      </w:r>
      <w:r w:rsidR="004E5773">
        <w:rPr>
          <w:rFonts w:ascii="Times New Roman" w:hAnsi="Times New Roman" w:cs="Times New Roman"/>
          <w:sz w:val="24"/>
          <w:szCs w:val="24"/>
        </w:rPr>
        <w:t xml:space="preserve"> </w:t>
      </w:r>
      <w:r w:rsidR="00F90E95" w:rsidRPr="00F90E95">
        <w:rPr>
          <w:rFonts w:ascii="Times New Roman" w:hAnsi="Times New Roman" w:cs="Times New Roman"/>
          <w:sz w:val="24"/>
          <w:szCs w:val="24"/>
        </w:rPr>
        <w:t>el</w:t>
      </w:r>
      <w:r w:rsidR="004E5773">
        <w:rPr>
          <w:rFonts w:ascii="Times New Roman" w:hAnsi="Times New Roman" w:cs="Times New Roman"/>
          <w:sz w:val="24"/>
          <w:szCs w:val="24"/>
        </w:rPr>
        <w:t>-</w:t>
      </w:r>
      <w:r w:rsidR="00F90E95" w:rsidRPr="00F90E95">
        <w:rPr>
          <w:rFonts w:ascii="Times New Roman" w:hAnsi="Times New Roman" w:cs="Times New Roman"/>
          <w:sz w:val="24"/>
          <w:szCs w:val="24"/>
        </w:rPr>
        <w:t>Qurna</w:t>
      </w:r>
      <w:r w:rsidR="00F90E95">
        <w:rPr>
          <w:rFonts w:ascii="Times New Roman" w:hAnsi="Times New Roman" w:cs="Times New Roman"/>
          <w:sz w:val="24"/>
          <w:szCs w:val="24"/>
        </w:rPr>
        <w:t xml:space="preserve"> </w:t>
      </w:r>
      <w:r w:rsidR="00A508D7">
        <w:rPr>
          <w:rFonts w:ascii="Times New Roman" w:hAnsi="Times New Roman" w:cs="Times New Roman"/>
          <w:sz w:val="24"/>
          <w:szCs w:val="24"/>
        </w:rPr>
        <w:t>cemetery</w:t>
      </w:r>
      <w:r w:rsidR="00F90E95">
        <w:rPr>
          <w:rFonts w:ascii="Times New Roman" w:hAnsi="Times New Roman" w:cs="Times New Roman"/>
          <w:sz w:val="24"/>
          <w:szCs w:val="24"/>
        </w:rPr>
        <w:t xml:space="preserve"> (Strudwick, 2016, p. 1)</w:t>
      </w:r>
      <w:r w:rsidR="00F90E95" w:rsidRPr="00F90E95">
        <w:rPr>
          <w:rFonts w:ascii="Times New Roman" w:hAnsi="Times New Roman" w:cs="Times New Roman"/>
          <w:sz w:val="24"/>
          <w:szCs w:val="24"/>
        </w:rPr>
        <w:t>.</w:t>
      </w:r>
      <w:r w:rsidR="001115AD">
        <w:rPr>
          <w:rFonts w:ascii="Times New Roman" w:hAnsi="Times New Roman" w:cs="Times New Roman"/>
          <w:sz w:val="24"/>
          <w:szCs w:val="24"/>
        </w:rPr>
        <w:t xml:space="preserve"> Luxor is the modern-day city built over one of the principal cities of </w:t>
      </w:r>
      <w:r w:rsidR="001115AD" w:rsidRPr="001115AD">
        <w:rPr>
          <w:rFonts w:ascii="Times New Roman" w:hAnsi="Times New Roman" w:cs="Times New Roman"/>
          <w:sz w:val="24"/>
          <w:szCs w:val="24"/>
        </w:rPr>
        <w:t xml:space="preserve">ancient </w:t>
      </w:r>
      <w:r w:rsidR="001115AD">
        <w:rPr>
          <w:rFonts w:ascii="Times New Roman" w:hAnsi="Times New Roman" w:cs="Times New Roman"/>
          <w:sz w:val="24"/>
          <w:szCs w:val="24"/>
        </w:rPr>
        <w:t>Egypt, Thebes (Shaw &amp; Nicholson, 2003, pp. 286-287). On</w:t>
      </w:r>
      <w:r w:rsidR="00820AAD">
        <w:rPr>
          <w:rFonts w:ascii="Times New Roman" w:hAnsi="Times New Roman" w:cs="Times New Roman"/>
          <w:sz w:val="24"/>
          <w:szCs w:val="24"/>
        </w:rPr>
        <w:t xml:space="preserve"> the</w:t>
      </w:r>
      <w:r w:rsidR="001115AD">
        <w:rPr>
          <w:rFonts w:ascii="Times New Roman" w:hAnsi="Times New Roman" w:cs="Times New Roman"/>
          <w:sz w:val="24"/>
          <w:szCs w:val="24"/>
        </w:rPr>
        <w:t xml:space="preserve"> west bank </w:t>
      </w:r>
      <w:r w:rsidR="00A508D7">
        <w:rPr>
          <w:rFonts w:ascii="Times New Roman" w:hAnsi="Times New Roman" w:cs="Times New Roman"/>
          <w:sz w:val="24"/>
          <w:szCs w:val="24"/>
        </w:rPr>
        <w:t>are</w:t>
      </w:r>
      <w:r w:rsidR="001115AD">
        <w:rPr>
          <w:rFonts w:ascii="Times New Roman" w:hAnsi="Times New Roman" w:cs="Times New Roman"/>
          <w:sz w:val="24"/>
          <w:szCs w:val="24"/>
        </w:rPr>
        <w:t xml:space="preserve"> situated the mortuary temples and tombs of the Pharaohs </w:t>
      </w:r>
      <w:r w:rsidR="00820AAD">
        <w:rPr>
          <w:rFonts w:ascii="Times New Roman" w:hAnsi="Times New Roman" w:cs="Times New Roman"/>
          <w:sz w:val="24"/>
          <w:szCs w:val="24"/>
        </w:rPr>
        <w:t xml:space="preserve">from </w:t>
      </w:r>
      <w:r w:rsidR="001115AD">
        <w:rPr>
          <w:rFonts w:ascii="Times New Roman" w:hAnsi="Times New Roman" w:cs="Times New Roman"/>
          <w:sz w:val="24"/>
          <w:szCs w:val="24"/>
        </w:rPr>
        <w:t>the Middle Kingdom</w:t>
      </w:r>
      <w:r w:rsidR="00A508D7">
        <w:rPr>
          <w:rFonts w:ascii="Times New Roman" w:hAnsi="Times New Roman" w:cs="Times New Roman"/>
          <w:sz w:val="24"/>
          <w:szCs w:val="24"/>
        </w:rPr>
        <w:t xml:space="preserve"> </w:t>
      </w:r>
      <w:r w:rsidR="00820AAD">
        <w:rPr>
          <w:rFonts w:ascii="Times New Roman" w:hAnsi="Times New Roman" w:cs="Times New Roman"/>
          <w:sz w:val="24"/>
          <w:szCs w:val="24"/>
        </w:rPr>
        <w:t xml:space="preserve">to the </w:t>
      </w:r>
      <w:r w:rsidR="004E285A">
        <w:rPr>
          <w:rFonts w:ascii="Times New Roman" w:hAnsi="Times New Roman" w:cs="Times New Roman"/>
          <w:sz w:val="24"/>
          <w:szCs w:val="24"/>
        </w:rPr>
        <w:t>end of the Pharaonic period</w:t>
      </w:r>
      <w:r w:rsidR="00132CBC">
        <w:rPr>
          <w:rFonts w:ascii="Times New Roman" w:hAnsi="Times New Roman" w:cs="Times New Roman"/>
          <w:sz w:val="24"/>
          <w:szCs w:val="24"/>
        </w:rPr>
        <w:t xml:space="preserve"> </w:t>
      </w:r>
      <w:r w:rsidR="00A508D7">
        <w:rPr>
          <w:rFonts w:ascii="Times New Roman" w:hAnsi="Times New Roman" w:cs="Times New Roman"/>
          <w:sz w:val="24"/>
          <w:szCs w:val="24"/>
        </w:rPr>
        <w:t>(Shaw &amp; Nicholson, 2003, p. 286). Figure 1 below is a plan of the Theban necropolis</w:t>
      </w:r>
      <w:r w:rsidR="00A508D7" w:rsidRPr="00A508D7">
        <w:rPr>
          <w:rFonts w:ascii="Times New Roman" w:hAnsi="Times New Roman" w:cs="Times New Roman"/>
          <w:sz w:val="20"/>
          <w:szCs w:val="20"/>
        </w:rPr>
        <w:t xml:space="preserve"> </w:t>
      </w:r>
      <w:r w:rsidR="00A508D7" w:rsidRPr="00A508D7">
        <w:rPr>
          <w:rFonts w:ascii="Times New Roman" w:hAnsi="Times New Roman" w:cs="Times New Roman"/>
          <w:sz w:val="24"/>
          <w:szCs w:val="24"/>
        </w:rPr>
        <w:t>showing</w:t>
      </w:r>
      <w:r w:rsidR="00A508D7">
        <w:rPr>
          <w:rFonts w:ascii="Times New Roman" w:hAnsi="Times New Roman" w:cs="Times New Roman"/>
          <w:sz w:val="20"/>
          <w:szCs w:val="20"/>
        </w:rPr>
        <w:t xml:space="preserve"> </w:t>
      </w:r>
      <w:r w:rsidR="00A508D7" w:rsidRPr="00A508D7">
        <w:rPr>
          <w:rFonts w:ascii="Times New Roman" w:hAnsi="Times New Roman" w:cs="Times New Roman"/>
          <w:sz w:val="24"/>
          <w:szCs w:val="24"/>
        </w:rPr>
        <w:t xml:space="preserve">its close proximity to the </w:t>
      </w:r>
      <w:r w:rsidR="00A508D7">
        <w:rPr>
          <w:rFonts w:ascii="Times New Roman" w:hAnsi="Times New Roman" w:cs="Times New Roman"/>
          <w:sz w:val="24"/>
          <w:szCs w:val="24"/>
        </w:rPr>
        <w:t>t</w:t>
      </w:r>
      <w:r w:rsidR="00A508D7" w:rsidRPr="00A508D7">
        <w:rPr>
          <w:rFonts w:ascii="Times New Roman" w:hAnsi="Times New Roman" w:cs="Times New Roman"/>
          <w:sz w:val="24"/>
          <w:szCs w:val="24"/>
        </w:rPr>
        <w:t xml:space="preserve">ombs and </w:t>
      </w:r>
      <w:r w:rsidR="00A508D7">
        <w:rPr>
          <w:rFonts w:ascii="Times New Roman" w:hAnsi="Times New Roman" w:cs="Times New Roman"/>
          <w:sz w:val="24"/>
          <w:szCs w:val="24"/>
        </w:rPr>
        <w:t>t</w:t>
      </w:r>
      <w:r w:rsidR="00A508D7" w:rsidRPr="00A508D7">
        <w:rPr>
          <w:rFonts w:ascii="Times New Roman" w:hAnsi="Times New Roman" w:cs="Times New Roman"/>
          <w:sz w:val="24"/>
          <w:szCs w:val="24"/>
        </w:rPr>
        <w:t>emples of</w:t>
      </w:r>
      <w:r w:rsidR="00A508D7">
        <w:rPr>
          <w:rFonts w:ascii="Times New Roman" w:hAnsi="Times New Roman" w:cs="Times New Roman"/>
          <w:sz w:val="24"/>
          <w:szCs w:val="24"/>
        </w:rPr>
        <w:t xml:space="preserve"> the</w:t>
      </w:r>
      <w:r w:rsidR="00A508D7" w:rsidRPr="00A508D7">
        <w:rPr>
          <w:rFonts w:ascii="Times New Roman" w:hAnsi="Times New Roman" w:cs="Times New Roman"/>
          <w:sz w:val="24"/>
          <w:szCs w:val="24"/>
        </w:rPr>
        <w:t xml:space="preserve"> Pharaohs</w:t>
      </w:r>
      <w:r w:rsidR="004A75EF">
        <w:rPr>
          <w:rFonts w:ascii="Times New Roman" w:hAnsi="Times New Roman" w:cs="Times New Roman"/>
          <w:sz w:val="24"/>
          <w:szCs w:val="24"/>
        </w:rPr>
        <w:t xml:space="preserve">, with the area at number 6 </w:t>
      </w:r>
      <w:r w:rsidR="004E285A">
        <w:rPr>
          <w:rFonts w:ascii="Times New Roman" w:hAnsi="Times New Roman" w:cs="Times New Roman"/>
          <w:sz w:val="24"/>
          <w:szCs w:val="24"/>
        </w:rPr>
        <w:t>indicating the site of the</w:t>
      </w:r>
      <w:r w:rsidR="004A75EF">
        <w:rPr>
          <w:rFonts w:ascii="Times New Roman" w:hAnsi="Times New Roman" w:cs="Times New Roman"/>
          <w:sz w:val="24"/>
          <w:szCs w:val="24"/>
        </w:rPr>
        <w:t xml:space="preserve"> Sheikh Abd</w:t>
      </w:r>
      <w:r w:rsidR="004E5773">
        <w:rPr>
          <w:rFonts w:ascii="Times New Roman" w:hAnsi="Times New Roman" w:cs="Times New Roman"/>
          <w:sz w:val="24"/>
          <w:szCs w:val="24"/>
        </w:rPr>
        <w:t xml:space="preserve"> </w:t>
      </w:r>
      <w:proofErr w:type="spellStart"/>
      <w:r w:rsidR="004A75EF">
        <w:rPr>
          <w:rFonts w:ascii="Times New Roman" w:hAnsi="Times New Roman" w:cs="Times New Roman"/>
          <w:sz w:val="24"/>
          <w:szCs w:val="24"/>
        </w:rPr>
        <w:t>el</w:t>
      </w:r>
      <w:proofErr w:type="spellEnd"/>
      <w:r w:rsidR="004E5773">
        <w:rPr>
          <w:rFonts w:ascii="Times New Roman" w:hAnsi="Times New Roman" w:cs="Times New Roman"/>
          <w:sz w:val="24"/>
          <w:szCs w:val="24"/>
        </w:rPr>
        <w:t>-</w:t>
      </w:r>
      <w:r w:rsidR="004A75EF">
        <w:rPr>
          <w:rFonts w:ascii="Times New Roman" w:hAnsi="Times New Roman" w:cs="Times New Roman"/>
          <w:sz w:val="24"/>
          <w:szCs w:val="24"/>
        </w:rPr>
        <w:t>Qurna cemetery</w:t>
      </w:r>
      <w:r w:rsidR="00A508D7">
        <w:rPr>
          <w:rFonts w:ascii="Times New Roman" w:hAnsi="Times New Roman" w:cs="Times New Roman"/>
          <w:sz w:val="24"/>
          <w:szCs w:val="24"/>
        </w:rPr>
        <w:t xml:space="preserve"> (Shaw</w:t>
      </w:r>
      <w:r w:rsidR="009E2979">
        <w:rPr>
          <w:rFonts w:ascii="Times New Roman" w:hAnsi="Times New Roman" w:cs="Times New Roman"/>
          <w:sz w:val="24"/>
          <w:szCs w:val="24"/>
        </w:rPr>
        <w:t xml:space="preserve"> &amp; Nicholson</w:t>
      </w:r>
      <w:r w:rsidR="00A508D7">
        <w:rPr>
          <w:rFonts w:ascii="Times New Roman" w:hAnsi="Times New Roman" w:cs="Times New Roman"/>
          <w:sz w:val="24"/>
          <w:szCs w:val="24"/>
        </w:rPr>
        <w:t xml:space="preserve">, 2003, p. 286). </w:t>
      </w:r>
    </w:p>
    <w:p w14:paraId="5BAF47D4" w14:textId="77777777" w:rsidR="00A508D7" w:rsidRDefault="00A508D7" w:rsidP="00F90E95">
      <w:pPr>
        <w:rPr>
          <w:rFonts w:ascii="Times New Roman" w:hAnsi="Times New Roman" w:cs="Times New Roman"/>
          <w:sz w:val="24"/>
          <w:szCs w:val="24"/>
        </w:rPr>
      </w:pPr>
    </w:p>
    <w:p w14:paraId="1737BDB9" w14:textId="77777777" w:rsidR="001115AD" w:rsidRDefault="001115AD" w:rsidP="00F90E95">
      <w:pPr>
        <w:rPr>
          <w:rFonts w:ascii="Times New Roman" w:hAnsi="Times New Roman" w:cs="Times New Roman"/>
          <w:sz w:val="24"/>
          <w:szCs w:val="24"/>
        </w:rPr>
      </w:pPr>
    </w:p>
    <w:p w14:paraId="603E48CF" w14:textId="44573793" w:rsidR="001115AD" w:rsidRPr="00F90E95" w:rsidRDefault="001115AD" w:rsidP="001115AD">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0FBEEAC" wp14:editId="44A28E30">
            <wp:extent cx="5053584" cy="3950208"/>
            <wp:effectExtent l="0" t="0" r="0" b="0"/>
            <wp:docPr id="1593519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519414" name="Picture 159351941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53584" cy="3950208"/>
                    </a:xfrm>
                    <a:prstGeom prst="rect">
                      <a:avLst/>
                    </a:prstGeom>
                  </pic:spPr>
                </pic:pic>
              </a:graphicData>
            </a:graphic>
          </wp:inline>
        </w:drawing>
      </w:r>
    </w:p>
    <w:p w14:paraId="7465D72F" w14:textId="3BF60B4B" w:rsidR="00C83D8A" w:rsidRDefault="001115AD" w:rsidP="004E5773">
      <w:pPr>
        <w:jc w:val="center"/>
        <w:rPr>
          <w:rFonts w:ascii="Times New Roman" w:hAnsi="Times New Roman" w:cs="Times New Roman"/>
          <w:sz w:val="20"/>
          <w:szCs w:val="20"/>
        </w:rPr>
      </w:pPr>
      <w:r w:rsidRPr="001115AD">
        <w:rPr>
          <w:rFonts w:ascii="Times New Roman" w:hAnsi="Times New Roman" w:cs="Times New Roman"/>
          <w:sz w:val="20"/>
          <w:szCs w:val="20"/>
        </w:rPr>
        <w:t>Figure 1, plan showing the location of the Theban necropolis and its close proximity to the</w:t>
      </w:r>
      <w:r w:rsidR="00A508D7">
        <w:rPr>
          <w:rFonts w:ascii="Times New Roman" w:hAnsi="Times New Roman" w:cs="Times New Roman"/>
          <w:sz w:val="20"/>
          <w:szCs w:val="20"/>
        </w:rPr>
        <w:t xml:space="preserve"> Tombs and</w:t>
      </w:r>
      <w:r w:rsidRPr="001115AD">
        <w:rPr>
          <w:rFonts w:ascii="Times New Roman" w:hAnsi="Times New Roman" w:cs="Times New Roman"/>
          <w:sz w:val="20"/>
          <w:szCs w:val="20"/>
        </w:rPr>
        <w:t xml:space="preserve"> Temples of Pharaohs (Shaw &amp; Nicholson, 2003, p.287).</w:t>
      </w:r>
    </w:p>
    <w:p w14:paraId="4EBAD79F" w14:textId="77777777" w:rsidR="004E285A" w:rsidRDefault="004E285A" w:rsidP="004E5773">
      <w:pPr>
        <w:jc w:val="center"/>
        <w:rPr>
          <w:rFonts w:ascii="Times New Roman" w:hAnsi="Times New Roman" w:cs="Times New Roman"/>
          <w:sz w:val="24"/>
          <w:szCs w:val="24"/>
        </w:rPr>
      </w:pPr>
    </w:p>
    <w:p w14:paraId="7BAD7C4C" w14:textId="3830E75C" w:rsidR="004E5773" w:rsidRDefault="004A75EF" w:rsidP="006348EF">
      <w:pPr>
        <w:rPr>
          <w:rFonts w:ascii="Times New Roman" w:hAnsi="Times New Roman" w:cs="Times New Roman"/>
          <w:sz w:val="24"/>
          <w:szCs w:val="24"/>
        </w:rPr>
      </w:pPr>
      <w:r>
        <w:rPr>
          <w:rFonts w:ascii="Times New Roman" w:hAnsi="Times New Roman" w:cs="Times New Roman"/>
          <w:sz w:val="24"/>
          <w:szCs w:val="24"/>
        </w:rPr>
        <w:t xml:space="preserve">Figure 2 is a screenshot </w:t>
      </w:r>
      <w:r w:rsidR="004E285A">
        <w:rPr>
          <w:rFonts w:ascii="Times New Roman" w:hAnsi="Times New Roman" w:cs="Times New Roman"/>
          <w:sz w:val="24"/>
          <w:szCs w:val="24"/>
        </w:rPr>
        <w:t>from</w:t>
      </w:r>
      <w:r>
        <w:rPr>
          <w:rFonts w:ascii="Times New Roman" w:hAnsi="Times New Roman" w:cs="Times New Roman"/>
          <w:sz w:val="24"/>
          <w:szCs w:val="24"/>
        </w:rPr>
        <w:t xml:space="preserve"> an on-line geographical information system for the Theban necropolis</w:t>
      </w:r>
      <w:r w:rsidR="004E5773">
        <w:rPr>
          <w:rFonts w:ascii="Times New Roman" w:hAnsi="Times New Roman" w:cs="Times New Roman"/>
          <w:sz w:val="24"/>
          <w:szCs w:val="24"/>
        </w:rPr>
        <w:t>, with the red square indicating the approximate position of Figure 3</w:t>
      </w:r>
      <w:r w:rsidR="00963447">
        <w:rPr>
          <w:rFonts w:ascii="Times New Roman" w:hAnsi="Times New Roman" w:cs="Times New Roman"/>
          <w:sz w:val="24"/>
          <w:szCs w:val="24"/>
        </w:rPr>
        <w:t xml:space="preserve"> below</w:t>
      </w:r>
      <w:r w:rsidR="004E5773">
        <w:rPr>
          <w:rFonts w:ascii="Times New Roman" w:hAnsi="Times New Roman" w:cs="Times New Roman"/>
          <w:sz w:val="24"/>
          <w:szCs w:val="24"/>
        </w:rPr>
        <w:t xml:space="preserve"> which</w:t>
      </w:r>
      <w:r w:rsidR="001C7C76">
        <w:rPr>
          <w:rFonts w:ascii="Times New Roman" w:hAnsi="Times New Roman" w:cs="Times New Roman"/>
          <w:sz w:val="24"/>
          <w:szCs w:val="24"/>
        </w:rPr>
        <w:t xml:space="preserve"> will</w:t>
      </w:r>
      <w:r w:rsidR="004E5773">
        <w:rPr>
          <w:rFonts w:ascii="Times New Roman" w:hAnsi="Times New Roman" w:cs="Times New Roman"/>
          <w:sz w:val="24"/>
          <w:szCs w:val="24"/>
        </w:rPr>
        <w:t xml:space="preserve"> show the location of TT99 within the cemetery.</w:t>
      </w:r>
    </w:p>
    <w:p w14:paraId="4698E395" w14:textId="1046328A" w:rsidR="004E5773" w:rsidRDefault="004E5773" w:rsidP="006348E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00DA202" wp14:editId="1C310248">
            <wp:extent cx="5731510" cy="3098800"/>
            <wp:effectExtent l="0" t="0" r="2540" b="6350"/>
            <wp:docPr id="16846221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22120" name="Picture 1684622120"/>
                    <pic:cNvPicPr/>
                  </pic:nvPicPr>
                  <pic:blipFill>
                    <a:blip r:embed="rId7">
                      <a:extLst>
                        <a:ext uri="{28A0092B-C50C-407E-A947-70E740481C1C}">
                          <a14:useLocalDpi xmlns:a14="http://schemas.microsoft.com/office/drawing/2010/main" val="0"/>
                        </a:ext>
                      </a:extLst>
                    </a:blip>
                    <a:stretch>
                      <a:fillRect/>
                    </a:stretch>
                  </pic:blipFill>
                  <pic:spPr>
                    <a:xfrm>
                      <a:off x="0" y="0"/>
                      <a:ext cx="5731510" cy="3098800"/>
                    </a:xfrm>
                    <a:prstGeom prst="rect">
                      <a:avLst/>
                    </a:prstGeom>
                  </pic:spPr>
                </pic:pic>
              </a:graphicData>
            </a:graphic>
          </wp:inline>
        </w:drawing>
      </w:r>
    </w:p>
    <w:p w14:paraId="58A7C284" w14:textId="463D9A82" w:rsidR="004E5773" w:rsidRPr="0047454F" w:rsidRDefault="004E5773" w:rsidP="004E5773">
      <w:pPr>
        <w:jc w:val="center"/>
        <w:rPr>
          <w:rFonts w:ascii="Times New Roman" w:hAnsi="Times New Roman" w:cs="Times New Roman"/>
          <w:sz w:val="20"/>
          <w:szCs w:val="20"/>
        </w:rPr>
      </w:pPr>
      <w:r w:rsidRPr="0047454F">
        <w:rPr>
          <w:rFonts w:ascii="Times New Roman" w:hAnsi="Times New Roman" w:cs="Times New Roman"/>
          <w:sz w:val="20"/>
          <w:szCs w:val="20"/>
        </w:rPr>
        <w:t>Figure 2 (Piccione &amp; Levine, 2019).</w:t>
      </w:r>
    </w:p>
    <w:p w14:paraId="16A4BB21" w14:textId="3EE145E3" w:rsidR="00140369" w:rsidRPr="00140369" w:rsidRDefault="004A75EF" w:rsidP="00A13298">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2E5359F" wp14:editId="183FF983">
            <wp:extent cx="5036525" cy="2273300"/>
            <wp:effectExtent l="0" t="0" r="0" b="0"/>
            <wp:docPr id="1174403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03146" name="Picture 117440314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6673" cy="2277880"/>
                    </a:xfrm>
                    <a:prstGeom prst="rect">
                      <a:avLst/>
                    </a:prstGeom>
                  </pic:spPr>
                </pic:pic>
              </a:graphicData>
            </a:graphic>
          </wp:inline>
        </w:drawing>
      </w:r>
    </w:p>
    <w:p w14:paraId="32B36786" w14:textId="4CC38FCE" w:rsidR="00140369" w:rsidRPr="004E5773" w:rsidRDefault="004E5773" w:rsidP="004E5773">
      <w:pPr>
        <w:jc w:val="center"/>
        <w:rPr>
          <w:rFonts w:ascii="Times New Roman" w:hAnsi="Times New Roman" w:cs="Times New Roman"/>
          <w:sz w:val="20"/>
          <w:szCs w:val="20"/>
        </w:rPr>
      </w:pPr>
      <w:r w:rsidRPr="004E5773">
        <w:rPr>
          <w:rFonts w:ascii="Times New Roman" w:hAnsi="Times New Roman" w:cs="Times New Roman"/>
          <w:sz w:val="20"/>
          <w:szCs w:val="20"/>
        </w:rPr>
        <w:t xml:space="preserve">Figure </w:t>
      </w:r>
      <w:r>
        <w:rPr>
          <w:rFonts w:ascii="Times New Roman" w:hAnsi="Times New Roman" w:cs="Times New Roman"/>
          <w:sz w:val="20"/>
          <w:szCs w:val="20"/>
        </w:rPr>
        <w:t>3</w:t>
      </w:r>
      <w:r w:rsidRPr="004E5773">
        <w:rPr>
          <w:rFonts w:ascii="Times New Roman" w:hAnsi="Times New Roman" w:cs="Times New Roman"/>
          <w:sz w:val="20"/>
          <w:szCs w:val="20"/>
        </w:rPr>
        <w:t xml:space="preserve"> shows the location of TT99, highlighted with a blue arrow, within the cemetery</w:t>
      </w:r>
      <w:r w:rsidR="00963447">
        <w:rPr>
          <w:rFonts w:ascii="Times New Roman" w:hAnsi="Times New Roman" w:cs="Times New Roman"/>
          <w:sz w:val="20"/>
          <w:szCs w:val="20"/>
        </w:rPr>
        <w:t xml:space="preserve"> </w:t>
      </w:r>
      <w:r w:rsidRPr="004E5773">
        <w:rPr>
          <w:rFonts w:ascii="Times New Roman" w:hAnsi="Times New Roman" w:cs="Times New Roman"/>
          <w:sz w:val="20"/>
          <w:szCs w:val="20"/>
        </w:rPr>
        <w:t>(Piccione &amp; Levine, 2019).</w:t>
      </w:r>
    </w:p>
    <w:p w14:paraId="0CFBB62E" w14:textId="78003766" w:rsidR="005D6F6B" w:rsidRDefault="00BD5EC7">
      <w:pPr>
        <w:rPr>
          <w:rFonts w:ascii="Times New Roman" w:hAnsi="Times New Roman" w:cs="Times New Roman"/>
          <w:sz w:val="24"/>
          <w:szCs w:val="24"/>
        </w:rPr>
      </w:pPr>
      <w:r>
        <w:rPr>
          <w:rFonts w:ascii="Times New Roman" w:hAnsi="Times New Roman" w:cs="Times New Roman"/>
          <w:sz w:val="24"/>
          <w:szCs w:val="24"/>
        </w:rPr>
        <w:t>One of the most significant changes in tomb development occurred during the New Kingdom period, c. 1550-1069 BC</w:t>
      </w:r>
      <w:r w:rsidR="00A640FA">
        <w:rPr>
          <w:rFonts w:ascii="Times New Roman" w:hAnsi="Times New Roman" w:cs="Times New Roman"/>
          <w:sz w:val="24"/>
          <w:szCs w:val="24"/>
        </w:rPr>
        <w:t>,</w:t>
      </w:r>
      <w:r w:rsidR="00132CBC">
        <w:rPr>
          <w:rFonts w:ascii="Times New Roman" w:hAnsi="Times New Roman" w:cs="Times New Roman"/>
          <w:sz w:val="24"/>
          <w:szCs w:val="24"/>
        </w:rPr>
        <w:t xml:space="preserve"> </w:t>
      </w:r>
      <w:r w:rsidR="00C91792">
        <w:rPr>
          <w:rFonts w:ascii="Times New Roman" w:hAnsi="Times New Roman" w:cs="Times New Roman"/>
          <w:sz w:val="24"/>
          <w:szCs w:val="24"/>
        </w:rPr>
        <w:t>which</w:t>
      </w:r>
      <w:r w:rsidR="00132CBC">
        <w:rPr>
          <w:rFonts w:ascii="Times New Roman" w:hAnsi="Times New Roman" w:cs="Times New Roman"/>
          <w:sz w:val="24"/>
          <w:szCs w:val="24"/>
        </w:rPr>
        <w:t xml:space="preserve"> saw</w:t>
      </w:r>
      <w:r w:rsidR="00A640FA">
        <w:rPr>
          <w:rFonts w:ascii="Times New Roman" w:hAnsi="Times New Roman" w:cs="Times New Roman"/>
          <w:sz w:val="24"/>
          <w:szCs w:val="24"/>
        </w:rPr>
        <w:t xml:space="preserve"> </w:t>
      </w:r>
      <w:r>
        <w:rPr>
          <w:rFonts w:ascii="Times New Roman" w:hAnsi="Times New Roman" w:cs="Times New Roman"/>
          <w:sz w:val="24"/>
          <w:szCs w:val="24"/>
        </w:rPr>
        <w:t>the emergence of</w:t>
      </w:r>
      <w:r w:rsidR="00A640FA">
        <w:rPr>
          <w:rFonts w:ascii="Times New Roman" w:hAnsi="Times New Roman" w:cs="Times New Roman"/>
          <w:sz w:val="24"/>
          <w:szCs w:val="24"/>
        </w:rPr>
        <w:t xml:space="preserve"> </w:t>
      </w:r>
      <w:r w:rsidR="00132CBC">
        <w:rPr>
          <w:rFonts w:ascii="Times New Roman" w:hAnsi="Times New Roman" w:cs="Times New Roman"/>
          <w:sz w:val="24"/>
          <w:szCs w:val="24"/>
        </w:rPr>
        <w:t>high-status</w:t>
      </w:r>
      <w:r w:rsidR="00A640FA">
        <w:rPr>
          <w:rFonts w:ascii="Times New Roman" w:hAnsi="Times New Roman" w:cs="Times New Roman"/>
          <w:sz w:val="24"/>
          <w:szCs w:val="24"/>
        </w:rPr>
        <w:t xml:space="preserve"> officials who were originally fr</w:t>
      </w:r>
      <w:r w:rsidR="00132CBC">
        <w:rPr>
          <w:rFonts w:ascii="Times New Roman" w:hAnsi="Times New Roman" w:cs="Times New Roman"/>
          <w:sz w:val="24"/>
          <w:szCs w:val="24"/>
        </w:rPr>
        <w:t>o</w:t>
      </w:r>
      <w:r w:rsidR="00A640FA">
        <w:rPr>
          <w:rFonts w:ascii="Times New Roman" w:hAnsi="Times New Roman" w:cs="Times New Roman"/>
          <w:sz w:val="24"/>
          <w:szCs w:val="24"/>
        </w:rPr>
        <w:t>m a more rural background</w:t>
      </w:r>
      <w:r w:rsidR="00132CBC">
        <w:rPr>
          <w:rFonts w:ascii="Times New Roman" w:hAnsi="Times New Roman" w:cs="Times New Roman"/>
          <w:sz w:val="24"/>
          <w:szCs w:val="24"/>
        </w:rPr>
        <w:t xml:space="preserve"> </w:t>
      </w:r>
      <w:r w:rsidR="00132CBC" w:rsidRPr="00132CBC">
        <w:rPr>
          <w:rFonts w:ascii="Times New Roman" w:hAnsi="Times New Roman" w:cs="Times New Roman"/>
          <w:sz w:val="24"/>
          <w:szCs w:val="24"/>
        </w:rPr>
        <w:t>(Shaw, 2000, p. 481; Snape, 2011, p. 180).</w:t>
      </w:r>
      <w:r w:rsidR="00132CBC">
        <w:rPr>
          <w:rFonts w:ascii="Times New Roman" w:hAnsi="Times New Roman" w:cs="Times New Roman"/>
          <w:sz w:val="24"/>
          <w:szCs w:val="24"/>
        </w:rPr>
        <w:t xml:space="preserve"> Their newly acquired</w:t>
      </w:r>
      <w:r w:rsidR="00A640FA">
        <w:rPr>
          <w:rFonts w:ascii="Times New Roman" w:hAnsi="Times New Roman" w:cs="Times New Roman"/>
          <w:sz w:val="24"/>
          <w:szCs w:val="24"/>
        </w:rPr>
        <w:t xml:space="preserve"> status allowed them to construct their tombs in close proximity to, and often as part of, the Royal funerary complex (</w:t>
      </w:r>
      <w:r w:rsidR="00132CBC">
        <w:rPr>
          <w:rFonts w:ascii="Times New Roman" w:hAnsi="Times New Roman" w:cs="Times New Roman"/>
          <w:sz w:val="24"/>
          <w:szCs w:val="24"/>
        </w:rPr>
        <w:t xml:space="preserve">Ikram, 2023, p. 166; </w:t>
      </w:r>
      <w:r w:rsidR="00A640FA">
        <w:rPr>
          <w:rFonts w:ascii="Times New Roman" w:hAnsi="Times New Roman" w:cs="Times New Roman"/>
          <w:sz w:val="24"/>
          <w:szCs w:val="24"/>
        </w:rPr>
        <w:t xml:space="preserve">Snape, 2011, p.180).  This resulted in the west bank at Thebes having the largest </w:t>
      </w:r>
      <w:r w:rsidR="00132CBC">
        <w:rPr>
          <w:rFonts w:ascii="Times New Roman" w:hAnsi="Times New Roman" w:cs="Times New Roman"/>
          <w:sz w:val="24"/>
          <w:szCs w:val="24"/>
        </w:rPr>
        <w:t>concentration</w:t>
      </w:r>
      <w:r w:rsidR="00A640FA">
        <w:rPr>
          <w:rFonts w:ascii="Times New Roman" w:hAnsi="Times New Roman" w:cs="Times New Roman"/>
          <w:sz w:val="24"/>
          <w:szCs w:val="24"/>
        </w:rPr>
        <w:t xml:space="preserve"> of high-</w:t>
      </w:r>
      <w:r w:rsidR="00132CBC">
        <w:rPr>
          <w:rFonts w:ascii="Times New Roman" w:hAnsi="Times New Roman" w:cs="Times New Roman"/>
          <w:sz w:val="24"/>
          <w:szCs w:val="24"/>
        </w:rPr>
        <w:t>quality</w:t>
      </w:r>
      <w:r w:rsidR="00A640FA">
        <w:rPr>
          <w:rFonts w:ascii="Times New Roman" w:hAnsi="Times New Roman" w:cs="Times New Roman"/>
          <w:sz w:val="24"/>
          <w:szCs w:val="24"/>
        </w:rPr>
        <w:t xml:space="preserve"> tombs in ancient Egypt (Snape, 2011, p.180).</w:t>
      </w:r>
      <w:r w:rsidR="00132CBC">
        <w:rPr>
          <w:rFonts w:ascii="Times New Roman" w:hAnsi="Times New Roman" w:cs="Times New Roman"/>
          <w:sz w:val="24"/>
          <w:szCs w:val="24"/>
        </w:rPr>
        <w:t xml:space="preserve"> </w:t>
      </w:r>
    </w:p>
    <w:p w14:paraId="65638E5C" w14:textId="25711A5B" w:rsidR="005462F5" w:rsidRPr="004C138B" w:rsidRDefault="001C7C76" w:rsidP="005462F5">
      <w:pPr>
        <w:rPr>
          <w:rFonts w:ascii="Times New Roman" w:hAnsi="Times New Roman" w:cs="Times New Roman"/>
          <w:sz w:val="24"/>
          <w:szCs w:val="24"/>
        </w:rPr>
      </w:pPr>
      <w:r>
        <w:rPr>
          <w:rFonts w:ascii="Times New Roman" w:hAnsi="Times New Roman" w:cs="Times New Roman"/>
          <w:sz w:val="24"/>
          <w:szCs w:val="24"/>
        </w:rPr>
        <w:t>TT99 is a typical 18</w:t>
      </w:r>
      <w:r w:rsidRPr="001C7C76">
        <w:rPr>
          <w:rFonts w:ascii="Times New Roman" w:hAnsi="Times New Roman" w:cs="Times New Roman"/>
          <w:sz w:val="24"/>
          <w:szCs w:val="24"/>
          <w:vertAlign w:val="superscript"/>
        </w:rPr>
        <w:t>th</w:t>
      </w:r>
      <w:r>
        <w:rPr>
          <w:rFonts w:ascii="Times New Roman" w:hAnsi="Times New Roman" w:cs="Times New Roman"/>
          <w:sz w:val="24"/>
          <w:szCs w:val="24"/>
        </w:rPr>
        <w:t xml:space="preserve"> Dynasty </w:t>
      </w:r>
      <w:r w:rsidR="009F6701">
        <w:rPr>
          <w:rFonts w:ascii="Times New Roman" w:hAnsi="Times New Roman" w:cs="Times New Roman"/>
          <w:sz w:val="24"/>
          <w:szCs w:val="24"/>
        </w:rPr>
        <w:t>tomb and includes a</w:t>
      </w:r>
      <w:r>
        <w:rPr>
          <w:rFonts w:ascii="Times New Roman" w:hAnsi="Times New Roman" w:cs="Times New Roman"/>
          <w:sz w:val="24"/>
          <w:szCs w:val="24"/>
        </w:rPr>
        <w:t xml:space="preserve"> T-shaped chapel</w:t>
      </w:r>
      <w:r w:rsidR="00C91792">
        <w:rPr>
          <w:rFonts w:ascii="Times New Roman" w:hAnsi="Times New Roman" w:cs="Times New Roman"/>
          <w:sz w:val="24"/>
          <w:szCs w:val="24"/>
        </w:rPr>
        <w:t xml:space="preserve"> with a facade</w:t>
      </w:r>
      <w:r>
        <w:rPr>
          <w:rFonts w:ascii="Times New Roman" w:hAnsi="Times New Roman" w:cs="Times New Roman"/>
          <w:sz w:val="24"/>
          <w:szCs w:val="24"/>
        </w:rPr>
        <w:t>, a</w:t>
      </w:r>
      <w:r w:rsidR="00AB67DB">
        <w:rPr>
          <w:rFonts w:ascii="Times New Roman" w:hAnsi="Times New Roman" w:cs="Times New Roman"/>
          <w:sz w:val="24"/>
          <w:szCs w:val="24"/>
        </w:rPr>
        <w:t>nd</w:t>
      </w:r>
      <w:r>
        <w:rPr>
          <w:rFonts w:ascii="Times New Roman" w:hAnsi="Times New Roman" w:cs="Times New Roman"/>
          <w:sz w:val="24"/>
          <w:szCs w:val="24"/>
        </w:rPr>
        <w:t xml:space="preserve"> courtyard</w:t>
      </w:r>
      <w:r w:rsidR="00AB67DB">
        <w:rPr>
          <w:rFonts w:ascii="Times New Roman" w:hAnsi="Times New Roman" w:cs="Times New Roman"/>
          <w:sz w:val="24"/>
          <w:szCs w:val="24"/>
        </w:rPr>
        <w:t>,</w:t>
      </w:r>
      <w:r>
        <w:rPr>
          <w:rFonts w:ascii="Times New Roman" w:hAnsi="Times New Roman" w:cs="Times New Roman"/>
          <w:sz w:val="24"/>
          <w:szCs w:val="24"/>
        </w:rPr>
        <w:t xml:space="preserve"> and </w:t>
      </w:r>
      <w:r w:rsidR="00AB67DB">
        <w:rPr>
          <w:rFonts w:ascii="Times New Roman" w:hAnsi="Times New Roman" w:cs="Times New Roman"/>
          <w:sz w:val="24"/>
          <w:szCs w:val="24"/>
        </w:rPr>
        <w:t xml:space="preserve">with </w:t>
      </w:r>
      <w:r>
        <w:rPr>
          <w:rFonts w:ascii="Times New Roman" w:hAnsi="Times New Roman" w:cs="Times New Roman"/>
          <w:sz w:val="24"/>
          <w:szCs w:val="24"/>
        </w:rPr>
        <w:t>shafts sunk in</w:t>
      </w:r>
      <w:r w:rsidR="0047454F">
        <w:rPr>
          <w:rFonts w:ascii="Times New Roman" w:hAnsi="Times New Roman" w:cs="Times New Roman"/>
          <w:sz w:val="24"/>
          <w:szCs w:val="24"/>
        </w:rPr>
        <w:t xml:space="preserve"> both</w:t>
      </w:r>
      <w:r>
        <w:rPr>
          <w:rFonts w:ascii="Times New Roman" w:hAnsi="Times New Roman" w:cs="Times New Roman"/>
          <w:sz w:val="24"/>
          <w:szCs w:val="24"/>
        </w:rPr>
        <w:t xml:space="preserve"> the chapel </w:t>
      </w:r>
      <w:r w:rsidR="009F6701">
        <w:rPr>
          <w:rFonts w:ascii="Times New Roman" w:hAnsi="Times New Roman" w:cs="Times New Roman"/>
          <w:sz w:val="24"/>
          <w:szCs w:val="24"/>
        </w:rPr>
        <w:t xml:space="preserve">floor </w:t>
      </w:r>
      <w:r>
        <w:rPr>
          <w:rFonts w:ascii="Times New Roman" w:hAnsi="Times New Roman" w:cs="Times New Roman"/>
          <w:sz w:val="24"/>
          <w:szCs w:val="24"/>
        </w:rPr>
        <w:t xml:space="preserve">and </w:t>
      </w:r>
      <w:r w:rsidR="0047454F">
        <w:rPr>
          <w:rFonts w:ascii="Times New Roman" w:hAnsi="Times New Roman" w:cs="Times New Roman"/>
          <w:sz w:val="24"/>
          <w:szCs w:val="24"/>
        </w:rPr>
        <w:t xml:space="preserve">the </w:t>
      </w:r>
      <w:r>
        <w:rPr>
          <w:rFonts w:ascii="Times New Roman" w:hAnsi="Times New Roman" w:cs="Times New Roman"/>
          <w:sz w:val="24"/>
          <w:szCs w:val="24"/>
        </w:rPr>
        <w:t>courtyard</w:t>
      </w:r>
      <w:r w:rsidR="0047454F">
        <w:rPr>
          <w:rFonts w:ascii="Times New Roman" w:hAnsi="Times New Roman" w:cs="Times New Roman"/>
          <w:sz w:val="24"/>
          <w:szCs w:val="24"/>
        </w:rPr>
        <w:t xml:space="preserve"> (Strudwick, 2016, p.1</w:t>
      </w:r>
      <w:r w:rsidR="00C91792">
        <w:rPr>
          <w:rFonts w:ascii="Times New Roman" w:hAnsi="Times New Roman" w:cs="Times New Roman"/>
          <w:sz w:val="24"/>
          <w:szCs w:val="24"/>
        </w:rPr>
        <w:t xml:space="preserve">, and </w:t>
      </w:r>
      <w:r w:rsidR="009A0D0E">
        <w:rPr>
          <w:rFonts w:ascii="Times New Roman" w:hAnsi="Times New Roman" w:cs="Times New Roman"/>
          <w:sz w:val="24"/>
          <w:szCs w:val="24"/>
        </w:rPr>
        <w:t xml:space="preserve">p. </w:t>
      </w:r>
      <w:r w:rsidR="00C91792">
        <w:rPr>
          <w:rFonts w:ascii="Times New Roman" w:hAnsi="Times New Roman" w:cs="Times New Roman"/>
          <w:sz w:val="24"/>
          <w:szCs w:val="24"/>
        </w:rPr>
        <w:t>45</w:t>
      </w:r>
      <w:r w:rsidR="0047454F">
        <w:rPr>
          <w:rFonts w:ascii="Times New Roman" w:hAnsi="Times New Roman" w:cs="Times New Roman"/>
          <w:sz w:val="24"/>
          <w:szCs w:val="24"/>
        </w:rPr>
        <w:t>).</w:t>
      </w:r>
      <w:r w:rsidR="009F6701">
        <w:rPr>
          <w:rFonts w:ascii="Times New Roman" w:hAnsi="Times New Roman" w:cs="Times New Roman"/>
          <w:sz w:val="24"/>
          <w:szCs w:val="24"/>
        </w:rPr>
        <w:t xml:space="preserve"> </w:t>
      </w:r>
      <w:r w:rsidR="00AB67DB">
        <w:rPr>
          <w:rFonts w:ascii="Times New Roman" w:hAnsi="Times New Roman" w:cs="Times New Roman"/>
          <w:sz w:val="24"/>
          <w:szCs w:val="24"/>
        </w:rPr>
        <w:t>Archaeological investigation at the tomb has identified that the</w:t>
      </w:r>
      <w:r w:rsidR="009F6701">
        <w:rPr>
          <w:rFonts w:ascii="Times New Roman" w:hAnsi="Times New Roman" w:cs="Times New Roman"/>
          <w:sz w:val="24"/>
          <w:szCs w:val="24"/>
        </w:rPr>
        <w:t xml:space="preserve"> front facade contains the remains of brownish plaster, a small niche above the door</w:t>
      </w:r>
      <w:r w:rsidR="00AB67DB">
        <w:rPr>
          <w:rFonts w:ascii="Times New Roman" w:hAnsi="Times New Roman" w:cs="Times New Roman"/>
          <w:sz w:val="24"/>
          <w:szCs w:val="24"/>
        </w:rPr>
        <w:t xml:space="preserve"> to the chapel</w:t>
      </w:r>
      <w:r w:rsidR="009F6701">
        <w:rPr>
          <w:rFonts w:ascii="Times New Roman" w:hAnsi="Times New Roman" w:cs="Times New Roman"/>
          <w:sz w:val="24"/>
          <w:szCs w:val="24"/>
        </w:rPr>
        <w:t xml:space="preserve"> and quantities of funerary cones</w:t>
      </w:r>
      <w:r w:rsidR="00AB67DB">
        <w:rPr>
          <w:rFonts w:ascii="Times New Roman" w:hAnsi="Times New Roman" w:cs="Times New Roman"/>
          <w:sz w:val="24"/>
          <w:szCs w:val="24"/>
        </w:rPr>
        <w:t xml:space="preserve"> (Strudwick, 2016, pp. 49-54). </w:t>
      </w:r>
      <w:r w:rsidR="00AB67DB" w:rsidRPr="00AB67DB">
        <w:rPr>
          <w:rFonts w:ascii="Times New Roman" w:hAnsi="Times New Roman" w:cs="Times New Roman"/>
          <w:sz w:val="24"/>
          <w:szCs w:val="24"/>
        </w:rPr>
        <w:t>Funerary cones are flat-ended, funnel-shaped clay pieces that were typically used as ornamentation in Theban tomb walls</w:t>
      </w:r>
      <w:r w:rsidR="00AB67DB">
        <w:rPr>
          <w:rFonts w:ascii="Times New Roman" w:hAnsi="Times New Roman" w:cs="Times New Roman"/>
          <w:sz w:val="24"/>
          <w:szCs w:val="24"/>
        </w:rPr>
        <w:t xml:space="preserve"> </w:t>
      </w:r>
      <w:r w:rsidR="00122296">
        <w:rPr>
          <w:rFonts w:ascii="Times New Roman" w:hAnsi="Times New Roman" w:cs="Times New Roman"/>
          <w:sz w:val="24"/>
          <w:szCs w:val="24"/>
        </w:rPr>
        <w:t>bearing the names and titles of the tomb owners (Zenihiro, 2009, p. 10)</w:t>
      </w:r>
      <w:r w:rsidR="00AB67DB" w:rsidRPr="00AB67DB">
        <w:rPr>
          <w:rFonts w:ascii="Times New Roman" w:hAnsi="Times New Roman" w:cs="Times New Roman"/>
          <w:sz w:val="24"/>
          <w:szCs w:val="24"/>
        </w:rPr>
        <w:t>.</w:t>
      </w:r>
      <w:r w:rsidR="00551BCF">
        <w:rPr>
          <w:rFonts w:ascii="Times New Roman" w:hAnsi="Times New Roman" w:cs="Times New Roman"/>
          <w:sz w:val="24"/>
          <w:szCs w:val="24"/>
        </w:rPr>
        <w:t xml:space="preserve"> The cones found at TT99 therefore provide </w:t>
      </w:r>
      <w:r w:rsidR="005462F5">
        <w:rPr>
          <w:rFonts w:ascii="Times New Roman" w:hAnsi="Times New Roman" w:cs="Times New Roman"/>
          <w:sz w:val="24"/>
          <w:szCs w:val="24"/>
        </w:rPr>
        <w:t xml:space="preserve">good evidence of Senneferi’s </w:t>
      </w:r>
      <w:r w:rsidR="004C138B">
        <w:rPr>
          <w:rFonts w:ascii="Times New Roman" w:hAnsi="Times New Roman" w:cs="Times New Roman"/>
          <w:sz w:val="24"/>
          <w:szCs w:val="24"/>
        </w:rPr>
        <w:t>status</w:t>
      </w:r>
      <w:r w:rsidR="005462F5">
        <w:rPr>
          <w:rFonts w:ascii="Times New Roman" w:hAnsi="Times New Roman" w:cs="Times New Roman"/>
          <w:sz w:val="24"/>
          <w:szCs w:val="24"/>
        </w:rPr>
        <w:t xml:space="preserve"> in Egyptian society with one cone in particular, DM 154</w:t>
      </w:r>
      <w:r w:rsidR="00A13298">
        <w:rPr>
          <w:rFonts w:ascii="Times New Roman" w:hAnsi="Times New Roman" w:cs="Times New Roman"/>
          <w:sz w:val="24"/>
          <w:szCs w:val="24"/>
        </w:rPr>
        <w:t xml:space="preserve"> (Figure 4)</w:t>
      </w:r>
      <w:r w:rsidR="005462F5">
        <w:rPr>
          <w:rFonts w:ascii="Times New Roman" w:hAnsi="Times New Roman" w:cs="Times New Roman"/>
          <w:sz w:val="24"/>
          <w:szCs w:val="24"/>
        </w:rPr>
        <w:t xml:space="preserve"> bearing the following inscription, “</w:t>
      </w:r>
      <w:r w:rsidR="005462F5" w:rsidRPr="005462F5">
        <w:rPr>
          <w:rFonts w:ascii="Times New Roman" w:hAnsi="Times New Roman" w:cs="Times New Roman"/>
          <w:i/>
          <w:iCs/>
          <w:sz w:val="24"/>
          <w:szCs w:val="24"/>
        </w:rPr>
        <w:t>Revered one before Osiris, hereditary noble, mayor, sealbearer of the king of Lower Egypt, sole companion, overseer of the seal, Sennefer(i) justified</w:t>
      </w:r>
      <w:r w:rsidR="005462F5">
        <w:rPr>
          <w:rFonts w:ascii="Times New Roman" w:hAnsi="Times New Roman" w:cs="Times New Roman"/>
          <w:i/>
          <w:iCs/>
          <w:sz w:val="24"/>
          <w:szCs w:val="24"/>
        </w:rPr>
        <w:t xml:space="preserve">” </w:t>
      </w:r>
      <w:r w:rsidR="005462F5">
        <w:rPr>
          <w:rFonts w:ascii="Times New Roman" w:hAnsi="Times New Roman" w:cs="Times New Roman"/>
          <w:sz w:val="24"/>
          <w:szCs w:val="24"/>
        </w:rPr>
        <w:t xml:space="preserve">(Zenihiro, 2009, p. 93). Translations </w:t>
      </w:r>
      <w:r w:rsidR="001E378A">
        <w:rPr>
          <w:rFonts w:ascii="Times New Roman" w:hAnsi="Times New Roman" w:cs="Times New Roman"/>
          <w:sz w:val="24"/>
          <w:szCs w:val="24"/>
        </w:rPr>
        <w:t xml:space="preserve">of the inscription </w:t>
      </w:r>
      <w:r w:rsidR="005462F5">
        <w:rPr>
          <w:rFonts w:ascii="Times New Roman" w:hAnsi="Times New Roman" w:cs="Times New Roman"/>
          <w:sz w:val="24"/>
          <w:szCs w:val="24"/>
        </w:rPr>
        <w:t xml:space="preserve">vary, </w:t>
      </w:r>
      <w:r w:rsidR="004C138B">
        <w:rPr>
          <w:rFonts w:ascii="Times New Roman" w:hAnsi="Times New Roman" w:cs="Times New Roman"/>
          <w:sz w:val="24"/>
          <w:szCs w:val="24"/>
        </w:rPr>
        <w:t xml:space="preserve">with </w:t>
      </w:r>
      <w:r w:rsidR="005462F5">
        <w:rPr>
          <w:rFonts w:ascii="Times New Roman" w:hAnsi="Times New Roman" w:cs="Times New Roman"/>
          <w:sz w:val="24"/>
          <w:szCs w:val="24"/>
        </w:rPr>
        <w:t>Strudwick (2016, p. 49) claiming that the translation is, “</w:t>
      </w:r>
      <w:r w:rsidR="005462F5" w:rsidRPr="005462F5">
        <w:rPr>
          <w:rFonts w:ascii="Times New Roman" w:hAnsi="Times New Roman" w:cs="Times New Roman"/>
          <w:i/>
          <w:iCs/>
          <w:sz w:val="24"/>
          <w:szCs w:val="24"/>
        </w:rPr>
        <w:t>the imakhu in the sight of Osiris, the iry pat HAty-a, seal-bearer of the bity, sole companion, overseer of seal-bearers Sennefer, justified</w:t>
      </w:r>
      <w:r w:rsidR="005462F5">
        <w:rPr>
          <w:rFonts w:ascii="Times New Roman" w:hAnsi="Times New Roman" w:cs="Times New Roman"/>
          <w:i/>
          <w:iCs/>
          <w:sz w:val="24"/>
          <w:szCs w:val="24"/>
        </w:rPr>
        <w:t>.”</w:t>
      </w:r>
    </w:p>
    <w:p w14:paraId="23B4BC07" w14:textId="2424A5CD" w:rsidR="00A13298" w:rsidRPr="00A13298" w:rsidRDefault="00A13298" w:rsidP="00A13298">
      <w:pPr>
        <w:jc w:val="center"/>
        <w:rPr>
          <w:rFonts w:ascii="Times New Roman" w:hAnsi="Times New Roman" w:cs="Times New Roman"/>
          <w:sz w:val="24"/>
          <w:szCs w:val="24"/>
        </w:rPr>
      </w:pPr>
      <w:r w:rsidRPr="00A13298">
        <w:rPr>
          <w:rFonts w:ascii="Times New Roman" w:hAnsi="Times New Roman" w:cs="Times New Roman"/>
          <w:noProof/>
          <w:sz w:val="24"/>
          <w:szCs w:val="24"/>
        </w:rPr>
        <w:drawing>
          <wp:inline distT="0" distB="0" distL="0" distR="0" wp14:anchorId="082F9005" wp14:editId="12B0808A">
            <wp:extent cx="1438999" cy="1530350"/>
            <wp:effectExtent l="0" t="0" r="8890" b="0"/>
            <wp:docPr id="14565695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4138" cy="1546450"/>
                    </a:xfrm>
                    <a:prstGeom prst="rect">
                      <a:avLst/>
                    </a:prstGeom>
                    <a:noFill/>
                    <a:ln>
                      <a:noFill/>
                    </a:ln>
                  </pic:spPr>
                </pic:pic>
              </a:graphicData>
            </a:graphic>
          </wp:inline>
        </w:drawing>
      </w:r>
    </w:p>
    <w:p w14:paraId="797936EC" w14:textId="60645559" w:rsidR="001C7C76" w:rsidRPr="00A13298" w:rsidRDefault="00A13298" w:rsidP="00A13298">
      <w:pPr>
        <w:jc w:val="center"/>
        <w:rPr>
          <w:rFonts w:ascii="Times New Roman" w:hAnsi="Times New Roman" w:cs="Times New Roman"/>
          <w:sz w:val="20"/>
          <w:szCs w:val="20"/>
        </w:rPr>
      </w:pPr>
      <w:r w:rsidRPr="00A13298">
        <w:rPr>
          <w:rFonts w:ascii="Times New Roman" w:hAnsi="Times New Roman" w:cs="Times New Roman"/>
          <w:sz w:val="20"/>
          <w:szCs w:val="20"/>
        </w:rPr>
        <w:t>Figure 4, Cone DM 154 (Strudwick, 2016, p.49).</w:t>
      </w:r>
    </w:p>
    <w:p w14:paraId="41B08591" w14:textId="3BA17815" w:rsidR="00864C46" w:rsidRDefault="00864C46" w:rsidP="00C81A29">
      <w:pPr>
        <w:rPr>
          <w:rFonts w:ascii="Times New Roman" w:hAnsi="Times New Roman" w:cs="Times New Roman"/>
          <w:sz w:val="24"/>
          <w:szCs w:val="24"/>
        </w:rPr>
      </w:pPr>
      <w:r>
        <w:rPr>
          <w:rFonts w:ascii="Times New Roman" w:hAnsi="Times New Roman" w:cs="Times New Roman"/>
          <w:sz w:val="24"/>
          <w:szCs w:val="24"/>
        </w:rPr>
        <w:lastRenderedPageBreak/>
        <w:t xml:space="preserve">The front room of the chapel which </w:t>
      </w:r>
      <w:r w:rsidR="00C81A29">
        <w:rPr>
          <w:rFonts w:ascii="Times New Roman" w:hAnsi="Times New Roman" w:cs="Times New Roman"/>
          <w:sz w:val="24"/>
          <w:szCs w:val="24"/>
        </w:rPr>
        <w:t>has</w:t>
      </w:r>
      <w:r>
        <w:rPr>
          <w:rFonts w:ascii="Times New Roman" w:hAnsi="Times New Roman" w:cs="Times New Roman"/>
          <w:sz w:val="24"/>
          <w:szCs w:val="24"/>
        </w:rPr>
        <w:t xml:space="preserve"> significant damage is </w:t>
      </w:r>
      <w:r w:rsidR="00FA29F3">
        <w:rPr>
          <w:rFonts w:ascii="Times New Roman" w:hAnsi="Times New Roman" w:cs="Times New Roman"/>
          <w:sz w:val="24"/>
          <w:szCs w:val="24"/>
        </w:rPr>
        <w:t>made up of</w:t>
      </w:r>
      <w:r>
        <w:rPr>
          <w:rFonts w:ascii="Times New Roman" w:hAnsi="Times New Roman" w:cs="Times New Roman"/>
          <w:sz w:val="24"/>
          <w:szCs w:val="24"/>
        </w:rPr>
        <w:t xml:space="preserve"> two rectangular sections with a flat ceiling</w:t>
      </w:r>
      <w:r w:rsidR="007E4EA3">
        <w:rPr>
          <w:rFonts w:ascii="Times New Roman" w:hAnsi="Times New Roman" w:cs="Times New Roman"/>
          <w:sz w:val="24"/>
          <w:szCs w:val="24"/>
        </w:rPr>
        <w:t>, which are</w:t>
      </w:r>
      <w:r>
        <w:rPr>
          <w:rFonts w:ascii="Times New Roman" w:hAnsi="Times New Roman" w:cs="Times New Roman"/>
          <w:sz w:val="24"/>
          <w:szCs w:val="24"/>
        </w:rPr>
        <w:t xml:space="preserve"> separated by the front door and the entrance to the passageway (Strudwick, 2016, p. 58). </w:t>
      </w:r>
      <w:r w:rsidR="004F2A8F">
        <w:rPr>
          <w:rFonts w:ascii="Times New Roman" w:hAnsi="Times New Roman" w:cs="Times New Roman"/>
          <w:sz w:val="24"/>
          <w:szCs w:val="24"/>
        </w:rPr>
        <w:t xml:space="preserve">This room contains a false door </w:t>
      </w:r>
      <w:r w:rsidR="0007108D">
        <w:rPr>
          <w:rFonts w:ascii="Times New Roman" w:hAnsi="Times New Roman" w:cs="Times New Roman"/>
          <w:sz w:val="24"/>
          <w:szCs w:val="24"/>
        </w:rPr>
        <w:t>in</w:t>
      </w:r>
      <w:r w:rsidR="004F2A8F">
        <w:rPr>
          <w:rFonts w:ascii="Times New Roman" w:hAnsi="Times New Roman" w:cs="Times New Roman"/>
          <w:sz w:val="24"/>
          <w:szCs w:val="24"/>
        </w:rPr>
        <w:t xml:space="preserve"> its southern wall, fragments of plaster fr</w:t>
      </w:r>
      <w:r w:rsidR="0007108D">
        <w:rPr>
          <w:rFonts w:ascii="Times New Roman" w:hAnsi="Times New Roman" w:cs="Times New Roman"/>
          <w:sz w:val="24"/>
          <w:szCs w:val="24"/>
        </w:rPr>
        <w:t>om</w:t>
      </w:r>
      <w:r w:rsidR="004F2A8F">
        <w:rPr>
          <w:rFonts w:ascii="Times New Roman" w:hAnsi="Times New Roman" w:cs="Times New Roman"/>
          <w:sz w:val="24"/>
          <w:szCs w:val="24"/>
        </w:rPr>
        <w:t xml:space="preserve"> which were found on the</w:t>
      </w:r>
      <w:r w:rsidR="0007108D">
        <w:rPr>
          <w:rFonts w:ascii="Times New Roman" w:hAnsi="Times New Roman" w:cs="Times New Roman"/>
          <w:sz w:val="24"/>
          <w:szCs w:val="24"/>
        </w:rPr>
        <w:t xml:space="preserve"> floor of the</w:t>
      </w:r>
      <w:r w:rsidR="004F2A8F">
        <w:rPr>
          <w:rFonts w:ascii="Times New Roman" w:hAnsi="Times New Roman" w:cs="Times New Roman"/>
          <w:sz w:val="24"/>
          <w:szCs w:val="24"/>
        </w:rPr>
        <w:t xml:space="preserve"> tomb and </w:t>
      </w:r>
      <w:r w:rsidR="0007108D">
        <w:rPr>
          <w:rFonts w:ascii="Times New Roman" w:hAnsi="Times New Roman" w:cs="Times New Roman"/>
          <w:sz w:val="24"/>
          <w:szCs w:val="24"/>
        </w:rPr>
        <w:t>in an</w:t>
      </w:r>
      <w:r w:rsidR="004F2A8F">
        <w:rPr>
          <w:rFonts w:ascii="Times New Roman" w:hAnsi="Times New Roman" w:cs="Times New Roman"/>
          <w:sz w:val="24"/>
          <w:szCs w:val="24"/>
        </w:rPr>
        <w:t>other</w:t>
      </w:r>
      <w:r w:rsidR="0007108D">
        <w:rPr>
          <w:rFonts w:ascii="Times New Roman" w:hAnsi="Times New Roman" w:cs="Times New Roman"/>
          <w:sz w:val="24"/>
          <w:szCs w:val="24"/>
        </w:rPr>
        <w:t xml:space="preserve"> nearby</w:t>
      </w:r>
      <w:r w:rsidR="004F2A8F">
        <w:rPr>
          <w:rFonts w:ascii="Times New Roman" w:hAnsi="Times New Roman" w:cs="Times New Roman"/>
          <w:sz w:val="24"/>
          <w:szCs w:val="24"/>
        </w:rPr>
        <w:t xml:space="preserve"> tomb</w:t>
      </w:r>
      <w:r w:rsidR="0007108D">
        <w:rPr>
          <w:rFonts w:ascii="Times New Roman" w:hAnsi="Times New Roman" w:cs="Times New Roman"/>
          <w:sz w:val="24"/>
          <w:szCs w:val="24"/>
        </w:rPr>
        <w:t xml:space="preserve"> (TT96)</w:t>
      </w:r>
      <w:r w:rsidR="00782972">
        <w:rPr>
          <w:rFonts w:ascii="Times New Roman" w:hAnsi="Times New Roman" w:cs="Times New Roman"/>
          <w:sz w:val="24"/>
          <w:szCs w:val="24"/>
        </w:rPr>
        <w:t xml:space="preserve">, </w:t>
      </w:r>
      <w:r w:rsidR="008340DD">
        <w:rPr>
          <w:rFonts w:ascii="Times New Roman" w:hAnsi="Times New Roman" w:cs="Times New Roman"/>
          <w:sz w:val="24"/>
          <w:szCs w:val="24"/>
        </w:rPr>
        <w:t>and in the north wall a space for a stela</w:t>
      </w:r>
      <w:r w:rsidR="004F2A8F">
        <w:rPr>
          <w:rFonts w:ascii="Times New Roman" w:hAnsi="Times New Roman" w:cs="Times New Roman"/>
          <w:sz w:val="24"/>
          <w:szCs w:val="24"/>
        </w:rPr>
        <w:t xml:space="preserve"> (Strudwick, 2016, pp. 91-</w:t>
      </w:r>
      <w:r w:rsidR="008340DD">
        <w:rPr>
          <w:rFonts w:ascii="Times New Roman" w:hAnsi="Times New Roman" w:cs="Times New Roman"/>
          <w:sz w:val="24"/>
          <w:szCs w:val="24"/>
        </w:rPr>
        <w:t>106</w:t>
      </w:r>
      <w:r w:rsidR="004F2A8F">
        <w:rPr>
          <w:rFonts w:ascii="Times New Roman" w:hAnsi="Times New Roman" w:cs="Times New Roman"/>
          <w:sz w:val="24"/>
          <w:szCs w:val="24"/>
        </w:rPr>
        <w:t xml:space="preserve">). </w:t>
      </w:r>
      <w:r w:rsidR="001D3705">
        <w:rPr>
          <w:rFonts w:ascii="Times New Roman" w:hAnsi="Times New Roman" w:cs="Times New Roman"/>
          <w:sz w:val="24"/>
          <w:szCs w:val="24"/>
        </w:rPr>
        <w:t xml:space="preserve">The long passageway with a vaulted ceiling leads to the rear room or </w:t>
      </w:r>
      <w:r w:rsidR="00FA29F3">
        <w:rPr>
          <w:rFonts w:ascii="Times New Roman" w:hAnsi="Times New Roman" w:cs="Times New Roman"/>
          <w:sz w:val="24"/>
          <w:szCs w:val="24"/>
        </w:rPr>
        <w:t>shrine, which has two central pillars</w:t>
      </w:r>
      <w:r w:rsidR="00C81A29">
        <w:rPr>
          <w:rFonts w:ascii="Times New Roman" w:hAnsi="Times New Roman" w:cs="Times New Roman"/>
          <w:sz w:val="24"/>
          <w:szCs w:val="24"/>
        </w:rPr>
        <w:t xml:space="preserve"> which break up the room into three sections with noticeable different</w:t>
      </w:r>
      <w:r w:rsidR="00E318F1">
        <w:rPr>
          <w:rFonts w:ascii="Times New Roman" w:hAnsi="Times New Roman" w:cs="Times New Roman"/>
          <w:sz w:val="24"/>
          <w:szCs w:val="24"/>
        </w:rPr>
        <w:t>ly</w:t>
      </w:r>
      <w:r w:rsidR="00C81A29">
        <w:rPr>
          <w:rFonts w:ascii="Times New Roman" w:hAnsi="Times New Roman" w:cs="Times New Roman"/>
          <w:sz w:val="24"/>
          <w:szCs w:val="24"/>
        </w:rPr>
        <w:t xml:space="preserve"> styled ceilings</w:t>
      </w:r>
      <w:r w:rsidR="00FA29F3">
        <w:rPr>
          <w:rFonts w:ascii="Times New Roman" w:hAnsi="Times New Roman" w:cs="Times New Roman"/>
          <w:sz w:val="24"/>
          <w:szCs w:val="24"/>
        </w:rPr>
        <w:t xml:space="preserve"> (Strudwick, 2016, pp. 58-61).</w:t>
      </w:r>
      <w:r w:rsidR="00C81A29">
        <w:rPr>
          <w:rFonts w:ascii="Times New Roman" w:hAnsi="Times New Roman" w:cs="Times New Roman"/>
          <w:sz w:val="24"/>
          <w:szCs w:val="24"/>
        </w:rPr>
        <w:t xml:space="preserve"> </w:t>
      </w:r>
      <w:r w:rsidR="00FA29F3">
        <w:rPr>
          <w:rFonts w:ascii="Times New Roman" w:hAnsi="Times New Roman" w:cs="Times New Roman"/>
          <w:sz w:val="24"/>
          <w:szCs w:val="24"/>
        </w:rPr>
        <w:t>Figure 5 is a diagram of the chapel layout, providing numbered references for the walls and brief details of their decoration.</w:t>
      </w:r>
      <w:r w:rsidR="00C81A29">
        <w:rPr>
          <w:rFonts w:ascii="Times New Roman" w:hAnsi="Times New Roman" w:cs="Times New Roman"/>
          <w:sz w:val="24"/>
          <w:szCs w:val="24"/>
        </w:rPr>
        <w:t xml:space="preserve"> </w:t>
      </w:r>
      <w:r w:rsidR="00C81A29" w:rsidRPr="00C81A29">
        <w:rPr>
          <w:rFonts w:ascii="Times New Roman" w:hAnsi="Times New Roman" w:cs="Times New Roman"/>
          <w:sz w:val="24"/>
          <w:szCs w:val="24"/>
        </w:rPr>
        <w:t xml:space="preserve">In the rear wall of the shrine is a small niche which would have held offerings or may once have held a statue (Strudwick, 2016, p. 61). </w:t>
      </w:r>
    </w:p>
    <w:p w14:paraId="13D455A6" w14:textId="631542CC" w:rsidR="00864C46" w:rsidRPr="00864C46" w:rsidRDefault="00864C46" w:rsidP="00864C46">
      <w:pPr>
        <w:jc w:val="center"/>
        <w:rPr>
          <w:rFonts w:ascii="Times New Roman" w:hAnsi="Times New Roman" w:cs="Times New Roman"/>
          <w:sz w:val="24"/>
          <w:szCs w:val="24"/>
        </w:rPr>
      </w:pPr>
      <w:r w:rsidRPr="00864C46">
        <w:rPr>
          <w:rFonts w:ascii="Times New Roman" w:hAnsi="Times New Roman" w:cs="Times New Roman"/>
          <w:noProof/>
          <w:sz w:val="24"/>
          <w:szCs w:val="24"/>
        </w:rPr>
        <w:drawing>
          <wp:inline distT="0" distB="0" distL="0" distR="0" wp14:anchorId="6EE2F4C0" wp14:editId="1FD03BD8">
            <wp:extent cx="5219612" cy="6108700"/>
            <wp:effectExtent l="0" t="0" r="635" b="6350"/>
            <wp:docPr id="1369274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2383" cy="6147054"/>
                    </a:xfrm>
                    <a:prstGeom prst="rect">
                      <a:avLst/>
                    </a:prstGeom>
                    <a:noFill/>
                    <a:ln>
                      <a:noFill/>
                    </a:ln>
                  </pic:spPr>
                </pic:pic>
              </a:graphicData>
            </a:graphic>
          </wp:inline>
        </w:drawing>
      </w:r>
    </w:p>
    <w:p w14:paraId="286F5461" w14:textId="1A5E60C9" w:rsidR="00996FE6" w:rsidRPr="00996FE6" w:rsidRDefault="00996FE6" w:rsidP="00996FE6">
      <w:pPr>
        <w:rPr>
          <w:rFonts w:ascii="Times New Roman" w:hAnsi="Times New Roman" w:cs="Times New Roman"/>
          <w:sz w:val="24"/>
          <w:szCs w:val="24"/>
        </w:rPr>
      </w:pPr>
    </w:p>
    <w:p w14:paraId="631C19EF" w14:textId="1F46CC1B" w:rsidR="00132CBC" w:rsidRPr="00864C46" w:rsidRDefault="00864C46" w:rsidP="00864C46">
      <w:pPr>
        <w:jc w:val="center"/>
        <w:rPr>
          <w:rFonts w:ascii="Times New Roman" w:hAnsi="Times New Roman" w:cs="Times New Roman"/>
          <w:sz w:val="20"/>
          <w:szCs w:val="20"/>
        </w:rPr>
      </w:pPr>
      <w:r w:rsidRPr="00864C46">
        <w:rPr>
          <w:rFonts w:ascii="Times New Roman" w:hAnsi="Times New Roman" w:cs="Times New Roman"/>
          <w:sz w:val="20"/>
          <w:szCs w:val="20"/>
        </w:rPr>
        <w:t>Figure 5, Diagram of TT99 showing the numbering of the walls (Strudwick, 2016, p. 85).</w:t>
      </w:r>
    </w:p>
    <w:p w14:paraId="0284668D" w14:textId="4F99BFAB" w:rsidR="00AB6C91" w:rsidRDefault="000D2A89" w:rsidP="00AB6C91">
      <w:pPr>
        <w:rPr>
          <w:rFonts w:ascii="Times New Roman" w:hAnsi="Times New Roman" w:cs="Times New Roman"/>
          <w:sz w:val="24"/>
          <w:szCs w:val="24"/>
        </w:rPr>
      </w:pPr>
      <w:r>
        <w:rPr>
          <w:rFonts w:ascii="Times New Roman" w:hAnsi="Times New Roman" w:cs="Times New Roman"/>
          <w:sz w:val="24"/>
          <w:szCs w:val="24"/>
        </w:rPr>
        <w:lastRenderedPageBreak/>
        <w:t xml:space="preserve">Most of the wall paintings in the tomb </w:t>
      </w:r>
      <w:r w:rsidR="007E4EA3">
        <w:rPr>
          <w:rFonts w:ascii="Times New Roman" w:hAnsi="Times New Roman" w:cs="Times New Roman"/>
          <w:sz w:val="24"/>
          <w:szCs w:val="24"/>
        </w:rPr>
        <w:t>are missing</w:t>
      </w:r>
      <w:r>
        <w:rPr>
          <w:rFonts w:ascii="Times New Roman" w:hAnsi="Times New Roman" w:cs="Times New Roman"/>
          <w:sz w:val="24"/>
          <w:szCs w:val="24"/>
        </w:rPr>
        <w:t>, particularly</w:t>
      </w:r>
      <w:r w:rsidR="007E4EA3">
        <w:rPr>
          <w:rFonts w:ascii="Times New Roman" w:hAnsi="Times New Roman" w:cs="Times New Roman"/>
          <w:sz w:val="24"/>
          <w:szCs w:val="24"/>
        </w:rPr>
        <w:t xml:space="preserve"> on</w:t>
      </w:r>
      <w:r>
        <w:rPr>
          <w:rFonts w:ascii="Times New Roman" w:hAnsi="Times New Roman" w:cs="Times New Roman"/>
          <w:sz w:val="24"/>
          <w:szCs w:val="24"/>
        </w:rPr>
        <w:t xml:space="preserve"> Walls 11 and 18 which </w:t>
      </w:r>
      <w:r w:rsidR="007E4EA3">
        <w:rPr>
          <w:rFonts w:ascii="Times New Roman" w:hAnsi="Times New Roman" w:cs="Times New Roman"/>
          <w:sz w:val="24"/>
          <w:szCs w:val="24"/>
        </w:rPr>
        <w:t xml:space="preserve">are completely </w:t>
      </w:r>
      <w:r>
        <w:rPr>
          <w:rFonts w:ascii="Times New Roman" w:hAnsi="Times New Roman" w:cs="Times New Roman"/>
          <w:sz w:val="24"/>
          <w:szCs w:val="24"/>
        </w:rPr>
        <w:t>lack</w:t>
      </w:r>
      <w:r w:rsidR="007E4EA3">
        <w:rPr>
          <w:rFonts w:ascii="Times New Roman" w:hAnsi="Times New Roman" w:cs="Times New Roman"/>
          <w:sz w:val="24"/>
          <w:szCs w:val="24"/>
        </w:rPr>
        <w:t>ing</w:t>
      </w:r>
      <w:r>
        <w:rPr>
          <w:rFonts w:ascii="Times New Roman" w:hAnsi="Times New Roman" w:cs="Times New Roman"/>
          <w:sz w:val="24"/>
          <w:szCs w:val="24"/>
        </w:rPr>
        <w:t xml:space="preserve"> any decoration</w:t>
      </w:r>
      <w:r w:rsidR="007E4EA3">
        <w:rPr>
          <w:rFonts w:ascii="Times New Roman" w:hAnsi="Times New Roman" w:cs="Times New Roman"/>
          <w:sz w:val="24"/>
          <w:szCs w:val="24"/>
        </w:rPr>
        <w:t xml:space="preserve"> (Strudwick, 2016, p. </w:t>
      </w:r>
      <w:r w:rsidR="00020A60">
        <w:rPr>
          <w:rFonts w:ascii="Times New Roman" w:hAnsi="Times New Roman" w:cs="Times New Roman"/>
          <w:sz w:val="24"/>
          <w:szCs w:val="24"/>
        </w:rPr>
        <w:t>62</w:t>
      </w:r>
      <w:r w:rsidR="007E4EA3">
        <w:rPr>
          <w:rFonts w:ascii="Times New Roman" w:hAnsi="Times New Roman" w:cs="Times New Roman"/>
          <w:sz w:val="24"/>
          <w:szCs w:val="24"/>
        </w:rPr>
        <w:t xml:space="preserve">). What remains of any wall painting </w:t>
      </w:r>
      <w:r w:rsidR="00E441D3">
        <w:rPr>
          <w:rFonts w:ascii="Times New Roman" w:hAnsi="Times New Roman" w:cs="Times New Roman"/>
          <w:sz w:val="24"/>
          <w:szCs w:val="24"/>
        </w:rPr>
        <w:t>is</w:t>
      </w:r>
      <w:r w:rsidR="007E4EA3">
        <w:rPr>
          <w:rFonts w:ascii="Times New Roman" w:hAnsi="Times New Roman" w:cs="Times New Roman"/>
          <w:sz w:val="24"/>
          <w:szCs w:val="24"/>
        </w:rPr>
        <w:t xml:space="preserve"> limited to the top of certain walls (Strudwick, 2016, p. 161). </w:t>
      </w:r>
      <w:r w:rsidR="00AB6C91">
        <w:rPr>
          <w:rFonts w:ascii="Times New Roman" w:hAnsi="Times New Roman" w:cs="Times New Roman"/>
          <w:sz w:val="24"/>
          <w:szCs w:val="24"/>
        </w:rPr>
        <w:t>However, these remaining pieces offer a glimpse into the life of Senneferi</w:t>
      </w:r>
      <w:r w:rsidR="00782972">
        <w:rPr>
          <w:rFonts w:ascii="Times New Roman" w:hAnsi="Times New Roman" w:cs="Times New Roman"/>
          <w:sz w:val="24"/>
          <w:szCs w:val="24"/>
        </w:rPr>
        <w:t>, beginning with</w:t>
      </w:r>
      <w:r w:rsidR="00AB6C91" w:rsidRPr="00AB6C91">
        <w:rPr>
          <w:rFonts w:ascii="Times New Roman" w:hAnsi="Times New Roman" w:cs="Times New Roman"/>
          <w:sz w:val="24"/>
          <w:szCs w:val="24"/>
        </w:rPr>
        <w:t xml:space="preserve"> the front room </w:t>
      </w:r>
      <w:r w:rsidR="00782972">
        <w:rPr>
          <w:rFonts w:ascii="Times New Roman" w:hAnsi="Times New Roman" w:cs="Times New Roman"/>
          <w:sz w:val="24"/>
          <w:szCs w:val="24"/>
        </w:rPr>
        <w:t>which</w:t>
      </w:r>
      <w:r w:rsidR="00AB6C91" w:rsidRPr="00AB6C91">
        <w:rPr>
          <w:rFonts w:ascii="Times New Roman" w:hAnsi="Times New Roman" w:cs="Times New Roman"/>
          <w:sz w:val="24"/>
          <w:szCs w:val="24"/>
        </w:rPr>
        <w:t xml:space="preserve"> show</w:t>
      </w:r>
      <w:r w:rsidR="00782972">
        <w:rPr>
          <w:rFonts w:ascii="Times New Roman" w:hAnsi="Times New Roman" w:cs="Times New Roman"/>
          <w:sz w:val="24"/>
          <w:szCs w:val="24"/>
        </w:rPr>
        <w:t>s</w:t>
      </w:r>
      <w:r w:rsidR="00AB6C91" w:rsidRPr="00AB6C91">
        <w:rPr>
          <w:rFonts w:ascii="Times New Roman" w:hAnsi="Times New Roman" w:cs="Times New Roman"/>
          <w:sz w:val="24"/>
          <w:szCs w:val="24"/>
        </w:rPr>
        <w:t xml:space="preserve"> a combination of </w:t>
      </w:r>
      <w:r w:rsidR="00782972">
        <w:rPr>
          <w:rFonts w:ascii="Times New Roman" w:hAnsi="Times New Roman" w:cs="Times New Roman"/>
          <w:sz w:val="24"/>
          <w:szCs w:val="24"/>
        </w:rPr>
        <w:t>his</w:t>
      </w:r>
      <w:r w:rsidR="00AB6C91" w:rsidRPr="00AB6C91">
        <w:rPr>
          <w:rFonts w:ascii="Times New Roman" w:hAnsi="Times New Roman" w:cs="Times New Roman"/>
          <w:sz w:val="24"/>
          <w:szCs w:val="24"/>
        </w:rPr>
        <w:t xml:space="preserve"> important accomplishments and his relationship with the king</w:t>
      </w:r>
      <w:r w:rsidR="00047176">
        <w:rPr>
          <w:rFonts w:ascii="Times New Roman" w:hAnsi="Times New Roman" w:cs="Times New Roman"/>
          <w:sz w:val="24"/>
          <w:szCs w:val="24"/>
        </w:rPr>
        <w:t xml:space="preserve">, </w:t>
      </w:r>
      <w:r w:rsidR="00AB6C91" w:rsidRPr="00AB6C91">
        <w:rPr>
          <w:rFonts w:ascii="Times New Roman" w:hAnsi="Times New Roman" w:cs="Times New Roman"/>
          <w:sz w:val="24"/>
          <w:szCs w:val="24"/>
        </w:rPr>
        <w:t>particularly</w:t>
      </w:r>
      <w:r w:rsidR="00047176">
        <w:rPr>
          <w:rFonts w:ascii="Times New Roman" w:hAnsi="Times New Roman" w:cs="Times New Roman"/>
          <w:sz w:val="24"/>
          <w:szCs w:val="24"/>
        </w:rPr>
        <w:t xml:space="preserve"> his</w:t>
      </w:r>
      <w:r w:rsidR="00AB6C91" w:rsidRPr="00AB6C91">
        <w:rPr>
          <w:rFonts w:ascii="Times New Roman" w:hAnsi="Times New Roman" w:cs="Times New Roman"/>
          <w:sz w:val="24"/>
          <w:szCs w:val="24"/>
        </w:rPr>
        <w:t xml:space="preserve"> journey to Lebanon</w:t>
      </w:r>
      <w:r w:rsidR="00047176">
        <w:rPr>
          <w:rFonts w:ascii="Times New Roman" w:hAnsi="Times New Roman" w:cs="Times New Roman"/>
          <w:sz w:val="24"/>
          <w:szCs w:val="24"/>
        </w:rPr>
        <w:t xml:space="preserve"> to secure </w:t>
      </w:r>
      <w:r w:rsidR="00AF7B91">
        <w:rPr>
          <w:rFonts w:ascii="Times New Roman" w:hAnsi="Times New Roman" w:cs="Times New Roman"/>
          <w:sz w:val="24"/>
          <w:szCs w:val="24"/>
        </w:rPr>
        <w:t xml:space="preserve">high quality </w:t>
      </w:r>
      <w:r w:rsidR="00047176">
        <w:rPr>
          <w:rFonts w:ascii="Times New Roman" w:hAnsi="Times New Roman" w:cs="Times New Roman"/>
          <w:sz w:val="24"/>
          <w:szCs w:val="24"/>
        </w:rPr>
        <w:t>wood</w:t>
      </w:r>
      <w:r w:rsidR="00403893">
        <w:rPr>
          <w:rFonts w:ascii="Times New Roman" w:hAnsi="Times New Roman" w:cs="Times New Roman"/>
          <w:sz w:val="24"/>
          <w:szCs w:val="24"/>
        </w:rPr>
        <w:t xml:space="preserve"> for temple flagpoles</w:t>
      </w:r>
      <w:r w:rsidR="00AB6C91" w:rsidRPr="00AB6C91">
        <w:rPr>
          <w:rFonts w:ascii="Times New Roman" w:hAnsi="Times New Roman" w:cs="Times New Roman"/>
          <w:sz w:val="24"/>
          <w:szCs w:val="24"/>
        </w:rPr>
        <w:t xml:space="preserve">, </w:t>
      </w:r>
      <w:r w:rsidR="00782972">
        <w:rPr>
          <w:rFonts w:ascii="Times New Roman" w:hAnsi="Times New Roman" w:cs="Times New Roman"/>
          <w:sz w:val="24"/>
          <w:szCs w:val="24"/>
        </w:rPr>
        <w:t>along</w:t>
      </w:r>
      <w:r w:rsidR="00AB6C91" w:rsidRPr="00AB6C91">
        <w:rPr>
          <w:rFonts w:ascii="Times New Roman" w:hAnsi="Times New Roman" w:cs="Times New Roman"/>
          <w:sz w:val="24"/>
          <w:szCs w:val="24"/>
        </w:rPr>
        <w:t xml:space="preserve"> with some ritual images that are a part of the "Beautiful Festival of the Valley</w:t>
      </w:r>
      <w:r w:rsidR="00782972">
        <w:rPr>
          <w:rFonts w:ascii="Times New Roman" w:hAnsi="Times New Roman" w:cs="Times New Roman"/>
          <w:sz w:val="24"/>
          <w:szCs w:val="24"/>
        </w:rPr>
        <w:t xml:space="preserve"> (Strudwick, 2016, p. 162</w:t>
      </w:r>
      <w:r w:rsidR="008370F1">
        <w:rPr>
          <w:rFonts w:ascii="Times New Roman" w:hAnsi="Times New Roman" w:cs="Times New Roman"/>
          <w:sz w:val="24"/>
          <w:szCs w:val="24"/>
        </w:rPr>
        <w:t>; Strudwick, 2018</w:t>
      </w:r>
      <w:r w:rsidR="00782972">
        <w:rPr>
          <w:rFonts w:ascii="Times New Roman" w:hAnsi="Times New Roman" w:cs="Times New Roman"/>
          <w:sz w:val="24"/>
          <w:szCs w:val="24"/>
        </w:rPr>
        <w:t>)</w:t>
      </w:r>
      <w:r w:rsidR="00AB6C91" w:rsidRPr="00AB6C91">
        <w:rPr>
          <w:rFonts w:ascii="Times New Roman" w:hAnsi="Times New Roman" w:cs="Times New Roman"/>
          <w:sz w:val="24"/>
          <w:szCs w:val="24"/>
        </w:rPr>
        <w:t>.</w:t>
      </w:r>
    </w:p>
    <w:p w14:paraId="50C0E942" w14:textId="09309DB7" w:rsidR="006A76D0" w:rsidRDefault="00E441D3" w:rsidP="006A76D0">
      <w:pPr>
        <w:rPr>
          <w:rFonts w:ascii="Times New Roman" w:hAnsi="Times New Roman" w:cs="Times New Roman"/>
          <w:sz w:val="24"/>
          <w:szCs w:val="24"/>
        </w:rPr>
      </w:pPr>
      <w:r>
        <w:rPr>
          <w:rFonts w:ascii="Times New Roman" w:hAnsi="Times New Roman" w:cs="Times New Roman"/>
          <w:sz w:val="24"/>
          <w:szCs w:val="24"/>
        </w:rPr>
        <w:t>T</w:t>
      </w:r>
      <w:r w:rsidR="00782972" w:rsidRPr="00782972">
        <w:rPr>
          <w:rFonts w:ascii="Times New Roman" w:hAnsi="Times New Roman" w:cs="Times New Roman"/>
          <w:sz w:val="24"/>
          <w:szCs w:val="24"/>
        </w:rPr>
        <w:t xml:space="preserve">he false </w:t>
      </w:r>
      <w:r w:rsidR="00782972">
        <w:rPr>
          <w:rFonts w:ascii="Times New Roman" w:hAnsi="Times New Roman" w:cs="Times New Roman"/>
          <w:sz w:val="24"/>
          <w:szCs w:val="24"/>
        </w:rPr>
        <w:t>door</w:t>
      </w:r>
      <w:r w:rsidR="00782972" w:rsidRPr="00782972">
        <w:rPr>
          <w:rFonts w:ascii="Times New Roman" w:hAnsi="Times New Roman" w:cs="Times New Roman"/>
          <w:sz w:val="24"/>
          <w:szCs w:val="24"/>
        </w:rPr>
        <w:t xml:space="preserve"> and </w:t>
      </w:r>
      <w:r w:rsidR="008340DD">
        <w:rPr>
          <w:rFonts w:ascii="Times New Roman" w:hAnsi="Times New Roman" w:cs="Times New Roman"/>
          <w:sz w:val="24"/>
          <w:szCs w:val="24"/>
        </w:rPr>
        <w:t xml:space="preserve">memorial </w:t>
      </w:r>
      <w:r w:rsidR="00782972" w:rsidRPr="00782972">
        <w:rPr>
          <w:rFonts w:ascii="Times New Roman" w:hAnsi="Times New Roman" w:cs="Times New Roman"/>
          <w:sz w:val="24"/>
          <w:szCs w:val="24"/>
        </w:rPr>
        <w:t>stela</w:t>
      </w:r>
      <w:r>
        <w:rPr>
          <w:rFonts w:ascii="Times New Roman" w:hAnsi="Times New Roman" w:cs="Times New Roman"/>
          <w:sz w:val="24"/>
          <w:szCs w:val="24"/>
        </w:rPr>
        <w:t xml:space="preserve"> within this room </w:t>
      </w:r>
      <w:r w:rsidR="006A76D0" w:rsidRPr="006A76D0">
        <w:rPr>
          <w:rFonts w:ascii="Times New Roman" w:hAnsi="Times New Roman" w:cs="Times New Roman"/>
          <w:sz w:val="24"/>
          <w:szCs w:val="24"/>
        </w:rPr>
        <w:t xml:space="preserve">create </w:t>
      </w:r>
      <w:r w:rsidR="006A76D0">
        <w:rPr>
          <w:rFonts w:ascii="Times New Roman" w:hAnsi="Times New Roman" w:cs="Times New Roman"/>
          <w:sz w:val="24"/>
          <w:szCs w:val="24"/>
        </w:rPr>
        <w:t xml:space="preserve">a </w:t>
      </w:r>
      <w:r w:rsidR="006A76D0" w:rsidRPr="006A76D0">
        <w:rPr>
          <w:rFonts w:ascii="Times New Roman" w:hAnsi="Times New Roman" w:cs="Times New Roman"/>
          <w:sz w:val="24"/>
          <w:szCs w:val="24"/>
        </w:rPr>
        <w:t>symbolic portal between the afterlife and the realm of the living</w:t>
      </w:r>
      <w:r w:rsidR="006A76D0">
        <w:rPr>
          <w:rFonts w:ascii="Times New Roman" w:hAnsi="Times New Roman" w:cs="Times New Roman"/>
          <w:sz w:val="24"/>
          <w:szCs w:val="24"/>
        </w:rPr>
        <w:t xml:space="preserve"> (Shaw &amp; Nicholson,1995, pp. 278-279; Strudwick, 2016, p. 162)</w:t>
      </w:r>
      <w:r w:rsidR="006A76D0" w:rsidRPr="006A76D0">
        <w:rPr>
          <w:rFonts w:ascii="Times New Roman" w:hAnsi="Times New Roman" w:cs="Times New Roman"/>
          <w:sz w:val="24"/>
          <w:szCs w:val="24"/>
        </w:rPr>
        <w:t>.</w:t>
      </w:r>
      <w:r w:rsidR="006A76D0">
        <w:rPr>
          <w:rFonts w:ascii="Times New Roman" w:hAnsi="Times New Roman" w:cs="Times New Roman"/>
          <w:sz w:val="24"/>
          <w:szCs w:val="24"/>
        </w:rPr>
        <w:t xml:space="preserve"> </w:t>
      </w:r>
      <w:r w:rsidR="006A76D0" w:rsidRPr="006A76D0">
        <w:rPr>
          <w:rFonts w:ascii="Times New Roman" w:hAnsi="Times New Roman" w:cs="Times New Roman"/>
          <w:sz w:val="24"/>
          <w:szCs w:val="24"/>
        </w:rPr>
        <w:t xml:space="preserve">Only the receipt of burial goods is presented in the poorly preserved scenes in the </w:t>
      </w:r>
      <w:r>
        <w:rPr>
          <w:rFonts w:ascii="Times New Roman" w:hAnsi="Times New Roman" w:cs="Times New Roman"/>
          <w:sz w:val="24"/>
          <w:szCs w:val="24"/>
        </w:rPr>
        <w:t>p</w:t>
      </w:r>
      <w:r w:rsidR="006A76D0" w:rsidRPr="006A76D0">
        <w:rPr>
          <w:rFonts w:ascii="Times New Roman" w:hAnsi="Times New Roman" w:cs="Times New Roman"/>
          <w:sz w:val="24"/>
          <w:szCs w:val="24"/>
        </w:rPr>
        <w:t>assage</w:t>
      </w:r>
      <w:r w:rsidR="006A76D0">
        <w:rPr>
          <w:rFonts w:ascii="Times New Roman" w:hAnsi="Times New Roman" w:cs="Times New Roman"/>
          <w:sz w:val="24"/>
          <w:szCs w:val="24"/>
        </w:rPr>
        <w:t>, which</w:t>
      </w:r>
      <w:r w:rsidR="006A76D0" w:rsidRPr="006A76D0">
        <w:rPr>
          <w:rFonts w:ascii="Times New Roman" w:hAnsi="Times New Roman" w:cs="Times New Roman"/>
          <w:sz w:val="24"/>
          <w:szCs w:val="24"/>
        </w:rPr>
        <w:t xml:space="preserve"> could be seen as a transition between the front </w:t>
      </w:r>
      <w:r w:rsidR="006A76D0">
        <w:rPr>
          <w:rFonts w:ascii="Times New Roman" w:hAnsi="Times New Roman" w:cs="Times New Roman"/>
          <w:sz w:val="24"/>
          <w:szCs w:val="24"/>
        </w:rPr>
        <w:t>room</w:t>
      </w:r>
      <w:r w:rsidR="006A76D0" w:rsidRPr="006A76D0">
        <w:rPr>
          <w:rFonts w:ascii="Times New Roman" w:hAnsi="Times New Roman" w:cs="Times New Roman"/>
          <w:sz w:val="24"/>
          <w:szCs w:val="24"/>
        </w:rPr>
        <w:t xml:space="preserve"> and the Shrine at the </w:t>
      </w:r>
      <w:r w:rsidR="006A76D0">
        <w:rPr>
          <w:rFonts w:ascii="Times New Roman" w:hAnsi="Times New Roman" w:cs="Times New Roman"/>
          <w:sz w:val="24"/>
          <w:szCs w:val="24"/>
        </w:rPr>
        <w:t>rear (Strudwick, 2016, p. 162).</w:t>
      </w:r>
    </w:p>
    <w:p w14:paraId="384A95A7" w14:textId="441ED26C" w:rsidR="008370F1" w:rsidRDefault="008370F1" w:rsidP="006A76D0">
      <w:pPr>
        <w:rPr>
          <w:rFonts w:ascii="Times New Roman" w:hAnsi="Times New Roman" w:cs="Times New Roman"/>
          <w:sz w:val="24"/>
          <w:szCs w:val="24"/>
        </w:rPr>
      </w:pPr>
      <w:r>
        <w:rPr>
          <w:rFonts w:ascii="Times New Roman" w:hAnsi="Times New Roman" w:cs="Times New Roman"/>
          <w:sz w:val="24"/>
          <w:szCs w:val="24"/>
        </w:rPr>
        <w:t>What remains of the shrine’s</w:t>
      </w:r>
      <w:r w:rsidRPr="008370F1">
        <w:rPr>
          <w:rFonts w:ascii="Times New Roman" w:hAnsi="Times New Roman" w:cs="Times New Roman"/>
          <w:sz w:val="24"/>
          <w:szCs w:val="24"/>
        </w:rPr>
        <w:t xml:space="preserve"> </w:t>
      </w:r>
      <w:r>
        <w:rPr>
          <w:rFonts w:ascii="Times New Roman" w:hAnsi="Times New Roman" w:cs="Times New Roman"/>
          <w:sz w:val="24"/>
          <w:szCs w:val="24"/>
        </w:rPr>
        <w:t xml:space="preserve">decoration </w:t>
      </w:r>
      <w:r w:rsidRPr="008370F1">
        <w:rPr>
          <w:rFonts w:ascii="Times New Roman" w:hAnsi="Times New Roman" w:cs="Times New Roman"/>
          <w:sz w:val="24"/>
          <w:szCs w:val="24"/>
        </w:rPr>
        <w:t>main</w:t>
      </w:r>
      <w:r>
        <w:rPr>
          <w:rFonts w:ascii="Times New Roman" w:hAnsi="Times New Roman" w:cs="Times New Roman"/>
          <w:sz w:val="24"/>
          <w:szCs w:val="24"/>
        </w:rPr>
        <w:t>ly shows</w:t>
      </w:r>
      <w:r w:rsidRPr="008370F1">
        <w:rPr>
          <w:rFonts w:ascii="Times New Roman" w:hAnsi="Times New Roman" w:cs="Times New Roman"/>
          <w:sz w:val="24"/>
          <w:szCs w:val="24"/>
        </w:rPr>
        <w:t xml:space="preserve"> the provision and upholding of the cult of the deceased on the west wall, along with scenes in which </w:t>
      </w:r>
      <w:r>
        <w:rPr>
          <w:rFonts w:ascii="Times New Roman" w:hAnsi="Times New Roman" w:cs="Times New Roman"/>
          <w:sz w:val="24"/>
          <w:szCs w:val="24"/>
        </w:rPr>
        <w:t>Senneferi</w:t>
      </w:r>
      <w:r w:rsidRPr="008370F1">
        <w:rPr>
          <w:rFonts w:ascii="Times New Roman" w:hAnsi="Times New Roman" w:cs="Times New Roman"/>
          <w:sz w:val="24"/>
          <w:szCs w:val="24"/>
        </w:rPr>
        <w:t xml:space="preserve"> is depicted with Osiris and Anubis, the tomb's most prominent deities</w:t>
      </w:r>
      <w:r>
        <w:rPr>
          <w:rFonts w:ascii="Times New Roman" w:hAnsi="Times New Roman" w:cs="Times New Roman"/>
          <w:sz w:val="24"/>
          <w:szCs w:val="24"/>
        </w:rPr>
        <w:t>, as well as</w:t>
      </w:r>
      <w:r w:rsidRPr="008370F1">
        <w:rPr>
          <w:rFonts w:ascii="Times New Roman" w:hAnsi="Times New Roman" w:cs="Times New Roman"/>
          <w:sz w:val="24"/>
          <w:szCs w:val="24"/>
        </w:rPr>
        <w:t xml:space="preserve"> a synopsis of his accomplishments </w:t>
      </w:r>
      <w:r>
        <w:rPr>
          <w:rFonts w:ascii="Times New Roman" w:hAnsi="Times New Roman" w:cs="Times New Roman"/>
          <w:sz w:val="24"/>
          <w:szCs w:val="24"/>
        </w:rPr>
        <w:t>in</w:t>
      </w:r>
      <w:r w:rsidRPr="008370F1">
        <w:rPr>
          <w:rFonts w:ascii="Times New Roman" w:hAnsi="Times New Roman" w:cs="Times New Roman"/>
          <w:sz w:val="24"/>
          <w:szCs w:val="24"/>
        </w:rPr>
        <w:t xml:space="preserve"> </w:t>
      </w:r>
      <w:r>
        <w:rPr>
          <w:rFonts w:ascii="Times New Roman" w:hAnsi="Times New Roman" w:cs="Times New Roman"/>
          <w:sz w:val="24"/>
          <w:szCs w:val="24"/>
        </w:rPr>
        <w:t>a</w:t>
      </w:r>
      <w:r w:rsidRPr="008370F1">
        <w:rPr>
          <w:rFonts w:ascii="Times New Roman" w:hAnsi="Times New Roman" w:cs="Times New Roman"/>
          <w:sz w:val="24"/>
          <w:szCs w:val="24"/>
        </w:rPr>
        <w:t xml:space="preserve"> biography</w:t>
      </w:r>
      <w:r w:rsidR="00C47E83">
        <w:rPr>
          <w:rFonts w:ascii="Times New Roman" w:hAnsi="Times New Roman" w:cs="Times New Roman"/>
          <w:sz w:val="24"/>
          <w:szCs w:val="24"/>
        </w:rPr>
        <w:t xml:space="preserve"> on wall 12 (Figure 6),</w:t>
      </w:r>
      <w:r w:rsidRPr="008370F1">
        <w:rPr>
          <w:rFonts w:ascii="Times New Roman" w:hAnsi="Times New Roman" w:cs="Times New Roman"/>
          <w:sz w:val="24"/>
          <w:szCs w:val="24"/>
        </w:rPr>
        <w:t xml:space="preserve"> and</w:t>
      </w:r>
      <w:r w:rsidR="00C47E83">
        <w:rPr>
          <w:rFonts w:ascii="Times New Roman" w:hAnsi="Times New Roman" w:cs="Times New Roman"/>
          <w:sz w:val="24"/>
          <w:szCs w:val="24"/>
        </w:rPr>
        <w:t xml:space="preserve"> scenes from</w:t>
      </w:r>
      <w:r w:rsidRPr="008370F1">
        <w:rPr>
          <w:rFonts w:ascii="Times New Roman" w:hAnsi="Times New Roman" w:cs="Times New Roman"/>
          <w:sz w:val="24"/>
          <w:szCs w:val="24"/>
        </w:rPr>
        <w:t xml:space="preserve"> his funeral</w:t>
      </w:r>
      <w:r w:rsidR="00020A60">
        <w:rPr>
          <w:rFonts w:ascii="Times New Roman" w:hAnsi="Times New Roman" w:cs="Times New Roman"/>
          <w:sz w:val="24"/>
          <w:szCs w:val="24"/>
        </w:rPr>
        <w:t xml:space="preserve"> on</w:t>
      </w:r>
      <w:r w:rsidR="00C47E83">
        <w:rPr>
          <w:rFonts w:ascii="Times New Roman" w:hAnsi="Times New Roman" w:cs="Times New Roman"/>
          <w:sz w:val="24"/>
          <w:szCs w:val="24"/>
        </w:rPr>
        <w:t xml:space="preserve"> wall</w:t>
      </w:r>
      <w:r w:rsidR="006B51CB">
        <w:rPr>
          <w:rFonts w:ascii="Times New Roman" w:hAnsi="Times New Roman" w:cs="Times New Roman"/>
          <w:sz w:val="24"/>
          <w:szCs w:val="24"/>
        </w:rPr>
        <w:t>s</w:t>
      </w:r>
      <w:r w:rsidR="00C47E83">
        <w:rPr>
          <w:rFonts w:ascii="Times New Roman" w:hAnsi="Times New Roman" w:cs="Times New Roman"/>
          <w:sz w:val="24"/>
          <w:szCs w:val="24"/>
        </w:rPr>
        <w:t xml:space="preserve"> 13</w:t>
      </w:r>
      <w:r w:rsidR="006B51CB">
        <w:rPr>
          <w:rFonts w:ascii="Times New Roman" w:hAnsi="Times New Roman" w:cs="Times New Roman"/>
          <w:sz w:val="24"/>
          <w:szCs w:val="24"/>
        </w:rPr>
        <w:t xml:space="preserve"> - 16</w:t>
      </w:r>
      <w:r w:rsidR="00C47E83">
        <w:rPr>
          <w:rFonts w:ascii="Times New Roman" w:hAnsi="Times New Roman" w:cs="Times New Roman"/>
          <w:sz w:val="24"/>
          <w:szCs w:val="24"/>
        </w:rPr>
        <w:t xml:space="preserve"> </w:t>
      </w:r>
      <w:r>
        <w:rPr>
          <w:rFonts w:ascii="Times New Roman" w:hAnsi="Times New Roman" w:cs="Times New Roman"/>
          <w:sz w:val="24"/>
          <w:szCs w:val="24"/>
        </w:rPr>
        <w:t>(Strudwick, 2016, p. 162).</w:t>
      </w:r>
    </w:p>
    <w:p w14:paraId="6D32A053" w14:textId="6C7DC6B5" w:rsidR="00E441D3" w:rsidRPr="006A76D0" w:rsidRDefault="00E441D3" w:rsidP="00E441D3">
      <w:pPr>
        <w:jc w:val="center"/>
        <w:rPr>
          <w:rFonts w:ascii="Times New Roman" w:hAnsi="Times New Roman" w:cs="Times New Roman"/>
          <w:sz w:val="24"/>
          <w:szCs w:val="24"/>
        </w:rPr>
      </w:pPr>
      <w:r w:rsidRPr="00E441D3">
        <w:rPr>
          <w:rFonts w:ascii="Times New Roman" w:hAnsi="Times New Roman" w:cs="Times New Roman"/>
          <w:noProof/>
          <w:sz w:val="24"/>
          <w:szCs w:val="24"/>
        </w:rPr>
        <w:drawing>
          <wp:inline distT="0" distB="0" distL="0" distR="0" wp14:anchorId="761850C2" wp14:editId="2F9DCF8C">
            <wp:extent cx="5238090" cy="4159250"/>
            <wp:effectExtent l="0" t="0" r="1270" b="0"/>
            <wp:docPr id="211708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3741" cy="4171677"/>
                    </a:xfrm>
                    <a:prstGeom prst="rect">
                      <a:avLst/>
                    </a:prstGeom>
                    <a:noFill/>
                    <a:ln>
                      <a:noFill/>
                    </a:ln>
                  </pic:spPr>
                </pic:pic>
              </a:graphicData>
            </a:graphic>
          </wp:inline>
        </w:drawing>
      </w:r>
    </w:p>
    <w:p w14:paraId="7BF010E5" w14:textId="544351B9" w:rsidR="004E5773" w:rsidRDefault="00E441D3" w:rsidP="00E441D3">
      <w:pPr>
        <w:jc w:val="center"/>
        <w:rPr>
          <w:rFonts w:ascii="Times New Roman" w:hAnsi="Times New Roman" w:cs="Times New Roman"/>
          <w:sz w:val="20"/>
          <w:szCs w:val="20"/>
        </w:rPr>
      </w:pPr>
      <w:r w:rsidRPr="00E441D3">
        <w:rPr>
          <w:rFonts w:ascii="Times New Roman" w:hAnsi="Times New Roman" w:cs="Times New Roman"/>
          <w:sz w:val="20"/>
          <w:szCs w:val="20"/>
        </w:rPr>
        <w:t xml:space="preserve">Figure 6, wall 12 </w:t>
      </w:r>
      <w:r w:rsidR="00C47E83">
        <w:rPr>
          <w:rFonts w:ascii="Times New Roman" w:hAnsi="Times New Roman" w:cs="Times New Roman"/>
          <w:sz w:val="20"/>
          <w:szCs w:val="20"/>
        </w:rPr>
        <w:t xml:space="preserve">Senneferi’s </w:t>
      </w:r>
      <w:r w:rsidRPr="00E441D3">
        <w:rPr>
          <w:rFonts w:ascii="Times New Roman" w:hAnsi="Times New Roman" w:cs="Times New Roman"/>
          <w:sz w:val="20"/>
          <w:szCs w:val="20"/>
        </w:rPr>
        <w:t>biographical text (Strudwick, 2016, colour plate 23a).</w:t>
      </w:r>
    </w:p>
    <w:p w14:paraId="4C1FBD2F" w14:textId="77777777" w:rsidR="00C47E83" w:rsidRDefault="00C47E83" w:rsidP="00E441D3">
      <w:pPr>
        <w:jc w:val="center"/>
        <w:rPr>
          <w:rFonts w:ascii="Times New Roman" w:hAnsi="Times New Roman" w:cs="Times New Roman"/>
          <w:sz w:val="20"/>
          <w:szCs w:val="20"/>
        </w:rPr>
      </w:pPr>
    </w:p>
    <w:p w14:paraId="1A012F57" w14:textId="77777777" w:rsidR="00C47E83" w:rsidRDefault="00C47E83" w:rsidP="00E441D3">
      <w:pPr>
        <w:jc w:val="center"/>
        <w:rPr>
          <w:rFonts w:ascii="Times New Roman" w:hAnsi="Times New Roman" w:cs="Times New Roman"/>
          <w:sz w:val="20"/>
          <w:szCs w:val="20"/>
        </w:rPr>
      </w:pPr>
    </w:p>
    <w:p w14:paraId="09907DB8" w14:textId="5D961625" w:rsidR="006B51CB" w:rsidRDefault="006B51CB" w:rsidP="006B51CB">
      <w:pPr>
        <w:rPr>
          <w:rFonts w:ascii="Times New Roman" w:hAnsi="Times New Roman" w:cs="Times New Roman"/>
          <w:sz w:val="24"/>
          <w:szCs w:val="24"/>
        </w:rPr>
      </w:pPr>
      <w:r w:rsidRPr="006B51CB">
        <w:rPr>
          <w:rFonts w:ascii="Times New Roman" w:hAnsi="Times New Roman" w:cs="Times New Roman"/>
          <w:sz w:val="24"/>
          <w:szCs w:val="24"/>
        </w:rPr>
        <w:lastRenderedPageBreak/>
        <w:t xml:space="preserve">His biography </w:t>
      </w:r>
      <w:r>
        <w:rPr>
          <w:rFonts w:ascii="Times New Roman" w:hAnsi="Times New Roman" w:cs="Times New Roman"/>
          <w:sz w:val="24"/>
          <w:szCs w:val="24"/>
        </w:rPr>
        <w:t>includes the following titles, “</w:t>
      </w:r>
      <w:r w:rsidRPr="006B51CB">
        <w:rPr>
          <w:rFonts w:ascii="Times New Roman" w:hAnsi="Times New Roman" w:cs="Times New Roman"/>
          <w:i/>
          <w:iCs/>
          <w:sz w:val="24"/>
          <w:szCs w:val="24"/>
        </w:rPr>
        <w:t>Overseer of the priests of Horus……Royal messenger…….overseer of storehouses……overseer of seal bearers and two granaries….overseer of the priests of Sobek and Anubis…. Chief overseer of the fields of Amun</w:t>
      </w:r>
      <w:r>
        <w:rPr>
          <w:rFonts w:ascii="Times New Roman" w:hAnsi="Times New Roman" w:cs="Times New Roman"/>
          <w:sz w:val="24"/>
          <w:szCs w:val="24"/>
        </w:rPr>
        <w:t>” (Strudwick, 2016, p. 126).</w:t>
      </w:r>
    </w:p>
    <w:p w14:paraId="2F73CE79" w14:textId="0BCC4038" w:rsidR="00020A60" w:rsidRDefault="00911612" w:rsidP="006B51CB">
      <w:pPr>
        <w:rPr>
          <w:rFonts w:ascii="Times New Roman" w:hAnsi="Times New Roman" w:cs="Times New Roman"/>
          <w:sz w:val="24"/>
          <w:szCs w:val="24"/>
        </w:rPr>
      </w:pPr>
      <w:r>
        <w:rPr>
          <w:rFonts w:ascii="Times New Roman" w:hAnsi="Times New Roman" w:cs="Times New Roman"/>
          <w:sz w:val="24"/>
          <w:szCs w:val="24"/>
        </w:rPr>
        <w:t xml:space="preserve">Three burial shafts were identified in the Courtyard, </w:t>
      </w:r>
      <w:r w:rsidR="003A5359">
        <w:rPr>
          <w:rFonts w:ascii="Times New Roman" w:hAnsi="Times New Roman" w:cs="Times New Roman"/>
          <w:sz w:val="24"/>
          <w:szCs w:val="24"/>
        </w:rPr>
        <w:t>all three of which</w:t>
      </w:r>
      <w:r>
        <w:rPr>
          <w:rFonts w:ascii="Times New Roman" w:hAnsi="Times New Roman" w:cs="Times New Roman"/>
          <w:sz w:val="24"/>
          <w:szCs w:val="24"/>
        </w:rPr>
        <w:t xml:space="preserve"> ha</w:t>
      </w:r>
      <w:r w:rsidR="003A5359">
        <w:rPr>
          <w:rFonts w:ascii="Times New Roman" w:hAnsi="Times New Roman" w:cs="Times New Roman"/>
          <w:sz w:val="24"/>
          <w:szCs w:val="24"/>
        </w:rPr>
        <w:t>d</w:t>
      </w:r>
      <w:r>
        <w:rPr>
          <w:rFonts w:ascii="Times New Roman" w:hAnsi="Times New Roman" w:cs="Times New Roman"/>
          <w:sz w:val="24"/>
          <w:szCs w:val="24"/>
        </w:rPr>
        <w:t xml:space="preserve"> been robbed and excavated on several occasions in the past (Strudwick, 2016, pp. 65-83). </w:t>
      </w:r>
      <w:r w:rsidR="003A5359">
        <w:rPr>
          <w:rFonts w:ascii="Times New Roman" w:hAnsi="Times New Roman" w:cs="Times New Roman"/>
          <w:sz w:val="24"/>
          <w:szCs w:val="24"/>
        </w:rPr>
        <w:t>Shaft I</w:t>
      </w:r>
      <w:r w:rsidR="00507EE0">
        <w:rPr>
          <w:rFonts w:ascii="Times New Roman" w:hAnsi="Times New Roman" w:cs="Times New Roman"/>
          <w:sz w:val="24"/>
          <w:szCs w:val="24"/>
        </w:rPr>
        <w:t xml:space="preserve"> </w:t>
      </w:r>
      <w:r w:rsidR="00E318F1">
        <w:rPr>
          <w:rFonts w:ascii="Times New Roman" w:hAnsi="Times New Roman" w:cs="Times New Roman"/>
          <w:sz w:val="24"/>
          <w:szCs w:val="24"/>
        </w:rPr>
        <w:t>appears</w:t>
      </w:r>
      <w:r w:rsidR="003A5359">
        <w:rPr>
          <w:rFonts w:ascii="Times New Roman" w:hAnsi="Times New Roman" w:cs="Times New Roman"/>
          <w:sz w:val="24"/>
          <w:szCs w:val="24"/>
        </w:rPr>
        <w:t xml:space="preserve"> to have been better constructed than the other two shaft</w:t>
      </w:r>
      <w:r w:rsidR="00507EE0">
        <w:rPr>
          <w:rFonts w:ascii="Times New Roman" w:hAnsi="Times New Roman" w:cs="Times New Roman"/>
          <w:sz w:val="24"/>
          <w:szCs w:val="24"/>
        </w:rPr>
        <w:t>s</w:t>
      </w:r>
      <w:r w:rsidR="003A5359">
        <w:rPr>
          <w:rFonts w:ascii="Times New Roman" w:hAnsi="Times New Roman" w:cs="Times New Roman"/>
          <w:sz w:val="24"/>
          <w:szCs w:val="24"/>
        </w:rPr>
        <w:t xml:space="preserve"> and material recovered in this shaft has identified that it led to the burial chamber of Senneferi and members of his family (Strudwick, 2016, pp. 65-83). </w:t>
      </w:r>
      <w:r w:rsidR="00E318F1" w:rsidRPr="00E318F1">
        <w:rPr>
          <w:rFonts w:ascii="Times New Roman" w:hAnsi="Times New Roman" w:cs="Times New Roman"/>
          <w:sz w:val="24"/>
          <w:szCs w:val="24"/>
        </w:rPr>
        <w:t xml:space="preserve">Large quantities of ceramic sherds, including pieces of funerary cones, also wooden coffin pieces, and human remains have been recovered in these burial chambers (Strudwick, 2016, pp. 65-83). </w:t>
      </w:r>
      <w:r w:rsidR="003A5359">
        <w:rPr>
          <w:rFonts w:ascii="Times New Roman" w:hAnsi="Times New Roman" w:cs="Times New Roman"/>
          <w:sz w:val="24"/>
          <w:szCs w:val="24"/>
        </w:rPr>
        <w:t>At the bottom of this shaft were recovered fragments of Senneferi’s false door as well as</w:t>
      </w:r>
      <w:r w:rsidR="00121098">
        <w:rPr>
          <w:rFonts w:ascii="Times New Roman" w:hAnsi="Times New Roman" w:cs="Times New Roman"/>
          <w:sz w:val="24"/>
          <w:szCs w:val="24"/>
        </w:rPr>
        <w:t xml:space="preserve"> fragments</w:t>
      </w:r>
      <w:r w:rsidR="003A5359">
        <w:rPr>
          <w:rFonts w:ascii="Times New Roman" w:hAnsi="Times New Roman" w:cs="Times New Roman"/>
          <w:sz w:val="24"/>
          <w:szCs w:val="24"/>
        </w:rPr>
        <w:t xml:space="preserve"> of a stela, most </w:t>
      </w:r>
      <w:r w:rsidR="00121098">
        <w:rPr>
          <w:rFonts w:ascii="Times New Roman" w:hAnsi="Times New Roman" w:cs="Times New Roman"/>
          <w:sz w:val="24"/>
          <w:szCs w:val="24"/>
        </w:rPr>
        <w:t>probably</w:t>
      </w:r>
      <w:r w:rsidR="003A5359">
        <w:rPr>
          <w:rFonts w:ascii="Times New Roman" w:hAnsi="Times New Roman" w:cs="Times New Roman"/>
          <w:sz w:val="24"/>
          <w:szCs w:val="24"/>
        </w:rPr>
        <w:t xml:space="preserve"> from </w:t>
      </w:r>
      <w:r w:rsidR="00121098">
        <w:rPr>
          <w:rFonts w:ascii="Times New Roman" w:hAnsi="Times New Roman" w:cs="Times New Roman"/>
          <w:sz w:val="24"/>
          <w:szCs w:val="24"/>
        </w:rPr>
        <w:t>the front room of the tomb which is mentioned above (Strudwick, 2016, p. 76).</w:t>
      </w:r>
    </w:p>
    <w:p w14:paraId="76B2FAD2" w14:textId="7854D605" w:rsidR="007C0FFB" w:rsidRDefault="00121098" w:rsidP="006B51CB">
      <w:pPr>
        <w:rPr>
          <w:rFonts w:ascii="Times New Roman" w:hAnsi="Times New Roman" w:cs="Times New Roman"/>
          <w:sz w:val="24"/>
          <w:szCs w:val="24"/>
        </w:rPr>
      </w:pPr>
      <w:r>
        <w:rPr>
          <w:rFonts w:ascii="Times New Roman" w:hAnsi="Times New Roman" w:cs="Times New Roman"/>
          <w:sz w:val="24"/>
          <w:szCs w:val="24"/>
        </w:rPr>
        <w:t xml:space="preserve">Analysis of the material found in burial Shaft I and its adjoining rooms, particularly </w:t>
      </w:r>
      <w:r w:rsidRPr="00121098">
        <w:rPr>
          <w:rFonts w:ascii="Times New Roman" w:hAnsi="Times New Roman" w:cs="Times New Roman"/>
          <w:sz w:val="24"/>
          <w:szCs w:val="24"/>
        </w:rPr>
        <w:t>coffin pieces</w:t>
      </w:r>
      <w:r>
        <w:rPr>
          <w:rFonts w:ascii="Times New Roman" w:hAnsi="Times New Roman" w:cs="Times New Roman"/>
          <w:sz w:val="24"/>
          <w:szCs w:val="24"/>
        </w:rPr>
        <w:t xml:space="preserve">, have identified typical Dynasty 18 style ‘black’ anthropoid coffins, including pieces of a face, inlaid eyes, wooden ears and two wooden beards to attach to a coffin (Strudwick, 2016, pp.183-185). Also discovered were wooden </w:t>
      </w:r>
      <w:r w:rsidR="007C0FFB">
        <w:rPr>
          <w:rFonts w:ascii="Times New Roman" w:hAnsi="Times New Roman" w:cs="Times New Roman"/>
          <w:sz w:val="24"/>
          <w:szCs w:val="24"/>
        </w:rPr>
        <w:t>pieces</w:t>
      </w:r>
      <w:r>
        <w:rPr>
          <w:rFonts w:ascii="Times New Roman" w:hAnsi="Times New Roman" w:cs="Times New Roman"/>
          <w:sz w:val="24"/>
          <w:szCs w:val="24"/>
        </w:rPr>
        <w:t xml:space="preserve"> </w:t>
      </w:r>
      <w:r w:rsidR="007C0FFB">
        <w:rPr>
          <w:rFonts w:ascii="Times New Roman" w:hAnsi="Times New Roman" w:cs="Times New Roman"/>
          <w:sz w:val="24"/>
          <w:szCs w:val="24"/>
        </w:rPr>
        <w:t>with the remains of</w:t>
      </w:r>
      <w:r>
        <w:rPr>
          <w:rFonts w:ascii="Times New Roman" w:hAnsi="Times New Roman" w:cs="Times New Roman"/>
          <w:sz w:val="24"/>
          <w:szCs w:val="24"/>
        </w:rPr>
        <w:t xml:space="preserve"> red and yellow </w:t>
      </w:r>
      <w:r w:rsidR="007C0FFB">
        <w:rPr>
          <w:rFonts w:ascii="Times New Roman" w:hAnsi="Times New Roman" w:cs="Times New Roman"/>
          <w:sz w:val="24"/>
          <w:szCs w:val="24"/>
        </w:rPr>
        <w:t>plaster</w:t>
      </w:r>
      <w:r>
        <w:rPr>
          <w:rFonts w:ascii="Times New Roman" w:hAnsi="Times New Roman" w:cs="Times New Roman"/>
          <w:sz w:val="24"/>
          <w:szCs w:val="24"/>
        </w:rPr>
        <w:t xml:space="preserve">, and </w:t>
      </w:r>
      <w:r w:rsidR="007C0FFB">
        <w:rPr>
          <w:rFonts w:ascii="Times New Roman" w:hAnsi="Times New Roman" w:cs="Times New Roman"/>
          <w:sz w:val="24"/>
          <w:szCs w:val="24"/>
        </w:rPr>
        <w:t xml:space="preserve">gold leaf, as well as pieces with Senneferi’s name of them (Strudwick, 2016, pp. 184-185). </w:t>
      </w:r>
      <w:r w:rsidR="00D132FE">
        <w:rPr>
          <w:rFonts w:ascii="Times New Roman" w:hAnsi="Times New Roman" w:cs="Times New Roman"/>
          <w:sz w:val="24"/>
          <w:szCs w:val="24"/>
        </w:rPr>
        <w:t xml:space="preserve">Additionally, </w:t>
      </w:r>
      <w:r w:rsidR="00013877">
        <w:rPr>
          <w:rFonts w:ascii="Times New Roman" w:hAnsi="Times New Roman" w:cs="Times New Roman"/>
          <w:sz w:val="24"/>
          <w:szCs w:val="24"/>
        </w:rPr>
        <w:t xml:space="preserve">wooden </w:t>
      </w:r>
      <w:r w:rsidR="00D132FE">
        <w:rPr>
          <w:rFonts w:ascii="Times New Roman" w:hAnsi="Times New Roman" w:cs="Times New Roman"/>
          <w:sz w:val="24"/>
          <w:szCs w:val="24"/>
        </w:rPr>
        <w:t xml:space="preserve">fragments of burial furniture </w:t>
      </w:r>
      <w:r w:rsidR="00013877">
        <w:rPr>
          <w:rFonts w:ascii="Times New Roman" w:hAnsi="Times New Roman" w:cs="Times New Roman"/>
          <w:sz w:val="24"/>
          <w:szCs w:val="24"/>
        </w:rPr>
        <w:t xml:space="preserve">were discovered, </w:t>
      </w:r>
      <w:r w:rsidR="00D132FE">
        <w:rPr>
          <w:rFonts w:ascii="Times New Roman" w:hAnsi="Times New Roman" w:cs="Times New Roman"/>
          <w:sz w:val="24"/>
          <w:szCs w:val="24"/>
        </w:rPr>
        <w:t>which were</w:t>
      </w:r>
      <w:r w:rsidR="00013877">
        <w:rPr>
          <w:rFonts w:ascii="Times New Roman" w:hAnsi="Times New Roman" w:cs="Times New Roman"/>
          <w:sz w:val="24"/>
          <w:szCs w:val="24"/>
        </w:rPr>
        <w:t xml:space="preserve"> considered </w:t>
      </w:r>
      <w:r w:rsidR="00D132FE">
        <w:rPr>
          <w:rFonts w:ascii="Times New Roman" w:hAnsi="Times New Roman" w:cs="Times New Roman"/>
          <w:sz w:val="24"/>
          <w:szCs w:val="24"/>
        </w:rPr>
        <w:t xml:space="preserve">important elements </w:t>
      </w:r>
      <w:r w:rsidR="00013877">
        <w:rPr>
          <w:rFonts w:ascii="Times New Roman" w:hAnsi="Times New Roman" w:cs="Times New Roman"/>
          <w:sz w:val="24"/>
          <w:szCs w:val="24"/>
        </w:rPr>
        <w:t>in</w:t>
      </w:r>
      <w:r w:rsidR="00D132FE">
        <w:rPr>
          <w:rFonts w:ascii="Times New Roman" w:hAnsi="Times New Roman" w:cs="Times New Roman"/>
          <w:sz w:val="24"/>
          <w:szCs w:val="24"/>
        </w:rPr>
        <w:t xml:space="preserve"> ‘elite burials’ in the 18</w:t>
      </w:r>
      <w:r w:rsidR="00D132FE" w:rsidRPr="00D132FE">
        <w:rPr>
          <w:rFonts w:ascii="Times New Roman" w:hAnsi="Times New Roman" w:cs="Times New Roman"/>
          <w:sz w:val="24"/>
          <w:szCs w:val="24"/>
          <w:vertAlign w:val="superscript"/>
        </w:rPr>
        <w:t>th</w:t>
      </w:r>
      <w:r w:rsidR="00D132FE">
        <w:rPr>
          <w:rFonts w:ascii="Times New Roman" w:hAnsi="Times New Roman" w:cs="Times New Roman"/>
          <w:sz w:val="24"/>
          <w:szCs w:val="24"/>
        </w:rPr>
        <w:t xml:space="preserve"> Dynasty (Strudwick, 2016, p. 279). </w:t>
      </w:r>
      <w:r w:rsidR="007C0FFB">
        <w:rPr>
          <w:rFonts w:ascii="Times New Roman" w:hAnsi="Times New Roman" w:cs="Times New Roman"/>
          <w:sz w:val="24"/>
          <w:szCs w:val="24"/>
        </w:rPr>
        <w:t xml:space="preserve">These finds indicate that one of the individuals was provided with a </w:t>
      </w:r>
      <w:r w:rsidR="00507EE0">
        <w:rPr>
          <w:rFonts w:ascii="Times New Roman" w:hAnsi="Times New Roman" w:cs="Times New Roman"/>
          <w:sz w:val="24"/>
          <w:szCs w:val="24"/>
        </w:rPr>
        <w:t>high-status</w:t>
      </w:r>
      <w:r w:rsidR="007C0FFB">
        <w:rPr>
          <w:rFonts w:ascii="Times New Roman" w:hAnsi="Times New Roman" w:cs="Times New Roman"/>
          <w:sz w:val="24"/>
          <w:szCs w:val="24"/>
        </w:rPr>
        <w:t xml:space="preserve"> burial assemblage, which</w:t>
      </w:r>
      <w:r w:rsidR="00507EE0">
        <w:rPr>
          <w:rFonts w:ascii="Times New Roman" w:hAnsi="Times New Roman" w:cs="Times New Roman"/>
          <w:sz w:val="24"/>
          <w:szCs w:val="24"/>
        </w:rPr>
        <w:t xml:space="preserve"> when combined with Senneferi’s association with</w:t>
      </w:r>
      <w:r w:rsidR="007C0FFB">
        <w:rPr>
          <w:rFonts w:ascii="Times New Roman" w:hAnsi="Times New Roman" w:cs="Times New Roman"/>
          <w:sz w:val="24"/>
          <w:szCs w:val="24"/>
        </w:rPr>
        <w:t xml:space="preserve"> the tomb</w:t>
      </w:r>
      <w:r w:rsidR="00507EE0">
        <w:rPr>
          <w:rFonts w:ascii="Times New Roman" w:hAnsi="Times New Roman" w:cs="Times New Roman"/>
          <w:sz w:val="24"/>
          <w:szCs w:val="24"/>
        </w:rPr>
        <w:t xml:space="preserve"> complex</w:t>
      </w:r>
      <w:r w:rsidR="007C0FFB">
        <w:rPr>
          <w:rFonts w:ascii="Times New Roman" w:hAnsi="Times New Roman" w:cs="Times New Roman"/>
          <w:sz w:val="24"/>
          <w:szCs w:val="24"/>
        </w:rPr>
        <w:t>,</w:t>
      </w:r>
      <w:r w:rsidR="00507EE0">
        <w:rPr>
          <w:rFonts w:ascii="Times New Roman" w:hAnsi="Times New Roman" w:cs="Times New Roman"/>
          <w:sz w:val="24"/>
          <w:szCs w:val="24"/>
        </w:rPr>
        <w:t xml:space="preserve"> emphasises his</w:t>
      </w:r>
      <w:r w:rsidR="007C0FFB">
        <w:rPr>
          <w:rFonts w:ascii="Times New Roman" w:hAnsi="Times New Roman" w:cs="Times New Roman"/>
          <w:sz w:val="24"/>
          <w:szCs w:val="24"/>
        </w:rPr>
        <w:t xml:space="preserve"> </w:t>
      </w:r>
      <w:r w:rsidR="00507EE0">
        <w:rPr>
          <w:rFonts w:ascii="Times New Roman" w:hAnsi="Times New Roman" w:cs="Times New Roman"/>
          <w:sz w:val="24"/>
          <w:szCs w:val="24"/>
        </w:rPr>
        <w:t xml:space="preserve">prominent position in Egyptian society (Strudwick, 2016, p. 190). </w:t>
      </w:r>
    </w:p>
    <w:p w14:paraId="6A08D243" w14:textId="103010A5" w:rsidR="00A93B2A" w:rsidRDefault="00A93B2A" w:rsidP="006B51CB">
      <w:pPr>
        <w:rPr>
          <w:rFonts w:ascii="Times New Roman" w:hAnsi="Times New Roman" w:cs="Times New Roman"/>
          <w:sz w:val="24"/>
          <w:szCs w:val="24"/>
        </w:rPr>
      </w:pPr>
      <w:r>
        <w:rPr>
          <w:rFonts w:ascii="Times New Roman" w:hAnsi="Times New Roman" w:cs="Times New Roman"/>
          <w:sz w:val="24"/>
          <w:szCs w:val="24"/>
        </w:rPr>
        <w:t>Examination of the ceramic pieces recovered from Shaft I, which included canopic jars, large Nile silt jars, possibly to hold embalming material, clay amphorae, two of which have been stamped with a cartouche and may therefore have been royal gifts, as well as quantities of flower pots, beer jars, pilgrim jars, small dishes and flanged bowls indicate the burial of an upper-class individual and his family (Strudwick, 2016, pp. 192-193).</w:t>
      </w:r>
    </w:p>
    <w:p w14:paraId="56ECA15A" w14:textId="6EC6E15C" w:rsidR="00C07A41" w:rsidRDefault="00C07A41" w:rsidP="006B51CB">
      <w:pPr>
        <w:rPr>
          <w:rFonts w:ascii="Times New Roman" w:hAnsi="Times New Roman" w:cs="Times New Roman"/>
          <w:sz w:val="24"/>
          <w:szCs w:val="24"/>
        </w:rPr>
      </w:pPr>
      <w:r>
        <w:rPr>
          <w:rFonts w:ascii="Times New Roman" w:hAnsi="Times New Roman" w:cs="Times New Roman"/>
          <w:sz w:val="24"/>
          <w:szCs w:val="24"/>
        </w:rPr>
        <w:t xml:space="preserve">Fragments of jar dockets or labels found in Senneferi’s burial chamber </w:t>
      </w:r>
      <w:r w:rsidR="002B35BB">
        <w:rPr>
          <w:rFonts w:ascii="Times New Roman" w:hAnsi="Times New Roman" w:cs="Times New Roman"/>
          <w:sz w:val="24"/>
          <w:szCs w:val="24"/>
        </w:rPr>
        <w:t>may</w:t>
      </w:r>
      <w:r>
        <w:rPr>
          <w:rFonts w:ascii="Times New Roman" w:hAnsi="Times New Roman" w:cs="Times New Roman"/>
          <w:sz w:val="24"/>
          <w:szCs w:val="24"/>
        </w:rPr>
        <w:t xml:space="preserve"> demonstrate the nature of</w:t>
      </w:r>
      <w:r w:rsidR="002B35BB">
        <w:rPr>
          <w:rFonts w:ascii="Times New Roman" w:hAnsi="Times New Roman" w:cs="Times New Roman"/>
          <w:sz w:val="24"/>
          <w:szCs w:val="24"/>
        </w:rPr>
        <w:t xml:space="preserve"> offerings of food provided to a high ranking official</w:t>
      </w:r>
      <w:r w:rsidR="000D7B83">
        <w:rPr>
          <w:rFonts w:ascii="Times New Roman" w:hAnsi="Times New Roman" w:cs="Times New Roman"/>
          <w:sz w:val="24"/>
          <w:szCs w:val="24"/>
        </w:rPr>
        <w:t>, and f</w:t>
      </w:r>
      <w:r w:rsidR="002B35BB">
        <w:rPr>
          <w:rFonts w:ascii="Times New Roman" w:hAnsi="Times New Roman" w:cs="Times New Roman"/>
          <w:sz w:val="24"/>
          <w:szCs w:val="24"/>
        </w:rPr>
        <w:t>our</w:t>
      </w:r>
      <w:r>
        <w:rPr>
          <w:rFonts w:ascii="Times New Roman" w:hAnsi="Times New Roman" w:cs="Times New Roman"/>
          <w:sz w:val="24"/>
          <w:szCs w:val="24"/>
        </w:rPr>
        <w:t xml:space="preserve"> amphorae found in </w:t>
      </w:r>
      <w:r w:rsidR="002B35BB">
        <w:rPr>
          <w:rFonts w:ascii="Times New Roman" w:hAnsi="Times New Roman" w:cs="Times New Roman"/>
          <w:sz w:val="24"/>
          <w:szCs w:val="24"/>
        </w:rPr>
        <w:t>the</w:t>
      </w:r>
      <w:r>
        <w:rPr>
          <w:rFonts w:ascii="Times New Roman" w:hAnsi="Times New Roman" w:cs="Times New Roman"/>
          <w:sz w:val="24"/>
          <w:szCs w:val="24"/>
        </w:rPr>
        <w:t xml:space="preserve"> burial chamber</w:t>
      </w:r>
      <w:r w:rsidR="002B35BB" w:rsidRPr="002B35BB">
        <w:rPr>
          <w:rFonts w:ascii="Times New Roman" w:hAnsi="Times New Roman" w:cs="Times New Roman"/>
          <w:sz w:val="24"/>
          <w:szCs w:val="24"/>
        </w:rPr>
        <w:t xml:space="preserve"> </w:t>
      </w:r>
      <w:r w:rsidR="002B35BB">
        <w:rPr>
          <w:rFonts w:ascii="Times New Roman" w:hAnsi="Times New Roman" w:cs="Times New Roman"/>
          <w:sz w:val="24"/>
          <w:szCs w:val="24"/>
        </w:rPr>
        <w:t xml:space="preserve">have </w:t>
      </w:r>
      <w:r w:rsidR="002B35BB" w:rsidRPr="002B35BB">
        <w:rPr>
          <w:rFonts w:ascii="Times New Roman" w:hAnsi="Times New Roman" w:cs="Times New Roman"/>
          <w:sz w:val="24"/>
          <w:szCs w:val="24"/>
        </w:rPr>
        <w:t xml:space="preserve">dates on them </w:t>
      </w:r>
      <w:r w:rsidR="002B35BB">
        <w:rPr>
          <w:rFonts w:ascii="Times New Roman" w:hAnsi="Times New Roman" w:cs="Times New Roman"/>
          <w:sz w:val="24"/>
          <w:szCs w:val="24"/>
        </w:rPr>
        <w:t xml:space="preserve">which </w:t>
      </w:r>
      <w:r w:rsidR="002B35BB" w:rsidRPr="002B35BB">
        <w:rPr>
          <w:rFonts w:ascii="Times New Roman" w:hAnsi="Times New Roman" w:cs="Times New Roman"/>
          <w:sz w:val="24"/>
          <w:szCs w:val="24"/>
        </w:rPr>
        <w:t xml:space="preserve">are linked to the reign of </w:t>
      </w:r>
      <w:r w:rsidR="00013877" w:rsidRPr="002B35BB">
        <w:rPr>
          <w:rFonts w:ascii="Times New Roman" w:hAnsi="Times New Roman" w:cs="Times New Roman"/>
          <w:sz w:val="24"/>
          <w:szCs w:val="24"/>
        </w:rPr>
        <w:t>Thutmose III</w:t>
      </w:r>
      <w:r w:rsidR="00013877">
        <w:rPr>
          <w:rFonts w:ascii="Times New Roman" w:hAnsi="Times New Roman" w:cs="Times New Roman"/>
          <w:sz w:val="24"/>
          <w:szCs w:val="24"/>
        </w:rPr>
        <w:t xml:space="preserve"> and</w:t>
      </w:r>
      <w:r w:rsidR="002B35BB">
        <w:rPr>
          <w:rFonts w:ascii="Times New Roman" w:hAnsi="Times New Roman" w:cs="Times New Roman"/>
          <w:sz w:val="24"/>
          <w:szCs w:val="24"/>
        </w:rPr>
        <w:t xml:space="preserve"> may</w:t>
      </w:r>
      <w:r>
        <w:rPr>
          <w:rFonts w:ascii="Times New Roman" w:hAnsi="Times New Roman" w:cs="Times New Roman"/>
          <w:sz w:val="24"/>
          <w:szCs w:val="24"/>
        </w:rPr>
        <w:t xml:space="preserve"> provide evidence of his power and wealth</w:t>
      </w:r>
      <w:r w:rsidR="002B35BB">
        <w:rPr>
          <w:rFonts w:ascii="Times New Roman" w:hAnsi="Times New Roman" w:cs="Times New Roman"/>
          <w:sz w:val="24"/>
          <w:szCs w:val="24"/>
        </w:rPr>
        <w:t xml:space="preserve"> (Strudwick, 2016, p</w:t>
      </w:r>
      <w:r w:rsidR="00E318F1">
        <w:rPr>
          <w:rFonts w:ascii="Times New Roman" w:hAnsi="Times New Roman" w:cs="Times New Roman"/>
          <w:sz w:val="24"/>
          <w:szCs w:val="24"/>
        </w:rPr>
        <w:t>p</w:t>
      </w:r>
      <w:r w:rsidR="002B35BB">
        <w:rPr>
          <w:rFonts w:ascii="Times New Roman" w:hAnsi="Times New Roman" w:cs="Times New Roman"/>
          <w:sz w:val="24"/>
          <w:szCs w:val="24"/>
        </w:rPr>
        <w:t>.</w:t>
      </w:r>
      <w:r w:rsidR="00E318F1">
        <w:rPr>
          <w:rFonts w:ascii="Times New Roman" w:hAnsi="Times New Roman" w:cs="Times New Roman"/>
          <w:sz w:val="24"/>
          <w:szCs w:val="24"/>
        </w:rPr>
        <w:t xml:space="preserve"> 239-</w:t>
      </w:r>
      <w:r w:rsidR="002B35BB">
        <w:rPr>
          <w:rFonts w:ascii="Times New Roman" w:hAnsi="Times New Roman" w:cs="Times New Roman"/>
          <w:sz w:val="24"/>
          <w:szCs w:val="24"/>
        </w:rPr>
        <w:t xml:space="preserve"> 250).</w:t>
      </w:r>
      <w:r>
        <w:rPr>
          <w:rFonts w:ascii="Times New Roman" w:hAnsi="Times New Roman" w:cs="Times New Roman"/>
          <w:sz w:val="24"/>
          <w:szCs w:val="24"/>
        </w:rPr>
        <w:t xml:space="preserve"> </w:t>
      </w:r>
    </w:p>
    <w:p w14:paraId="2861589F" w14:textId="62014AC5" w:rsidR="00C47E83" w:rsidRDefault="007070BB" w:rsidP="00FC4AEC">
      <w:pPr>
        <w:rPr>
          <w:rFonts w:ascii="Times New Roman" w:hAnsi="Times New Roman" w:cs="Times New Roman"/>
          <w:sz w:val="24"/>
          <w:szCs w:val="24"/>
        </w:rPr>
      </w:pPr>
      <w:r>
        <w:rPr>
          <w:rFonts w:ascii="Times New Roman" w:hAnsi="Times New Roman" w:cs="Times New Roman"/>
          <w:sz w:val="24"/>
          <w:szCs w:val="24"/>
        </w:rPr>
        <w:t xml:space="preserve">Senneferi’s burial in a tomb at the Sheik Abd el-Qurna cemetery at Thebes in close proximity to the New Kingdon pharaohs indicates that he was one of the higher status individuals within Egyptian society (Shaw &amp; Nicholson, </w:t>
      </w:r>
      <w:r w:rsidR="004407F2">
        <w:rPr>
          <w:rFonts w:ascii="Times New Roman" w:hAnsi="Times New Roman" w:cs="Times New Roman"/>
          <w:sz w:val="24"/>
          <w:szCs w:val="24"/>
        </w:rPr>
        <w:t>2003</w:t>
      </w:r>
      <w:r>
        <w:rPr>
          <w:rFonts w:ascii="Times New Roman" w:hAnsi="Times New Roman" w:cs="Times New Roman"/>
          <w:sz w:val="24"/>
          <w:szCs w:val="24"/>
        </w:rPr>
        <w:t>, p. 288</w:t>
      </w:r>
      <w:r w:rsidR="009A0D0E">
        <w:rPr>
          <w:rFonts w:ascii="Times New Roman" w:hAnsi="Times New Roman" w:cs="Times New Roman"/>
          <w:sz w:val="24"/>
          <w:szCs w:val="24"/>
        </w:rPr>
        <w:t>; Snape, 2011, p.180</w:t>
      </w:r>
      <w:r>
        <w:rPr>
          <w:rFonts w:ascii="Times New Roman" w:hAnsi="Times New Roman" w:cs="Times New Roman"/>
          <w:sz w:val="24"/>
          <w:szCs w:val="24"/>
        </w:rPr>
        <w:t>). His tomb, a typical 18</w:t>
      </w:r>
      <w:r w:rsidRPr="007070BB">
        <w:rPr>
          <w:rFonts w:ascii="Times New Roman" w:hAnsi="Times New Roman" w:cs="Times New Roman"/>
          <w:sz w:val="24"/>
          <w:szCs w:val="24"/>
          <w:vertAlign w:val="superscript"/>
        </w:rPr>
        <w:t>th</w:t>
      </w:r>
      <w:r>
        <w:rPr>
          <w:rFonts w:ascii="Times New Roman" w:hAnsi="Times New Roman" w:cs="Times New Roman"/>
          <w:sz w:val="24"/>
          <w:szCs w:val="24"/>
        </w:rPr>
        <w:t xml:space="preserve"> Dynasty T-shaped</w:t>
      </w:r>
      <w:r w:rsidR="009A0D0E">
        <w:rPr>
          <w:rFonts w:ascii="Times New Roman" w:hAnsi="Times New Roman" w:cs="Times New Roman"/>
          <w:sz w:val="24"/>
          <w:szCs w:val="24"/>
        </w:rPr>
        <w:t xml:space="preserve"> tomb and funerary architecture, proclaimed his status in society and surpassed the tombs of lower status individuals (Ikram, 2023, p. 166; Strudwick. 2016, p. 1 &amp; p. 45). </w:t>
      </w:r>
      <w:r w:rsidR="00744621">
        <w:rPr>
          <w:rFonts w:ascii="Times New Roman" w:hAnsi="Times New Roman" w:cs="Times New Roman"/>
          <w:sz w:val="24"/>
          <w:szCs w:val="24"/>
        </w:rPr>
        <w:t xml:space="preserve">Although very </w:t>
      </w:r>
      <w:r w:rsidR="00FC4AEC">
        <w:rPr>
          <w:rFonts w:ascii="Times New Roman" w:hAnsi="Times New Roman" w:cs="Times New Roman"/>
          <w:sz w:val="24"/>
          <w:szCs w:val="24"/>
        </w:rPr>
        <w:t>damaged</w:t>
      </w:r>
      <w:r w:rsidR="00744621">
        <w:rPr>
          <w:rFonts w:ascii="Times New Roman" w:hAnsi="Times New Roman" w:cs="Times New Roman"/>
          <w:sz w:val="24"/>
          <w:szCs w:val="24"/>
        </w:rPr>
        <w:t xml:space="preserve"> by time, tomb robbers and modern incursions, what remains of his tomb and his funerary assemblage has provided a detailed resume of his life and accomplishments </w:t>
      </w:r>
      <w:r w:rsidR="00BE362B" w:rsidRPr="00BE362B">
        <w:rPr>
          <w:rFonts w:ascii="Times New Roman" w:hAnsi="Times New Roman" w:cs="Times New Roman"/>
          <w:sz w:val="24"/>
          <w:szCs w:val="24"/>
        </w:rPr>
        <w:t>and also provide</w:t>
      </w:r>
      <w:r w:rsidR="00BE362B">
        <w:rPr>
          <w:rFonts w:ascii="Times New Roman" w:hAnsi="Times New Roman" w:cs="Times New Roman"/>
          <w:sz w:val="24"/>
          <w:szCs w:val="24"/>
        </w:rPr>
        <w:t>d</w:t>
      </w:r>
      <w:r w:rsidR="00BE362B" w:rsidRPr="00BE362B">
        <w:rPr>
          <w:rFonts w:ascii="Times New Roman" w:hAnsi="Times New Roman" w:cs="Times New Roman"/>
          <w:sz w:val="24"/>
          <w:szCs w:val="24"/>
        </w:rPr>
        <w:t xml:space="preserve"> an indication of a potential close relationship with his king which would have afforded him further privileges and wealth </w:t>
      </w:r>
      <w:r w:rsidR="00744621">
        <w:rPr>
          <w:rFonts w:ascii="Times New Roman" w:hAnsi="Times New Roman" w:cs="Times New Roman"/>
          <w:sz w:val="24"/>
          <w:szCs w:val="24"/>
        </w:rPr>
        <w:t xml:space="preserve">(Strudwick, 2016 &amp; 2018). His biography on Wall 12 of the rear room or shrine in particular outlines his deeds and </w:t>
      </w:r>
      <w:r w:rsidR="00FC4AEC">
        <w:rPr>
          <w:rFonts w:ascii="Times New Roman" w:hAnsi="Times New Roman" w:cs="Times New Roman"/>
          <w:sz w:val="24"/>
          <w:szCs w:val="24"/>
        </w:rPr>
        <w:t xml:space="preserve">attainments </w:t>
      </w:r>
      <w:r w:rsidR="00744621">
        <w:rPr>
          <w:rFonts w:ascii="Times New Roman" w:hAnsi="Times New Roman" w:cs="Times New Roman"/>
          <w:sz w:val="24"/>
          <w:szCs w:val="24"/>
        </w:rPr>
        <w:t>(Strudwick, 2016 &amp; 2018).</w:t>
      </w:r>
      <w:r w:rsidR="00BE362B">
        <w:rPr>
          <w:rFonts w:ascii="Times New Roman" w:hAnsi="Times New Roman" w:cs="Times New Roman"/>
          <w:sz w:val="24"/>
          <w:szCs w:val="24"/>
        </w:rPr>
        <w:t xml:space="preserve"> As an Overseer of several different agencies, he </w:t>
      </w:r>
      <w:r w:rsidR="00BE362B">
        <w:rPr>
          <w:rFonts w:ascii="Times New Roman" w:hAnsi="Times New Roman" w:cs="Times New Roman"/>
          <w:sz w:val="24"/>
          <w:szCs w:val="24"/>
        </w:rPr>
        <w:lastRenderedPageBreak/>
        <w:t xml:space="preserve">would have accumulated wealth from each position, </w:t>
      </w:r>
      <w:r w:rsidR="000D7B83">
        <w:rPr>
          <w:rFonts w:ascii="Times New Roman" w:hAnsi="Times New Roman" w:cs="Times New Roman"/>
          <w:sz w:val="24"/>
          <w:szCs w:val="24"/>
        </w:rPr>
        <w:t>even though</w:t>
      </w:r>
      <w:r w:rsidR="00BE362B">
        <w:rPr>
          <w:rFonts w:ascii="Times New Roman" w:hAnsi="Times New Roman" w:cs="Times New Roman"/>
          <w:sz w:val="24"/>
          <w:szCs w:val="24"/>
        </w:rPr>
        <w:t xml:space="preserve"> he may never have done the work himself</w:t>
      </w:r>
      <w:r w:rsidR="000D7B83">
        <w:rPr>
          <w:rFonts w:ascii="Times New Roman" w:hAnsi="Times New Roman" w:cs="Times New Roman"/>
          <w:sz w:val="24"/>
          <w:szCs w:val="24"/>
        </w:rPr>
        <w:t>, his title granted him prominence and benefits</w:t>
      </w:r>
      <w:r w:rsidR="00BE362B">
        <w:rPr>
          <w:rFonts w:ascii="Times New Roman" w:hAnsi="Times New Roman" w:cs="Times New Roman"/>
          <w:sz w:val="24"/>
          <w:szCs w:val="24"/>
        </w:rPr>
        <w:t xml:space="preserve"> (Ikram, 2023, p. 182). </w:t>
      </w:r>
    </w:p>
    <w:p w14:paraId="1B616FF9" w14:textId="77777777" w:rsidR="009E2979" w:rsidRDefault="009E2979" w:rsidP="00FC4AEC">
      <w:pPr>
        <w:rPr>
          <w:rFonts w:ascii="Times New Roman" w:hAnsi="Times New Roman" w:cs="Times New Roman"/>
          <w:sz w:val="24"/>
          <w:szCs w:val="24"/>
        </w:rPr>
      </w:pPr>
    </w:p>
    <w:p w14:paraId="222C56F4" w14:textId="77777777" w:rsidR="009E2979" w:rsidRPr="009E2979" w:rsidRDefault="009E2979" w:rsidP="009E2979">
      <w:pPr>
        <w:rPr>
          <w:rFonts w:ascii="Times New Roman" w:hAnsi="Times New Roman" w:cs="Times New Roman"/>
          <w:b/>
          <w:bCs/>
          <w:sz w:val="24"/>
          <w:szCs w:val="24"/>
        </w:rPr>
      </w:pPr>
      <w:r w:rsidRPr="009E2979">
        <w:rPr>
          <w:rFonts w:ascii="Times New Roman" w:hAnsi="Times New Roman" w:cs="Times New Roman"/>
          <w:b/>
          <w:bCs/>
          <w:sz w:val="24"/>
          <w:szCs w:val="24"/>
        </w:rPr>
        <w:t>Bibliography</w:t>
      </w:r>
    </w:p>
    <w:p w14:paraId="1A109513"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Arnold, D. (2003). </w:t>
      </w:r>
      <w:r w:rsidRPr="009E2979">
        <w:rPr>
          <w:rFonts w:ascii="Times New Roman" w:hAnsi="Times New Roman" w:cs="Times New Roman"/>
          <w:i/>
          <w:iCs/>
          <w:sz w:val="24"/>
          <w:szCs w:val="24"/>
        </w:rPr>
        <w:t>The Encyclopaedia of Ancient Egyptian Architecture</w:t>
      </w:r>
      <w:r w:rsidRPr="009E2979">
        <w:rPr>
          <w:rFonts w:ascii="Times New Roman" w:hAnsi="Times New Roman" w:cs="Times New Roman"/>
          <w:sz w:val="24"/>
          <w:szCs w:val="24"/>
        </w:rPr>
        <w:t xml:space="preserve">. </w:t>
      </w:r>
      <w:proofErr w:type="spellStart"/>
      <w:r w:rsidRPr="009E2979">
        <w:rPr>
          <w:rFonts w:ascii="Times New Roman" w:hAnsi="Times New Roman" w:cs="Times New Roman"/>
          <w:sz w:val="24"/>
          <w:szCs w:val="24"/>
        </w:rPr>
        <w:t>I.B.Tauris</w:t>
      </w:r>
      <w:proofErr w:type="spellEnd"/>
      <w:r w:rsidRPr="009E2979">
        <w:rPr>
          <w:rFonts w:ascii="Times New Roman" w:hAnsi="Times New Roman" w:cs="Times New Roman"/>
          <w:sz w:val="24"/>
          <w:szCs w:val="24"/>
        </w:rPr>
        <w:t xml:space="preserve"> &amp; Co Ltd.</w:t>
      </w:r>
    </w:p>
    <w:p w14:paraId="0933C9DB"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Gardiner, A. H. &amp; </w:t>
      </w:r>
      <w:proofErr w:type="spellStart"/>
      <w:r w:rsidRPr="009E2979">
        <w:rPr>
          <w:rFonts w:ascii="Times New Roman" w:hAnsi="Times New Roman" w:cs="Times New Roman"/>
          <w:sz w:val="24"/>
          <w:szCs w:val="24"/>
        </w:rPr>
        <w:t>Weigall</w:t>
      </w:r>
      <w:proofErr w:type="spellEnd"/>
      <w:r w:rsidRPr="009E2979">
        <w:rPr>
          <w:rFonts w:ascii="Times New Roman" w:hAnsi="Times New Roman" w:cs="Times New Roman"/>
          <w:sz w:val="24"/>
          <w:szCs w:val="24"/>
        </w:rPr>
        <w:t xml:space="preserve">, A. E. P. (1913). </w:t>
      </w:r>
      <w:r w:rsidRPr="009E2979">
        <w:rPr>
          <w:rFonts w:ascii="Times New Roman" w:hAnsi="Times New Roman" w:cs="Times New Roman"/>
          <w:i/>
          <w:iCs/>
          <w:sz w:val="24"/>
          <w:szCs w:val="24"/>
        </w:rPr>
        <w:t>A Topographical Catalogue of the Private Tombs of Thebes</w:t>
      </w:r>
      <w:r w:rsidRPr="009E2979">
        <w:rPr>
          <w:rFonts w:ascii="Times New Roman" w:hAnsi="Times New Roman" w:cs="Times New Roman"/>
          <w:sz w:val="24"/>
          <w:szCs w:val="24"/>
        </w:rPr>
        <w:t xml:space="preserve">. London: Barnard </w:t>
      </w:r>
      <w:proofErr w:type="spellStart"/>
      <w:r w:rsidRPr="009E2979">
        <w:rPr>
          <w:rFonts w:ascii="Times New Roman" w:hAnsi="Times New Roman" w:cs="Times New Roman"/>
          <w:sz w:val="24"/>
          <w:szCs w:val="24"/>
        </w:rPr>
        <w:t>Qauritch</w:t>
      </w:r>
      <w:proofErr w:type="spellEnd"/>
      <w:r w:rsidRPr="009E2979">
        <w:rPr>
          <w:rFonts w:ascii="Times New Roman" w:hAnsi="Times New Roman" w:cs="Times New Roman"/>
          <w:sz w:val="24"/>
          <w:szCs w:val="24"/>
        </w:rPr>
        <w:t xml:space="preserve">. Available at: </w:t>
      </w:r>
      <w:hyperlink r:id="rId12" w:history="1">
        <w:r w:rsidRPr="009E2979">
          <w:rPr>
            <w:rStyle w:val="Hyperlink"/>
            <w:rFonts w:ascii="Times New Roman" w:hAnsi="Times New Roman" w:cs="Times New Roman"/>
            <w:sz w:val="24"/>
            <w:szCs w:val="24"/>
          </w:rPr>
          <w:t>https://archive.org/details/topographicalcat00garduoft/page/24/mode/2up</w:t>
        </w:r>
      </w:hyperlink>
      <w:r w:rsidRPr="009E2979">
        <w:rPr>
          <w:rFonts w:ascii="Times New Roman" w:hAnsi="Times New Roman" w:cs="Times New Roman"/>
          <w:sz w:val="24"/>
          <w:szCs w:val="24"/>
        </w:rPr>
        <w:t xml:space="preserve"> (Accessed: 26 February 2026).</w:t>
      </w:r>
    </w:p>
    <w:p w14:paraId="22D382C5" w14:textId="77777777" w:rsidR="009E2979" w:rsidRPr="009E2979" w:rsidRDefault="009E2979" w:rsidP="009E2979">
      <w:pPr>
        <w:rPr>
          <w:rFonts w:ascii="Times New Roman" w:hAnsi="Times New Roman" w:cs="Times New Roman"/>
          <w:sz w:val="24"/>
          <w:szCs w:val="24"/>
        </w:rPr>
      </w:pPr>
      <w:proofErr w:type="spellStart"/>
      <w:r w:rsidRPr="009E2979">
        <w:rPr>
          <w:rFonts w:ascii="Times New Roman" w:hAnsi="Times New Roman" w:cs="Times New Roman"/>
          <w:sz w:val="24"/>
          <w:szCs w:val="24"/>
        </w:rPr>
        <w:t>Grajetzki</w:t>
      </w:r>
      <w:proofErr w:type="spellEnd"/>
      <w:r w:rsidRPr="009E2979">
        <w:rPr>
          <w:rFonts w:ascii="Times New Roman" w:hAnsi="Times New Roman" w:cs="Times New Roman"/>
          <w:sz w:val="24"/>
          <w:szCs w:val="24"/>
        </w:rPr>
        <w:t xml:space="preserve">, W. (2003). </w:t>
      </w:r>
      <w:r w:rsidRPr="009E2979">
        <w:rPr>
          <w:rFonts w:ascii="Times New Roman" w:hAnsi="Times New Roman" w:cs="Times New Roman"/>
          <w:i/>
          <w:iCs/>
          <w:sz w:val="24"/>
          <w:szCs w:val="24"/>
        </w:rPr>
        <w:t>Burial Customs in Ancient Egypt: Life in Death for Rich and Poor</w:t>
      </w:r>
      <w:r w:rsidRPr="009E2979">
        <w:rPr>
          <w:rFonts w:ascii="Times New Roman" w:hAnsi="Times New Roman" w:cs="Times New Roman"/>
          <w:sz w:val="24"/>
          <w:szCs w:val="24"/>
        </w:rPr>
        <w:t>. Duckworth.</w:t>
      </w:r>
    </w:p>
    <w:p w14:paraId="274C797D"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Ikram, S. &amp; Dodson, A. (1998). </w:t>
      </w:r>
      <w:r w:rsidRPr="009E2979">
        <w:rPr>
          <w:rFonts w:ascii="Times New Roman" w:hAnsi="Times New Roman" w:cs="Times New Roman"/>
          <w:i/>
          <w:iCs/>
          <w:sz w:val="24"/>
          <w:szCs w:val="24"/>
        </w:rPr>
        <w:t>The Mummy in Ancient Egypt: Equipping the Dead for Eternity</w:t>
      </w:r>
      <w:r w:rsidRPr="009E2979">
        <w:rPr>
          <w:rFonts w:ascii="Times New Roman" w:hAnsi="Times New Roman" w:cs="Times New Roman"/>
          <w:sz w:val="24"/>
          <w:szCs w:val="24"/>
        </w:rPr>
        <w:t>. Thames &amp; Hudson.</w:t>
      </w:r>
    </w:p>
    <w:p w14:paraId="3BDD738C"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Ikram, S. (2015). </w:t>
      </w:r>
      <w:r w:rsidRPr="009E2979">
        <w:rPr>
          <w:rFonts w:ascii="Times New Roman" w:hAnsi="Times New Roman" w:cs="Times New Roman"/>
          <w:i/>
          <w:iCs/>
          <w:sz w:val="24"/>
          <w:szCs w:val="24"/>
        </w:rPr>
        <w:t>Death and Burial in Ancient Egypt</w:t>
      </w:r>
      <w:r w:rsidRPr="009E2979">
        <w:rPr>
          <w:rFonts w:ascii="Times New Roman" w:hAnsi="Times New Roman" w:cs="Times New Roman"/>
          <w:sz w:val="24"/>
          <w:szCs w:val="24"/>
        </w:rPr>
        <w:t>. The American University in Cairo Press.</w:t>
      </w:r>
    </w:p>
    <w:p w14:paraId="39A6921C"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Ikram, S. (2023). </w:t>
      </w:r>
      <w:r w:rsidRPr="009E2979">
        <w:rPr>
          <w:rFonts w:ascii="Times New Roman" w:hAnsi="Times New Roman" w:cs="Times New Roman"/>
          <w:i/>
          <w:iCs/>
          <w:sz w:val="24"/>
          <w:szCs w:val="24"/>
        </w:rPr>
        <w:t>Ancient Egypt: An introduction</w:t>
      </w:r>
      <w:r w:rsidRPr="009E2979">
        <w:rPr>
          <w:rFonts w:ascii="Times New Roman" w:hAnsi="Times New Roman" w:cs="Times New Roman"/>
          <w:sz w:val="24"/>
          <w:szCs w:val="24"/>
        </w:rPr>
        <w:t>. Cambridge University Press.</w:t>
      </w:r>
    </w:p>
    <w:p w14:paraId="46400441" w14:textId="77777777" w:rsid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Johnson, P. (2000). </w:t>
      </w:r>
      <w:r w:rsidRPr="009E2979">
        <w:rPr>
          <w:rFonts w:ascii="Times New Roman" w:hAnsi="Times New Roman" w:cs="Times New Roman"/>
          <w:i/>
          <w:iCs/>
          <w:sz w:val="24"/>
          <w:szCs w:val="24"/>
        </w:rPr>
        <w:t>The Civilization of Ancient Egypt</w:t>
      </w:r>
      <w:r w:rsidRPr="009E2979">
        <w:rPr>
          <w:rFonts w:ascii="Times New Roman" w:hAnsi="Times New Roman" w:cs="Times New Roman"/>
          <w:sz w:val="24"/>
          <w:szCs w:val="24"/>
        </w:rPr>
        <w:t>. Weidenfeld &amp; Nicolson.</w:t>
      </w:r>
    </w:p>
    <w:p w14:paraId="5F9705EA"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Loynes, R. (2015). </w:t>
      </w:r>
      <w:r w:rsidRPr="009E2979">
        <w:rPr>
          <w:rFonts w:ascii="Times New Roman" w:hAnsi="Times New Roman" w:cs="Times New Roman"/>
          <w:i/>
          <w:iCs/>
          <w:sz w:val="24"/>
          <w:szCs w:val="24"/>
        </w:rPr>
        <w:t>Prepared for eternity : a study of human embalming techniques in ancient Egypt using computerised tomography scans of mummies</w:t>
      </w:r>
      <w:r w:rsidRPr="009E2979">
        <w:rPr>
          <w:rFonts w:ascii="Times New Roman" w:hAnsi="Times New Roman" w:cs="Times New Roman"/>
          <w:sz w:val="24"/>
          <w:szCs w:val="24"/>
        </w:rPr>
        <w:t xml:space="preserve">. </w:t>
      </w:r>
      <w:proofErr w:type="spellStart"/>
      <w:r w:rsidRPr="009E2979">
        <w:rPr>
          <w:rFonts w:ascii="Times New Roman" w:hAnsi="Times New Roman" w:cs="Times New Roman"/>
          <w:sz w:val="24"/>
          <w:szCs w:val="24"/>
        </w:rPr>
        <w:t>Archaeopress</w:t>
      </w:r>
      <w:proofErr w:type="spellEnd"/>
      <w:r w:rsidRPr="009E2979">
        <w:rPr>
          <w:rFonts w:ascii="Times New Roman" w:hAnsi="Times New Roman" w:cs="Times New Roman"/>
          <w:sz w:val="24"/>
          <w:szCs w:val="24"/>
        </w:rPr>
        <w:t>.</w:t>
      </w:r>
    </w:p>
    <w:p w14:paraId="20F0016A" w14:textId="77777777" w:rsid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Newberry, P.E. (1900). ‘’Extracts from my Notebooks (II), in </w:t>
      </w:r>
      <w:r w:rsidRPr="009E2979">
        <w:rPr>
          <w:rFonts w:ascii="Times New Roman" w:hAnsi="Times New Roman" w:cs="Times New Roman"/>
          <w:i/>
          <w:iCs/>
          <w:sz w:val="24"/>
          <w:szCs w:val="24"/>
        </w:rPr>
        <w:t>Proceedings of The Society of Biblical Archaeology, Vol. XXII, Thirteenth Session</w:t>
      </w:r>
      <w:r w:rsidRPr="009E2979">
        <w:rPr>
          <w:rFonts w:ascii="Times New Roman" w:hAnsi="Times New Roman" w:cs="Times New Roman"/>
          <w:sz w:val="24"/>
          <w:szCs w:val="24"/>
        </w:rPr>
        <w:t xml:space="preserve">. Available at: </w:t>
      </w:r>
      <w:hyperlink r:id="rId13" w:history="1">
        <w:r w:rsidRPr="009E2979">
          <w:rPr>
            <w:rStyle w:val="Hyperlink"/>
            <w:rFonts w:ascii="Times New Roman" w:hAnsi="Times New Roman" w:cs="Times New Roman"/>
            <w:sz w:val="24"/>
            <w:szCs w:val="24"/>
          </w:rPr>
          <w:t>https://archive.org/details/ProceedingsOfTheSocietyOfBiblicalArchaeologyVol221900/page/n83/mode/2up</w:t>
        </w:r>
      </w:hyperlink>
      <w:r w:rsidRPr="009E2979">
        <w:rPr>
          <w:rFonts w:ascii="Times New Roman" w:hAnsi="Times New Roman" w:cs="Times New Roman"/>
          <w:sz w:val="24"/>
          <w:szCs w:val="24"/>
        </w:rPr>
        <w:t xml:space="preserve"> (Accessed: 26 February 2026).</w:t>
      </w:r>
    </w:p>
    <w:p w14:paraId="2354408D"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Nicholson, P. T. &amp; Shaw, I. (Eds). (2009). </w:t>
      </w:r>
      <w:r w:rsidRPr="009E2979">
        <w:rPr>
          <w:rFonts w:ascii="Times New Roman" w:hAnsi="Times New Roman" w:cs="Times New Roman"/>
          <w:i/>
          <w:iCs/>
          <w:sz w:val="24"/>
          <w:szCs w:val="24"/>
        </w:rPr>
        <w:t>Ancient Egyptian Materials and Technology</w:t>
      </w:r>
      <w:r w:rsidRPr="009E2979">
        <w:rPr>
          <w:rFonts w:ascii="Times New Roman" w:hAnsi="Times New Roman" w:cs="Times New Roman"/>
          <w:sz w:val="24"/>
          <w:szCs w:val="24"/>
        </w:rPr>
        <w:t>. Cambridge University Press.</w:t>
      </w:r>
    </w:p>
    <w:p w14:paraId="32730425"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Piccione, P. A. &amp; Levine, N. S. (2019). </w:t>
      </w:r>
      <w:r w:rsidRPr="009E2979">
        <w:rPr>
          <w:rFonts w:ascii="Times New Roman" w:hAnsi="Times New Roman" w:cs="Times New Roman"/>
          <w:i/>
          <w:iCs/>
          <w:sz w:val="24"/>
          <w:szCs w:val="24"/>
        </w:rPr>
        <w:t>On-line Geographical Information System for the Theban Necropolis (OLGIS-TN) (version 1.0 Beta).</w:t>
      </w:r>
      <w:r w:rsidRPr="009E2979">
        <w:rPr>
          <w:rFonts w:ascii="Times New Roman" w:hAnsi="Times New Roman" w:cs="Times New Roman"/>
          <w:sz w:val="24"/>
          <w:szCs w:val="24"/>
        </w:rPr>
        <w:t xml:space="preserve"> Available at: </w:t>
      </w:r>
      <w:hyperlink r:id="rId14" w:history="1">
        <w:r w:rsidRPr="009E2979">
          <w:rPr>
            <w:rStyle w:val="Hyperlink"/>
            <w:rFonts w:ascii="Times New Roman" w:hAnsi="Times New Roman" w:cs="Times New Roman"/>
            <w:sz w:val="24"/>
            <w:szCs w:val="24"/>
          </w:rPr>
          <w:t>https://scgis.maps.arcgis.com/apps/webappviewer/index.html?id=cff7333a8b61461eb9d438d91c93ff61</w:t>
        </w:r>
      </w:hyperlink>
      <w:r w:rsidRPr="009E2979">
        <w:rPr>
          <w:rFonts w:ascii="Times New Roman" w:hAnsi="Times New Roman" w:cs="Times New Roman"/>
          <w:sz w:val="24"/>
          <w:szCs w:val="24"/>
        </w:rPr>
        <w:t xml:space="preserve"> (Accessed: 26 February 2026).</w:t>
      </w:r>
    </w:p>
    <w:p w14:paraId="0172C19B"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Rice, M. (1999). </w:t>
      </w:r>
      <w:r w:rsidRPr="009E2979">
        <w:rPr>
          <w:rFonts w:ascii="Times New Roman" w:hAnsi="Times New Roman" w:cs="Times New Roman"/>
          <w:i/>
          <w:iCs/>
          <w:sz w:val="24"/>
          <w:szCs w:val="24"/>
        </w:rPr>
        <w:t>Who’s Who in Ancient Egypt</w:t>
      </w:r>
      <w:r w:rsidRPr="009E2979">
        <w:rPr>
          <w:rFonts w:ascii="Times New Roman" w:hAnsi="Times New Roman" w:cs="Times New Roman"/>
          <w:sz w:val="24"/>
          <w:szCs w:val="24"/>
        </w:rPr>
        <w:t>. Routledge.</w:t>
      </w:r>
    </w:p>
    <w:p w14:paraId="2A7A19B2"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Shaw, I. (Ed). (2000). </w:t>
      </w:r>
      <w:r w:rsidRPr="009E2979">
        <w:rPr>
          <w:rFonts w:ascii="Times New Roman" w:hAnsi="Times New Roman" w:cs="Times New Roman"/>
          <w:i/>
          <w:iCs/>
          <w:sz w:val="24"/>
          <w:szCs w:val="24"/>
        </w:rPr>
        <w:t>The Oxford History of Ancient Egypt.</w:t>
      </w:r>
      <w:r w:rsidRPr="009E2979">
        <w:rPr>
          <w:rFonts w:ascii="Times New Roman" w:hAnsi="Times New Roman" w:cs="Times New Roman"/>
          <w:sz w:val="24"/>
          <w:szCs w:val="24"/>
        </w:rPr>
        <w:t xml:space="preserve"> Oxford University Press.</w:t>
      </w:r>
    </w:p>
    <w:p w14:paraId="293898F5"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Shaw, I. &amp; Nicholson, P. (2003). </w:t>
      </w:r>
      <w:r w:rsidRPr="009E2979">
        <w:rPr>
          <w:rFonts w:ascii="Times New Roman" w:hAnsi="Times New Roman" w:cs="Times New Roman"/>
          <w:i/>
          <w:iCs/>
          <w:sz w:val="24"/>
          <w:szCs w:val="24"/>
        </w:rPr>
        <w:t>The Dictionary of Ancient Egypt</w:t>
      </w:r>
      <w:r w:rsidRPr="009E2979">
        <w:rPr>
          <w:rFonts w:ascii="Times New Roman" w:hAnsi="Times New Roman" w:cs="Times New Roman"/>
          <w:sz w:val="24"/>
          <w:szCs w:val="24"/>
        </w:rPr>
        <w:t>. Harry N. Abrams.</w:t>
      </w:r>
    </w:p>
    <w:p w14:paraId="7B50C56E"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Shaw, I. (2013). </w:t>
      </w:r>
      <w:r w:rsidRPr="009E2979">
        <w:rPr>
          <w:rFonts w:ascii="Times New Roman" w:hAnsi="Times New Roman" w:cs="Times New Roman"/>
          <w:i/>
          <w:iCs/>
          <w:sz w:val="24"/>
          <w:szCs w:val="24"/>
        </w:rPr>
        <w:t>Ancient Egyptian technology and innovation : transformations in pharaonic material culture</w:t>
      </w:r>
      <w:r w:rsidRPr="009E2979">
        <w:rPr>
          <w:rFonts w:ascii="Times New Roman" w:hAnsi="Times New Roman" w:cs="Times New Roman"/>
          <w:sz w:val="24"/>
          <w:szCs w:val="24"/>
        </w:rPr>
        <w:t>. Bloomsbury Academic.</w:t>
      </w:r>
    </w:p>
    <w:p w14:paraId="64B30E06"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lastRenderedPageBreak/>
        <w:t>Shirley. J. (2014). </w:t>
      </w:r>
      <w:r w:rsidRPr="009E2979">
        <w:rPr>
          <w:rFonts w:ascii="Times New Roman" w:hAnsi="Times New Roman" w:cs="Times New Roman"/>
          <w:i/>
          <w:iCs/>
          <w:sz w:val="24"/>
          <w:szCs w:val="24"/>
        </w:rPr>
        <w:t>The Power of the Elite: The Officials of Hatshepsut's Regency and Coregency</w:t>
      </w:r>
      <w:r w:rsidRPr="009E2979">
        <w:rPr>
          <w:rFonts w:ascii="Times New Roman" w:hAnsi="Times New Roman" w:cs="Times New Roman"/>
          <w:sz w:val="24"/>
          <w:szCs w:val="24"/>
        </w:rPr>
        <w:t>, in: J. Galán, B. M. Bryan, P. F. Dorman (eds.): </w:t>
      </w:r>
      <w:r w:rsidRPr="009E2979">
        <w:rPr>
          <w:rFonts w:ascii="Times New Roman" w:hAnsi="Times New Roman" w:cs="Times New Roman"/>
          <w:i/>
          <w:iCs/>
          <w:sz w:val="24"/>
          <w:szCs w:val="24"/>
        </w:rPr>
        <w:t>Creativity and Innovation in the Reign of Hatshepsut</w:t>
      </w:r>
      <w:r w:rsidRPr="009E2979">
        <w:rPr>
          <w:rFonts w:ascii="Times New Roman" w:hAnsi="Times New Roman" w:cs="Times New Roman"/>
          <w:sz w:val="24"/>
          <w:szCs w:val="24"/>
        </w:rPr>
        <w:t>, Studies in Ancient Oriental Civilization 69, Chicago.</w:t>
      </w:r>
    </w:p>
    <w:p w14:paraId="442DE48E"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Snape, S. (2011). </w:t>
      </w:r>
      <w:r w:rsidRPr="009E2979">
        <w:rPr>
          <w:rFonts w:ascii="Times New Roman" w:hAnsi="Times New Roman" w:cs="Times New Roman"/>
          <w:i/>
          <w:iCs/>
          <w:sz w:val="24"/>
          <w:szCs w:val="24"/>
        </w:rPr>
        <w:t>Ancient Egyptian Tombs: The Culture of Life and Death.</w:t>
      </w:r>
      <w:r w:rsidRPr="009E2979">
        <w:rPr>
          <w:rFonts w:ascii="Times New Roman" w:hAnsi="Times New Roman" w:cs="Times New Roman"/>
          <w:sz w:val="24"/>
          <w:szCs w:val="24"/>
        </w:rPr>
        <w:t xml:space="preserve"> Willey Blackwell.</w:t>
      </w:r>
    </w:p>
    <w:p w14:paraId="2FA5F666"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Snape, S. (2014). </w:t>
      </w:r>
      <w:r w:rsidRPr="009E2979">
        <w:rPr>
          <w:rFonts w:ascii="Times New Roman" w:hAnsi="Times New Roman" w:cs="Times New Roman"/>
          <w:i/>
          <w:iCs/>
          <w:sz w:val="24"/>
          <w:szCs w:val="24"/>
        </w:rPr>
        <w:t>The Complete Cities of Ancient Egypt</w:t>
      </w:r>
      <w:r w:rsidRPr="009E2979">
        <w:rPr>
          <w:rFonts w:ascii="Times New Roman" w:hAnsi="Times New Roman" w:cs="Times New Roman"/>
          <w:sz w:val="24"/>
          <w:szCs w:val="24"/>
        </w:rPr>
        <w:t>. Thames &amp; Hudson.</w:t>
      </w:r>
    </w:p>
    <w:p w14:paraId="0CEA8697"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Strudwick, N. 2016. </w:t>
      </w:r>
      <w:r w:rsidRPr="009E2979">
        <w:rPr>
          <w:rFonts w:ascii="Times New Roman" w:hAnsi="Times New Roman" w:cs="Times New Roman"/>
          <w:i/>
          <w:iCs/>
          <w:sz w:val="24"/>
          <w:szCs w:val="24"/>
        </w:rPr>
        <w:t xml:space="preserve">The Tomb of Pharaoh’s Chancellor </w:t>
      </w:r>
      <w:proofErr w:type="spellStart"/>
      <w:r w:rsidRPr="009E2979">
        <w:rPr>
          <w:rFonts w:ascii="Times New Roman" w:hAnsi="Times New Roman" w:cs="Times New Roman"/>
          <w:i/>
          <w:iCs/>
          <w:sz w:val="24"/>
          <w:szCs w:val="24"/>
        </w:rPr>
        <w:t>Senneferi</w:t>
      </w:r>
      <w:proofErr w:type="spellEnd"/>
      <w:r w:rsidRPr="009E2979">
        <w:rPr>
          <w:rFonts w:ascii="Times New Roman" w:hAnsi="Times New Roman" w:cs="Times New Roman"/>
          <w:i/>
          <w:iCs/>
          <w:sz w:val="24"/>
          <w:szCs w:val="24"/>
        </w:rPr>
        <w:t xml:space="preserve"> at Thebes (TT99).</w:t>
      </w:r>
      <w:r w:rsidRPr="009E2979">
        <w:rPr>
          <w:rFonts w:ascii="Times New Roman" w:hAnsi="Times New Roman" w:cs="Times New Roman"/>
          <w:sz w:val="24"/>
          <w:szCs w:val="24"/>
        </w:rPr>
        <w:t xml:space="preserve"> Oxford: Oxbow.</w:t>
      </w:r>
    </w:p>
    <w:p w14:paraId="1C3A1909"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Strudwick, N. (2018). </w:t>
      </w:r>
      <w:r w:rsidRPr="009E2979">
        <w:rPr>
          <w:rFonts w:ascii="Times New Roman" w:hAnsi="Times New Roman" w:cs="Times New Roman"/>
          <w:i/>
          <w:iCs/>
          <w:sz w:val="24"/>
          <w:szCs w:val="24"/>
        </w:rPr>
        <w:t xml:space="preserve">Cambridge Theban Tombs Project: The Tomb of </w:t>
      </w:r>
      <w:proofErr w:type="spellStart"/>
      <w:r w:rsidRPr="009E2979">
        <w:rPr>
          <w:rFonts w:ascii="Times New Roman" w:hAnsi="Times New Roman" w:cs="Times New Roman"/>
          <w:i/>
          <w:iCs/>
          <w:sz w:val="24"/>
          <w:szCs w:val="24"/>
        </w:rPr>
        <w:t>Senneferi</w:t>
      </w:r>
      <w:proofErr w:type="spellEnd"/>
      <w:r w:rsidRPr="009E2979">
        <w:rPr>
          <w:rFonts w:ascii="Times New Roman" w:hAnsi="Times New Roman" w:cs="Times New Roman"/>
          <w:i/>
          <w:iCs/>
          <w:sz w:val="24"/>
          <w:szCs w:val="24"/>
        </w:rPr>
        <w:t>, Theban Tomb 99</w:t>
      </w:r>
      <w:r w:rsidRPr="009E2979">
        <w:rPr>
          <w:rFonts w:ascii="Times New Roman" w:hAnsi="Times New Roman" w:cs="Times New Roman"/>
          <w:sz w:val="24"/>
          <w:szCs w:val="24"/>
        </w:rPr>
        <w:t xml:space="preserve">. University of Cambridge. Available at: https://tt99.fitz.ms (Not Secure) (Accessed: 23 February 2026). </w:t>
      </w:r>
    </w:p>
    <w:p w14:paraId="7BDF415D"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Taylor, J. H. (2001). </w:t>
      </w:r>
      <w:r w:rsidRPr="009E2979">
        <w:rPr>
          <w:rFonts w:ascii="Times New Roman" w:hAnsi="Times New Roman" w:cs="Times New Roman"/>
          <w:i/>
          <w:iCs/>
          <w:sz w:val="24"/>
          <w:szCs w:val="24"/>
        </w:rPr>
        <w:t>Death and the Afterlife in Ancient Egypt</w:t>
      </w:r>
      <w:r w:rsidRPr="009E2979">
        <w:rPr>
          <w:rFonts w:ascii="Times New Roman" w:hAnsi="Times New Roman" w:cs="Times New Roman"/>
          <w:sz w:val="24"/>
          <w:szCs w:val="24"/>
        </w:rPr>
        <w:t>. The British Museum Press.</w:t>
      </w:r>
    </w:p>
    <w:p w14:paraId="3EDB777C"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Taylor, J. H. (2010). </w:t>
      </w:r>
      <w:r w:rsidRPr="009E2979">
        <w:rPr>
          <w:rFonts w:ascii="Times New Roman" w:hAnsi="Times New Roman" w:cs="Times New Roman"/>
          <w:i/>
          <w:iCs/>
          <w:sz w:val="24"/>
          <w:szCs w:val="24"/>
        </w:rPr>
        <w:t>Egyptian Mummies</w:t>
      </w:r>
      <w:r w:rsidRPr="009E2979">
        <w:rPr>
          <w:rFonts w:ascii="Times New Roman" w:hAnsi="Times New Roman" w:cs="Times New Roman"/>
          <w:sz w:val="24"/>
          <w:szCs w:val="24"/>
        </w:rPr>
        <w:t>. The British Museum Press.</w:t>
      </w:r>
    </w:p>
    <w:p w14:paraId="04839CB4"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Taylor, J. H. (Ed.) (2010a). </w:t>
      </w:r>
      <w:r w:rsidRPr="009E2979">
        <w:rPr>
          <w:rFonts w:ascii="Times New Roman" w:hAnsi="Times New Roman" w:cs="Times New Roman"/>
          <w:i/>
          <w:iCs/>
          <w:sz w:val="24"/>
          <w:szCs w:val="24"/>
        </w:rPr>
        <w:t>Journey through the afterlife: Ancient Egyptian Book of the Dead.</w:t>
      </w:r>
      <w:r w:rsidRPr="009E2979">
        <w:rPr>
          <w:rFonts w:ascii="Times New Roman" w:hAnsi="Times New Roman" w:cs="Times New Roman"/>
          <w:sz w:val="24"/>
          <w:szCs w:val="24"/>
        </w:rPr>
        <w:t xml:space="preserve">  The British Museum Press.</w:t>
      </w:r>
    </w:p>
    <w:p w14:paraId="481F51E6"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Taylor, J. H., Virginia Museum of Fine Arts., &amp; British Museum. (2011). </w:t>
      </w:r>
      <w:r w:rsidRPr="009E2979">
        <w:rPr>
          <w:rFonts w:ascii="Times New Roman" w:hAnsi="Times New Roman" w:cs="Times New Roman"/>
          <w:i/>
          <w:iCs/>
          <w:sz w:val="24"/>
          <w:szCs w:val="24"/>
        </w:rPr>
        <w:t>Mummy secrets of the tomb</w:t>
      </w:r>
      <w:r w:rsidRPr="009E2979">
        <w:rPr>
          <w:rFonts w:ascii="Times New Roman" w:hAnsi="Times New Roman" w:cs="Times New Roman"/>
          <w:sz w:val="24"/>
          <w:szCs w:val="24"/>
        </w:rPr>
        <w:t> (New American edition.). Virginia Museum of Fine Arts.</w:t>
      </w:r>
    </w:p>
    <w:p w14:paraId="7495BA58"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Wilkinson, T. (2007). </w:t>
      </w:r>
      <w:r w:rsidRPr="009E2979">
        <w:rPr>
          <w:rFonts w:ascii="Times New Roman" w:hAnsi="Times New Roman" w:cs="Times New Roman"/>
          <w:i/>
          <w:iCs/>
          <w:sz w:val="24"/>
          <w:szCs w:val="24"/>
        </w:rPr>
        <w:t>Lives of the Ancient Egyptians</w:t>
      </w:r>
      <w:r w:rsidRPr="009E2979">
        <w:rPr>
          <w:rFonts w:ascii="Times New Roman" w:hAnsi="Times New Roman" w:cs="Times New Roman"/>
          <w:sz w:val="24"/>
          <w:szCs w:val="24"/>
        </w:rPr>
        <w:t>. Thams &amp; Hudson.</w:t>
      </w:r>
    </w:p>
    <w:p w14:paraId="2F1AC159" w14:textId="77777777" w:rsidR="009E2979" w:rsidRPr="009E2979" w:rsidRDefault="009E2979" w:rsidP="009E2979">
      <w:pPr>
        <w:rPr>
          <w:rFonts w:ascii="Times New Roman" w:hAnsi="Times New Roman" w:cs="Times New Roman"/>
          <w:sz w:val="24"/>
          <w:szCs w:val="24"/>
        </w:rPr>
      </w:pPr>
      <w:r w:rsidRPr="009E2979">
        <w:rPr>
          <w:rFonts w:ascii="Times New Roman" w:hAnsi="Times New Roman" w:cs="Times New Roman"/>
          <w:sz w:val="24"/>
          <w:szCs w:val="24"/>
        </w:rPr>
        <w:t xml:space="preserve">Willockx, S. (2010). Map of the Theban Necropolis. Available at:  </w:t>
      </w:r>
      <w:hyperlink r:id="rId15" w:history="1">
        <w:r w:rsidRPr="009E2979">
          <w:rPr>
            <w:rStyle w:val="Hyperlink"/>
            <w:rFonts w:ascii="Times New Roman" w:hAnsi="Times New Roman" w:cs="Times New Roman"/>
            <w:sz w:val="24"/>
            <w:szCs w:val="24"/>
          </w:rPr>
          <w:t>https://www.researchgate.net/publication/307547254_Map_of_the_Theban_Necropolis</w:t>
        </w:r>
      </w:hyperlink>
      <w:r w:rsidRPr="009E2979">
        <w:rPr>
          <w:rFonts w:ascii="Times New Roman" w:hAnsi="Times New Roman" w:cs="Times New Roman"/>
          <w:sz w:val="24"/>
          <w:szCs w:val="24"/>
        </w:rPr>
        <w:t xml:space="preserve"> (Accessed: 26 February 2026).</w:t>
      </w:r>
    </w:p>
    <w:p w14:paraId="30784514" w14:textId="77777777" w:rsidR="009E2979" w:rsidRPr="009E2979" w:rsidRDefault="009E2979" w:rsidP="009E2979">
      <w:pPr>
        <w:rPr>
          <w:rFonts w:ascii="Times New Roman" w:hAnsi="Times New Roman" w:cs="Times New Roman"/>
          <w:sz w:val="24"/>
          <w:szCs w:val="24"/>
        </w:rPr>
      </w:pPr>
      <w:proofErr w:type="spellStart"/>
      <w:r w:rsidRPr="009E2979">
        <w:rPr>
          <w:rFonts w:ascii="Times New Roman" w:hAnsi="Times New Roman" w:cs="Times New Roman"/>
          <w:sz w:val="24"/>
          <w:szCs w:val="24"/>
        </w:rPr>
        <w:t>Zenihiro</w:t>
      </w:r>
      <w:proofErr w:type="spellEnd"/>
      <w:r w:rsidRPr="009E2979">
        <w:rPr>
          <w:rFonts w:ascii="Times New Roman" w:hAnsi="Times New Roman" w:cs="Times New Roman"/>
          <w:sz w:val="24"/>
          <w:szCs w:val="24"/>
        </w:rPr>
        <w:t xml:space="preserve">, K. (2009). </w:t>
      </w:r>
      <w:r w:rsidRPr="009E2979">
        <w:rPr>
          <w:rFonts w:ascii="Times New Roman" w:hAnsi="Times New Roman" w:cs="Times New Roman"/>
          <w:i/>
          <w:iCs/>
          <w:sz w:val="24"/>
          <w:szCs w:val="24"/>
        </w:rPr>
        <w:t>The Complete Funerary Cones</w:t>
      </w:r>
      <w:r w:rsidRPr="009E2979">
        <w:rPr>
          <w:rFonts w:ascii="Times New Roman" w:hAnsi="Times New Roman" w:cs="Times New Roman"/>
          <w:sz w:val="24"/>
          <w:szCs w:val="24"/>
        </w:rPr>
        <w:t xml:space="preserve">. Maruzen Co. Ltd. Available at: </w:t>
      </w:r>
      <w:hyperlink r:id="rId16" w:history="1">
        <w:r w:rsidRPr="009E2979">
          <w:rPr>
            <w:rStyle w:val="Hyperlink"/>
            <w:rFonts w:ascii="Times New Roman" w:hAnsi="Times New Roman" w:cs="Times New Roman"/>
            <w:sz w:val="24"/>
            <w:szCs w:val="24"/>
          </w:rPr>
          <w:t>https://www.academia.edu/232645/The_Complete_Funerary_Cones</w:t>
        </w:r>
      </w:hyperlink>
      <w:r w:rsidRPr="009E2979">
        <w:rPr>
          <w:rFonts w:ascii="Times New Roman" w:hAnsi="Times New Roman" w:cs="Times New Roman"/>
          <w:sz w:val="24"/>
          <w:szCs w:val="24"/>
        </w:rPr>
        <w:t xml:space="preserve"> (Accessed: 11 March 2026).</w:t>
      </w:r>
    </w:p>
    <w:p w14:paraId="282421CB" w14:textId="77777777" w:rsidR="009E2979" w:rsidRDefault="009E2979" w:rsidP="00FC4AEC">
      <w:pPr>
        <w:rPr>
          <w:rFonts w:ascii="Times New Roman" w:hAnsi="Times New Roman" w:cs="Times New Roman"/>
          <w:sz w:val="24"/>
          <w:szCs w:val="24"/>
        </w:rPr>
      </w:pPr>
    </w:p>
    <w:p w14:paraId="3070843E" w14:textId="77777777" w:rsidR="009E2979" w:rsidRDefault="009E2979" w:rsidP="00FC4AEC">
      <w:pPr>
        <w:rPr>
          <w:rFonts w:ascii="Times New Roman" w:hAnsi="Times New Roman" w:cs="Times New Roman"/>
          <w:sz w:val="24"/>
          <w:szCs w:val="24"/>
        </w:rPr>
      </w:pPr>
    </w:p>
    <w:p w14:paraId="4EB45734" w14:textId="77777777" w:rsidR="009E2979" w:rsidRPr="00E441D3" w:rsidRDefault="009E2979" w:rsidP="00FC4AEC">
      <w:pPr>
        <w:rPr>
          <w:rFonts w:ascii="Times New Roman" w:hAnsi="Times New Roman" w:cs="Times New Roman"/>
          <w:sz w:val="20"/>
          <w:szCs w:val="20"/>
        </w:rPr>
      </w:pPr>
    </w:p>
    <w:sectPr w:rsidR="009E2979" w:rsidRPr="00E441D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2A51D" w14:textId="77777777" w:rsidR="00A10525" w:rsidRDefault="00A10525" w:rsidP="009E2979">
      <w:pPr>
        <w:spacing w:after="0" w:line="240" w:lineRule="auto"/>
      </w:pPr>
      <w:r>
        <w:separator/>
      </w:r>
    </w:p>
  </w:endnote>
  <w:endnote w:type="continuationSeparator" w:id="0">
    <w:p w14:paraId="763914FC" w14:textId="77777777" w:rsidR="00A10525" w:rsidRDefault="00A10525" w:rsidP="009E2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893358"/>
      <w:docPartObj>
        <w:docPartGallery w:val="Page Numbers (Bottom of Page)"/>
        <w:docPartUnique/>
      </w:docPartObj>
    </w:sdtPr>
    <w:sdtEndPr>
      <w:rPr>
        <w:noProof/>
      </w:rPr>
    </w:sdtEndPr>
    <w:sdtContent>
      <w:p w14:paraId="61C210DB" w14:textId="3C7704DF" w:rsidR="009E2979" w:rsidRDefault="009E29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CE9FD8" w14:textId="77777777" w:rsidR="009E2979" w:rsidRDefault="009E2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CCE0D" w14:textId="77777777" w:rsidR="00A10525" w:rsidRDefault="00A10525" w:rsidP="009E2979">
      <w:pPr>
        <w:spacing w:after="0" w:line="240" w:lineRule="auto"/>
      </w:pPr>
      <w:r>
        <w:separator/>
      </w:r>
    </w:p>
  </w:footnote>
  <w:footnote w:type="continuationSeparator" w:id="0">
    <w:p w14:paraId="799700B3" w14:textId="77777777" w:rsidR="00A10525" w:rsidRDefault="00A10525" w:rsidP="009E29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F6B"/>
    <w:rsid w:val="00013877"/>
    <w:rsid w:val="00020A60"/>
    <w:rsid w:val="00034CA0"/>
    <w:rsid w:val="00047176"/>
    <w:rsid w:val="000649EE"/>
    <w:rsid w:val="0007108D"/>
    <w:rsid w:val="0008222A"/>
    <w:rsid w:val="000D2A89"/>
    <w:rsid w:val="000D7B83"/>
    <w:rsid w:val="00106946"/>
    <w:rsid w:val="001115AD"/>
    <w:rsid w:val="001124DD"/>
    <w:rsid w:val="00121098"/>
    <w:rsid w:val="00122296"/>
    <w:rsid w:val="00132CBC"/>
    <w:rsid w:val="00140369"/>
    <w:rsid w:val="00162812"/>
    <w:rsid w:val="0016504F"/>
    <w:rsid w:val="001C7C76"/>
    <w:rsid w:val="001D3705"/>
    <w:rsid w:val="001D7D4E"/>
    <w:rsid w:val="001E378A"/>
    <w:rsid w:val="002B35BB"/>
    <w:rsid w:val="003A47E3"/>
    <w:rsid w:val="003A5359"/>
    <w:rsid w:val="003F6D2C"/>
    <w:rsid w:val="00403893"/>
    <w:rsid w:val="00407223"/>
    <w:rsid w:val="004407F2"/>
    <w:rsid w:val="0047454F"/>
    <w:rsid w:val="004A75EF"/>
    <w:rsid w:val="004C138B"/>
    <w:rsid w:val="004E285A"/>
    <w:rsid w:val="004E5773"/>
    <w:rsid w:val="004F2A8F"/>
    <w:rsid w:val="00507EE0"/>
    <w:rsid w:val="005462F5"/>
    <w:rsid w:val="00551BCF"/>
    <w:rsid w:val="005D6F6B"/>
    <w:rsid w:val="006348EF"/>
    <w:rsid w:val="00676C91"/>
    <w:rsid w:val="006A76D0"/>
    <w:rsid w:val="006B51CB"/>
    <w:rsid w:val="006D7AF9"/>
    <w:rsid w:val="007070BB"/>
    <w:rsid w:val="00744621"/>
    <w:rsid w:val="0076493F"/>
    <w:rsid w:val="00782972"/>
    <w:rsid w:val="007C0FFB"/>
    <w:rsid w:val="007E4EA3"/>
    <w:rsid w:val="00820AAD"/>
    <w:rsid w:val="008340DD"/>
    <w:rsid w:val="008370F1"/>
    <w:rsid w:val="008371A6"/>
    <w:rsid w:val="00864C46"/>
    <w:rsid w:val="008A3E6A"/>
    <w:rsid w:val="008C50AB"/>
    <w:rsid w:val="008D228E"/>
    <w:rsid w:val="008D4537"/>
    <w:rsid w:val="00911612"/>
    <w:rsid w:val="00963447"/>
    <w:rsid w:val="00993A85"/>
    <w:rsid w:val="00996FE6"/>
    <w:rsid w:val="009A0D0E"/>
    <w:rsid w:val="009C64E7"/>
    <w:rsid w:val="009E2979"/>
    <w:rsid w:val="009E7510"/>
    <w:rsid w:val="009F6701"/>
    <w:rsid w:val="00A01EB5"/>
    <w:rsid w:val="00A10525"/>
    <w:rsid w:val="00A13298"/>
    <w:rsid w:val="00A508D7"/>
    <w:rsid w:val="00A640FA"/>
    <w:rsid w:val="00A93B2A"/>
    <w:rsid w:val="00AB67DB"/>
    <w:rsid w:val="00AB6C91"/>
    <w:rsid w:val="00AF7B91"/>
    <w:rsid w:val="00B16DD6"/>
    <w:rsid w:val="00B86DF2"/>
    <w:rsid w:val="00BD5EC7"/>
    <w:rsid w:val="00BE362B"/>
    <w:rsid w:val="00BF1C98"/>
    <w:rsid w:val="00C033E4"/>
    <w:rsid w:val="00C07A41"/>
    <w:rsid w:val="00C3375C"/>
    <w:rsid w:val="00C47E83"/>
    <w:rsid w:val="00C55B03"/>
    <w:rsid w:val="00C81A29"/>
    <w:rsid w:val="00C83D8A"/>
    <w:rsid w:val="00C91792"/>
    <w:rsid w:val="00D132FE"/>
    <w:rsid w:val="00DA1496"/>
    <w:rsid w:val="00DB4CE2"/>
    <w:rsid w:val="00DC1CED"/>
    <w:rsid w:val="00DE4D79"/>
    <w:rsid w:val="00E03DC4"/>
    <w:rsid w:val="00E2086B"/>
    <w:rsid w:val="00E318F1"/>
    <w:rsid w:val="00E441D3"/>
    <w:rsid w:val="00E5372F"/>
    <w:rsid w:val="00E62EA7"/>
    <w:rsid w:val="00E63E87"/>
    <w:rsid w:val="00F200EE"/>
    <w:rsid w:val="00F556CD"/>
    <w:rsid w:val="00F56485"/>
    <w:rsid w:val="00F90E95"/>
    <w:rsid w:val="00F96190"/>
    <w:rsid w:val="00FA034A"/>
    <w:rsid w:val="00FA29F3"/>
    <w:rsid w:val="00FC4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83453"/>
  <w15:chartTrackingRefBased/>
  <w15:docId w15:val="{CA0CDF1A-5FE2-4B62-A7DE-93B16934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CA0"/>
  </w:style>
  <w:style w:type="paragraph" w:styleId="Heading1">
    <w:name w:val="heading 1"/>
    <w:basedOn w:val="Normal"/>
    <w:next w:val="Normal"/>
    <w:link w:val="Heading1Char"/>
    <w:uiPriority w:val="9"/>
    <w:qFormat/>
    <w:rsid w:val="005D6F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6F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6F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6F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6F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6F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6F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6F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6F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F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6F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6F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6F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6F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6F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F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F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F6B"/>
    <w:rPr>
      <w:rFonts w:eastAsiaTheme="majorEastAsia" w:cstheme="majorBidi"/>
      <w:color w:val="272727" w:themeColor="text1" w:themeTint="D8"/>
    </w:rPr>
  </w:style>
  <w:style w:type="paragraph" w:styleId="Title">
    <w:name w:val="Title"/>
    <w:basedOn w:val="Normal"/>
    <w:next w:val="Normal"/>
    <w:link w:val="TitleChar"/>
    <w:uiPriority w:val="10"/>
    <w:qFormat/>
    <w:rsid w:val="005D6F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F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F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6F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F6B"/>
    <w:pPr>
      <w:spacing w:before="160"/>
      <w:jc w:val="center"/>
    </w:pPr>
    <w:rPr>
      <w:i/>
      <w:iCs/>
      <w:color w:val="404040" w:themeColor="text1" w:themeTint="BF"/>
    </w:rPr>
  </w:style>
  <w:style w:type="character" w:customStyle="1" w:styleId="QuoteChar">
    <w:name w:val="Quote Char"/>
    <w:basedOn w:val="DefaultParagraphFont"/>
    <w:link w:val="Quote"/>
    <w:uiPriority w:val="29"/>
    <w:rsid w:val="005D6F6B"/>
    <w:rPr>
      <w:i/>
      <w:iCs/>
      <w:color w:val="404040" w:themeColor="text1" w:themeTint="BF"/>
    </w:rPr>
  </w:style>
  <w:style w:type="paragraph" w:styleId="ListParagraph">
    <w:name w:val="List Paragraph"/>
    <w:basedOn w:val="Normal"/>
    <w:uiPriority w:val="34"/>
    <w:qFormat/>
    <w:rsid w:val="005D6F6B"/>
    <w:pPr>
      <w:ind w:left="720"/>
      <w:contextualSpacing/>
    </w:pPr>
  </w:style>
  <w:style w:type="character" w:styleId="IntenseEmphasis">
    <w:name w:val="Intense Emphasis"/>
    <w:basedOn w:val="DefaultParagraphFont"/>
    <w:uiPriority w:val="21"/>
    <w:qFormat/>
    <w:rsid w:val="005D6F6B"/>
    <w:rPr>
      <w:i/>
      <w:iCs/>
      <w:color w:val="0F4761" w:themeColor="accent1" w:themeShade="BF"/>
    </w:rPr>
  </w:style>
  <w:style w:type="paragraph" w:styleId="IntenseQuote">
    <w:name w:val="Intense Quote"/>
    <w:basedOn w:val="Normal"/>
    <w:next w:val="Normal"/>
    <w:link w:val="IntenseQuoteChar"/>
    <w:uiPriority w:val="30"/>
    <w:qFormat/>
    <w:rsid w:val="005D6F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6F6B"/>
    <w:rPr>
      <w:i/>
      <w:iCs/>
      <w:color w:val="0F4761" w:themeColor="accent1" w:themeShade="BF"/>
    </w:rPr>
  </w:style>
  <w:style w:type="character" w:styleId="IntenseReference">
    <w:name w:val="Intense Reference"/>
    <w:basedOn w:val="DefaultParagraphFont"/>
    <w:uiPriority w:val="32"/>
    <w:qFormat/>
    <w:rsid w:val="005D6F6B"/>
    <w:rPr>
      <w:b/>
      <w:bCs/>
      <w:smallCaps/>
      <w:color w:val="0F4761" w:themeColor="accent1" w:themeShade="BF"/>
      <w:spacing w:val="5"/>
    </w:rPr>
  </w:style>
  <w:style w:type="character" w:styleId="Hyperlink">
    <w:name w:val="Hyperlink"/>
    <w:basedOn w:val="DefaultParagraphFont"/>
    <w:uiPriority w:val="99"/>
    <w:unhideWhenUsed/>
    <w:rsid w:val="009E2979"/>
    <w:rPr>
      <w:color w:val="467886" w:themeColor="hyperlink"/>
      <w:u w:val="single"/>
    </w:rPr>
  </w:style>
  <w:style w:type="character" w:styleId="UnresolvedMention">
    <w:name w:val="Unresolved Mention"/>
    <w:basedOn w:val="DefaultParagraphFont"/>
    <w:uiPriority w:val="99"/>
    <w:semiHidden/>
    <w:unhideWhenUsed/>
    <w:rsid w:val="009E2979"/>
    <w:rPr>
      <w:color w:val="605E5C"/>
      <w:shd w:val="clear" w:color="auto" w:fill="E1DFDD"/>
    </w:rPr>
  </w:style>
  <w:style w:type="paragraph" w:styleId="Header">
    <w:name w:val="header"/>
    <w:basedOn w:val="Normal"/>
    <w:link w:val="HeaderChar"/>
    <w:uiPriority w:val="99"/>
    <w:unhideWhenUsed/>
    <w:rsid w:val="009E2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979"/>
  </w:style>
  <w:style w:type="paragraph" w:styleId="Footer">
    <w:name w:val="footer"/>
    <w:basedOn w:val="Normal"/>
    <w:link w:val="FooterChar"/>
    <w:uiPriority w:val="99"/>
    <w:unhideWhenUsed/>
    <w:rsid w:val="009E2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rchive.org/details/ProceedingsOfTheSocietyOfBiblicalArchaeologyVol221900/page/n83/mode/2up"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archive.org/details/topographicalcat00garduoft/page/24/mode/2up"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academia.edu/232645/The_Complete_Funerary_Cone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hyperlink" Target="https://www.researchgate.net/publication/307547254_Map_of_the_Theban_Necropolis"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scgis.maps.arcgis.com/apps/webappviewer/index.html?id=cff7333a8b61461eb9d438d91c93ff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1591</TotalTime>
  <Pages>8</Pages>
  <Words>2394</Words>
  <Characters>13649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Jenkins</dc:creator>
  <cp:keywords/>
  <dc:description/>
  <cp:lastModifiedBy>Gareth Jenkins</cp:lastModifiedBy>
  <cp:revision>17</cp:revision>
  <cp:lastPrinted>2026-03-13T19:26:00Z</cp:lastPrinted>
  <dcterms:created xsi:type="dcterms:W3CDTF">2026-03-07T13:15:00Z</dcterms:created>
  <dcterms:modified xsi:type="dcterms:W3CDTF">2026-03-13T19:38:00Z</dcterms:modified>
</cp:coreProperties>
</file>