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2868E35">
      <w:pPr>
        <w:jc w:val="center"/>
        <w:rPr>
          <w:b/>
          <w:bCs/>
          <w:color w:val="000000" w:themeColor="text1"/>
          <w:sz w:val="36"/>
          <w:szCs w:val="36"/>
          <w14:textFill>
            <w14:solidFill>
              <w14:schemeClr w14:val="tx1"/>
            </w14:solidFill>
          </w14:textFill>
        </w:rPr>
      </w:pPr>
      <w:bookmarkStart w:id="0" w:name="_heading=h.djh44g4leufo" w:colFirst="0" w:colLast="0"/>
      <w:bookmarkEnd w:id="0"/>
      <w:r>
        <w:rPr>
          <w:color w:val="000000" w:themeColor="text1"/>
          <w:sz w:val="20"/>
          <w:szCs w:val="20"/>
          <w14:textFill>
            <w14:solidFill>
              <w14:schemeClr w14:val="tx1"/>
            </w14:solidFill>
          </w14:textFill>
        </w:rPr>
        <w:drawing>
          <wp:inline distT="0" distB="0" distL="0" distR="0">
            <wp:extent cx="2270760" cy="752475"/>
            <wp:effectExtent l="0" t="0" r="2540" b="0"/>
            <wp:docPr id="177137904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79043"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333830" cy="773326"/>
                    </a:xfrm>
                    <a:prstGeom prst="rect">
                      <a:avLst/>
                    </a:prstGeom>
                    <a:noFill/>
                    <a:ln>
                      <a:noFill/>
                    </a:ln>
                  </pic:spPr>
                </pic:pic>
              </a:graphicData>
            </a:graphic>
          </wp:inline>
        </w:drawing>
      </w:r>
    </w:p>
    <w:p w14:paraId="395BE359">
      <w:pPr>
        <w:jc w:val="center"/>
        <w:rPr>
          <w:b/>
          <w:bCs/>
          <w:color w:val="000000" w:themeColor="text1"/>
          <w:sz w:val="36"/>
          <w:szCs w:val="36"/>
          <w14:textFill>
            <w14:solidFill>
              <w14:schemeClr w14:val="tx1"/>
            </w14:solidFill>
          </w14:textFill>
        </w:rPr>
      </w:pPr>
    </w:p>
    <w:p w14:paraId="121D040D">
      <w:pPr>
        <w:jc w:val="center"/>
        <w:rPr>
          <w:b/>
          <w:bCs/>
          <w:color w:val="000000" w:themeColor="text1"/>
          <w:sz w:val="36"/>
          <w:szCs w:val="36"/>
          <w14:textFill>
            <w14:solidFill>
              <w14:schemeClr w14:val="tx1"/>
            </w14:solidFill>
          </w14:textFill>
        </w:rPr>
      </w:pPr>
    </w:p>
    <w:p w14:paraId="5B9B9B79">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 xml:space="preserve">Organisational Culture and its impact on Workforce Performance: A Case Study of Tesco </w:t>
      </w:r>
    </w:p>
    <w:p w14:paraId="7BA85D60">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Module Code: LCLM 5005</w:t>
      </w:r>
    </w:p>
    <w:p w14:paraId="051325B6">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Module Name: Organisational Culture</w:t>
      </w:r>
    </w:p>
    <w:p w14:paraId="4A9A77EE">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Programme Name: BA (Hons) Leadership and Management Skills for the Workplace</w:t>
      </w:r>
    </w:p>
    <w:p w14:paraId="22F7C3DF">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Assignment No. - 1</w:t>
      </w:r>
    </w:p>
    <w:p w14:paraId="162216C2">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Assignment Title: Organisational Culture: Individual Report</w:t>
      </w:r>
    </w:p>
    <w:p w14:paraId="13B0EA67">
      <w:pPr>
        <w:jc w:val="center"/>
        <w:rPr>
          <w:rFonts w:hint="default"/>
          <w:b/>
          <w:bCs/>
          <w:sz w:val="36"/>
          <w:szCs w:val="36"/>
          <w:lang w:val="en-GB"/>
        </w:rPr>
      </w:pPr>
      <w:r>
        <w:rPr>
          <w:rFonts w:hint="default"/>
          <w:b/>
          <w:bCs/>
          <w:sz w:val="36"/>
          <w:szCs w:val="36"/>
          <w:lang w:val="en-GB"/>
        </w:rPr>
        <w:t>Student Name: George Burlui</w:t>
      </w:r>
    </w:p>
    <w:p w14:paraId="5F272E22">
      <w:pPr>
        <w:jc w:val="center"/>
        <w:rPr>
          <w:rFonts w:hint="default"/>
          <w:b/>
          <w:bCs/>
          <w:sz w:val="36"/>
          <w:szCs w:val="36"/>
          <w:lang w:val="en-GB"/>
        </w:rPr>
      </w:pPr>
      <w:r>
        <w:rPr>
          <w:rFonts w:hint="default"/>
          <w:b/>
          <w:bCs/>
          <w:sz w:val="36"/>
          <w:szCs w:val="36"/>
          <w:lang w:val="en-GB"/>
        </w:rPr>
        <w:t>Student ID: 1907641</w:t>
      </w:r>
    </w:p>
    <w:p w14:paraId="1B67979B">
      <w:pPr>
        <w:jc w:val="center"/>
        <w:rPr>
          <w:b/>
          <w:bCs/>
          <w:color w:val="000000" w:themeColor="text1"/>
          <w:sz w:val="36"/>
          <w:szCs w:val="36"/>
          <w14:textFill>
            <w14:solidFill>
              <w14:schemeClr w14:val="tx1"/>
            </w14:solidFill>
          </w14:textFill>
        </w:rPr>
      </w:pPr>
    </w:p>
    <w:p w14:paraId="3702C912">
      <w:pPr>
        <w:jc w:val="center"/>
        <w:rPr>
          <w:b/>
          <w:bCs/>
          <w:color w:val="000000" w:themeColor="text1"/>
          <w:sz w:val="36"/>
          <w:szCs w:val="36"/>
          <w14:textFill>
            <w14:solidFill>
              <w14:schemeClr w14:val="tx1"/>
            </w14:solidFill>
          </w14:textFill>
        </w:rPr>
      </w:pPr>
      <w:r>
        <w:rPr>
          <w:b/>
          <w:bCs/>
          <w:color w:val="000000" w:themeColor="text1"/>
          <w:sz w:val="36"/>
          <w:szCs w:val="36"/>
          <w14:textFill>
            <w14:solidFill>
              <w14:schemeClr w14:val="tx1"/>
            </w14:solidFill>
          </w14:textFill>
        </w:rPr>
        <w:t>Word Count: 3047 words</w:t>
      </w:r>
    </w:p>
    <w:p w14:paraId="00E88C96">
      <w:pPr>
        <w:rPr>
          <w:b/>
          <w:bCs/>
          <w:color w:val="000000" w:themeColor="text1"/>
          <w14:textFill>
            <w14:solidFill>
              <w14:schemeClr w14:val="tx1"/>
            </w14:solidFill>
          </w14:textFill>
        </w:rPr>
      </w:pPr>
    </w:p>
    <w:p w14:paraId="7466102F">
      <w:pPr>
        <w:pStyle w:val="2"/>
        <w:rPr>
          <w:color w:val="000000" w:themeColor="text1"/>
          <w14:textFill>
            <w14:solidFill>
              <w14:schemeClr w14:val="tx1"/>
            </w14:solidFill>
          </w14:textFill>
        </w:rPr>
      </w:pPr>
      <w:bookmarkStart w:id="1" w:name="_heading=h.3y4fg5259275" w:colFirst="0" w:colLast="0"/>
      <w:bookmarkEnd w:id="1"/>
      <w:r>
        <w:rPr>
          <w:color w:val="000000" w:themeColor="text1"/>
          <w14:textFill>
            <w14:solidFill>
              <w14:schemeClr w14:val="tx1"/>
            </w14:solidFill>
          </w14:textFill>
        </w:rPr>
        <w:br w:type="page"/>
      </w:r>
    </w:p>
    <w:p w14:paraId="0A87D609">
      <w:pPr>
        <w:keepNext/>
        <w:keepLines/>
        <w:pBdr>
          <w:top w:val="none" w:color="auto" w:sz="0" w:space="0"/>
          <w:left w:val="none" w:color="auto" w:sz="0" w:space="0"/>
          <w:bottom w:val="none" w:color="auto" w:sz="0" w:space="0"/>
          <w:right w:val="none" w:color="auto" w:sz="0" w:space="0"/>
          <w:between w:val="none" w:color="auto" w:sz="0" w:space="0"/>
        </w:pBdr>
        <w:spacing w:before="240"/>
        <w:jc w:val="center"/>
        <w:rPr>
          <w:b/>
          <w:bCs/>
          <w:color w:val="000000" w:themeColor="text1"/>
          <w:sz w:val="28"/>
          <w:szCs w:val="28"/>
          <w14:textFill>
            <w14:solidFill>
              <w14:schemeClr w14:val="tx1"/>
            </w14:solidFill>
          </w14:textFill>
        </w:rPr>
      </w:pPr>
      <w:bookmarkStart w:id="2" w:name="_heading=h.i8sy13rvhgpm" w:colFirst="0" w:colLast="0"/>
      <w:bookmarkEnd w:id="2"/>
      <w:r>
        <w:rPr>
          <w:b/>
          <w:bCs/>
          <w:color w:val="000000" w:themeColor="text1"/>
          <w:sz w:val="28"/>
          <w:szCs w:val="28"/>
          <w14:textFill>
            <w14:solidFill>
              <w14:schemeClr w14:val="tx1"/>
            </w14:solidFill>
          </w14:textFill>
        </w:rPr>
        <w:t>Table of Contents</w:t>
      </w:r>
    </w:p>
    <w:sdt>
      <w:sdtPr>
        <w:rPr>
          <w:color w:val="000000" w:themeColor="text1"/>
          <w14:textFill>
            <w14:solidFill>
              <w14:schemeClr w14:val="tx1"/>
            </w14:solidFill>
          </w14:textFill>
        </w:rPr>
        <w:id w:val="-642120694"/>
        <w:docPartObj>
          <w:docPartGallery w:val="Table of Contents"/>
          <w:docPartUnique/>
        </w:docPartObj>
      </w:sdtPr>
      <w:sdtEndPr>
        <w:rPr>
          <w:color w:val="000000" w:themeColor="text1"/>
          <w14:textFill>
            <w14:solidFill>
              <w14:schemeClr w14:val="tx1"/>
            </w14:solidFill>
          </w14:textFill>
        </w:rPr>
      </w:sdtEndPr>
      <w:sdtContent>
        <w:p w14:paraId="182AD8FC">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\h \u \z \t "Heading 1,1,Heading 2,2,Heading 3,3,"</w:instrText>
          </w:r>
          <w:r>
            <w:rPr>
              <w:color w:val="000000" w:themeColor="text1"/>
              <w14:textFill>
                <w14:solidFill>
                  <w14:schemeClr w14:val="tx1"/>
                </w14:solidFill>
              </w14:textFill>
            </w:rPr>
            <w:fldChar w:fldCharType="separate"/>
          </w:r>
          <w:r>
            <w:fldChar w:fldCharType="begin"/>
          </w:r>
          <w:r>
            <w:instrText xml:space="preserve"> HYPERLINK \l "_heading=h.djh44g4leufo" \h </w:instrText>
          </w:r>
          <w:r>
            <w:fldChar w:fldCharType="separate"/>
          </w:r>
          <w:r>
            <w:rPr>
              <w:color w:val="000000" w:themeColor="text1"/>
              <w14:textFill>
                <w14:solidFill>
                  <w14:schemeClr w14:val="tx1"/>
                </w14:solidFill>
              </w14:textFill>
            </w:rPr>
            <w:t>1. Introduction</w:t>
          </w:r>
          <w:r>
            <w:rPr>
              <w:color w:val="000000" w:themeColor="text1"/>
              <w14:textFill>
                <w14:solidFill>
                  <w14:schemeClr w14:val="tx1"/>
                </w14:solidFill>
              </w14:textFill>
            </w:rPr>
            <w:tab/>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p>
        <w:p w14:paraId="3ED2FA7D">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color w:val="000000" w:themeColor="text1"/>
              <w14:textFill>
                <w14:solidFill>
                  <w14:schemeClr w14:val="tx1"/>
                </w14:solidFill>
              </w14:textFill>
            </w:rPr>
          </w:pPr>
          <w:r>
            <w:fldChar w:fldCharType="begin"/>
          </w:r>
          <w:r>
            <w:instrText xml:space="preserve"> HYPERLINK \l "_heading=h.oyuajluqvr9w" \h </w:instrText>
          </w:r>
          <w:r>
            <w:fldChar w:fldCharType="separate"/>
          </w:r>
          <w:r>
            <w:rPr>
              <w:color w:val="000000" w:themeColor="text1"/>
              <w14:textFill>
                <w14:solidFill>
                  <w14:schemeClr w14:val="tx1"/>
                </w14:solidFill>
              </w14:textFill>
            </w:rPr>
            <w:t>1.1 Overview of the company</w:t>
          </w:r>
          <w:r>
            <w:rPr>
              <w:color w:val="000000" w:themeColor="text1"/>
              <w14:textFill>
                <w14:solidFill>
                  <w14:schemeClr w14:val="tx1"/>
                </w14:solidFill>
              </w14:textFill>
            </w:rPr>
            <w:tab/>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p>
        <w:p w14:paraId="3EE05711">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ind w:left="240"/>
            <w:rPr>
              <w:color w:val="000000" w:themeColor="text1"/>
              <w14:textFill>
                <w14:solidFill>
                  <w14:schemeClr w14:val="tx1"/>
                </w14:solidFill>
              </w14:textFill>
            </w:rPr>
          </w:pPr>
          <w:r>
            <w:fldChar w:fldCharType="begin"/>
          </w:r>
          <w:r>
            <w:instrText xml:space="preserve"> HYPERLINK \l "_heading=h.pasnrzlucdwc" \h </w:instrText>
          </w:r>
          <w:r>
            <w:fldChar w:fldCharType="separate"/>
          </w:r>
          <w:r>
            <w:rPr>
              <w:color w:val="000000" w:themeColor="text1"/>
              <w14:textFill>
                <w14:solidFill>
                  <w14:schemeClr w14:val="tx1"/>
                </w14:solidFill>
              </w14:textFill>
            </w:rPr>
            <w:t>1.2 Purpose of the report</w:t>
          </w:r>
          <w:r>
            <w:rPr>
              <w:color w:val="000000" w:themeColor="text1"/>
              <w14:textFill>
                <w14:solidFill>
                  <w14:schemeClr w14:val="tx1"/>
                </w14:solidFill>
              </w14:textFill>
            </w:rPr>
            <w:tab/>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p>
        <w:p w14:paraId="3F78EFDB">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"_heading=h.6fu95vfxtrnq" \h </w:instrText>
          </w:r>
          <w:r>
            <w:fldChar w:fldCharType="separate"/>
          </w:r>
          <w:r>
            <w:rPr>
              <w:color w:val="000000" w:themeColor="text1"/>
              <w14:textFill>
                <w14:solidFill>
                  <w14:schemeClr w14:val="tx1"/>
                </w14:solidFill>
              </w14:textFill>
            </w:rPr>
            <w:t>2. Analysing organisational culture and structure</w:t>
          </w:r>
          <w:r>
            <w:rPr>
              <w:color w:val="000000" w:themeColor="text1"/>
              <w14:textFill>
                <w14:solidFill>
                  <w14:schemeClr w14:val="tx1"/>
                </w14:solidFill>
              </w14:textFill>
            </w:rPr>
            <w:tab/>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p>
        <w:p w14:paraId="1D9685BE">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"_heading=h.drmxwjbam9m0" \h </w:instrText>
          </w:r>
          <w:r>
            <w:fldChar w:fldCharType="separate"/>
          </w:r>
          <w:r>
            <w:rPr>
              <w:color w:val="000000" w:themeColor="text1"/>
              <w14:textFill>
                <w14:solidFill>
                  <w14:schemeClr w14:val="tx1"/>
                </w14:solidFill>
              </w14:textFill>
            </w:rPr>
            <w:t>2.1 Explaining the organisational structure within the company</w:t>
          </w:r>
          <w:r>
            <w:rPr>
              <w:color w:val="000000" w:themeColor="text1"/>
              <w14:textFill>
                <w14:solidFill>
                  <w14:schemeClr w14:val="tx1"/>
                </w14:solidFill>
              </w14:textFill>
            </w:rPr>
            <w:tab/>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p>
        <w:p w14:paraId="3295940E">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"_heading=h.hzvxuvbji7tu" \h </w:instrText>
          </w:r>
          <w:r>
            <w:fldChar w:fldCharType="separate"/>
          </w:r>
          <w:r>
            <w:rPr>
              <w:color w:val="000000" w:themeColor="text1"/>
              <w14:textFill>
                <w14:solidFill>
                  <w14:schemeClr w14:val="tx1"/>
                </w14:solidFill>
              </w14:textFill>
            </w:rPr>
            <w:t>2.2 Theoretical underpinning of the organisational culture</w:t>
          </w:r>
          <w:r>
            <w:rPr>
              <w:color w:val="000000" w:themeColor="text1"/>
              <w14:textFill>
                <w14:solidFill>
                  <w14:schemeClr w14:val="tx1"/>
                </w14:solidFill>
              </w14:textFill>
            </w:rPr>
            <w:tab/>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p>
        <w:p w14:paraId="2F5DA23F">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"_heading=h.b2wnmx4nvdgh" \h </w:instrText>
          </w:r>
          <w:r>
            <w:fldChar w:fldCharType="separate"/>
          </w:r>
          <w:r>
            <w:rPr>
              <w:color w:val="000000" w:themeColor="text1"/>
              <w14:textFill>
                <w14:solidFill>
                  <w14:schemeClr w14:val="tx1"/>
                </w14:solidFill>
              </w14:textFill>
            </w:rPr>
            <w:t>2.2.1 Overview of organisational culture</w:t>
          </w:r>
          <w:r>
            <w:rPr>
              <w:color w:val="000000" w:themeColor="text1"/>
              <w14:textFill>
                <w14:solidFill>
                  <w14:schemeClr w14:val="tx1"/>
                </w14:solidFill>
              </w14:textFill>
            </w:rPr>
            <w:tab/>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p>
        <w:p w14:paraId="36261777">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"_heading=h.o67hogvrowv2" \h </w:instrText>
          </w:r>
          <w:r>
            <w:fldChar w:fldCharType="separate"/>
          </w:r>
          <w:r>
            <w:rPr>
              <w:color w:val="000000" w:themeColor="text1"/>
              <w14:textFill>
                <w14:solidFill>
                  <w14:schemeClr w14:val="tx1"/>
                </w14:solidFill>
              </w14:textFill>
            </w:rPr>
            <w:t>2.2.2 Analysis by using theory</w:t>
          </w:r>
          <w:r>
            <w:rPr>
              <w:color w:val="000000" w:themeColor="text1"/>
              <w14:textFill>
                <w14:solidFill>
                  <w14:schemeClr w14:val="tx1"/>
                </w14:solidFill>
              </w14:textFill>
            </w:rPr>
            <w:tab/>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p>
        <w:p w14:paraId="6E5EFC21">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"_heading=h.ffpy8y1u9fav" \h </w:instrText>
          </w:r>
          <w:r>
            <w:fldChar w:fldCharType="separate"/>
          </w:r>
          <w:r>
            <w:rPr>
              <w:color w:val="000000" w:themeColor="text1"/>
              <w14:textFill>
                <w14:solidFill>
                  <w14:schemeClr w14:val="tx1"/>
                </w14:solidFill>
              </w14:textFill>
            </w:rPr>
            <w:t>2.3 Influence of culture on hierarchy, communication, leadership and decision-making</w:t>
          </w:r>
          <w:r>
            <w:rPr>
              <w:color w:val="000000" w:themeColor="text1"/>
              <w14:textFill>
                <w14:solidFill>
                  <w14:schemeClr w14:val="tx1"/>
                </w14:solidFill>
              </w14:textFill>
            </w:rPr>
            <w:tab/>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p>
        <w:p w14:paraId="4CFB7E44">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"_heading=h.7a3ikup73as1" \h </w:instrText>
          </w:r>
          <w:r>
            <w:fldChar w:fldCharType="separate"/>
          </w:r>
          <w:r>
            <w:rPr>
              <w:color w:val="000000" w:themeColor="text1"/>
              <w14:textFill>
                <w14:solidFill>
                  <w14:schemeClr w14:val="tx1"/>
                </w14:solidFill>
              </w14:textFill>
            </w:rPr>
            <w:t>3. Organisational culture and external environment</w:t>
          </w:r>
          <w:r>
            <w:rPr>
              <w:color w:val="000000" w:themeColor="text1"/>
              <w14:textFill>
                <w14:solidFill>
                  <w14:schemeClr w14:val="tx1"/>
                </w14:solidFill>
              </w14:textFill>
            </w:rPr>
            <w:tab/>
          </w:r>
          <w:r>
            <w:rPr>
              <w:color w:val="000000" w:themeColor="text1"/>
              <w14:textFill>
                <w14:solidFill>
                  <w14:schemeClr w14:val="tx1"/>
                </w14:solidFill>
              </w14:textFill>
            </w:rPr>
            <w:t>6</w:t>
          </w:r>
          <w:r>
            <w:rPr>
              <w:color w:val="000000" w:themeColor="text1"/>
              <w14:textFill>
                <w14:solidFill>
                  <w14:schemeClr w14:val="tx1"/>
                </w14:solidFill>
              </w14:textFill>
            </w:rPr>
            <w:fldChar w:fldCharType="end"/>
          </w:r>
        </w:p>
        <w:p w14:paraId="6727CF57">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"_heading=h.8ktenqxhkw3" \h </w:instrText>
          </w:r>
          <w:r>
            <w:fldChar w:fldCharType="separate"/>
          </w:r>
          <w:r>
            <w:rPr>
              <w:color w:val="000000" w:themeColor="text1"/>
              <w14:textFill>
                <w14:solidFill>
                  <w14:schemeClr w14:val="tx1"/>
                </w14:solidFill>
              </w14:textFill>
            </w:rPr>
            <w:t>4. Culture as a barrier or enabler</w:t>
          </w:r>
          <w:r>
            <w:rPr>
              <w:color w:val="000000" w:themeColor="text1"/>
              <w14:textFill>
                <w14:solidFill>
                  <w14:schemeClr w14:val="tx1"/>
                </w14:solidFill>
              </w14:textFill>
            </w:rPr>
            <w:tab/>
          </w:r>
          <w:r>
            <w:rPr>
              <w:color w:val="000000" w:themeColor="text1"/>
              <w14:textFill>
                <w14:solidFill>
                  <w14:schemeClr w14:val="tx1"/>
                </w14:solidFill>
              </w14:textFill>
            </w:rPr>
            <w:t>9</w:t>
          </w:r>
          <w:r>
            <w:rPr>
              <w:color w:val="000000" w:themeColor="text1"/>
              <w14:textFill>
                <w14:solidFill>
                  <w14:schemeClr w14:val="tx1"/>
                </w14:solidFill>
              </w14:textFill>
            </w:rPr>
            <w:fldChar w:fldCharType="end"/>
          </w:r>
        </w:p>
        <w:p w14:paraId="7D4A383C">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"_heading=h.1koqct659luj" \h </w:instrText>
          </w:r>
          <w:r>
            <w:fldChar w:fldCharType="separate"/>
          </w:r>
          <w:r>
            <w:rPr>
              <w:color w:val="000000" w:themeColor="text1"/>
              <w14:textFill>
                <w14:solidFill>
                  <w14:schemeClr w14:val="tx1"/>
                </w14:solidFill>
              </w14:textFill>
            </w:rPr>
            <w:t>5. Impact of the culture on organisational performance</w:t>
          </w:r>
          <w:r>
            <w:rPr>
              <w:color w:val="000000" w:themeColor="text1"/>
              <w14:textFill>
                <w14:solidFill>
                  <w14:schemeClr w14:val="tx1"/>
                </w14:solidFill>
              </w14:textFill>
            </w:rPr>
            <w:tab/>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p>
        <w:p w14:paraId="235C4AC3">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"_heading=h.f5bq6w6sut74" \h </w:instrText>
          </w:r>
          <w:r>
            <w:fldChar w:fldCharType="separate"/>
          </w:r>
          <w:r>
            <w:rPr>
              <w:color w:val="000000" w:themeColor="text1"/>
              <w14:textFill>
                <w14:solidFill>
                  <w14:schemeClr w14:val="tx1"/>
                </w14:solidFill>
              </w14:textFill>
            </w:rPr>
            <w:t>6. Recommendations</w:t>
          </w:r>
          <w:r>
            <w:rPr>
              <w:color w:val="000000" w:themeColor="text1"/>
              <w14:textFill>
                <w14:solidFill>
                  <w14:schemeClr w14:val="tx1"/>
                </w14:solidFill>
              </w14:textFill>
            </w:rPr>
            <w:tab/>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p>
        <w:p w14:paraId="26ACE326">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"_heading=h.813qw8z424s4" \h </w:instrText>
          </w:r>
          <w:r>
            <w:fldChar w:fldCharType="separate"/>
          </w:r>
          <w:r>
            <w:rPr>
              <w:color w:val="000000" w:themeColor="text1"/>
              <w14:textFill>
                <w14:solidFill>
                  <w14:schemeClr w14:val="tx1"/>
                </w14:solidFill>
              </w14:textFill>
            </w:rPr>
            <w:t>7. Conclusion</w:t>
          </w:r>
          <w:r>
            <w:rPr>
              <w:color w:val="000000" w:themeColor="text1"/>
              <w14:textFill>
                <w14:solidFill>
                  <w14:schemeClr w14:val="tx1"/>
                </w14:solidFill>
              </w14:textFill>
            </w:rPr>
            <w:tab/>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p>
        <w:p w14:paraId="5192E725">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color w:val="000000" w:themeColor="text1"/>
              <w14:textFill>
                <w14:solidFill>
                  <w14:schemeClr w14:val="tx1"/>
                </w14:solidFill>
              </w14:textFill>
            </w:rPr>
          </w:pPr>
          <w:r>
            <w:fldChar w:fldCharType="begin"/>
          </w:r>
          <w:r>
            <w:instrText xml:space="preserve"> HYPERLINK \l "_heading=h.y1a2s05ao5z0" \h </w:instrText>
          </w:r>
          <w:r>
            <w:fldChar w:fldCharType="separate"/>
          </w:r>
          <w:r>
            <w:rPr>
              <w:color w:val="000000" w:themeColor="text1"/>
              <w14:textFill>
                <w14:solidFill>
                  <w14:schemeClr w14:val="tx1"/>
                </w14:solidFill>
              </w14:textFill>
            </w:rPr>
            <w:t>Reference list</w:t>
          </w:r>
          <w:r>
            <w:rPr>
              <w:color w:val="000000" w:themeColor="text1"/>
              <w14:textFill>
                <w14:solidFill>
                  <w14:schemeClr w14:val="tx1"/>
                </w14:solidFill>
              </w14:textFill>
            </w:rPr>
            <w:tab/>
          </w:r>
          <w:r>
            <w:rPr>
              <w:color w:val="000000" w:themeColor="text1"/>
              <w14:textFill>
                <w14:solidFill>
                  <w14:schemeClr w14:val="tx1"/>
                </w14:solidFill>
              </w14:textFill>
            </w:rPr>
            <w:t>14</w:t>
          </w:r>
          <w:r>
            <w:rPr>
              <w:color w:val="000000" w:themeColor="text1"/>
              <w14:textFill>
                <w14:solidFill>
                  <w14:schemeClr w14:val="tx1"/>
                </w14:solidFill>
              </w14:textFill>
            </w:rPr>
            <w:fldChar w:fldCharType="end"/>
          </w:r>
        </w:p>
        <w:p w14:paraId="0BBA5514">
          <w:pPr>
            <w:rPr>
              <w:color w:val="000000" w:themeColor="text1"/>
              <w14:textFill>
                <w14:solidFill>
                  <w14:schemeClr w14:val="tx1"/>
                </w14:solidFill>
              </w14:textFill>
            </w:rPr>
          </w:pPr>
          <w:r>
            <w:rPr>
              <w:color w:val="000000" w:themeColor="text1"/>
              <w14:textFill>
                <w14:solidFill>
                  <w14:schemeClr w14:val="tx1"/>
                </w14:solidFill>
              </w14:textFill>
            </w:rPr>
            <w:fldChar w:fldCharType="end"/>
          </w:r>
        </w:p>
      </w:sdtContent>
    </w:sdt>
    <w:p w14:paraId="065EA38E">
      <w:pPr>
        <w:rPr>
          <w:b/>
          <w:bCs/>
          <w:color w:val="000000" w:themeColor="text1"/>
          <w14:textFill>
            <w14:solidFill>
              <w14:schemeClr w14:val="tx1"/>
            </w14:solidFill>
          </w14:textFill>
        </w:rPr>
      </w:pPr>
      <w:r>
        <w:rPr>
          <w:color w:val="000000" w:themeColor="text1"/>
          <w14:textFill>
            <w14:solidFill>
              <w14:schemeClr w14:val="tx1"/>
            </w14:solidFill>
          </w14:textFill>
        </w:rPr>
        <w:br w:type="page"/>
      </w:r>
    </w:p>
    <w:p w14:paraId="77B53668">
      <w:pPr>
        <w:pStyle w:val="2"/>
        <w:rPr>
          <w:color w:val="000000" w:themeColor="text1"/>
          <w:highlight w:val="cyan"/>
          <w14:textFill>
            <w14:solidFill>
              <w14:schemeClr w14:val="tx1"/>
            </w14:solidFill>
          </w14:textFill>
        </w:rPr>
      </w:pPr>
      <w:r>
        <w:rPr>
          <w:color w:val="000000" w:themeColor="text1"/>
          <w14:textFill>
            <w14:solidFill>
              <w14:schemeClr w14:val="tx1"/>
            </w14:solidFill>
          </w14:textFill>
        </w:rPr>
        <w:t xml:space="preserve">1. Introduction </w:t>
      </w:r>
    </w:p>
    <w:p w14:paraId="7DF519FB">
      <w:pPr>
        <w:pStyle w:val="3"/>
        <w:rPr>
          <w:color w:val="000000" w:themeColor="text1"/>
          <w14:textFill>
            <w14:solidFill>
              <w14:schemeClr w14:val="tx1"/>
            </w14:solidFill>
          </w14:textFill>
        </w:rPr>
      </w:pPr>
      <w:bookmarkStart w:id="3" w:name="_heading=h.oyuajluqvr9w" w:colFirst="0" w:colLast="0"/>
      <w:bookmarkEnd w:id="3"/>
      <w:r>
        <w:rPr>
          <w:color w:val="000000" w:themeColor="text1"/>
          <w14:textFill>
            <w14:solidFill>
              <w14:schemeClr w14:val="tx1"/>
            </w14:solidFill>
          </w14:textFill>
        </w:rPr>
        <w:t xml:space="preserve">1.1 Overview of the company </w:t>
      </w:r>
    </w:p>
    <w:p w14:paraId="3EF2A918">
      <w:pPr>
        <w:rPr>
          <w:color w:val="000000" w:themeColor="text1"/>
          <w14:textFill>
            <w14:solidFill>
              <w14:schemeClr w14:val="tx1"/>
            </w14:solidFill>
          </w14:textFill>
        </w:rPr>
      </w:pPr>
      <w:r>
        <w:rPr>
          <w:color w:val="000000" w:themeColor="text1"/>
          <w14:textFill>
            <w14:solidFill>
              <w14:schemeClr w14:val="tx1"/>
            </w14:solidFill>
          </w14:textFill>
        </w:rPr>
        <w:t xml:space="preserve">Tesco is a multinational grocery retailer with profound operational success in the UK market. Globally, they have 33,000 employees working under the brand (Tesco PLC, n.d.). The aim of the company is to sell healthy, sustainable, and affordable grocery items to serve their customers with better quality of products and sustainable way of livelihood. Tesco is operational in various sectors such as Tesco grocery supermarket chain, Tesco Bank, and Tesco Insurance to name a few. Service for the planet, people, and personal profitability is the key vision of the company. </w:t>
      </w:r>
    </w:p>
    <w:p w14:paraId="7E4DE1BF">
      <w:pPr>
        <w:pStyle w:val="3"/>
        <w:rPr>
          <w:color w:val="000000" w:themeColor="text1"/>
          <w14:textFill>
            <w14:solidFill>
              <w14:schemeClr w14:val="tx1"/>
            </w14:solidFill>
          </w14:textFill>
        </w:rPr>
      </w:pPr>
      <w:bookmarkStart w:id="4" w:name="_heading=h.pasnrzlucdwc" w:colFirst="0" w:colLast="0"/>
      <w:bookmarkEnd w:id="4"/>
      <w:r>
        <w:rPr>
          <w:color w:val="000000" w:themeColor="text1"/>
          <w14:textFill>
            <w14:solidFill>
              <w14:schemeClr w14:val="tx1"/>
            </w14:solidFill>
          </w14:textFill>
        </w:rPr>
        <w:t xml:space="preserve">1.2 Purpose of the report </w:t>
      </w:r>
    </w:p>
    <w:p w14:paraId="0CDA4909">
      <w:pPr>
        <w:rPr>
          <w:color w:val="000000" w:themeColor="text1"/>
          <w14:textFill>
            <w14:solidFill>
              <w14:schemeClr w14:val="tx1"/>
            </w14:solidFill>
          </w14:textFill>
        </w:rPr>
      </w:pPr>
      <w:r>
        <w:rPr>
          <w:color w:val="000000" w:themeColor="text1"/>
          <w14:textFill>
            <w14:solidFill>
              <w14:schemeClr w14:val="tx1"/>
            </w14:solidFill>
          </w14:textFill>
        </w:rPr>
        <w:t xml:space="preserve">The aim of this research is to evaluate the organisational structure and culture at Tesco. The leadership approaches followed by the company to leverage organisational culture will also be evaluated by using various cultural theories such as Schein’s and Hofstede’s cultural dimension model. The impact of the external business environment on the organisational culture and leadership attributes across Tesco will also be evaluated across this study. Lastly, culture as a barrier and enabler will also be evaluated in this study to evaluate the performance of the company influenced by the organisational culture across Tesco. Suitable recommendations for improving organisational culture will also be suggested in this study. </w:t>
      </w:r>
    </w:p>
    <w:p w14:paraId="2D30A048">
      <w:pPr>
        <w:pStyle w:val="2"/>
        <w:rPr>
          <w:color w:val="000000" w:themeColor="text1"/>
          <w:highlight w:val="cyan"/>
          <w14:textFill>
            <w14:solidFill>
              <w14:schemeClr w14:val="tx1"/>
            </w14:solidFill>
          </w14:textFill>
        </w:rPr>
      </w:pPr>
      <w:bookmarkStart w:id="5" w:name="_heading=h.6fu95vfxtrnq" w:colFirst="0" w:colLast="0"/>
      <w:bookmarkEnd w:id="5"/>
      <w:r>
        <w:rPr>
          <w:color w:val="000000" w:themeColor="text1"/>
          <w14:textFill>
            <w14:solidFill>
              <w14:schemeClr w14:val="tx1"/>
            </w14:solidFill>
          </w14:textFill>
        </w:rPr>
        <w:t xml:space="preserve">2. Analysing organisational culture and structure </w:t>
      </w:r>
    </w:p>
    <w:p w14:paraId="3D81C4F8">
      <w:pPr>
        <w:pStyle w:val="2"/>
        <w:rPr>
          <w:color w:val="000000" w:themeColor="text1"/>
          <w14:textFill>
            <w14:solidFill>
              <w14:schemeClr w14:val="tx1"/>
            </w14:solidFill>
          </w14:textFill>
        </w:rPr>
      </w:pPr>
      <w:bookmarkStart w:id="6" w:name="_heading=h.drmxwjbam9m0" w:colFirst="0" w:colLast="0"/>
      <w:bookmarkEnd w:id="6"/>
      <w:r>
        <w:rPr>
          <w:color w:val="000000" w:themeColor="text1"/>
          <w14:textFill>
            <w14:solidFill>
              <w14:schemeClr w14:val="tx1"/>
            </w14:solidFill>
          </w14:textFill>
        </w:rPr>
        <w:t xml:space="preserve">2.1 Explaining the organisational structure within the company </w:t>
      </w:r>
    </w:p>
    <w:p w14:paraId="366E3DA1">
      <w:pP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943600" cy="1892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8"/>
                    <a:srcRect/>
                    <a:stretch>
                      <a:fillRect/>
                    </a:stretch>
                  </pic:blipFill>
                  <pic:spPr>
                    <a:xfrm>
                      <a:off x="0" y="0"/>
                      <a:ext cx="5943600" cy="1892300"/>
                    </a:xfrm>
                    <a:prstGeom prst="rect">
                      <a:avLst/>
                    </a:prstGeom>
                  </pic:spPr>
                </pic:pic>
              </a:graphicData>
            </a:graphic>
          </wp:inline>
        </w:drawing>
      </w:r>
    </w:p>
    <w:p w14:paraId="3E3F13AB">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Figure 1: Divisions under the Board of Directors led by the CEO of Tesco </w:t>
      </w:r>
    </w:p>
    <w:p w14:paraId="14E25A38">
      <w:pPr>
        <w:jc w:val="center"/>
        <w:rPr>
          <w:color w:val="000000" w:themeColor="text1"/>
          <w14:textFill>
            <w14:solidFill>
              <w14:schemeClr w14:val="tx1"/>
            </w14:solidFill>
          </w14:textFill>
        </w:rPr>
      </w:pPr>
      <w:r>
        <w:rPr>
          <w:color w:val="000000" w:themeColor="text1"/>
          <w14:textFill>
            <w14:solidFill>
              <w14:schemeClr w14:val="tx1"/>
            </w14:solidFill>
          </w14:textFill>
        </w:rPr>
        <w:t>(Source: Tesco, n.d.)</w:t>
      </w:r>
    </w:p>
    <w:p w14:paraId="4AABDAAE">
      <w:pPr>
        <w:rPr>
          <w:color w:val="000000" w:themeColor="text1"/>
          <w14:textFill>
            <w14:solidFill>
              <w14:schemeClr w14:val="tx1"/>
            </w14:solidFill>
          </w14:textFill>
        </w:rPr>
      </w:pPr>
      <w:r>
        <w:rPr>
          <w:color w:val="000000" w:themeColor="text1"/>
          <w14:textFill>
            <w14:solidFill>
              <w14:schemeClr w14:val="tx1"/>
            </w14:solidFill>
          </w14:textFill>
        </w:rPr>
        <w:t xml:space="preserve">Tesco has a hierarchical organisational structure that fosters strategic planning which is highly centralised as well as decentralised operations across the store-level to effectively manage performance of global employees. At the top of the hierarchical structure is the CEO, executive committee led by the CEO, and board of directors (Tesco, n.d.). Together, the uppermost tier of the hierarchical structure at Tesco looks after corporate governance and long-term strategic planning for the overall development of the company. The functional and regional managers and leaders form the middle tier of the hierarchical organisational structure at Tesco. At the base level of the hierarchical organisational structure of Tesco lies the store managers and operational managers, such as assistant managers, department leaders, and shift controllers. This hierarchical organizational structure works in favour of Tesco for streamlining their operational requirements and leveraging customer interaction by meeting their changing demands through a centralised supply chain. </w:t>
      </w:r>
    </w:p>
    <w:p w14:paraId="3DF111DD">
      <w:pPr>
        <w:pStyle w:val="2"/>
        <w:rPr>
          <w:color w:val="000000" w:themeColor="text1"/>
          <w14:textFill>
            <w14:solidFill>
              <w14:schemeClr w14:val="tx1"/>
            </w14:solidFill>
          </w14:textFill>
        </w:rPr>
      </w:pPr>
      <w:bookmarkStart w:id="7" w:name="_heading=h.hzvxuvbji7tu" w:colFirst="0" w:colLast="0"/>
      <w:bookmarkEnd w:id="7"/>
      <w:r>
        <w:rPr>
          <w:color w:val="000000" w:themeColor="text1"/>
          <w14:textFill>
            <w14:solidFill>
              <w14:schemeClr w14:val="tx1"/>
            </w14:solidFill>
          </w14:textFill>
        </w:rPr>
        <w:t xml:space="preserve">2.2 Theoretical underpinning of the organisational culture </w:t>
      </w:r>
    </w:p>
    <w:p w14:paraId="64471E27">
      <w:pPr>
        <w:pStyle w:val="2"/>
        <w:rPr>
          <w:color w:val="000000" w:themeColor="text1"/>
          <w14:textFill>
            <w14:solidFill>
              <w14:schemeClr w14:val="tx1"/>
            </w14:solidFill>
          </w14:textFill>
        </w:rPr>
      </w:pPr>
      <w:bookmarkStart w:id="8" w:name="_heading=h.b2wnmx4nvdgh" w:colFirst="0" w:colLast="0"/>
      <w:bookmarkEnd w:id="8"/>
      <w:r>
        <w:rPr>
          <w:color w:val="000000" w:themeColor="text1"/>
          <w14:textFill>
            <w14:solidFill>
              <w14:schemeClr w14:val="tx1"/>
            </w14:solidFill>
          </w14:textFill>
        </w:rPr>
        <w:t xml:space="preserve">2.2.1 Overview of organisational culture </w:t>
      </w:r>
    </w:p>
    <w:p w14:paraId="175CBA54">
      <w:pPr>
        <w:rPr>
          <w:color w:val="000000" w:themeColor="text1"/>
          <w14:textFill>
            <w14:solidFill>
              <w14:schemeClr w14:val="tx1"/>
            </w14:solidFill>
          </w14:textFill>
        </w:rPr>
      </w:pPr>
      <w:r>
        <w:rPr>
          <w:color w:val="000000" w:themeColor="text1"/>
          <w14:textFill>
            <w14:solidFill>
              <w14:schemeClr w14:val="tx1"/>
            </w14:solidFill>
          </w14:textFill>
        </w:rPr>
        <w:t xml:space="preserve">The organisational culture of Tesco is value-driven as it is the vision of the company to create a sustainable environment for their customers, wider communities, and the planet. Tesco is a customer-oriented company, meaning that they take care of the anticipated needs and demands of the customers extensively (Tesco, 2026). Along with that, Tesco wishes to make the workplace better for their employees across global destinations. It is the vision of Tesco to foster an organizational culture based on shared values, active listening, empathy, and mutual trust. Tesco believes in actively training their workforce for fostering a continuous learning environment within the organisation. The diversity, inclusion, and equity principles of Tesco is also highly welcoming which foster mutual respect for diverse people within the workforce. Organisational culture plays an integral part in decision-making processes of the company (Mullins and Christy, 2016). It helps in providing motivation, job satisfaction, and development of shared value systems. </w:t>
      </w:r>
    </w:p>
    <w:p w14:paraId="5B64DB2A">
      <w:pPr>
        <w:pStyle w:val="2"/>
        <w:rPr>
          <w:color w:val="000000" w:themeColor="text1"/>
          <w14:textFill>
            <w14:solidFill>
              <w14:schemeClr w14:val="tx1"/>
            </w14:solidFill>
          </w14:textFill>
        </w:rPr>
      </w:pPr>
      <w:bookmarkStart w:id="9" w:name="_heading=h.o67hogvrowv2" w:colFirst="0" w:colLast="0"/>
      <w:bookmarkEnd w:id="9"/>
      <w:r>
        <w:rPr>
          <w:color w:val="000000" w:themeColor="text1"/>
          <w14:textFill>
            <w14:solidFill>
              <w14:schemeClr w14:val="tx1"/>
            </w14:solidFill>
          </w14:textFill>
        </w:rPr>
        <w:t xml:space="preserve">2.2.2 Analysis by using theory </w:t>
      </w:r>
    </w:p>
    <w:p w14:paraId="4738D25E">
      <w:pPr>
        <w:rPr>
          <w:color w:val="000000" w:themeColor="text1"/>
          <w14:textFill>
            <w14:solidFill>
              <w14:schemeClr w14:val="tx1"/>
            </w14:solidFill>
          </w14:textFill>
        </w:rPr>
      </w:pPr>
      <w:r>
        <w:rPr>
          <w:color w:val="000000" w:themeColor="text1"/>
          <w14:textFill>
            <w14:solidFill>
              <w14:schemeClr w14:val="tx1"/>
            </w14:solidFill>
          </w14:textFill>
        </w:rPr>
        <w:t>In association with Edgar Schein’s organisational culture model, there are three main layers applied across this model, namely, artifacts, espoused values, and underlying assumptions. With the help of this model, the regular operations of Tesco can be rightly aligned with the core values and organisational visions of the company. Artifacts refer to the elements of the company’s culture that can be witnessed physically (</w:t>
      </w:r>
      <w:r>
        <w:rPr>
          <w:color w:val="000000" w:themeColor="text1"/>
          <w:highlight w:val="white"/>
          <w14:textFill>
            <w14:solidFill>
              <w14:schemeClr w14:val="tx1"/>
            </w14:solidFill>
          </w14:textFill>
        </w:rPr>
        <w:t>Bamidele, 2022)</w:t>
      </w:r>
      <w:r>
        <w:rPr>
          <w:color w:val="000000" w:themeColor="text1"/>
          <w14:textFill>
            <w14:solidFill>
              <w14:schemeClr w14:val="tx1"/>
            </w14:solidFill>
          </w14:textFill>
        </w:rPr>
        <w:t xml:space="preserve">. These are also known as tangible elements of corporate organisations. </w:t>
      </w:r>
    </w:p>
    <w:p w14:paraId="69EB4081">
      <w:pPr>
        <w:rPr>
          <w:color w:val="000000" w:themeColor="text1"/>
          <w14:textFill>
            <w14:solidFill>
              <w14:schemeClr w14:val="tx1"/>
            </w14:solidFill>
          </w14:textFill>
        </w:rPr>
      </w:pPr>
      <w:r>
        <w:rPr>
          <w:color w:val="000000" w:themeColor="text1"/>
          <w14:textFill>
            <w14:solidFill>
              <w14:schemeClr w14:val="tx1"/>
            </w14:solidFill>
          </w14:textFill>
        </w:rPr>
        <w:t xml:space="preserve">The visible level of Tesco shows value for flexibility across their organisational structure as daily team hurdles before the onset of operational tasks are a ritual for the management of the organisation (Tesco PLC, 2021). The visible technology of the company also supports customer-friendliness which proves Tesco leaders are constantly aiming to improve customer experience and satisfaction. The system of scan and pay at their stores provides a modern shopping experience for the loyal customers of the company. The espoused values associated with the Schein’s model can be visible across the corporate sustainability initiatives of the company. </w:t>
      </w:r>
    </w:p>
    <w:p w14:paraId="01168556">
      <w:pPr>
        <w:rPr>
          <w:color w:val="000000" w:themeColor="text1"/>
          <w14:textFill>
            <w14:solidFill>
              <w14:schemeClr w14:val="tx1"/>
            </w14:solidFill>
          </w14:textFill>
        </w:rPr>
      </w:pPr>
      <w:r>
        <w:rPr>
          <w:color w:val="000000" w:themeColor="text1"/>
          <w14:textFill>
            <w14:solidFill>
              <w14:schemeClr w14:val="tx1"/>
            </w14:solidFill>
          </w14:textFill>
        </w:rPr>
        <w:t>Tesco heavily focuses on generating value for their customers, the wider communities wherein they are operational, and the planet. The “</w:t>
      </w:r>
      <w:r>
        <w:rPr>
          <w:i/>
          <w:iCs/>
          <w:color w:val="000000" w:themeColor="text1"/>
          <w14:textFill>
            <w14:solidFill>
              <w14:schemeClr w14:val="tx1"/>
            </w14:solidFill>
          </w14:textFill>
        </w:rPr>
        <w:t xml:space="preserve">Every Little Help Matters” </w:t>
      </w:r>
      <w:r>
        <w:rPr>
          <w:color w:val="000000" w:themeColor="text1"/>
          <w14:textFill>
            <w14:solidFill>
              <w14:schemeClr w14:val="tx1"/>
            </w14:solidFill>
          </w14:textFill>
        </w:rPr>
        <w:t xml:space="preserve">initiative by Tesco represents the core value of the company in association with improving customer satisfaction and cost-effectiveness at the same time (Tesco PLC, n.d.). The underlying assumptions of the company can be visible in their teamwork initiatives and importance towards generating resilience and adaptability across operations. </w:t>
      </w:r>
    </w:p>
    <w:p w14:paraId="5805DA01">
      <w:pPr>
        <w:rPr>
          <w:color w:val="000000" w:themeColor="text1"/>
          <w14:textFill>
            <w14:solidFill>
              <w14:schemeClr w14:val="tx1"/>
            </w14:solidFill>
          </w14:textFill>
        </w:rPr>
      </w:pPr>
      <w:r>
        <w:rPr>
          <w:color w:val="000000" w:themeColor="text1"/>
          <w14:textFill>
            <w14:solidFill>
              <w14:schemeClr w14:val="tx1"/>
            </w14:solidFill>
          </w14:textFill>
        </w:rPr>
        <w:t xml:space="preserve">According to Hofstede’s cultural dimension, Tesco has a flattened hierarchical structure which encourages open communication and keeps the power distance index for the company on the lower side. Tesco supports individual efforts by reward management and verbal appreciation as well as operating across a diverse society (Tesco PLC, 2026). They are highly individualistic in nature. At Tesco, there is a seamless blend of masculinity and femininity within their workforce. Employees of Tesco are generally ready to accommodate change management initiatives which proves that Tesco has a low score in uncertainty avoidance ratio. Tesco works pragmatically for fostering both short and long-term goals within the organisation. Tesco is highly customer-oriented and hence they operate across highly indulgent cultures. </w:t>
      </w:r>
    </w:p>
    <w:p w14:paraId="7389472E">
      <w:pPr>
        <w:pStyle w:val="2"/>
        <w:rPr>
          <w:color w:val="000000" w:themeColor="text1"/>
          <w14:textFill>
            <w14:solidFill>
              <w14:schemeClr w14:val="tx1"/>
            </w14:solidFill>
          </w14:textFill>
        </w:rPr>
      </w:pPr>
      <w:bookmarkStart w:id="10" w:name="_heading=h.ffpy8y1u9fav" w:colFirst="0" w:colLast="0"/>
      <w:bookmarkEnd w:id="10"/>
      <w:r>
        <w:rPr>
          <w:color w:val="000000" w:themeColor="text1"/>
          <w14:textFill>
            <w14:solidFill>
              <w14:schemeClr w14:val="tx1"/>
            </w14:solidFill>
          </w14:textFill>
        </w:rPr>
        <w:t xml:space="preserve">2.3 Influence of culture on hierarchy, communication, leadership and decision-making  </w:t>
      </w:r>
    </w:p>
    <w:p w14:paraId="747CADD0">
      <w:pPr>
        <w:rPr>
          <w:color w:val="000000" w:themeColor="text1"/>
          <w14:textFill>
            <w14:solidFill>
              <w14:schemeClr w14:val="tx1"/>
            </w14:solidFill>
          </w14:textFill>
        </w:rPr>
      </w:pPr>
      <w:r>
        <w:rPr>
          <w:color w:val="000000" w:themeColor="text1"/>
          <w14:textFill>
            <w14:solidFill>
              <w14:schemeClr w14:val="tx1"/>
            </w14:solidFill>
          </w14:textFill>
        </w:rPr>
        <w:t>The management of Tesco follows a top-down approach accompanied with flat hierarchy to reduce the power distance index within the organisation. This ensures strict accountability of the management for the performance and wellbeing of the staff (</w:t>
      </w:r>
      <w:r>
        <w:rPr>
          <w:color w:val="000000" w:themeColor="text1"/>
          <w:highlight w:val="white"/>
          <w14:textFill>
            <w14:solidFill>
              <w14:schemeClr w14:val="tx1"/>
            </w14:solidFill>
          </w14:textFill>
        </w:rPr>
        <w:t>Jackson, 2025)</w:t>
      </w:r>
      <w:r>
        <w:rPr>
          <w:color w:val="000000" w:themeColor="text1"/>
          <w14:textFill>
            <w14:solidFill>
              <w14:schemeClr w14:val="tx1"/>
            </w14:solidFill>
          </w14:textFill>
        </w:rPr>
        <w:t xml:space="preserve">. At the workplace, diversity is celebrated within Tesco. This also helps in informed decision-making as people across various origins and cultures can learn from each other. Communication is also improved in terms of leveraging mutual respect and continuous learning environment. The leaders at Tesco practice active listening and empathy which helps in taking care of the employees and improving decision-making within the organisation. </w:t>
      </w:r>
    </w:p>
    <w:p w14:paraId="6E24F960">
      <w:pPr>
        <w:pStyle w:val="2"/>
        <w:rPr>
          <w:color w:val="000000" w:themeColor="text1"/>
          <w:highlight w:val="green"/>
          <w14:textFill>
            <w14:solidFill>
              <w14:schemeClr w14:val="tx1"/>
            </w14:solidFill>
          </w14:textFill>
        </w:rPr>
      </w:pPr>
      <w:bookmarkStart w:id="11" w:name="_heading=h.7a3ikup73as1" w:colFirst="0" w:colLast="0"/>
      <w:bookmarkEnd w:id="11"/>
      <w:r>
        <w:rPr>
          <w:color w:val="000000" w:themeColor="text1"/>
          <w14:textFill>
            <w14:solidFill>
              <w14:schemeClr w14:val="tx1"/>
            </w14:solidFill>
          </w14:textFill>
        </w:rPr>
        <w:t>3. Organisational culture and external environment</w:t>
      </w:r>
    </w:p>
    <w:p w14:paraId="1B7FB89C">
      <w:pPr>
        <w:rPr>
          <w:color w:val="000000" w:themeColor="text1"/>
          <w14:textFill>
            <w14:solidFill>
              <w14:schemeClr w14:val="tx1"/>
            </w14:solidFill>
          </w14:textFill>
        </w:rPr>
      </w:pPr>
      <w:r>
        <w:rPr>
          <w:color w:val="000000" w:themeColor="text1"/>
          <w14:textFill>
            <w14:solidFill>
              <w14:schemeClr w14:val="tx1"/>
            </w14:solidFill>
          </w14:textFill>
        </w:rPr>
        <w:t xml:space="preserve">Based on an analysis of the external environment, PESTEL analysis is effective in identifying the opportunities and threats from the external factors of the country on the business operations. In this context, Olayiwola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(2025) mentioned that PESTEL analysis is a significant environmental and market analysis that helps in supporting decision-making. The application of PESTEL analysis is analysed in this section to identify the impact of the external factors of the UK on the organisational culture of the retail industry, particularly Tesco.</w:t>
      </w:r>
    </w:p>
    <w:tbl>
      <w:tblPr>
        <w:tblStyle w:val="16"/>
        <w:tblW w:w="948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691"/>
        <w:gridCol w:w="6249"/>
        <w:gridCol w:w="1540"/>
      </w:tblGrid>
      <w:tr w14:paraId="138EBC5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blHeader/>
        </w:trPr>
        <w:tc>
          <w:tcPr>
            <w:tcW w:w="1691" w:type="dxa"/>
            <w:tcMar>
              <w:top w:w="100" w:type="dxa"/>
              <w:left w:w="100" w:type="dxa"/>
              <w:bottom w:w="100" w:type="dxa"/>
              <w:right w:w="100" w:type="dxa"/>
            </w:tcMar>
          </w:tcPr>
          <w:p w14:paraId="0DD9FF55">
            <w:pPr>
              <w:widowControl w:val="0"/>
              <w:jc w:val="center"/>
              <w:rPr>
                <w:b/>
                <w:bCs/>
                <w:color w:val="000000" w:themeColor="text1"/>
                <w14:textFill>
                  <w14:solidFill>
                    <w14:schemeClr w14:val="tx1"/>
                  </w14:solidFill>
                </w14:textFill>
              </w:rPr>
            </w:pPr>
            <w:r>
              <w:rPr>
                <w:b/>
                <w:bCs/>
                <w:color w:val="000000" w:themeColor="text1"/>
                <w14:textFill>
                  <w14:solidFill>
                    <w14:schemeClr w14:val="tx1"/>
                  </w14:solidFill>
                </w14:textFill>
              </w:rPr>
              <w:t>PESTEL</w:t>
            </w:r>
          </w:p>
        </w:tc>
        <w:tc>
          <w:tcPr>
            <w:tcW w:w="6249" w:type="dxa"/>
            <w:tcMar>
              <w:top w:w="100" w:type="dxa"/>
              <w:left w:w="100" w:type="dxa"/>
              <w:bottom w:w="100" w:type="dxa"/>
              <w:right w:w="100" w:type="dxa"/>
            </w:tcMar>
          </w:tcPr>
          <w:p w14:paraId="7F251E5E">
            <w:pPr>
              <w:widowControl w:val="0"/>
              <w:jc w:val="cente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Description </w:t>
            </w:r>
          </w:p>
        </w:tc>
        <w:tc>
          <w:tcPr>
            <w:tcW w:w="1540" w:type="dxa"/>
            <w:tcMar>
              <w:top w:w="100" w:type="dxa"/>
              <w:left w:w="100" w:type="dxa"/>
              <w:bottom w:w="100" w:type="dxa"/>
              <w:right w:w="100" w:type="dxa"/>
            </w:tcMar>
          </w:tcPr>
          <w:p w14:paraId="4E0AE8B8">
            <w:pPr>
              <w:widowControl w:val="0"/>
              <w:jc w:val="center"/>
              <w:rPr>
                <w:b/>
                <w:bCs/>
                <w:color w:val="000000" w:themeColor="text1"/>
                <w14:textFill>
                  <w14:solidFill>
                    <w14:schemeClr w14:val="tx1"/>
                  </w14:solidFill>
                </w14:textFill>
              </w:rPr>
            </w:pPr>
            <w:r>
              <w:rPr>
                <w:b/>
                <w:bCs/>
                <w:color w:val="000000" w:themeColor="text1"/>
                <w14:textFill>
                  <w14:solidFill>
                    <w14:schemeClr w14:val="tx1"/>
                  </w14:solidFill>
                </w14:textFill>
              </w:rPr>
              <w:t>Impact (Opportunity/Threat)</w:t>
            </w:r>
          </w:p>
        </w:tc>
      </w:tr>
      <w:tr w14:paraId="7BFE0A3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65DBA20E">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Political </w:t>
            </w:r>
          </w:p>
        </w:tc>
        <w:tc>
          <w:tcPr>
            <w:tcW w:w="6249" w:type="dxa"/>
            <w:tcMar>
              <w:top w:w="100" w:type="dxa"/>
              <w:left w:w="100" w:type="dxa"/>
              <w:bottom w:w="100" w:type="dxa"/>
              <w:right w:w="100" w:type="dxa"/>
            </w:tcMar>
          </w:tcPr>
          <w:p w14:paraId="35E4CE20">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Geopolitical tensions such as Brexit have affected the taxation and trade policies that hamper the supply chain activities of the industries (Hajarath, 2025). </w:t>
            </w:r>
          </w:p>
        </w:tc>
        <w:tc>
          <w:tcPr>
            <w:tcW w:w="1540" w:type="dxa"/>
            <w:tcMar>
              <w:top w:w="100" w:type="dxa"/>
              <w:left w:w="100" w:type="dxa"/>
              <w:bottom w:w="100" w:type="dxa"/>
              <w:right w:w="100" w:type="dxa"/>
            </w:tcMar>
          </w:tcPr>
          <w:p w14:paraId="25C46FB4">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Threat </w:t>
            </w:r>
          </w:p>
        </w:tc>
      </w:tr>
      <w:tr w14:paraId="5A189DD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91" w:type="dxa"/>
            <w:vMerge w:val="restart"/>
            <w:tcMar>
              <w:top w:w="100" w:type="dxa"/>
              <w:left w:w="100" w:type="dxa"/>
              <w:bottom w:w="100" w:type="dxa"/>
              <w:right w:w="100" w:type="dxa"/>
            </w:tcMar>
          </w:tcPr>
          <w:p w14:paraId="5BDA6779">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Economical </w:t>
            </w:r>
          </w:p>
        </w:tc>
        <w:tc>
          <w:tcPr>
            <w:tcW w:w="6249" w:type="dxa"/>
            <w:tcMar>
              <w:top w:w="100" w:type="dxa"/>
              <w:left w:w="100" w:type="dxa"/>
              <w:bottom w:w="100" w:type="dxa"/>
              <w:right w:w="100" w:type="dxa"/>
            </w:tcMar>
          </w:tcPr>
          <w:p w14:paraId="64C06D17">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It is expected to reduce the inflation rate from 3.2% in 2026 to 2% in 2031 (Statista Research Department, 2026) </w:t>
            </w:r>
            <w:r>
              <w:rPr>
                <w:b/>
                <w:bCs/>
                <w:i/>
                <w:iCs/>
                <w:color w:val="000000" w:themeColor="text1"/>
                <w14:textFill>
                  <w14:solidFill>
                    <w14:schemeClr w14:val="tx1"/>
                  </w14:solidFill>
                </w14:textFill>
              </w:rPr>
              <w:t xml:space="preserve">(Refer to Figure 2). </w:t>
            </w:r>
          </w:p>
        </w:tc>
        <w:tc>
          <w:tcPr>
            <w:tcW w:w="1540" w:type="dxa"/>
            <w:tcMar>
              <w:top w:w="100" w:type="dxa"/>
              <w:left w:w="100" w:type="dxa"/>
              <w:bottom w:w="100" w:type="dxa"/>
              <w:right w:w="100" w:type="dxa"/>
            </w:tcMar>
          </w:tcPr>
          <w:p w14:paraId="4525E6EB">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Opportunity </w:t>
            </w:r>
          </w:p>
        </w:tc>
      </w:tr>
      <w:tr w14:paraId="30F0BF0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91" w:type="dxa"/>
            <w:vMerge w:val="continue"/>
            <w:tcMar>
              <w:top w:w="100" w:type="dxa"/>
              <w:left w:w="100" w:type="dxa"/>
              <w:bottom w:w="100" w:type="dxa"/>
              <w:right w:w="100" w:type="dxa"/>
            </w:tcMar>
          </w:tcPr>
          <w:p w14:paraId="7D6CEE9D">
            <w:pPr>
              <w:widowControl w:val="0"/>
              <w:pBdr>
                <w:top w:val="none" w:color="auto" w:sz="0" w:space="0"/>
                <w:left w:val="none" w:color="auto" w:sz="0" w:space="0"/>
                <w:bottom w:val="none" w:color="auto" w:sz="0" w:space="0"/>
                <w:right w:val="none" w:color="auto" w:sz="0" w:space="0"/>
                <w:between w:val="none" w:color="auto" w:sz="0" w:space="0"/>
              </w:pBdr>
              <w:spacing w:line="276" w:lineRule="auto"/>
              <w:jc w:val="left"/>
              <w:rPr>
                <w:color w:val="000000" w:themeColor="text1"/>
                <w14:textFill>
                  <w14:solidFill>
                    <w14:schemeClr w14:val="tx1"/>
                  </w14:solidFill>
                </w14:textFill>
              </w:rPr>
            </w:pPr>
          </w:p>
        </w:tc>
        <w:tc>
          <w:tcPr>
            <w:tcW w:w="6249" w:type="dxa"/>
            <w:tcMar>
              <w:top w:w="100" w:type="dxa"/>
              <w:left w:w="100" w:type="dxa"/>
              <w:bottom w:w="100" w:type="dxa"/>
              <w:right w:w="100" w:type="dxa"/>
            </w:tcMar>
          </w:tcPr>
          <w:p w14:paraId="570AFA3D">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In January 2025, 57% of the households in the UK reported that the cost of living had increased compared to the previous month (Dyvik, 2025) </w:t>
            </w:r>
          </w:p>
        </w:tc>
        <w:tc>
          <w:tcPr>
            <w:tcW w:w="1540" w:type="dxa"/>
            <w:tcMar>
              <w:top w:w="100" w:type="dxa"/>
              <w:left w:w="100" w:type="dxa"/>
              <w:bottom w:w="100" w:type="dxa"/>
              <w:right w:w="100" w:type="dxa"/>
            </w:tcMar>
          </w:tcPr>
          <w:p w14:paraId="5B2EE414">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Threat</w:t>
            </w:r>
          </w:p>
        </w:tc>
      </w:tr>
      <w:tr w14:paraId="53808FE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1EDCB793">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Socio-cultural </w:t>
            </w:r>
          </w:p>
        </w:tc>
        <w:tc>
          <w:tcPr>
            <w:tcW w:w="6249" w:type="dxa"/>
            <w:tcMar>
              <w:top w:w="100" w:type="dxa"/>
              <w:left w:w="100" w:type="dxa"/>
              <w:bottom w:w="100" w:type="dxa"/>
              <w:right w:w="100" w:type="dxa"/>
            </w:tcMar>
          </w:tcPr>
          <w:p w14:paraId="147B41F2">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64% of Generation Z and 55% of Millennials in the UK prefer to shop for products from ethical and sustainable brands (Watty, 2025) </w:t>
            </w:r>
            <w:r>
              <w:rPr>
                <w:b/>
                <w:bCs/>
                <w:i/>
                <w:iCs/>
                <w:color w:val="000000" w:themeColor="text1"/>
                <w14:textFill>
                  <w14:solidFill>
                    <w14:schemeClr w14:val="tx1"/>
                  </w14:solidFill>
                </w14:textFill>
              </w:rPr>
              <w:t>(Refer to Figure 3).</w:t>
            </w:r>
            <w:r>
              <w:rPr>
                <w:color w:val="000000" w:themeColor="text1"/>
                <w14:textFill>
                  <w14:solidFill>
                    <w14:schemeClr w14:val="tx1"/>
                  </w14:solidFill>
                </w14:textFill>
              </w:rPr>
              <w:t xml:space="preserve"> </w:t>
            </w:r>
          </w:p>
        </w:tc>
        <w:tc>
          <w:tcPr>
            <w:tcW w:w="1540" w:type="dxa"/>
            <w:tcMar>
              <w:top w:w="100" w:type="dxa"/>
              <w:left w:w="100" w:type="dxa"/>
              <w:bottom w:w="100" w:type="dxa"/>
              <w:right w:w="100" w:type="dxa"/>
            </w:tcMar>
          </w:tcPr>
          <w:p w14:paraId="579D9596">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Opportunity </w:t>
            </w:r>
          </w:p>
        </w:tc>
      </w:tr>
      <w:tr w14:paraId="7993F41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061E81A5">
            <w:pPr>
              <w:widowControl w:val="0"/>
              <w:jc w:val="left"/>
              <w:rPr>
                <w:color w:val="000000" w:themeColor="text1"/>
                <w14:textFill>
                  <w14:solidFill>
                    <w14:schemeClr w14:val="tx1"/>
                  </w14:solidFill>
                </w14:textFill>
              </w:rPr>
            </w:pPr>
          </w:p>
        </w:tc>
        <w:tc>
          <w:tcPr>
            <w:tcW w:w="6249" w:type="dxa"/>
            <w:tcMar>
              <w:top w:w="100" w:type="dxa"/>
              <w:left w:w="100" w:type="dxa"/>
              <w:bottom w:w="100" w:type="dxa"/>
              <w:right w:w="100" w:type="dxa"/>
            </w:tcMar>
          </w:tcPr>
          <w:p w14:paraId="5B6044CC">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40.42% of the UK population preferred to follow healthy eating habits very often in 2019 (Ozbun, 2025).</w:t>
            </w:r>
          </w:p>
        </w:tc>
        <w:tc>
          <w:tcPr>
            <w:tcW w:w="1540" w:type="dxa"/>
            <w:tcMar>
              <w:top w:w="100" w:type="dxa"/>
              <w:left w:w="100" w:type="dxa"/>
              <w:bottom w:w="100" w:type="dxa"/>
              <w:right w:w="100" w:type="dxa"/>
            </w:tcMar>
          </w:tcPr>
          <w:p w14:paraId="173C263F">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Opportunity </w:t>
            </w:r>
          </w:p>
        </w:tc>
      </w:tr>
      <w:tr w14:paraId="217A5B0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3C07C87C">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Technological </w:t>
            </w:r>
          </w:p>
        </w:tc>
        <w:tc>
          <w:tcPr>
            <w:tcW w:w="6249" w:type="dxa"/>
            <w:tcMar>
              <w:top w:w="100" w:type="dxa"/>
              <w:left w:w="100" w:type="dxa"/>
              <w:bottom w:w="100" w:type="dxa"/>
              <w:right w:w="100" w:type="dxa"/>
            </w:tcMar>
          </w:tcPr>
          <w:p w14:paraId="11A30475">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retail industry has significant use of Artificial Intelligence (AI) for streamlining processes and understanding consumer behaviour for developing strategic decision-making and enhancing customer experiences (Haque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2024). </w:t>
            </w:r>
          </w:p>
        </w:tc>
        <w:tc>
          <w:tcPr>
            <w:tcW w:w="1540" w:type="dxa"/>
            <w:tcMar>
              <w:top w:w="100" w:type="dxa"/>
              <w:left w:w="100" w:type="dxa"/>
              <w:bottom w:w="100" w:type="dxa"/>
              <w:right w:w="100" w:type="dxa"/>
            </w:tcMar>
          </w:tcPr>
          <w:p w14:paraId="35EEB3F4">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Opportunity </w:t>
            </w:r>
          </w:p>
        </w:tc>
      </w:tr>
      <w:tr w14:paraId="6959EE4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6E01F427">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Environmental </w:t>
            </w:r>
          </w:p>
        </w:tc>
        <w:tc>
          <w:tcPr>
            <w:tcW w:w="6249" w:type="dxa"/>
            <w:tcMar>
              <w:top w:w="100" w:type="dxa"/>
              <w:left w:w="100" w:type="dxa"/>
              <w:bottom w:w="100" w:type="dxa"/>
              <w:right w:w="100" w:type="dxa"/>
            </w:tcMar>
          </w:tcPr>
          <w:p w14:paraId="5C005E3F">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UK government is committed to reaching net zero emissions by 2050 (Burnett and Stewart, 2026). </w:t>
            </w:r>
          </w:p>
        </w:tc>
        <w:tc>
          <w:tcPr>
            <w:tcW w:w="1540" w:type="dxa"/>
            <w:tcMar>
              <w:top w:w="100" w:type="dxa"/>
              <w:left w:w="100" w:type="dxa"/>
              <w:bottom w:w="100" w:type="dxa"/>
              <w:right w:w="100" w:type="dxa"/>
            </w:tcMar>
          </w:tcPr>
          <w:p w14:paraId="152C8E40">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Opportunity </w:t>
            </w:r>
          </w:p>
        </w:tc>
      </w:tr>
      <w:tr w14:paraId="6017E256">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3A1759D6">
            <w:pPr>
              <w:widowControl w:val="0"/>
              <w:jc w:val="left"/>
              <w:rPr>
                <w:color w:val="000000" w:themeColor="text1"/>
                <w14:textFill>
                  <w14:solidFill>
                    <w14:schemeClr w14:val="tx1"/>
                  </w14:solidFill>
                </w14:textFill>
              </w:rPr>
            </w:pPr>
          </w:p>
        </w:tc>
        <w:tc>
          <w:tcPr>
            <w:tcW w:w="6249" w:type="dxa"/>
            <w:tcMar>
              <w:top w:w="100" w:type="dxa"/>
              <w:left w:w="100" w:type="dxa"/>
              <w:bottom w:w="100" w:type="dxa"/>
              <w:right w:w="100" w:type="dxa"/>
            </w:tcMar>
          </w:tcPr>
          <w:p w14:paraId="2CDE2F20">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UK Government has allocated £58.9 billion for managing plastics and other waste from 2018 to 2021 (Scholes, 2024) </w:t>
            </w:r>
          </w:p>
        </w:tc>
        <w:tc>
          <w:tcPr>
            <w:tcW w:w="1540" w:type="dxa"/>
            <w:tcMar>
              <w:top w:w="100" w:type="dxa"/>
              <w:left w:w="100" w:type="dxa"/>
              <w:bottom w:w="100" w:type="dxa"/>
              <w:right w:w="100" w:type="dxa"/>
            </w:tcMar>
          </w:tcPr>
          <w:p w14:paraId="62C2A3EF">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Threat </w:t>
            </w:r>
          </w:p>
        </w:tc>
      </w:tr>
      <w:tr w14:paraId="658682E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0F52E745">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Legal </w:t>
            </w:r>
          </w:p>
        </w:tc>
        <w:tc>
          <w:tcPr>
            <w:tcW w:w="6249" w:type="dxa"/>
            <w:tcMar>
              <w:top w:w="100" w:type="dxa"/>
              <w:left w:w="100" w:type="dxa"/>
              <w:bottom w:w="100" w:type="dxa"/>
              <w:right w:w="100" w:type="dxa"/>
            </w:tcMar>
          </w:tcPr>
          <w:p w14:paraId="7A7EF65D">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The effectiveness of the</w:t>
            </w:r>
            <w:r>
              <w:rPr>
                <w:i/>
                <w:iCs/>
                <w:color w:val="000000" w:themeColor="text1"/>
                <w14:textFill>
                  <w14:solidFill>
                    <w14:schemeClr w14:val="tx1"/>
                  </w14:solidFill>
                </w14:textFill>
              </w:rPr>
              <w:t xml:space="preserve"> “Equality Act of 2010”</w:t>
            </w:r>
            <w:r>
              <w:rPr>
                <w:color w:val="000000" w:themeColor="text1"/>
                <w14:textFill>
                  <w14:solidFill>
                    <w14:schemeClr w14:val="tx1"/>
                  </w14:solidFill>
                </w14:textFill>
              </w:rPr>
              <w:t xml:space="preserve"> helps in protecting individuals from workplace and societal discrimination based on age, gender, race and others (UK Government, no date)</w:t>
            </w:r>
          </w:p>
        </w:tc>
        <w:tc>
          <w:tcPr>
            <w:tcW w:w="1540" w:type="dxa"/>
            <w:tcMar>
              <w:top w:w="100" w:type="dxa"/>
              <w:left w:w="100" w:type="dxa"/>
              <w:bottom w:w="100" w:type="dxa"/>
              <w:right w:w="100" w:type="dxa"/>
            </w:tcMar>
          </w:tcPr>
          <w:p w14:paraId="73BE45BE">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Opportunity </w:t>
            </w:r>
          </w:p>
        </w:tc>
      </w:tr>
      <w:tr w14:paraId="72C25C2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1691" w:type="dxa"/>
            <w:tcMar>
              <w:top w:w="100" w:type="dxa"/>
              <w:left w:w="100" w:type="dxa"/>
              <w:bottom w:w="100" w:type="dxa"/>
              <w:right w:w="100" w:type="dxa"/>
            </w:tcMar>
          </w:tcPr>
          <w:p w14:paraId="7457F17D">
            <w:pPr>
              <w:widowControl w:val="0"/>
              <w:jc w:val="left"/>
              <w:rPr>
                <w:color w:val="000000" w:themeColor="text1"/>
                <w14:textFill>
                  <w14:solidFill>
                    <w14:schemeClr w14:val="tx1"/>
                  </w14:solidFill>
                </w14:textFill>
              </w:rPr>
            </w:pPr>
          </w:p>
        </w:tc>
        <w:tc>
          <w:tcPr>
            <w:tcW w:w="6249" w:type="dxa"/>
            <w:tcMar>
              <w:top w:w="100" w:type="dxa"/>
              <w:left w:w="100" w:type="dxa"/>
              <w:bottom w:w="100" w:type="dxa"/>
              <w:right w:w="100" w:type="dxa"/>
            </w:tcMar>
          </w:tcPr>
          <w:p w14:paraId="6CD83CFF">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application of the </w:t>
            </w:r>
            <w:r>
              <w:rPr>
                <w:i/>
                <w:iCs/>
                <w:color w:val="000000" w:themeColor="text1"/>
                <w14:textFill>
                  <w14:solidFill>
                    <w14:schemeClr w14:val="tx1"/>
                  </w14:solidFill>
                </w14:textFill>
              </w:rPr>
              <w:t>“Companies Act 2006”</w:t>
            </w:r>
            <w:r>
              <w:rPr>
                <w:color w:val="000000" w:themeColor="text1"/>
                <w14:textFill>
                  <w14:solidFill>
                    <w14:schemeClr w14:val="tx1"/>
                  </w14:solidFill>
                </w14:textFill>
              </w:rPr>
              <w:t xml:space="preserve"> helps in simplifying and modernising the corporate administration by clarifying the legal duties of directors, strengthening the rights of the shareholders and protecting social and environmental responsibilities (UK Government, n.d.b).</w:t>
            </w:r>
          </w:p>
        </w:tc>
        <w:tc>
          <w:tcPr>
            <w:tcW w:w="1540" w:type="dxa"/>
            <w:tcMar>
              <w:top w:w="100" w:type="dxa"/>
              <w:left w:w="100" w:type="dxa"/>
              <w:bottom w:w="100" w:type="dxa"/>
              <w:right w:w="100" w:type="dxa"/>
            </w:tcMar>
          </w:tcPr>
          <w:p w14:paraId="3EA8F4C1">
            <w:pPr>
              <w:widowControl w:val="0"/>
              <w:jc w:val="left"/>
              <w:rPr>
                <w:color w:val="000000" w:themeColor="text1"/>
                <w14:textFill>
                  <w14:solidFill>
                    <w14:schemeClr w14:val="tx1"/>
                  </w14:solidFill>
                </w14:textFill>
              </w:rPr>
            </w:pPr>
            <w:r>
              <w:rPr>
                <w:color w:val="000000" w:themeColor="text1"/>
                <w14:textFill>
                  <w14:solidFill>
                    <w14:schemeClr w14:val="tx1"/>
                  </w14:solidFill>
                </w14:textFill>
              </w:rPr>
              <w:t>Opportunity</w:t>
            </w:r>
          </w:p>
        </w:tc>
      </w:tr>
    </w:tbl>
    <w:p w14:paraId="25569F1C">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Table 1: PESTLE Analysis</w:t>
      </w:r>
    </w:p>
    <w:p w14:paraId="0722C593">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above table, it has been identified that the external environment of the UK has significant opportunities and threats to the organisational culture of the retail industry by shaping the employee behaviour, strategic priorities and business values. The political instability due to Brexit put pressure on organisations to improve their resilience and adaptable cultures to manage the SC disruptions, which poses a significant threat to managing the organisational culture of the UK retail industry and Tesco. In addition, the decreasing inflation rate of the UK offers an opportunity to the retail sector by enhancing the consumption rate and profitability of Tesco; however, the cost-of-living crisis enhances the threat to the retail industry, including Tesco in attracting customers and improving sales.  </w:t>
      </w:r>
    </w:p>
    <w:p w14:paraId="5C02480E">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drawing>
          <wp:inline distT="114300" distB="114300" distL="114300" distR="114300">
            <wp:extent cx="4936490" cy="309308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9"/>
                    <a:srcRect/>
                    <a:stretch>
                      <a:fillRect/>
                    </a:stretch>
                  </pic:blipFill>
                  <pic:spPr>
                    <a:xfrm>
                      <a:off x="0" y="0"/>
                      <a:ext cx="4936671" cy="3093331"/>
                    </a:xfrm>
                    <a:prstGeom prst="rect">
                      <a:avLst/>
                    </a:prstGeom>
                  </pic:spPr>
                </pic:pic>
              </a:graphicData>
            </a:graphic>
          </wp:inline>
        </w:drawing>
      </w:r>
    </w:p>
    <w:p w14:paraId="5E932F01">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Figure 2: Inflation Rate of the UK from 1989 to 2031 </w:t>
      </w:r>
    </w:p>
    <w:p w14:paraId="4F7F251C">
      <w:pPr>
        <w:widowControl w:val="0"/>
        <w:jc w:val="center"/>
        <w:rPr>
          <w:color w:val="000000" w:themeColor="text1"/>
          <w14:textFill>
            <w14:solidFill>
              <w14:schemeClr w14:val="tx1"/>
            </w14:solidFill>
          </w14:textFill>
        </w:rPr>
      </w:pPr>
      <w:r>
        <w:rPr>
          <w:color w:val="000000" w:themeColor="text1"/>
          <w14:textFill>
            <w14:solidFill>
              <w14:schemeClr w14:val="tx1"/>
            </w14:solidFill>
          </w14:textFill>
        </w:rPr>
        <w:t>(Source: Statista Research Department, 2026)</w:t>
      </w:r>
    </w:p>
    <w:p w14:paraId="5BBF84A7">
      <w:pPr>
        <w:widowControl w:val="0"/>
        <w:rPr>
          <w:color w:val="000000" w:themeColor="text1"/>
          <w14:textFill>
            <w14:solidFill>
              <w14:schemeClr w14:val="tx1"/>
            </w14:solidFill>
          </w14:textFill>
        </w:rPr>
      </w:pPr>
      <w:r>
        <w:rPr>
          <w:color w:val="000000" w:themeColor="text1"/>
          <w14:textFill>
            <w14:solidFill>
              <w14:schemeClr w14:val="tx1"/>
            </w14:solidFill>
          </w14:textFill>
        </w:rPr>
        <w:t xml:space="preserve">Moreover, the UK population prefers sustainable and ethical brands, besides very often focused on healthy dietary options, which offers an opportunity to the retail industry, including Tesco, by fostering sustainable practices in the organisational culture and offering healthy food within budget. Enhancing AI applications in optimising operations and analysing consumer behaviour is also beneficial for Tesco and the entire retail industry in gaining awareness of the customers' behaviour and the efficiency of the operations. Besides that, the efforts of the organisation towards emission and waste management pose both an opportunity and a threat to Tesco to foster sustainable practices; however put pressure to reduce the use of single-use plastics. Lastly, the effectiveness of the regulations offers opportunities to Teso to manage the organisational culture and provides a positive work environment for the employees. </w:t>
      </w:r>
    </w:p>
    <w:p w14:paraId="5D50E092">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drawing>
          <wp:inline distT="114300" distB="114300" distL="114300" distR="114300">
            <wp:extent cx="4886960" cy="300736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0"/>
                    <a:srcRect/>
                    <a:stretch>
                      <a:fillRect/>
                    </a:stretch>
                  </pic:blipFill>
                  <pic:spPr>
                    <a:xfrm>
                      <a:off x="0" y="0"/>
                      <a:ext cx="4887383" cy="3007621"/>
                    </a:xfrm>
                    <a:prstGeom prst="rect">
                      <a:avLst/>
                    </a:prstGeom>
                  </pic:spPr>
                </pic:pic>
              </a:graphicData>
            </a:graphic>
          </wp:inline>
        </w:drawing>
      </w:r>
    </w:p>
    <w:p w14:paraId="02C41C15">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Figure 3: Customers who prefer sustainable and ethical brands in the UK in 2025 </w:t>
      </w:r>
    </w:p>
    <w:p w14:paraId="3875F957">
      <w:pPr>
        <w:jc w:val="center"/>
        <w:rPr>
          <w:b/>
          <w:bCs/>
          <w:color w:val="000000" w:themeColor="text1"/>
          <w14:textFill>
            <w14:solidFill>
              <w14:schemeClr w14:val="tx1"/>
            </w14:solidFill>
          </w14:textFill>
        </w:rPr>
      </w:pPr>
      <w:r>
        <w:rPr>
          <w:color w:val="000000" w:themeColor="text1"/>
          <w14:textFill>
            <w14:solidFill>
              <w14:schemeClr w14:val="tx1"/>
            </w14:solidFill>
          </w14:textFill>
        </w:rPr>
        <w:t xml:space="preserve">(Source: Watty, 2025) </w:t>
      </w:r>
    </w:p>
    <w:p w14:paraId="20EB62CA">
      <w:pPr>
        <w:pStyle w:val="2"/>
        <w:rPr>
          <w:color w:val="000000" w:themeColor="text1"/>
          <w14:textFill>
            <w14:solidFill>
              <w14:schemeClr w14:val="tx1"/>
            </w14:solidFill>
          </w14:textFill>
        </w:rPr>
      </w:pPr>
      <w:bookmarkStart w:id="12" w:name="_heading=h.8ktenqxhkw3" w:colFirst="0" w:colLast="0"/>
      <w:bookmarkEnd w:id="12"/>
      <w:r>
        <w:rPr>
          <w:color w:val="000000" w:themeColor="text1"/>
          <w14:textFill>
            <w14:solidFill>
              <w14:schemeClr w14:val="tx1"/>
            </w14:solidFill>
          </w14:textFill>
        </w:rPr>
        <w:t xml:space="preserve">4. Culture as a barrier or enabler </w:t>
      </w:r>
    </w:p>
    <w:p w14:paraId="0139A43F">
      <w:pPr>
        <w:rPr>
          <w:color w:val="000000" w:themeColor="text1"/>
          <w14:textFill>
            <w14:solidFill>
              <w14:schemeClr w14:val="tx1"/>
            </w14:solidFill>
          </w14:textFill>
        </w:rPr>
      </w:pPr>
      <w:r>
        <w:rPr>
          <w:color w:val="000000" w:themeColor="text1"/>
          <w14:textFill>
            <w14:solidFill>
              <w14:schemeClr w14:val="tx1"/>
            </w14:solidFill>
          </w14:textFill>
        </w:rPr>
        <w:t>In association with workforce performance and productivity, organisational culture plays an integral role both as an enabler as well as a barrier. Culture works as an enabler in Tesco by driving operations to become customer centric. Culture at the organisation also helps in fostering inclusivity, resilience, and adaptability across the operations of Tesco. The core value of Tesco is associated with “</w:t>
      </w:r>
      <w:r>
        <w:rPr>
          <w:i/>
          <w:iCs/>
          <w:color w:val="000000" w:themeColor="text1"/>
          <w14:textFill>
            <w14:solidFill>
              <w14:schemeClr w14:val="tx1"/>
            </w14:solidFill>
          </w14:textFill>
        </w:rPr>
        <w:t xml:space="preserve">Every Little Help Matters”. </w:t>
      </w:r>
      <w:r>
        <w:rPr>
          <w:color w:val="000000" w:themeColor="text1"/>
          <w14:textFill>
            <w14:solidFill>
              <w14:schemeClr w14:val="tx1"/>
            </w14:solidFill>
          </w14:textFill>
        </w:rPr>
        <w:t>This essentially means that employees are extensively encouraged to embrace the customer-first approach at Tesco (Tesco PLC, n.d.). A positive organisational culture helps in fostering improved service quality, customer retention, and enhanced brand reputation (</w:t>
      </w:r>
      <w:r>
        <w:rPr>
          <w:color w:val="000000" w:themeColor="text1"/>
          <w:highlight w:val="white"/>
          <w14:textFill>
            <w14:solidFill>
              <w14:schemeClr w14:val="tx1"/>
            </w14:solidFill>
          </w14:textFill>
        </w:rPr>
        <w:t xml:space="preserve">Singh </w:t>
      </w:r>
      <w:r>
        <w:rPr>
          <w:i/>
          <w:iCs/>
          <w:color w:val="000000" w:themeColor="text1"/>
          <w:highlight w:val="white"/>
          <w14:textFill>
            <w14:solidFill>
              <w14:schemeClr w14:val="tx1"/>
            </w14:solidFill>
          </w14:textFill>
        </w:rPr>
        <w:t xml:space="preserve">et al., </w:t>
      </w:r>
      <w:r>
        <w:rPr>
          <w:color w:val="000000" w:themeColor="text1"/>
          <w:highlight w:val="white"/>
          <w14:textFill>
            <w14:solidFill>
              <w14:schemeClr w14:val="tx1"/>
            </w14:solidFill>
          </w14:textFill>
        </w:rPr>
        <w:t>2023)</w:t>
      </w:r>
      <w:r>
        <w:rPr>
          <w:color w:val="000000" w:themeColor="text1"/>
          <w14:textFill>
            <w14:solidFill>
              <w14:schemeClr w14:val="tx1"/>
            </w14:solidFill>
          </w14:textFill>
        </w:rPr>
        <w:t xml:space="preserve">. It also helps in improving customer loyalty by providing various discounts and offers such as Tesco Clubcard. The DEI program initiated by Tesco is one of a kind across the industry as it has proved to be highly successful for improving the organisational culture across their global operations. Tesco has a highly welcoming approach towards all cultural communities essentially working as an asset within the organisation. Managers at Tesco are driven to improve employee motivation, agility, higher morale, and diverse thinking while completing operational tasks (Tesco, 2026). Effective importance to innovation and open communication also helps in improving employee retention within the organization. At Tesco, extensive training and skill development opportunities are available for the employees which fosters a continuous learning environment and improved autonomy of the workforce to handle complex tasks and make informed decisions. The organisational culture of Tesco allows employees to learn from each other. </w:t>
      </w:r>
    </w:p>
    <w:p w14:paraId="1B5EB598">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3471545" cy="243649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1"/>
                    <a:srcRect/>
                    <a:stretch>
                      <a:fillRect/>
                    </a:stretch>
                  </pic:blipFill>
                  <pic:spPr>
                    <a:xfrm>
                      <a:off x="0" y="0"/>
                      <a:ext cx="3471863" cy="2436910"/>
                    </a:xfrm>
                    <a:prstGeom prst="rect">
                      <a:avLst/>
                    </a:prstGeom>
                  </pic:spPr>
                </pic:pic>
              </a:graphicData>
            </a:graphic>
          </wp:inline>
        </w:drawing>
      </w:r>
    </w:p>
    <w:p w14:paraId="1B693E3F">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 xml:space="preserve">Figure 4: Managing Risk at Tesco </w:t>
      </w:r>
    </w:p>
    <w:p w14:paraId="2F85B471">
      <w:pPr>
        <w:jc w:val="center"/>
        <w:rPr>
          <w:color w:val="000000" w:themeColor="text1"/>
          <w14:textFill>
            <w14:solidFill>
              <w14:schemeClr w14:val="tx1"/>
            </w14:solidFill>
          </w14:textFill>
        </w:rPr>
      </w:pPr>
      <w:r>
        <w:rPr>
          <w:color w:val="000000" w:themeColor="text1"/>
          <w14:textFill>
            <w14:solidFill>
              <w14:schemeClr w14:val="tx1"/>
            </w14:solidFill>
          </w14:textFill>
        </w:rPr>
        <w:t>(Source: Tesco PLC, 2025)</w:t>
      </w:r>
    </w:p>
    <w:p w14:paraId="37682210">
      <w:pPr>
        <w:rPr>
          <w:color w:val="000000" w:themeColor="text1"/>
          <w14:textFill>
            <w14:solidFill>
              <w14:schemeClr w14:val="tx1"/>
            </w14:solidFill>
          </w14:textFill>
        </w:rPr>
      </w:pPr>
      <w:r>
        <w:rPr>
          <w:color w:val="000000" w:themeColor="text1"/>
          <w14:textFill>
            <w14:solidFill>
              <w14:schemeClr w14:val="tx1"/>
            </w14:solidFill>
          </w14:textFill>
        </w:rPr>
        <w:t xml:space="preserve">However, organisational culture also acts as a potential barrier to workforce performance and productivity at Tesco. Extreme bureaucracy at Tesco creates a change resistant environment (Tesco PLC, 2025). The corporate giant has rigid scalability in association with fostering change management within the operations of the company. They have a top-down hierarchical organisational structure which makes change management activities highly difficult to coordinate as well as implement. In 2014, Tesco faced an accounting scandal due to lack of transparency which negatively impacted their brand reputation (BBC, 2014). For a long time after that, brand stagnation was a major barrier associated with performance management and productivity of the workforce. The high influence of UK’s corporate culture at Tesco disrupted their global expansion plans for the longest time as leaders at Tesco were unable to cooperate with regional mindsets which caused significant operational frictions within the organisation. Leaders at Tesco face miscalculation and misjudgement of cultural interpretations of the global markets which causes inability for the organisation to penetrate into prominent global markets, such as the USA (Castus, 2022). The difference in compliance standards and shopping habits of the regional locals are not considered properly by the managers due to personal biases which significantly impacted slower profitability and ineffective workforce planning and performance across global destinations. </w:t>
      </w:r>
    </w:p>
    <w:p w14:paraId="30EF9B30">
      <w:pPr>
        <w:pStyle w:val="2"/>
        <w:rPr>
          <w:color w:val="000000" w:themeColor="text1"/>
          <w14:textFill>
            <w14:solidFill>
              <w14:schemeClr w14:val="tx1"/>
            </w14:solidFill>
          </w14:textFill>
        </w:rPr>
      </w:pPr>
      <w:bookmarkStart w:id="13" w:name="_heading=h.1koqct659luj" w:colFirst="0" w:colLast="0"/>
      <w:bookmarkEnd w:id="13"/>
      <w:r>
        <w:rPr>
          <w:color w:val="000000" w:themeColor="text1"/>
          <w14:textFill>
            <w14:solidFill>
              <w14:schemeClr w14:val="tx1"/>
            </w14:solidFill>
          </w14:textFill>
        </w:rPr>
        <w:t xml:space="preserve">5. Impact of the culture on organisational performance </w:t>
      </w:r>
    </w:p>
    <w:p w14:paraId="73215AB9">
      <w:pPr>
        <w:rPr>
          <w:color w:val="000000" w:themeColor="text1"/>
          <w14:textFill>
            <w14:solidFill>
              <w14:schemeClr w14:val="tx1"/>
            </w14:solidFill>
          </w14:textFill>
        </w:rPr>
      </w:pPr>
      <w:r>
        <w:rPr>
          <w:color w:val="000000" w:themeColor="text1"/>
          <w14:textFill>
            <w14:solidFill>
              <w14:schemeClr w14:val="tx1"/>
            </w14:solidFill>
          </w14:textFill>
        </w:rPr>
        <w:t>Organisational culture plays an important role in deciding organisational success and culture enables shared values and beliefs to be incorporated by the workforce. A dynamic organisational culture helps in aligning the expertise of the workforce with the operational goals of the company (</w:t>
      </w:r>
      <w:r>
        <w:rPr>
          <w:color w:val="000000" w:themeColor="text1"/>
          <w:highlight w:val="white"/>
          <w14:textFill>
            <w14:solidFill>
              <w14:schemeClr w14:val="tx1"/>
            </w14:solidFill>
          </w14:textFill>
        </w:rPr>
        <w:t>Manekar, 2024)</w:t>
      </w:r>
      <w:r>
        <w:rPr>
          <w:color w:val="000000" w:themeColor="text1"/>
          <w14:textFill>
            <w14:solidFill>
              <w14:schemeClr w14:val="tx1"/>
            </w14:solidFill>
          </w14:textFill>
        </w:rPr>
        <w:t>. On the other hand, a negative work culture reduces employee motivation to deliver best performance and causes high employee turnover rate (</w:t>
      </w:r>
      <w:r>
        <w:rPr>
          <w:color w:val="000000" w:themeColor="text1"/>
          <w:highlight w:val="white"/>
          <w14:textFill>
            <w14:solidFill>
              <w14:schemeClr w14:val="tx1"/>
            </w14:solidFill>
          </w14:textFill>
        </w:rPr>
        <w:t xml:space="preserve">Jamil </w:t>
      </w:r>
      <w:r>
        <w:rPr>
          <w:i/>
          <w:iCs/>
          <w:color w:val="000000" w:themeColor="text1"/>
          <w:highlight w:val="white"/>
          <w14:textFill>
            <w14:solidFill>
              <w14:schemeClr w14:val="tx1"/>
            </w14:solidFill>
          </w14:textFill>
        </w:rPr>
        <w:t>et al.,</w:t>
      </w:r>
      <w:r>
        <w:rPr>
          <w:color w:val="000000" w:themeColor="text1"/>
          <w:highlight w:val="white"/>
          <w14:textFill>
            <w14:solidFill>
              <w14:schemeClr w14:val="tx1"/>
            </w14:solidFill>
          </w14:textFill>
        </w:rPr>
        <w:t xml:space="preserve"> 2022)</w:t>
      </w:r>
      <w:r>
        <w:rPr>
          <w:color w:val="000000" w:themeColor="text1"/>
          <w14:textFill>
            <w14:solidFill>
              <w14:schemeClr w14:val="tx1"/>
            </w14:solidFill>
          </w14:textFill>
        </w:rPr>
        <w:t xml:space="preserve">. It reduces growth opportunities for employees within an organisation. </w:t>
      </w:r>
    </w:p>
    <w:p w14:paraId="61A266B0">
      <w:pPr>
        <w:rPr>
          <w:color w:val="000000" w:themeColor="text1"/>
          <w14:textFill>
            <w14:solidFill>
              <w14:schemeClr w14:val="tx1"/>
            </w14:solidFill>
          </w14:textFill>
        </w:rPr>
      </w:pPr>
      <w:r>
        <w:rPr>
          <w:color w:val="000000" w:themeColor="text1"/>
          <w14:textFill>
            <w14:solidFill>
              <w14:schemeClr w14:val="tx1"/>
            </w14:solidFill>
          </w14:textFill>
        </w:rPr>
        <w:t xml:space="preserve">The organisational culture at Tesco is highly inclusive and welcoming. They have a well-integrated performance-related framework which helps in improving operational success of the company. Managers at Tesco value innovation which helps in improving organisational performance and decision-making within the organisation (Tesco, n.d.). The positive organisational culture of Tesco plays a crucial role in improving employee engagement as well as performance. However, in order to ensure long-term sustainable business growth, strict performance metrics are used by the company for effective performance management. The management of Tesco also pays extreme attention towards employee wellbeing and job satisfaction. </w:t>
      </w:r>
    </w:p>
    <w:p w14:paraId="2E4A54F7">
      <w:pPr>
        <w:rPr>
          <w:color w:val="000000" w:themeColor="text1"/>
          <w14:textFill>
            <w14:solidFill>
              <w14:schemeClr w14:val="tx1"/>
            </w14:solidFill>
          </w14:textFill>
        </w:rPr>
      </w:pPr>
      <w:r>
        <w:rPr>
          <w:color w:val="000000" w:themeColor="text1"/>
          <w14:textFill>
            <w14:solidFill>
              <w14:schemeClr w14:val="tx1"/>
            </w14:solidFill>
          </w14:textFill>
        </w:rPr>
        <w:t xml:space="preserve">One of the key impacts of organisational culture on performance management at Tesco is associated with improved employee satisfaction and retention for a longer duration of time. Tesco believes in empowering the employees so that autonomous decisions can be ensured by the workforce. It is the vision of the company to improve employee engagement and foster a culture of continuous learning. Managers tend to improve the morale of the employees which also helps in improving the performance management of the employees (Tesco, 2026). Increase in employee performance naturally helps in increasing the productivity of the organisation. The organisational culture of Tesco also has a positive impact on the decision-making and problem-solving performance of the global staff. Increased diversity within the organisations helps in fostering diverse ways of solving an operational issue which also helps boost innovation management of the company to a great extent. It also helps in understanding customer needs and mitigating the changes identified across the supply chain. A positive organisational culture is known for improving employee confidence and expertise pertaining to dealing with streamlining supply chain operations and understanding changing customer demands. </w:t>
      </w:r>
    </w:p>
    <w:p w14:paraId="74AA5833">
      <w:pPr>
        <w:rPr>
          <w:color w:val="000000" w:themeColor="text1"/>
          <w14:textFill>
            <w14:solidFill>
              <w14:schemeClr w14:val="tx1"/>
            </w14:solidFill>
          </w14:textFill>
        </w:rPr>
      </w:pPr>
      <w:r>
        <w:rPr>
          <w:color w:val="000000" w:themeColor="text1"/>
          <w14:textFill>
            <w14:solidFill>
              <w14:schemeClr w14:val="tx1"/>
            </w14:solidFill>
          </w14:textFill>
        </w:rPr>
        <w:t xml:space="preserve">The organisational culture of Tesco focuses on a customer-centric approach extensively. It helps in improving the incorporation of loyal customers and happy employees at the same time (Tesco PLC, n.d.). With increased employee automation, staff can willingly adjust and source out suitable change management initiatives that can help serve the employees better and at the same time improve personal motivation to deliver best performance within the organisation. A positive organisational culture, such as that of Tesco, helps in improving employee efficiency as well as enhances customer shopping experiences. </w:t>
      </w:r>
    </w:p>
    <w:p w14:paraId="46069FE0">
      <w:pPr>
        <w:pStyle w:val="2"/>
        <w:rPr>
          <w:color w:val="000000" w:themeColor="text1"/>
          <w14:textFill>
            <w14:solidFill>
              <w14:schemeClr w14:val="tx1"/>
            </w14:solidFill>
          </w14:textFill>
        </w:rPr>
      </w:pPr>
      <w:bookmarkStart w:id="14" w:name="_heading=h.f5bq6w6sut74" w:colFirst="0" w:colLast="0"/>
      <w:bookmarkEnd w:id="14"/>
      <w:r>
        <w:rPr>
          <w:color w:val="000000" w:themeColor="text1"/>
          <w14:textFill>
            <w14:solidFill>
              <w14:schemeClr w14:val="tx1"/>
            </w14:solidFill>
          </w14:textFill>
        </w:rPr>
        <w:t>6. Recommendations</w:t>
      </w:r>
    </w:p>
    <w:p w14:paraId="07303E41">
      <w:pPr>
        <w:rPr>
          <w:color w:val="000000" w:themeColor="text1"/>
          <w14:textFill>
            <w14:solidFill>
              <w14:schemeClr w14:val="tx1"/>
            </w14:solidFill>
          </w14:textFill>
        </w:rPr>
      </w:pPr>
      <w:r>
        <w:rPr>
          <w:color w:val="000000" w:themeColor="text1"/>
          <w14:textFill>
            <w14:solidFill>
              <w14:schemeClr w14:val="tx1"/>
            </w14:solidFill>
          </w14:textFill>
        </w:rPr>
        <w:t>Based on the analysis, Tesco is recommended to improve its organisational culture and performance. Tesco should increase the involvement of employees in decisions. While the company encourages open communication throughout the organisation, when hiring employees at different levels, finding innovative solutions to problems, encouraging employee engagement, and strengthening commitment to the company's goals all rely heavily on the amount of employee participation within the organisation (Bhasin, 2025). Furthermore, using regular feedback mechanisms from employees and providing employee consultation programs can help management determine how to address operational challenges and implement effective solutions.</w:t>
      </w:r>
    </w:p>
    <w:p w14:paraId="60D0E9FA">
      <w:pPr>
        <w:rPr>
          <w:color w:val="000000" w:themeColor="text1"/>
          <w14:textFill>
            <w14:solidFill>
              <w14:schemeClr w14:val="tx1"/>
            </w14:solidFill>
          </w14:textFill>
        </w:rPr>
      </w:pPr>
      <w:r>
        <w:rPr>
          <w:color w:val="000000" w:themeColor="text1"/>
          <w14:textFill>
            <w14:solidFill>
              <w14:schemeClr w14:val="tx1"/>
            </w14:solidFill>
          </w14:textFill>
        </w:rPr>
        <w:t xml:space="preserve">Furthermore, Tesco should continue to invest in leadership development programs that include a focus on cultural intelligence, inclusive leadership, and change management to address the lack of transparency and managerial slack. Since they are an international retail business operating in many different types of markets, leaders must be equipped with the necessary skills to effectively lead multi-cultural teams and respond quickly to changes in customer expectations. Having better leaders would enhance collaboration, employee satisfaction, and organisational effectiveness. Tesco also needs to continue its sustainability and diversity initiatives, strengthening a culture of inclusivity and environmental responsibility in the workplace. This will create better employee well-being, increase the positive perception of the company and provide support for the increasingly high expectations of socially responsible consumers (Davies, 2025). This approach will also support Tesco’s ability to remain competitive in the long term and sustain organisational growth, while improving its ability to be a successful employer.  </w:t>
      </w:r>
    </w:p>
    <w:p w14:paraId="49ACF5A9">
      <w:pPr>
        <w:rPr>
          <w:color w:val="000000" w:themeColor="text1"/>
          <w14:textFill>
            <w14:solidFill>
              <w14:schemeClr w14:val="tx1"/>
            </w14:solidFill>
          </w14:textFill>
        </w:rPr>
      </w:pPr>
      <w:r>
        <w:rPr>
          <w:color w:val="000000" w:themeColor="text1"/>
          <w14:textFill>
            <w14:solidFill>
              <w14:schemeClr w14:val="tx1"/>
            </w14:solidFill>
          </w14:textFill>
        </w:rPr>
        <w:t>Finally, Tesco should evaluate various aspects of its hierarchical structure to lessen the bureaucratic delays and improve organisational adaptability. By giving department and store managers greater degrees of decision-making autonomy, the organisation would be better able to respond quickly when markets change or when customers have different types of demands, thereby enabling better operational efficiencies but still maintaining accountability throughout the organisational structure.</w:t>
      </w:r>
    </w:p>
    <w:p w14:paraId="0B592612">
      <w:pPr>
        <w:pStyle w:val="2"/>
        <w:rPr>
          <w:color w:val="000000" w:themeColor="text1"/>
          <w14:textFill>
            <w14:solidFill>
              <w14:schemeClr w14:val="tx1"/>
            </w14:solidFill>
          </w14:textFill>
        </w:rPr>
      </w:pPr>
      <w:bookmarkStart w:id="15" w:name="_heading=h.813qw8z424s4" w:colFirst="0" w:colLast="0"/>
      <w:bookmarkEnd w:id="15"/>
      <w:r>
        <w:rPr>
          <w:color w:val="000000" w:themeColor="text1"/>
          <w14:textFill>
            <w14:solidFill>
              <w14:schemeClr w14:val="tx1"/>
            </w14:solidFill>
          </w14:textFill>
        </w:rPr>
        <w:t xml:space="preserve">7. Conclusion </w:t>
      </w:r>
    </w:p>
    <w:p w14:paraId="76163390">
      <w:pPr>
        <w:rPr>
          <w:color w:val="000000" w:themeColor="text1"/>
          <w14:textFill>
            <w14:solidFill>
              <w14:schemeClr w14:val="tx1"/>
            </w14:solidFill>
          </w14:textFill>
        </w:rPr>
      </w:pPr>
      <w:r>
        <w:rPr>
          <w:color w:val="000000" w:themeColor="text1"/>
          <w14:textFill>
            <w14:solidFill>
              <w14:schemeClr w14:val="tx1"/>
            </w14:solidFill>
          </w14:textFill>
        </w:rPr>
        <w:t xml:space="preserve">After the completion of the study, it can be evaluated that Tesco is a leading grocery supermarket chain across the UK market, however, it has limited presence across prominent global destinations. They have a top-down organisational structure which fosters long-term strategic planning and sustainable business growth. On the contrary, this type of hierarchical structure restricts change management initiatives within the organisation. The organisational culture is highly inclusive and diverse which values open communication and active listening. However, the corporate culture of Tesco has a massive influence on the UK mindset which restricts growth opportunities for the company across lucrative global markets. It can also be evaluated from the recommendations that Tesco must improve their innovation management further to upscale business performance and organisational growth. </w:t>
      </w:r>
    </w:p>
    <w:p w14:paraId="4CC50FE7">
      <w:pPr>
        <w:rPr>
          <w:color w:val="000000" w:themeColor="text1"/>
          <w14:textFill>
            <w14:solidFill>
              <w14:schemeClr w14:val="tx1"/>
            </w14:solidFill>
          </w14:textFill>
        </w:rPr>
      </w:pPr>
      <w:r>
        <w:rPr>
          <w:color w:val="000000" w:themeColor="text1"/>
          <w14:textFill>
            <w14:solidFill>
              <w14:schemeClr w14:val="tx1"/>
            </w14:solidFill>
          </w14:textFill>
        </w:rPr>
        <w:br w:type="page"/>
      </w:r>
    </w:p>
    <w:p w14:paraId="78C17E75">
      <w:pPr>
        <w:pStyle w:val="2"/>
        <w:rPr>
          <w:color w:val="000000" w:themeColor="text1"/>
          <w14:textFill>
            <w14:solidFill>
              <w14:schemeClr w14:val="tx1"/>
            </w14:solidFill>
          </w14:textFill>
        </w:rPr>
      </w:pPr>
      <w:bookmarkStart w:id="16" w:name="_heading=h.y1a2s05ao5z0" w:colFirst="0" w:colLast="0"/>
      <w:bookmarkEnd w:id="16"/>
      <w:r>
        <w:rPr>
          <w:color w:val="000000" w:themeColor="text1"/>
          <w14:textFill>
            <w14:solidFill>
              <w14:schemeClr w14:val="tx1"/>
            </w14:solidFill>
          </w14:textFill>
        </w:rPr>
        <w:t>Reference list</w:t>
      </w:r>
    </w:p>
    <w:p w14:paraId="3A5C400D">
      <w:pPr>
        <w:pStyle w:val="12"/>
        <w:keepNext w:val="0"/>
        <w:keepLines w:val="0"/>
        <w:widowControl/>
        <w:suppressLineNumbers w:val="0"/>
        <w:spacing w:before="0" w:beforeAutospacing="1" w:after="0" w:afterAutospacing="1"/>
        <w:ind w:left="0" w:right="0"/>
      </w:pPr>
      <w:r>
        <w:t xml:space="preserve">Bamidele, </w:t>
      </w:r>
      <w:bookmarkStart w:id="17" w:name="_GoBack"/>
      <w:r>
        <w:t xml:space="preserve">R. (2022) ‘Organizational culture’, </w:t>
      </w:r>
      <w:r>
        <w:rPr>
          <w:rStyle w:val="10"/>
        </w:rPr>
        <w:t>Industrial Sociology, Industrial Relations and Human Resource Ma</w:t>
      </w:r>
      <w:bookmarkEnd w:id="17"/>
      <w:r>
        <w:rPr>
          <w:rStyle w:val="10"/>
        </w:rPr>
        <w:t>nagement</w:t>
      </w:r>
      <w:r>
        <w:t>, 1(1), pp. 109–122.</w:t>
      </w:r>
    </w:p>
    <w:p w14:paraId="52036456">
      <w:pPr>
        <w:pStyle w:val="12"/>
        <w:keepNext w:val="0"/>
        <w:keepLines w:val="0"/>
        <w:widowControl/>
        <w:suppressLineNumbers w:val="0"/>
        <w:spacing w:before="0" w:beforeAutospacing="1" w:after="0" w:afterAutospacing="1"/>
        <w:ind w:left="0" w:right="0"/>
      </w:pPr>
      <w:r>
        <w:t xml:space="preserve">BBC (2014) </w:t>
      </w:r>
      <w:r>
        <w:rPr>
          <w:rStyle w:val="10"/>
        </w:rPr>
        <w:t>Tesco: What went wrong?</w:t>
      </w:r>
      <w:r>
        <w:t xml:space="preserve"> Available at: </w:t>
      </w:r>
      <w:r>
        <w:fldChar w:fldCharType="begin"/>
      </w:r>
      <w:r>
        <w:instrText xml:space="preserve"> HYPERLINK "https://www.bbc.com/news/business-29716885" </w:instrText>
      </w:r>
      <w:r>
        <w:fldChar w:fldCharType="separate"/>
      </w:r>
      <w:r>
        <w:rPr>
          <w:rStyle w:val="11"/>
        </w:rPr>
        <w:t>https://www.bbc.com/news/business-29716885</w:t>
      </w:r>
      <w:r>
        <w:fldChar w:fldCharType="end"/>
      </w:r>
      <w:r>
        <w:t xml:space="preserve"> (Accessed: 24 May 2026).</w:t>
      </w:r>
    </w:p>
    <w:p w14:paraId="7395CCD1">
      <w:pPr>
        <w:pStyle w:val="12"/>
        <w:keepNext w:val="0"/>
        <w:keepLines w:val="0"/>
        <w:widowControl/>
        <w:suppressLineNumbers w:val="0"/>
        <w:spacing w:before="0" w:beforeAutospacing="1" w:after="0" w:afterAutospacing="1"/>
        <w:ind w:left="0" w:right="0"/>
      </w:pPr>
      <w:r>
        <w:t xml:space="preserve">Bhasin, S. (2025) ‘Leadership essential to steer success within the retail sector’, </w:t>
      </w:r>
      <w:r>
        <w:rPr>
          <w:rStyle w:val="10"/>
        </w:rPr>
        <w:t>International Journal of Retail &amp; Distribution Management</w:t>
      </w:r>
      <w:r>
        <w:t>, 53(1), pp. 38–57.</w:t>
      </w:r>
    </w:p>
    <w:p w14:paraId="79276552">
      <w:pPr>
        <w:pStyle w:val="12"/>
        <w:keepNext w:val="0"/>
        <w:keepLines w:val="0"/>
        <w:widowControl/>
        <w:suppressLineNumbers w:val="0"/>
        <w:spacing w:before="0" w:beforeAutospacing="1" w:after="0" w:afterAutospacing="1"/>
        <w:ind w:left="0" w:right="0"/>
      </w:pPr>
      <w:r>
        <w:t xml:space="preserve">Burnett, N. and Stewart, I. (2026) </w:t>
      </w:r>
      <w:r>
        <w:rPr>
          <w:rStyle w:val="10"/>
        </w:rPr>
        <w:t>The UK’s plans and progress to reach net zero by 2050</w:t>
      </w:r>
      <w:r>
        <w:t xml:space="preserve">. House of Commons Library. Available at: </w:t>
      </w:r>
      <w:r>
        <w:fldChar w:fldCharType="begin"/>
      </w:r>
      <w:r>
        <w:instrText xml:space="preserve"> HYPERLINK "https://commonslibrary.parliament.uk/research-briefings/cbp-9888/" </w:instrText>
      </w:r>
      <w:r>
        <w:fldChar w:fldCharType="separate"/>
      </w:r>
      <w:r>
        <w:rPr>
          <w:rStyle w:val="11"/>
        </w:rPr>
        <w:t>https://commonslibrary.parliament.uk/research-briefings/cbp-9888/</w:t>
      </w:r>
      <w:r>
        <w:fldChar w:fldCharType="end"/>
      </w:r>
      <w:r>
        <w:t xml:space="preserve"> (Accessed: 18 May 2026).</w:t>
      </w:r>
    </w:p>
    <w:p w14:paraId="7C046441">
      <w:pPr>
        <w:pStyle w:val="12"/>
        <w:keepNext w:val="0"/>
        <w:keepLines w:val="0"/>
        <w:widowControl/>
        <w:suppressLineNumbers w:val="0"/>
        <w:spacing w:before="0" w:beforeAutospacing="1" w:after="0" w:afterAutospacing="1"/>
        <w:ind w:left="0" w:right="0"/>
      </w:pPr>
      <w:r>
        <w:t xml:space="preserve">Castus (2022) </w:t>
      </w:r>
      <w:r>
        <w:rPr>
          <w:rStyle w:val="10"/>
        </w:rPr>
        <w:t>International expansion: Why Tesco missed the mark in the U.S. market</w:t>
      </w:r>
      <w:r>
        <w:t xml:space="preserve">. Available at: </w:t>
      </w:r>
      <w:r>
        <w:fldChar w:fldCharType="begin"/>
      </w:r>
      <w:r>
        <w:instrText xml:space="preserve"> HYPERLINK "https://www.castusglobal.com/insights/international-expansion-why-tesco-missed-the-mark-in-the-u-s-market" </w:instrText>
      </w:r>
      <w:r>
        <w:fldChar w:fldCharType="separate"/>
      </w:r>
      <w:r>
        <w:rPr>
          <w:rStyle w:val="11"/>
        </w:rPr>
        <w:t>https://www.castusglobal.com/insights/international-expansion-why-tesco-missed-the-mark-in-the-u-s-market</w:t>
      </w:r>
      <w:r>
        <w:fldChar w:fldCharType="end"/>
      </w:r>
      <w:r>
        <w:t xml:space="preserve"> (Accessed: 24 May 2026).</w:t>
      </w:r>
    </w:p>
    <w:p w14:paraId="2FA2828D">
      <w:pPr>
        <w:pStyle w:val="12"/>
        <w:keepNext w:val="0"/>
        <w:keepLines w:val="0"/>
        <w:widowControl/>
        <w:suppressLineNumbers w:val="0"/>
        <w:spacing w:before="0" w:beforeAutospacing="1" w:after="0" w:afterAutospacing="1"/>
        <w:ind w:left="0" w:right="0"/>
      </w:pPr>
      <w:r>
        <w:t xml:space="preserve">Davies, G. (2025) ‘Did Machiavelli advise Tesco? The marketing of large-scale grocery retailers’, in </w:t>
      </w:r>
      <w:r>
        <w:rPr>
          <w:rStyle w:val="10"/>
        </w:rPr>
        <w:t>Machiavelli, Marketing and Management</w:t>
      </w:r>
      <w:r>
        <w:t>. London: Routledge, pp. 73–84.</w:t>
      </w:r>
    </w:p>
    <w:p w14:paraId="41A0CD95">
      <w:pPr>
        <w:pStyle w:val="12"/>
        <w:keepNext w:val="0"/>
        <w:keepLines w:val="0"/>
        <w:widowControl/>
        <w:suppressLineNumbers w:val="0"/>
        <w:spacing w:before="0" w:beforeAutospacing="1" w:after="0" w:afterAutospacing="1"/>
        <w:ind w:left="0" w:right="0"/>
      </w:pPr>
      <w:r>
        <w:t xml:space="preserve">Dyvik, E.H. (2025) </w:t>
      </w:r>
      <w:r>
        <w:rPr>
          <w:rStyle w:val="10"/>
        </w:rPr>
        <w:t>Cost of living crisis UK</w:t>
      </w:r>
      <w:r>
        <w:t xml:space="preserve">. Statista. Available at: </w:t>
      </w:r>
      <w:r>
        <w:fldChar w:fldCharType="begin"/>
      </w:r>
      <w:r>
        <w:instrText xml:space="preserve"> HYPERLINK "https://www.statista.com/topics/9121/cost-of-living-crisis-uk/" </w:instrText>
      </w:r>
      <w:r>
        <w:fldChar w:fldCharType="separate"/>
      </w:r>
      <w:r>
        <w:rPr>
          <w:rStyle w:val="11"/>
        </w:rPr>
        <w:t>https://www.statista.com/topics/9121/cost-of-living-crisis-uk/</w:t>
      </w:r>
      <w:r>
        <w:fldChar w:fldCharType="end"/>
      </w:r>
      <w:r>
        <w:t xml:space="preserve"> (Accessed: 12 May 2026).</w:t>
      </w:r>
    </w:p>
    <w:p w14:paraId="7AA42717">
      <w:pPr>
        <w:pStyle w:val="12"/>
        <w:keepNext w:val="0"/>
        <w:keepLines w:val="0"/>
        <w:widowControl/>
        <w:suppressLineNumbers w:val="0"/>
        <w:spacing w:before="0" w:beforeAutospacing="1" w:after="0" w:afterAutospacing="1"/>
        <w:ind w:left="0" w:right="0"/>
      </w:pPr>
      <w:r>
        <w:t xml:space="preserve">Hajarath, K.C.R. (2025) ‘Geopolitical trade tensions and their strategic impact on global supply chains’, </w:t>
      </w:r>
      <w:r>
        <w:rPr>
          <w:rStyle w:val="10"/>
        </w:rPr>
        <w:t>International Journal of Global Innovations and Solutions</w:t>
      </w:r>
      <w:r>
        <w:t>, 2(2).</w:t>
      </w:r>
    </w:p>
    <w:p w14:paraId="382294DF">
      <w:pPr>
        <w:pStyle w:val="12"/>
        <w:keepNext w:val="0"/>
        <w:keepLines w:val="0"/>
        <w:widowControl/>
        <w:suppressLineNumbers w:val="0"/>
        <w:spacing w:before="0" w:beforeAutospacing="1" w:after="0" w:afterAutospacing="1"/>
        <w:ind w:left="0" w:right="0"/>
      </w:pPr>
      <w:r>
        <w:t xml:space="preserve">Haque, A., Akther, N., Khan, I., Agarwal, K. and Uddin, N. (2024) ‘Artificial intelligence in retail marketing: Research agenda based on bibliometric reflection and content analysis (2000–2023)’, </w:t>
      </w:r>
      <w:r>
        <w:rPr>
          <w:rStyle w:val="10"/>
        </w:rPr>
        <w:t>Informatics</w:t>
      </w:r>
      <w:r>
        <w:t>, 11(4), p. 74.</w:t>
      </w:r>
    </w:p>
    <w:p w14:paraId="32D9A117">
      <w:pPr>
        <w:pStyle w:val="12"/>
        <w:keepNext w:val="0"/>
        <w:keepLines w:val="0"/>
        <w:widowControl/>
        <w:suppressLineNumbers w:val="0"/>
        <w:spacing w:before="0" w:beforeAutospacing="1" w:after="0" w:afterAutospacing="1"/>
        <w:ind w:left="0" w:right="0"/>
      </w:pPr>
      <w:r>
        <w:t xml:space="preserve">Jackson, A. (2025) </w:t>
      </w:r>
      <w:r>
        <w:rPr>
          <w:rStyle w:val="10"/>
        </w:rPr>
        <w:t>The Win-Win Workplace: How Thriving Employees Drive Bottom-Line Success</w:t>
      </w:r>
      <w:r>
        <w:t>. Oakland, CA: Berrett-Koehler Publishers.</w:t>
      </w:r>
    </w:p>
    <w:p w14:paraId="56FDE571">
      <w:pPr>
        <w:pStyle w:val="12"/>
        <w:keepNext w:val="0"/>
        <w:keepLines w:val="0"/>
        <w:widowControl/>
        <w:suppressLineNumbers w:val="0"/>
        <w:spacing w:before="0" w:beforeAutospacing="1" w:after="0" w:afterAutospacing="1"/>
        <w:ind w:left="0" w:right="0"/>
      </w:pPr>
      <w:r>
        <w:t xml:space="preserve">Jamil, D.A., Sabah, K.K., Gardi, B. and Adnan, S. (2022) ‘The mediation role of organizational culture between employee turnover intention and job satisfaction’, </w:t>
      </w:r>
      <w:r>
        <w:rPr>
          <w:rStyle w:val="10"/>
        </w:rPr>
        <w:t>International Journal of Teaching, Learning and Education</w:t>
      </w:r>
      <w:r>
        <w:t>, 1(4), pp. 24–35.</w:t>
      </w:r>
    </w:p>
    <w:p w14:paraId="2431B7A2">
      <w:pPr>
        <w:pStyle w:val="12"/>
        <w:keepNext w:val="0"/>
        <w:keepLines w:val="0"/>
        <w:widowControl/>
        <w:suppressLineNumbers w:val="0"/>
        <w:spacing w:before="0" w:beforeAutospacing="1" w:after="0" w:afterAutospacing="1"/>
        <w:ind w:left="0" w:right="0"/>
      </w:pPr>
      <w:r>
        <w:t xml:space="preserve">Manekar, A.U. (2024) ‘Impact of organizational culture on human resource management: A critical analysis’, </w:t>
      </w:r>
      <w:r>
        <w:rPr>
          <w:rStyle w:val="10"/>
        </w:rPr>
        <w:t>International Journal of Innovations in Science, Engineering and Management</w:t>
      </w:r>
      <w:r>
        <w:t>, pp. 106–112.</w:t>
      </w:r>
    </w:p>
    <w:p w14:paraId="352ACAE4">
      <w:pPr>
        <w:pStyle w:val="12"/>
        <w:keepNext w:val="0"/>
        <w:keepLines w:val="0"/>
        <w:widowControl/>
        <w:suppressLineNumbers w:val="0"/>
        <w:spacing w:before="0" w:beforeAutospacing="1" w:after="0" w:afterAutospacing="1"/>
        <w:ind w:left="0" w:right="0"/>
      </w:pPr>
      <w:r>
        <w:t xml:space="preserve">Mullins, L. and Christy, G. (2016) </w:t>
      </w:r>
      <w:r>
        <w:rPr>
          <w:rStyle w:val="10"/>
        </w:rPr>
        <w:t>Management and Organisational Behaviour</w:t>
      </w:r>
      <w:r>
        <w:t>. 11th edn. Harlow: Pearson Education Limited.</w:t>
      </w:r>
    </w:p>
    <w:p w14:paraId="1308D9C6">
      <w:pPr>
        <w:pStyle w:val="12"/>
        <w:keepNext w:val="0"/>
        <w:keepLines w:val="0"/>
        <w:widowControl/>
        <w:suppressLineNumbers w:val="0"/>
        <w:spacing w:before="0" w:beforeAutospacing="1" w:after="0" w:afterAutospacing="1"/>
        <w:ind w:left="0" w:right="0"/>
      </w:pPr>
      <w:r>
        <w:t xml:space="preserve">Olayiwola, K., Perera, S., Kagioglou, M., Jin, X. and Sharafi, P. (2025) ‘A PESTEL analysis of problems associated with the adoption of offsite construction: A systematic literature review’, </w:t>
      </w:r>
      <w:r>
        <w:rPr>
          <w:rStyle w:val="10"/>
        </w:rPr>
        <w:t>Buildings</w:t>
      </w:r>
      <w:r>
        <w:t>, 15(13), p. 2146.</w:t>
      </w:r>
    </w:p>
    <w:p w14:paraId="1ED9B409">
      <w:pPr>
        <w:pStyle w:val="12"/>
        <w:keepNext w:val="0"/>
        <w:keepLines w:val="0"/>
        <w:widowControl/>
        <w:suppressLineNumbers w:val="0"/>
        <w:spacing w:before="0" w:beforeAutospacing="1" w:after="0" w:afterAutospacing="1"/>
        <w:ind w:left="0" w:right="0"/>
      </w:pPr>
      <w:r>
        <w:t xml:space="preserve">Ozbun, T. (2025) </w:t>
      </w:r>
      <w:r>
        <w:rPr>
          <w:rStyle w:val="10"/>
        </w:rPr>
        <w:t>Healthy eating in the UK</w:t>
      </w:r>
      <w:r>
        <w:t xml:space="preserve">. Statista. Available at: </w:t>
      </w:r>
      <w:r>
        <w:fldChar w:fldCharType="begin"/>
      </w:r>
      <w:r>
        <w:instrText xml:space="preserve"> HYPERLINK "https://www.statista.com/statistics/1085381/healthy-eating-in-the-uk/" </w:instrText>
      </w:r>
      <w:r>
        <w:fldChar w:fldCharType="separate"/>
      </w:r>
      <w:r>
        <w:rPr>
          <w:rStyle w:val="11"/>
        </w:rPr>
        <w:t>https://www.statista.com/statistics/1085381/healthy-eating-in-the-uk/</w:t>
      </w:r>
      <w:r>
        <w:fldChar w:fldCharType="end"/>
      </w:r>
      <w:r>
        <w:t xml:space="preserve"> (Accessed: 15 May 2026).</w:t>
      </w:r>
    </w:p>
    <w:p w14:paraId="04F18E93">
      <w:pPr>
        <w:pStyle w:val="12"/>
        <w:keepNext w:val="0"/>
        <w:keepLines w:val="0"/>
        <w:widowControl/>
        <w:suppressLineNumbers w:val="0"/>
        <w:spacing w:before="0" w:beforeAutospacing="1" w:after="0" w:afterAutospacing="1"/>
        <w:ind w:left="0" w:right="0"/>
      </w:pPr>
      <w:r>
        <w:t xml:space="preserve">Scholes, W. (2024) </w:t>
      </w:r>
      <w:r>
        <w:rPr>
          <w:rStyle w:val="10"/>
        </w:rPr>
        <w:t>Progress towards a circular economy: UK is named as the fourth highest private investor in plastic circularity in the world</w:t>
      </w:r>
      <w:r>
        <w:t xml:space="preserve">. Clarity. Available at: </w:t>
      </w:r>
      <w:r>
        <w:fldChar w:fldCharType="begin"/>
      </w:r>
      <w:r>
        <w:instrText xml:space="preserve"> HYPERLINK "https://clarity.eco/news/progress-towards-a-circular-economy-uk-is-named-as-the-fourth-highest-private-investor-in-plastic-circularity-in-the-world/" </w:instrText>
      </w:r>
      <w:r>
        <w:fldChar w:fldCharType="separate"/>
      </w:r>
      <w:r>
        <w:rPr>
          <w:rStyle w:val="11"/>
        </w:rPr>
        <w:t>https://clarity.eco/news/progress-towards-a-circular-economy-uk-is-named-as-the-fourth-highest-private-investor-in-plastic-circularity-in-the-world/</w:t>
      </w:r>
      <w:r>
        <w:fldChar w:fldCharType="end"/>
      </w:r>
      <w:r>
        <w:t xml:space="preserve"> (Accessed: 16 May 2026).</w:t>
      </w:r>
    </w:p>
    <w:p w14:paraId="10E56FCE">
      <w:pPr>
        <w:pStyle w:val="12"/>
        <w:keepNext w:val="0"/>
        <w:keepLines w:val="0"/>
        <w:widowControl/>
        <w:suppressLineNumbers w:val="0"/>
        <w:spacing w:before="0" w:beforeAutospacing="1" w:after="0" w:afterAutospacing="1"/>
        <w:ind w:left="0" w:right="0"/>
      </w:pPr>
      <w:r>
        <w:t xml:space="preserve">Singh, V., Sharma, M.P., Jayapriya, K., Kumar, B.K., Chander, M.A.R.N. and Kumar, B.R. (2023) ‘Service quality, customer satisfaction and customer loyalty: A comprehensive literature review’, </w:t>
      </w:r>
      <w:r>
        <w:rPr>
          <w:rStyle w:val="10"/>
        </w:rPr>
        <w:t>Journal of Survey in Fisheries Sciences</w:t>
      </w:r>
      <w:r>
        <w:t>, 10(4S), pp. 3457–3464.</w:t>
      </w:r>
    </w:p>
    <w:p w14:paraId="1D386148">
      <w:pPr>
        <w:pStyle w:val="12"/>
        <w:keepNext w:val="0"/>
        <w:keepLines w:val="0"/>
        <w:widowControl/>
        <w:suppressLineNumbers w:val="0"/>
        <w:spacing w:before="0" w:beforeAutospacing="1" w:after="0" w:afterAutospacing="1"/>
        <w:ind w:left="0" w:right="0"/>
      </w:pPr>
      <w:r>
        <w:t xml:space="preserve">Statista Research Department (2026) </w:t>
      </w:r>
      <w:r>
        <w:rPr>
          <w:rStyle w:val="10"/>
        </w:rPr>
        <w:t>Average inflation rate United Kingdom</w:t>
      </w:r>
      <w:r>
        <w:t xml:space="preserve">. Statista. Available at: </w:t>
      </w:r>
      <w:r>
        <w:fldChar w:fldCharType="begin"/>
      </w:r>
      <w:r>
        <w:instrText xml:space="preserve"> HYPERLINK "https://www.statista.com/statistics/270384/inflation-rate-in-the-united-kingdom/" </w:instrText>
      </w:r>
      <w:r>
        <w:fldChar w:fldCharType="separate"/>
      </w:r>
      <w:r>
        <w:rPr>
          <w:rStyle w:val="11"/>
        </w:rPr>
        <w:t>https://www.statista.com/statistics/270384/inflation-rate-in-the-united-kingdom/</w:t>
      </w:r>
      <w:r>
        <w:fldChar w:fldCharType="end"/>
      </w:r>
      <w:r>
        <w:t xml:space="preserve"> (Accessed: 16 May 2026).</w:t>
      </w:r>
    </w:p>
    <w:p w14:paraId="5DFF14E4">
      <w:pPr>
        <w:pStyle w:val="12"/>
        <w:keepNext w:val="0"/>
        <w:keepLines w:val="0"/>
        <w:widowControl/>
        <w:suppressLineNumbers w:val="0"/>
        <w:spacing w:before="0" w:beforeAutospacing="1" w:after="0" w:afterAutospacing="1"/>
        <w:ind w:left="0" w:right="0"/>
      </w:pPr>
      <w:r>
        <w:t xml:space="preserve">Tesco (2026) </w:t>
      </w:r>
      <w:r>
        <w:rPr>
          <w:rStyle w:val="10"/>
        </w:rPr>
        <w:t>Core purpose and values</w:t>
      </w:r>
      <w:r>
        <w:t xml:space="preserve">. Available at: </w:t>
      </w:r>
      <w:r>
        <w:fldChar w:fldCharType="begin"/>
      </w:r>
      <w:r>
        <w:instrText xml:space="preserve"> HYPERLINK "https://www.tescoplc.com/about/how-we-do-business/core-purpose-and-values/" </w:instrText>
      </w:r>
      <w:r>
        <w:fldChar w:fldCharType="separate"/>
      </w:r>
      <w:r>
        <w:rPr>
          <w:rStyle w:val="11"/>
        </w:rPr>
        <w:t>https://www.tescoplc.com/about/how-we-do-business/core-purpose-and-values/</w:t>
      </w:r>
      <w:r>
        <w:fldChar w:fldCharType="end"/>
      </w:r>
      <w:r>
        <w:t xml:space="preserve"> (Accessed: 25 May 2026).</w:t>
      </w:r>
    </w:p>
    <w:p w14:paraId="2847C74F">
      <w:pPr>
        <w:pStyle w:val="12"/>
        <w:keepNext w:val="0"/>
        <w:keepLines w:val="0"/>
        <w:widowControl/>
        <w:suppressLineNumbers w:val="0"/>
        <w:spacing w:before="0" w:beforeAutospacing="1" w:after="0" w:afterAutospacing="1"/>
        <w:ind w:left="0" w:right="0"/>
      </w:pPr>
      <w:r>
        <w:t xml:space="preserve">Tesco (n.d.) </w:t>
      </w:r>
      <w:r>
        <w:rPr>
          <w:rStyle w:val="10"/>
        </w:rPr>
        <w:t>Corporate governance</w:t>
      </w:r>
      <w:r>
        <w:t xml:space="preserve">. Available at: </w:t>
      </w:r>
      <w:r>
        <w:fldChar w:fldCharType="begin"/>
      </w:r>
      <w:r>
        <w:instrText xml:space="preserve"> HYPERLINK "https://www.tescoplc.com/investors/corporate-governance" </w:instrText>
      </w:r>
      <w:r>
        <w:fldChar w:fldCharType="separate"/>
      </w:r>
      <w:r>
        <w:rPr>
          <w:rStyle w:val="11"/>
        </w:rPr>
        <w:t>https://www.tescoplc.com/investors/corporate-governance</w:t>
      </w:r>
      <w:r>
        <w:fldChar w:fldCharType="end"/>
      </w:r>
      <w:r>
        <w:t xml:space="preserve"> (Accessed: 21 May 2026).</w:t>
      </w:r>
    </w:p>
    <w:p w14:paraId="0144A2B5">
      <w:pPr>
        <w:pStyle w:val="12"/>
        <w:keepNext w:val="0"/>
        <w:keepLines w:val="0"/>
        <w:widowControl/>
        <w:suppressLineNumbers w:val="0"/>
        <w:spacing w:before="0" w:beforeAutospacing="1" w:after="0" w:afterAutospacing="1"/>
        <w:ind w:left="0" w:right="0"/>
      </w:pPr>
      <w:r>
        <w:t xml:space="preserve">Tesco PLC (2021) </w:t>
      </w:r>
      <w:r>
        <w:rPr>
          <w:rStyle w:val="10"/>
        </w:rPr>
        <w:t>Our code of business conduct</w:t>
      </w:r>
      <w:r>
        <w:t xml:space="preserve">. Available at: </w:t>
      </w:r>
      <w:r>
        <w:fldChar w:fldCharType="begin"/>
      </w:r>
      <w:r>
        <w:instrText xml:space="preserve"> HYPERLINK "https://www.tescoplc.com/media/757929/tesco-cobc_sept-2021.pdf" </w:instrText>
      </w:r>
      <w:r>
        <w:fldChar w:fldCharType="separate"/>
      </w:r>
      <w:r>
        <w:rPr>
          <w:rStyle w:val="11"/>
        </w:rPr>
        <w:t>https://www.tescoplc.com/media/757929/tesco-cobc_sept-2021.pdf</w:t>
      </w:r>
      <w:r>
        <w:fldChar w:fldCharType="end"/>
      </w:r>
      <w:r>
        <w:t xml:space="preserve"> (Accessed: 22 May 2026).</w:t>
      </w:r>
    </w:p>
    <w:p w14:paraId="5CE669AC">
      <w:pPr>
        <w:pStyle w:val="12"/>
        <w:keepNext w:val="0"/>
        <w:keepLines w:val="0"/>
        <w:widowControl/>
        <w:suppressLineNumbers w:val="0"/>
        <w:spacing w:before="0" w:beforeAutospacing="1" w:after="0" w:afterAutospacing="1"/>
        <w:ind w:left="0" w:right="0"/>
      </w:pPr>
      <w:r>
        <w:t xml:space="preserve">Tesco PLC (2025) </w:t>
      </w:r>
      <w:r>
        <w:rPr>
          <w:rStyle w:val="10"/>
        </w:rPr>
        <w:t>Tesco Annual Report</w:t>
      </w:r>
      <w:r>
        <w:t xml:space="preserve">. Available at: </w:t>
      </w:r>
      <w:r>
        <w:fldChar w:fldCharType="begin"/>
      </w:r>
      <w:r>
        <w:instrText xml:space="preserve"> HYPERLINK "https://www.tescoplc.com/media/ky0bfwpo/tesco_ar25_interactive.pdf" </w:instrText>
      </w:r>
      <w:r>
        <w:fldChar w:fldCharType="separate"/>
      </w:r>
      <w:r>
        <w:rPr>
          <w:rStyle w:val="11"/>
        </w:rPr>
        <w:t>https://www.tescoplc.com/media/ky0bfwpo/tesco_ar25_interactive.pdf</w:t>
      </w:r>
      <w:r>
        <w:fldChar w:fldCharType="end"/>
      </w:r>
      <w:r>
        <w:t xml:space="preserve"> (Accessed: 22 May 2026).</w:t>
      </w:r>
    </w:p>
    <w:p w14:paraId="321D70E6">
      <w:pPr>
        <w:pStyle w:val="12"/>
        <w:keepNext w:val="0"/>
        <w:keepLines w:val="0"/>
        <w:widowControl/>
        <w:suppressLineNumbers w:val="0"/>
        <w:spacing w:before="0" w:beforeAutospacing="1" w:after="0" w:afterAutospacing="1"/>
        <w:ind w:left="0" w:right="0"/>
      </w:pPr>
      <w:r>
        <w:t xml:space="preserve">Tesco PLC (2026) </w:t>
      </w:r>
      <w:r>
        <w:rPr>
          <w:rStyle w:val="10"/>
        </w:rPr>
        <w:t>Tesco to simplify operational structure</w:t>
      </w:r>
      <w:r>
        <w:t xml:space="preserve">. Available at: </w:t>
      </w:r>
      <w:r>
        <w:fldChar w:fldCharType="begin"/>
      </w:r>
      <w:r>
        <w:instrText xml:space="preserve"> HYPERLINK "https://www.tescoplc.com/tesco-to-simplify-operational-structures/" </w:instrText>
      </w:r>
      <w:r>
        <w:fldChar w:fldCharType="separate"/>
      </w:r>
      <w:r>
        <w:rPr>
          <w:rStyle w:val="11"/>
        </w:rPr>
        <w:t>https://www.tescoplc.com/tesco-to-simplify-operational-structures/</w:t>
      </w:r>
      <w:r>
        <w:fldChar w:fldCharType="end"/>
      </w:r>
      <w:r>
        <w:t xml:space="preserve"> (Accessed: 27 May 2026).</w:t>
      </w:r>
    </w:p>
    <w:p w14:paraId="6D989E2A">
      <w:pPr>
        <w:pStyle w:val="12"/>
        <w:keepNext w:val="0"/>
        <w:keepLines w:val="0"/>
        <w:widowControl/>
        <w:suppressLineNumbers w:val="0"/>
        <w:spacing w:before="0" w:beforeAutospacing="1" w:after="0" w:afterAutospacing="1"/>
        <w:ind w:left="0" w:right="0"/>
      </w:pPr>
      <w:r>
        <w:t xml:space="preserve">Tesco PLC (n.d.) </w:t>
      </w:r>
      <w:r>
        <w:rPr>
          <w:rStyle w:val="10"/>
        </w:rPr>
        <w:t>About us</w:t>
      </w:r>
      <w:r>
        <w:t xml:space="preserve">. Available at: </w:t>
      </w:r>
      <w:r>
        <w:fldChar w:fldCharType="begin"/>
      </w:r>
      <w:r>
        <w:instrText xml:space="preserve"> HYPERLINK "https://www.tescoplc.com/about" </w:instrText>
      </w:r>
      <w:r>
        <w:fldChar w:fldCharType="separate"/>
      </w:r>
      <w:r>
        <w:rPr>
          <w:rStyle w:val="11"/>
        </w:rPr>
        <w:t>https://www.tescoplc.com/about</w:t>
      </w:r>
      <w:r>
        <w:fldChar w:fldCharType="end"/>
      </w:r>
      <w:r>
        <w:t xml:space="preserve"> (Accessed: 19 May 2026).</w:t>
      </w:r>
    </w:p>
    <w:p w14:paraId="2F77F48E">
      <w:pPr>
        <w:pStyle w:val="12"/>
        <w:keepNext w:val="0"/>
        <w:keepLines w:val="0"/>
        <w:widowControl/>
        <w:suppressLineNumbers w:val="0"/>
        <w:spacing w:before="0" w:beforeAutospacing="1" w:after="0" w:afterAutospacing="1"/>
        <w:ind w:left="0" w:right="0"/>
      </w:pPr>
      <w:r>
        <w:t xml:space="preserve">UK Government (n.d.a) </w:t>
      </w:r>
      <w:r>
        <w:rPr>
          <w:rStyle w:val="10"/>
        </w:rPr>
        <w:t>Equality Act 2010: Guidance</w:t>
      </w:r>
      <w:r>
        <w:t xml:space="preserve">. GOV.UK. Available at: </w:t>
      </w:r>
      <w:r>
        <w:fldChar w:fldCharType="begin"/>
      </w:r>
      <w:r>
        <w:instrText xml:space="preserve"> HYPERLINK "https://www.gov.uk/guidance/equality-act-2010-guidance" </w:instrText>
      </w:r>
      <w:r>
        <w:fldChar w:fldCharType="separate"/>
      </w:r>
      <w:r>
        <w:rPr>
          <w:rStyle w:val="11"/>
        </w:rPr>
        <w:t>https://www.gov.uk/guidance/equality-act-2010-guidance</w:t>
      </w:r>
      <w:r>
        <w:fldChar w:fldCharType="end"/>
      </w:r>
      <w:r>
        <w:t xml:space="preserve"> (Accessed: 19 May 2026).</w:t>
      </w:r>
    </w:p>
    <w:p w14:paraId="216776DB">
      <w:pPr>
        <w:pStyle w:val="12"/>
        <w:keepNext w:val="0"/>
        <w:keepLines w:val="0"/>
        <w:widowControl/>
        <w:suppressLineNumbers w:val="0"/>
        <w:spacing w:before="0" w:beforeAutospacing="1" w:after="0" w:afterAutospacing="1"/>
        <w:ind w:left="0" w:right="0"/>
      </w:pPr>
      <w:r>
        <w:t xml:space="preserve">UK Government (n.d.b) </w:t>
      </w:r>
      <w:r>
        <w:rPr>
          <w:rStyle w:val="10"/>
        </w:rPr>
        <w:t>The Companies Act 2006: Private company limited by shares articles of association of FSB (Member Services) Limited</w:t>
      </w:r>
      <w:r>
        <w:t xml:space="preserve">. Available at: </w:t>
      </w:r>
      <w:r>
        <w:fldChar w:fldCharType="begin"/>
      </w:r>
      <w:r>
        <w:instrText xml:space="preserve"> HYPERLINK "https://assets.publishing.service.gov.uk/media/5a7cadbae5274a38e575616d/09_FSB__Member_Services__Ltd_Approved_Consititution.pdf" </w:instrText>
      </w:r>
      <w:r>
        <w:fldChar w:fldCharType="separate"/>
      </w:r>
      <w:r>
        <w:rPr>
          <w:rStyle w:val="11"/>
        </w:rPr>
        <w:t>https://assets.publishing.service.gov.uk/media/5a7cadbae5274a38e575616d/09_FSB__Member_Services__Ltd_Approved_Consititution.pdf</w:t>
      </w:r>
      <w:r>
        <w:fldChar w:fldCharType="end"/>
      </w:r>
      <w:r>
        <w:t xml:space="preserve"> (Accessed: 19 May 2026).</w:t>
      </w:r>
    </w:p>
    <w:p w14:paraId="1A06295B">
      <w:pPr>
        <w:pStyle w:val="12"/>
        <w:keepNext w:val="0"/>
        <w:keepLines w:val="0"/>
        <w:widowControl/>
        <w:suppressLineNumbers w:val="0"/>
      </w:pPr>
      <w:r>
        <w:t xml:space="preserve">Watty, F. (2025) </w:t>
      </w:r>
      <w:r>
        <w:rPr>
          <w:rStyle w:val="10"/>
        </w:rPr>
        <w:t>Shoppers who prefer buying from sustainable brands in the UK</w:t>
      </w:r>
      <w:r>
        <w:t xml:space="preserve">. Statista. Available at: </w:t>
      </w:r>
      <w:r>
        <w:fldChar w:fldCharType="begin"/>
      </w:r>
      <w:r>
        <w:instrText xml:space="preserve"> HYPERLINK "https://www.statista.com/statistics/1626153/shoppers-who-prefer-buying-from-sustainable-brands-uk/" </w:instrText>
      </w:r>
      <w:r>
        <w:fldChar w:fldCharType="separate"/>
      </w:r>
      <w:r>
        <w:rPr>
          <w:rStyle w:val="11"/>
        </w:rPr>
        <w:t>https://www.statista.com/statistics/1626153/shoppers-who-prefer-buying-from-sustainable-brands-uk/</w:t>
      </w:r>
      <w:r>
        <w:fldChar w:fldCharType="end"/>
      </w:r>
      <w:r>
        <w:t xml:space="preserve"> (Accessed: 13 May 2026).</w:t>
      </w:r>
    </w:p>
    <w:p w14:paraId="24BE917B">
      <w:pPr>
        <w:rPr>
          <w:color w:val="000000" w:themeColor="text1"/>
          <w14:textFill>
            <w14:solidFill>
              <w14:schemeClr w14:val="tx1"/>
            </w14:solidFill>
          </w14:textFill>
        </w:rPr>
      </w:pP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F2F58E57-5024-4D5D-9670-1F758231D624}"/>
  </w:font>
  <w:font w:name="Arial">
    <w:panose1 w:val="020B0604020202020204"/>
    <w:charset w:val="00"/>
    <w:family w:val="swiss"/>
    <w:pitch w:val="default"/>
    <w:sig w:usb0="E0002EFF" w:usb1="C000785B" w:usb2="00000009" w:usb3="00000000" w:csb0="400001FF" w:csb1="FFFF0000"/>
    <w:embedRegular r:id="rId2" w:fontKey="{311403BE-1A9C-4D8C-94E6-1E23C51A3434}"/>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A6755799-02FE-446C-9129-3B9B8A73D551}"/>
  </w:font>
  <w:font w:name="Wingdings">
    <w:panose1 w:val="05000000000000000000"/>
    <w:charset w:val="02"/>
    <w:family w:val="auto"/>
    <w:pitch w:val="default"/>
    <w:sig w:usb0="00000000" w:usb1="00000000" w:usb2="00000000" w:usb3="00000000" w:csb0="80000000" w:csb1="00000000"/>
    <w:embedRegular r:id="rId4" w:fontKey="{70E6475E-B97B-4A70-A2B9-035CA84D4FDB}"/>
  </w:font>
  <w:font w:name="Calibri">
    <w:panose1 w:val="020F0502020204030204"/>
    <w:charset w:val="00"/>
    <w:family w:val="swiss"/>
    <w:pitch w:val="default"/>
    <w:sig w:usb0="E4002EFF" w:usb1="C200247B" w:usb2="00000009" w:usb3="00000000" w:csb0="200001FF" w:csb1="00000000"/>
    <w:embedRegular r:id="rId5" w:fontKey="{9FC7ECA7-FA13-4EC6-8F44-45F605B9D39C}"/>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3F4A2A8">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1</w:t>
    </w:r>
    <w:r>
      <w:rPr>
        <w:color w:val="000000"/>
      </w:rPr>
      <w:fldChar w:fldCharType="end"/>
    </w:r>
  </w:p>
  <w:p w14:paraId="6B10F0C1">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48B2"/>
    <w:rsid w:val="002C5891"/>
    <w:rsid w:val="002E0CE6"/>
    <w:rsid w:val="0057202D"/>
    <w:rsid w:val="005B1F23"/>
    <w:rsid w:val="00630BC3"/>
    <w:rsid w:val="0073207C"/>
    <w:rsid w:val="008F72DB"/>
    <w:rsid w:val="0092429E"/>
    <w:rsid w:val="00A248B2"/>
    <w:rsid w:val="00E73832"/>
    <w:rsid w:val="00F972D3"/>
    <w:rsid w:val="0322271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semiHidden/>
    <w:unhideWhenUsed/>
    <w:qFormat/>
    <w:uiPriority w:val="9"/>
    <w:pPr>
      <w:keepNext/>
      <w:keepLines/>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Emphasis"/>
    <w:basedOn w:val="8"/>
    <w:qFormat/>
    <w:uiPriority w:val="20"/>
    <w:rPr>
      <w:i/>
      <w:iCs/>
    </w:rPr>
  </w:style>
  <w:style w:type="character" w:styleId="11">
    <w:name w:val="Hyperlink"/>
    <w:basedOn w:val="8"/>
    <w:semiHidden/>
    <w:unhideWhenUsed/>
    <w:uiPriority w:val="99"/>
    <w:rPr>
      <w:color w:val="0000FF"/>
      <w:u w:val="single"/>
    </w:rPr>
  </w:style>
  <w:style w:type="paragraph" w:styleId="12">
    <w:name w:val="Normal (Web)"/>
    <w:semiHidden/>
    <w:unhideWhenUsed/>
    <w:uiPriority w:val="99"/>
    <w:pPr>
      <w:spacing w:before="0" w:beforeAutospacing="1" w:after="0" w:afterAutospacing="1"/>
      <w:ind w:left="0" w:right="0"/>
      <w:jc w:val="left"/>
    </w:pPr>
    <w:rPr>
      <w:kern w:val="0"/>
      <w:sz w:val="24"/>
      <w:szCs w:val="24"/>
      <w:lang w:val="en-US" w:eastAsia="zh-CN" w:bidi="ar"/>
    </w:rPr>
  </w:style>
  <w:style w:type="paragraph" w:styleId="13">
    <w:name w:val="Subtitle"/>
    <w:basedOn w:val="1"/>
    <w:next w:val="1"/>
    <w:qFormat/>
    <w:uiPriority w:val="11"/>
    <w:pPr>
      <w:keepNext/>
      <w:keepLines/>
      <w:spacing w:after="320"/>
    </w:pPr>
    <w:rPr>
      <w:rFonts w:ascii="Arial" w:hAnsi="Arial" w:eastAsia="Arial" w:cs="Arial"/>
      <w:color w:val="666666"/>
      <w:sz w:val="30"/>
      <w:szCs w:val="30"/>
    </w:rPr>
  </w:style>
  <w:style w:type="paragraph" w:styleId="14">
    <w:name w:val="Title"/>
    <w:basedOn w:val="1"/>
    <w:next w:val="1"/>
    <w:qFormat/>
    <w:uiPriority w:val="10"/>
    <w:pPr>
      <w:keepNext/>
      <w:keepLines/>
      <w:spacing w:after="60"/>
    </w:pPr>
    <w:rPr>
      <w:sz w:val="52"/>
      <w:szCs w:val="52"/>
    </w:rPr>
  </w:style>
  <w:style w:type="table" w:customStyle="1" w:styleId="15">
    <w:name w:val="TableNormal"/>
    <w:qFormat/>
    <w:uiPriority w:val="0"/>
    <w:tblPr>
      <w:tblCellMar>
        <w:top w:w="100" w:type="dxa"/>
        <w:left w:w="100" w:type="dxa"/>
        <w:bottom w:w="100" w:type="dxa"/>
        <w:right w:w="100" w:type="dxa"/>
      </w:tblCellMar>
    </w:tblPr>
  </w:style>
  <w:style w:type="table" w:customStyle="1" w:styleId="16">
    <w:name w:val="_Style 12"/>
    <w:basedOn w:val="15"/>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Obv1R2SgJCIWWoYEgwMr/GzBDQ==">CgMxLjAyDmguM3k0Zmc1MjU5Mjc1Mg5oLmk4c3kxM3J2aGdwbTIOaC5kamg0NGc0bGV1Zm8yDmgub3l1YWpsdXF2cjl3Mg5oLnBhc25yemx1Y2R3YzIOaC42ZnU5NXZmeHRybnEyDmguZHJteHdqYmFtOW0wMg5oLmh6dnh1dmJqaTd0dTIOaC5iMndubXg0bnZkZ2gyDmgubzY3aG9ndnJvd3YyMg5oLmZmcHk4eTF1OWZhdjIOaC43YTNpa3VwNzNhczEyDWguOGt0ZW5xeGhrdzMyDmguMWtvcWN0NjU5bHVqMg5oLmY1YnE2dzZzdXQ3NDIOaC44MTNxdzh6NDI0czQyDmgueTFhMnMwNWFvNXowOAByITFYLWM2QUpJVGVINjFfcWVwUWNSWXZfcGxFN2ZrcnlyZw==</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1466</Words>
  <Characters>8558</Characters>
  <DocSecurity>0</DocSecurity>
  <Lines>206</Lines>
  <Paragraphs>58</Paragraphs>
  <ScaleCrop>false</ScaleCrop>
  <LinksUpToDate>false</LinksUpToDate>
  <CharactersWithSpaces>10025</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Burlui</dc:creator>
  <dcterms:created xsi:type="dcterms:W3CDTF">2026-05-29T11:39:00Z</dcterms:created>
  <dcterms:modified xsi:type="dcterms:W3CDTF">2026-06-09T00:22:39Z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eyJoZGlkIjoiOWRlMjk0ODYyMjVjMzQ0ZTgzMmQxZjMzNDc1YzE5ZTciLCJ1c2VySWQiOiIzODY2MDY3MzMzMTM0In0=</vt:lpwstr>
  </property>
  <property fmtid="{D5CDD505-2E9C-101B-9397-08002B2CF9AE}" pid="3" name="KSOProductBuildVer">
    <vt:lpwstr>1033-12.1.0.26880</vt:lpwstr>
  </property>
  <property fmtid="{D5CDD505-2E9C-101B-9397-08002B2CF9AE}" pid="4" name="ICV">
    <vt:lpwstr>6085470A2E104D038B10469955F23618_12</vt:lpwstr>
  </property>
</Properties>
</file>