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E17BC4" w14:textId="77777777" w:rsidR="00C51A22" w:rsidRDefault="00C51A22" w:rsidP="00C51A22">
      <w:pPr>
        <w:pStyle w:val="Title"/>
        <w:rPr>
          <w:rFonts w:cs="Arial"/>
        </w:rPr>
      </w:pPr>
    </w:p>
    <w:p w14:paraId="42D89B88" w14:textId="77777777" w:rsidR="00C51A22" w:rsidRDefault="00C51A22" w:rsidP="00C51A22">
      <w:pPr>
        <w:pStyle w:val="Title"/>
        <w:rPr>
          <w:rFonts w:cs="Arial"/>
        </w:rPr>
      </w:pPr>
    </w:p>
    <w:p w14:paraId="70F27E7A" w14:textId="77777777" w:rsidR="00C51A22" w:rsidRDefault="00C51A22" w:rsidP="00C51A22">
      <w:pPr>
        <w:pStyle w:val="Title"/>
        <w:rPr>
          <w:rFonts w:cs="Arial"/>
        </w:rPr>
      </w:pPr>
    </w:p>
    <w:p w14:paraId="513FE05C" w14:textId="77777777" w:rsidR="00C51A22" w:rsidRDefault="00C51A22" w:rsidP="00C51A22">
      <w:pPr>
        <w:pStyle w:val="Title"/>
        <w:rPr>
          <w:rFonts w:cs="Arial"/>
        </w:rPr>
      </w:pPr>
    </w:p>
    <w:p w14:paraId="7D517DEE" w14:textId="77777777" w:rsidR="00C51A22" w:rsidRDefault="00C51A22" w:rsidP="00C51A22">
      <w:pPr>
        <w:pStyle w:val="Title"/>
        <w:rPr>
          <w:rFonts w:cs="Arial"/>
        </w:rPr>
      </w:pPr>
    </w:p>
    <w:p w14:paraId="0354B4F7" w14:textId="77777777" w:rsidR="00C51A22" w:rsidRDefault="00C51A22" w:rsidP="00C51A22">
      <w:pPr>
        <w:pStyle w:val="Title"/>
        <w:rPr>
          <w:rFonts w:cs="Arial"/>
        </w:rPr>
      </w:pPr>
    </w:p>
    <w:p w14:paraId="6BE89335" w14:textId="02E5A6BB" w:rsidR="005E61A6" w:rsidRPr="00013C68" w:rsidRDefault="00C51A22" w:rsidP="00013C68">
      <w:pPr>
        <w:pStyle w:val="Title"/>
      </w:pPr>
      <w:r w:rsidRPr="00C51A22">
        <w:t>Student Journal</w:t>
      </w:r>
    </w:p>
    <w:p w14:paraId="3F39F5F4" w14:textId="2D9D56F4" w:rsidR="00C51A22" w:rsidRDefault="00C51A22" w:rsidP="00C51A22"/>
    <w:p w14:paraId="081D99CC" w14:textId="72A1E1B3" w:rsidR="00C51A22" w:rsidRDefault="00C51A22" w:rsidP="00C51A22"/>
    <w:p w14:paraId="23C17B3A" w14:textId="77777777" w:rsidR="00C51A22" w:rsidRDefault="00C51A22" w:rsidP="00C51A22">
      <w:pPr>
        <w:spacing w:before="0" w:after="160" w:line="259" w:lineRule="auto"/>
        <w:jc w:val="center"/>
        <w:rPr>
          <w:rFonts w:cs="Times New Roman"/>
        </w:rPr>
      </w:pPr>
    </w:p>
    <w:p w14:paraId="53C4767D" w14:textId="77777777" w:rsidR="00C51A22" w:rsidRDefault="00C51A22" w:rsidP="00C51A22">
      <w:pPr>
        <w:spacing w:before="0" w:after="160" w:line="259" w:lineRule="auto"/>
        <w:jc w:val="center"/>
        <w:rPr>
          <w:rFonts w:cs="Times New Roman"/>
        </w:rPr>
      </w:pPr>
    </w:p>
    <w:p w14:paraId="01AFDD0B" w14:textId="77777777" w:rsidR="00C51A22" w:rsidRDefault="00C51A22" w:rsidP="00C51A22">
      <w:pPr>
        <w:spacing w:before="0" w:after="160" w:line="259" w:lineRule="auto"/>
        <w:jc w:val="center"/>
        <w:rPr>
          <w:rFonts w:cs="Times New Roman"/>
        </w:rPr>
      </w:pPr>
    </w:p>
    <w:p w14:paraId="1E893975" w14:textId="77777777" w:rsidR="00C51A22" w:rsidRDefault="00C51A22" w:rsidP="00C51A22">
      <w:pPr>
        <w:spacing w:before="0" w:after="160" w:line="259" w:lineRule="auto"/>
        <w:jc w:val="center"/>
        <w:rPr>
          <w:rFonts w:cs="Times New Roman"/>
        </w:rPr>
      </w:pPr>
    </w:p>
    <w:p w14:paraId="468847E4" w14:textId="77777777" w:rsidR="00C51A22" w:rsidRDefault="00C51A22" w:rsidP="00C51A22">
      <w:pPr>
        <w:spacing w:before="0" w:after="160" w:line="259" w:lineRule="auto"/>
        <w:jc w:val="center"/>
        <w:rPr>
          <w:rFonts w:cs="Times New Roman"/>
        </w:rPr>
      </w:pPr>
    </w:p>
    <w:p w14:paraId="6E292EAD" w14:textId="77777777" w:rsidR="00C51A22" w:rsidRDefault="00C51A22" w:rsidP="00C51A22">
      <w:pPr>
        <w:spacing w:before="0" w:after="160" w:line="259" w:lineRule="auto"/>
        <w:jc w:val="center"/>
        <w:rPr>
          <w:rFonts w:cs="Times New Roman"/>
        </w:rPr>
      </w:pPr>
    </w:p>
    <w:p w14:paraId="747E548E" w14:textId="77777777" w:rsidR="00C51A22" w:rsidRDefault="00C51A22" w:rsidP="00407354">
      <w:pPr>
        <w:spacing w:before="0" w:after="160" w:line="259" w:lineRule="auto"/>
        <w:jc w:val="center"/>
        <w:rPr>
          <w:rFonts w:cs="Times New Roman"/>
        </w:rPr>
      </w:pPr>
    </w:p>
    <w:p w14:paraId="16F52F4C" w14:textId="64DE3ACA" w:rsidR="00C51A22" w:rsidRDefault="00C51A22" w:rsidP="00407354">
      <w:pPr>
        <w:spacing w:before="0" w:after="160" w:line="259" w:lineRule="auto"/>
        <w:jc w:val="center"/>
        <w:rPr>
          <w:rFonts w:cs="Times New Roman"/>
        </w:rPr>
      </w:pPr>
      <w:r>
        <w:rPr>
          <w:rFonts w:cs="Times New Roman"/>
        </w:rPr>
        <w:t>Student name:</w:t>
      </w:r>
      <w:r w:rsidR="00407354">
        <w:rPr>
          <w:rFonts w:cs="Times New Roman"/>
        </w:rPr>
        <w:t xml:space="preserve"> Denis Buzdugan</w:t>
      </w:r>
    </w:p>
    <w:p w14:paraId="37507701" w14:textId="77777777" w:rsidR="00407354" w:rsidRDefault="00C51A22" w:rsidP="00407354">
      <w:pPr>
        <w:spacing w:before="0" w:after="160"/>
        <w:jc w:val="center"/>
        <w:rPr>
          <w:rFonts w:cs="Times New Roman"/>
          <w:szCs w:val="24"/>
          <w:shd w:val="clear" w:color="auto" w:fill="FFFFFF"/>
        </w:rPr>
      </w:pPr>
      <w:r w:rsidRPr="003F48FD">
        <w:rPr>
          <w:rFonts w:cs="Times New Roman"/>
          <w:szCs w:val="24"/>
        </w:rPr>
        <w:t>Student-ID number:</w:t>
      </w:r>
      <w:r w:rsidR="00407354">
        <w:rPr>
          <w:rFonts w:cs="Times New Roman"/>
          <w:szCs w:val="24"/>
        </w:rPr>
        <w:t xml:space="preserve"> 2130036</w:t>
      </w:r>
    </w:p>
    <w:p w14:paraId="256BD1C1" w14:textId="339D5EF4" w:rsidR="00C51A22" w:rsidRPr="00407354" w:rsidRDefault="00407354" w:rsidP="00407354">
      <w:pPr>
        <w:spacing w:before="0" w:after="160"/>
        <w:jc w:val="center"/>
        <w:rPr>
          <w:rFonts w:cs="Times New Roman"/>
          <w:szCs w:val="24"/>
          <w:shd w:val="clear" w:color="auto" w:fill="FFFFFF"/>
        </w:rPr>
      </w:pPr>
      <w:r>
        <w:rPr>
          <w:rFonts w:cs="Times New Roman"/>
        </w:rPr>
        <w:t>Teacher</w:t>
      </w:r>
      <w:r w:rsidR="00C51A22">
        <w:rPr>
          <w:rFonts w:cs="Times New Roman"/>
        </w:rPr>
        <w:t>:</w:t>
      </w:r>
      <w:r>
        <w:rPr>
          <w:rFonts w:cs="Times New Roman"/>
        </w:rPr>
        <w:t xml:space="preserve"> Rohan Dubrey</w:t>
      </w:r>
    </w:p>
    <w:p w14:paraId="345AAD55" w14:textId="75992342" w:rsidR="00C51A22" w:rsidRDefault="00C51A22" w:rsidP="00407354">
      <w:pPr>
        <w:jc w:val="center"/>
        <w:rPr>
          <w:rFonts w:cs="Times New Roman"/>
        </w:rPr>
      </w:pPr>
      <w:r w:rsidRPr="004E5E9F">
        <w:rPr>
          <w:rFonts w:cs="Times New Roman"/>
        </w:rPr>
        <w:t>Word count:</w:t>
      </w:r>
      <w:r w:rsidR="00407354">
        <w:rPr>
          <w:rFonts w:cs="Times New Roman"/>
        </w:rPr>
        <w:t xml:space="preserve"> </w:t>
      </w:r>
      <w:r w:rsidR="00B53C26">
        <w:rPr>
          <w:rFonts w:cs="Times New Roman"/>
        </w:rPr>
        <w:t>688</w:t>
      </w:r>
    </w:p>
    <w:p w14:paraId="48D897B5" w14:textId="46B3EC4D" w:rsidR="00F84AE9" w:rsidRDefault="00C51A22" w:rsidP="00F84AE9">
      <w:pPr>
        <w:spacing w:before="0" w:after="160" w:line="259" w:lineRule="auto"/>
        <w:jc w:val="left"/>
      </w:pPr>
      <w:r>
        <w:rPr>
          <w:rFonts w:cs="Times New Roman"/>
        </w:rPr>
        <w:br w:type="page"/>
      </w:r>
    </w:p>
    <w:p w14:paraId="76992544" w14:textId="77777777" w:rsidR="00F84AE9" w:rsidRDefault="00F84AE9" w:rsidP="00F84AE9">
      <w:pPr>
        <w:pStyle w:val="Heading1"/>
        <w:rPr>
          <w:rFonts w:cs="Arial"/>
        </w:rPr>
      </w:pPr>
      <w:r>
        <w:rPr>
          <w:rFonts w:cs="Arial"/>
        </w:rPr>
        <w:lastRenderedPageBreak/>
        <w:t>Introduction</w:t>
      </w:r>
    </w:p>
    <w:p w14:paraId="6C37A9E2" w14:textId="2B24C24B" w:rsidR="00F84AE9" w:rsidRDefault="00F84AE9" w:rsidP="00F84AE9">
      <w:pPr>
        <w:rPr>
          <w:sz w:val="24"/>
          <w:szCs w:val="24"/>
        </w:rPr>
      </w:pPr>
      <w:r w:rsidRPr="00407354">
        <w:rPr>
          <w:sz w:val="24"/>
          <w:szCs w:val="24"/>
        </w:rPr>
        <w:t>This student journal's goal is to investigate how a food and beverage employee's necessary skill set varies depending on the kind of company and service that the food and beverage operation uses. I will be summarising what I have learnt in class and from my personal experiences, whether they be from my time working in food and beverage or from my observations as a customer, in order to do this. I'll be thinking about how I can use what I've learnt in the future as well.</w:t>
      </w:r>
    </w:p>
    <w:p w14:paraId="3C3E7C68" w14:textId="77777777" w:rsidR="00B53C26" w:rsidRPr="00407354" w:rsidRDefault="00B53C26" w:rsidP="00F84AE9">
      <w:pPr>
        <w:rPr>
          <w:sz w:val="24"/>
          <w:szCs w:val="24"/>
        </w:rPr>
      </w:pPr>
    </w:p>
    <w:p w14:paraId="3EB9FFE5" w14:textId="77777777" w:rsidR="00F84AE9" w:rsidRDefault="00F84AE9" w:rsidP="00F84AE9">
      <w:pPr>
        <w:pStyle w:val="Heading1"/>
        <w:rPr>
          <w:rFonts w:cs="Arial"/>
        </w:rPr>
      </w:pPr>
      <w:r>
        <w:rPr>
          <w:rFonts w:cs="Arial"/>
        </w:rPr>
        <w:t>Types and Styles of Service</w:t>
      </w:r>
    </w:p>
    <w:p w14:paraId="6441D37D" w14:textId="44376E5C" w:rsidR="00C51A22" w:rsidRDefault="00F84AE9" w:rsidP="00F84AE9">
      <w:pPr>
        <w:rPr>
          <w:sz w:val="24"/>
          <w:szCs w:val="24"/>
        </w:rPr>
      </w:pPr>
      <w:r w:rsidRPr="00407354">
        <w:rPr>
          <w:sz w:val="24"/>
          <w:szCs w:val="24"/>
        </w:rPr>
        <w:t>From traditional table service to self-service, the types and styles of service offered by Food &amp; Beverage establishments can differ substantially. The criteria and skill sets for personnel vary depending on the type of service.</w:t>
      </w:r>
    </w:p>
    <w:p w14:paraId="1D918B54" w14:textId="77777777" w:rsidR="00B53C26" w:rsidRDefault="00B53C26" w:rsidP="00F84AE9"/>
    <w:p w14:paraId="292092EB" w14:textId="77777777" w:rsidR="00F84AE9" w:rsidRDefault="00F84AE9" w:rsidP="00F84AE9">
      <w:pPr>
        <w:pStyle w:val="Heading1"/>
        <w:rPr>
          <w:rFonts w:cs="Arial"/>
        </w:rPr>
      </w:pPr>
      <w:r>
        <w:rPr>
          <w:rFonts w:cs="Arial"/>
        </w:rPr>
        <w:t>Table Service</w:t>
      </w:r>
    </w:p>
    <w:p w14:paraId="61B11A62" w14:textId="77777777" w:rsidR="00F84AE9" w:rsidRPr="00407354" w:rsidRDefault="00F84AE9" w:rsidP="00F84AE9">
      <w:pPr>
        <w:rPr>
          <w:sz w:val="24"/>
          <w:szCs w:val="24"/>
        </w:rPr>
      </w:pPr>
      <w:r w:rsidRPr="00407354">
        <w:rPr>
          <w:sz w:val="24"/>
          <w:szCs w:val="24"/>
        </w:rPr>
        <w:t>The most conventional kind of service in food and beverage businesses is table service. Typically, it entails a waiter or waitress taking orders from guests, bringing food and drinks to the table, and offering any additional assistance that may be necessary. Employees must have a particular level of customer service expertise in addition to menu item knowledge in order to deliver this service (Sima et al., 2020). In addition, they need to be able to multitask and manage several orders at once. They also need to be able to follow directions from the head chef or manager.</w:t>
      </w:r>
    </w:p>
    <w:p w14:paraId="6D1F816C" w14:textId="77777777" w:rsidR="00F84AE9" w:rsidRDefault="00C51A22" w:rsidP="00F84AE9">
      <w:pPr>
        <w:pStyle w:val="Heading1"/>
        <w:rPr>
          <w:rFonts w:cs="Arial"/>
        </w:rPr>
      </w:pPr>
      <w:r>
        <w:rPr>
          <w:rFonts w:cs="Arial"/>
        </w:rPr>
        <w:br w:type="page"/>
      </w:r>
      <w:r w:rsidR="00F84AE9">
        <w:rPr>
          <w:rFonts w:cs="Arial"/>
        </w:rPr>
        <w:lastRenderedPageBreak/>
        <w:t>Self-Service</w:t>
      </w:r>
    </w:p>
    <w:p w14:paraId="6CB4FEB9" w14:textId="77777777" w:rsidR="00F84AE9" w:rsidRPr="00407354" w:rsidRDefault="00F84AE9" w:rsidP="00F84AE9">
      <w:pPr>
        <w:rPr>
          <w:sz w:val="24"/>
          <w:szCs w:val="24"/>
        </w:rPr>
      </w:pPr>
      <w:r w:rsidRPr="00407354">
        <w:rPr>
          <w:sz w:val="24"/>
          <w:szCs w:val="24"/>
        </w:rPr>
        <w:t>In food and beverage businesses, self-service is becoming more and more common. Customers use this type of service to order and retrieve their own food and beverages from a location like a cafeteria or buffet. The ability to maintain the space's cleanliness and organisation, as well as replenish any supplies that may be running low, is required of staff members in self-service operations (Zhang et al., 2022). They must also be capable of offering customer service and responding to any queries that clients may have.</w:t>
      </w:r>
    </w:p>
    <w:p w14:paraId="5E0D28D4" w14:textId="769CEE06" w:rsidR="00F84AE9" w:rsidRPr="00407354" w:rsidRDefault="00F84AE9" w:rsidP="00F84AE9">
      <w:pPr>
        <w:pStyle w:val="Heading1"/>
        <w:rPr>
          <w:sz w:val="24"/>
          <w:szCs w:val="24"/>
        </w:rPr>
      </w:pPr>
    </w:p>
    <w:p w14:paraId="2F73DB72" w14:textId="77777777" w:rsidR="00F84AE9" w:rsidRDefault="00F84AE9" w:rsidP="00F84AE9">
      <w:pPr>
        <w:pStyle w:val="Heading1"/>
        <w:rPr>
          <w:rFonts w:cs="Arial"/>
        </w:rPr>
      </w:pPr>
      <w:r>
        <w:rPr>
          <w:rFonts w:cs="Arial"/>
        </w:rPr>
        <w:t>Counter Service</w:t>
      </w:r>
    </w:p>
    <w:p w14:paraId="0AB67EC8" w14:textId="77777777" w:rsidR="00F84AE9" w:rsidRPr="00407354" w:rsidRDefault="00F84AE9" w:rsidP="00F84AE9">
      <w:pPr>
        <w:rPr>
          <w:sz w:val="24"/>
          <w:szCs w:val="24"/>
        </w:rPr>
      </w:pPr>
      <w:r w:rsidRPr="00407354">
        <w:rPr>
          <w:sz w:val="24"/>
          <w:szCs w:val="24"/>
        </w:rPr>
        <w:t>In food and beverage operations, counter service is another typical form of customer service. Customers purchase their meals and beverages at a counter and then pick them up when they are ready in this manner of service. To handle orders accurately and swiftly, counter service personnel need to be highly skilled in providing outstanding customer care. Furthermore, they need to be able to manage several orders at once while multitasking (Ward et al., 2022).</w:t>
      </w:r>
    </w:p>
    <w:p w14:paraId="746B3568" w14:textId="39E426A1" w:rsidR="00C51A22" w:rsidRDefault="00C51A22">
      <w:pPr>
        <w:spacing w:before="0" w:after="160" w:line="259" w:lineRule="auto"/>
        <w:jc w:val="left"/>
        <w:rPr>
          <w:rFonts w:cs="Arial"/>
        </w:rPr>
      </w:pPr>
    </w:p>
    <w:p w14:paraId="5109AC4A" w14:textId="77777777" w:rsidR="00F84AE9" w:rsidRDefault="00F84AE9" w:rsidP="00F84AE9">
      <w:pPr>
        <w:pStyle w:val="Heading1"/>
        <w:rPr>
          <w:rFonts w:cs="Arial"/>
        </w:rPr>
      </w:pPr>
      <w:r>
        <w:rPr>
          <w:rFonts w:cs="Arial"/>
        </w:rPr>
        <w:t>Hard and Soft Skill Sets Required</w:t>
      </w:r>
    </w:p>
    <w:p w14:paraId="2DD6D7B7" w14:textId="6B5EDE89" w:rsidR="00F84AE9" w:rsidRDefault="00F84AE9" w:rsidP="00F84AE9">
      <w:pPr>
        <w:spacing w:before="0" w:after="160" w:line="259" w:lineRule="auto"/>
        <w:jc w:val="left"/>
        <w:rPr>
          <w:sz w:val="24"/>
          <w:szCs w:val="24"/>
        </w:rPr>
      </w:pPr>
      <w:r w:rsidRPr="00407354">
        <w:rPr>
          <w:sz w:val="24"/>
          <w:szCs w:val="24"/>
        </w:rPr>
        <w:t>No matter the service model employed, personnel in the food and beverage industry need to have a particular set of hard and soft skills in order to provide excellent customer service and maintain the efficient operation of the business.</w:t>
      </w:r>
    </w:p>
    <w:p w14:paraId="318C18B2" w14:textId="77777777" w:rsidR="00F84AE9" w:rsidRDefault="00F84AE9" w:rsidP="00F84AE9">
      <w:pPr>
        <w:spacing w:before="0" w:after="160" w:line="259" w:lineRule="auto"/>
        <w:jc w:val="left"/>
        <w:rPr>
          <w:sz w:val="24"/>
          <w:szCs w:val="24"/>
        </w:rPr>
      </w:pPr>
    </w:p>
    <w:p w14:paraId="58C308C5" w14:textId="77777777" w:rsidR="00F84AE9" w:rsidRDefault="00F84AE9" w:rsidP="00F84AE9">
      <w:pPr>
        <w:pStyle w:val="Heading1"/>
        <w:rPr>
          <w:rFonts w:cs="Arial"/>
        </w:rPr>
      </w:pPr>
      <w:r>
        <w:rPr>
          <w:rFonts w:cs="Arial"/>
        </w:rPr>
        <w:t>Hard Skills</w:t>
      </w:r>
    </w:p>
    <w:p w14:paraId="3CF40255" w14:textId="4D3452F2" w:rsidR="00C51A22" w:rsidRDefault="00F84AE9" w:rsidP="00F84AE9">
      <w:pPr>
        <w:spacing w:before="0" w:after="160" w:line="259" w:lineRule="auto"/>
        <w:jc w:val="left"/>
        <w:rPr>
          <w:rFonts w:eastAsiaTheme="majorEastAsia" w:cs="Arial"/>
          <w:b/>
          <w:sz w:val="32"/>
          <w:szCs w:val="32"/>
        </w:rPr>
      </w:pPr>
      <w:r w:rsidRPr="00407354">
        <w:rPr>
          <w:sz w:val="24"/>
          <w:szCs w:val="24"/>
        </w:rPr>
        <w:t>The technical knowledge and abilities needed for a job are known as hard skills. Employees in the food and beverage industry are required to have knowledge of food and beverage products, as well as abilities in cash handling and food safety. A cash register or barcode scanner, for example, may be necessary equipment, thus they must be able to use it (Huraj et al., 2021).</w:t>
      </w:r>
      <w:r w:rsidR="00C51A22">
        <w:rPr>
          <w:rFonts w:cs="Arial"/>
        </w:rPr>
        <w:br w:type="page"/>
      </w:r>
    </w:p>
    <w:p w14:paraId="739BEC9A" w14:textId="77777777" w:rsidR="00F84AE9" w:rsidRDefault="00F84AE9" w:rsidP="00F84AE9">
      <w:pPr>
        <w:pStyle w:val="Heading1"/>
        <w:rPr>
          <w:rFonts w:cs="Arial"/>
        </w:rPr>
      </w:pPr>
      <w:r>
        <w:rPr>
          <w:rFonts w:cs="Arial"/>
        </w:rPr>
        <w:lastRenderedPageBreak/>
        <w:t>Soft Skills</w:t>
      </w:r>
    </w:p>
    <w:p w14:paraId="07D6C47B" w14:textId="77777777" w:rsidR="00F84AE9" w:rsidRDefault="00F84AE9" w:rsidP="00F84AE9">
      <w:pPr>
        <w:rPr>
          <w:sz w:val="24"/>
          <w:szCs w:val="24"/>
        </w:rPr>
      </w:pPr>
      <w:r w:rsidRPr="00407354">
        <w:rPr>
          <w:sz w:val="24"/>
          <w:szCs w:val="24"/>
        </w:rPr>
        <w:t>Soft skills are the communication and interpersonal abilities needed for a profession. For those working in the food and beverage industry, this entails having good customer service abilities, such as the capacity to treat clients nicely and respond to their inquiries. Additionally, they must be able to work well in a group setting and adhere to directives from their manager or head chef (Foley et al., 2020).</w:t>
      </w:r>
    </w:p>
    <w:p w14:paraId="091819AC" w14:textId="77777777" w:rsidR="00F84AE9" w:rsidRDefault="00F84AE9" w:rsidP="00F84AE9">
      <w:pPr>
        <w:rPr>
          <w:sz w:val="24"/>
          <w:szCs w:val="24"/>
        </w:rPr>
      </w:pPr>
    </w:p>
    <w:p w14:paraId="7C9D8152" w14:textId="77777777" w:rsidR="00F84AE9" w:rsidRDefault="00F84AE9" w:rsidP="00F84AE9">
      <w:pPr>
        <w:pStyle w:val="Heading1"/>
        <w:rPr>
          <w:rFonts w:cs="Arial"/>
        </w:rPr>
      </w:pPr>
      <w:r>
        <w:rPr>
          <w:rFonts w:cs="Arial"/>
        </w:rPr>
        <w:t>Conclusion</w:t>
      </w:r>
    </w:p>
    <w:p w14:paraId="540E9992" w14:textId="77777777" w:rsidR="00F84AE9" w:rsidRDefault="00F84AE9" w:rsidP="00F84AE9">
      <w:pPr>
        <w:rPr>
          <w:sz w:val="24"/>
          <w:szCs w:val="24"/>
        </w:rPr>
      </w:pPr>
      <w:r w:rsidRPr="00407354">
        <w:rPr>
          <w:sz w:val="24"/>
          <w:szCs w:val="24"/>
        </w:rPr>
        <w:t>As a result, depending on the kind of company and the kind of service that the food and beverage operation uses, different skill sets are needed for food and beverage employees. In contrast to self-service and counter service, which both need staff to have excellent customer service skills as well as a working understanding of the menu, table service positions call for both of these qualifications. Hard and soft skills, including those related to customer service and teamwork, are always necessary. Examples of hard skills include knowledge of food safety and currency handling. I can make sure that I am ready for any future employment in the field of food and beverage by being aware of these standards.</w:t>
      </w:r>
    </w:p>
    <w:p w14:paraId="246CA080" w14:textId="77777777" w:rsidR="00F84AE9" w:rsidRPr="00C51A22" w:rsidRDefault="00F84AE9" w:rsidP="00F84AE9">
      <w:pPr>
        <w:jc w:val="center"/>
        <w:rPr>
          <w:rFonts w:cs="Arial"/>
        </w:rPr>
      </w:pPr>
    </w:p>
    <w:p w14:paraId="16724511" w14:textId="4F26550C" w:rsidR="00C51A22" w:rsidRPr="00407354" w:rsidRDefault="00C51A22" w:rsidP="00F84AE9">
      <w:pPr>
        <w:rPr>
          <w:rFonts w:eastAsiaTheme="majorEastAsia"/>
          <w:b/>
          <w:sz w:val="24"/>
          <w:szCs w:val="24"/>
        </w:rPr>
      </w:pPr>
      <w:r w:rsidRPr="00407354">
        <w:rPr>
          <w:sz w:val="24"/>
          <w:szCs w:val="24"/>
        </w:rPr>
        <w:br w:type="page"/>
      </w:r>
    </w:p>
    <w:p w14:paraId="76560CFD" w14:textId="77777777" w:rsidR="00F84AE9" w:rsidRDefault="00F84AE9" w:rsidP="00F84AE9">
      <w:pPr>
        <w:pStyle w:val="Heading1"/>
        <w:rPr>
          <w:rFonts w:cs="Arial"/>
        </w:rPr>
      </w:pPr>
      <w:r>
        <w:rPr>
          <w:rFonts w:cs="Arial"/>
        </w:rPr>
        <w:lastRenderedPageBreak/>
        <w:t>Reference</w:t>
      </w:r>
    </w:p>
    <w:p w14:paraId="5E3D327B" w14:textId="77777777" w:rsidR="00F84AE9" w:rsidRPr="004C29CE" w:rsidRDefault="00F84AE9" w:rsidP="00F84AE9">
      <w:pPr>
        <w:ind w:left="720" w:hanging="720"/>
        <w:rPr>
          <w:rFonts w:cs="Arial"/>
        </w:rPr>
      </w:pPr>
      <w:r w:rsidRPr="00B71CC1">
        <w:rPr>
          <w:rFonts w:cs="Arial"/>
        </w:rPr>
        <w:t>Foley, R.A., Hurard, L.L., Cateau, D., Koutaissoff, D., Bugnon, O. and Niquille, A., 2020. Physicians’, nurses’ and pharmacists’ perceptions of determinants to deprescribing in nursing homes considering three levels of action: a qualitative study. Pharmacy, 8(1), p.17.</w:t>
      </w:r>
    </w:p>
    <w:p w14:paraId="6CC67A2A" w14:textId="77777777" w:rsidR="00F84AE9" w:rsidRPr="00B71CC1" w:rsidRDefault="00F84AE9" w:rsidP="00F84AE9">
      <w:pPr>
        <w:ind w:left="720" w:hanging="720"/>
        <w:rPr>
          <w:rFonts w:cs="Arial"/>
        </w:rPr>
      </w:pPr>
      <w:r w:rsidRPr="00B71CC1">
        <w:rPr>
          <w:rFonts w:cs="Arial"/>
        </w:rPr>
        <w:t>Huraj, L., Horak, T., Strelec, P. and Tanuska, P., 2021. Mitigation against DDoS Attacks on an IoT-Based Production Line Using Machine Learning. Applied Sciences, 11(4), p.1847.</w:t>
      </w:r>
    </w:p>
    <w:p w14:paraId="1549832A" w14:textId="77777777" w:rsidR="00F84AE9" w:rsidRPr="004C29CE" w:rsidRDefault="00F84AE9" w:rsidP="00F84AE9">
      <w:pPr>
        <w:ind w:left="720" w:hanging="720"/>
        <w:rPr>
          <w:rFonts w:cs="Arial"/>
        </w:rPr>
      </w:pPr>
      <w:r w:rsidRPr="004C29CE">
        <w:rPr>
          <w:rFonts w:cs="Arial"/>
        </w:rPr>
        <w:t>Sima, V., Gheorghe, I.G., Subić, J. and Nancu, D., 2020. Influences of the industry 4.0 revolution on the human capital development and consumer behavior: A systematic review. Sustainability, 12(10), p.4035.</w:t>
      </w:r>
    </w:p>
    <w:p w14:paraId="403996EF" w14:textId="77777777" w:rsidR="00F84AE9" w:rsidRDefault="00F84AE9" w:rsidP="00F84AE9">
      <w:pPr>
        <w:ind w:left="720" w:hanging="720"/>
        <w:rPr>
          <w:rFonts w:cs="Arial"/>
        </w:rPr>
      </w:pPr>
      <w:r w:rsidRPr="004C29CE">
        <w:rPr>
          <w:rFonts w:cs="Arial"/>
        </w:rPr>
        <w:t>Ward, N., Hussey, E., Wooten, T., Marfeo, E. and Brunyé, T.T., 2022. Modulating Cognitive–Motor Multitasking with Commercial-off-the-Shelf Non-Invasive Brain Stimulation. Brain Sciences, 12(2), p.180.</w:t>
      </w:r>
    </w:p>
    <w:p w14:paraId="7C601CE5" w14:textId="77777777" w:rsidR="00F84AE9" w:rsidRPr="004C29CE" w:rsidRDefault="00F84AE9" w:rsidP="00F84AE9">
      <w:pPr>
        <w:ind w:left="720" w:hanging="720"/>
        <w:rPr>
          <w:rFonts w:cs="Arial"/>
        </w:rPr>
      </w:pPr>
      <w:r w:rsidRPr="004C29CE">
        <w:rPr>
          <w:rFonts w:cs="Arial"/>
        </w:rPr>
        <w:t>Zhang, D., Li, Y., Li, Y. and Shen, Z., 2022. Service failure risk assessment and service improvement of self-service electric vehicle. Sustainability, 14(7), p.3723.</w:t>
      </w:r>
    </w:p>
    <w:p w14:paraId="0E4187BD" w14:textId="77777777" w:rsidR="00F84AE9" w:rsidRPr="00C51A22" w:rsidRDefault="00F84AE9" w:rsidP="00F84AE9">
      <w:pPr>
        <w:jc w:val="center"/>
        <w:rPr>
          <w:rFonts w:cs="Arial"/>
        </w:rPr>
      </w:pPr>
    </w:p>
    <w:p w14:paraId="3EEB7E6E" w14:textId="77777777" w:rsidR="00C51A22" w:rsidRDefault="00C51A22">
      <w:pPr>
        <w:spacing w:before="0" w:after="160" w:line="259" w:lineRule="auto"/>
        <w:jc w:val="left"/>
        <w:rPr>
          <w:rFonts w:eastAsiaTheme="majorEastAsia" w:cs="Arial"/>
          <w:b/>
          <w:sz w:val="32"/>
          <w:szCs w:val="32"/>
        </w:rPr>
      </w:pPr>
      <w:r>
        <w:rPr>
          <w:rFonts w:cs="Arial"/>
        </w:rPr>
        <w:br w:type="page"/>
      </w:r>
    </w:p>
    <w:p w14:paraId="7CC10DBF" w14:textId="77777777" w:rsidR="00C51A22" w:rsidRDefault="00C51A22">
      <w:pPr>
        <w:spacing w:before="0" w:after="160" w:line="259" w:lineRule="auto"/>
        <w:jc w:val="left"/>
        <w:rPr>
          <w:rFonts w:eastAsiaTheme="majorEastAsia" w:cs="Arial"/>
          <w:b/>
          <w:sz w:val="32"/>
          <w:szCs w:val="32"/>
        </w:rPr>
      </w:pPr>
      <w:r>
        <w:rPr>
          <w:rFonts w:cs="Arial"/>
        </w:rPr>
        <w:lastRenderedPageBreak/>
        <w:br w:type="page"/>
      </w:r>
    </w:p>
    <w:p w14:paraId="097F77AE" w14:textId="261E6225" w:rsidR="00C51A22" w:rsidRPr="00407354" w:rsidRDefault="00C51A22" w:rsidP="00D93470">
      <w:pPr>
        <w:rPr>
          <w:rFonts w:eastAsiaTheme="majorEastAsia"/>
          <w:b/>
          <w:sz w:val="24"/>
          <w:szCs w:val="24"/>
        </w:rPr>
      </w:pPr>
      <w:r w:rsidRPr="00407354">
        <w:rPr>
          <w:sz w:val="24"/>
          <w:szCs w:val="24"/>
        </w:rPr>
        <w:lastRenderedPageBreak/>
        <w:br w:type="page"/>
      </w:r>
    </w:p>
    <w:p w14:paraId="5E522FE5" w14:textId="669C1FEE" w:rsidR="00C51A22" w:rsidRPr="00407354" w:rsidRDefault="00C51A22" w:rsidP="00D93470">
      <w:pPr>
        <w:rPr>
          <w:rFonts w:eastAsiaTheme="majorEastAsia"/>
          <w:b/>
          <w:sz w:val="24"/>
          <w:szCs w:val="24"/>
        </w:rPr>
      </w:pPr>
      <w:r w:rsidRPr="00407354">
        <w:rPr>
          <w:sz w:val="24"/>
          <w:szCs w:val="24"/>
        </w:rPr>
        <w:lastRenderedPageBreak/>
        <w:br w:type="page"/>
      </w:r>
    </w:p>
    <w:p w14:paraId="06343723" w14:textId="448F8470" w:rsidR="00C51A22" w:rsidRPr="00407354" w:rsidRDefault="00C51A22" w:rsidP="00D93470">
      <w:pPr>
        <w:rPr>
          <w:rFonts w:eastAsiaTheme="majorEastAsia"/>
          <w:b/>
          <w:sz w:val="24"/>
          <w:szCs w:val="24"/>
        </w:rPr>
      </w:pPr>
      <w:r w:rsidRPr="00407354">
        <w:rPr>
          <w:sz w:val="24"/>
          <w:szCs w:val="24"/>
        </w:rPr>
        <w:lastRenderedPageBreak/>
        <w:br w:type="page"/>
      </w:r>
    </w:p>
    <w:p w14:paraId="2A95CA97" w14:textId="119021ED" w:rsidR="00C51A22" w:rsidRPr="00407354" w:rsidRDefault="00C51A22" w:rsidP="00D93470">
      <w:pPr>
        <w:rPr>
          <w:rFonts w:eastAsiaTheme="majorEastAsia"/>
          <w:b/>
          <w:sz w:val="24"/>
          <w:szCs w:val="24"/>
        </w:rPr>
      </w:pPr>
      <w:r w:rsidRPr="00407354">
        <w:rPr>
          <w:sz w:val="24"/>
          <w:szCs w:val="24"/>
        </w:rPr>
        <w:lastRenderedPageBreak/>
        <w:br w:type="page"/>
      </w:r>
    </w:p>
    <w:p w14:paraId="49A71FC8" w14:textId="2DDC8116" w:rsidR="00C51A22" w:rsidRDefault="00C51A22" w:rsidP="00C51A22">
      <w:pPr>
        <w:pStyle w:val="Heading1"/>
        <w:rPr>
          <w:rFonts w:cs="Arial"/>
        </w:rPr>
      </w:pPr>
      <w:bookmarkStart w:id="0" w:name="_Toc125868337"/>
      <w:r>
        <w:rPr>
          <w:rFonts w:cs="Arial"/>
        </w:rPr>
        <w:lastRenderedPageBreak/>
        <w:t>Reference</w:t>
      </w:r>
      <w:bookmarkEnd w:id="0"/>
    </w:p>
    <w:p w14:paraId="357D3E22" w14:textId="77777777" w:rsidR="00922030" w:rsidRPr="004C29CE" w:rsidRDefault="00922030" w:rsidP="00B71CC1">
      <w:pPr>
        <w:ind w:left="720" w:hanging="720"/>
        <w:rPr>
          <w:rFonts w:cs="Arial"/>
        </w:rPr>
      </w:pPr>
      <w:r w:rsidRPr="00B71CC1">
        <w:rPr>
          <w:rFonts w:cs="Arial"/>
        </w:rPr>
        <w:t>Foley, R.A., Hurard, L.L., Cateau, D., Koutaissoff, D., Bugnon, O. and Niquille, A., 2020. Physicians’, nurses’ and pharmacists’ perceptions of determinants to deprescribing in nursing homes considering three levels of action: a qualitative study. Pharmacy, 8(1), p.17.</w:t>
      </w:r>
    </w:p>
    <w:p w14:paraId="20C56E61" w14:textId="77777777" w:rsidR="00922030" w:rsidRPr="00B71CC1" w:rsidRDefault="00922030" w:rsidP="00B71CC1">
      <w:pPr>
        <w:ind w:left="720" w:hanging="720"/>
        <w:rPr>
          <w:rFonts w:cs="Arial"/>
        </w:rPr>
      </w:pPr>
      <w:r w:rsidRPr="00B71CC1">
        <w:rPr>
          <w:rFonts w:cs="Arial"/>
        </w:rPr>
        <w:t>Huraj, L., Horak, T., Strelec, P. and Tanuska, P., 2021. Mitigation against DDoS Attacks on an IoT-Based Production Line Using Machine Learning. Applied Sciences, 11(4), p.1847.</w:t>
      </w:r>
    </w:p>
    <w:p w14:paraId="5128326A" w14:textId="77777777" w:rsidR="00922030" w:rsidRPr="004C29CE" w:rsidRDefault="00922030" w:rsidP="004C29CE">
      <w:pPr>
        <w:ind w:left="720" w:hanging="720"/>
        <w:rPr>
          <w:rFonts w:cs="Arial"/>
        </w:rPr>
      </w:pPr>
      <w:r w:rsidRPr="004C29CE">
        <w:rPr>
          <w:rFonts w:cs="Arial"/>
        </w:rPr>
        <w:t>Sima, V., Gheorghe, I.G., Subić, J. and Nancu, D., 2020. Influences of the industry 4.0 revolution on the human capital development and consumer behavior: A systematic review. Sustainability, 12(10), p.4035.</w:t>
      </w:r>
    </w:p>
    <w:p w14:paraId="0E22E8AC" w14:textId="77777777" w:rsidR="00922030" w:rsidRDefault="00922030" w:rsidP="004C29CE">
      <w:pPr>
        <w:ind w:left="720" w:hanging="720"/>
        <w:rPr>
          <w:rFonts w:cs="Arial"/>
        </w:rPr>
      </w:pPr>
      <w:r w:rsidRPr="004C29CE">
        <w:rPr>
          <w:rFonts w:cs="Arial"/>
        </w:rPr>
        <w:t>Ward, N., Hussey, E., Wooten, T., Marfeo, E. and Brunyé, T.T., 2022. Modulating Cognitive–Motor Multitasking with Commercial-off-the-Shelf Non-Invasive Brain Stimulation. Brain Sciences, 12(2), p.180.</w:t>
      </w:r>
    </w:p>
    <w:p w14:paraId="6C44D1FE" w14:textId="77777777" w:rsidR="00922030" w:rsidRPr="004C29CE" w:rsidRDefault="00922030" w:rsidP="004C29CE">
      <w:pPr>
        <w:ind w:left="720" w:hanging="720"/>
        <w:rPr>
          <w:rFonts w:cs="Arial"/>
        </w:rPr>
      </w:pPr>
      <w:r w:rsidRPr="004C29CE">
        <w:rPr>
          <w:rFonts w:cs="Arial"/>
        </w:rPr>
        <w:t>Zhang, D., Li, Y., Li, Y. and Shen, Z., 2022. Service failure risk assessment and service improvement of self-service electric vehicle. Sustainability, 14(7), p.3723.</w:t>
      </w:r>
    </w:p>
    <w:p w14:paraId="475C91E1" w14:textId="15B87604" w:rsidR="00C51A22" w:rsidRPr="00C51A22" w:rsidRDefault="00C51A22" w:rsidP="00C51A22">
      <w:pPr>
        <w:jc w:val="center"/>
        <w:rPr>
          <w:rFonts w:cs="Arial"/>
        </w:rPr>
      </w:pPr>
    </w:p>
    <w:sectPr w:rsidR="00C51A22" w:rsidRPr="00C51A22">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F0791F" w14:textId="77777777" w:rsidR="0094012D" w:rsidRDefault="0094012D" w:rsidP="00C51A22">
      <w:pPr>
        <w:spacing w:before="0" w:after="0" w:line="240" w:lineRule="auto"/>
      </w:pPr>
      <w:r>
        <w:separator/>
      </w:r>
    </w:p>
  </w:endnote>
  <w:endnote w:type="continuationSeparator" w:id="0">
    <w:p w14:paraId="45FF28E2" w14:textId="77777777" w:rsidR="0094012D" w:rsidRDefault="0094012D" w:rsidP="00C51A2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1581787"/>
      <w:docPartObj>
        <w:docPartGallery w:val="Page Numbers (Bottom of Page)"/>
        <w:docPartUnique/>
      </w:docPartObj>
    </w:sdtPr>
    <w:sdtEndPr>
      <w:rPr>
        <w:noProof/>
      </w:rPr>
    </w:sdtEndPr>
    <w:sdtContent>
      <w:p w14:paraId="038C4B14" w14:textId="15927A6A" w:rsidR="00C51A22" w:rsidRDefault="00C51A2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F25E667" w14:textId="77777777" w:rsidR="00C51A22" w:rsidRDefault="00C51A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3A47A8" w14:textId="77777777" w:rsidR="0094012D" w:rsidRDefault="0094012D" w:rsidP="00C51A22">
      <w:pPr>
        <w:spacing w:before="0" w:after="0" w:line="240" w:lineRule="auto"/>
      </w:pPr>
      <w:r>
        <w:separator/>
      </w:r>
    </w:p>
  </w:footnote>
  <w:footnote w:type="continuationSeparator" w:id="0">
    <w:p w14:paraId="73545D8D" w14:textId="77777777" w:rsidR="0094012D" w:rsidRDefault="0094012D" w:rsidP="00C51A22">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A22"/>
    <w:rsid w:val="00013C68"/>
    <w:rsid w:val="00085084"/>
    <w:rsid w:val="00234C47"/>
    <w:rsid w:val="00407354"/>
    <w:rsid w:val="004C29CE"/>
    <w:rsid w:val="00522C57"/>
    <w:rsid w:val="005678A5"/>
    <w:rsid w:val="005E61A6"/>
    <w:rsid w:val="006B2319"/>
    <w:rsid w:val="007762A9"/>
    <w:rsid w:val="007D178E"/>
    <w:rsid w:val="00922030"/>
    <w:rsid w:val="0094012D"/>
    <w:rsid w:val="00A61B30"/>
    <w:rsid w:val="00B0357A"/>
    <w:rsid w:val="00B53C26"/>
    <w:rsid w:val="00B71CC1"/>
    <w:rsid w:val="00BB5861"/>
    <w:rsid w:val="00C51A22"/>
    <w:rsid w:val="00CD0077"/>
    <w:rsid w:val="00CF6613"/>
    <w:rsid w:val="00D93470"/>
    <w:rsid w:val="00DB17D4"/>
    <w:rsid w:val="00EC4799"/>
    <w:rsid w:val="00EC6683"/>
    <w:rsid w:val="00F12089"/>
    <w:rsid w:val="00F84A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B027E"/>
  <w15:chartTrackingRefBased/>
  <w15:docId w15:val="{12BB4154-AE32-4B82-AD97-412066D41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3470"/>
    <w:pPr>
      <w:spacing w:before="120" w:after="280" w:line="360" w:lineRule="auto"/>
      <w:jc w:val="both"/>
    </w:pPr>
    <w:rPr>
      <w:rFonts w:ascii="Arial" w:hAnsi="Arial"/>
      <w:color w:val="000000" w:themeColor="text1"/>
    </w:rPr>
  </w:style>
  <w:style w:type="paragraph" w:styleId="Heading1">
    <w:name w:val="heading 1"/>
    <w:basedOn w:val="Normal"/>
    <w:next w:val="Normal"/>
    <w:link w:val="Heading1Char"/>
    <w:uiPriority w:val="9"/>
    <w:qFormat/>
    <w:rsid w:val="00CD0077"/>
    <w:pPr>
      <w:keepNext/>
      <w:keepLines/>
      <w:spacing w:before="240" w:after="0"/>
      <w:jc w:val="left"/>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CD0077"/>
    <w:pPr>
      <w:keepNext/>
      <w:keepLines/>
      <w:spacing w:before="40" w:after="0"/>
      <w:outlineLvl w:val="1"/>
    </w:pPr>
    <w:rPr>
      <w:rFonts w:eastAsiaTheme="majorEastAsia" w:cstheme="majorBidi"/>
      <w:b/>
      <w:sz w:val="28"/>
      <w:szCs w:val="26"/>
      <w:u w:val="single"/>
    </w:rPr>
  </w:style>
  <w:style w:type="paragraph" w:styleId="Heading3">
    <w:name w:val="heading 3"/>
    <w:basedOn w:val="Normal"/>
    <w:next w:val="Normal"/>
    <w:link w:val="Heading3Char"/>
    <w:uiPriority w:val="9"/>
    <w:semiHidden/>
    <w:unhideWhenUsed/>
    <w:qFormat/>
    <w:rsid w:val="00F12089"/>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0077"/>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CD0077"/>
    <w:rPr>
      <w:rFonts w:ascii="Times New Roman" w:eastAsiaTheme="majorEastAsia" w:hAnsi="Times New Roman" w:cstheme="majorBidi"/>
      <w:b/>
      <w:color w:val="000000" w:themeColor="text1"/>
      <w:sz w:val="28"/>
      <w:szCs w:val="26"/>
      <w:u w:val="single"/>
    </w:rPr>
  </w:style>
  <w:style w:type="character" w:customStyle="1" w:styleId="Heading3Char">
    <w:name w:val="Heading 3 Char"/>
    <w:basedOn w:val="DefaultParagraphFont"/>
    <w:link w:val="Heading3"/>
    <w:uiPriority w:val="9"/>
    <w:semiHidden/>
    <w:rsid w:val="00F12089"/>
    <w:rPr>
      <w:rFonts w:ascii="Times New Roman" w:eastAsiaTheme="majorEastAsia" w:hAnsi="Times New Roman" w:cstheme="majorBidi"/>
      <w:b/>
      <w:color w:val="000000" w:themeColor="text1"/>
      <w:sz w:val="24"/>
      <w:szCs w:val="24"/>
    </w:rPr>
  </w:style>
  <w:style w:type="paragraph" w:styleId="Title">
    <w:name w:val="Title"/>
    <w:basedOn w:val="Normal"/>
    <w:next w:val="Normal"/>
    <w:link w:val="TitleChar"/>
    <w:uiPriority w:val="10"/>
    <w:qFormat/>
    <w:rsid w:val="007762A9"/>
    <w:pPr>
      <w:spacing w:before="0" w:after="0"/>
      <w:contextualSpacing/>
      <w:jc w:val="center"/>
    </w:pPr>
    <w:rPr>
      <w:rFonts w:eastAsiaTheme="majorEastAsia" w:cstheme="majorBidi"/>
      <w:b/>
      <w:color w:val="auto"/>
      <w:spacing w:val="-10"/>
      <w:kern w:val="28"/>
      <w:sz w:val="36"/>
      <w:szCs w:val="56"/>
    </w:rPr>
  </w:style>
  <w:style w:type="character" w:customStyle="1" w:styleId="TitleChar">
    <w:name w:val="Title Char"/>
    <w:basedOn w:val="DefaultParagraphFont"/>
    <w:link w:val="Title"/>
    <w:uiPriority w:val="10"/>
    <w:rsid w:val="007762A9"/>
    <w:rPr>
      <w:rFonts w:ascii="Arial" w:eastAsiaTheme="majorEastAsia" w:hAnsi="Arial" w:cstheme="majorBidi"/>
      <w:b/>
      <w:spacing w:val="-10"/>
      <w:kern w:val="28"/>
      <w:sz w:val="36"/>
      <w:szCs w:val="56"/>
    </w:rPr>
  </w:style>
  <w:style w:type="paragraph" w:styleId="TOCHeading">
    <w:name w:val="TOC Heading"/>
    <w:basedOn w:val="Heading1"/>
    <w:next w:val="Normal"/>
    <w:uiPriority w:val="39"/>
    <w:unhideWhenUsed/>
    <w:qFormat/>
    <w:rsid w:val="00C51A22"/>
    <w:pPr>
      <w:spacing w:line="259" w:lineRule="auto"/>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C51A22"/>
    <w:pPr>
      <w:spacing w:after="100"/>
    </w:pPr>
  </w:style>
  <w:style w:type="character" w:styleId="Hyperlink">
    <w:name w:val="Hyperlink"/>
    <w:basedOn w:val="DefaultParagraphFont"/>
    <w:uiPriority w:val="99"/>
    <w:unhideWhenUsed/>
    <w:rsid w:val="00C51A22"/>
    <w:rPr>
      <w:color w:val="0563C1" w:themeColor="hyperlink"/>
      <w:u w:val="single"/>
    </w:rPr>
  </w:style>
  <w:style w:type="paragraph" w:styleId="Header">
    <w:name w:val="header"/>
    <w:basedOn w:val="Normal"/>
    <w:link w:val="HeaderChar"/>
    <w:uiPriority w:val="99"/>
    <w:unhideWhenUsed/>
    <w:rsid w:val="00C51A2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C51A22"/>
    <w:rPr>
      <w:rFonts w:ascii="Times New Roman" w:hAnsi="Times New Roman"/>
      <w:color w:val="000000" w:themeColor="text1"/>
      <w:sz w:val="24"/>
    </w:rPr>
  </w:style>
  <w:style w:type="paragraph" w:styleId="Footer">
    <w:name w:val="footer"/>
    <w:basedOn w:val="Normal"/>
    <w:link w:val="FooterChar"/>
    <w:uiPriority w:val="99"/>
    <w:unhideWhenUsed/>
    <w:rsid w:val="00C51A22"/>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C51A22"/>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852579">
      <w:bodyDiv w:val="1"/>
      <w:marLeft w:val="0"/>
      <w:marRight w:val="0"/>
      <w:marTop w:val="0"/>
      <w:marBottom w:val="0"/>
      <w:divBdr>
        <w:top w:val="none" w:sz="0" w:space="0" w:color="auto"/>
        <w:left w:val="none" w:sz="0" w:space="0" w:color="auto"/>
        <w:bottom w:val="none" w:sz="0" w:space="0" w:color="auto"/>
        <w:right w:val="none" w:sz="0" w:space="0" w:color="auto"/>
      </w:divBdr>
      <w:divsChild>
        <w:div w:id="14543976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87A6BA-823B-430C-BD5C-63E66D18F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950</Words>
  <Characters>5421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Alecks Denis</dc:creator>
  <cp:keywords/>
  <dc:description/>
  <cp:lastModifiedBy>Denis Buzdugan (2130036)</cp:lastModifiedBy>
  <cp:revision>4</cp:revision>
  <dcterms:created xsi:type="dcterms:W3CDTF">2023-01-31T09:16:00Z</dcterms:created>
  <dcterms:modified xsi:type="dcterms:W3CDTF">2023-01-31T09:17:00Z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952466aeb004e235b0826935a3598b4c86e7f1cd5850b9fdc7053edc961e40e8</vt:lpwstr>
  </property>
</Properties>
</file>