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3E48E5" w14:textId="67441AD7" w:rsidR="0094646C" w:rsidRDefault="0094646C">
      <w:bookmarkStart w:id="0" w:name="_Hlk119591039"/>
      <w:bookmarkEnd w:id="0"/>
    </w:p>
    <w:p w14:paraId="3AC68BAA" w14:textId="6DE8BF43" w:rsidR="00E143D0" w:rsidRDefault="00E143D0"/>
    <w:p w14:paraId="14FE6A9F" w14:textId="7F4D2435" w:rsidR="00E143D0" w:rsidRDefault="00E143D0"/>
    <w:p w14:paraId="4D730C46" w14:textId="51AABF8E" w:rsidR="00E143D0" w:rsidRDefault="00E143D0"/>
    <w:p w14:paraId="1E839A88" w14:textId="39CC151E" w:rsidR="00E143D0" w:rsidRDefault="00E143D0"/>
    <w:p w14:paraId="65530533" w14:textId="598F47CE" w:rsidR="00E143D0" w:rsidRDefault="00E143D0" w:rsidP="00E143D0">
      <w:pPr>
        <w:pStyle w:val="Title"/>
        <w:jc w:val="center"/>
      </w:pPr>
      <w:r>
        <w:t>Assignment 2: Marriott International</w:t>
      </w:r>
    </w:p>
    <w:p w14:paraId="2E10F3C5" w14:textId="77777777" w:rsidR="00C26B5C" w:rsidRPr="00C26B5C" w:rsidRDefault="00C26B5C" w:rsidP="00C26B5C"/>
    <w:p w14:paraId="1373748B" w14:textId="589E883C" w:rsidR="00E143D0" w:rsidRPr="00C26B5C" w:rsidRDefault="00E143D0" w:rsidP="00E143D0">
      <w:pPr>
        <w:jc w:val="center"/>
        <w:rPr>
          <w:b/>
          <w:i/>
          <w:iCs/>
          <w:sz w:val="32"/>
        </w:rPr>
      </w:pPr>
      <w:r w:rsidRPr="00C26B5C">
        <w:rPr>
          <w:b/>
          <w:i/>
          <w:iCs/>
          <w:sz w:val="32"/>
        </w:rPr>
        <w:t>(A Study on the Evaluation of the Financial Performance Analysis of the US Hotel Group)</w:t>
      </w:r>
    </w:p>
    <w:p w14:paraId="7FCDF474" w14:textId="1B27F1AA" w:rsidR="00E143D0" w:rsidRDefault="00E143D0"/>
    <w:p w14:paraId="666ED368" w14:textId="44B13604" w:rsidR="00E143D0" w:rsidRDefault="00E143D0"/>
    <w:p w14:paraId="5D720D3F" w14:textId="7B7302E6" w:rsidR="00E143D0" w:rsidRDefault="00E143D0"/>
    <w:p w14:paraId="064329AB" w14:textId="4C09CE66" w:rsidR="00E143D0" w:rsidRDefault="00C91E8C">
      <w:pPr>
        <w:rPr>
          <w:sz w:val="32"/>
          <w:szCs w:val="32"/>
          <w:lang w:val="nl-NL"/>
        </w:rPr>
      </w:pPr>
      <w:r w:rsidRPr="00C91E8C">
        <w:rPr>
          <w:sz w:val="32"/>
          <w:szCs w:val="32"/>
          <w:lang w:val="nl-NL"/>
        </w:rPr>
        <w:t>Student name: Gheorghe Bogdan Il</w:t>
      </w:r>
      <w:r>
        <w:rPr>
          <w:sz w:val="32"/>
          <w:szCs w:val="32"/>
          <w:lang w:val="nl-NL"/>
        </w:rPr>
        <w:t>ies</w:t>
      </w:r>
    </w:p>
    <w:p w14:paraId="2F3FEC28" w14:textId="2FED80F8" w:rsidR="00C91E8C" w:rsidRDefault="00C91E8C">
      <w:pPr>
        <w:rPr>
          <w:sz w:val="32"/>
          <w:szCs w:val="32"/>
          <w:lang w:val="nl-NL"/>
        </w:rPr>
      </w:pPr>
      <w:r>
        <w:rPr>
          <w:sz w:val="32"/>
          <w:szCs w:val="32"/>
          <w:lang w:val="nl-NL"/>
        </w:rPr>
        <w:t>Student code: 2025668</w:t>
      </w:r>
    </w:p>
    <w:p w14:paraId="0514B17C" w14:textId="4C24E256" w:rsidR="00C91E8C" w:rsidRDefault="00C91E8C">
      <w:pPr>
        <w:rPr>
          <w:sz w:val="32"/>
          <w:szCs w:val="32"/>
          <w:lang w:val="nl-NL"/>
        </w:rPr>
      </w:pPr>
      <w:r>
        <w:rPr>
          <w:sz w:val="32"/>
          <w:szCs w:val="32"/>
          <w:lang w:val="nl-NL"/>
        </w:rPr>
        <w:t>Module code: BMIH5007</w:t>
      </w:r>
    </w:p>
    <w:p w14:paraId="3E0BD8E1" w14:textId="29DE7DF6" w:rsidR="00C91E8C" w:rsidRDefault="00C91E8C">
      <w:pPr>
        <w:rPr>
          <w:sz w:val="32"/>
          <w:szCs w:val="32"/>
          <w:lang w:val="nl-NL"/>
        </w:rPr>
      </w:pPr>
      <w:r>
        <w:rPr>
          <w:sz w:val="32"/>
          <w:szCs w:val="32"/>
          <w:lang w:val="nl-NL"/>
        </w:rPr>
        <w:t>Module name: Financial Management</w:t>
      </w:r>
    </w:p>
    <w:p w14:paraId="57931005" w14:textId="2EE616EA" w:rsidR="00C91E8C" w:rsidRPr="00C91E8C" w:rsidRDefault="00C91E8C">
      <w:pPr>
        <w:rPr>
          <w:sz w:val="32"/>
          <w:szCs w:val="32"/>
          <w:lang w:val="nl-NL"/>
        </w:rPr>
      </w:pPr>
      <w:r>
        <w:rPr>
          <w:sz w:val="32"/>
          <w:szCs w:val="32"/>
          <w:lang w:val="nl-NL"/>
        </w:rPr>
        <w:t>Lecturer name: Dale Clarke</w:t>
      </w:r>
    </w:p>
    <w:p w14:paraId="405F0BE0" w14:textId="19575862" w:rsidR="00E143D0" w:rsidRPr="00C91E8C" w:rsidRDefault="00E143D0">
      <w:pPr>
        <w:rPr>
          <w:lang w:val="nl-NL"/>
        </w:rPr>
      </w:pPr>
    </w:p>
    <w:p w14:paraId="46E6706F" w14:textId="11741B15" w:rsidR="00E143D0" w:rsidRPr="00C91E8C" w:rsidRDefault="00E143D0">
      <w:pPr>
        <w:rPr>
          <w:lang w:val="nl-NL"/>
        </w:rPr>
      </w:pPr>
    </w:p>
    <w:p w14:paraId="2E3FB66B" w14:textId="5D45ECC7" w:rsidR="00E143D0" w:rsidRPr="00C91E8C" w:rsidRDefault="00E143D0">
      <w:pPr>
        <w:rPr>
          <w:lang w:val="nl-NL"/>
        </w:rPr>
      </w:pPr>
    </w:p>
    <w:p w14:paraId="5E997A30" w14:textId="40F172DB" w:rsidR="00E143D0" w:rsidRPr="00C91E8C" w:rsidRDefault="00E143D0">
      <w:pPr>
        <w:rPr>
          <w:lang w:val="nl-NL"/>
        </w:rPr>
      </w:pPr>
    </w:p>
    <w:p w14:paraId="09D01939" w14:textId="0F645522" w:rsidR="00E143D0" w:rsidRPr="00C91E8C" w:rsidRDefault="00E143D0">
      <w:pPr>
        <w:rPr>
          <w:lang w:val="nl-NL"/>
        </w:rPr>
      </w:pPr>
    </w:p>
    <w:p w14:paraId="1722C063" w14:textId="2B3B50EF" w:rsidR="00E143D0" w:rsidRPr="00C91E8C" w:rsidRDefault="00E143D0">
      <w:pPr>
        <w:rPr>
          <w:lang w:val="nl-NL"/>
        </w:rPr>
      </w:pPr>
    </w:p>
    <w:p w14:paraId="1D9CB8CB" w14:textId="206A00AA" w:rsidR="00E143D0" w:rsidRPr="00C91E8C" w:rsidRDefault="00E143D0">
      <w:pPr>
        <w:rPr>
          <w:lang w:val="nl-NL"/>
        </w:rPr>
      </w:pPr>
    </w:p>
    <w:p w14:paraId="1DA84716" w14:textId="5BBBDBDA" w:rsidR="00E143D0" w:rsidRPr="00C91E8C" w:rsidRDefault="00E143D0">
      <w:pPr>
        <w:rPr>
          <w:lang w:val="nl-NL"/>
        </w:rPr>
      </w:pPr>
    </w:p>
    <w:p w14:paraId="50EE1143" w14:textId="581913BA" w:rsidR="00E143D0" w:rsidRPr="00C91E8C" w:rsidRDefault="00E143D0">
      <w:pPr>
        <w:rPr>
          <w:lang w:val="nl-NL"/>
        </w:rPr>
      </w:pPr>
    </w:p>
    <w:p w14:paraId="55169EFC" w14:textId="5FDE1046" w:rsidR="00E143D0" w:rsidRPr="00C91E8C" w:rsidRDefault="00E143D0">
      <w:pPr>
        <w:rPr>
          <w:lang w:val="nl-NL"/>
        </w:rPr>
      </w:pPr>
    </w:p>
    <w:p w14:paraId="65232864" w14:textId="10D171CD" w:rsidR="00E143D0" w:rsidRPr="00C91E8C" w:rsidRDefault="00E143D0">
      <w:pPr>
        <w:rPr>
          <w:lang w:val="nl-NL"/>
        </w:rPr>
      </w:pPr>
    </w:p>
    <w:p w14:paraId="353A304D" w14:textId="6BF9C066" w:rsidR="00E143D0" w:rsidRPr="00C26B5C" w:rsidRDefault="00A6470E">
      <w:pPr>
        <w:rPr>
          <w:b/>
          <w:bCs/>
          <w:sz w:val="28"/>
        </w:rPr>
      </w:pPr>
      <w:r w:rsidRPr="00C26B5C">
        <w:rPr>
          <w:b/>
          <w:bCs/>
          <w:sz w:val="28"/>
        </w:rPr>
        <w:t>Executive Summary</w:t>
      </w:r>
    </w:p>
    <w:p w14:paraId="21B725CA" w14:textId="45F775DF" w:rsidR="00E143D0" w:rsidRDefault="00635D6C">
      <w:r>
        <w:t>Financial performance analysis refers to the analytical process with the support of which the economic competence of an organi</w:t>
      </w:r>
      <w:r w:rsidR="00C26B5C">
        <w:t>s</w:t>
      </w:r>
      <w:r>
        <w:t>ation for a given fiscal period in terms of revenue generation, liquidity, efficiency and solvency management is quantitatively assessed. The assignment is about the evaluation of the financial performance of Marriott International, a US</w:t>
      </w:r>
      <w:r w:rsidR="00C26B5C">
        <w:t>-</w:t>
      </w:r>
      <w:r>
        <w:t>based hotel service</w:t>
      </w:r>
      <w:r w:rsidR="00C26B5C">
        <w:t>-</w:t>
      </w:r>
      <w:r>
        <w:t>providing company, for 2020 and 2021 so that corrective action might be recommended. The financial performance of Marriott International is found with a progressive trend moving from 2020 to 2021 in terms of liquidity and profitability management</w:t>
      </w:r>
      <w:r w:rsidR="00C26B5C">
        <w:t>,</w:t>
      </w:r>
      <w:r>
        <w:t xml:space="preserve"> but a marginal decline in terms of debt-equity optimi</w:t>
      </w:r>
      <w:r w:rsidR="00C26B5C">
        <w:t>s</w:t>
      </w:r>
      <w:r>
        <w:t>ation is noticed.</w:t>
      </w:r>
    </w:p>
    <w:p w14:paraId="264F1C3B" w14:textId="43FAD315" w:rsidR="00E143D0" w:rsidRDefault="00E143D0"/>
    <w:p w14:paraId="0880A9B2" w14:textId="4AFAB5B4" w:rsidR="00E143D0" w:rsidRDefault="00E143D0"/>
    <w:p w14:paraId="0F19A265" w14:textId="6577B4A9" w:rsidR="00E143D0" w:rsidRDefault="00E143D0"/>
    <w:p w14:paraId="3C5AAB89" w14:textId="7D736F12" w:rsidR="00E143D0" w:rsidRDefault="00E143D0"/>
    <w:p w14:paraId="5079109B" w14:textId="4F7EE8F1" w:rsidR="00E143D0" w:rsidRDefault="00E143D0"/>
    <w:p w14:paraId="52BB4F33" w14:textId="76DA35B6" w:rsidR="00E143D0" w:rsidRDefault="00E143D0"/>
    <w:p w14:paraId="2C4B6D52" w14:textId="64ADB356" w:rsidR="00E143D0" w:rsidRDefault="00E143D0"/>
    <w:p w14:paraId="76C5CE32" w14:textId="1D8439D8" w:rsidR="00E143D0" w:rsidRDefault="00E143D0"/>
    <w:p w14:paraId="74ABD9AC" w14:textId="7FCAA340" w:rsidR="00E143D0" w:rsidRDefault="00E143D0"/>
    <w:p w14:paraId="1BE5D38D" w14:textId="5AF18118" w:rsidR="00E143D0" w:rsidRDefault="00E143D0"/>
    <w:p w14:paraId="7DF24A62" w14:textId="531C9B8B" w:rsidR="00E143D0" w:rsidRDefault="00E143D0"/>
    <w:p w14:paraId="0B880CC6" w14:textId="7D5EC345" w:rsidR="00E143D0" w:rsidRDefault="00E143D0"/>
    <w:p w14:paraId="377628E0" w14:textId="4B0AE820" w:rsidR="00E143D0" w:rsidRDefault="00E143D0"/>
    <w:p w14:paraId="7C77E9CA" w14:textId="1F50E63E" w:rsidR="00E143D0" w:rsidRDefault="00E143D0"/>
    <w:p w14:paraId="7D9D95BD" w14:textId="21865CDD" w:rsidR="00E143D0" w:rsidRDefault="00E143D0"/>
    <w:p w14:paraId="3AA53EA9" w14:textId="7061B1F5" w:rsidR="00E143D0" w:rsidRDefault="00E143D0"/>
    <w:p w14:paraId="6EF4F8AA" w14:textId="46F48AEB" w:rsidR="00E143D0" w:rsidRDefault="00E143D0"/>
    <w:sdt>
      <w:sdtPr>
        <w:rPr>
          <w:rFonts w:ascii="Times New Roman" w:eastAsiaTheme="minorHAnsi" w:hAnsi="Times New Roman" w:cstheme="minorBidi"/>
          <w:color w:val="auto"/>
          <w:sz w:val="24"/>
          <w:szCs w:val="28"/>
          <w:lang w:val="en-IN" w:bidi="th-TH"/>
        </w:rPr>
        <w:id w:val="1973095147"/>
        <w:docPartObj>
          <w:docPartGallery w:val="Table of Contents"/>
          <w:docPartUnique/>
        </w:docPartObj>
      </w:sdtPr>
      <w:sdtEndPr>
        <w:rPr>
          <w:b/>
          <w:bCs/>
          <w:noProof/>
        </w:rPr>
      </w:sdtEndPr>
      <w:sdtContent>
        <w:p w14:paraId="258F0515" w14:textId="41CB9988" w:rsidR="00A6470E" w:rsidRDefault="00A6470E">
          <w:pPr>
            <w:pStyle w:val="TOCHeading"/>
          </w:pPr>
          <w:r>
            <w:t>Table of Contents</w:t>
          </w:r>
        </w:p>
        <w:p w14:paraId="73616222" w14:textId="77777777" w:rsidR="00C26B5C" w:rsidRDefault="003E4280">
          <w:pPr>
            <w:pStyle w:val="TOC1"/>
            <w:tabs>
              <w:tab w:val="right" w:leader="dot" w:pos="9016"/>
            </w:tabs>
            <w:rPr>
              <w:rFonts w:asciiTheme="minorHAnsi" w:eastAsiaTheme="minorEastAsia" w:hAnsiTheme="minorHAnsi"/>
              <w:noProof/>
              <w:sz w:val="22"/>
              <w:szCs w:val="22"/>
              <w:lang w:eastAsia="en-IN" w:bidi="ar-SA"/>
            </w:rPr>
          </w:pPr>
          <w:r>
            <w:fldChar w:fldCharType="begin"/>
          </w:r>
          <w:r>
            <w:instrText xml:space="preserve"> TOC \o "1-3" \h \z \u </w:instrText>
          </w:r>
          <w:r>
            <w:fldChar w:fldCharType="separate"/>
          </w:r>
          <w:hyperlink w:anchor="_Toc119596434" w:history="1">
            <w:r w:rsidR="00C26B5C" w:rsidRPr="009C331A">
              <w:rPr>
                <w:rStyle w:val="Hyperlink"/>
                <w:noProof/>
              </w:rPr>
              <w:t>Introduction</w:t>
            </w:r>
            <w:r w:rsidR="00C26B5C">
              <w:rPr>
                <w:noProof/>
                <w:webHidden/>
              </w:rPr>
              <w:tab/>
            </w:r>
            <w:r w:rsidR="00C26B5C">
              <w:rPr>
                <w:noProof/>
                <w:webHidden/>
              </w:rPr>
              <w:fldChar w:fldCharType="begin"/>
            </w:r>
            <w:r w:rsidR="00C26B5C">
              <w:rPr>
                <w:noProof/>
                <w:webHidden/>
              </w:rPr>
              <w:instrText xml:space="preserve"> PAGEREF _Toc119596434 \h </w:instrText>
            </w:r>
            <w:r w:rsidR="00C26B5C">
              <w:rPr>
                <w:noProof/>
                <w:webHidden/>
              </w:rPr>
            </w:r>
            <w:r w:rsidR="00C26B5C">
              <w:rPr>
                <w:noProof/>
                <w:webHidden/>
              </w:rPr>
              <w:fldChar w:fldCharType="separate"/>
            </w:r>
            <w:r w:rsidR="00C26B5C">
              <w:rPr>
                <w:noProof/>
                <w:webHidden/>
              </w:rPr>
              <w:t>4</w:t>
            </w:r>
            <w:r w:rsidR="00C26B5C">
              <w:rPr>
                <w:noProof/>
                <w:webHidden/>
              </w:rPr>
              <w:fldChar w:fldCharType="end"/>
            </w:r>
          </w:hyperlink>
        </w:p>
        <w:p w14:paraId="79FEAEE1" w14:textId="77777777" w:rsidR="00C26B5C" w:rsidRDefault="00000000">
          <w:pPr>
            <w:pStyle w:val="TOC1"/>
            <w:tabs>
              <w:tab w:val="right" w:leader="dot" w:pos="9016"/>
            </w:tabs>
            <w:rPr>
              <w:rFonts w:asciiTheme="minorHAnsi" w:eastAsiaTheme="minorEastAsia" w:hAnsiTheme="minorHAnsi"/>
              <w:noProof/>
              <w:sz w:val="22"/>
              <w:szCs w:val="22"/>
              <w:lang w:eastAsia="en-IN" w:bidi="ar-SA"/>
            </w:rPr>
          </w:pPr>
          <w:hyperlink w:anchor="_Toc119596435" w:history="1">
            <w:r w:rsidR="00C26B5C" w:rsidRPr="009C331A">
              <w:rPr>
                <w:rStyle w:val="Hyperlink"/>
                <w:noProof/>
              </w:rPr>
              <w:t>Financial Performance Evaluation Trend</w:t>
            </w:r>
            <w:r w:rsidR="00C26B5C">
              <w:rPr>
                <w:noProof/>
                <w:webHidden/>
              </w:rPr>
              <w:tab/>
            </w:r>
            <w:r w:rsidR="00C26B5C">
              <w:rPr>
                <w:noProof/>
                <w:webHidden/>
              </w:rPr>
              <w:fldChar w:fldCharType="begin"/>
            </w:r>
            <w:r w:rsidR="00C26B5C">
              <w:rPr>
                <w:noProof/>
                <w:webHidden/>
              </w:rPr>
              <w:instrText xml:space="preserve"> PAGEREF _Toc119596435 \h </w:instrText>
            </w:r>
            <w:r w:rsidR="00C26B5C">
              <w:rPr>
                <w:noProof/>
                <w:webHidden/>
              </w:rPr>
            </w:r>
            <w:r w:rsidR="00C26B5C">
              <w:rPr>
                <w:noProof/>
                <w:webHidden/>
              </w:rPr>
              <w:fldChar w:fldCharType="separate"/>
            </w:r>
            <w:r w:rsidR="00C26B5C">
              <w:rPr>
                <w:noProof/>
                <w:webHidden/>
              </w:rPr>
              <w:t>4</w:t>
            </w:r>
            <w:r w:rsidR="00C26B5C">
              <w:rPr>
                <w:noProof/>
                <w:webHidden/>
              </w:rPr>
              <w:fldChar w:fldCharType="end"/>
            </w:r>
          </w:hyperlink>
        </w:p>
        <w:p w14:paraId="3A87E9BF" w14:textId="77777777" w:rsidR="00C26B5C" w:rsidRDefault="00000000">
          <w:pPr>
            <w:pStyle w:val="TOC2"/>
            <w:tabs>
              <w:tab w:val="right" w:leader="dot" w:pos="9016"/>
            </w:tabs>
            <w:rPr>
              <w:rFonts w:asciiTheme="minorHAnsi" w:eastAsiaTheme="minorEastAsia" w:hAnsiTheme="minorHAnsi"/>
              <w:noProof/>
              <w:sz w:val="22"/>
              <w:szCs w:val="22"/>
              <w:lang w:eastAsia="en-IN" w:bidi="ar-SA"/>
            </w:rPr>
          </w:pPr>
          <w:hyperlink w:anchor="_Toc119596436" w:history="1">
            <w:r w:rsidR="00C26B5C" w:rsidRPr="009C331A">
              <w:rPr>
                <w:rStyle w:val="Hyperlink"/>
                <w:noProof/>
              </w:rPr>
              <w:t>Profitability</w:t>
            </w:r>
            <w:r w:rsidR="00C26B5C">
              <w:rPr>
                <w:noProof/>
                <w:webHidden/>
              </w:rPr>
              <w:tab/>
            </w:r>
            <w:r w:rsidR="00C26B5C">
              <w:rPr>
                <w:noProof/>
                <w:webHidden/>
              </w:rPr>
              <w:fldChar w:fldCharType="begin"/>
            </w:r>
            <w:r w:rsidR="00C26B5C">
              <w:rPr>
                <w:noProof/>
                <w:webHidden/>
              </w:rPr>
              <w:instrText xml:space="preserve"> PAGEREF _Toc119596436 \h </w:instrText>
            </w:r>
            <w:r w:rsidR="00C26B5C">
              <w:rPr>
                <w:noProof/>
                <w:webHidden/>
              </w:rPr>
            </w:r>
            <w:r w:rsidR="00C26B5C">
              <w:rPr>
                <w:noProof/>
                <w:webHidden/>
              </w:rPr>
              <w:fldChar w:fldCharType="separate"/>
            </w:r>
            <w:r w:rsidR="00C26B5C">
              <w:rPr>
                <w:noProof/>
                <w:webHidden/>
              </w:rPr>
              <w:t>5</w:t>
            </w:r>
            <w:r w:rsidR="00C26B5C">
              <w:rPr>
                <w:noProof/>
                <w:webHidden/>
              </w:rPr>
              <w:fldChar w:fldCharType="end"/>
            </w:r>
          </w:hyperlink>
        </w:p>
        <w:p w14:paraId="0B1F0F8B" w14:textId="77777777" w:rsidR="00C26B5C" w:rsidRDefault="00000000">
          <w:pPr>
            <w:pStyle w:val="TOC2"/>
            <w:tabs>
              <w:tab w:val="right" w:leader="dot" w:pos="9016"/>
            </w:tabs>
            <w:rPr>
              <w:rFonts w:asciiTheme="minorHAnsi" w:eastAsiaTheme="minorEastAsia" w:hAnsiTheme="minorHAnsi"/>
              <w:noProof/>
              <w:sz w:val="22"/>
              <w:szCs w:val="22"/>
              <w:lang w:eastAsia="en-IN" w:bidi="ar-SA"/>
            </w:rPr>
          </w:pPr>
          <w:hyperlink w:anchor="_Toc119596437" w:history="1">
            <w:r w:rsidR="00C26B5C" w:rsidRPr="009C331A">
              <w:rPr>
                <w:rStyle w:val="Hyperlink"/>
                <w:noProof/>
              </w:rPr>
              <w:t>Liquidity</w:t>
            </w:r>
            <w:r w:rsidR="00C26B5C">
              <w:rPr>
                <w:noProof/>
                <w:webHidden/>
              </w:rPr>
              <w:tab/>
            </w:r>
            <w:r w:rsidR="00C26B5C">
              <w:rPr>
                <w:noProof/>
                <w:webHidden/>
              </w:rPr>
              <w:fldChar w:fldCharType="begin"/>
            </w:r>
            <w:r w:rsidR="00C26B5C">
              <w:rPr>
                <w:noProof/>
                <w:webHidden/>
              </w:rPr>
              <w:instrText xml:space="preserve"> PAGEREF _Toc119596437 \h </w:instrText>
            </w:r>
            <w:r w:rsidR="00C26B5C">
              <w:rPr>
                <w:noProof/>
                <w:webHidden/>
              </w:rPr>
            </w:r>
            <w:r w:rsidR="00C26B5C">
              <w:rPr>
                <w:noProof/>
                <w:webHidden/>
              </w:rPr>
              <w:fldChar w:fldCharType="separate"/>
            </w:r>
            <w:r w:rsidR="00C26B5C">
              <w:rPr>
                <w:noProof/>
                <w:webHidden/>
              </w:rPr>
              <w:t>9</w:t>
            </w:r>
            <w:r w:rsidR="00C26B5C">
              <w:rPr>
                <w:noProof/>
                <w:webHidden/>
              </w:rPr>
              <w:fldChar w:fldCharType="end"/>
            </w:r>
          </w:hyperlink>
        </w:p>
        <w:p w14:paraId="41A40217" w14:textId="77777777" w:rsidR="00C26B5C" w:rsidRDefault="00000000">
          <w:pPr>
            <w:pStyle w:val="TOC2"/>
            <w:tabs>
              <w:tab w:val="right" w:leader="dot" w:pos="9016"/>
            </w:tabs>
            <w:rPr>
              <w:rFonts w:asciiTheme="minorHAnsi" w:eastAsiaTheme="minorEastAsia" w:hAnsiTheme="minorHAnsi"/>
              <w:noProof/>
              <w:sz w:val="22"/>
              <w:szCs w:val="22"/>
              <w:lang w:eastAsia="en-IN" w:bidi="ar-SA"/>
            </w:rPr>
          </w:pPr>
          <w:hyperlink w:anchor="_Toc119596438" w:history="1">
            <w:r w:rsidR="00C26B5C" w:rsidRPr="009C331A">
              <w:rPr>
                <w:rStyle w:val="Hyperlink"/>
                <w:noProof/>
              </w:rPr>
              <w:t>Gearing</w:t>
            </w:r>
            <w:r w:rsidR="00C26B5C">
              <w:rPr>
                <w:noProof/>
                <w:webHidden/>
              </w:rPr>
              <w:tab/>
            </w:r>
            <w:r w:rsidR="00C26B5C">
              <w:rPr>
                <w:noProof/>
                <w:webHidden/>
              </w:rPr>
              <w:fldChar w:fldCharType="begin"/>
            </w:r>
            <w:r w:rsidR="00C26B5C">
              <w:rPr>
                <w:noProof/>
                <w:webHidden/>
              </w:rPr>
              <w:instrText xml:space="preserve"> PAGEREF _Toc119596438 \h </w:instrText>
            </w:r>
            <w:r w:rsidR="00C26B5C">
              <w:rPr>
                <w:noProof/>
                <w:webHidden/>
              </w:rPr>
            </w:r>
            <w:r w:rsidR="00C26B5C">
              <w:rPr>
                <w:noProof/>
                <w:webHidden/>
              </w:rPr>
              <w:fldChar w:fldCharType="separate"/>
            </w:r>
            <w:r w:rsidR="00C26B5C">
              <w:rPr>
                <w:noProof/>
                <w:webHidden/>
              </w:rPr>
              <w:t>10</w:t>
            </w:r>
            <w:r w:rsidR="00C26B5C">
              <w:rPr>
                <w:noProof/>
                <w:webHidden/>
              </w:rPr>
              <w:fldChar w:fldCharType="end"/>
            </w:r>
          </w:hyperlink>
        </w:p>
        <w:p w14:paraId="4BF107D8" w14:textId="77777777" w:rsidR="00C26B5C" w:rsidRDefault="00000000">
          <w:pPr>
            <w:pStyle w:val="TOC1"/>
            <w:tabs>
              <w:tab w:val="right" w:leader="dot" w:pos="9016"/>
            </w:tabs>
            <w:rPr>
              <w:rFonts w:asciiTheme="minorHAnsi" w:eastAsiaTheme="minorEastAsia" w:hAnsiTheme="minorHAnsi"/>
              <w:noProof/>
              <w:sz w:val="22"/>
              <w:szCs w:val="22"/>
              <w:lang w:eastAsia="en-IN" w:bidi="ar-SA"/>
            </w:rPr>
          </w:pPr>
          <w:hyperlink w:anchor="_Toc119596439" w:history="1">
            <w:r w:rsidR="00C26B5C" w:rsidRPr="009C331A">
              <w:rPr>
                <w:rStyle w:val="Hyperlink"/>
                <w:noProof/>
              </w:rPr>
              <w:t>Inferences from the Ratio Analysis</w:t>
            </w:r>
            <w:r w:rsidR="00C26B5C">
              <w:rPr>
                <w:noProof/>
                <w:webHidden/>
              </w:rPr>
              <w:tab/>
            </w:r>
            <w:r w:rsidR="00C26B5C">
              <w:rPr>
                <w:noProof/>
                <w:webHidden/>
              </w:rPr>
              <w:fldChar w:fldCharType="begin"/>
            </w:r>
            <w:r w:rsidR="00C26B5C">
              <w:rPr>
                <w:noProof/>
                <w:webHidden/>
              </w:rPr>
              <w:instrText xml:space="preserve"> PAGEREF _Toc119596439 \h </w:instrText>
            </w:r>
            <w:r w:rsidR="00C26B5C">
              <w:rPr>
                <w:noProof/>
                <w:webHidden/>
              </w:rPr>
            </w:r>
            <w:r w:rsidR="00C26B5C">
              <w:rPr>
                <w:noProof/>
                <w:webHidden/>
              </w:rPr>
              <w:fldChar w:fldCharType="separate"/>
            </w:r>
            <w:r w:rsidR="00C26B5C">
              <w:rPr>
                <w:noProof/>
                <w:webHidden/>
              </w:rPr>
              <w:t>11</w:t>
            </w:r>
            <w:r w:rsidR="00C26B5C">
              <w:rPr>
                <w:noProof/>
                <w:webHidden/>
              </w:rPr>
              <w:fldChar w:fldCharType="end"/>
            </w:r>
          </w:hyperlink>
        </w:p>
        <w:p w14:paraId="78C6BAFD" w14:textId="77777777" w:rsidR="00C26B5C" w:rsidRDefault="00000000">
          <w:pPr>
            <w:pStyle w:val="TOC1"/>
            <w:tabs>
              <w:tab w:val="right" w:leader="dot" w:pos="9016"/>
            </w:tabs>
            <w:rPr>
              <w:rFonts w:asciiTheme="minorHAnsi" w:eastAsiaTheme="minorEastAsia" w:hAnsiTheme="minorHAnsi"/>
              <w:noProof/>
              <w:sz w:val="22"/>
              <w:szCs w:val="22"/>
              <w:lang w:eastAsia="en-IN" w:bidi="ar-SA"/>
            </w:rPr>
          </w:pPr>
          <w:hyperlink w:anchor="_Toc119596440" w:history="1">
            <w:r w:rsidR="00C26B5C" w:rsidRPr="009C331A">
              <w:rPr>
                <w:rStyle w:val="Hyperlink"/>
                <w:noProof/>
              </w:rPr>
              <w:t>Advantages and Limitations of Accounting Ratios</w:t>
            </w:r>
            <w:r w:rsidR="00C26B5C">
              <w:rPr>
                <w:noProof/>
                <w:webHidden/>
              </w:rPr>
              <w:tab/>
            </w:r>
            <w:r w:rsidR="00C26B5C">
              <w:rPr>
                <w:noProof/>
                <w:webHidden/>
              </w:rPr>
              <w:fldChar w:fldCharType="begin"/>
            </w:r>
            <w:r w:rsidR="00C26B5C">
              <w:rPr>
                <w:noProof/>
                <w:webHidden/>
              </w:rPr>
              <w:instrText xml:space="preserve"> PAGEREF _Toc119596440 \h </w:instrText>
            </w:r>
            <w:r w:rsidR="00C26B5C">
              <w:rPr>
                <w:noProof/>
                <w:webHidden/>
              </w:rPr>
            </w:r>
            <w:r w:rsidR="00C26B5C">
              <w:rPr>
                <w:noProof/>
                <w:webHidden/>
              </w:rPr>
              <w:fldChar w:fldCharType="separate"/>
            </w:r>
            <w:r w:rsidR="00C26B5C">
              <w:rPr>
                <w:noProof/>
                <w:webHidden/>
              </w:rPr>
              <w:t>12</w:t>
            </w:r>
            <w:r w:rsidR="00C26B5C">
              <w:rPr>
                <w:noProof/>
                <w:webHidden/>
              </w:rPr>
              <w:fldChar w:fldCharType="end"/>
            </w:r>
          </w:hyperlink>
        </w:p>
        <w:p w14:paraId="7B006DB9" w14:textId="77777777" w:rsidR="00C26B5C" w:rsidRDefault="00000000">
          <w:pPr>
            <w:pStyle w:val="TOC1"/>
            <w:tabs>
              <w:tab w:val="right" w:leader="dot" w:pos="9016"/>
            </w:tabs>
            <w:rPr>
              <w:rFonts w:asciiTheme="minorHAnsi" w:eastAsiaTheme="minorEastAsia" w:hAnsiTheme="minorHAnsi"/>
              <w:noProof/>
              <w:sz w:val="22"/>
              <w:szCs w:val="22"/>
              <w:lang w:eastAsia="en-IN" w:bidi="ar-SA"/>
            </w:rPr>
          </w:pPr>
          <w:hyperlink w:anchor="_Toc119596441" w:history="1">
            <w:r w:rsidR="00C26B5C" w:rsidRPr="009C331A">
              <w:rPr>
                <w:rStyle w:val="Hyperlink"/>
                <w:noProof/>
              </w:rPr>
              <w:t>Conclusion</w:t>
            </w:r>
            <w:r w:rsidR="00C26B5C">
              <w:rPr>
                <w:noProof/>
                <w:webHidden/>
              </w:rPr>
              <w:tab/>
            </w:r>
            <w:r w:rsidR="00C26B5C">
              <w:rPr>
                <w:noProof/>
                <w:webHidden/>
              </w:rPr>
              <w:fldChar w:fldCharType="begin"/>
            </w:r>
            <w:r w:rsidR="00C26B5C">
              <w:rPr>
                <w:noProof/>
                <w:webHidden/>
              </w:rPr>
              <w:instrText xml:space="preserve"> PAGEREF _Toc119596441 \h </w:instrText>
            </w:r>
            <w:r w:rsidR="00C26B5C">
              <w:rPr>
                <w:noProof/>
                <w:webHidden/>
              </w:rPr>
            </w:r>
            <w:r w:rsidR="00C26B5C">
              <w:rPr>
                <w:noProof/>
                <w:webHidden/>
              </w:rPr>
              <w:fldChar w:fldCharType="separate"/>
            </w:r>
            <w:r w:rsidR="00C26B5C">
              <w:rPr>
                <w:noProof/>
                <w:webHidden/>
              </w:rPr>
              <w:t>12</w:t>
            </w:r>
            <w:r w:rsidR="00C26B5C">
              <w:rPr>
                <w:noProof/>
                <w:webHidden/>
              </w:rPr>
              <w:fldChar w:fldCharType="end"/>
            </w:r>
          </w:hyperlink>
        </w:p>
        <w:p w14:paraId="5A7E4F1C" w14:textId="77777777" w:rsidR="00C26B5C" w:rsidRDefault="00000000">
          <w:pPr>
            <w:pStyle w:val="TOC1"/>
            <w:tabs>
              <w:tab w:val="right" w:leader="dot" w:pos="9016"/>
            </w:tabs>
            <w:rPr>
              <w:rFonts w:asciiTheme="minorHAnsi" w:eastAsiaTheme="minorEastAsia" w:hAnsiTheme="minorHAnsi"/>
              <w:noProof/>
              <w:sz w:val="22"/>
              <w:szCs w:val="22"/>
              <w:lang w:eastAsia="en-IN" w:bidi="ar-SA"/>
            </w:rPr>
          </w:pPr>
          <w:hyperlink w:anchor="_Toc119596442" w:history="1">
            <w:r w:rsidR="00C26B5C" w:rsidRPr="009C331A">
              <w:rPr>
                <w:rStyle w:val="Hyperlink"/>
                <w:noProof/>
              </w:rPr>
              <w:t>References</w:t>
            </w:r>
            <w:r w:rsidR="00C26B5C">
              <w:rPr>
                <w:noProof/>
                <w:webHidden/>
              </w:rPr>
              <w:tab/>
            </w:r>
            <w:r w:rsidR="00C26B5C">
              <w:rPr>
                <w:noProof/>
                <w:webHidden/>
              </w:rPr>
              <w:fldChar w:fldCharType="begin"/>
            </w:r>
            <w:r w:rsidR="00C26B5C">
              <w:rPr>
                <w:noProof/>
                <w:webHidden/>
              </w:rPr>
              <w:instrText xml:space="preserve"> PAGEREF _Toc119596442 \h </w:instrText>
            </w:r>
            <w:r w:rsidR="00C26B5C">
              <w:rPr>
                <w:noProof/>
                <w:webHidden/>
              </w:rPr>
            </w:r>
            <w:r w:rsidR="00C26B5C">
              <w:rPr>
                <w:noProof/>
                <w:webHidden/>
              </w:rPr>
              <w:fldChar w:fldCharType="separate"/>
            </w:r>
            <w:r w:rsidR="00C26B5C">
              <w:rPr>
                <w:noProof/>
                <w:webHidden/>
              </w:rPr>
              <w:t>13</w:t>
            </w:r>
            <w:r w:rsidR="00C26B5C">
              <w:rPr>
                <w:noProof/>
                <w:webHidden/>
              </w:rPr>
              <w:fldChar w:fldCharType="end"/>
            </w:r>
          </w:hyperlink>
        </w:p>
        <w:p w14:paraId="7AC2BE2F" w14:textId="16C53D90" w:rsidR="00A6470E" w:rsidRDefault="003E4280">
          <w:r>
            <w:rPr>
              <w:b/>
              <w:bCs/>
              <w:noProof/>
              <w:lang w:val="en-US"/>
            </w:rPr>
            <w:fldChar w:fldCharType="end"/>
          </w:r>
        </w:p>
      </w:sdtContent>
    </w:sdt>
    <w:p w14:paraId="09FA9F06" w14:textId="6EB35BFB" w:rsidR="00E143D0" w:rsidRDefault="00E143D0"/>
    <w:p w14:paraId="71DC8BDD" w14:textId="34EE9BD7" w:rsidR="00E143D0" w:rsidRDefault="00E143D0"/>
    <w:p w14:paraId="40DD5901" w14:textId="06AC434C" w:rsidR="00E143D0" w:rsidRDefault="00E143D0"/>
    <w:p w14:paraId="199E7C79" w14:textId="7019FAD5" w:rsidR="00E143D0" w:rsidRDefault="00E143D0"/>
    <w:p w14:paraId="2FB8A528" w14:textId="59A4B909" w:rsidR="00E143D0" w:rsidRDefault="00E143D0"/>
    <w:p w14:paraId="1F5B6F61" w14:textId="11CC9F4D" w:rsidR="00E143D0" w:rsidRDefault="00E143D0"/>
    <w:p w14:paraId="72081640" w14:textId="3B4A87D1" w:rsidR="00E143D0" w:rsidRDefault="00E143D0"/>
    <w:p w14:paraId="35492C6D" w14:textId="533A20B9" w:rsidR="00E143D0" w:rsidRDefault="00E143D0"/>
    <w:p w14:paraId="78062BDA" w14:textId="1FCD3173" w:rsidR="00E143D0" w:rsidRDefault="00E143D0"/>
    <w:p w14:paraId="1DEEC7F2" w14:textId="6C79471C" w:rsidR="00E143D0" w:rsidRDefault="00E143D0"/>
    <w:p w14:paraId="03A9DFDB" w14:textId="26FD9094" w:rsidR="00E143D0" w:rsidRDefault="00E143D0"/>
    <w:p w14:paraId="68A04432" w14:textId="67652879" w:rsidR="00E143D0" w:rsidRDefault="00E143D0"/>
    <w:p w14:paraId="2ECEA2E5" w14:textId="484BE51C" w:rsidR="00E143D0" w:rsidRDefault="00E143D0"/>
    <w:p w14:paraId="22A14CAC" w14:textId="210732BC" w:rsidR="00E143D0" w:rsidRDefault="00E143D0"/>
    <w:p w14:paraId="2C321E61" w14:textId="19C43F0A" w:rsidR="00E143D0" w:rsidRDefault="00E143D0"/>
    <w:p w14:paraId="3BF22378" w14:textId="05A3A693" w:rsidR="00E143D0" w:rsidRDefault="00A6470E" w:rsidP="00EF325D">
      <w:pPr>
        <w:pStyle w:val="Heading1"/>
      </w:pPr>
      <w:bookmarkStart w:id="1" w:name="_Toc119596434"/>
      <w:r>
        <w:t>Introduction</w:t>
      </w:r>
      <w:bookmarkEnd w:id="1"/>
    </w:p>
    <w:p w14:paraId="777C572E" w14:textId="300E05B7" w:rsidR="00E143D0" w:rsidRDefault="002E6EF2">
      <w:r>
        <w:t xml:space="preserve">The first and foremost objective or purpose of the assignment is to </w:t>
      </w:r>
      <w:r w:rsidR="00790D70">
        <w:t>understand the financial competence of Marriott International for the fiscal year</w:t>
      </w:r>
      <w:r w:rsidR="00C26B5C">
        <w:t>s</w:t>
      </w:r>
      <w:r w:rsidR="00790D70">
        <w:t xml:space="preserve"> 2020 and 2021 so that corrective recommendation</w:t>
      </w:r>
      <w:r w:rsidR="00C26B5C">
        <w:t>s</w:t>
      </w:r>
      <w:r w:rsidR="00790D70">
        <w:t xml:space="preserve"> might be provided to its management. </w:t>
      </w:r>
      <w:r w:rsidR="00AC3843">
        <w:t>Marriott International</w:t>
      </w:r>
      <w:r w:rsidR="009F4F21">
        <w:t xml:space="preserve"> is a leading hotel service</w:t>
      </w:r>
      <w:r w:rsidR="00C26B5C">
        <w:t>-</w:t>
      </w:r>
      <w:r w:rsidR="009F4F21">
        <w:t xml:space="preserve">providing company </w:t>
      </w:r>
      <w:r w:rsidR="00C26B5C">
        <w:t>in</w:t>
      </w:r>
      <w:r w:rsidR="009F4F21">
        <w:t xml:space="preserve"> the United States (US)</w:t>
      </w:r>
      <w:r w:rsidR="00C26B5C">
        <w:t>,</w:t>
      </w:r>
      <w:r w:rsidR="009F4F21">
        <w:t xml:space="preserve"> and this was incorporated by Alice Marriott and J. Willard Marriott in 1927 in the centre of Washington</w:t>
      </w:r>
      <w:r w:rsidR="00C26B5C">
        <w:t>,</w:t>
      </w:r>
      <w:r w:rsidR="009F4F21">
        <w:t xml:space="preserve"> D.C</w:t>
      </w:r>
      <w:sdt>
        <w:sdtPr>
          <w:id w:val="-1188450711"/>
          <w:citation/>
        </w:sdtPr>
        <w:sdtContent>
          <w:r w:rsidR="00717637">
            <w:fldChar w:fldCharType="begin"/>
          </w:r>
          <w:r w:rsidR="00717637">
            <w:rPr>
              <w:lang w:val="en-US"/>
            </w:rPr>
            <w:instrText xml:space="preserve"> CITATION Mar22 \l 1033 </w:instrText>
          </w:r>
          <w:r w:rsidR="00717637">
            <w:fldChar w:fldCharType="separate"/>
          </w:r>
          <w:r w:rsidR="00C26B5C">
            <w:rPr>
              <w:noProof/>
              <w:lang w:val="en-US"/>
            </w:rPr>
            <w:t xml:space="preserve"> </w:t>
          </w:r>
          <w:r w:rsidR="00C26B5C" w:rsidRPr="00C26B5C">
            <w:rPr>
              <w:noProof/>
              <w:lang w:val="en-US"/>
            </w:rPr>
            <w:t>(Marriott, 2022)</w:t>
          </w:r>
          <w:r w:rsidR="00717637">
            <w:fldChar w:fldCharType="end"/>
          </w:r>
        </w:sdtContent>
      </w:sdt>
      <w:r w:rsidR="009F4F21">
        <w:t xml:space="preserve">. </w:t>
      </w:r>
    </w:p>
    <w:p w14:paraId="3069C1EA" w14:textId="77777777" w:rsidR="009F4F21" w:rsidRDefault="009F4F21" w:rsidP="009F4F21">
      <w:pPr>
        <w:keepNext/>
        <w:jc w:val="center"/>
      </w:pPr>
      <w:r>
        <w:rPr>
          <w:noProof/>
          <w:lang w:eastAsia="en-IN" w:bidi="ar-SA"/>
        </w:rPr>
        <w:drawing>
          <wp:inline distT="0" distB="0" distL="0" distR="0" wp14:anchorId="248576CD" wp14:editId="01741CAD">
            <wp:extent cx="4671060" cy="16306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71060" cy="1630680"/>
                    </a:xfrm>
                    <a:prstGeom prst="rect">
                      <a:avLst/>
                    </a:prstGeom>
                    <a:noFill/>
                    <a:ln>
                      <a:noFill/>
                    </a:ln>
                  </pic:spPr>
                </pic:pic>
              </a:graphicData>
            </a:graphic>
          </wp:inline>
        </w:drawing>
      </w:r>
    </w:p>
    <w:p w14:paraId="51E96F02" w14:textId="17C0D3C4" w:rsidR="009F4F21" w:rsidRDefault="009F4F21" w:rsidP="009F4F21">
      <w:pPr>
        <w:pStyle w:val="Caption"/>
        <w:jc w:val="center"/>
      </w:pPr>
      <w:r>
        <w:t xml:space="preserve">Figure </w:t>
      </w:r>
      <w:fldSimple w:instr=" SEQ Figure \* ARABIC ">
        <w:r>
          <w:rPr>
            <w:noProof/>
          </w:rPr>
          <w:t>1</w:t>
        </w:r>
      </w:fldSimple>
      <w:r>
        <w:t xml:space="preserve">: </w:t>
      </w:r>
      <w:r w:rsidRPr="00E9444D">
        <w:t>Marriott International</w:t>
      </w:r>
      <w:r>
        <w:t>; Source:</w:t>
      </w:r>
      <w:sdt>
        <w:sdtPr>
          <w:id w:val="77646413"/>
          <w:citation/>
        </w:sdtPr>
        <w:sdtContent>
          <w:r w:rsidR="00B1452E">
            <w:fldChar w:fldCharType="begin"/>
          </w:r>
          <w:r w:rsidR="00B1452E">
            <w:rPr>
              <w:lang w:val="en-US"/>
            </w:rPr>
            <w:instrText xml:space="preserve"> CITATION Mar22 \l 1033 </w:instrText>
          </w:r>
          <w:r w:rsidR="00B1452E">
            <w:fldChar w:fldCharType="separate"/>
          </w:r>
          <w:r w:rsidR="00C26B5C">
            <w:rPr>
              <w:noProof/>
              <w:lang w:val="en-US"/>
            </w:rPr>
            <w:t xml:space="preserve"> </w:t>
          </w:r>
          <w:r w:rsidR="00C26B5C" w:rsidRPr="00C26B5C">
            <w:rPr>
              <w:noProof/>
              <w:lang w:val="en-US"/>
            </w:rPr>
            <w:t>(Marriott, 2022)</w:t>
          </w:r>
          <w:r w:rsidR="00B1452E">
            <w:fldChar w:fldCharType="end"/>
          </w:r>
        </w:sdtContent>
      </w:sdt>
    </w:p>
    <w:p w14:paraId="5D57E3DC" w14:textId="18D8402B" w:rsidR="009F4F21" w:rsidRDefault="00255C46">
      <w:r>
        <w:t xml:space="preserve">With the strategic business management strategies, the management of Marriott International has been successful in expanding its hospitality operation in 8,484 locations </w:t>
      </w:r>
      <w:r w:rsidR="00C26B5C">
        <w:t>around</w:t>
      </w:r>
      <w:r>
        <w:t xml:space="preserve"> the world</w:t>
      </w:r>
      <w:r w:rsidR="00C26B5C">
        <w:t>,</w:t>
      </w:r>
      <w:r>
        <w:t xml:space="preserve"> and this has eventually assisted in augmenting its net income up to US$ 1.10 billion in 2021</w:t>
      </w:r>
      <w:sdt>
        <w:sdtPr>
          <w:id w:val="15359943"/>
          <w:citation/>
        </w:sdtPr>
        <w:sdtContent>
          <w:r w:rsidR="00B1452E">
            <w:fldChar w:fldCharType="begin"/>
          </w:r>
          <w:r w:rsidR="00B1452E">
            <w:rPr>
              <w:lang w:val="en-US"/>
            </w:rPr>
            <w:instrText xml:space="preserve"> CITATION Mar221 \l 1033 </w:instrText>
          </w:r>
          <w:r w:rsidR="00B1452E">
            <w:fldChar w:fldCharType="separate"/>
          </w:r>
          <w:r w:rsidR="00C26B5C">
            <w:rPr>
              <w:noProof/>
              <w:lang w:val="en-US"/>
            </w:rPr>
            <w:t xml:space="preserve"> </w:t>
          </w:r>
          <w:r w:rsidR="00C26B5C" w:rsidRPr="00C26B5C">
            <w:rPr>
              <w:noProof/>
              <w:lang w:val="en-US"/>
            </w:rPr>
            <w:t>(Marriott, 2022)</w:t>
          </w:r>
          <w:r w:rsidR="00B1452E">
            <w:fldChar w:fldCharType="end"/>
          </w:r>
        </w:sdtContent>
      </w:sdt>
      <w:r>
        <w:t>. With the assistance of the innovative assignment, how the financial performance of Marriott International is changed in 2021 in comparison to 2020 in terms of liquidity, profitability and solvency management</w:t>
      </w:r>
      <w:r w:rsidR="00C26B5C">
        <w:t>,</w:t>
      </w:r>
      <w:r>
        <w:t xml:space="preserve"> and this is performed with the support of accounting ratios.</w:t>
      </w:r>
      <w:r w:rsidR="00CC420A">
        <w:t xml:space="preserve"> In the end, the competitive advantage and limitations of accounting ratios are illustrated</w:t>
      </w:r>
      <w:r w:rsidR="00C26B5C">
        <w:t>,</w:t>
      </w:r>
      <w:r w:rsidR="00CC420A">
        <w:t xml:space="preserve"> and this is eventually used to conclude the work.</w:t>
      </w:r>
    </w:p>
    <w:p w14:paraId="6873C47A" w14:textId="0EAA863C" w:rsidR="00E143D0" w:rsidRDefault="00A6470E" w:rsidP="00EF325D">
      <w:pPr>
        <w:pStyle w:val="Heading1"/>
      </w:pPr>
      <w:bookmarkStart w:id="2" w:name="_Toc119596435"/>
      <w:r>
        <w:lastRenderedPageBreak/>
        <w:t>Financial Performance Evaluation Trend</w:t>
      </w:r>
      <w:bookmarkEnd w:id="2"/>
      <w:r>
        <w:t xml:space="preserve"> </w:t>
      </w:r>
    </w:p>
    <w:p w14:paraId="4FB2FEC4" w14:textId="23717555" w:rsidR="00E143D0" w:rsidRDefault="00C26B5C">
      <w:r>
        <w:t>In order to understand</w:t>
      </w:r>
      <w:r w:rsidR="007E5F80">
        <w:t xml:space="preserve"> the financial performance of Marriott International for the </w:t>
      </w:r>
      <w:r w:rsidR="001D67D3">
        <w:t>fiscal year 2021 and 2020, three types of accounting ratios</w:t>
      </w:r>
      <w:r>
        <w:t>,</w:t>
      </w:r>
      <w:r w:rsidR="001D67D3">
        <w:t xml:space="preserve"> including profitability, liquidity and gearing</w:t>
      </w:r>
      <w:r>
        <w:t>,</w:t>
      </w:r>
      <w:r w:rsidR="001D67D3">
        <w:t xml:space="preserve"> are used</w:t>
      </w:r>
      <w:r>
        <w:t>,</w:t>
      </w:r>
      <w:r w:rsidR="001D67D3">
        <w:t xml:space="preserve"> and respective outcomes are used to interpret hidden economic competence</w:t>
      </w:r>
      <w:r>
        <w:t>-</w:t>
      </w:r>
      <w:r w:rsidR="001D67D3">
        <w:t>related trend</w:t>
      </w:r>
      <w:r>
        <w:t>s</w:t>
      </w:r>
      <w:r w:rsidR="001D67D3">
        <w:t>. Accounting ratio is an analytical tool using the financial performance of an organi</w:t>
      </w:r>
      <w:r>
        <w:t>s</w:t>
      </w:r>
      <w:r w:rsidR="001D67D3">
        <w:t xml:space="preserve">ation for a given financial period in terms of revenue generation, cost and liabilities management is assessed quantitatively so that valuable inferences might be used to make </w:t>
      </w:r>
      <w:r>
        <w:t xml:space="preserve">a </w:t>
      </w:r>
      <w:r w:rsidR="001D67D3">
        <w:t>corrective decision</w:t>
      </w:r>
      <w:sdt>
        <w:sdtPr>
          <w:id w:val="-485705594"/>
          <w:citation/>
        </w:sdtPr>
        <w:sdtContent>
          <w:r w:rsidR="00B7605E">
            <w:fldChar w:fldCharType="begin"/>
          </w:r>
          <w:r w:rsidR="00B7605E">
            <w:rPr>
              <w:lang w:val="en-US"/>
            </w:rPr>
            <w:instrText xml:space="preserve"> CITATION Kil21 \l 1033 </w:instrText>
          </w:r>
          <w:r w:rsidR="00B7605E">
            <w:fldChar w:fldCharType="separate"/>
          </w:r>
          <w:r>
            <w:rPr>
              <w:noProof/>
              <w:lang w:val="en-US"/>
            </w:rPr>
            <w:t xml:space="preserve"> </w:t>
          </w:r>
          <w:r w:rsidRPr="00C26B5C">
            <w:rPr>
              <w:noProof/>
              <w:lang w:val="en-US"/>
            </w:rPr>
            <w:t>(Killingsworth, et al., 2021)</w:t>
          </w:r>
          <w:r w:rsidR="00B7605E">
            <w:fldChar w:fldCharType="end"/>
          </w:r>
        </w:sdtContent>
      </w:sdt>
      <w:r w:rsidR="001D67D3">
        <w:t>. The hidden financial performance</w:t>
      </w:r>
      <w:r>
        <w:t>-</w:t>
      </w:r>
      <w:r w:rsidR="001D67D3">
        <w:t>related trend of Marriott International available within the accounting ratios of 2020 and 2021 is interpreted as follows-</w:t>
      </w:r>
    </w:p>
    <w:p w14:paraId="7AA546C0" w14:textId="219C0F40" w:rsidR="00E143D0" w:rsidRDefault="00A6470E" w:rsidP="00EF325D">
      <w:pPr>
        <w:pStyle w:val="Heading2"/>
      </w:pPr>
      <w:bookmarkStart w:id="3" w:name="_Toc119596436"/>
      <w:r>
        <w:t>Profitability</w:t>
      </w:r>
      <w:bookmarkEnd w:id="3"/>
    </w:p>
    <w:p w14:paraId="43C4A571" w14:textId="4307021C" w:rsidR="00D22E31" w:rsidRDefault="000D111D">
      <w:r>
        <w:t>Profitability is an accounting ratio with the assistance of which the financial competence of an organi</w:t>
      </w:r>
      <w:r w:rsidR="00C26B5C">
        <w:t>s</w:t>
      </w:r>
      <w:r>
        <w:t>ation for a given fiscal period in terms of operating cost and profit management is figured out so that appropriate action might be taken to maximi</w:t>
      </w:r>
      <w:r w:rsidR="00C26B5C">
        <w:t>s</w:t>
      </w:r>
      <w:r>
        <w:t>e profitability</w:t>
      </w:r>
      <w:sdt>
        <w:sdtPr>
          <w:id w:val="-343097325"/>
          <w:citation/>
        </w:sdtPr>
        <w:sdtContent>
          <w:r w:rsidR="00316B9B">
            <w:fldChar w:fldCharType="begin"/>
          </w:r>
          <w:r w:rsidR="00316B9B">
            <w:rPr>
              <w:lang w:val="en-US"/>
            </w:rPr>
            <w:instrText xml:space="preserve"> CITATION Ala22 \l 1033 </w:instrText>
          </w:r>
          <w:r w:rsidR="00316B9B">
            <w:fldChar w:fldCharType="separate"/>
          </w:r>
          <w:r w:rsidR="00C26B5C">
            <w:rPr>
              <w:noProof/>
              <w:lang w:val="en-US"/>
            </w:rPr>
            <w:t xml:space="preserve"> </w:t>
          </w:r>
          <w:r w:rsidR="00C26B5C" w:rsidRPr="00C26B5C">
            <w:rPr>
              <w:noProof/>
              <w:lang w:val="en-US"/>
            </w:rPr>
            <w:t>(Alabdullah, 2022)</w:t>
          </w:r>
          <w:r w:rsidR="00316B9B">
            <w:fldChar w:fldCharType="end"/>
          </w:r>
        </w:sdtContent>
      </w:sdt>
      <w:r>
        <w:t>. The profitability</w:t>
      </w:r>
      <w:r w:rsidR="00C26B5C">
        <w:t>-</w:t>
      </w:r>
      <w:r>
        <w:t xml:space="preserve">related economic competence of Marriott International </w:t>
      </w:r>
      <w:r w:rsidR="00D22E31">
        <w:t>for the fiscal period 2020 and 2021 is evaluated with the support of five different accounting ratios</w:t>
      </w:r>
      <w:r w:rsidR="00C26B5C">
        <w:t>,</w:t>
      </w:r>
      <w:r w:rsidR="00D22E31">
        <w:t xml:space="preserve"> and these are illustrated as follows-</w:t>
      </w:r>
    </w:p>
    <w:p w14:paraId="5CB6AAB8" w14:textId="2EA3100E" w:rsidR="00D22E31" w:rsidRPr="00D22E31" w:rsidRDefault="00D22E31">
      <w:pPr>
        <w:rPr>
          <w:b/>
          <w:bCs/>
        </w:rPr>
      </w:pPr>
      <w:r w:rsidRPr="00D22E31">
        <w:rPr>
          <w:b/>
          <w:bCs/>
        </w:rPr>
        <w:t xml:space="preserve">Gross Profit Margin </w:t>
      </w:r>
    </w:p>
    <w:p w14:paraId="40ABB7B0" w14:textId="575508CE" w:rsidR="00D22E31" w:rsidRDefault="00D22E31">
      <w:r>
        <w:t>Gross profit margin refers to the amount which the management of an entity has after paying all direct cost</w:t>
      </w:r>
      <w:r w:rsidR="00C26B5C">
        <w:t>-</w:t>
      </w:r>
      <w:r>
        <w:t xml:space="preserve">related expenses </w:t>
      </w:r>
      <w:r w:rsidR="00FF6C70">
        <w:t>with the support of revenue generated during the same fiscal year</w:t>
      </w:r>
      <w:r w:rsidR="00C26B5C">
        <w:rPr>
          <w:noProof/>
          <w:lang w:val="en-US"/>
        </w:rPr>
        <w:t xml:space="preserve"> </w:t>
      </w:r>
      <w:r w:rsidR="00C26B5C" w:rsidRPr="00C26B5C">
        <w:rPr>
          <w:noProof/>
          <w:lang w:val="en-US"/>
        </w:rPr>
        <w:t xml:space="preserve">(Sudharto </w:t>
      </w:r>
      <w:r w:rsidR="00C26B5C">
        <w:rPr>
          <w:noProof/>
        </w:rPr>
        <w:t>and</w:t>
      </w:r>
      <w:r w:rsidR="00C26B5C" w:rsidRPr="00C26B5C">
        <w:rPr>
          <w:noProof/>
          <w:lang w:val="en-US"/>
        </w:rPr>
        <w:t xml:space="preserve"> Salim, 2021)</w:t>
      </w:r>
      <w:r w:rsidR="00FF6C70">
        <w:t>. The gross profit margin</w:t>
      </w:r>
      <w:r w:rsidR="00C26B5C">
        <w:t>-</w:t>
      </w:r>
      <w:r w:rsidR="00FF6C70">
        <w:t>related trend</w:t>
      </w:r>
      <w:r w:rsidR="00C26B5C">
        <w:t>,</w:t>
      </w:r>
      <w:r w:rsidR="00FF6C70">
        <w:t xml:space="preserve"> which is available within the financial performance of Marriott International during 2020 and 2021</w:t>
      </w:r>
      <w:r w:rsidR="00C26B5C">
        <w:t>,</w:t>
      </w:r>
      <w:r w:rsidR="00FF6C70">
        <w:t xml:space="preserve"> is presented as follows in graphical format-</w:t>
      </w:r>
    </w:p>
    <w:tbl>
      <w:tblPr>
        <w:tblW w:w="78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7"/>
        <w:gridCol w:w="2427"/>
        <w:gridCol w:w="2427"/>
      </w:tblGrid>
      <w:tr w:rsidR="00C26B5C" w:rsidRPr="00C26B5C" w14:paraId="1F0DA6DA" w14:textId="77777777" w:rsidTr="00500211">
        <w:trPr>
          <w:trHeight w:val="412"/>
          <w:jc w:val="center"/>
        </w:trPr>
        <w:tc>
          <w:tcPr>
            <w:tcW w:w="0" w:type="auto"/>
            <w:shd w:val="clear" w:color="000000" w:fill="FFF2CC"/>
            <w:noWrap/>
            <w:vAlign w:val="bottom"/>
            <w:hideMark/>
          </w:tcPr>
          <w:p w14:paraId="70F28D78" w14:textId="77777777" w:rsidR="00C26B5C" w:rsidRPr="00C26B5C" w:rsidRDefault="00C26B5C" w:rsidP="00500211">
            <w:pPr>
              <w:spacing w:after="0" w:line="240" w:lineRule="auto"/>
              <w:jc w:val="left"/>
              <w:rPr>
                <w:rFonts w:eastAsia="Times New Roman" w:cs="Times New Roman"/>
                <w:b/>
                <w:bCs/>
                <w:color w:val="000000"/>
                <w:szCs w:val="24"/>
                <w:lang w:eastAsia="en-IN" w:bidi="ar-SA"/>
              </w:rPr>
            </w:pPr>
            <w:r w:rsidRPr="00C26B5C">
              <w:rPr>
                <w:rFonts w:eastAsia="Times New Roman" w:cs="Times New Roman"/>
                <w:b/>
                <w:bCs/>
                <w:color w:val="000000"/>
                <w:szCs w:val="24"/>
                <w:lang w:eastAsia="en-IN" w:bidi="ar-SA"/>
              </w:rPr>
              <w:t>Particular</w:t>
            </w:r>
          </w:p>
        </w:tc>
        <w:tc>
          <w:tcPr>
            <w:tcW w:w="0" w:type="auto"/>
            <w:shd w:val="clear" w:color="000000" w:fill="FFF2CC"/>
            <w:noWrap/>
            <w:vAlign w:val="bottom"/>
            <w:hideMark/>
          </w:tcPr>
          <w:p w14:paraId="242A2883" w14:textId="77777777" w:rsidR="00C26B5C" w:rsidRPr="00C26B5C" w:rsidRDefault="00C26B5C" w:rsidP="00500211">
            <w:pPr>
              <w:spacing w:after="0" w:line="240" w:lineRule="auto"/>
              <w:jc w:val="left"/>
              <w:rPr>
                <w:rFonts w:eastAsia="Times New Roman" w:cs="Times New Roman"/>
                <w:b/>
                <w:bCs/>
                <w:color w:val="000000"/>
                <w:szCs w:val="24"/>
                <w:lang w:eastAsia="en-IN" w:bidi="ar-SA"/>
              </w:rPr>
            </w:pPr>
            <w:r w:rsidRPr="00C26B5C">
              <w:rPr>
                <w:rFonts w:eastAsia="Times New Roman" w:cs="Times New Roman"/>
                <w:b/>
                <w:bCs/>
                <w:color w:val="000000"/>
                <w:szCs w:val="24"/>
                <w:lang w:eastAsia="en-IN" w:bidi="ar-SA"/>
              </w:rPr>
              <w:t>Value for 2021</w:t>
            </w:r>
          </w:p>
        </w:tc>
        <w:tc>
          <w:tcPr>
            <w:tcW w:w="0" w:type="auto"/>
            <w:shd w:val="clear" w:color="000000" w:fill="FFF2CC"/>
            <w:noWrap/>
            <w:vAlign w:val="bottom"/>
            <w:hideMark/>
          </w:tcPr>
          <w:p w14:paraId="0060DD12" w14:textId="77777777" w:rsidR="00C26B5C" w:rsidRPr="00C26B5C" w:rsidRDefault="00C26B5C" w:rsidP="00500211">
            <w:pPr>
              <w:spacing w:after="0" w:line="240" w:lineRule="auto"/>
              <w:jc w:val="left"/>
              <w:rPr>
                <w:rFonts w:eastAsia="Times New Roman" w:cs="Times New Roman"/>
                <w:b/>
                <w:bCs/>
                <w:color w:val="000000"/>
                <w:szCs w:val="24"/>
                <w:lang w:eastAsia="en-IN" w:bidi="ar-SA"/>
              </w:rPr>
            </w:pPr>
            <w:r w:rsidRPr="00C26B5C">
              <w:rPr>
                <w:rFonts w:eastAsia="Times New Roman" w:cs="Times New Roman"/>
                <w:b/>
                <w:bCs/>
                <w:color w:val="000000"/>
                <w:szCs w:val="24"/>
                <w:lang w:eastAsia="en-IN" w:bidi="ar-SA"/>
              </w:rPr>
              <w:t>Value for 2020</w:t>
            </w:r>
          </w:p>
        </w:tc>
      </w:tr>
      <w:tr w:rsidR="00C26B5C" w:rsidRPr="00C26B5C" w14:paraId="20BE84C1" w14:textId="77777777" w:rsidTr="00500211">
        <w:trPr>
          <w:trHeight w:val="329"/>
          <w:jc w:val="center"/>
        </w:trPr>
        <w:tc>
          <w:tcPr>
            <w:tcW w:w="0" w:type="auto"/>
            <w:shd w:val="clear" w:color="auto" w:fill="auto"/>
            <w:noWrap/>
            <w:vAlign w:val="bottom"/>
            <w:hideMark/>
          </w:tcPr>
          <w:p w14:paraId="69C6AC39" w14:textId="77777777" w:rsidR="00C26B5C" w:rsidRPr="00C26B5C" w:rsidRDefault="00C26B5C" w:rsidP="00500211">
            <w:pPr>
              <w:spacing w:after="0" w:line="240" w:lineRule="auto"/>
              <w:jc w:val="left"/>
              <w:rPr>
                <w:rFonts w:eastAsia="Times New Roman" w:cs="Times New Roman"/>
                <w:color w:val="000000"/>
                <w:szCs w:val="24"/>
                <w:lang w:eastAsia="en-IN" w:bidi="ar-SA"/>
              </w:rPr>
            </w:pPr>
            <w:r w:rsidRPr="00C26B5C">
              <w:rPr>
                <w:rFonts w:eastAsia="Times New Roman" w:cs="Times New Roman"/>
                <w:color w:val="000000"/>
                <w:szCs w:val="24"/>
                <w:lang w:eastAsia="en-IN" w:bidi="ar-SA"/>
              </w:rPr>
              <w:t>Gross Profit Margin</w:t>
            </w:r>
          </w:p>
        </w:tc>
        <w:tc>
          <w:tcPr>
            <w:tcW w:w="0" w:type="auto"/>
            <w:shd w:val="clear" w:color="auto" w:fill="auto"/>
            <w:noWrap/>
            <w:vAlign w:val="center"/>
            <w:hideMark/>
          </w:tcPr>
          <w:p w14:paraId="05C9E353" w14:textId="77777777" w:rsidR="00C26B5C" w:rsidRPr="00C26B5C" w:rsidRDefault="00C26B5C" w:rsidP="00500211">
            <w:pPr>
              <w:spacing w:after="0" w:line="240" w:lineRule="auto"/>
              <w:jc w:val="center"/>
              <w:rPr>
                <w:rFonts w:eastAsia="Times New Roman" w:cs="Times New Roman"/>
                <w:color w:val="000000"/>
                <w:szCs w:val="24"/>
                <w:lang w:eastAsia="en-IN" w:bidi="ar-SA"/>
              </w:rPr>
            </w:pPr>
            <w:r w:rsidRPr="00C26B5C">
              <w:rPr>
                <w:rFonts w:eastAsia="Times New Roman" w:cs="Times New Roman"/>
                <w:color w:val="000000"/>
                <w:szCs w:val="24"/>
                <w:lang w:eastAsia="en-IN" w:bidi="ar-SA"/>
              </w:rPr>
              <w:t>20.21</w:t>
            </w:r>
          </w:p>
        </w:tc>
        <w:tc>
          <w:tcPr>
            <w:tcW w:w="0" w:type="auto"/>
            <w:shd w:val="clear" w:color="auto" w:fill="auto"/>
            <w:noWrap/>
            <w:vAlign w:val="center"/>
            <w:hideMark/>
          </w:tcPr>
          <w:p w14:paraId="2D2287BF" w14:textId="77777777" w:rsidR="00C26B5C" w:rsidRPr="00C26B5C" w:rsidRDefault="00C26B5C" w:rsidP="00500211">
            <w:pPr>
              <w:spacing w:after="0" w:line="240" w:lineRule="auto"/>
              <w:jc w:val="center"/>
              <w:rPr>
                <w:rFonts w:eastAsia="Times New Roman" w:cs="Times New Roman"/>
                <w:color w:val="000000"/>
                <w:szCs w:val="24"/>
                <w:lang w:eastAsia="en-IN" w:bidi="ar-SA"/>
              </w:rPr>
            </w:pPr>
            <w:r w:rsidRPr="00C26B5C">
              <w:rPr>
                <w:rFonts w:eastAsia="Times New Roman" w:cs="Times New Roman"/>
                <w:color w:val="000000"/>
                <w:szCs w:val="24"/>
                <w:lang w:eastAsia="en-IN" w:bidi="ar-SA"/>
              </w:rPr>
              <w:t>13.8</w:t>
            </w:r>
          </w:p>
        </w:tc>
      </w:tr>
    </w:tbl>
    <w:p w14:paraId="5A4700B2" w14:textId="77777777" w:rsidR="00C26B5C" w:rsidRDefault="00C26B5C"/>
    <w:p w14:paraId="6FD57A66" w14:textId="55728052" w:rsidR="00FF6C70" w:rsidRDefault="00D175BC">
      <w:r>
        <w:rPr>
          <w:noProof/>
          <w:lang w:eastAsia="en-IN" w:bidi="ar-SA"/>
        </w:rPr>
        <w:lastRenderedPageBreak/>
        <w:drawing>
          <wp:inline distT="0" distB="0" distL="0" distR="0" wp14:anchorId="24B19E3C" wp14:editId="45B77BA2">
            <wp:extent cx="5731510" cy="2379980"/>
            <wp:effectExtent l="0" t="0" r="2540" b="1270"/>
            <wp:docPr id="2" name="Chart 2">
              <a:extLst xmlns:a="http://schemas.openxmlformats.org/drawingml/2006/main">
                <a:ext uri="{FF2B5EF4-FFF2-40B4-BE49-F238E27FC236}">
                  <a16:creationId xmlns:a16="http://schemas.microsoft.com/office/drawing/2014/main" id="{5B415644-FE01-7735-A55B-ED4DC11B932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4AE9E13" w14:textId="5865D54E" w:rsidR="00FF6C70" w:rsidRPr="00AF7FED" w:rsidRDefault="00D175BC" w:rsidP="00D175BC">
      <w:pPr>
        <w:rPr>
          <w:b/>
          <w:bCs/>
        </w:rPr>
      </w:pPr>
      <w:r>
        <w:t xml:space="preserve">On the evaluation of the </w:t>
      </w:r>
      <w:r w:rsidR="00AF7FED">
        <w:t xml:space="preserve">ratio analysis, it has been found that the gross profit margin </w:t>
      </w:r>
      <w:r w:rsidR="00C26B5C">
        <w:t>that</w:t>
      </w:r>
      <w:r w:rsidR="00AF7FED">
        <w:t xml:space="preserve"> the management of Marriott International was generating in 2020 from its hospitality activity was 13.80 %</w:t>
      </w:r>
      <w:r w:rsidR="00C26B5C">
        <w:t>,</w:t>
      </w:r>
      <w:r w:rsidR="00AF7FED">
        <w:t xml:space="preserve"> and this was possible due to the pandemic situation. With the strategic cost and </w:t>
      </w:r>
      <w:r w:rsidR="00EC0E57">
        <w:t>procurement strategy, the administration of the hospitality service</w:t>
      </w:r>
      <w:r w:rsidR="00C26B5C">
        <w:t>-</w:t>
      </w:r>
      <w:r w:rsidR="00EC0E57">
        <w:t xml:space="preserve">providing hotel group became successful in reducing its direct cost by 7 % in 2021 in </w:t>
      </w:r>
      <w:r w:rsidR="00C26B5C">
        <w:t>comparison to the</w:t>
      </w:r>
      <w:r w:rsidR="00EC0E57">
        <w:t xml:space="preserve"> previous year</w:t>
      </w:r>
      <w:r w:rsidR="00C26B5C">
        <w:t>,</w:t>
      </w:r>
      <w:r w:rsidR="00EC0E57">
        <w:t xml:space="preserve"> and this eventually assisted in augmenting its gross profit margin up to 20.21 %</w:t>
      </w:r>
      <w:sdt>
        <w:sdtPr>
          <w:id w:val="-251668346"/>
          <w:citation/>
        </w:sdtPr>
        <w:sdtContent>
          <w:r w:rsidR="00316B9B">
            <w:fldChar w:fldCharType="begin"/>
          </w:r>
          <w:r w:rsidR="00316B9B">
            <w:rPr>
              <w:lang w:val="en-US"/>
            </w:rPr>
            <w:instrText xml:space="preserve"> CITATION Mac22 \l 1033 </w:instrText>
          </w:r>
          <w:r w:rsidR="00316B9B">
            <w:fldChar w:fldCharType="separate"/>
          </w:r>
          <w:r w:rsidR="00C26B5C">
            <w:rPr>
              <w:noProof/>
              <w:lang w:val="en-US"/>
            </w:rPr>
            <w:t xml:space="preserve"> </w:t>
          </w:r>
          <w:r w:rsidR="00C26B5C" w:rsidRPr="00C26B5C">
            <w:rPr>
              <w:noProof/>
              <w:lang w:val="en-US"/>
            </w:rPr>
            <w:t>(Macrotrends, 2022)</w:t>
          </w:r>
          <w:r w:rsidR="00316B9B">
            <w:fldChar w:fldCharType="end"/>
          </w:r>
        </w:sdtContent>
      </w:sdt>
      <w:r w:rsidR="00EC0E57">
        <w:t xml:space="preserve">. </w:t>
      </w:r>
      <w:r w:rsidR="003A6B6A">
        <w:t>It means that there is a progressive trend in the economic competence of Marriott International in terms of direct cost management and gross profit maximi</w:t>
      </w:r>
      <w:r w:rsidR="00C26B5C">
        <w:t>s</w:t>
      </w:r>
      <w:r w:rsidR="003A6B6A">
        <w:t xml:space="preserve">ation while moving from </w:t>
      </w:r>
      <w:r w:rsidR="00C26B5C">
        <w:t xml:space="preserve">the </w:t>
      </w:r>
      <w:r w:rsidR="003A6B6A">
        <w:t xml:space="preserve">fiscal year 2020 to 2021. </w:t>
      </w:r>
    </w:p>
    <w:p w14:paraId="5E2A865B" w14:textId="15B80413" w:rsidR="00D22E31" w:rsidRPr="00D22E31" w:rsidRDefault="00D22E31">
      <w:pPr>
        <w:rPr>
          <w:b/>
          <w:bCs/>
        </w:rPr>
      </w:pPr>
      <w:r w:rsidRPr="00D22E31">
        <w:rPr>
          <w:b/>
          <w:bCs/>
        </w:rPr>
        <w:t xml:space="preserve">Operating Profit Margin </w:t>
      </w:r>
    </w:p>
    <w:p w14:paraId="4F810CF7" w14:textId="268592D1" w:rsidR="00D22E31" w:rsidRDefault="003A6B6A">
      <w:r>
        <w:t xml:space="preserve">Operating profit margin refers to the amount of profit margin </w:t>
      </w:r>
      <w:r w:rsidR="00C26B5C">
        <w:t>that</w:t>
      </w:r>
      <w:r>
        <w:t xml:space="preserve"> the management of an organi</w:t>
      </w:r>
      <w:r w:rsidR="00C26B5C">
        <w:t>s</w:t>
      </w:r>
      <w:r>
        <w:t>ation gets after paying all operational expenses or obligations from its generated sales</w:t>
      </w:r>
      <w:r w:rsidR="00C26B5C">
        <w:rPr>
          <w:noProof/>
          <w:lang w:val="en-US"/>
        </w:rPr>
        <w:t xml:space="preserve"> </w:t>
      </w:r>
      <w:r w:rsidR="00C26B5C" w:rsidRPr="00C26B5C">
        <w:rPr>
          <w:noProof/>
          <w:lang w:val="en-US"/>
        </w:rPr>
        <w:t xml:space="preserve">(Rizki </w:t>
      </w:r>
      <w:r w:rsidR="00C26B5C">
        <w:rPr>
          <w:noProof/>
        </w:rPr>
        <w:t>and</w:t>
      </w:r>
      <w:r w:rsidR="00C26B5C" w:rsidRPr="00C26B5C">
        <w:rPr>
          <w:noProof/>
          <w:lang w:val="en-US"/>
        </w:rPr>
        <w:t xml:space="preserve"> Kaur, 2022)</w:t>
      </w:r>
      <w:r>
        <w:t>. The trend available within the operating profit margin management</w:t>
      </w:r>
      <w:r w:rsidR="00C26B5C">
        <w:t>-</w:t>
      </w:r>
      <w:r>
        <w:t>related competence of Marriott International in 2020 and 2021 is evaluated as follows using graphical and tabular presentation-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3"/>
        <w:gridCol w:w="1723"/>
        <w:gridCol w:w="1723"/>
      </w:tblGrid>
      <w:tr w:rsidR="00C26B5C" w:rsidRPr="00C26B5C" w14:paraId="1759133A" w14:textId="77777777" w:rsidTr="00500211">
        <w:trPr>
          <w:trHeight w:val="360"/>
          <w:jc w:val="center"/>
        </w:trPr>
        <w:tc>
          <w:tcPr>
            <w:tcW w:w="0" w:type="auto"/>
            <w:shd w:val="clear" w:color="000000" w:fill="FFF2CC"/>
            <w:noWrap/>
            <w:vAlign w:val="bottom"/>
            <w:hideMark/>
          </w:tcPr>
          <w:p w14:paraId="13C70C56" w14:textId="77777777" w:rsidR="00C26B5C" w:rsidRPr="00C26B5C" w:rsidRDefault="00C26B5C" w:rsidP="00500211">
            <w:pPr>
              <w:spacing w:after="0" w:line="240" w:lineRule="auto"/>
              <w:jc w:val="left"/>
              <w:rPr>
                <w:rFonts w:eastAsia="Times New Roman" w:cs="Times New Roman"/>
                <w:b/>
                <w:bCs/>
                <w:color w:val="000000"/>
                <w:szCs w:val="24"/>
                <w:lang w:eastAsia="en-IN" w:bidi="ar-SA"/>
              </w:rPr>
            </w:pPr>
            <w:r w:rsidRPr="00C26B5C">
              <w:rPr>
                <w:rFonts w:eastAsia="Times New Roman" w:cs="Times New Roman"/>
                <w:b/>
                <w:bCs/>
                <w:color w:val="000000"/>
                <w:szCs w:val="24"/>
                <w:lang w:eastAsia="en-IN" w:bidi="ar-SA"/>
              </w:rPr>
              <w:t>Particular</w:t>
            </w:r>
          </w:p>
        </w:tc>
        <w:tc>
          <w:tcPr>
            <w:tcW w:w="0" w:type="auto"/>
            <w:shd w:val="clear" w:color="000000" w:fill="FFF2CC"/>
            <w:noWrap/>
            <w:vAlign w:val="bottom"/>
            <w:hideMark/>
          </w:tcPr>
          <w:p w14:paraId="56310081" w14:textId="77777777" w:rsidR="00C26B5C" w:rsidRPr="00C26B5C" w:rsidRDefault="00C26B5C" w:rsidP="00500211">
            <w:pPr>
              <w:spacing w:after="0" w:line="240" w:lineRule="auto"/>
              <w:jc w:val="left"/>
              <w:rPr>
                <w:rFonts w:eastAsia="Times New Roman" w:cs="Times New Roman"/>
                <w:b/>
                <w:bCs/>
                <w:color w:val="000000"/>
                <w:szCs w:val="24"/>
                <w:lang w:eastAsia="en-IN" w:bidi="ar-SA"/>
              </w:rPr>
            </w:pPr>
            <w:r w:rsidRPr="00C26B5C">
              <w:rPr>
                <w:rFonts w:eastAsia="Times New Roman" w:cs="Times New Roman"/>
                <w:b/>
                <w:bCs/>
                <w:color w:val="000000"/>
                <w:szCs w:val="24"/>
                <w:lang w:eastAsia="en-IN" w:bidi="ar-SA"/>
              </w:rPr>
              <w:t>Value for 2021</w:t>
            </w:r>
          </w:p>
        </w:tc>
        <w:tc>
          <w:tcPr>
            <w:tcW w:w="0" w:type="auto"/>
            <w:shd w:val="clear" w:color="000000" w:fill="FFF2CC"/>
            <w:noWrap/>
            <w:vAlign w:val="bottom"/>
            <w:hideMark/>
          </w:tcPr>
          <w:p w14:paraId="30ED36B9" w14:textId="77777777" w:rsidR="00C26B5C" w:rsidRPr="00C26B5C" w:rsidRDefault="00C26B5C" w:rsidP="00500211">
            <w:pPr>
              <w:spacing w:after="0" w:line="240" w:lineRule="auto"/>
              <w:jc w:val="left"/>
              <w:rPr>
                <w:rFonts w:eastAsia="Times New Roman" w:cs="Times New Roman"/>
                <w:b/>
                <w:bCs/>
                <w:color w:val="000000"/>
                <w:szCs w:val="24"/>
                <w:lang w:eastAsia="en-IN" w:bidi="ar-SA"/>
              </w:rPr>
            </w:pPr>
            <w:r w:rsidRPr="00C26B5C">
              <w:rPr>
                <w:rFonts w:eastAsia="Times New Roman" w:cs="Times New Roman"/>
                <w:b/>
                <w:bCs/>
                <w:color w:val="000000"/>
                <w:szCs w:val="24"/>
                <w:lang w:eastAsia="en-IN" w:bidi="ar-SA"/>
              </w:rPr>
              <w:t>Value for 2020</w:t>
            </w:r>
          </w:p>
        </w:tc>
      </w:tr>
      <w:tr w:rsidR="00C26B5C" w:rsidRPr="00C26B5C" w14:paraId="0C5258A3" w14:textId="77777777" w:rsidTr="00500211">
        <w:trPr>
          <w:trHeight w:val="288"/>
          <w:jc w:val="center"/>
        </w:trPr>
        <w:tc>
          <w:tcPr>
            <w:tcW w:w="0" w:type="auto"/>
            <w:shd w:val="clear" w:color="auto" w:fill="auto"/>
            <w:noWrap/>
            <w:vAlign w:val="bottom"/>
            <w:hideMark/>
          </w:tcPr>
          <w:p w14:paraId="4F435E81" w14:textId="77777777" w:rsidR="00C26B5C" w:rsidRPr="00C26B5C" w:rsidRDefault="00C26B5C" w:rsidP="00500211">
            <w:pPr>
              <w:spacing w:after="0" w:line="240" w:lineRule="auto"/>
              <w:jc w:val="left"/>
              <w:rPr>
                <w:rFonts w:eastAsia="Times New Roman" w:cs="Times New Roman"/>
                <w:color w:val="000000"/>
                <w:szCs w:val="24"/>
                <w:lang w:eastAsia="en-IN" w:bidi="ar-SA"/>
              </w:rPr>
            </w:pPr>
            <w:r w:rsidRPr="00C26B5C">
              <w:rPr>
                <w:rFonts w:eastAsia="Times New Roman" w:cs="Times New Roman"/>
                <w:color w:val="000000"/>
                <w:szCs w:val="24"/>
                <w:lang w:eastAsia="en-IN" w:bidi="ar-SA"/>
              </w:rPr>
              <w:t>Operating Margin</w:t>
            </w:r>
          </w:p>
        </w:tc>
        <w:tc>
          <w:tcPr>
            <w:tcW w:w="0" w:type="auto"/>
            <w:shd w:val="clear" w:color="auto" w:fill="auto"/>
            <w:noWrap/>
            <w:vAlign w:val="center"/>
            <w:hideMark/>
          </w:tcPr>
          <w:p w14:paraId="668D4ACF" w14:textId="77777777" w:rsidR="00C26B5C" w:rsidRPr="00C26B5C" w:rsidRDefault="00C26B5C" w:rsidP="00500211">
            <w:pPr>
              <w:spacing w:after="0" w:line="240" w:lineRule="auto"/>
              <w:jc w:val="center"/>
              <w:rPr>
                <w:rFonts w:eastAsia="Times New Roman" w:cs="Times New Roman"/>
                <w:color w:val="000000"/>
                <w:szCs w:val="24"/>
                <w:lang w:eastAsia="en-IN" w:bidi="ar-SA"/>
              </w:rPr>
            </w:pPr>
            <w:r w:rsidRPr="00C26B5C">
              <w:rPr>
                <w:rFonts w:eastAsia="Times New Roman" w:cs="Times New Roman"/>
                <w:color w:val="000000"/>
                <w:szCs w:val="24"/>
                <w:lang w:eastAsia="en-IN" w:bidi="ar-SA"/>
              </w:rPr>
              <w:t>12.62</w:t>
            </w:r>
          </w:p>
        </w:tc>
        <w:tc>
          <w:tcPr>
            <w:tcW w:w="0" w:type="auto"/>
            <w:shd w:val="clear" w:color="auto" w:fill="auto"/>
            <w:noWrap/>
            <w:vAlign w:val="center"/>
            <w:hideMark/>
          </w:tcPr>
          <w:p w14:paraId="557BE022" w14:textId="77777777" w:rsidR="00C26B5C" w:rsidRPr="00C26B5C" w:rsidRDefault="00C26B5C" w:rsidP="00500211">
            <w:pPr>
              <w:spacing w:after="0" w:line="240" w:lineRule="auto"/>
              <w:jc w:val="center"/>
              <w:rPr>
                <w:rFonts w:eastAsia="Times New Roman" w:cs="Times New Roman"/>
                <w:color w:val="000000"/>
                <w:szCs w:val="24"/>
                <w:lang w:eastAsia="en-IN" w:bidi="ar-SA"/>
              </w:rPr>
            </w:pPr>
            <w:r w:rsidRPr="00C26B5C">
              <w:rPr>
                <w:rFonts w:eastAsia="Times New Roman" w:cs="Times New Roman"/>
                <w:color w:val="000000"/>
                <w:szCs w:val="24"/>
                <w:lang w:eastAsia="en-IN" w:bidi="ar-SA"/>
              </w:rPr>
              <w:t>0.79</w:t>
            </w:r>
          </w:p>
        </w:tc>
      </w:tr>
    </w:tbl>
    <w:p w14:paraId="7B33F83C" w14:textId="77777777" w:rsidR="00C26B5C" w:rsidRDefault="00C26B5C"/>
    <w:p w14:paraId="244FEBDB" w14:textId="1DAFA73B" w:rsidR="008D2B87" w:rsidRDefault="0085723A">
      <w:r>
        <w:rPr>
          <w:noProof/>
          <w:lang w:eastAsia="en-IN" w:bidi="ar-SA"/>
        </w:rPr>
        <w:lastRenderedPageBreak/>
        <w:drawing>
          <wp:inline distT="0" distB="0" distL="0" distR="0" wp14:anchorId="76AF3D66" wp14:editId="5B126C50">
            <wp:extent cx="5731510" cy="2287270"/>
            <wp:effectExtent l="0" t="0" r="2540" b="17780"/>
            <wp:docPr id="3" name="Chart 3">
              <a:extLst xmlns:a="http://schemas.openxmlformats.org/drawingml/2006/main">
                <a:ext uri="{FF2B5EF4-FFF2-40B4-BE49-F238E27FC236}">
                  <a16:creationId xmlns:a16="http://schemas.microsoft.com/office/drawing/2014/main" id="{4EAA3EFD-515B-84A1-DFE6-6C60CED815D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56332E0" w14:textId="38A6931F" w:rsidR="007C2257" w:rsidRDefault="006D6DC3" w:rsidP="006D6DC3">
      <w:r>
        <w:t>On the evaluation of the statistical outcome, it is found that due to</w:t>
      </w:r>
      <w:r w:rsidR="00BB7991">
        <w:t xml:space="preserve"> substantial disruption in </w:t>
      </w:r>
      <w:r w:rsidR="00C26B5C">
        <w:t xml:space="preserve">the </w:t>
      </w:r>
      <w:r w:rsidR="00BB7991">
        <w:t xml:space="preserve">global supply chain </w:t>
      </w:r>
      <w:r w:rsidR="00717B40">
        <w:t>and reduction in outdoor activity</w:t>
      </w:r>
      <w:r w:rsidR="00C26B5C">
        <w:t>-</w:t>
      </w:r>
      <w:r w:rsidR="00717B40">
        <w:t xml:space="preserve">related behaviour of </w:t>
      </w:r>
      <w:r w:rsidR="00897C53">
        <w:t xml:space="preserve">customers, the operating profit margin </w:t>
      </w:r>
      <w:r w:rsidR="00C26B5C">
        <w:t>that</w:t>
      </w:r>
      <w:r w:rsidR="00897C53">
        <w:t xml:space="preserve"> the management of Marriott International got achieved in 2020 was 0.79 %</w:t>
      </w:r>
      <w:sdt>
        <w:sdtPr>
          <w:id w:val="-1015917390"/>
          <w:citation/>
        </w:sdtPr>
        <w:sdtContent>
          <w:r w:rsidR="00D77426">
            <w:fldChar w:fldCharType="begin"/>
          </w:r>
          <w:r w:rsidR="00D77426">
            <w:rPr>
              <w:lang w:val="en-US"/>
            </w:rPr>
            <w:instrText xml:space="preserve"> CITATION Mar20 \l 1033 </w:instrText>
          </w:r>
          <w:r w:rsidR="00D77426">
            <w:fldChar w:fldCharType="separate"/>
          </w:r>
          <w:r w:rsidR="00C26B5C">
            <w:rPr>
              <w:noProof/>
              <w:lang w:val="en-US"/>
            </w:rPr>
            <w:t xml:space="preserve"> </w:t>
          </w:r>
          <w:r w:rsidR="00C26B5C" w:rsidRPr="00C26B5C">
            <w:rPr>
              <w:noProof/>
              <w:lang w:val="en-US"/>
            </w:rPr>
            <w:t>(Marriott, 2020)</w:t>
          </w:r>
          <w:r w:rsidR="00D77426">
            <w:fldChar w:fldCharType="end"/>
          </w:r>
        </w:sdtContent>
      </w:sdt>
      <w:r w:rsidR="00897C53">
        <w:t xml:space="preserve">. In 2021, the administration of Marriott International was found </w:t>
      </w:r>
      <w:r w:rsidR="00C26B5C">
        <w:t xml:space="preserve">to be </w:t>
      </w:r>
      <w:r w:rsidR="00897C53">
        <w:t xml:space="preserve">using </w:t>
      </w:r>
      <w:r w:rsidR="00C26B5C">
        <w:t xml:space="preserve">a </w:t>
      </w:r>
      <w:r w:rsidR="00897C53">
        <w:t xml:space="preserve">customer-centric strategy in terms of providing touchless check-in and check-out service with </w:t>
      </w:r>
      <w:r w:rsidR="00C26B5C">
        <w:t>a</w:t>
      </w:r>
      <w:r w:rsidR="00897C53">
        <w:t xml:space="preserve"> strategic focus on delivering saniti</w:t>
      </w:r>
      <w:r w:rsidR="00C26B5C">
        <w:t>s</w:t>
      </w:r>
      <w:r w:rsidR="00897C53">
        <w:t>ed stay</w:t>
      </w:r>
      <w:r w:rsidR="00C26B5C">
        <w:t>,</w:t>
      </w:r>
      <w:r w:rsidR="00897C53">
        <w:t xml:space="preserve"> and this eventually helped in augmenting its potential customer footfall. The outcome of </w:t>
      </w:r>
      <w:r w:rsidR="00C26B5C">
        <w:t xml:space="preserve">a </w:t>
      </w:r>
      <w:r w:rsidR="00897C53">
        <w:t>comparative hike in the number of customer footfall and implementation of innovative cost management technique</w:t>
      </w:r>
      <w:r w:rsidR="00C26B5C">
        <w:t>s</w:t>
      </w:r>
      <w:r w:rsidR="00897C53">
        <w:t xml:space="preserve"> is that the administration of Marriott International became successful in increasing its operating profit margin up to 12.62 % in 2021</w:t>
      </w:r>
      <w:sdt>
        <w:sdtPr>
          <w:id w:val="-784887448"/>
          <w:citation/>
        </w:sdtPr>
        <w:sdtContent>
          <w:r w:rsidR="00840650">
            <w:fldChar w:fldCharType="begin"/>
          </w:r>
          <w:r w:rsidR="00840650">
            <w:rPr>
              <w:lang w:val="en-US"/>
            </w:rPr>
            <w:instrText xml:space="preserve"> CITATION Mar222 \l 1033 </w:instrText>
          </w:r>
          <w:r w:rsidR="00840650">
            <w:fldChar w:fldCharType="separate"/>
          </w:r>
          <w:r w:rsidR="00C26B5C">
            <w:rPr>
              <w:noProof/>
              <w:lang w:val="en-US"/>
            </w:rPr>
            <w:t xml:space="preserve"> </w:t>
          </w:r>
          <w:r w:rsidR="00C26B5C" w:rsidRPr="00C26B5C">
            <w:rPr>
              <w:noProof/>
              <w:lang w:val="en-US"/>
            </w:rPr>
            <w:t>(Marriott, 2022)</w:t>
          </w:r>
          <w:r w:rsidR="00840650">
            <w:fldChar w:fldCharType="end"/>
          </w:r>
        </w:sdtContent>
      </w:sdt>
      <w:r w:rsidR="00897C53">
        <w:t xml:space="preserve">. It means that there is a progressive and sharp </w:t>
      </w:r>
      <w:r w:rsidR="001C38C0">
        <w:t>growth-related</w:t>
      </w:r>
      <w:r w:rsidR="00897C53">
        <w:t xml:space="preserve"> trend within the operating cost and operating profit margin</w:t>
      </w:r>
      <w:r w:rsidR="00C26B5C">
        <w:t>-</w:t>
      </w:r>
      <w:r w:rsidR="00897C53">
        <w:t xml:space="preserve">related element of </w:t>
      </w:r>
      <w:r w:rsidR="00C26B5C">
        <w:t xml:space="preserve">the </w:t>
      </w:r>
      <w:r w:rsidR="00897C53">
        <w:t xml:space="preserve">financial performance of Marriott International moving from 2020 to 2021. </w:t>
      </w:r>
    </w:p>
    <w:p w14:paraId="0AF9F3AB" w14:textId="5FA1B187" w:rsidR="00D22E31" w:rsidRPr="00D22E31" w:rsidRDefault="00D22E31">
      <w:pPr>
        <w:rPr>
          <w:b/>
          <w:bCs/>
        </w:rPr>
      </w:pPr>
      <w:r w:rsidRPr="00D22E31">
        <w:rPr>
          <w:b/>
          <w:bCs/>
        </w:rPr>
        <w:t xml:space="preserve">Net Profit Margin </w:t>
      </w:r>
    </w:p>
    <w:p w14:paraId="59246B19" w14:textId="7273077F" w:rsidR="00D22E31" w:rsidRDefault="000E5B32">
      <w:r>
        <w:t>Net profit margin refers to the amount of money which the administration of an entity gets after paying all operational and income tax</w:t>
      </w:r>
      <w:r w:rsidR="00C26B5C">
        <w:t>-</w:t>
      </w:r>
      <w:r>
        <w:t>related obligation</w:t>
      </w:r>
      <w:r w:rsidR="00C26B5C">
        <w:t>s</w:t>
      </w:r>
      <w:r>
        <w:t xml:space="preserve"> of a given fiscal period with the support of generated cash or sales</w:t>
      </w:r>
      <w:sdt>
        <w:sdtPr>
          <w:id w:val="825329638"/>
          <w:citation/>
        </w:sdtPr>
        <w:sdtContent>
          <w:r w:rsidR="00890C0F">
            <w:fldChar w:fldCharType="begin"/>
          </w:r>
          <w:r w:rsidR="00890C0F">
            <w:rPr>
              <w:lang w:val="en-US"/>
            </w:rPr>
            <w:instrText xml:space="preserve"> CITATION Sap22 \l 1033 </w:instrText>
          </w:r>
          <w:r w:rsidR="00890C0F">
            <w:fldChar w:fldCharType="separate"/>
          </w:r>
          <w:r w:rsidR="00C26B5C">
            <w:rPr>
              <w:noProof/>
              <w:lang w:val="en-US"/>
            </w:rPr>
            <w:t xml:space="preserve"> </w:t>
          </w:r>
          <w:r w:rsidR="00C26B5C" w:rsidRPr="00C26B5C">
            <w:rPr>
              <w:noProof/>
              <w:lang w:val="en-US"/>
            </w:rPr>
            <w:t>(Saputra, 2022)</w:t>
          </w:r>
          <w:r w:rsidR="00890C0F">
            <w:fldChar w:fldCharType="end"/>
          </w:r>
        </w:sdtContent>
      </w:sdt>
      <w:r>
        <w:t>. The net profit margin</w:t>
      </w:r>
      <w:r w:rsidR="00C26B5C">
        <w:t>-</w:t>
      </w:r>
      <w:r>
        <w:t>related competence of Marriott International for 2020 and 2021 is evaluated as follows in tabular form-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6"/>
        <w:gridCol w:w="1723"/>
        <w:gridCol w:w="1723"/>
      </w:tblGrid>
      <w:tr w:rsidR="00793677" w:rsidRPr="00C26B5C" w14:paraId="4E4FC64E" w14:textId="77777777" w:rsidTr="00793677">
        <w:trPr>
          <w:trHeight w:val="360"/>
          <w:jc w:val="center"/>
        </w:trPr>
        <w:tc>
          <w:tcPr>
            <w:tcW w:w="0" w:type="auto"/>
            <w:shd w:val="clear" w:color="000000" w:fill="FFF2CC"/>
            <w:noWrap/>
            <w:vAlign w:val="bottom"/>
            <w:hideMark/>
          </w:tcPr>
          <w:p w14:paraId="5DF3D67B" w14:textId="77777777" w:rsidR="00793677" w:rsidRPr="00C26B5C" w:rsidRDefault="00793677" w:rsidP="00793677">
            <w:pPr>
              <w:spacing w:after="0" w:line="240" w:lineRule="auto"/>
              <w:jc w:val="left"/>
              <w:rPr>
                <w:rFonts w:eastAsia="Times New Roman" w:cs="Times New Roman"/>
                <w:b/>
                <w:bCs/>
                <w:color w:val="000000"/>
                <w:szCs w:val="24"/>
                <w:lang w:eastAsia="en-IN" w:bidi="ar-SA"/>
              </w:rPr>
            </w:pPr>
            <w:r w:rsidRPr="00C26B5C">
              <w:rPr>
                <w:rFonts w:eastAsia="Times New Roman" w:cs="Times New Roman"/>
                <w:b/>
                <w:bCs/>
                <w:color w:val="000000"/>
                <w:szCs w:val="24"/>
                <w:lang w:eastAsia="en-IN" w:bidi="ar-SA"/>
              </w:rPr>
              <w:t>Particular</w:t>
            </w:r>
          </w:p>
        </w:tc>
        <w:tc>
          <w:tcPr>
            <w:tcW w:w="0" w:type="auto"/>
            <w:shd w:val="clear" w:color="000000" w:fill="FFF2CC"/>
            <w:noWrap/>
            <w:vAlign w:val="bottom"/>
            <w:hideMark/>
          </w:tcPr>
          <w:p w14:paraId="6E78065F" w14:textId="77777777" w:rsidR="00793677" w:rsidRPr="00C26B5C" w:rsidRDefault="00793677" w:rsidP="00793677">
            <w:pPr>
              <w:spacing w:after="0" w:line="240" w:lineRule="auto"/>
              <w:jc w:val="left"/>
              <w:rPr>
                <w:rFonts w:eastAsia="Times New Roman" w:cs="Times New Roman"/>
                <w:b/>
                <w:bCs/>
                <w:color w:val="000000"/>
                <w:szCs w:val="24"/>
                <w:lang w:eastAsia="en-IN" w:bidi="ar-SA"/>
              </w:rPr>
            </w:pPr>
            <w:r w:rsidRPr="00C26B5C">
              <w:rPr>
                <w:rFonts w:eastAsia="Times New Roman" w:cs="Times New Roman"/>
                <w:b/>
                <w:bCs/>
                <w:color w:val="000000"/>
                <w:szCs w:val="24"/>
                <w:lang w:eastAsia="en-IN" w:bidi="ar-SA"/>
              </w:rPr>
              <w:t>Value for 2021</w:t>
            </w:r>
          </w:p>
        </w:tc>
        <w:tc>
          <w:tcPr>
            <w:tcW w:w="0" w:type="auto"/>
            <w:shd w:val="clear" w:color="000000" w:fill="FFF2CC"/>
            <w:noWrap/>
            <w:vAlign w:val="bottom"/>
            <w:hideMark/>
          </w:tcPr>
          <w:p w14:paraId="0D99549D" w14:textId="77777777" w:rsidR="00793677" w:rsidRPr="00C26B5C" w:rsidRDefault="00793677" w:rsidP="00793677">
            <w:pPr>
              <w:spacing w:after="0" w:line="240" w:lineRule="auto"/>
              <w:jc w:val="left"/>
              <w:rPr>
                <w:rFonts w:eastAsia="Times New Roman" w:cs="Times New Roman"/>
                <w:b/>
                <w:bCs/>
                <w:color w:val="000000"/>
                <w:szCs w:val="24"/>
                <w:lang w:eastAsia="en-IN" w:bidi="ar-SA"/>
              </w:rPr>
            </w:pPr>
            <w:r w:rsidRPr="00C26B5C">
              <w:rPr>
                <w:rFonts w:eastAsia="Times New Roman" w:cs="Times New Roman"/>
                <w:b/>
                <w:bCs/>
                <w:color w:val="000000"/>
                <w:szCs w:val="24"/>
                <w:lang w:eastAsia="en-IN" w:bidi="ar-SA"/>
              </w:rPr>
              <w:t>Value for 2020</w:t>
            </w:r>
          </w:p>
        </w:tc>
      </w:tr>
      <w:tr w:rsidR="00793677" w:rsidRPr="00C26B5C" w14:paraId="0F2FE34A" w14:textId="77777777" w:rsidTr="00793677">
        <w:trPr>
          <w:trHeight w:val="288"/>
          <w:jc w:val="center"/>
        </w:trPr>
        <w:tc>
          <w:tcPr>
            <w:tcW w:w="0" w:type="auto"/>
            <w:shd w:val="clear" w:color="auto" w:fill="auto"/>
            <w:noWrap/>
            <w:vAlign w:val="bottom"/>
            <w:hideMark/>
          </w:tcPr>
          <w:p w14:paraId="12583416" w14:textId="77777777" w:rsidR="00793677" w:rsidRPr="00C26B5C" w:rsidRDefault="00793677" w:rsidP="00793677">
            <w:pPr>
              <w:spacing w:after="0" w:line="240" w:lineRule="auto"/>
              <w:jc w:val="left"/>
              <w:rPr>
                <w:rFonts w:eastAsia="Times New Roman" w:cs="Times New Roman"/>
                <w:color w:val="000000"/>
                <w:szCs w:val="24"/>
                <w:lang w:eastAsia="en-IN" w:bidi="ar-SA"/>
              </w:rPr>
            </w:pPr>
            <w:r w:rsidRPr="00C26B5C">
              <w:rPr>
                <w:rFonts w:eastAsia="Times New Roman" w:cs="Times New Roman"/>
                <w:color w:val="000000"/>
                <w:szCs w:val="24"/>
                <w:lang w:eastAsia="en-IN" w:bidi="ar-SA"/>
              </w:rPr>
              <w:t>Net Profit Margin</w:t>
            </w:r>
          </w:p>
        </w:tc>
        <w:tc>
          <w:tcPr>
            <w:tcW w:w="0" w:type="auto"/>
            <w:shd w:val="clear" w:color="auto" w:fill="auto"/>
            <w:noWrap/>
            <w:vAlign w:val="center"/>
            <w:hideMark/>
          </w:tcPr>
          <w:p w14:paraId="5CD2F05B" w14:textId="77777777" w:rsidR="00793677" w:rsidRPr="00C26B5C" w:rsidRDefault="00793677" w:rsidP="00793677">
            <w:pPr>
              <w:spacing w:after="0" w:line="240" w:lineRule="auto"/>
              <w:jc w:val="center"/>
              <w:rPr>
                <w:rFonts w:eastAsia="Times New Roman" w:cs="Times New Roman"/>
                <w:color w:val="000000"/>
                <w:szCs w:val="24"/>
                <w:lang w:eastAsia="en-IN" w:bidi="ar-SA"/>
              </w:rPr>
            </w:pPr>
            <w:r w:rsidRPr="00C26B5C">
              <w:rPr>
                <w:rFonts w:eastAsia="Times New Roman" w:cs="Times New Roman"/>
                <w:color w:val="000000"/>
                <w:szCs w:val="24"/>
                <w:lang w:eastAsia="en-IN" w:bidi="ar-SA"/>
              </w:rPr>
              <w:t>7.93</w:t>
            </w:r>
          </w:p>
        </w:tc>
        <w:tc>
          <w:tcPr>
            <w:tcW w:w="0" w:type="auto"/>
            <w:shd w:val="clear" w:color="auto" w:fill="auto"/>
            <w:noWrap/>
            <w:vAlign w:val="center"/>
            <w:hideMark/>
          </w:tcPr>
          <w:p w14:paraId="235BAE06" w14:textId="77777777" w:rsidR="00793677" w:rsidRPr="00C26B5C" w:rsidRDefault="00793677" w:rsidP="00793677">
            <w:pPr>
              <w:spacing w:after="0" w:line="240" w:lineRule="auto"/>
              <w:jc w:val="center"/>
              <w:rPr>
                <w:rFonts w:eastAsia="Times New Roman" w:cs="Times New Roman"/>
                <w:color w:val="000000"/>
                <w:szCs w:val="24"/>
                <w:lang w:eastAsia="en-IN" w:bidi="ar-SA"/>
              </w:rPr>
            </w:pPr>
            <w:r w:rsidRPr="00C26B5C">
              <w:rPr>
                <w:rFonts w:eastAsia="Times New Roman" w:cs="Times New Roman"/>
                <w:color w:val="000000"/>
                <w:szCs w:val="24"/>
                <w:lang w:eastAsia="en-IN" w:bidi="ar-SA"/>
              </w:rPr>
              <w:t>-2.52</w:t>
            </w:r>
          </w:p>
        </w:tc>
      </w:tr>
    </w:tbl>
    <w:p w14:paraId="76C48311" w14:textId="6BE508B4" w:rsidR="00793677" w:rsidRDefault="00793677"/>
    <w:p w14:paraId="4C8BC006" w14:textId="6CBEB01A" w:rsidR="00793677" w:rsidRDefault="000E5B32">
      <w:r>
        <w:t xml:space="preserve">As per the ratio analysis, it is found that the management of Marriott International faced a net loss of 2.52 % </w:t>
      </w:r>
      <w:r w:rsidR="00C26B5C">
        <w:t xml:space="preserve">in </w:t>
      </w:r>
      <w:r>
        <w:t>2020 while continuing its operational activity</w:t>
      </w:r>
      <w:r w:rsidR="00C26B5C">
        <w:t>,</w:t>
      </w:r>
      <w:r>
        <w:t xml:space="preserve"> and this was possible due to </w:t>
      </w:r>
      <w:r w:rsidR="00C26B5C">
        <w:t xml:space="preserve">a </w:t>
      </w:r>
      <w:r>
        <w:t xml:space="preserve">sudden hike in the price of inventory and </w:t>
      </w:r>
      <w:r w:rsidR="00C26B5C">
        <w:t xml:space="preserve">a </w:t>
      </w:r>
      <w:r>
        <w:t xml:space="preserve">reduction in </w:t>
      </w:r>
      <w:r w:rsidR="00C26B5C">
        <w:t xml:space="preserve">a </w:t>
      </w:r>
      <w:r>
        <w:t xml:space="preserve">number of visitors due to covid-19 </w:t>
      </w:r>
      <w:r>
        <w:lastRenderedPageBreak/>
        <w:t>situation</w:t>
      </w:r>
      <w:sdt>
        <w:sdtPr>
          <w:id w:val="-186828945"/>
          <w:citation/>
        </w:sdtPr>
        <w:sdtContent>
          <w:r w:rsidR="00890C0F">
            <w:fldChar w:fldCharType="begin"/>
          </w:r>
          <w:r w:rsidR="00890C0F">
            <w:rPr>
              <w:lang w:val="en-US"/>
            </w:rPr>
            <w:instrText xml:space="preserve"> CITATION Mar20 \l 1033 </w:instrText>
          </w:r>
          <w:r w:rsidR="00890C0F">
            <w:fldChar w:fldCharType="separate"/>
          </w:r>
          <w:r w:rsidR="00C26B5C">
            <w:rPr>
              <w:noProof/>
              <w:lang w:val="en-US"/>
            </w:rPr>
            <w:t xml:space="preserve"> </w:t>
          </w:r>
          <w:r w:rsidR="00C26B5C" w:rsidRPr="00C26B5C">
            <w:rPr>
              <w:noProof/>
              <w:lang w:val="en-US"/>
            </w:rPr>
            <w:t>(Marriott, 2020)</w:t>
          </w:r>
          <w:r w:rsidR="00890C0F">
            <w:fldChar w:fldCharType="end"/>
          </w:r>
        </w:sdtContent>
      </w:sdt>
      <w:r>
        <w:t>. In 2021, the administration of the hotel service</w:t>
      </w:r>
      <w:r w:rsidR="00C26B5C">
        <w:t>-</w:t>
      </w:r>
      <w:r>
        <w:t>providing company strategically promoted its competitive hospitality service through digital platforms with a promise of touchless and saniti</w:t>
      </w:r>
      <w:r w:rsidR="00C26B5C">
        <w:t>s</w:t>
      </w:r>
      <w:r>
        <w:t>ed hospitality service</w:t>
      </w:r>
      <w:r w:rsidR="00C26B5C">
        <w:t>,</w:t>
      </w:r>
      <w:r>
        <w:t xml:space="preserve"> and this eventually helped in having higher customer footfall </w:t>
      </w:r>
      <w:r w:rsidR="00C26B5C">
        <w:t>at</w:t>
      </w:r>
      <w:r>
        <w:t xml:space="preserve"> </w:t>
      </w:r>
      <w:r w:rsidR="00C26B5C">
        <w:t xml:space="preserve">a </w:t>
      </w:r>
      <w:r>
        <w:t>minimum cost. The outcome of strategic action of the management of Marriott International towards customer acquisition and cost optimi</w:t>
      </w:r>
      <w:r w:rsidR="00C26B5C">
        <w:t>s</w:t>
      </w:r>
      <w:r>
        <w:t xml:space="preserve">ation assisted it </w:t>
      </w:r>
      <w:r w:rsidR="00C26B5C">
        <w:t>in getting</w:t>
      </w:r>
      <w:r>
        <w:t xml:space="preserve"> its net profit margin raised up to 7.93 % in 2021. It means that there is a progressive and rising trend within the overall operating cost and net profit margin management</w:t>
      </w:r>
      <w:r w:rsidR="00C26B5C">
        <w:t>-</w:t>
      </w:r>
      <w:r>
        <w:t>related trait of Marriott International moving from 2020 to 2021.</w:t>
      </w:r>
    </w:p>
    <w:p w14:paraId="1D1C21E0" w14:textId="699DE20E" w:rsidR="00D22E31" w:rsidRPr="00D22E31" w:rsidRDefault="00D22E31">
      <w:pPr>
        <w:rPr>
          <w:b/>
          <w:bCs/>
        </w:rPr>
      </w:pPr>
      <w:r w:rsidRPr="00D22E31">
        <w:rPr>
          <w:b/>
          <w:bCs/>
        </w:rPr>
        <w:t>Return on Investment (ROI)</w:t>
      </w:r>
    </w:p>
    <w:p w14:paraId="68F623C7" w14:textId="68D5B6BE" w:rsidR="00D22E31" w:rsidRDefault="003B14B7">
      <w:r>
        <w:t>Return on investment refers to the amount which the administration of an organi</w:t>
      </w:r>
      <w:r w:rsidR="00C26B5C">
        <w:t>s</w:t>
      </w:r>
      <w:r>
        <w:t xml:space="preserve">ation gets </w:t>
      </w:r>
      <w:r w:rsidR="009C3C21">
        <w:t>in the form of return on the investment in an organi</w:t>
      </w:r>
      <w:r w:rsidR="00C26B5C">
        <w:t>s</w:t>
      </w:r>
      <w:r w:rsidR="009C3C21">
        <w:t>ational project or activity</w:t>
      </w:r>
      <w:sdt>
        <w:sdtPr>
          <w:id w:val="-2046756766"/>
          <w:citation/>
        </w:sdtPr>
        <w:sdtContent>
          <w:r w:rsidR="00890C0F">
            <w:fldChar w:fldCharType="begin"/>
          </w:r>
          <w:r w:rsidR="00890C0F">
            <w:rPr>
              <w:lang w:val="en-US"/>
            </w:rPr>
            <w:instrText xml:space="preserve"> CITATION Ben16 \l 1033 </w:instrText>
          </w:r>
          <w:r w:rsidR="00890C0F">
            <w:fldChar w:fldCharType="separate"/>
          </w:r>
          <w:r w:rsidR="00C26B5C">
            <w:rPr>
              <w:noProof/>
              <w:lang w:val="en-US"/>
            </w:rPr>
            <w:t xml:space="preserve"> </w:t>
          </w:r>
          <w:r w:rsidR="00C26B5C" w:rsidRPr="00C26B5C">
            <w:rPr>
              <w:noProof/>
              <w:lang w:val="en-US"/>
            </w:rPr>
            <w:t>(Benamraoui, et al., 2016)</w:t>
          </w:r>
          <w:r w:rsidR="00890C0F">
            <w:fldChar w:fldCharType="end"/>
          </w:r>
        </w:sdtContent>
      </w:sdt>
      <w:r w:rsidR="009C3C21">
        <w:t xml:space="preserve">. The </w:t>
      </w:r>
      <w:r w:rsidR="00572D00">
        <w:t xml:space="preserve">competence </w:t>
      </w:r>
      <w:r w:rsidR="00C26B5C">
        <w:t>that</w:t>
      </w:r>
      <w:r w:rsidR="00572D00">
        <w:t xml:space="preserve"> the team of Marriott International has shown in terms of ROI in 2020 and 2021 is presented as follows in the form of ROI accounting ratio-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6"/>
        <w:gridCol w:w="1723"/>
        <w:gridCol w:w="1723"/>
      </w:tblGrid>
      <w:tr w:rsidR="00793677" w:rsidRPr="00C26B5C" w14:paraId="44226962" w14:textId="77777777" w:rsidTr="00793677">
        <w:trPr>
          <w:trHeight w:val="360"/>
          <w:jc w:val="center"/>
        </w:trPr>
        <w:tc>
          <w:tcPr>
            <w:tcW w:w="0" w:type="auto"/>
            <w:shd w:val="clear" w:color="000000" w:fill="FFF2CC"/>
            <w:noWrap/>
            <w:vAlign w:val="bottom"/>
            <w:hideMark/>
          </w:tcPr>
          <w:p w14:paraId="03ACBB68" w14:textId="77777777" w:rsidR="00793677" w:rsidRPr="00C26B5C" w:rsidRDefault="00793677" w:rsidP="00793677">
            <w:pPr>
              <w:spacing w:after="0" w:line="240" w:lineRule="auto"/>
              <w:jc w:val="left"/>
              <w:rPr>
                <w:rFonts w:eastAsia="Times New Roman" w:cs="Times New Roman"/>
                <w:b/>
                <w:bCs/>
                <w:color w:val="000000"/>
                <w:szCs w:val="24"/>
                <w:lang w:eastAsia="en-IN" w:bidi="ar-SA"/>
              </w:rPr>
            </w:pPr>
            <w:r w:rsidRPr="00C26B5C">
              <w:rPr>
                <w:rFonts w:eastAsia="Times New Roman" w:cs="Times New Roman"/>
                <w:b/>
                <w:bCs/>
                <w:color w:val="000000"/>
                <w:szCs w:val="24"/>
                <w:lang w:eastAsia="en-IN" w:bidi="ar-SA"/>
              </w:rPr>
              <w:t>Particular</w:t>
            </w:r>
          </w:p>
        </w:tc>
        <w:tc>
          <w:tcPr>
            <w:tcW w:w="0" w:type="auto"/>
            <w:shd w:val="clear" w:color="000000" w:fill="FFF2CC"/>
            <w:noWrap/>
            <w:vAlign w:val="bottom"/>
            <w:hideMark/>
          </w:tcPr>
          <w:p w14:paraId="149E3929" w14:textId="77777777" w:rsidR="00793677" w:rsidRPr="00C26B5C" w:rsidRDefault="00793677" w:rsidP="00793677">
            <w:pPr>
              <w:spacing w:after="0" w:line="240" w:lineRule="auto"/>
              <w:jc w:val="left"/>
              <w:rPr>
                <w:rFonts w:eastAsia="Times New Roman" w:cs="Times New Roman"/>
                <w:b/>
                <w:bCs/>
                <w:color w:val="000000"/>
                <w:szCs w:val="24"/>
                <w:lang w:eastAsia="en-IN" w:bidi="ar-SA"/>
              </w:rPr>
            </w:pPr>
            <w:r w:rsidRPr="00C26B5C">
              <w:rPr>
                <w:rFonts w:eastAsia="Times New Roman" w:cs="Times New Roman"/>
                <w:b/>
                <w:bCs/>
                <w:color w:val="000000"/>
                <w:szCs w:val="24"/>
                <w:lang w:eastAsia="en-IN" w:bidi="ar-SA"/>
              </w:rPr>
              <w:t>Value for 2021</w:t>
            </w:r>
          </w:p>
        </w:tc>
        <w:tc>
          <w:tcPr>
            <w:tcW w:w="0" w:type="auto"/>
            <w:shd w:val="clear" w:color="000000" w:fill="FFF2CC"/>
            <w:noWrap/>
            <w:vAlign w:val="bottom"/>
            <w:hideMark/>
          </w:tcPr>
          <w:p w14:paraId="15038C19" w14:textId="77777777" w:rsidR="00793677" w:rsidRPr="00C26B5C" w:rsidRDefault="00793677" w:rsidP="00793677">
            <w:pPr>
              <w:spacing w:after="0" w:line="240" w:lineRule="auto"/>
              <w:jc w:val="left"/>
              <w:rPr>
                <w:rFonts w:eastAsia="Times New Roman" w:cs="Times New Roman"/>
                <w:b/>
                <w:bCs/>
                <w:color w:val="000000"/>
                <w:szCs w:val="24"/>
                <w:lang w:eastAsia="en-IN" w:bidi="ar-SA"/>
              </w:rPr>
            </w:pPr>
            <w:r w:rsidRPr="00C26B5C">
              <w:rPr>
                <w:rFonts w:eastAsia="Times New Roman" w:cs="Times New Roman"/>
                <w:b/>
                <w:bCs/>
                <w:color w:val="000000"/>
                <w:szCs w:val="24"/>
                <w:lang w:eastAsia="en-IN" w:bidi="ar-SA"/>
              </w:rPr>
              <w:t>Value for 2020</w:t>
            </w:r>
          </w:p>
        </w:tc>
      </w:tr>
      <w:tr w:rsidR="00793677" w:rsidRPr="00C26B5C" w14:paraId="6BFC2530" w14:textId="77777777" w:rsidTr="00793677">
        <w:trPr>
          <w:trHeight w:val="288"/>
          <w:jc w:val="center"/>
        </w:trPr>
        <w:tc>
          <w:tcPr>
            <w:tcW w:w="0" w:type="auto"/>
            <w:shd w:val="clear" w:color="auto" w:fill="auto"/>
            <w:noWrap/>
            <w:vAlign w:val="bottom"/>
            <w:hideMark/>
          </w:tcPr>
          <w:p w14:paraId="2AB052ED" w14:textId="77777777" w:rsidR="00793677" w:rsidRPr="00C26B5C" w:rsidRDefault="00793677" w:rsidP="00793677">
            <w:pPr>
              <w:spacing w:after="0" w:line="240" w:lineRule="auto"/>
              <w:jc w:val="left"/>
              <w:rPr>
                <w:rFonts w:eastAsia="Times New Roman" w:cs="Times New Roman"/>
                <w:color w:val="000000"/>
                <w:szCs w:val="24"/>
                <w:lang w:eastAsia="en-IN" w:bidi="ar-SA"/>
              </w:rPr>
            </w:pPr>
            <w:r w:rsidRPr="00C26B5C">
              <w:rPr>
                <w:rFonts w:eastAsia="Times New Roman" w:cs="Times New Roman"/>
                <w:color w:val="000000"/>
                <w:szCs w:val="24"/>
                <w:lang w:eastAsia="en-IN" w:bidi="ar-SA"/>
              </w:rPr>
              <w:t>Return on Investment</w:t>
            </w:r>
          </w:p>
        </w:tc>
        <w:tc>
          <w:tcPr>
            <w:tcW w:w="0" w:type="auto"/>
            <w:shd w:val="clear" w:color="auto" w:fill="auto"/>
            <w:noWrap/>
            <w:vAlign w:val="center"/>
            <w:hideMark/>
          </w:tcPr>
          <w:p w14:paraId="496A1009" w14:textId="77777777" w:rsidR="00793677" w:rsidRPr="00C26B5C" w:rsidRDefault="00793677" w:rsidP="00793677">
            <w:pPr>
              <w:spacing w:after="0" w:line="240" w:lineRule="auto"/>
              <w:jc w:val="center"/>
              <w:rPr>
                <w:rFonts w:eastAsia="Times New Roman" w:cs="Times New Roman"/>
                <w:color w:val="000000"/>
                <w:szCs w:val="24"/>
                <w:lang w:eastAsia="en-IN" w:bidi="ar-SA"/>
              </w:rPr>
            </w:pPr>
            <w:r w:rsidRPr="00C26B5C">
              <w:rPr>
                <w:rFonts w:eastAsia="Times New Roman" w:cs="Times New Roman"/>
                <w:color w:val="000000"/>
                <w:szCs w:val="24"/>
                <w:lang w:eastAsia="en-IN" w:bidi="ar-SA"/>
              </w:rPr>
              <w:t>10.22</w:t>
            </w:r>
          </w:p>
        </w:tc>
        <w:tc>
          <w:tcPr>
            <w:tcW w:w="0" w:type="auto"/>
            <w:shd w:val="clear" w:color="auto" w:fill="auto"/>
            <w:noWrap/>
            <w:vAlign w:val="center"/>
            <w:hideMark/>
          </w:tcPr>
          <w:p w14:paraId="04F5FD1E" w14:textId="77777777" w:rsidR="00793677" w:rsidRPr="00C26B5C" w:rsidRDefault="00793677" w:rsidP="00793677">
            <w:pPr>
              <w:spacing w:after="0" w:line="240" w:lineRule="auto"/>
              <w:jc w:val="center"/>
              <w:rPr>
                <w:rFonts w:eastAsia="Times New Roman" w:cs="Times New Roman"/>
                <w:color w:val="000000"/>
                <w:szCs w:val="24"/>
                <w:lang w:eastAsia="en-IN" w:bidi="ar-SA"/>
              </w:rPr>
            </w:pPr>
            <w:r w:rsidRPr="00C26B5C">
              <w:rPr>
                <w:rFonts w:eastAsia="Times New Roman" w:cs="Times New Roman"/>
                <w:color w:val="000000"/>
                <w:szCs w:val="24"/>
                <w:lang w:eastAsia="en-IN" w:bidi="ar-SA"/>
              </w:rPr>
              <w:t>-2.77</w:t>
            </w:r>
          </w:p>
        </w:tc>
      </w:tr>
    </w:tbl>
    <w:p w14:paraId="5EE15FE8" w14:textId="2F7732E0" w:rsidR="00793677" w:rsidRDefault="00793677"/>
    <w:p w14:paraId="0AE7949E" w14:textId="235F9845" w:rsidR="00126418" w:rsidRDefault="00126418" w:rsidP="00126418">
      <w:pPr>
        <w:jc w:val="center"/>
      </w:pPr>
      <w:r>
        <w:rPr>
          <w:noProof/>
          <w:lang w:eastAsia="en-IN" w:bidi="ar-SA"/>
        </w:rPr>
        <w:drawing>
          <wp:inline distT="0" distB="0" distL="0" distR="0" wp14:anchorId="256164B6" wp14:editId="7996BAFD">
            <wp:extent cx="5731510" cy="2657475"/>
            <wp:effectExtent l="0" t="0" r="2540" b="9525"/>
            <wp:docPr id="4" name="Chart 4">
              <a:extLst xmlns:a="http://schemas.openxmlformats.org/drawingml/2006/main">
                <a:ext uri="{FF2B5EF4-FFF2-40B4-BE49-F238E27FC236}">
                  <a16:creationId xmlns:a16="http://schemas.microsoft.com/office/drawing/2014/main" id="{91F7D8AA-32D4-828E-EC2A-53E837F1C2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DDB92C5" w14:textId="3E945B6F" w:rsidR="00793677" w:rsidRDefault="006A3F6C">
      <w:r>
        <w:t xml:space="preserve">On the evaluation of the graphical outcome, it is found that the </w:t>
      </w:r>
      <w:r w:rsidR="00656742">
        <w:t>return which the management of Marriott International had generated in 2020 on the investment in its hospitality activity was -ve 2.77 %</w:t>
      </w:r>
      <w:r w:rsidR="00C26B5C">
        <w:t>,</w:t>
      </w:r>
      <w:r w:rsidR="00656742">
        <w:t xml:space="preserve"> and this was found due to </w:t>
      </w:r>
      <w:r w:rsidR="00C26B5C">
        <w:t xml:space="preserve">a </w:t>
      </w:r>
      <w:r w:rsidR="00656742">
        <w:t xml:space="preserve">sharp hike in inflation and reduction in visitors due to </w:t>
      </w:r>
      <w:r w:rsidR="00C26B5C">
        <w:t xml:space="preserve">the </w:t>
      </w:r>
      <w:r w:rsidR="00656742">
        <w:t xml:space="preserve">pandemic. </w:t>
      </w:r>
      <w:r w:rsidR="00C26B5C">
        <w:t>To reduce</w:t>
      </w:r>
      <w:r w:rsidR="0062770E">
        <w:t xml:space="preserve"> the impact of inflation and augment the growth of sales, the administration of the hotel service</w:t>
      </w:r>
      <w:r w:rsidR="00C26B5C">
        <w:t>-</w:t>
      </w:r>
      <w:r w:rsidR="0062770E">
        <w:t xml:space="preserve">providing company </w:t>
      </w:r>
      <w:r w:rsidR="00FC2A1D">
        <w:t xml:space="preserve">strategically focussed </w:t>
      </w:r>
      <w:r w:rsidR="00C26B5C">
        <w:t>o</w:t>
      </w:r>
      <w:r w:rsidR="00FC2A1D">
        <w:t>n procuring essential inventory from cost-efficient suppliers along with adopting digitali</w:t>
      </w:r>
      <w:r w:rsidR="00C26B5C">
        <w:t>s</w:t>
      </w:r>
      <w:r w:rsidR="00FC2A1D">
        <w:t xml:space="preserve">ed business </w:t>
      </w:r>
      <w:r w:rsidR="00FC2A1D">
        <w:lastRenderedPageBreak/>
        <w:t>model. The outcome of the digitali</w:t>
      </w:r>
      <w:r w:rsidR="00C26B5C">
        <w:t>s</w:t>
      </w:r>
      <w:r w:rsidR="00FC2A1D">
        <w:t>ed and cost-efficient business strategy of Marriott International is that it faced a</w:t>
      </w:r>
      <w:r w:rsidR="00C26B5C">
        <w:t>n</w:t>
      </w:r>
      <w:r w:rsidR="00FC2A1D">
        <w:t xml:space="preserve"> ROI of 10.22 % in 2021</w:t>
      </w:r>
      <w:r w:rsidR="00C26B5C">
        <w:t>,</w:t>
      </w:r>
      <w:r w:rsidR="00FC2A1D">
        <w:t xml:space="preserve"> which was </w:t>
      </w:r>
      <w:r w:rsidR="00C26B5C">
        <w:t>a</w:t>
      </w:r>
      <w:r w:rsidR="00FC2A1D">
        <w:t xml:space="preserve">round 112 % higher than that of </w:t>
      </w:r>
      <w:r w:rsidR="00C26B5C">
        <w:t xml:space="preserve">the </w:t>
      </w:r>
      <w:r w:rsidR="00FC2A1D">
        <w:t xml:space="preserve">previous year. It means that there is </w:t>
      </w:r>
      <w:r w:rsidR="00C26B5C">
        <w:t xml:space="preserve">a </w:t>
      </w:r>
      <w:r w:rsidR="00FC2A1D">
        <w:t>progressive trend within the ROI</w:t>
      </w:r>
      <w:r w:rsidR="00C26B5C">
        <w:t>-</w:t>
      </w:r>
      <w:r w:rsidR="00FC2A1D">
        <w:t xml:space="preserve">related element of </w:t>
      </w:r>
      <w:r w:rsidR="00C26B5C">
        <w:t xml:space="preserve">the </w:t>
      </w:r>
      <w:r w:rsidR="00FC2A1D">
        <w:t>financial performance of Marriott International</w:t>
      </w:r>
      <w:r w:rsidR="00C26B5C">
        <w:t>,</w:t>
      </w:r>
      <w:r w:rsidR="00FC2A1D">
        <w:t xml:space="preserve"> moving from 2020 to 2021</w:t>
      </w:r>
      <w:sdt>
        <w:sdtPr>
          <w:id w:val="641475342"/>
          <w:citation/>
        </w:sdtPr>
        <w:sdtContent>
          <w:r w:rsidR="00890C0F">
            <w:fldChar w:fldCharType="begin"/>
          </w:r>
          <w:r w:rsidR="00890C0F">
            <w:rPr>
              <w:lang w:val="en-US"/>
            </w:rPr>
            <w:instrText xml:space="preserve"> CITATION Mar222 \l 1033 </w:instrText>
          </w:r>
          <w:r w:rsidR="00890C0F">
            <w:fldChar w:fldCharType="separate"/>
          </w:r>
          <w:r w:rsidR="00C26B5C">
            <w:rPr>
              <w:noProof/>
              <w:lang w:val="en-US"/>
            </w:rPr>
            <w:t xml:space="preserve"> </w:t>
          </w:r>
          <w:r w:rsidR="00C26B5C" w:rsidRPr="00C26B5C">
            <w:rPr>
              <w:noProof/>
              <w:lang w:val="en-US"/>
            </w:rPr>
            <w:t>(Marriott, 2022)</w:t>
          </w:r>
          <w:r w:rsidR="00890C0F">
            <w:fldChar w:fldCharType="end"/>
          </w:r>
        </w:sdtContent>
      </w:sdt>
      <w:r w:rsidR="00FC2A1D">
        <w:t>.</w:t>
      </w:r>
    </w:p>
    <w:p w14:paraId="0E46D49D" w14:textId="61AE4E98" w:rsidR="00D22E31" w:rsidRPr="00D22E31" w:rsidRDefault="00D22E31">
      <w:pPr>
        <w:rPr>
          <w:b/>
          <w:bCs/>
        </w:rPr>
      </w:pPr>
      <w:r w:rsidRPr="00D22E31">
        <w:rPr>
          <w:b/>
          <w:bCs/>
        </w:rPr>
        <w:t>Return on Equity (ROE)</w:t>
      </w:r>
    </w:p>
    <w:p w14:paraId="7709FB2D" w14:textId="60D93E96" w:rsidR="00D22E31" w:rsidRDefault="00FC2A1D">
      <w:r>
        <w:t xml:space="preserve">Return on equity refers to the amount of return or profit margin </w:t>
      </w:r>
      <w:r w:rsidR="00C26B5C">
        <w:t>that</w:t>
      </w:r>
      <w:r>
        <w:t xml:space="preserve"> the management of an organi</w:t>
      </w:r>
      <w:r w:rsidR="00C26B5C">
        <w:t>s</w:t>
      </w:r>
      <w:r>
        <w:t>ation gets on the total value of shareholder’s equity</w:t>
      </w:r>
      <w:sdt>
        <w:sdtPr>
          <w:id w:val="-760063620"/>
          <w:citation/>
        </w:sdtPr>
        <w:sdtContent>
          <w:r w:rsidR="00890C0F">
            <w:fldChar w:fldCharType="begin"/>
          </w:r>
          <w:r w:rsidR="00890C0F">
            <w:rPr>
              <w:lang w:val="en-US"/>
            </w:rPr>
            <w:instrText xml:space="preserve"> CITATION Gal17 \l 1033 </w:instrText>
          </w:r>
          <w:r w:rsidR="00890C0F">
            <w:fldChar w:fldCharType="separate"/>
          </w:r>
          <w:r w:rsidR="00C26B5C">
            <w:rPr>
              <w:noProof/>
              <w:lang w:val="en-US"/>
            </w:rPr>
            <w:t xml:space="preserve"> </w:t>
          </w:r>
          <w:r w:rsidR="00C26B5C" w:rsidRPr="00C26B5C">
            <w:rPr>
              <w:noProof/>
              <w:lang w:val="en-US"/>
            </w:rPr>
            <w:t>(Galstian, 2017)</w:t>
          </w:r>
          <w:r w:rsidR="00890C0F">
            <w:fldChar w:fldCharType="end"/>
          </w:r>
        </w:sdtContent>
      </w:sdt>
      <w:r>
        <w:t>. The ROE</w:t>
      </w:r>
      <w:r w:rsidR="00C26B5C">
        <w:t>-</w:t>
      </w:r>
      <w:r>
        <w:t>related economic competence of Marriott International for 2020 and 2021 is presented as follows-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9"/>
        <w:gridCol w:w="1723"/>
        <w:gridCol w:w="1723"/>
      </w:tblGrid>
      <w:tr w:rsidR="00793677" w:rsidRPr="00C26B5C" w14:paraId="541EB2A4" w14:textId="77777777" w:rsidTr="00793677">
        <w:trPr>
          <w:trHeight w:val="360"/>
          <w:jc w:val="center"/>
        </w:trPr>
        <w:tc>
          <w:tcPr>
            <w:tcW w:w="0" w:type="auto"/>
            <w:shd w:val="clear" w:color="000000" w:fill="FFF2CC"/>
            <w:noWrap/>
            <w:vAlign w:val="bottom"/>
            <w:hideMark/>
          </w:tcPr>
          <w:p w14:paraId="738170CC" w14:textId="77777777" w:rsidR="00793677" w:rsidRPr="00C26B5C" w:rsidRDefault="00793677" w:rsidP="00793677">
            <w:pPr>
              <w:spacing w:after="0" w:line="240" w:lineRule="auto"/>
              <w:jc w:val="left"/>
              <w:rPr>
                <w:rFonts w:eastAsia="Times New Roman" w:cs="Times New Roman"/>
                <w:b/>
                <w:bCs/>
                <w:color w:val="000000"/>
                <w:szCs w:val="24"/>
                <w:lang w:eastAsia="en-IN" w:bidi="ar-SA"/>
              </w:rPr>
            </w:pPr>
            <w:r w:rsidRPr="00C26B5C">
              <w:rPr>
                <w:rFonts w:eastAsia="Times New Roman" w:cs="Times New Roman"/>
                <w:b/>
                <w:bCs/>
                <w:color w:val="000000"/>
                <w:szCs w:val="24"/>
                <w:lang w:eastAsia="en-IN" w:bidi="ar-SA"/>
              </w:rPr>
              <w:t>Particular</w:t>
            </w:r>
          </w:p>
        </w:tc>
        <w:tc>
          <w:tcPr>
            <w:tcW w:w="0" w:type="auto"/>
            <w:shd w:val="clear" w:color="000000" w:fill="FFF2CC"/>
            <w:noWrap/>
            <w:vAlign w:val="bottom"/>
            <w:hideMark/>
          </w:tcPr>
          <w:p w14:paraId="47D1471C" w14:textId="77777777" w:rsidR="00793677" w:rsidRPr="00C26B5C" w:rsidRDefault="00793677" w:rsidP="00793677">
            <w:pPr>
              <w:spacing w:after="0" w:line="240" w:lineRule="auto"/>
              <w:jc w:val="left"/>
              <w:rPr>
                <w:rFonts w:eastAsia="Times New Roman" w:cs="Times New Roman"/>
                <w:b/>
                <w:bCs/>
                <w:color w:val="000000"/>
                <w:szCs w:val="24"/>
                <w:lang w:eastAsia="en-IN" w:bidi="ar-SA"/>
              </w:rPr>
            </w:pPr>
            <w:r w:rsidRPr="00C26B5C">
              <w:rPr>
                <w:rFonts w:eastAsia="Times New Roman" w:cs="Times New Roman"/>
                <w:b/>
                <w:bCs/>
                <w:color w:val="000000"/>
                <w:szCs w:val="24"/>
                <w:lang w:eastAsia="en-IN" w:bidi="ar-SA"/>
              </w:rPr>
              <w:t>Value for 2021</w:t>
            </w:r>
          </w:p>
        </w:tc>
        <w:tc>
          <w:tcPr>
            <w:tcW w:w="0" w:type="auto"/>
            <w:shd w:val="clear" w:color="000000" w:fill="FFF2CC"/>
            <w:noWrap/>
            <w:vAlign w:val="bottom"/>
            <w:hideMark/>
          </w:tcPr>
          <w:p w14:paraId="42A1CC12" w14:textId="77777777" w:rsidR="00793677" w:rsidRPr="00C26B5C" w:rsidRDefault="00793677" w:rsidP="00793677">
            <w:pPr>
              <w:spacing w:after="0" w:line="240" w:lineRule="auto"/>
              <w:jc w:val="left"/>
              <w:rPr>
                <w:rFonts w:eastAsia="Times New Roman" w:cs="Times New Roman"/>
                <w:b/>
                <w:bCs/>
                <w:color w:val="000000"/>
                <w:szCs w:val="24"/>
                <w:lang w:eastAsia="en-IN" w:bidi="ar-SA"/>
              </w:rPr>
            </w:pPr>
            <w:r w:rsidRPr="00C26B5C">
              <w:rPr>
                <w:rFonts w:eastAsia="Times New Roman" w:cs="Times New Roman"/>
                <w:b/>
                <w:bCs/>
                <w:color w:val="000000"/>
                <w:szCs w:val="24"/>
                <w:lang w:eastAsia="en-IN" w:bidi="ar-SA"/>
              </w:rPr>
              <w:t>Value for 2020</w:t>
            </w:r>
          </w:p>
        </w:tc>
      </w:tr>
      <w:tr w:rsidR="00793677" w:rsidRPr="00C26B5C" w14:paraId="3666E1D4" w14:textId="77777777" w:rsidTr="00793677">
        <w:trPr>
          <w:trHeight w:val="288"/>
          <w:jc w:val="center"/>
        </w:trPr>
        <w:tc>
          <w:tcPr>
            <w:tcW w:w="0" w:type="auto"/>
            <w:shd w:val="clear" w:color="auto" w:fill="auto"/>
            <w:noWrap/>
            <w:vAlign w:val="bottom"/>
            <w:hideMark/>
          </w:tcPr>
          <w:p w14:paraId="0645FC54" w14:textId="77777777" w:rsidR="00793677" w:rsidRPr="00C26B5C" w:rsidRDefault="00793677" w:rsidP="00793677">
            <w:pPr>
              <w:spacing w:after="0" w:line="240" w:lineRule="auto"/>
              <w:jc w:val="left"/>
              <w:rPr>
                <w:rFonts w:eastAsia="Times New Roman" w:cs="Times New Roman"/>
                <w:color w:val="000000"/>
                <w:szCs w:val="24"/>
                <w:lang w:eastAsia="en-IN" w:bidi="ar-SA"/>
              </w:rPr>
            </w:pPr>
            <w:r w:rsidRPr="00C26B5C">
              <w:rPr>
                <w:rFonts w:eastAsia="Times New Roman" w:cs="Times New Roman"/>
                <w:color w:val="000000"/>
                <w:szCs w:val="24"/>
                <w:lang w:eastAsia="en-IN" w:bidi="ar-SA"/>
              </w:rPr>
              <w:t>ROE</w:t>
            </w:r>
          </w:p>
        </w:tc>
        <w:tc>
          <w:tcPr>
            <w:tcW w:w="0" w:type="auto"/>
            <w:shd w:val="clear" w:color="auto" w:fill="auto"/>
            <w:noWrap/>
            <w:vAlign w:val="center"/>
            <w:hideMark/>
          </w:tcPr>
          <w:p w14:paraId="45EDC68E" w14:textId="77777777" w:rsidR="00793677" w:rsidRPr="00C26B5C" w:rsidRDefault="00793677" w:rsidP="00793677">
            <w:pPr>
              <w:spacing w:after="0" w:line="240" w:lineRule="auto"/>
              <w:jc w:val="center"/>
              <w:rPr>
                <w:rFonts w:eastAsia="Times New Roman" w:cs="Times New Roman"/>
                <w:color w:val="000000"/>
                <w:szCs w:val="24"/>
                <w:lang w:eastAsia="en-IN" w:bidi="ar-SA"/>
              </w:rPr>
            </w:pPr>
            <w:r w:rsidRPr="00C26B5C">
              <w:rPr>
                <w:rFonts w:eastAsia="Times New Roman" w:cs="Times New Roman"/>
                <w:color w:val="000000"/>
                <w:szCs w:val="24"/>
                <w:lang w:eastAsia="en-IN" w:bidi="ar-SA"/>
              </w:rPr>
              <w:t>77.72</w:t>
            </w:r>
          </w:p>
        </w:tc>
        <w:tc>
          <w:tcPr>
            <w:tcW w:w="0" w:type="auto"/>
            <w:shd w:val="clear" w:color="auto" w:fill="auto"/>
            <w:noWrap/>
            <w:vAlign w:val="center"/>
            <w:hideMark/>
          </w:tcPr>
          <w:p w14:paraId="4DE71D96" w14:textId="77777777" w:rsidR="00793677" w:rsidRPr="00C26B5C" w:rsidRDefault="00793677" w:rsidP="00793677">
            <w:pPr>
              <w:spacing w:after="0" w:line="240" w:lineRule="auto"/>
              <w:jc w:val="center"/>
              <w:rPr>
                <w:rFonts w:eastAsia="Times New Roman" w:cs="Times New Roman"/>
                <w:color w:val="000000"/>
                <w:szCs w:val="24"/>
                <w:lang w:eastAsia="en-IN" w:bidi="ar-SA"/>
              </w:rPr>
            </w:pPr>
            <w:r w:rsidRPr="00C26B5C">
              <w:rPr>
                <w:rFonts w:eastAsia="Times New Roman" w:cs="Times New Roman"/>
                <w:color w:val="000000"/>
                <w:szCs w:val="24"/>
                <w:lang w:eastAsia="en-IN" w:bidi="ar-SA"/>
              </w:rPr>
              <w:t>-62.09</w:t>
            </w:r>
          </w:p>
        </w:tc>
      </w:tr>
    </w:tbl>
    <w:p w14:paraId="3302C5A0" w14:textId="77777777" w:rsidR="00793677" w:rsidRDefault="00793677"/>
    <w:p w14:paraId="2BB5202B" w14:textId="1F94A5E6" w:rsidR="00793677" w:rsidRDefault="00693120">
      <w:r>
        <w:t xml:space="preserve">On the evaluation of the </w:t>
      </w:r>
      <w:r w:rsidR="003E2E39">
        <w:t xml:space="preserve">quantitative outcome, it is found that the ROE which the team of Marriott International </w:t>
      </w:r>
      <w:r w:rsidR="00C26B5C">
        <w:t>had</w:t>
      </w:r>
      <w:r w:rsidR="003E2E39">
        <w:t xml:space="preserve"> in 2020 was around -ve 62.09 %</w:t>
      </w:r>
      <w:r w:rsidR="00C26B5C">
        <w:t>,</w:t>
      </w:r>
      <w:r w:rsidR="003E2E39">
        <w:t xml:space="preserve"> and this was possible due to </w:t>
      </w:r>
      <w:r w:rsidR="00C26B5C">
        <w:t xml:space="preserve">a </w:t>
      </w:r>
      <w:r w:rsidR="003E2E39">
        <w:t>substantial hike in operating cost</w:t>
      </w:r>
      <w:r w:rsidR="00C26B5C">
        <w:t>s</w:t>
      </w:r>
      <w:r w:rsidR="003E2E39">
        <w:t xml:space="preserve"> because of </w:t>
      </w:r>
      <w:r w:rsidR="00C26B5C">
        <w:t xml:space="preserve">the </w:t>
      </w:r>
      <w:r w:rsidR="003E2E39">
        <w:t>Covid-19 situation</w:t>
      </w:r>
      <w:sdt>
        <w:sdtPr>
          <w:id w:val="314850587"/>
          <w:citation/>
        </w:sdtPr>
        <w:sdtContent>
          <w:r w:rsidR="00890C0F">
            <w:fldChar w:fldCharType="begin"/>
          </w:r>
          <w:r w:rsidR="00890C0F">
            <w:rPr>
              <w:lang w:val="en-US"/>
            </w:rPr>
            <w:instrText xml:space="preserve"> CITATION Mar20 \l 1033 </w:instrText>
          </w:r>
          <w:r w:rsidR="00890C0F">
            <w:fldChar w:fldCharType="separate"/>
          </w:r>
          <w:r w:rsidR="00C26B5C">
            <w:rPr>
              <w:noProof/>
              <w:lang w:val="en-US"/>
            </w:rPr>
            <w:t xml:space="preserve"> </w:t>
          </w:r>
          <w:r w:rsidR="00C26B5C" w:rsidRPr="00C26B5C">
            <w:rPr>
              <w:noProof/>
              <w:lang w:val="en-US"/>
            </w:rPr>
            <w:t>(Marriott, 2020)</w:t>
          </w:r>
          <w:r w:rsidR="00890C0F">
            <w:fldChar w:fldCharType="end"/>
          </w:r>
        </w:sdtContent>
      </w:sdt>
      <w:r w:rsidR="003E2E39">
        <w:t>. With the strategic cost and customer management technique, Marriott International has been successful in getting its ROE increased up to 77.72 % in 2021</w:t>
      </w:r>
      <w:r w:rsidR="00C26B5C">
        <w:t>,</w:t>
      </w:r>
      <w:r w:rsidR="003E2E39">
        <w:t xml:space="preserve"> and this indicates a progressive trend in </w:t>
      </w:r>
      <w:r w:rsidR="00C26B5C">
        <w:t>comparison to the</w:t>
      </w:r>
      <w:r w:rsidR="003E2E39">
        <w:t xml:space="preserve"> previous year.</w:t>
      </w:r>
    </w:p>
    <w:p w14:paraId="785F5AB6" w14:textId="5F94A243" w:rsidR="00D22E31" w:rsidRPr="00D22E31" w:rsidRDefault="00D22E31">
      <w:pPr>
        <w:rPr>
          <w:b/>
          <w:bCs/>
        </w:rPr>
      </w:pPr>
      <w:r w:rsidRPr="00D22E31">
        <w:rPr>
          <w:b/>
          <w:bCs/>
        </w:rPr>
        <w:t>Return on Assets (ROA)</w:t>
      </w:r>
    </w:p>
    <w:p w14:paraId="6421CB84" w14:textId="55385FD8" w:rsidR="00D22E31" w:rsidRDefault="003E2E39">
      <w:r>
        <w:t xml:space="preserve">Return on assets refers to the return or profit margin </w:t>
      </w:r>
      <w:r w:rsidR="00C26B5C">
        <w:t>that</w:t>
      </w:r>
      <w:r>
        <w:t xml:space="preserve"> an organi</w:t>
      </w:r>
      <w:r w:rsidR="00C26B5C">
        <w:t>s</w:t>
      </w:r>
      <w:r>
        <w:t>ation gets during a fiscal year in comparison to employed assets</w:t>
      </w:r>
      <w:r w:rsidR="00C26B5C">
        <w:rPr>
          <w:noProof/>
          <w:lang w:val="en-US"/>
        </w:rPr>
        <w:t xml:space="preserve"> </w:t>
      </w:r>
      <w:r w:rsidR="00C26B5C" w:rsidRPr="00C26B5C">
        <w:rPr>
          <w:noProof/>
          <w:lang w:val="en-US"/>
        </w:rPr>
        <w:t xml:space="preserve">(Parlak </w:t>
      </w:r>
      <w:r w:rsidR="00C26B5C">
        <w:rPr>
          <w:noProof/>
        </w:rPr>
        <w:t>and</w:t>
      </w:r>
      <w:r w:rsidR="00C26B5C" w:rsidRPr="00C26B5C">
        <w:rPr>
          <w:noProof/>
          <w:lang w:val="en-US"/>
        </w:rPr>
        <w:t xml:space="preserve"> İlhan, 2016)</w:t>
      </w:r>
      <w: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9"/>
        <w:gridCol w:w="1723"/>
        <w:gridCol w:w="1723"/>
      </w:tblGrid>
      <w:tr w:rsidR="00793677" w:rsidRPr="00C26B5C" w14:paraId="2B80F6FC" w14:textId="77777777" w:rsidTr="00793677">
        <w:trPr>
          <w:trHeight w:val="360"/>
          <w:jc w:val="center"/>
        </w:trPr>
        <w:tc>
          <w:tcPr>
            <w:tcW w:w="0" w:type="auto"/>
            <w:shd w:val="clear" w:color="000000" w:fill="FFF2CC"/>
            <w:noWrap/>
            <w:vAlign w:val="bottom"/>
            <w:hideMark/>
          </w:tcPr>
          <w:p w14:paraId="55712D3B" w14:textId="77777777" w:rsidR="00793677" w:rsidRPr="00C26B5C" w:rsidRDefault="00793677" w:rsidP="00793677">
            <w:pPr>
              <w:spacing w:after="0" w:line="240" w:lineRule="auto"/>
              <w:jc w:val="left"/>
              <w:rPr>
                <w:rFonts w:eastAsia="Times New Roman" w:cs="Times New Roman"/>
                <w:b/>
                <w:bCs/>
                <w:color w:val="000000"/>
                <w:szCs w:val="24"/>
                <w:lang w:eastAsia="en-IN" w:bidi="ar-SA"/>
              </w:rPr>
            </w:pPr>
            <w:r w:rsidRPr="00C26B5C">
              <w:rPr>
                <w:rFonts w:eastAsia="Times New Roman" w:cs="Times New Roman"/>
                <w:b/>
                <w:bCs/>
                <w:color w:val="000000"/>
                <w:szCs w:val="24"/>
                <w:lang w:eastAsia="en-IN" w:bidi="ar-SA"/>
              </w:rPr>
              <w:t>Particular</w:t>
            </w:r>
          </w:p>
        </w:tc>
        <w:tc>
          <w:tcPr>
            <w:tcW w:w="0" w:type="auto"/>
            <w:shd w:val="clear" w:color="000000" w:fill="FFF2CC"/>
            <w:noWrap/>
            <w:vAlign w:val="bottom"/>
            <w:hideMark/>
          </w:tcPr>
          <w:p w14:paraId="71E1040D" w14:textId="77777777" w:rsidR="00793677" w:rsidRPr="00C26B5C" w:rsidRDefault="00793677" w:rsidP="00793677">
            <w:pPr>
              <w:spacing w:after="0" w:line="240" w:lineRule="auto"/>
              <w:jc w:val="left"/>
              <w:rPr>
                <w:rFonts w:eastAsia="Times New Roman" w:cs="Times New Roman"/>
                <w:b/>
                <w:bCs/>
                <w:color w:val="000000"/>
                <w:szCs w:val="24"/>
                <w:lang w:eastAsia="en-IN" w:bidi="ar-SA"/>
              </w:rPr>
            </w:pPr>
            <w:r w:rsidRPr="00C26B5C">
              <w:rPr>
                <w:rFonts w:eastAsia="Times New Roman" w:cs="Times New Roman"/>
                <w:b/>
                <w:bCs/>
                <w:color w:val="000000"/>
                <w:szCs w:val="24"/>
                <w:lang w:eastAsia="en-IN" w:bidi="ar-SA"/>
              </w:rPr>
              <w:t>Value for 2021</w:t>
            </w:r>
          </w:p>
        </w:tc>
        <w:tc>
          <w:tcPr>
            <w:tcW w:w="0" w:type="auto"/>
            <w:shd w:val="clear" w:color="000000" w:fill="FFF2CC"/>
            <w:noWrap/>
            <w:vAlign w:val="bottom"/>
            <w:hideMark/>
          </w:tcPr>
          <w:p w14:paraId="60655BD5" w14:textId="77777777" w:rsidR="00793677" w:rsidRPr="00C26B5C" w:rsidRDefault="00793677" w:rsidP="00793677">
            <w:pPr>
              <w:spacing w:after="0" w:line="240" w:lineRule="auto"/>
              <w:jc w:val="left"/>
              <w:rPr>
                <w:rFonts w:eastAsia="Times New Roman" w:cs="Times New Roman"/>
                <w:b/>
                <w:bCs/>
                <w:color w:val="000000"/>
                <w:szCs w:val="24"/>
                <w:lang w:eastAsia="en-IN" w:bidi="ar-SA"/>
              </w:rPr>
            </w:pPr>
            <w:r w:rsidRPr="00C26B5C">
              <w:rPr>
                <w:rFonts w:eastAsia="Times New Roman" w:cs="Times New Roman"/>
                <w:b/>
                <w:bCs/>
                <w:color w:val="000000"/>
                <w:szCs w:val="24"/>
                <w:lang w:eastAsia="en-IN" w:bidi="ar-SA"/>
              </w:rPr>
              <w:t>Value for 2020</w:t>
            </w:r>
          </w:p>
        </w:tc>
      </w:tr>
      <w:tr w:rsidR="00793677" w:rsidRPr="00C26B5C" w14:paraId="4FFCC2B4" w14:textId="77777777" w:rsidTr="00793677">
        <w:trPr>
          <w:trHeight w:val="288"/>
          <w:jc w:val="center"/>
        </w:trPr>
        <w:tc>
          <w:tcPr>
            <w:tcW w:w="0" w:type="auto"/>
            <w:shd w:val="clear" w:color="auto" w:fill="auto"/>
            <w:noWrap/>
            <w:vAlign w:val="bottom"/>
            <w:hideMark/>
          </w:tcPr>
          <w:p w14:paraId="191E907F" w14:textId="77777777" w:rsidR="00793677" w:rsidRPr="00C26B5C" w:rsidRDefault="00793677" w:rsidP="00793677">
            <w:pPr>
              <w:spacing w:after="0" w:line="240" w:lineRule="auto"/>
              <w:jc w:val="left"/>
              <w:rPr>
                <w:rFonts w:eastAsia="Times New Roman" w:cs="Times New Roman"/>
                <w:color w:val="000000"/>
                <w:szCs w:val="24"/>
                <w:lang w:eastAsia="en-IN" w:bidi="ar-SA"/>
              </w:rPr>
            </w:pPr>
            <w:r w:rsidRPr="00C26B5C">
              <w:rPr>
                <w:rFonts w:eastAsia="Times New Roman" w:cs="Times New Roman"/>
                <w:color w:val="000000"/>
                <w:szCs w:val="24"/>
                <w:lang w:eastAsia="en-IN" w:bidi="ar-SA"/>
              </w:rPr>
              <w:t>ROA</w:t>
            </w:r>
          </w:p>
        </w:tc>
        <w:tc>
          <w:tcPr>
            <w:tcW w:w="0" w:type="auto"/>
            <w:shd w:val="clear" w:color="auto" w:fill="auto"/>
            <w:noWrap/>
            <w:vAlign w:val="center"/>
            <w:hideMark/>
          </w:tcPr>
          <w:p w14:paraId="449A071E" w14:textId="77777777" w:rsidR="00793677" w:rsidRPr="00C26B5C" w:rsidRDefault="00793677" w:rsidP="00793677">
            <w:pPr>
              <w:spacing w:after="0" w:line="240" w:lineRule="auto"/>
              <w:jc w:val="center"/>
              <w:rPr>
                <w:rFonts w:eastAsia="Times New Roman" w:cs="Times New Roman"/>
                <w:color w:val="000000"/>
                <w:szCs w:val="24"/>
                <w:lang w:eastAsia="en-IN" w:bidi="ar-SA"/>
              </w:rPr>
            </w:pPr>
            <w:r w:rsidRPr="00C26B5C">
              <w:rPr>
                <w:rFonts w:eastAsia="Times New Roman" w:cs="Times New Roman"/>
                <w:color w:val="000000"/>
                <w:szCs w:val="24"/>
                <w:lang w:eastAsia="en-IN" w:bidi="ar-SA"/>
              </w:rPr>
              <w:t>4.3</w:t>
            </w:r>
          </w:p>
        </w:tc>
        <w:tc>
          <w:tcPr>
            <w:tcW w:w="0" w:type="auto"/>
            <w:shd w:val="clear" w:color="auto" w:fill="auto"/>
            <w:noWrap/>
            <w:vAlign w:val="center"/>
            <w:hideMark/>
          </w:tcPr>
          <w:p w14:paraId="640FDF77" w14:textId="77777777" w:rsidR="00793677" w:rsidRPr="00C26B5C" w:rsidRDefault="00793677" w:rsidP="00793677">
            <w:pPr>
              <w:spacing w:after="0" w:line="240" w:lineRule="auto"/>
              <w:jc w:val="center"/>
              <w:rPr>
                <w:rFonts w:eastAsia="Times New Roman" w:cs="Times New Roman"/>
                <w:color w:val="000000"/>
                <w:szCs w:val="24"/>
                <w:lang w:eastAsia="en-IN" w:bidi="ar-SA"/>
              </w:rPr>
            </w:pPr>
            <w:r w:rsidRPr="00C26B5C">
              <w:rPr>
                <w:rFonts w:eastAsia="Times New Roman" w:cs="Times New Roman"/>
                <w:color w:val="000000"/>
                <w:szCs w:val="24"/>
                <w:lang w:eastAsia="en-IN" w:bidi="ar-SA"/>
              </w:rPr>
              <w:t>-1.08</w:t>
            </w:r>
          </w:p>
        </w:tc>
      </w:tr>
    </w:tbl>
    <w:p w14:paraId="4BF99E20" w14:textId="77777777" w:rsidR="00793677" w:rsidRDefault="00793677"/>
    <w:p w14:paraId="33DD8E1E" w14:textId="081A4D79" w:rsidR="00E143D0" w:rsidRDefault="000D111D">
      <w:r>
        <w:t xml:space="preserve"> </w:t>
      </w:r>
      <w:r w:rsidR="003E2E39">
        <w:t xml:space="preserve">As the quantitative outcome of the accounting ratio, it is found that the ROA </w:t>
      </w:r>
      <w:r w:rsidR="00C26B5C">
        <w:t>that</w:t>
      </w:r>
      <w:r w:rsidR="003E2E39">
        <w:t xml:space="preserve"> the management of Marriott International had generated in 2020 was -ve 1.08 %</w:t>
      </w:r>
      <w:r w:rsidR="00C26B5C">
        <w:t>,</w:t>
      </w:r>
      <w:r w:rsidR="003E2E39">
        <w:t xml:space="preserve"> and this occurred due to </w:t>
      </w:r>
      <w:r w:rsidR="00C26B5C">
        <w:t xml:space="preserve">a </w:t>
      </w:r>
      <w:r w:rsidR="00B45210">
        <w:t xml:space="preserve">substantial decline in customer footfall and sharp growth in </w:t>
      </w:r>
      <w:r w:rsidR="00E50ADF">
        <w:t>inflation</w:t>
      </w:r>
      <w:sdt>
        <w:sdtPr>
          <w:id w:val="-1418782905"/>
          <w:citation/>
        </w:sdtPr>
        <w:sdtContent>
          <w:r w:rsidR="00890C0F">
            <w:fldChar w:fldCharType="begin"/>
          </w:r>
          <w:r w:rsidR="00890C0F">
            <w:rPr>
              <w:lang w:val="en-US"/>
            </w:rPr>
            <w:instrText xml:space="preserve"> CITATION Mar20 \l 1033 </w:instrText>
          </w:r>
          <w:r w:rsidR="00890C0F">
            <w:fldChar w:fldCharType="separate"/>
          </w:r>
          <w:r w:rsidR="00C26B5C">
            <w:rPr>
              <w:noProof/>
              <w:lang w:val="en-US"/>
            </w:rPr>
            <w:t xml:space="preserve"> </w:t>
          </w:r>
          <w:r w:rsidR="00C26B5C" w:rsidRPr="00C26B5C">
            <w:rPr>
              <w:noProof/>
              <w:lang w:val="en-US"/>
            </w:rPr>
            <w:t>(Marriott, 2020)</w:t>
          </w:r>
          <w:r w:rsidR="00890C0F">
            <w:fldChar w:fldCharType="end"/>
          </w:r>
        </w:sdtContent>
      </w:sdt>
      <w:r w:rsidR="00E50ADF">
        <w:t>. In 2021, the team of the hotel service providing company gets its ROA increased up to 4.3 %</w:t>
      </w:r>
      <w:r w:rsidR="00C26B5C">
        <w:t>,</w:t>
      </w:r>
      <w:r w:rsidR="00E50ADF">
        <w:t xml:space="preserve"> and this indicates that there is a progressive trend within the return on assets generating related element</w:t>
      </w:r>
      <w:r w:rsidR="00C26B5C">
        <w:t>s</w:t>
      </w:r>
      <w:r w:rsidR="00E50ADF">
        <w:t xml:space="preserve"> of its financial performance moving from 2020 to 2021.</w:t>
      </w:r>
    </w:p>
    <w:p w14:paraId="3E764FAC" w14:textId="11C7D266" w:rsidR="00E143D0" w:rsidRDefault="00A6470E" w:rsidP="00EF325D">
      <w:pPr>
        <w:pStyle w:val="Heading2"/>
      </w:pPr>
      <w:bookmarkStart w:id="4" w:name="_Toc119596437"/>
      <w:r>
        <w:lastRenderedPageBreak/>
        <w:t>Liquidity</w:t>
      </w:r>
      <w:bookmarkEnd w:id="4"/>
      <w:r>
        <w:t xml:space="preserve"> </w:t>
      </w:r>
    </w:p>
    <w:p w14:paraId="0671DBD7" w14:textId="0DAA92D0" w:rsidR="00E143D0" w:rsidRDefault="00330D00">
      <w:r>
        <w:t>Liquidity refers to the ability of an organi</w:t>
      </w:r>
      <w:r w:rsidR="00C26B5C">
        <w:t>s</w:t>
      </w:r>
      <w:r>
        <w:t>ation to clear its current obligation using only current assets without altering its capital structure</w:t>
      </w:r>
      <w:sdt>
        <w:sdtPr>
          <w:id w:val="1724947651"/>
          <w:citation/>
        </w:sdtPr>
        <w:sdtContent>
          <w:r w:rsidR="00890C0F">
            <w:fldChar w:fldCharType="begin"/>
          </w:r>
          <w:r w:rsidR="00890C0F">
            <w:rPr>
              <w:lang w:val="en-US"/>
            </w:rPr>
            <w:instrText xml:space="preserve"> CITATION Ala22 \l 1033 </w:instrText>
          </w:r>
          <w:r w:rsidR="00890C0F">
            <w:fldChar w:fldCharType="separate"/>
          </w:r>
          <w:r w:rsidR="00C26B5C">
            <w:rPr>
              <w:noProof/>
              <w:lang w:val="en-US"/>
            </w:rPr>
            <w:t xml:space="preserve"> </w:t>
          </w:r>
          <w:r w:rsidR="00C26B5C" w:rsidRPr="00C26B5C">
            <w:rPr>
              <w:noProof/>
              <w:lang w:val="en-US"/>
            </w:rPr>
            <w:t>(Alabdullah, 2022)</w:t>
          </w:r>
          <w:r w:rsidR="00890C0F">
            <w:fldChar w:fldCharType="end"/>
          </w:r>
        </w:sdtContent>
      </w:sdt>
      <w:r>
        <w:t>. The liquidity</w:t>
      </w:r>
      <w:r w:rsidR="00C26B5C">
        <w:t>-</w:t>
      </w:r>
      <w:r>
        <w:t>related financial competence of Marriott International for 2020 and 2021 is evaluated with the support of three accounting ratios</w:t>
      </w:r>
      <w:r w:rsidR="00C26B5C">
        <w:t>,</w:t>
      </w:r>
      <w:r>
        <w:t xml:space="preserve"> including </w:t>
      </w:r>
      <w:r w:rsidR="00C26B5C">
        <w:t xml:space="preserve">the </w:t>
      </w:r>
      <w:r>
        <w:t xml:space="preserve">current ratio, free cash flow ratio and operating cash flow per share.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1723"/>
        <w:gridCol w:w="1723"/>
      </w:tblGrid>
      <w:tr w:rsidR="000A1EF6" w:rsidRPr="00C26B5C" w14:paraId="11E3FB56" w14:textId="77777777" w:rsidTr="000A1EF6">
        <w:trPr>
          <w:trHeight w:val="360"/>
          <w:jc w:val="center"/>
        </w:trPr>
        <w:tc>
          <w:tcPr>
            <w:tcW w:w="0" w:type="auto"/>
            <w:shd w:val="clear" w:color="000000" w:fill="FFF2CC"/>
            <w:noWrap/>
            <w:vAlign w:val="bottom"/>
            <w:hideMark/>
          </w:tcPr>
          <w:p w14:paraId="032C9B5D" w14:textId="77777777" w:rsidR="000A1EF6" w:rsidRPr="00C26B5C" w:rsidRDefault="000A1EF6" w:rsidP="000A1EF6">
            <w:pPr>
              <w:spacing w:after="0" w:line="240" w:lineRule="auto"/>
              <w:jc w:val="left"/>
              <w:rPr>
                <w:rFonts w:eastAsia="Times New Roman" w:cs="Times New Roman"/>
                <w:b/>
                <w:bCs/>
                <w:color w:val="000000"/>
                <w:szCs w:val="24"/>
                <w:lang w:eastAsia="en-IN" w:bidi="ar-SA"/>
              </w:rPr>
            </w:pPr>
            <w:r w:rsidRPr="00C26B5C">
              <w:rPr>
                <w:rFonts w:eastAsia="Times New Roman" w:cs="Times New Roman"/>
                <w:b/>
                <w:bCs/>
                <w:color w:val="000000"/>
                <w:szCs w:val="24"/>
                <w:lang w:eastAsia="en-IN" w:bidi="ar-SA"/>
              </w:rPr>
              <w:t>Particular</w:t>
            </w:r>
          </w:p>
        </w:tc>
        <w:tc>
          <w:tcPr>
            <w:tcW w:w="0" w:type="auto"/>
            <w:shd w:val="clear" w:color="000000" w:fill="FFF2CC"/>
            <w:noWrap/>
            <w:vAlign w:val="bottom"/>
            <w:hideMark/>
          </w:tcPr>
          <w:p w14:paraId="6150FEB3" w14:textId="77777777" w:rsidR="000A1EF6" w:rsidRPr="00C26B5C" w:rsidRDefault="000A1EF6" w:rsidP="000A1EF6">
            <w:pPr>
              <w:spacing w:after="0" w:line="240" w:lineRule="auto"/>
              <w:jc w:val="left"/>
              <w:rPr>
                <w:rFonts w:eastAsia="Times New Roman" w:cs="Times New Roman"/>
                <w:b/>
                <w:bCs/>
                <w:color w:val="000000"/>
                <w:szCs w:val="24"/>
                <w:lang w:eastAsia="en-IN" w:bidi="ar-SA"/>
              </w:rPr>
            </w:pPr>
            <w:r w:rsidRPr="00C26B5C">
              <w:rPr>
                <w:rFonts w:eastAsia="Times New Roman" w:cs="Times New Roman"/>
                <w:b/>
                <w:bCs/>
                <w:color w:val="000000"/>
                <w:szCs w:val="24"/>
                <w:lang w:eastAsia="en-IN" w:bidi="ar-SA"/>
              </w:rPr>
              <w:t>Value for 2021</w:t>
            </w:r>
          </w:p>
        </w:tc>
        <w:tc>
          <w:tcPr>
            <w:tcW w:w="0" w:type="auto"/>
            <w:shd w:val="clear" w:color="000000" w:fill="FFF2CC"/>
            <w:noWrap/>
            <w:vAlign w:val="bottom"/>
            <w:hideMark/>
          </w:tcPr>
          <w:p w14:paraId="7B47F08B" w14:textId="77777777" w:rsidR="000A1EF6" w:rsidRPr="00C26B5C" w:rsidRDefault="000A1EF6" w:rsidP="000A1EF6">
            <w:pPr>
              <w:spacing w:after="0" w:line="240" w:lineRule="auto"/>
              <w:jc w:val="left"/>
              <w:rPr>
                <w:rFonts w:eastAsia="Times New Roman" w:cs="Times New Roman"/>
                <w:b/>
                <w:bCs/>
                <w:color w:val="000000"/>
                <w:szCs w:val="24"/>
                <w:lang w:eastAsia="en-IN" w:bidi="ar-SA"/>
              </w:rPr>
            </w:pPr>
            <w:r w:rsidRPr="00C26B5C">
              <w:rPr>
                <w:rFonts w:eastAsia="Times New Roman" w:cs="Times New Roman"/>
                <w:b/>
                <w:bCs/>
                <w:color w:val="000000"/>
                <w:szCs w:val="24"/>
                <w:lang w:eastAsia="en-IN" w:bidi="ar-SA"/>
              </w:rPr>
              <w:t>Value for 2020</w:t>
            </w:r>
          </w:p>
        </w:tc>
      </w:tr>
      <w:tr w:rsidR="000A1EF6" w:rsidRPr="00C26B5C" w14:paraId="374A8BA7" w14:textId="77777777" w:rsidTr="000A1EF6">
        <w:trPr>
          <w:trHeight w:val="288"/>
          <w:jc w:val="center"/>
        </w:trPr>
        <w:tc>
          <w:tcPr>
            <w:tcW w:w="0" w:type="auto"/>
            <w:shd w:val="clear" w:color="auto" w:fill="auto"/>
            <w:noWrap/>
            <w:vAlign w:val="bottom"/>
            <w:hideMark/>
          </w:tcPr>
          <w:p w14:paraId="19695BEB" w14:textId="77777777" w:rsidR="000A1EF6" w:rsidRPr="00C26B5C" w:rsidRDefault="000A1EF6" w:rsidP="000A1EF6">
            <w:pPr>
              <w:spacing w:after="0" w:line="240" w:lineRule="auto"/>
              <w:jc w:val="left"/>
              <w:rPr>
                <w:rFonts w:eastAsia="Times New Roman" w:cs="Times New Roman"/>
                <w:color w:val="000000"/>
                <w:szCs w:val="24"/>
                <w:lang w:eastAsia="en-IN" w:bidi="ar-SA"/>
              </w:rPr>
            </w:pPr>
            <w:r w:rsidRPr="00C26B5C">
              <w:rPr>
                <w:rFonts w:eastAsia="Times New Roman" w:cs="Times New Roman"/>
                <w:color w:val="000000"/>
                <w:szCs w:val="24"/>
                <w:lang w:eastAsia="en-IN" w:bidi="ar-SA"/>
              </w:rPr>
              <w:t>Current Ratio</w:t>
            </w:r>
          </w:p>
        </w:tc>
        <w:tc>
          <w:tcPr>
            <w:tcW w:w="0" w:type="auto"/>
            <w:shd w:val="clear" w:color="auto" w:fill="auto"/>
            <w:noWrap/>
            <w:vAlign w:val="center"/>
            <w:hideMark/>
          </w:tcPr>
          <w:p w14:paraId="79F7FB0B" w14:textId="77777777" w:rsidR="000A1EF6" w:rsidRPr="00C26B5C" w:rsidRDefault="000A1EF6" w:rsidP="000A1EF6">
            <w:pPr>
              <w:spacing w:after="0" w:line="240" w:lineRule="auto"/>
              <w:jc w:val="center"/>
              <w:rPr>
                <w:rFonts w:eastAsia="Times New Roman" w:cs="Times New Roman"/>
                <w:color w:val="000000"/>
                <w:szCs w:val="24"/>
                <w:lang w:eastAsia="en-IN" w:bidi="ar-SA"/>
              </w:rPr>
            </w:pPr>
            <w:r w:rsidRPr="00C26B5C">
              <w:rPr>
                <w:rFonts w:eastAsia="Times New Roman" w:cs="Times New Roman"/>
                <w:color w:val="000000"/>
                <w:szCs w:val="24"/>
                <w:lang w:eastAsia="en-IN" w:bidi="ar-SA"/>
              </w:rPr>
              <w:t>0.56</w:t>
            </w:r>
          </w:p>
        </w:tc>
        <w:tc>
          <w:tcPr>
            <w:tcW w:w="0" w:type="auto"/>
            <w:shd w:val="clear" w:color="auto" w:fill="auto"/>
            <w:noWrap/>
            <w:vAlign w:val="center"/>
            <w:hideMark/>
          </w:tcPr>
          <w:p w14:paraId="3966C96F" w14:textId="77777777" w:rsidR="000A1EF6" w:rsidRPr="00C26B5C" w:rsidRDefault="000A1EF6" w:rsidP="000A1EF6">
            <w:pPr>
              <w:spacing w:after="0" w:line="240" w:lineRule="auto"/>
              <w:jc w:val="center"/>
              <w:rPr>
                <w:rFonts w:eastAsia="Times New Roman" w:cs="Times New Roman"/>
                <w:color w:val="000000"/>
                <w:szCs w:val="24"/>
                <w:lang w:eastAsia="en-IN" w:bidi="ar-SA"/>
              </w:rPr>
            </w:pPr>
            <w:r w:rsidRPr="00C26B5C">
              <w:rPr>
                <w:rFonts w:eastAsia="Times New Roman" w:cs="Times New Roman"/>
                <w:color w:val="000000"/>
                <w:szCs w:val="24"/>
                <w:lang w:eastAsia="en-IN" w:bidi="ar-SA"/>
              </w:rPr>
              <w:t>0.49</w:t>
            </w:r>
          </w:p>
        </w:tc>
      </w:tr>
      <w:tr w:rsidR="000A1EF6" w:rsidRPr="00C26B5C" w14:paraId="08556FA6" w14:textId="77777777" w:rsidTr="000A1EF6">
        <w:trPr>
          <w:trHeight w:val="288"/>
          <w:jc w:val="center"/>
        </w:trPr>
        <w:tc>
          <w:tcPr>
            <w:tcW w:w="0" w:type="auto"/>
            <w:shd w:val="clear" w:color="auto" w:fill="auto"/>
            <w:noWrap/>
            <w:vAlign w:val="bottom"/>
            <w:hideMark/>
          </w:tcPr>
          <w:p w14:paraId="41DC67D3" w14:textId="77777777" w:rsidR="000A1EF6" w:rsidRPr="00C26B5C" w:rsidRDefault="000A1EF6" w:rsidP="000A1EF6">
            <w:pPr>
              <w:spacing w:after="0" w:line="240" w:lineRule="auto"/>
              <w:jc w:val="left"/>
              <w:rPr>
                <w:rFonts w:eastAsia="Times New Roman" w:cs="Times New Roman"/>
                <w:color w:val="000000"/>
                <w:szCs w:val="24"/>
                <w:lang w:eastAsia="en-IN" w:bidi="ar-SA"/>
              </w:rPr>
            </w:pPr>
            <w:r w:rsidRPr="00C26B5C">
              <w:rPr>
                <w:rFonts w:eastAsia="Times New Roman" w:cs="Times New Roman"/>
                <w:color w:val="000000"/>
                <w:szCs w:val="24"/>
                <w:lang w:eastAsia="en-IN" w:bidi="ar-SA"/>
              </w:rPr>
              <w:t>Free Cash Flow Ratio</w:t>
            </w:r>
          </w:p>
        </w:tc>
        <w:tc>
          <w:tcPr>
            <w:tcW w:w="0" w:type="auto"/>
            <w:shd w:val="clear" w:color="auto" w:fill="auto"/>
            <w:noWrap/>
            <w:vAlign w:val="center"/>
            <w:hideMark/>
          </w:tcPr>
          <w:p w14:paraId="3F87E18B" w14:textId="77777777" w:rsidR="000A1EF6" w:rsidRPr="00C26B5C" w:rsidRDefault="000A1EF6" w:rsidP="000A1EF6">
            <w:pPr>
              <w:spacing w:after="0" w:line="240" w:lineRule="auto"/>
              <w:jc w:val="center"/>
              <w:rPr>
                <w:rFonts w:eastAsia="Times New Roman" w:cs="Times New Roman"/>
                <w:color w:val="000000"/>
                <w:szCs w:val="24"/>
                <w:lang w:eastAsia="en-IN" w:bidi="ar-SA"/>
              </w:rPr>
            </w:pPr>
            <w:r w:rsidRPr="00C26B5C">
              <w:rPr>
                <w:rFonts w:eastAsia="Times New Roman" w:cs="Times New Roman"/>
                <w:color w:val="000000"/>
                <w:szCs w:val="24"/>
                <w:lang w:eastAsia="en-IN" w:bidi="ar-SA"/>
              </w:rPr>
              <w:t>-2.35</w:t>
            </w:r>
          </w:p>
        </w:tc>
        <w:tc>
          <w:tcPr>
            <w:tcW w:w="0" w:type="auto"/>
            <w:shd w:val="clear" w:color="auto" w:fill="auto"/>
            <w:noWrap/>
            <w:vAlign w:val="center"/>
            <w:hideMark/>
          </w:tcPr>
          <w:p w14:paraId="5AE46DCE" w14:textId="77777777" w:rsidR="000A1EF6" w:rsidRPr="00C26B5C" w:rsidRDefault="000A1EF6" w:rsidP="000A1EF6">
            <w:pPr>
              <w:spacing w:after="0" w:line="240" w:lineRule="auto"/>
              <w:jc w:val="center"/>
              <w:rPr>
                <w:rFonts w:eastAsia="Times New Roman" w:cs="Times New Roman"/>
                <w:color w:val="000000"/>
                <w:szCs w:val="24"/>
                <w:lang w:eastAsia="en-IN" w:bidi="ar-SA"/>
              </w:rPr>
            </w:pPr>
            <w:r w:rsidRPr="00C26B5C">
              <w:rPr>
                <w:rFonts w:eastAsia="Times New Roman" w:cs="Times New Roman"/>
                <w:color w:val="000000"/>
                <w:szCs w:val="24"/>
                <w:lang w:eastAsia="en-IN" w:bidi="ar-SA"/>
              </w:rPr>
              <w:t>1.16</w:t>
            </w:r>
          </w:p>
        </w:tc>
      </w:tr>
      <w:tr w:rsidR="000A1EF6" w:rsidRPr="00C26B5C" w14:paraId="61491B88" w14:textId="77777777" w:rsidTr="000A1EF6">
        <w:trPr>
          <w:trHeight w:val="288"/>
          <w:jc w:val="center"/>
        </w:trPr>
        <w:tc>
          <w:tcPr>
            <w:tcW w:w="0" w:type="auto"/>
            <w:shd w:val="clear" w:color="auto" w:fill="auto"/>
            <w:noWrap/>
            <w:vAlign w:val="bottom"/>
            <w:hideMark/>
          </w:tcPr>
          <w:p w14:paraId="50A8F7CA" w14:textId="77777777" w:rsidR="000A1EF6" w:rsidRPr="00C26B5C" w:rsidRDefault="000A1EF6" w:rsidP="000A1EF6">
            <w:pPr>
              <w:spacing w:after="0" w:line="240" w:lineRule="auto"/>
              <w:jc w:val="left"/>
              <w:rPr>
                <w:rFonts w:eastAsia="Times New Roman" w:cs="Times New Roman"/>
                <w:color w:val="000000"/>
                <w:szCs w:val="24"/>
                <w:lang w:eastAsia="en-IN" w:bidi="ar-SA"/>
              </w:rPr>
            </w:pPr>
            <w:r w:rsidRPr="00C26B5C">
              <w:rPr>
                <w:rFonts w:eastAsia="Times New Roman" w:cs="Times New Roman"/>
                <w:color w:val="000000"/>
                <w:szCs w:val="24"/>
                <w:lang w:eastAsia="en-IN" w:bidi="ar-SA"/>
              </w:rPr>
              <w:t>Operating Cash Flow Per Share</w:t>
            </w:r>
          </w:p>
        </w:tc>
        <w:tc>
          <w:tcPr>
            <w:tcW w:w="0" w:type="auto"/>
            <w:shd w:val="clear" w:color="auto" w:fill="auto"/>
            <w:noWrap/>
            <w:vAlign w:val="center"/>
            <w:hideMark/>
          </w:tcPr>
          <w:p w14:paraId="7D36DAF8" w14:textId="77777777" w:rsidR="000A1EF6" w:rsidRPr="00C26B5C" w:rsidRDefault="000A1EF6" w:rsidP="000A1EF6">
            <w:pPr>
              <w:spacing w:after="0" w:line="240" w:lineRule="auto"/>
              <w:jc w:val="center"/>
              <w:rPr>
                <w:rFonts w:eastAsia="Times New Roman" w:cs="Times New Roman"/>
                <w:color w:val="000000"/>
                <w:szCs w:val="24"/>
                <w:lang w:eastAsia="en-IN" w:bidi="ar-SA"/>
              </w:rPr>
            </w:pPr>
            <w:r w:rsidRPr="00C26B5C">
              <w:rPr>
                <w:rFonts w:eastAsia="Times New Roman" w:cs="Times New Roman"/>
                <w:color w:val="000000"/>
                <w:szCs w:val="24"/>
                <w:lang w:eastAsia="en-IN" w:bidi="ar-SA"/>
              </w:rPr>
              <w:t>-1.45</w:t>
            </w:r>
          </w:p>
        </w:tc>
        <w:tc>
          <w:tcPr>
            <w:tcW w:w="0" w:type="auto"/>
            <w:shd w:val="clear" w:color="auto" w:fill="auto"/>
            <w:noWrap/>
            <w:vAlign w:val="center"/>
            <w:hideMark/>
          </w:tcPr>
          <w:p w14:paraId="3C7B4D16" w14:textId="77777777" w:rsidR="000A1EF6" w:rsidRPr="00C26B5C" w:rsidRDefault="000A1EF6" w:rsidP="000A1EF6">
            <w:pPr>
              <w:spacing w:after="0" w:line="240" w:lineRule="auto"/>
              <w:jc w:val="center"/>
              <w:rPr>
                <w:rFonts w:eastAsia="Times New Roman" w:cs="Times New Roman"/>
                <w:color w:val="000000"/>
                <w:szCs w:val="24"/>
                <w:lang w:eastAsia="en-IN" w:bidi="ar-SA"/>
              </w:rPr>
            </w:pPr>
            <w:r w:rsidRPr="00C26B5C">
              <w:rPr>
                <w:rFonts w:eastAsia="Times New Roman" w:cs="Times New Roman"/>
                <w:color w:val="000000"/>
                <w:szCs w:val="24"/>
                <w:lang w:eastAsia="en-IN" w:bidi="ar-SA"/>
              </w:rPr>
              <w:t>0.0083</w:t>
            </w:r>
          </w:p>
        </w:tc>
      </w:tr>
    </w:tbl>
    <w:p w14:paraId="2B351448" w14:textId="77777777" w:rsidR="000A1EF6" w:rsidRDefault="000A1EF6"/>
    <w:p w14:paraId="6387AE4A" w14:textId="3AA3BE52" w:rsidR="00793677" w:rsidRDefault="00D175BC" w:rsidP="00D175BC">
      <w:pPr>
        <w:jc w:val="center"/>
      </w:pPr>
      <w:r>
        <w:rPr>
          <w:noProof/>
          <w:lang w:eastAsia="en-IN" w:bidi="ar-SA"/>
        </w:rPr>
        <w:drawing>
          <wp:inline distT="0" distB="0" distL="0" distR="0" wp14:anchorId="36C92A74" wp14:editId="0D0E82E8">
            <wp:extent cx="5731510" cy="2933700"/>
            <wp:effectExtent l="0" t="0" r="2540" b="0"/>
            <wp:docPr id="5" name="Chart 5">
              <a:extLst xmlns:a="http://schemas.openxmlformats.org/drawingml/2006/main">
                <a:ext uri="{FF2B5EF4-FFF2-40B4-BE49-F238E27FC236}">
                  <a16:creationId xmlns:a16="http://schemas.microsoft.com/office/drawing/2014/main" id="{A4579D8F-678C-C7D6-F5C6-042F4BA09B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874A94D" w14:textId="744CFCFF" w:rsidR="00D175BC" w:rsidRDefault="00330D00">
      <w:r>
        <w:t xml:space="preserve">On the evaluation of the accounting ratio, it is found that in 2020, the management of Marriott International was successful in clearing only 49 % of its current liabilities using its current assets due to </w:t>
      </w:r>
      <w:r w:rsidR="00C26B5C">
        <w:t xml:space="preserve">a </w:t>
      </w:r>
      <w:r>
        <w:t>shortage of sales value. With the strategic cost and sales management tactics, Marriott International got efficient in augmenting its current liabilities management efficiency increased up to 56 %</w:t>
      </w:r>
      <w:sdt>
        <w:sdtPr>
          <w:id w:val="-2075956895"/>
          <w:citation/>
        </w:sdtPr>
        <w:sdtContent>
          <w:r w:rsidR="00890C0F">
            <w:fldChar w:fldCharType="begin"/>
          </w:r>
          <w:r w:rsidR="00890C0F">
            <w:rPr>
              <w:lang w:val="en-US"/>
            </w:rPr>
            <w:instrText xml:space="preserve"> CITATION Mac22 \l 1033 </w:instrText>
          </w:r>
          <w:r w:rsidR="00890C0F">
            <w:fldChar w:fldCharType="separate"/>
          </w:r>
          <w:r w:rsidR="00C26B5C">
            <w:rPr>
              <w:noProof/>
              <w:lang w:val="en-US"/>
            </w:rPr>
            <w:t xml:space="preserve"> </w:t>
          </w:r>
          <w:r w:rsidR="00C26B5C" w:rsidRPr="00C26B5C">
            <w:rPr>
              <w:noProof/>
              <w:lang w:val="en-US"/>
            </w:rPr>
            <w:t>(Macrotrends, 2022)</w:t>
          </w:r>
          <w:r w:rsidR="00890C0F">
            <w:fldChar w:fldCharType="end"/>
          </w:r>
        </w:sdtContent>
      </w:sdt>
      <w:r>
        <w:t>. It means that there is a progressive trend within the liquidity and current liabilities management</w:t>
      </w:r>
      <w:r w:rsidR="00C26B5C">
        <w:t>-</w:t>
      </w:r>
      <w:r>
        <w:t xml:space="preserve">related competence of Marriott International moving from 2020 to 2021. On the other hand, in terms of cash and operating cash management ability, there is noticed more than </w:t>
      </w:r>
      <w:r w:rsidR="00C26B5C">
        <w:t>a 40</w:t>
      </w:r>
      <w:r>
        <w:t xml:space="preserve">% of declining trend within the economic competence of Marriott International moving from 2020 to 2021. </w:t>
      </w:r>
    </w:p>
    <w:p w14:paraId="2725A66B" w14:textId="4191EF8A" w:rsidR="00E143D0" w:rsidRDefault="00A6470E" w:rsidP="00EF325D">
      <w:pPr>
        <w:pStyle w:val="Heading2"/>
      </w:pPr>
      <w:bookmarkStart w:id="5" w:name="_Toc119596438"/>
      <w:r>
        <w:lastRenderedPageBreak/>
        <w:t>Gearing</w:t>
      </w:r>
      <w:bookmarkEnd w:id="5"/>
    </w:p>
    <w:p w14:paraId="1B4AA19A" w14:textId="3F5C7F28" w:rsidR="00E143D0" w:rsidRDefault="00C26B5C">
      <w:r>
        <w:t>The g</w:t>
      </w:r>
      <w:r w:rsidR="00330D00">
        <w:t xml:space="preserve">earing ratio refers to the ability of an entity to manage its debt and equity during a given fiscal period </w:t>
      </w:r>
      <w:r>
        <w:t>to meet</w:t>
      </w:r>
      <w:r w:rsidR="00330D00">
        <w:t xml:space="preserve"> its working capital requirement</w:t>
      </w:r>
      <w:sdt>
        <w:sdtPr>
          <w:id w:val="2034606891"/>
          <w:citation/>
        </w:sdtPr>
        <w:sdtContent>
          <w:r w:rsidR="00890C0F">
            <w:fldChar w:fldCharType="begin"/>
          </w:r>
          <w:r w:rsidR="00890C0F">
            <w:rPr>
              <w:lang w:val="en-US"/>
            </w:rPr>
            <w:instrText xml:space="preserve"> CITATION Gal17 \l 1033 </w:instrText>
          </w:r>
          <w:r w:rsidR="00890C0F">
            <w:fldChar w:fldCharType="separate"/>
          </w:r>
          <w:r>
            <w:rPr>
              <w:noProof/>
              <w:lang w:val="en-US"/>
            </w:rPr>
            <w:t xml:space="preserve"> </w:t>
          </w:r>
          <w:r w:rsidRPr="00C26B5C">
            <w:rPr>
              <w:noProof/>
              <w:lang w:val="en-US"/>
            </w:rPr>
            <w:t>(Galstian, 2017)</w:t>
          </w:r>
          <w:r w:rsidR="00890C0F">
            <w:fldChar w:fldCharType="end"/>
          </w:r>
        </w:sdtContent>
      </w:sdt>
      <w:r w:rsidR="00330D00">
        <w:t xml:space="preserve">. </w:t>
      </w:r>
    </w:p>
    <w:tbl>
      <w:tblPr>
        <w:tblW w:w="83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47"/>
        <w:gridCol w:w="2373"/>
        <w:gridCol w:w="2373"/>
      </w:tblGrid>
      <w:tr w:rsidR="007C2257" w:rsidRPr="00C26B5C" w14:paraId="46AFFBD6" w14:textId="77777777" w:rsidTr="007C2257">
        <w:trPr>
          <w:trHeight w:val="481"/>
          <w:jc w:val="center"/>
        </w:trPr>
        <w:tc>
          <w:tcPr>
            <w:tcW w:w="0" w:type="auto"/>
            <w:shd w:val="clear" w:color="000000" w:fill="FFF2CC"/>
            <w:noWrap/>
            <w:vAlign w:val="bottom"/>
            <w:hideMark/>
          </w:tcPr>
          <w:p w14:paraId="0EBFC0C1" w14:textId="27B21D67" w:rsidR="007C2257" w:rsidRPr="00C26B5C" w:rsidRDefault="007C2257" w:rsidP="007C2257">
            <w:pPr>
              <w:spacing w:after="0" w:line="240" w:lineRule="auto"/>
              <w:jc w:val="left"/>
              <w:rPr>
                <w:rFonts w:eastAsia="Times New Roman" w:cs="Times New Roman"/>
                <w:b/>
                <w:bCs/>
                <w:color w:val="000000"/>
                <w:szCs w:val="24"/>
                <w:lang w:eastAsia="en-IN" w:bidi="ar-SA"/>
              </w:rPr>
            </w:pPr>
            <w:r w:rsidRPr="00C26B5C">
              <w:rPr>
                <w:rFonts w:eastAsia="Times New Roman" w:cs="Times New Roman"/>
                <w:b/>
                <w:bCs/>
                <w:color w:val="000000"/>
                <w:szCs w:val="24"/>
                <w:lang w:eastAsia="en-IN" w:bidi="ar-SA"/>
              </w:rPr>
              <w:t>Particular</w:t>
            </w:r>
            <w:r w:rsidR="00C26B5C" w:rsidRPr="00C26B5C">
              <w:rPr>
                <w:rFonts w:eastAsia="Times New Roman" w:cs="Times New Roman"/>
                <w:b/>
                <w:bCs/>
                <w:color w:val="000000"/>
                <w:szCs w:val="24"/>
                <w:lang w:eastAsia="en-IN" w:bidi="ar-SA"/>
              </w:rPr>
              <w:t>s</w:t>
            </w:r>
          </w:p>
        </w:tc>
        <w:tc>
          <w:tcPr>
            <w:tcW w:w="0" w:type="auto"/>
            <w:shd w:val="clear" w:color="000000" w:fill="FFF2CC"/>
            <w:noWrap/>
            <w:vAlign w:val="bottom"/>
            <w:hideMark/>
          </w:tcPr>
          <w:p w14:paraId="6D525DF0" w14:textId="77777777" w:rsidR="007C2257" w:rsidRPr="00C26B5C" w:rsidRDefault="007C2257" w:rsidP="007C2257">
            <w:pPr>
              <w:spacing w:after="0" w:line="240" w:lineRule="auto"/>
              <w:jc w:val="left"/>
              <w:rPr>
                <w:rFonts w:eastAsia="Times New Roman" w:cs="Times New Roman"/>
                <w:b/>
                <w:bCs/>
                <w:color w:val="000000"/>
                <w:szCs w:val="24"/>
                <w:lang w:eastAsia="en-IN" w:bidi="ar-SA"/>
              </w:rPr>
            </w:pPr>
            <w:r w:rsidRPr="00C26B5C">
              <w:rPr>
                <w:rFonts w:eastAsia="Times New Roman" w:cs="Times New Roman"/>
                <w:b/>
                <w:bCs/>
                <w:color w:val="000000"/>
                <w:szCs w:val="24"/>
                <w:lang w:eastAsia="en-IN" w:bidi="ar-SA"/>
              </w:rPr>
              <w:t>Value for 2021</w:t>
            </w:r>
          </w:p>
        </w:tc>
        <w:tc>
          <w:tcPr>
            <w:tcW w:w="0" w:type="auto"/>
            <w:shd w:val="clear" w:color="000000" w:fill="FFF2CC"/>
            <w:noWrap/>
            <w:vAlign w:val="bottom"/>
            <w:hideMark/>
          </w:tcPr>
          <w:p w14:paraId="0BEAB860" w14:textId="77777777" w:rsidR="007C2257" w:rsidRPr="00C26B5C" w:rsidRDefault="007C2257" w:rsidP="007C2257">
            <w:pPr>
              <w:spacing w:after="0" w:line="240" w:lineRule="auto"/>
              <w:jc w:val="left"/>
              <w:rPr>
                <w:rFonts w:eastAsia="Times New Roman" w:cs="Times New Roman"/>
                <w:b/>
                <w:bCs/>
                <w:color w:val="000000"/>
                <w:szCs w:val="24"/>
                <w:lang w:eastAsia="en-IN" w:bidi="ar-SA"/>
              </w:rPr>
            </w:pPr>
            <w:r w:rsidRPr="00C26B5C">
              <w:rPr>
                <w:rFonts w:eastAsia="Times New Roman" w:cs="Times New Roman"/>
                <w:b/>
                <w:bCs/>
                <w:color w:val="000000"/>
                <w:szCs w:val="24"/>
                <w:lang w:eastAsia="en-IN" w:bidi="ar-SA"/>
              </w:rPr>
              <w:t>Value for 2020</w:t>
            </w:r>
          </w:p>
        </w:tc>
      </w:tr>
      <w:tr w:rsidR="007C2257" w:rsidRPr="00C26B5C" w14:paraId="05739ECB" w14:textId="77777777" w:rsidTr="007C2257">
        <w:trPr>
          <w:trHeight w:val="385"/>
          <w:jc w:val="center"/>
        </w:trPr>
        <w:tc>
          <w:tcPr>
            <w:tcW w:w="0" w:type="auto"/>
            <w:shd w:val="clear" w:color="auto" w:fill="auto"/>
            <w:noWrap/>
            <w:vAlign w:val="bottom"/>
            <w:hideMark/>
          </w:tcPr>
          <w:p w14:paraId="02D2244D" w14:textId="77777777" w:rsidR="007C2257" w:rsidRPr="00C26B5C" w:rsidRDefault="007C2257" w:rsidP="007C2257">
            <w:pPr>
              <w:spacing w:after="0" w:line="240" w:lineRule="auto"/>
              <w:jc w:val="left"/>
              <w:rPr>
                <w:rFonts w:eastAsia="Times New Roman" w:cs="Times New Roman"/>
                <w:color w:val="000000"/>
                <w:szCs w:val="24"/>
                <w:lang w:eastAsia="en-IN" w:bidi="ar-SA"/>
              </w:rPr>
            </w:pPr>
            <w:r w:rsidRPr="00C26B5C">
              <w:rPr>
                <w:rFonts w:eastAsia="Times New Roman" w:cs="Times New Roman"/>
                <w:color w:val="000000"/>
                <w:szCs w:val="24"/>
                <w:lang w:eastAsia="en-IN" w:bidi="ar-SA"/>
              </w:rPr>
              <w:t>D/E Ratio</w:t>
            </w:r>
          </w:p>
        </w:tc>
        <w:tc>
          <w:tcPr>
            <w:tcW w:w="0" w:type="auto"/>
            <w:shd w:val="clear" w:color="auto" w:fill="auto"/>
            <w:noWrap/>
            <w:vAlign w:val="center"/>
            <w:hideMark/>
          </w:tcPr>
          <w:p w14:paraId="52C7460F" w14:textId="77777777" w:rsidR="007C2257" w:rsidRPr="00C26B5C" w:rsidRDefault="007C2257" w:rsidP="007C2257">
            <w:pPr>
              <w:spacing w:after="0" w:line="240" w:lineRule="auto"/>
              <w:jc w:val="center"/>
              <w:rPr>
                <w:rFonts w:eastAsia="Times New Roman" w:cs="Times New Roman"/>
                <w:color w:val="000000"/>
                <w:szCs w:val="24"/>
                <w:lang w:eastAsia="en-IN" w:bidi="ar-SA"/>
              </w:rPr>
            </w:pPr>
            <w:r w:rsidRPr="00C26B5C">
              <w:rPr>
                <w:rFonts w:eastAsia="Times New Roman" w:cs="Times New Roman"/>
                <w:color w:val="000000"/>
                <w:szCs w:val="24"/>
                <w:lang w:eastAsia="en-IN" w:bidi="ar-SA"/>
              </w:rPr>
              <w:t>7.16</w:t>
            </w:r>
          </w:p>
        </w:tc>
        <w:tc>
          <w:tcPr>
            <w:tcW w:w="0" w:type="auto"/>
            <w:shd w:val="clear" w:color="auto" w:fill="auto"/>
            <w:noWrap/>
            <w:vAlign w:val="center"/>
            <w:hideMark/>
          </w:tcPr>
          <w:p w14:paraId="41D78E1C" w14:textId="77777777" w:rsidR="007C2257" w:rsidRPr="00C26B5C" w:rsidRDefault="007C2257" w:rsidP="007C2257">
            <w:pPr>
              <w:spacing w:after="0" w:line="240" w:lineRule="auto"/>
              <w:jc w:val="center"/>
              <w:rPr>
                <w:rFonts w:eastAsia="Times New Roman" w:cs="Times New Roman"/>
                <w:color w:val="000000"/>
                <w:szCs w:val="24"/>
                <w:lang w:eastAsia="en-IN" w:bidi="ar-SA"/>
              </w:rPr>
            </w:pPr>
            <w:r w:rsidRPr="00C26B5C">
              <w:rPr>
                <w:rFonts w:eastAsia="Times New Roman" w:cs="Times New Roman"/>
                <w:color w:val="000000"/>
                <w:szCs w:val="24"/>
                <w:lang w:eastAsia="en-IN" w:bidi="ar-SA"/>
              </w:rPr>
              <w:t>24.13</w:t>
            </w:r>
          </w:p>
        </w:tc>
      </w:tr>
      <w:tr w:rsidR="007C2257" w:rsidRPr="00C26B5C" w14:paraId="06C69B49" w14:textId="77777777" w:rsidTr="007C2257">
        <w:trPr>
          <w:trHeight w:val="385"/>
          <w:jc w:val="center"/>
        </w:trPr>
        <w:tc>
          <w:tcPr>
            <w:tcW w:w="0" w:type="auto"/>
            <w:shd w:val="clear" w:color="auto" w:fill="auto"/>
            <w:noWrap/>
            <w:vAlign w:val="bottom"/>
            <w:hideMark/>
          </w:tcPr>
          <w:p w14:paraId="3F9F8453" w14:textId="77777777" w:rsidR="007C2257" w:rsidRPr="00C26B5C" w:rsidRDefault="007C2257" w:rsidP="007C2257">
            <w:pPr>
              <w:spacing w:after="0" w:line="240" w:lineRule="auto"/>
              <w:jc w:val="left"/>
              <w:rPr>
                <w:rFonts w:eastAsia="Times New Roman" w:cs="Times New Roman"/>
                <w:color w:val="000000"/>
                <w:szCs w:val="24"/>
                <w:lang w:eastAsia="en-IN" w:bidi="ar-SA"/>
              </w:rPr>
            </w:pPr>
            <w:r w:rsidRPr="00C26B5C">
              <w:rPr>
                <w:rFonts w:eastAsia="Times New Roman" w:cs="Times New Roman"/>
                <w:color w:val="000000"/>
                <w:szCs w:val="24"/>
                <w:lang w:eastAsia="en-IN" w:bidi="ar-SA"/>
              </w:rPr>
              <w:t>Long-term Debt / Capital</w:t>
            </w:r>
          </w:p>
        </w:tc>
        <w:tc>
          <w:tcPr>
            <w:tcW w:w="0" w:type="auto"/>
            <w:shd w:val="clear" w:color="auto" w:fill="auto"/>
            <w:noWrap/>
            <w:vAlign w:val="center"/>
            <w:hideMark/>
          </w:tcPr>
          <w:p w14:paraId="65A42EEE" w14:textId="77777777" w:rsidR="007C2257" w:rsidRPr="00C26B5C" w:rsidRDefault="007C2257" w:rsidP="007C2257">
            <w:pPr>
              <w:spacing w:after="0" w:line="240" w:lineRule="auto"/>
              <w:jc w:val="center"/>
              <w:rPr>
                <w:rFonts w:eastAsia="Times New Roman" w:cs="Times New Roman"/>
                <w:color w:val="000000"/>
                <w:szCs w:val="24"/>
                <w:lang w:eastAsia="en-IN" w:bidi="ar-SA"/>
              </w:rPr>
            </w:pPr>
            <w:r w:rsidRPr="00C26B5C">
              <w:rPr>
                <w:rFonts w:eastAsia="Times New Roman" w:cs="Times New Roman"/>
                <w:color w:val="000000"/>
                <w:szCs w:val="24"/>
                <w:lang w:eastAsia="en-IN" w:bidi="ar-SA"/>
              </w:rPr>
              <w:t>0.868</w:t>
            </w:r>
          </w:p>
        </w:tc>
        <w:tc>
          <w:tcPr>
            <w:tcW w:w="0" w:type="auto"/>
            <w:shd w:val="clear" w:color="auto" w:fill="auto"/>
            <w:noWrap/>
            <w:vAlign w:val="center"/>
            <w:hideMark/>
          </w:tcPr>
          <w:p w14:paraId="66A944F0" w14:textId="77777777" w:rsidR="007C2257" w:rsidRPr="00C26B5C" w:rsidRDefault="007C2257" w:rsidP="007C2257">
            <w:pPr>
              <w:spacing w:after="0" w:line="240" w:lineRule="auto"/>
              <w:jc w:val="center"/>
              <w:rPr>
                <w:rFonts w:eastAsia="Times New Roman" w:cs="Times New Roman"/>
                <w:color w:val="000000"/>
                <w:szCs w:val="24"/>
                <w:lang w:eastAsia="en-IN" w:bidi="ar-SA"/>
              </w:rPr>
            </w:pPr>
            <w:r w:rsidRPr="00C26B5C">
              <w:rPr>
                <w:rFonts w:eastAsia="Times New Roman" w:cs="Times New Roman"/>
                <w:color w:val="000000"/>
                <w:szCs w:val="24"/>
                <w:lang w:eastAsia="en-IN" w:bidi="ar-SA"/>
              </w:rPr>
              <w:t>0.955</w:t>
            </w:r>
          </w:p>
        </w:tc>
      </w:tr>
    </w:tbl>
    <w:p w14:paraId="11E9295C" w14:textId="38E46C50" w:rsidR="000A1EF6" w:rsidRDefault="000A1EF6"/>
    <w:p w14:paraId="2E1C1440" w14:textId="6820D144" w:rsidR="000A1EF6" w:rsidRDefault="00D175BC" w:rsidP="00D175BC">
      <w:pPr>
        <w:jc w:val="center"/>
      </w:pPr>
      <w:r>
        <w:rPr>
          <w:noProof/>
          <w:lang w:eastAsia="en-IN" w:bidi="ar-SA"/>
        </w:rPr>
        <w:drawing>
          <wp:inline distT="0" distB="0" distL="0" distR="0" wp14:anchorId="4E0905DA" wp14:editId="27699DA8">
            <wp:extent cx="5731510" cy="2456180"/>
            <wp:effectExtent l="0" t="0" r="2540" b="1270"/>
            <wp:docPr id="6" name="Chart 6">
              <a:extLst xmlns:a="http://schemas.openxmlformats.org/drawingml/2006/main">
                <a:ext uri="{FF2B5EF4-FFF2-40B4-BE49-F238E27FC236}">
                  <a16:creationId xmlns:a16="http://schemas.microsoft.com/office/drawing/2014/main" id="{DBD03FEC-A573-95C1-EBDA-B96F1C6107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EB8A9F8" w14:textId="2BC092F7" w:rsidR="00D175BC" w:rsidRDefault="00ED4D53">
      <w:r>
        <w:t>As per the evaluation, it is noticed that Marriott International sourced its 24.13 % of total working capital using debt in 2020</w:t>
      </w:r>
      <w:r w:rsidR="00C26B5C">
        <w:t>,</w:t>
      </w:r>
      <w:r>
        <w:t xml:space="preserve"> and this value decreased to 7.16 % in 2021. It means that there is a progressive trend within the competence of Marriott International in terms of debt minimi</w:t>
      </w:r>
      <w:r w:rsidR="00C26B5C">
        <w:t>s</w:t>
      </w:r>
      <w:r>
        <w:t>ation over equity</w:t>
      </w:r>
      <w:sdt>
        <w:sdtPr>
          <w:id w:val="-1581133715"/>
          <w:citation/>
        </w:sdtPr>
        <w:sdtContent>
          <w:r w:rsidR="00890C0F">
            <w:fldChar w:fldCharType="begin"/>
          </w:r>
          <w:r w:rsidR="00890C0F">
            <w:rPr>
              <w:lang w:val="en-US"/>
            </w:rPr>
            <w:instrText xml:space="preserve"> CITATION Mar222 \l 1033 </w:instrText>
          </w:r>
          <w:r w:rsidR="00890C0F">
            <w:fldChar w:fldCharType="separate"/>
          </w:r>
          <w:r w:rsidR="00C26B5C">
            <w:rPr>
              <w:noProof/>
              <w:lang w:val="en-US"/>
            </w:rPr>
            <w:t xml:space="preserve"> </w:t>
          </w:r>
          <w:r w:rsidR="00C26B5C" w:rsidRPr="00C26B5C">
            <w:rPr>
              <w:noProof/>
              <w:lang w:val="en-US"/>
            </w:rPr>
            <w:t>(Marriott, 2022)</w:t>
          </w:r>
          <w:r w:rsidR="00890C0F">
            <w:fldChar w:fldCharType="end"/>
          </w:r>
        </w:sdtContent>
      </w:sdt>
      <w:r>
        <w:t xml:space="preserve">. On the other hand, there is </w:t>
      </w:r>
      <w:r w:rsidR="00C26B5C">
        <w:t xml:space="preserve">a </w:t>
      </w:r>
      <w:r>
        <w:t>progressive trend within the financial capability of Marriott International in terms of minimi</w:t>
      </w:r>
      <w:r w:rsidR="00C26B5C">
        <w:t>s</w:t>
      </w:r>
      <w:r>
        <w:t>ing the ratio of total long-term debt ratio in overall capital moving from 2020 to 2021.</w:t>
      </w:r>
    </w:p>
    <w:p w14:paraId="6C245484" w14:textId="546CCFA6" w:rsidR="00E143D0" w:rsidRDefault="00A6470E" w:rsidP="00EF325D">
      <w:pPr>
        <w:pStyle w:val="Heading1"/>
      </w:pPr>
      <w:bookmarkStart w:id="6" w:name="_Toc119596439"/>
      <w:r>
        <w:t>Inferences from the Ratio Analysis</w:t>
      </w:r>
      <w:bookmarkEnd w:id="6"/>
      <w:r>
        <w:t xml:space="preserve"> </w:t>
      </w:r>
    </w:p>
    <w:p w14:paraId="3849E252" w14:textId="5CFF8409" w:rsidR="00E143D0" w:rsidRDefault="005A5D28" w:rsidP="00EF325D">
      <w:r>
        <w:t>The primary disadvantage of the accounting ratio analysis is that it has not helped the management of Marriott International to understand</w:t>
      </w:r>
      <w:r w:rsidR="007A29D6">
        <w:t xml:space="preserve"> which cost factor has helped in augmenting its profit margin and which operating activity has assisted in reducing its competence. The accounting ratio analysis is an important aspect for the administration of Marriott International as it will help it to understand what kind of financial and non-financial strategy it should follow to have a progressive performance in the upcoming fiscal period</w:t>
      </w:r>
      <w:sdt>
        <w:sdtPr>
          <w:id w:val="-674953505"/>
          <w:citation/>
        </w:sdtPr>
        <w:sdtContent>
          <w:r w:rsidR="00890C0F">
            <w:fldChar w:fldCharType="begin"/>
          </w:r>
          <w:r w:rsidR="00890C0F">
            <w:rPr>
              <w:lang w:val="en-US"/>
            </w:rPr>
            <w:instrText xml:space="preserve"> CITATION Kil21 \l 1033 </w:instrText>
          </w:r>
          <w:r w:rsidR="00890C0F">
            <w:fldChar w:fldCharType="separate"/>
          </w:r>
          <w:r w:rsidR="00C26B5C">
            <w:rPr>
              <w:noProof/>
              <w:lang w:val="en-US"/>
            </w:rPr>
            <w:t xml:space="preserve"> </w:t>
          </w:r>
          <w:r w:rsidR="00C26B5C" w:rsidRPr="00C26B5C">
            <w:rPr>
              <w:noProof/>
              <w:lang w:val="en-US"/>
            </w:rPr>
            <w:t>(Killingsworth, et al., 2021)</w:t>
          </w:r>
          <w:r w:rsidR="00890C0F">
            <w:fldChar w:fldCharType="end"/>
          </w:r>
        </w:sdtContent>
      </w:sdt>
      <w:r w:rsidR="007A29D6">
        <w:t xml:space="preserve">. For example, as per ratio analysis, it is found that the ratio of debt </w:t>
      </w:r>
      <w:r w:rsidR="00C26B5C">
        <w:lastRenderedPageBreak/>
        <w:t>to</w:t>
      </w:r>
      <w:r w:rsidR="007A29D6">
        <w:t xml:space="preserve"> the total available capital is found </w:t>
      </w:r>
      <w:r w:rsidR="00C26B5C">
        <w:t xml:space="preserve">to be </w:t>
      </w:r>
      <w:r w:rsidR="007A29D6">
        <w:t>less than 7 % in 2021 in comparison to equity</w:t>
      </w:r>
      <w:r w:rsidR="00C26B5C">
        <w:t>,</w:t>
      </w:r>
      <w:r w:rsidR="007A29D6">
        <w:t xml:space="preserve"> and this might put in peril </w:t>
      </w:r>
      <w:r w:rsidR="00C26B5C">
        <w:t xml:space="preserve">the </w:t>
      </w:r>
      <w:r w:rsidR="007A29D6">
        <w:t xml:space="preserve">limit </w:t>
      </w:r>
      <w:r w:rsidR="00C26B5C">
        <w:t xml:space="preserve">of </w:t>
      </w:r>
      <w:r w:rsidR="007A29D6">
        <w:t>its ownership. With the assistance of the debt</w:t>
      </w:r>
      <w:r w:rsidR="00C26B5C">
        <w:t>-</w:t>
      </w:r>
      <w:r w:rsidR="007A29D6">
        <w:t>equity ratio, the management of Marriott International will be successful in taking appropriate funding and cost management</w:t>
      </w:r>
      <w:r w:rsidR="00C26B5C">
        <w:t>-</w:t>
      </w:r>
      <w:r w:rsidR="007A29D6">
        <w:t>related strategy</w:t>
      </w:r>
      <w:r w:rsidR="00C26B5C">
        <w:t>,</w:t>
      </w:r>
      <w:r w:rsidR="007A29D6">
        <w:t xml:space="preserve"> and this will eventually assist in augmenting its overall performance.</w:t>
      </w:r>
    </w:p>
    <w:p w14:paraId="06A365B6" w14:textId="0C884BF2" w:rsidR="00E143D0" w:rsidRDefault="00A6470E" w:rsidP="00EF325D">
      <w:pPr>
        <w:pStyle w:val="Heading1"/>
      </w:pPr>
      <w:bookmarkStart w:id="7" w:name="_Toc119596440"/>
      <w:r>
        <w:t>Advantages and Limitations of Accounting Ratios</w:t>
      </w:r>
      <w:bookmarkEnd w:id="7"/>
    </w:p>
    <w:p w14:paraId="3EC8B1B6" w14:textId="3FB02064" w:rsidR="00A6470E" w:rsidRPr="00F7575A" w:rsidRDefault="00D87CA1">
      <w:r>
        <w:t xml:space="preserve">The first and foremost benefit of </w:t>
      </w:r>
      <w:r w:rsidR="00C26B5C">
        <w:t xml:space="preserve">the </w:t>
      </w:r>
      <w:r>
        <w:t xml:space="preserve">accounting ratio is that </w:t>
      </w:r>
      <w:r w:rsidR="00F7575A">
        <w:t>it helps an organi</w:t>
      </w:r>
      <w:r w:rsidR="00C26B5C">
        <w:t>s</w:t>
      </w:r>
      <w:r w:rsidR="00F7575A">
        <w:t xml:space="preserve">ation like Marriott International </w:t>
      </w:r>
      <w:r w:rsidR="00C26B5C">
        <w:t>understand</w:t>
      </w:r>
      <w:r w:rsidR="00F7575A">
        <w:t xml:space="preserve"> the competence of different deployed financial and non-financial strateg</w:t>
      </w:r>
      <w:r w:rsidR="00C26B5C">
        <w:t>ies,</w:t>
      </w:r>
      <w:r w:rsidR="00F7575A">
        <w:t xml:space="preserve"> and this eventually assists in taking corrective action. On the other than, the limitation of the accounting ratio technique is that it does not help in figuring the impact of external factors like politics and social trend</w:t>
      </w:r>
      <w:r w:rsidR="00C26B5C">
        <w:t>s</w:t>
      </w:r>
      <w:r w:rsidR="00F7575A">
        <w:t xml:space="preserve"> on organi</w:t>
      </w:r>
      <w:r w:rsidR="00C26B5C">
        <w:t>s</w:t>
      </w:r>
      <w:r w:rsidR="00F7575A">
        <w:t>ational performance</w:t>
      </w:r>
      <w:r w:rsidR="00C26B5C">
        <w:t>,</w:t>
      </w:r>
      <w:r w:rsidR="00F7575A">
        <w:t xml:space="preserve"> and this might reduce the competence of an entity</w:t>
      </w:r>
      <w:r w:rsidR="00C26B5C">
        <w:rPr>
          <w:noProof/>
          <w:lang w:val="en-US"/>
        </w:rPr>
        <w:t xml:space="preserve"> </w:t>
      </w:r>
      <w:r w:rsidR="00C26B5C" w:rsidRPr="00C26B5C">
        <w:rPr>
          <w:noProof/>
          <w:lang w:val="en-US"/>
        </w:rPr>
        <w:t xml:space="preserve">(Parlak </w:t>
      </w:r>
      <w:r w:rsidR="00C26B5C">
        <w:rPr>
          <w:noProof/>
        </w:rPr>
        <w:t>and</w:t>
      </w:r>
      <w:r w:rsidR="00C26B5C" w:rsidRPr="00C26B5C">
        <w:rPr>
          <w:noProof/>
          <w:lang w:val="en-US"/>
        </w:rPr>
        <w:t xml:space="preserve"> İlhan, 2016)</w:t>
      </w:r>
      <w:r w:rsidR="00F7575A">
        <w:t>. With the support of accounting ratio</w:t>
      </w:r>
      <w:r w:rsidR="00C26B5C">
        <w:t>s</w:t>
      </w:r>
      <w:r w:rsidR="00F7575A">
        <w:t xml:space="preserve">, </w:t>
      </w:r>
      <w:r w:rsidR="00C26B5C">
        <w:t xml:space="preserve">an </w:t>
      </w:r>
      <w:r w:rsidR="00F7575A">
        <w:t>entity like Marriott International becomes efficient in having valuable financial and non-financial inferences</w:t>
      </w:r>
      <w:r w:rsidR="00C26B5C">
        <w:t>,</w:t>
      </w:r>
      <w:r w:rsidR="00F7575A">
        <w:t xml:space="preserve"> and this eventually helps in making </w:t>
      </w:r>
      <w:r w:rsidR="00C26B5C">
        <w:t xml:space="preserve">a </w:t>
      </w:r>
      <w:r w:rsidR="00F7575A">
        <w:t>progressive decision.</w:t>
      </w:r>
    </w:p>
    <w:p w14:paraId="740BD440" w14:textId="513649A5" w:rsidR="00A6470E" w:rsidRDefault="00A6470E" w:rsidP="00EF325D">
      <w:pPr>
        <w:pStyle w:val="Heading1"/>
      </w:pPr>
      <w:bookmarkStart w:id="8" w:name="_Toc119596441"/>
      <w:r>
        <w:t>Conclusion</w:t>
      </w:r>
      <w:bookmarkEnd w:id="8"/>
      <w:r>
        <w:t xml:space="preserve"> </w:t>
      </w:r>
    </w:p>
    <w:p w14:paraId="25EBBEAB" w14:textId="3E04BA21" w:rsidR="00C26B5C" w:rsidRDefault="00F7575A">
      <w:r>
        <w:t xml:space="preserve">It is concluded that financial performance analysis plays a significant part </w:t>
      </w:r>
      <w:r w:rsidR="00C26B5C">
        <w:t>in</w:t>
      </w:r>
      <w:r>
        <w:t xml:space="preserve"> the management of an organi</w:t>
      </w:r>
      <w:r w:rsidR="00C26B5C">
        <w:t>s</w:t>
      </w:r>
      <w:r>
        <w:t>ation to identify available strength</w:t>
      </w:r>
      <w:r w:rsidR="00C26B5C">
        <w:t>s</w:t>
      </w:r>
      <w:r>
        <w:t xml:space="preserve"> and weaknes</w:t>
      </w:r>
      <w:r w:rsidR="00C26B5C">
        <w:t>se</w:t>
      </w:r>
      <w:r>
        <w:t>s within its economic and non-economic strategies</w:t>
      </w:r>
      <w:r w:rsidR="00C26B5C">
        <w:t>,</w:t>
      </w:r>
      <w:r>
        <w:t xml:space="preserve"> and this eventually assists in taking corrective action. </w:t>
      </w:r>
      <w:r w:rsidR="00AA6ECE">
        <w:t xml:space="preserve">It is identified that there is a progressive trend within the financial performance of Marriott International in terms of liquidity, profitability and solvency management moving from 2020 to 2021. </w:t>
      </w:r>
      <w:r w:rsidR="00A42717">
        <w:t xml:space="preserve">The net profit margin </w:t>
      </w:r>
      <w:r w:rsidR="00C26B5C">
        <w:t>that</w:t>
      </w:r>
      <w:r w:rsidR="00A42717">
        <w:t xml:space="preserve"> the management of Marriott International </w:t>
      </w:r>
      <w:r w:rsidR="00C26B5C">
        <w:t>had</w:t>
      </w:r>
      <w:r w:rsidR="00A42717">
        <w:t xml:space="preserve"> in 2020 was negative due to </w:t>
      </w:r>
      <w:r w:rsidR="00C26B5C">
        <w:t xml:space="preserve">the </w:t>
      </w:r>
      <w:r w:rsidR="00A42717">
        <w:t>pandemic situation</w:t>
      </w:r>
      <w:r w:rsidR="00C26B5C">
        <w:t>,</w:t>
      </w:r>
      <w:r w:rsidR="00A42717">
        <w:t xml:space="preserve"> and this eventually reduced its capability to clean its current obligation using sufficient cash. </w:t>
      </w:r>
    </w:p>
    <w:p w14:paraId="0DB424B1" w14:textId="4B52B763" w:rsidR="00A6470E" w:rsidRDefault="00A42717">
      <w:r>
        <w:t>On the other hand, in 2021, with the strategic cost and customer management strategy, the administration is found successful in having a positive and progressive trend in its profitability, cost and liquidity capability</w:t>
      </w:r>
      <w:r w:rsidR="00C26B5C">
        <w:t>,</w:t>
      </w:r>
      <w:r>
        <w:t xml:space="preserve"> but a marginal decline is noticed </w:t>
      </w:r>
      <w:r w:rsidR="00C26B5C">
        <w:t xml:space="preserve">in </w:t>
      </w:r>
      <w:r>
        <w:t>its debt</w:t>
      </w:r>
      <w:r w:rsidR="00C26B5C">
        <w:t>-</w:t>
      </w:r>
      <w:r>
        <w:t>equity optimi</w:t>
      </w:r>
      <w:r w:rsidR="00C26B5C">
        <w:t>s</w:t>
      </w:r>
      <w:r>
        <w:t>ation efficiency.</w:t>
      </w:r>
      <w:r w:rsidR="006225AE">
        <w:t xml:space="preserve"> Marriott International is suggested to focus on </w:t>
      </w:r>
      <w:r w:rsidR="00C26B5C">
        <w:t xml:space="preserve">the </w:t>
      </w:r>
      <w:r w:rsidR="006225AE">
        <w:t>optimum usage of debt and equity to meet its capital need so that a sustainable financial performance situation might be achieved.</w:t>
      </w:r>
    </w:p>
    <w:p w14:paraId="66B10ACD" w14:textId="0F938CB9" w:rsidR="00905600" w:rsidRDefault="00905600">
      <w:pPr>
        <w:spacing w:line="259" w:lineRule="auto"/>
        <w:jc w:val="left"/>
      </w:pPr>
      <w:r>
        <w:br w:type="page"/>
      </w:r>
    </w:p>
    <w:p w14:paraId="423E1B1D" w14:textId="7CB6BED3" w:rsidR="00980982" w:rsidRDefault="00C26B5C" w:rsidP="00C26B5C">
      <w:pPr>
        <w:pStyle w:val="Heading1"/>
      </w:pPr>
      <w:bookmarkStart w:id="9" w:name="_Toc119596442"/>
      <w:r>
        <w:lastRenderedPageBreak/>
        <w:t>References</w:t>
      </w:r>
      <w:bookmarkEnd w:id="9"/>
      <w:r>
        <w:t xml:space="preserve"> </w:t>
      </w:r>
    </w:p>
    <w:p w14:paraId="60B2F870" w14:textId="77777777" w:rsidR="00C26B5C" w:rsidRDefault="00C26B5C" w:rsidP="00C26B5C">
      <w:pPr>
        <w:rPr>
          <w:noProof/>
          <w:szCs w:val="24"/>
        </w:rPr>
      </w:pPr>
      <w:r>
        <w:rPr>
          <w:noProof/>
        </w:rPr>
        <w:t xml:space="preserve">Alabdullah, T. T. (2022). Management accounting insight via a new perspective on risk management-companies' profitability relationship. </w:t>
      </w:r>
      <w:r>
        <w:rPr>
          <w:i/>
          <w:iCs/>
          <w:noProof/>
        </w:rPr>
        <w:t>International Journal of Intelligent Enterprise, 9</w:t>
      </w:r>
      <w:r>
        <w:rPr>
          <w:noProof/>
        </w:rPr>
        <w:t>(2), 244-257; DOI : 10.1504/IJIE.2022.121752.</w:t>
      </w:r>
    </w:p>
    <w:p w14:paraId="4CF1D979" w14:textId="2BA9BB07" w:rsidR="00C26B5C" w:rsidRDefault="00C26B5C" w:rsidP="00C26B5C">
      <w:pPr>
        <w:rPr>
          <w:noProof/>
        </w:rPr>
      </w:pPr>
      <w:r>
        <w:rPr>
          <w:noProof/>
        </w:rPr>
        <w:t xml:space="preserve">Benamraoui, A., Jory, S. R., Boojihawon, D. R., and Madichie, N. O. (2016). Net present value analysis and the wealth creation process: A case illustration. . </w:t>
      </w:r>
      <w:r>
        <w:rPr>
          <w:i/>
          <w:iCs/>
          <w:noProof/>
        </w:rPr>
        <w:t>The Accounting Educators' Journal, 2</w:t>
      </w:r>
      <w:r>
        <w:rPr>
          <w:noProof/>
        </w:rPr>
        <w:t>(6), 22-29; DOI : 10.1108/AJAR-04-2016-0023.</w:t>
      </w:r>
    </w:p>
    <w:p w14:paraId="7530C94D" w14:textId="77777777" w:rsidR="00C26B5C" w:rsidRDefault="00C26B5C" w:rsidP="00C26B5C">
      <w:pPr>
        <w:rPr>
          <w:noProof/>
        </w:rPr>
      </w:pPr>
      <w:r>
        <w:rPr>
          <w:noProof/>
        </w:rPr>
        <w:t xml:space="preserve">Galstian, N. (2017). The impact of the level of financial literacy of managers, particularly the financial manager, in the economic and financial performance of SMEs, a comparison between Portugal and Russia. </w:t>
      </w:r>
      <w:r>
        <w:rPr>
          <w:i/>
          <w:iCs/>
          <w:noProof/>
        </w:rPr>
        <w:t>Doctoral dissertation, 2</w:t>
      </w:r>
      <w:r>
        <w:rPr>
          <w:noProof/>
        </w:rPr>
        <w:t>(1), 22-29; DOI : 10.5937/tehnika2004498M.</w:t>
      </w:r>
    </w:p>
    <w:p w14:paraId="6BA780B6" w14:textId="39A5159C" w:rsidR="00C26B5C" w:rsidRDefault="00C26B5C" w:rsidP="00C26B5C">
      <w:pPr>
        <w:rPr>
          <w:noProof/>
        </w:rPr>
      </w:pPr>
      <w:r>
        <w:rPr>
          <w:noProof/>
        </w:rPr>
        <w:t xml:space="preserve">Killingsworth, J., Mehany, M. H., and Kim, J. (2021). Using accounting ratios to measure construction industry lag. </w:t>
      </w:r>
      <w:r>
        <w:rPr>
          <w:i/>
          <w:iCs/>
          <w:noProof/>
        </w:rPr>
        <w:t>Journal of Financial Management of Property and Construction., 12</w:t>
      </w:r>
      <w:r>
        <w:rPr>
          <w:noProof/>
        </w:rPr>
        <w:t>(1), 22-29; DOI : 10.1108/JFMPC-11-2019-0085.</w:t>
      </w:r>
    </w:p>
    <w:p w14:paraId="1401BC22" w14:textId="77777777" w:rsidR="00C26B5C" w:rsidRDefault="00C26B5C" w:rsidP="00C26B5C">
      <w:pPr>
        <w:rPr>
          <w:noProof/>
        </w:rPr>
      </w:pPr>
      <w:r>
        <w:rPr>
          <w:noProof/>
        </w:rPr>
        <w:t xml:space="preserve">Macrotrends. (2022). </w:t>
      </w:r>
      <w:r>
        <w:rPr>
          <w:i/>
          <w:iCs/>
          <w:noProof/>
        </w:rPr>
        <w:t>Financial Ratio</w:t>
      </w:r>
      <w:r>
        <w:rPr>
          <w:noProof/>
        </w:rPr>
        <w:t>. Retrieved Nov 17, 2022, from https://www.macrotrends.net/stocks/charts/MAR/marriott/financial-ratios</w:t>
      </w:r>
    </w:p>
    <w:p w14:paraId="219B1B20" w14:textId="77777777" w:rsidR="00C26B5C" w:rsidRDefault="00C26B5C" w:rsidP="00C26B5C">
      <w:pPr>
        <w:rPr>
          <w:noProof/>
        </w:rPr>
      </w:pPr>
      <w:r>
        <w:rPr>
          <w:noProof/>
        </w:rPr>
        <w:t xml:space="preserve">Marriott. (2020). </w:t>
      </w:r>
      <w:r>
        <w:rPr>
          <w:i/>
          <w:iCs/>
          <w:noProof/>
        </w:rPr>
        <w:t>Annual Report 2020</w:t>
      </w:r>
      <w:r>
        <w:rPr>
          <w:noProof/>
        </w:rPr>
        <w:t>. Retrieved Nov 17, 2022, from https://marriott.gcs-web.com/annual</w:t>
      </w:r>
    </w:p>
    <w:p w14:paraId="566C6BFF" w14:textId="77777777" w:rsidR="00C26B5C" w:rsidRDefault="00C26B5C" w:rsidP="00C26B5C">
      <w:pPr>
        <w:rPr>
          <w:noProof/>
        </w:rPr>
      </w:pPr>
      <w:r>
        <w:rPr>
          <w:noProof/>
        </w:rPr>
        <w:t xml:space="preserve">Marriott. (2022). </w:t>
      </w:r>
      <w:r>
        <w:rPr>
          <w:i/>
          <w:iCs/>
          <w:noProof/>
        </w:rPr>
        <w:t>About</w:t>
      </w:r>
      <w:r>
        <w:rPr>
          <w:noProof/>
        </w:rPr>
        <w:t>. Retrieved Nov 17, 2022, from https://www.marriott.com/marriott/aboutmarriott.mi</w:t>
      </w:r>
    </w:p>
    <w:p w14:paraId="1877F985" w14:textId="77777777" w:rsidR="00C26B5C" w:rsidRDefault="00C26B5C" w:rsidP="00C26B5C">
      <w:pPr>
        <w:rPr>
          <w:noProof/>
        </w:rPr>
      </w:pPr>
      <w:r>
        <w:rPr>
          <w:noProof/>
        </w:rPr>
        <w:t xml:space="preserve">Marriott. (2022). </w:t>
      </w:r>
      <w:r>
        <w:rPr>
          <w:i/>
          <w:iCs/>
          <w:noProof/>
        </w:rPr>
        <w:t>Annual Report 2021</w:t>
      </w:r>
      <w:r>
        <w:rPr>
          <w:noProof/>
        </w:rPr>
        <w:t>. Retrieved Nov 17, 2022, from https://marriott.gcs-web.com/static-files/b82978a6-9d28-4e38-9855-fc4ae2cebe11</w:t>
      </w:r>
    </w:p>
    <w:p w14:paraId="4DAC1BA9" w14:textId="77777777" w:rsidR="00C26B5C" w:rsidRDefault="00C26B5C" w:rsidP="00C26B5C">
      <w:pPr>
        <w:rPr>
          <w:noProof/>
        </w:rPr>
      </w:pPr>
      <w:r>
        <w:rPr>
          <w:noProof/>
        </w:rPr>
        <w:t xml:space="preserve">Marriott. (2022). </w:t>
      </w:r>
      <w:r>
        <w:rPr>
          <w:i/>
          <w:iCs/>
          <w:noProof/>
        </w:rPr>
        <w:t>Our Story</w:t>
      </w:r>
      <w:r>
        <w:rPr>
          <w:noProof/>
        </w:rPr>
        <w:t>. Retrieved Nov 17, 2022, from https://www.marriott.com/about/culture-and-values/history.mi</w:t>
      </w:r>
    </w:p>
    <w:p w14:paraId="5EAE1303" w14:textId="4A3A6A98" w:rsidR="00C26B5C" w:rsidRDefault="00C26B5C" w:rsidP="00C26B5C">
      <w:pPr>
        <w:rPr>
          <w:noProof/>
        </w:rPr>
      </w:pPr>
      <w:r>
        <w:rPr>
          <w:noProof/>
        </w:rPr>
        <w:t xml:space="preserve">Parlak, D., and İlhan, H. (2016). Foreign exchange risk and financial performance: The case of Turkey. </w:t>
      </w:r>
      <w:r>
        <w:rPr>
          <w:i/>
          <w:iCs/>
          <w:noProof/>
        </w:rPr>
        <w:t>International review of Economics and Management, 4</w:t>
      </w:r>
      <w:r>
        <w:rPr>
          <w:noProof/>
        </w:rPr>
        <w:t>(2), 1-15; DOI: 10.22495/jgrv11i1art9.</w:t>
      </w:r>
    </w:p>
    <w:p w14:paraId="571C3427" w14:textId="22A261FC" w:rsidR="00C26B5C" w:rsidRDefault="00C26B5C" w:rsidP="00C26B5C">
      <w:pPr>
        <w:rPr>
          <w:noProof/>
        </w:rPr>
      </w:pPr>
      <w:r>
        <w:rPr>
          <w:noProof/>
        </w:rPr>
        <w:t xml:space="preserve">Rizki, I. H., and Kaur, M. (2022). Analysis Of Statement Of Profit And Loss And Statement Of Cash Flows On Operating Cash Flow Ratio On Cv Biru Utama. . </w:t>
      </w:r>
      <w:r>
        <w:rPr>
          <w:i/>
          <w:iCs/>
          <w:noProof/>
        </w:rPr>
        <w:t>Enrichment: Journal of Management, 12</w:t>
      </w:r>
      <w:r>
        <w:rPr>
          <w:noProof/>
        </w:rPr>
        <w:t>(2), 2398-2403; DOI : 10.35335/enrichment.v12i2.570.</w:t>
      </w:r>
    </w:p>
    <w:p w14:paraId="7009A2BE" w14:textId="77777777" w:rsidR="00C26B5C" w:rsidRDefault="00C26B5C" w:rsidP="00C26B5C">
      <w:pPr>
        <w:rPr>
          <w:noProof/>
        </w:rPr>
      </w:pPr>
      <w:r>
        <w:rPr>
          <w:noProof/>
        </w:rPr>
        <w:lastRenderedPageBreak/>
        <w:t xml:space="preserve">Saputra, F. (2022). Analysis of Total Debt, Revenue and Net Profit on Stock Prices of Foods And Beverages Companies on the Indonesia Stock Exchange (IDX) Period 2018-2021. </w:t>
      </w:r>
      <w:r>
        <w:rPr>
          <w:i/>
          <w:iCs/>
          <w:noProof/>
        </w:rPr>
        <w:t>Journal of Accounting and Finance Management, 3</w:t>
      </w:r>
      <w:r>
        <w:rPr>
          <w:noProof/>
        </w:rPr>
        <w:t>(1), 10-20; DOI : 10.38035/jafm.v3i1.64.</w:t>
      </w:r>
    </w:p>
    <w:p w14:paraId="4363A4B8" w14:textId="77035F2E" w:rsidR="00C26B5C" w:rsidRPr="00C26B5C" w:rsidRDefault="00C26B5C" w:rsidP="00C26B5C">
      <w:r>
        <w:rPr>
          <w:noProof/>
        </w:rPr>
        <w:t xml:space="preserve">Sudharto, S. V., and Salim, S. (2021). Efek Firm Size, Profitability, Gearing Ratio, Dan Public Ownership Terhadap Risk Disclosure. </w:t>
      </w:r>
      <w:r>
        <w:rPr>
          <w:i/>
          <w:iCs/>
          <w:noProof/>
        </w:rPr>
        <w:t>Jurnal Ekonomi, 12</w:t>
      </w:r>
      <w:r>
        <w:rPr>
          <w:noProof/>
        </w:rPr>
        <w:t>(1), 125-143; DOI : 10.24912/je.v0i0.770.</w:t>
      </w:r>
    </w:p>
    <w:sectPr w:rsidR="00C26B5C" w:rsidRPr="00C26B5C">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2F7384" w14:textId="77777777" w:rsidR="002D286B" w:rsidRDefault="002D286B" w:rsidP="00E143D0">
      <w:pPr>
        <w:spacing w:after="0" w:line="240" w:lineRule="auto"/>
      </w:pPr>
      <w:r>
        <w:separator/>
      </w:r>
    </w:p>
  </w:endnote>
  <w:endnote w:type="continuationSeparator" w:id="0">
    <w:p w14:paraId="2D622475" w14:textId="77777777" w:rsidR="002D286B" w:rsidRDefault="002D286B" w:rsidP="00E14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7060324"/>
      <w:docPartObj>
        <w:docPartGallery w:val="Page Numbers (Bottom of Page)"/>
        <w:docPartUnique/>
      </w:docPartObj>
    </w:sdtPr>
    <w:sdtEndPr>
      <w:rPr>
        <w:noProof/>
      </w:rPr>
    </w:sdtEndPr>
    <w:sdtContent>
      <w:p w14:paraId="6CA88117" w14:textId="52988BE9" w:rsidR="00E143D0" w:rsidRDefault="00E143D0">
        <w:pPr>
          <w:pStyle w:val="Footer"/>
          <w:jc w:val="right"/>
        </w:pPr>
        <w:r>
          <w:fldChar w:fldCharType="begin"/>
        </w:r>
        <w:r>
          <w:instrText xml:space="preserve"> PAGE   \* MERGEFORMAT </w:instrText>
        </w:r>
        <w:r>
          <w:fldChar w:fldCharType="separate"/>
        </w:r>
        <w:r w:rsidR="00C26B5C">
          <w:rPr>
            <w:noProof/>
          </w:rPr>
          <w:t>3</w:t>
        </w:r>
        <w:r>
          <w:rPr>
            <w:noProof/>
          </w:rPr>
          <w:fldChar w:fldCharType="end"/>
        </w:r>
      </w:p>
    </w:sdtContent>
  </w:sdt>
  <w:p w14:paraId="759EB68A" w14:textId="77777777" w:rsidR="00E143D0" w:rsidRDefault="00E143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6F51C8" w14:textId="77777777" w:rsidR="002D286B" w:rsidRDefault="002D286B" w:rsidP="00E143D0">
      <w:pPr>
        <w:spacing w:after="0" w:line="240" w:lineRule="auto"/>
      </w:pPr>
      <w:r>
        <w:separator/>
      </w:r>
    </w:p>
  </w:footnote>
  <w:footnote w:type="continuationSeparator" w:id="0">
    <w:p w14:paraId="09303B43" w14:textId="77777777" w:rsidR="002D286B" w:rsidRDefault="002D286B" w:rsidP="00E143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Y0NTc0MDc2szA0MzFQ0lEKTi0uzszPAykwrAUArnufwiwAAAA="/>
  </w:docVars>
  <w:rsids>
    <w:rsidRoot w:val="00E143D0"/>
    <w:rsid w:val="00006640"/>
    <w:rsid w:val="000A1EF6"/>
    <w:rsid w:val="000D111D"/>
    <w:rsid w:val="000E5B32"/>
    <w:rsid w:val="00126418"/>
    <w:rsid w:val="001C38C0"/>
    <w:rsid w:val="001D67D3"/>
    <w:rsid w:val="00254D02"/>
    <w:rsid w:val="00255C46"/>
    <w:rsid w:val="002A4D1C"/>
    <w:rsid w:val="002D286B"/>
    <w:rsid w:val="002E6EF2"/>
    <w:rsid w:val="00316B9B"/>
    <w:rsid w:val="00330D00"/>
    <w:rsid w:val="00336E8D"/>
    <w:rsid w:val="003A6B6A"/>
    <w:rsid w:val="003B14B7"/>
    <w:rsid w:val="003E2E39"/>
    <w:rsid w:val="003E4280"/>
    <w:rsid w:val="004250AF"/>
    <w:rsid w:val="00491E6B"/>
    <w:rsid w:val="004D083C"/>
    <w:rsid w:val="00572D00"/>
    <w:rsid w:val="005A5D28"/>
    <w:rsid w:val="006225AE"/>
    <w:rsid w:val="0062770E"/>
    <w:rsid w:val="00635D6C"/>
    <w:rsid w:val="00656742"/>
    <w:rsid w:val="00692256"/>
    <w:rsid w:val="00693120"/>
    <w:rsid w:val="006A3F6C"/>
    <w:rsid w:val="006D6DC3"/>
    <w:rsid w:val="00717637"/>
    <w:rsid w:val="00717B40"/>
    <w:rsid w:val="0072489C"/>
    <w:rsid w:val="0074498B"/>
    <w:rsid w:val="0078009F"/>
    <w:rsid w:val="00790D70"/>
    <w:rsid w:val="00793677"/>
    <w:rsid w:val="007A29D6"/>
    <w:rsid w:val="007B12E4"/>
    <w:rsid w:val="007C2257"/>
    <w:rsid w:val="007C3689"/>
    <w:rsid w:val="007E5F80"/>
    <w:rsid w:val="00840650"/>
    <w:rsid w:val="008413D4"/>
    <w:rsid w:val="0085723A"/>
    <w:rsid w:val="00881EAF"/>
    <w:rsid w:val="00890C0F"/>
    <w:rsid w:val="00897C53"/>
    <w:rsid w:val="008D2B87"/>
    <w:rsid w:val="00905600"/>
    <w:rsid w:val="0094646C"/>
    <w:rsid w:val="00980982"/>
    <w:rsid w:val="009C3C21"/>
    <w:rsid w:val="009F4F21"/>
    <w:rsid w:val="00A1582D"/>
    <w:rsid w:val="00A20726"/>
    <w:rsid w:val="00A22F22"/>
    <w:rsid w:val="00A42717"/>
    <w:rsid w:val="00A6470E"/>
    <w:rsid w:val="00AA6ECE"/>
    <w:rsid w:val="00AC3843"/>
    <w:rsid w:val="00AF7FED"/>
    <w:rsid w:val="00B1452E"/>
    <w:rsid w:val="00B45210"/>
    <w:rsid w:val="00B7605E"/>
    <w:rsid w:val="00BB7991"/>
    <w:rsid w:val="00C26B5C"/>
    <w:rsid w:val="00C43F61"/>
    <w:rsid w:val="00C91E8C"/>
    <w:rsid w:val="00CC420A"/>
    <w:rsid w:val="00CF199A"/>
    <w:rsid w:val="00D175BC"/>
    <w:rsid w:val="00D22E31"/>
    <w:rsid w:val="00D77426"/>
    <w:rsid w:val="00D87CA1"/>
    <w:rsid w:val="00DA0A70"/>
    <w:rsid w:val="00DB3DD5"/>
    <w:rsid w:val="00E143D0"/>
    <w:rsid w:val="00E50ADF"/>
    <w:rsid w:val="00E935E8"/>
    <w:rsid w:val="00EC0E57"/>
    <w:rsid w:val="00ED4D53"/>
    <w:rsid w:val="00EF325D"/>
    <w:rsid w:val="00F7575A"/>
    <w:rsid w:val="00FC2A1D"/>
    <w:rsid w:val="00FF6C70"/>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C13B9"/>
  <w15:chartTrackingRefBased/>
  <w15:docId w15:val="{C79BA174-15A5-4A6C-A56C-62831F89A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IN"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43D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6470E"/>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paragraph" w:styleId="Heading2">
    <w:name w:val="heading 2"/>
    <w:basedOn w:val="Normal"/>
    <w:next w:val="Normal"/>
    <w:link w:val="Heading2Char"/>
    <w:uiPriority w:val="9"/>
    <w:unhideWhenUsed/>
    <w:qFormat/>
    <w:rsid w:val="00EF325D"/>
    <w:pPr>
      <w:keepNext/>
      <w:keepLines/>
      <w:spacing w:before="40" w:after="0"/>
      <w:outlineLvl w:val="1"/>
    </w:pPr>
    <w:rPr>
      <w:rFonts w:asciiTheme="majorHAnsi" w:eastAsiaTheme="majorEastAsia" w:hAnsiTheme="majorHAnsi" w:cstheme="majorBidi"/>
      <w:color w:val="2F5496" w:themeColor="accent1" w:themeShade="BF"/>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43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43D0"/>
    <w:rPr>
      <w:rFonts w:ascii="Times New Roman" w:hAnsi="Times New Roman"/>
      <w:sz w:val="24"/>
    </w:rPr>
  </w:style>
  <w:style w:type="paragraph" w:styleId="Footer">
    <w:name w:val="footer"/>
    <w:basedOn w:val="Normal"/>
    <w:link w:val="FooterChar"/>
    <w:uiPriority w:val="99"/>
    <w:unhideWhenUsed/>
    <w:rsid w:val="00E143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43D0"/>
    <w:rPr>
      <w:rFonts w:ascii="Times New Roman" w:hAnsi="Times New Roman"/>
      <w:sz w:val="24"/>
    </w:rPr>
  </w:style>
  <w:style w:type="paragraph" w:styleId="Title">
    <w:name w:val="Title"/>
    <w:basedOn w:val="Normal"/>
    <w:next w:val="Normal"/>
    <w:link w:val="TitleChar"/>
    <w:uiPriority w:val="10"/>
    <w:qFormat/>
    <w:rsid w:val="00E143D0"/>
    <w:pPr>
      <w:spacing w:after="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E143D0"/>
    <w:rPr>
      <w:rFonts w:asciiTheme="majorHAnsi" w:eastAsiaTheme="majorEastAsia" w:hAnsiTheme="majorHAnsi" w:cstheme="majorBidi"/>
      <w:spacing w:val="-10"/>
      <w:kern w:val="28"/>
      <w:sz w:val="56"/>
      <w:szCs w:val="71"/>
    </w:rPr>
  </w:style>
  <w:style w:type="character" w:customStyle="1" w:styleId="Heading1Char">
    <w:name w:val="Heading 1 Char"/>
    <w:basedOn w:val="DefaultParagraphFont"/>
    <w:link w:val="Heading1"/>
    <w:uiPriority w:val="9"/>
    <w:rsid w:val="00A6470E"/>
    <w:rPr>
      <w:rFonts w:asciiTheme="majorHAnsi" w:eastAsiaTheme="majorEastAsia" w:hAnsiTheme="majorHAnsi" w:cstheme="majorBidi"/>
      <w:color w:val="2F5496" w:themeColor="accent1" w:themeShade="BF"/>
      <w:sz w:val="32"/>
      <w:szCs w:val="40"/>
    </w:rPr>
  </w:style>
  <w:style w:type="paragraph" w:styleId="TOCHeading">
    <w:name w:val="TOC Heading"/>
    <w:basedOn w:val="Heading1"/>
    <w:next w:val="Normal"/>
    <w:uiPriority w:val="39"/>
    <w:unhideWhenUsed/>
    <w:qFormat/>
    <w:rsid w:val="00A6470E"/>
    <w:pPr>
      <w:spacing w:line="259" w:lineRule="auto"/>
      <w:jc w:val="left"/>
      <w:outlineLvl w:val="9"/>
    </w:pPr>
    <w:rPr>
      <w:szCs w:val="32"/>
      <w:lang w:val="en-US" w:bidi="ar-SA"/>
    </w:rPr>
  </w:style>
  <w:style w:type="character" w:customStyle="1" w:styleId="Heading2Char">
    <w:name w:val="Heading 2 Char"/>
    <w:basedOn w:val="DefaultParagraphFont"/>
    <w:link w:val="Heading2"/>
    <w:uiPriority w:val="9"/>
    <w:rsid w:val="00EF325D"/>
    <w:rPr>
      <w:rFonts w:asciiTheme="majorHAnsi" w:eastAsiaTheme="majorEastAsia" w:hAnsiTheme="majorHAnsi" w:cstheme="majorBidi"/>
      <w:color w:val="2F5496" w:themeColor="accent1" w:themeShade="BF"/>
      <w:sz w:val="26"/>
      <w:szCs w:val="33"/>
    </w:rPr>
  </w:style>
  <w:style w:type="paragraph" w:styleId="Caption">
    <w:name w:val="caption"/>
    <w:basedOn w:val="Normal"/>
    <w:next w:val="Normal"/>
    <w:uiPriority w:val="35"/>
    <w:unhideWhenUsed/>
    <w:qFormat/>
    <w:rsid w:val="009F4F21"/>
    <w:pPr>
      <w:spacing w:after="200" w:line="240" w:lineRule="auto"/>
    </w:pPr>
    <w:rPr>
      <w:i/>
      <w:iCs/>
      <w:color w:val="44546A" w:themeColor="text2"/>
      <w:sz w:val="18"/>
      <w:szCs w:val="22"/>
    </w:rPr>
  </w:style>
  <w:style w:type="paragraph" w:styleId="TOC1">
    <w:name w:val="toc 1"/>
    <w:basedOn w:val="Normal"/>
    <w:next w:val="Normal"/>
    <w:autoRedefine/>
    <w:uiPriority w:val="39"/>
    <w:unhideWhenUsed/>
    <w:rsid w:val="0072489C"/>
    <w:pPr>
      <w:spacing w:after="100"/>
    </w:pPr>
  </w:style>
  <w:style w:type="paragraph" w:styleId="TOC2">
    <w:name w:val="toc 2"/>
    <w:basedOn w:val="Normal"/>
    <w:next w:val="Normal"/>
    <w:autoRedefine/>
    <w:uiPriority w:val="39"/>
    <w:unhideWhenUsed/>
    <w:rsid w:val="0072489C"/>
    <w:pPr>
      <w:spacing w:after="100"/>
      <w:ind w:left="240"/>
    </w:pPr>
  </w:style>
  <w:style w:type="character" w:styleId="Hyperlink">
    <w:name w:val="Hyperlink"/>
    <w:basedOn w:val="DefaultParagraphFont"/>
    <w:uiPriority w:val="99"/>
    <w:unhideWhenUsed/>
    <w:rsid w:val="0072489C"/>
    <w:rPr>
      <w:color w:val="0563C1" w:themeColor="hyperlink"/>
      <w:u w:val="single"/>
    </w:rPr>
  </w:style>
  <w:style w:type="paragraph" w:styleId="Bibliography">
    <w:name w:val="Bibliography"/>
    <w:basedOn w:val="Normal"/>
    <w:next w:val="Normal"/>
    <w:uiPriority w:val="37"/>
    <w:unhideWhenUsed/>
    <w:rsid w:val="009809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7934">
      <w:bodyDiv w:val="1"/>
      <w:marLeft w:val="0"/>
      <w:marRight w:val="0"/>
      <w:marTop w:val="0"/>
      <w:marBottom w:val="0"/>
      <w:divBdr>
        <w:top w:val="none" w:sz="0" w:space="0" w:color="auto"/>
        <w:left w:val="none" w:sz="0" w:space="0" w:color="auto"/>
        <w:bottom w:val="none" w:sz="0" w:space="0" w:color="auto"/>
        <w:right w:val="none" w:sz="0" w:space="0" w:color="auto"/>
      </w:divBdr>
    </w:div>
    <w:div w:id="13383521">
      <w:bodyDiv w:val="1"/>
      <w:marLeft w:val="0"/>
      <w:marRight w:val="0"/>
      <w:marTop w:val="0"/>
      <w:marBottom w:val="0"/>
      <w:divBdr>
        <w:top w:val="none" w:sz="0" w:space="0" w:color="auto"/>
        <w:left w:val="none" w:sz="0" w:space="0" w:color="auto"/>
        <w:bottom w:val="none" w:sz="0" w:space="0" w:color="auto"/>
        <w:right w:val="none" w:sz="0" w:space="0" w:color="auto"/>
      </w:divBdr>
    </w:div>
    <w:div w:id="45840058">
      <w:bodyDiv w:val="1"/>
      <w:marLeft w:val="0"/>
      <w:marRight w:val="0"/>
      <w:marTop w:val="0"/>
      <w:marBottom w:val="0"/>
      <w:divBdr>
        <w:top w:val="none" w:sz="0" w:space="0" w:color="auto"/>
        <w:left w:val="none" w:sz="0" w:space="0" w:color="auto"/>
        <w:bottom w:val="none" w:sz="0" w:space="0" w:color="auto"/>
        <w:right w:val="none" w:sz="0" w:space="0" w:color="auto"/>
      </w:divBdr>
    </w:div>
    <w:div w:id="85927704">
      <w:bodyDiv w:val="1"/>
      <w:marLeft w:val="0"/>
      <w:marRight w:val="0"/>
      <w:marTop w:val="0"/>
      <w:marBottom w:val="0"/>
      <w:divBdr>
        <w:top w:val="none" w:sz="0" w:space="0" w:color="auto"/>
        <w:left w:val="none" w:sz="0" w:space="0" w:color="auto"/>
        <w:bottom w:val="none" w:sz="0" w:space="0" w:color="auto"/>
        <w:right w:val="none" w:sz="0" w:space="0" w:color="auto"/>
      </w:divBdr>
    </w:div>
    <w:div w:id="99572425">
      <w:bodyDiv w:val="1"/>
      <w:marLeft w:val="0"/>
      <w:marRight w:val="0"/>
      <w:marTop w:val="0"/>
      <w:marBottom w:val="0"/>
      <w:divBdr>
        <w:top w:val="none" w:sz="0" w:space="0" w:color="auto"/>
        <w:left w:val="none" w:sz="0" w:space="0" w:color="auto"/>
        <w:bottom w:val="none" w:sz="0" w:space="0" w:color="auto"/>
        <w:right w:val="none" w:sz="0" w:space="0" w:color="auto"/>
      </w:divBdr>
    </w:div>
    <w:div w:id="110784302">
      <w:bodyDiv w:val="1"/>
      <w:marLeft w:val="0"/>
      <w:marRight w:val="0"/>
      <w:marTop w:val="0"/>
      <w:marBottom w:val="0"/>
      <w:divBdr>
        <w:top w:val="none" w:sz="0" w:space="0" w:color="auto"/>
        <w:left w:val="none" w:sz="0" w:space="0" w:color="auto"/>
        <w:bottom w:val="none" w:sz="0" w:space="0" w:color="auto"/>
        <w:right w:val="none" w:sz="0" w:space="0" w:color="auto"/>
      </w:divBdr>
    </w:div>
    <w:div w:id="113409461">
      <w:bodyDiv w:val="1"/>
      <w:marLeft w:val="0"/>
      <w:marRight w:val="0"/>
      <w:marTop w:val="0"/>
      <w:marBottom w:val="0"/>
      <w:divBdr>
        <w:top w:val="none" w:sz="0" w:space="0" w:color="auto"/>
        <w:left w:val="none" w:sz="0" w:space="0" w:color="auto"/>
        <w:bottom w:val="none" w:sz="0" w:space="0" w:color="auto"/>
        <w:right w:val="none" w:sz="0" w:space="0" w:color="auto"/>
      </w:divBdr>
    </w:div>
    <w:div w:id="126048786">
      <w:bodyDiv w:val="1"/>
      <w:marLeft w:val="0"/>
      <w:marRight w:val="0"/>
      <w:marTop w:val="0"/>
      <w:marBottom w:val="0"/>
      <w:divBdr>
        <w:top w:val="none" w:sz="0" w:space="0" w:color="auto"/>
        <w:left w:val="none" w:sz="0" w:space="0" w:color="auto"/>
        <w:bottom w:val="none" w:sz="0" w:space="0" w:color="auto"/>
        <w:right w:val="none" w:sz="0" w:space="0" w:color="auto"/>
      </w:divBdr>
    </w:div>
    <w:div w:id="163787514">
      <w:bodyDiv w:val="1"/>
      <w:marLeft w:val="0"/>
      <w:marRight w:val="0"/>
      <w:marTop w:val="0"/>
      <w:marBottom w:val="0"/>
      <w:divBdr>
        <w:top w:val="none" w:sz="0" w:space="0" w:color="auto"/>
        <w:left w:val="none" w:sz="0" w:space="0" w:color="auto"/>
        <w:bottom w:val="none" w:sz="0" w:space="0" w:color="auto"/>
        <w:right w:val="none" w:sz="0" w:space="0" w:color="auto"/>
      </w:divBdr>
    </w:div>
    <w:div w:id="182592174">
      <w:bodyDiv w:val="1"/>
      <w:marLeft w:val="0"/>
      <w:marRight w:val="0"/>
      <w:marTop w:val="0"/>
      <w:marBottom w:val="0"/>
      <w:divBdr>
        <w:top w:val="none" w:sz="0" w:space="0" w:color="auto"/>
        <w:left w:val="none" w:sz="0" w:space="0" w:color="auto"/>
        <w:bottom w:val="none" w:sz="0" w:space="0" w:color="auto"/>
        <w:right w:val="none" w:sz="0" w:space="0" w:color="auto"/>
      </w:divBdr>
    </w:div>
    <w:div w:id="183981727">
      <w:bodyDiv w:val="1"/>
      <w:marLeft w:val="0"/>
      <w:marRight w:val="0"/>
      <w:marTop w:val="0"/>
      <w:marBottom w:val="0"/>
      <w:divBdr>
        <w:top w:val="none" w:sz="0" w:space="0" w:color="auto"/>
        <w:left w:val="none" w:sz="0" w:space="0" w:color="auto"/>
        <w:bottom w:val="none" w:sz="0" w:space="0" w:color="auto"/>
        <w:right w:val="none" w:sz="0" w:space="0" w:color="auto"/>
      </w:divBdr>
    </w:div>
    <w:div w:id="234514909">
      <w:bodyDiv w:val="1"/>
      <w:marLeft w:val="0"/>
      <w:marRight w:val="0"/>
      <w:marTop w:val="0"/>
      <w:marBottom w:val="0"/>
      <w:divBdr>
        <w:top w:val="none" w:sz="0" w:space="0" w:color="auto"/>
        <w:left w:val="none" w:sz="0" w:space="0" w:color="auto"/>
        <w:bottom w:val="none" w:sz="0" w:space="0" w:color="auto"/>
        <w:right w:val="none" w:sz="0" w:space="0" w:color="auto"/>
      </w:divBdr>
    </w:div>
    <w:div w:id="248075434">
      <w:bodyDiv w:val="1"/>
      <w:marLeft w:val="0"/>
      <w:marRight w:val="0"/>
      <w:marTop w:val="0"/>
      <w:marBottom w:val="0"/>
      <w:divBdr>
        <w:top w:val="none" w:sz="0" w:space="0" w:color="auto"/>
        <w:left w:val="none" w:sz="0" w:space="0" w:color="auto"/>
        <w:bottom w:val="none" w:sz="0" w:space="0" w:color="auto"/>
        <w:right w:val="none" w:sz="0" w:space="0" w:color="auto"/>
      </w:divBdr>
    </w:div>
    <w:div w:id="250819615">
      <w:bodyDiv w:val="1"/>
      <w:marLeft w:val="0"/>
      <w:marRight w:val="0"/>
      <w:marTop w:val="0"/>
      <w:marBottom w:val="0"/>
      <w:divBdr>
        <w:top w:val="none" w:sz="0" w:space="0" w:color="auto"/>
        <w:left w:val="none" w:sz="0" w:space="0" w:color="auto"/>
        <w:bottom w:val="none" w:sz="0" w:space="0" w:color="auto"/>
        <w:right w:val="none" w:sz="0" w:space="0" w:color="auto"/>
      </w:divBdr>
    </w:div>
    <w:div w:id="367919157">
      <w:bodyDiv w:val="1"/>
      <w:marLeft w:val="0"/>
      <w:marRight w:val="0"/>
      <w:marTop w:val="0"/>
      <w:marBottom w:val="0"/>
      <w:divBdr>
        <w:top w:val="none" w:sz="0" w:space="0" w:color="auto"/>
        <w:left w:val="none" w:sz="0" w:space="0" w:color="auto"/>
        <w:bottom w:val="none" w:sz="0" w:space="0" w:color="auto"/>
        <w:right w:val="none" w:sz="0" w:space="0" w:color="auto"/>
      </w:divBdr>
    </w:div>
    <w:div w:id="392776355">
      <w:bodyDiv w:val="1"/>
      <w:marLeft w:val="0"/>
      <w:marRight w:val="0"/>
      <w:marTop w:val="0"/>
      <w:marBottom w:val="0"/>
      <w:divBdr>
        <w:top w:val="none" w:sz="0" w:space="0" w:color="auto"/>
        <w:left w:val="none" w:sz="0" w:space="0" w:color="auto"/>
        <w:bottom w:val="none" w:sz="0" w:space="0" w:color="auto"/>
        <w:right w:val="none" w:sz="0" w:space="0" w:color="auto"/>
      </w:divBdr>
    </w:div>
    <w:div w:id="417404618">
      <w:bodyDiv w:val="1"/>
      <w:marLeft w:val="0"/>
      <w:marRight w:val="0"/>
      <w:marTop w:val="0"/>
      <w:marBottom w:val="0"/>
      <w:divBdr>
        <w:top w:val="none" w:sz="0" w:space="0" w:color="auto"/>
        <w:left w:val="none" w:sz="0" w:space="0" w:color="auto"/>
        <w:bottom w:val="none" w:sz="0" w:space="0" w:color="auto"/>
        <w:right w:val="none" w:sz="0" w:space="0" w:color="auto"/>
      </w:divBdr>
    </w:div>
    <w:div w:id="439186842">
      <w:bodyDiv w:val="1"/>
      <w:marLeft w:val="0"/>
      <w:marRight w:val="0"/>
      <w:marTop w:val="0"/>
      <w:marBottom w:val="0"/>
      <w:divBdr>
        <w:top w:val="none" w:sz="0" w:space="0" w:color="auto"/>
        <w:left w:val="none" w:sz="0" w:space="0" w:color="auto"/>
        <w:bottom w:val="none" w:sz="0" w:space="0" w:color="auto"/>
        <w:right w:val="none" w:sz="0" w:space="0" w:color="auto"/>
      </w:divBdr>
    </w:div>
    <w:div w:id="442771584">
      <w:bodyDiv w:val="1"/>
      <w:marLeft w:val="0"/>
      <w:marRight w:val="0"/>
      <w:marTop w:val="0"/>
      <w:marBottom w:val="0"/>
      <w:divBdr>
        <w:top w:val="none" w:sz="0" w:space="0" w:color="auto"/>
        <w:left w:val="none" w:sz="0" w:space="0" w:color="auto"/>
        <w:bottom w:val="none" w:sz="0" w:space="0" w:color="auto"/>
        <w:right w:val="none" w:sz="0" w:space="0" w:color="auto"/>
      </w:divBdr>
    </w:div>
    <w:div w:id="444273067">
      <w:bodyDiv w:val="1"/>
      <w:marLeft w:val="0"/>
      <w:marRight w:val="0"/>
      <w:marTop w:val="0"/>
      <w:marBottom w:val="0"/>
      <w:divBdr>
        <w:top w:val="none" w:sz="0" w:space="0" w:color="auto"/>
        <w:left w:val="none" w:sz="0" w:space="0" w:color="auto"/>
        <w:bottom w:val="none" w:sz="0" w:space="0" w:color="auto"/>
        <w:right w:val="none" w:sz="0" w:space="0" w:color="auto"/>
      </w:divBdr>
    </w:div>
    <w:div w:id="500894166">
      <w:bodyDiv w:val="1"/>
      <w:marLeft w:val="0"/>
      <w:marRight w:val="0"/>
      <w:marTop w:val="0"/>
      <w:marBottom w:val="0"/>
      <w:divBdr>
        <w:top w:val="none" w:sz="0" w:space="0" w:color="auto"/>
        <w:left w:val="none" w:sz="0" w:space="0" w:color="auto"/>
        <w:bottom w:val="none" w:sz="0" w:space="0" w:color="auto"/>
        <w:right w:val="none" w:sz="0" w:space="0" w:color="auto"/>
      </w:divBdr>
    </w:div>
    <w:div w:id="511919784">
      <w:bodyDiv w:val="1"/>
      <w:marLeft w:val="0"/>
      <w:marRight w:val="0"/>
      <w:marTop w:val="0"/>
      <w:marBottom w:val="0"/>
      <w:divBdr>
        <w:top w:val="none" w:sz="0" w:space="0" w:color="auto"/>
        <w:left w:val="none" w:sz="0" w:space="0" w:color="auto"/>
        <w:bottom w:val="none" w:sz="0" w:space="0" w:color="auto"/>
        <w:right w:val="none" w:sz="0" w:space="0" w:color="auto"/>
      </w:divBdr>
    </w:div>
    <w:div w:id="529342506">
      <w:bodyDiv w:val="1"/>
      <w:marLeft w:val="0"/>
      <w:marRight w:val="0"/>
      <w:marTop w:val="0"/>
      <w:marBottom w:val="0"/>
      <w:divBdr>
        <w:top w:val="none" w:sz="0" w:space="0" w:color="auto"/>
        <w:left w:val="none" w:sz="0" w:space="0" w:color="auto"/>
        <w:bottom w:val="none" w:sz="0" w:space="0" w:color="auto"/>
        <w:right w:val="none" w:sz="0" w:space="0" w:color="auto"/>
      </w:divBdr>
    </w:div>
    <w:div w:id="596524609">
      <w:bodyDiv w:val="1"/>
      <w:marLeft w:val="0"/>
      <w:marRight w:val="0"/>
      <w:marTop w:val="0"/>
      <w:marBottom w:val="0"/>
      <w:divBdr>
        <w:top w:val="none" w:sz="0" w:space="0" w:color="auto"/>
        <w:left w:val="none" w:sz="0" w:space="0" w:color="auto"/>
        <w:bottom w:val="none" w:sz="0" w:space="0" w:color="auto"/>
        <w:right w:val="none" w:sz="0" w:space="0" w:color="auto"/>
      </w:divBdr>
    </w:div>
    <w:div w:id="612325158">
      <w:bodyDiv w:val="1"/>
      <w:marLeft w:val="0"/>
      <w:marRight w:val="0"/>
      <w:marTop w:val="0"/>
      <w:marBottom w:val="0"/>
      <w:divBdr>
        <w:top w:val="none" w:sz="0" w:space="0" w:color="auto"/>
        <w:left w:val="none" w:sz="0" w:space="0" w:color="auto"/>
        <w:bottom w:val="none" w:sz="0" w:space="0" w:color="auto"/>
        <w:right w:val="none" w:sz="0" w:space="0" w:color="auto"/>
      </w:divBdr>
    </w:div>
    <w:div w:id="654912286">
      <w:bodyDiv w:val="1"/>
      <w:marLeft w:val="0"/>
      <w:marRight w:val="0"/>
      <w:marTop w:val="0"/>
      <w:marBottom w:val="0"/>
      <w:divBdr>
        <w:top w:val="none" w:sz="0" w:space="0" w:color="auto"/>
        <w:left w:val="none" w:sz="0" w:space="0" w:color="auto"/>
        <w:bottom w:val="none" w:sz="0" w:space="0" w:color="auto"/>
        <w:right w:val="none" w:sz="0" w:space="0" w:color="auto"/>
      </w:divBdr>
    </w:div>
    <w:div w:id="702829834">
      <w:bodyDiv w:val="1"/>
      <w:marLeft w:val="0"/>
      <w:marRight w:val="0"/>
      <w:marTop w:val="0"/>
      <w:marBottom w:val="0"/>
      <w:divBdr>
        <w:top w:val="none" w:sz="0" w:space="0" w:color="auto"/>
        <w:left w:val="none" w:sz="0" w:space="0" w:color="auto"/>
        <w:bottom w:val="none" w:sz="0" w:space="0" w:color="auto"/>
        <w:right w:val="none" w:sz="0" w:space="0" w:color="auto"/>
      </w:divBdr>
    </w:div>
    <w:div w:id="718438043">
      <w:bodyDiv w:val="1"/>
      <w:marLeft w:val="0"/>
      <w:marRight w:val="0"/>
      <w:marTop w:val="0"/>
      <w:marBottom w:val="0"/>
      <w:divBdr>
        <w:top w:val="none" w:sz="0" w:space="0" w:color="auto"/>
        <w:left w:val="none" w:sz="0" w:space="0" w:color="auto"/>
        <w:bottom w:val="none" w:sz="0" w:space="0" w:color="auto"/>
        <w:right w:val="none" w:sz="0" w:space="0" w:color="auto"/>
      </w:divBdr>
    </w:div>
    <w:div w:id="734083642">
      <w:bodyDiv w:val="1"/>
      <w:marLeft w:val="0"/>
      <w:marRight w:val="0"/>
      <w:marTop w:val="0"/>
      <w:marBottom w:val="0"/>
      <w:divBdr>
        <w:top w:val="none" w:sz="0" w:space="0" w:color="auto"/>
        <w:left w:val="none" w:sz="0" w:space="0" w:color="auto"/>
        <w:bottom w:val="none" w:sz="0" w:space="0" w:color="auto"/>
        <w:right w:val="none" w:sz="0" w:space="0" w:color="auto"/>
      </w:divBdr>
    </w:div>
    <w:div w:id="741566977">
      <w:bodyDiv w:val="1"/>
      <w:marLeft w:val="0"/>
      <w:marRight w:val="0"/>
      <w:marTop w:val="0"/>
      <w:marBottom w:val="0"/>
      <w:divBdr>
        <w:top w:val="none" w:sz="0" w:space="0" w:color="auto"/>
        <w:left w:val="none" w:sz="0" w:space="0" w:color="auto"/>
        <w:bottom w:val="none" w:sz="0" w:space="0" w:color="auto"/>
        <w:right w:val="none" w:sz="0" w:space="0" w:color="auto"/>
      </w:divBdr>
    </w:div>
    <w:div w:id="744836803">
      <w:bodyDiv w:val="1"/>
      <w:marLeft w:val="0"/>
      <w:marRight w:val="0"/>
      <w:marTop w:val="0"/>
      <w:marBottom w:val="0"/>
      <w:divBdr>
        <w:top w:val="none" w:sz="0" w:space="0" w:color="auto"/>
        <w:left w:val="none" w:sz="0" w:space="0" w:color="auto"/>
        <w:bottom w:val="none" w:sz="0" w:space="0" w:color="auto"/>
        <w:right w:val="none" w:sz="0" w:space="0" w:color="auto"/>
      </w:divBdr>
    </w:div>
    <w:div w:id="818154245">
      <w:bodyDiv w:val="1"/>
      <w:marLeft w:val="0"/>
      <w:marRight w:val="0"/>
      <w:marTop w:val="0"/>
      <w:marBottom w:val="0"/>
      <w:divBdr>
        <w:top w:val="none" w:sz="0" w:space="0" w:color="auto"/>
        <w:left w:val="none" w:sz="0" w:space="0" w:color="auto"/>
        <w:bottom w:val="none" w:sz="0" w:space="0" w:color="auto"/>
        <w:right w:val="none" w:sz="0" w:space="0" w:color="auto"/>
      </w:divBdr>
    </w:div>
    <w:div w:id="840776983">
      <w:bodyDiv w:val="1"/>
      <w:marLeft w:val="0"/>
      <w:marRight w:val="0"/>
      <w:marTop w:val="0"/>
      <w:marBottom w:val="0"/>
      <w:divBdr>
        <w:top w:val="none" w:sz="0" w:space="0" w:color="auto"/>
        <w:left w:val="none" w:sz="0" w:space="0" w:color="auto"/>
        <w:bottom w:val="none" w:sz="0" w:space="0" w:color="auto"/>
        <w:right w:val="none" w:sz="0" w:space="0" w:color="auto"/>
      </w:divBdr>
    </w:div>
    <w:div w:id="925499990">
      <w:bodyDiv w:val="1"/>
      <w:marLeft w:val="0"/>
      <w:marRight w:val="0"/>
      <w:marTop w:val="0"/>
      <w:marBottom w:val="0"/>
      <w:divBdr>
        <w:top w:val="none" w:sz="0" w:space="0" w:color="auto"/>
        <w:left w:val="none" w:sz="0" w:space="0" w:color="auto"/>
        <w:bottom w:val="none" w:sz="0" w:space="0" w:color="auto"/>
        <w:right w:val="none" w:sz="0" w:space="0" w:color="auto"/>
      </w:divBdr>
    </w:div>
    <w:div w:id="937100983">
      <w:bodyDiv w:val="1"/>
      <w:marLeft w:val="0"/>
      <w:marRight w:val="0"/>
      <w:marTop w:val="0"/>
      <w:marBottom w:val="0"/>
      <w:divBdr>
        <w:top w:val="none" w:sz="0" w:space="0" w:color="auto"/>
        <w:left w:val="none" w:sz="0" w:space="0" w:color="auto"/>
        <w:bottom w:val="none" w:sz="0" w:space="0" w:color="auto"/>
        <w:right w:val="none" w:sz="0" w:space="0" w:color="auto"/>
      </w:divBdr>
    </w:div>
    <w:div w:id="946738444">
      <w:bodyDiv w:val="1"/>
      <w:marLeft w:val="0"/>
      <w:marRight w:val="0"/>
      <w:marTop w:val="0"/>
      <w:marBottom w:val="0"/>
      <w:divBdr>
        <w:top w:val="none" w:sz="0" w:space="0" w:color="auto"/>
        <w:left w:val="none" w:sz="0" w:space="0" w:color="auto"/>
        <w:bottom w:val="none" w:sz="0" w:space="0" w:color="auto"/>
        <w:right w:val="none" w:sz="0" w:space="0" w:color="auto"/>
      </w:divBdr>
    </w:div>
    <w:div w:id="977344676">
      <w:bodyDiv w:val="1"/>
      <w:marLeft w:val="0"/>
      <w:marRight w:val="0"/>
      <w:marTop w:val="0"/>
      <w:marBottom w:val="0"/>
      <w:divBdr>
        <w:top w:val="none" w:sz="0" w:space="0" w:color="auto"/>
        <w:left w:val="none" w:sz="0" w:space="0" w:color="auto"/>
        <w:bottom w:val="none" w:sz="0" w:space="0" w:color="auto"/>
        <w:right w:val="none" w:sz="0" w:space="0" w:color="auto"/>
      </w:divBdr>
    </w:div>
    <w:div w:id="1051425301">
      <w:bodyDiv w:val="1"/>
      <w:marLeft w:val="0"/>
      <w:marRight w:val="0"/>
      <w:marTop w:val="0"/>
      <w:marBottom w:val="0"/>
      <w:divBdr>
        <w:top w:val="none" w:sz="0" w:space="0" w:color="auto"/>
        <w:left w:val="none" w:sz="0" w:space="0" w:color="auto"/>
        <w:bottom w:val="none" w:sz="0" w:space="0" w:color="auto"/>
        <w:right w:val="none" w:sz="0" w:space="0" w:color="auto"/>
      </w:divBdr>
    </w:div>
    <w:div w:id="1053426204">
      <w:bodyDiv w:val="1"/>
      <w:marLeft w:val="0"/>
      <w:marRight w:val="0"/>
      <w:marTop w:val="0"/>
      <w:marBottom w:val="0"/>
      <w:divBdr>
        <w:top w:val="none" w:sz="0" w:space="0" w:color="auto"/>
        <w:left w:val="none" w:sz="0" w:space="0" w:color="auto"/>
        <w:bottom w:val="none" w:sz="0" w:space="0" w:color="auto"/>
        <w:right w:val="none" w:sz="0" w:space="0" w:color="auto"/>
      </w:divBdr>
    </w:div>
    <w:div w:id="1062293272">
      <w:bodyDiv w:val="1"/>
      <w:marLeft w:val="0"/>
      <w:marRight w:val="0"/>
      <w:marTop w:val="0"/>
      <w:marBottom w:val="0"/>
      <w:divBdr>
        <w:top w:val="none" w:sz="0" w:space="0" w:color="auto"/>
        <w:left w:val="none" w:sz="0" w:space="0" w:color="auto"/>
        <w:bottom w:val="none" w:sz="0" w:space="0" w:color="auto"/>
        <w:right w:val="none" w:sz="0" w:space="0" w:color="auto"/>
      </w:divBdr>
    </w:div>
    <w:div w:id="1146125647">
      <w:bodyDiv w:val="1"/>
      <w:marLeft w:val="0"/>
      <w:marRight w:val="0"/>
      <w:marTop w:val="0"/>
      <w:marBottom w:val="0"/>
      <w:divBdr>
        <w:top w:val="none" w:sz="0" w:space="0" w:color="auto"/>
        <w:left w:val="none" w:sz="0" w:space="0" w:color="auto"/>
        <w:bottom w:val="none" w:sz="0" w:space="0" w:color="auto"/>
        <w:right w:val="none" w:sz="0" w:space="0" w:color="auto"/>
      </w:divBdr>
    </w:div>
    <w:div w:id="1158808713">
      <w:bodyDiv w:val="1"/>
      <w:marLeft w:val="0"/>
      <w:marRight w:val="0"/>
      <w:marTop w:val="0"/>
      <w:marBottom w:val="0"/>
      <w:divBdr>
        <w:top w:val="none" w:sz="0" w:space="0" w:color="auto"/>
        <w:left w:val="none" w:sz="0" w:space="0" w:color="auto"/>
        <w:bottom w:val="none" w:sz="0" w:space="0" w:color="auto"/>
        <w:right w:val="none" w:sz="0" w:space="0" w:color="auto"/>
      </w:divBdr>
    </w:div>
    <w:div w:id="1162623212">
      <w:bodyDiv w:val="1"/>
      <w:marLeft w:val="0"/>
      <w:marRight w:val="0"/>
      <w:marTop w:val="0"/>
      <w:marBottom w:val="0"/>
      <w:divBdr>
        <w:top w:val="none" w:sz="0" w:space="0" w:color="auto"/>
        <w:left w:val="none" w:sz="0" w:space="0" w:color="auto"/>
        <w:bottom w:val="none" w:sz="0" w:space="0" w:color="auto"/>
        <w:right w:val="none" w:sz="0" w:space="0" w:color="auto"/>
      </w:divBdr>
    </w:div>
    <w:div w:id="1164708673">
      <w:bodyDiv w:val="1"/>
      <w:marLeft w:val="0"/>
      <w:marRight w:val="0"/>
      <w:marTop w:val="0"/>
      <w:marBottom w:val="0"/>
      <w:divBdr>
        <w:top w:val="none" w:sz="0" w:space="0" w:color="auto"/>
        <w:left w:val="none" w:sz="0" w:space="0" w:color="auto"/>
        <w:bottom w:val="none" w:sz="0" w:space="0" w:color="auto"/>
        <w:right w:val="none" w:sz="0" w:space="0" w:color="auto"/>
      </w:divBdr>
    </w:div>
    <w:div w:id="1169563328">
      <w:bodyDiv w:val="1"/>
      <w:marLeft w:val="0"/>
      <w:marRight w:val="0"/>
      <w:marTop w:val="0"/>
      <w:marBottom w:val="0"/>
      <w:divBdr>
        <w:top w:val="none" w:sz="0" w:space="0" w:color="auto"/>
        <w:left w:val="none" w:sz="0" w:space="0" w:color="auto"/>
        <w:bottom w:val="none" w:sz="0" w:space="0" w:color="auto"/>
        <w:right w:val="none" w:sz="0" w:space="0" w:color="auto"/>
      </w:divBdr>
    </w:div>
    <w:div w:id="1170756187">
      <w:bodyDiv w:val="1"/>
      <w:marLeft w:val="0"/>
      <w:marRight w:val="0"/>
      <w:marTop w:val="0"/>
      <w:marBottom w:val="0"/>
      <w:divBdr>
        <w:top w:val="none" w:sz="0" w:space="0" w:color="auto"/>
        <w:left w:val="none" w:sz="0" w:space="0" w:color="auto"/>
        <w:bottom w:val="none" w:sz="0" w:space="0" w:color="auto"/>
        <w:right w:val="none" w:sz="0" w:space="0" w:color="auto"/>
      </w:divBdr>
    </w:div>
    <w:div w:id="1242255673">
      <w:bodyDiv w:val="1"/>
      <w:marLeft w:val="0"/>
      <w:marRight w:val="0"/>
      <w:marTop w:val="0"/>
      <w:marBottom w:val="0"/>
      <w:divBdr>
        <w:top w:val="none" w:sz="0" w:space="0" w:color="auto"/>
        <w:left w:val="none" w:sz="0" w:space="0" w:color="auto"/>
        <w:bottom w:val="none" w:sz="0" w:space="0" w:color="auto"/>
        <w:right w:val="none" w:sz="0" w:space="0" w:color="auto"/>
      </w:divBdr>
    </w:div>
    <w:div w:id="1279215663">
      <w:bodyDiv w:val="1"/>
      <w:marLeft w:val="0"/>
      <w:marRight w:val="0"/>
      <w:marTop w:val="0"/>
      <w:marBottom w:val="0"/>
      <w:divBdr>
        <w:top w:val="none" w:sz="0" w:space="0" w:color="auto"/>
        <w:left w:val="none" w:sz="0" w:space="0" w:color="auto"/>
        <w:bottom w:val="none" w:sz="0" w:space="0" w:color="auto"/>
        <w:right w:val="none" w:sz="0" w:space="0" w:color="auto"/>
      </w:divBdr>
    </w:div>
    <w:div w:id="1296715438">
      <w:bodyDiv w:val="1"/>
      <w:marLeft w:val="0"/>
      <w:marRight w:val="0"/>
      <w:marTop w:val="0"/>
      <w:marBottom w:val="0"/>
      <w:divBdr>
        <w:top w:val="none" w:sz="0" w:space="0" w:color="auto"/>
        <w:left w:val="none" w:sz="0" w:space="0" w:color="auto"/>
        <w:bottom w:val="none" w:sz="0" w:space="0" w:color="auto"/>
        <w:right w:val="none" w:sz="0" w:space="0" w:color="auto"/>
      </w:divBdr>
    </w:div>
    <w:div w:id="1297951046">
      <w:bodyDiv w:val="1"/>
      <w:marLeft w:val="0"/>
      <w:marRight w:val="0"/>
      <w:marTop w:val="0"/>
      <w:marBottom w:val="0"/>
      <w:divBdr>
        <w:top w:val="none" w:sz="0" w:space="0" w:color="auto"/>
        <w:left w:val="none" w:sz="0" w:space="0" w:color="auto"/>
        <w:bottom w:val="none" w:sz="0" w:space="0" w:color="auto"/>
        <w:right w:val="none" w:sz="0" w:space="0" w:color="auto"/>
      </w:divBdr>
    </w:div>
    <w:div w:id="1320236240">
      <w:bodyDiv w:val="1"/>
      <w:marLeft w:val="0"/>
      <w:marRight w:val="0"/>
      <w:marTop w:val="0"/>
      <w:marBottom w:val="0"/>
      <w:divBdr>
        <w:top w:val="none" w:sz="0" w:space="0" w:color="auto"/>
        <w:left w:val="none" w:sz="0" w:space="0" w:color="auto"/>
        <w:bottom w:val="none" w:sz="0" w:space="0" w:color="auto"/>
        <w:right w:val="none" w:sz="0" w:space="0" w:color="auto"/>
      </w:divBdr>
    </w:div>
    <w:div w:id="1333796023">
      <w:bodyDiv w:val="1"/>
      <w:marLeft w:val="0"/>
      <w:marRight w:val="0"/>
      <w:marTop w:val="0"/>
      <w:marBottom w:val="0"/>
      <w:divBdr>
        <w:top w:val="none" w:sz="0" w:space="0" w:color="auto"/>
        <w:left w:val="none" w:sz="0" w:space="0" w:color="auto"/>
        <w:bottom w:val="none" w:sz="0" w:space="0" w:color="auto"/>
        <w:right w:val="none" w:sz="0" w:space="0" w:color="auto"/>
      </w:divBdr>
    </w:div>
    <w:div w:id="1351954115">
      <w:bodyDiv w:val="1"/>
      <w:marLeft w:val="0"/>
      <w:marRight w:val="0"/>
      <w:marTop w:val="0"/>
      <w:marBottom w:val="0"/>
      <w:divBdr>
        <w:top w:val="none" w:sz="0" w:space="0" w:color="auto"/>
        <w:left w:val="none" w:sz="0" w:space="0" w:color="auto"/>
        <w:bottom w:val="none" w:sz="0" w:space="0" w:color="auto"/>
        <w:right w:val="none" w:sz="0" w:space="0" w:color="auto"/>
      </w:divBdr>
    </w:div>
    <w:div w:id="1364555211">
      <w:bodyDiv w:val="1"/>
      <w:marLeft w:val="0"/>
      <w:marRight w:val="0"/>
      <w:marTop w:val="0"/>
      <w:marBottom w:val="0"/>
      <w:divBdr>
        <w:top w:val="none" w:sz="0" w:space="0" w:color="auto"/>
        <w:left w:val="none" w:sz="0" w:space="0" w:color="auto"/>
        <w:bottom w:val="none" w:sz="0" w:space="0" w:color="auto"/>
        <w:right w:val="none" w:sz="0" w:space="0" w:color="auto"/>
      </w:divBdr>
    </w:div>
    <w:div w:id="1393306987">
      <w:bodyDiv w:val="1"/>
      <w:marLeft w:val="0"/>
      <w:marRight w:val="0"/>
      <w:marTop w:val="0"/>
      <w:marBottom w:val="0"/>
      <w:divBdr>
        <w:top w:val="none" w:sz="0" w:space="0" w:color="auto"/>
        <w:left w:val="none" w:sz="0" w:space="0" w:color="auto"/>
        <w:bottom w:val="none" w:sz="0" w:space="0" w:color="auto"/>
        <w:right w:val="none" w:sz="0" w:space="0" w:color="auto"/>
      </w:divBdr>
    </w:div>
    <w:div w:id="1402750848">
      <w:bodyDiv w:val="1"/>
      <w:marLeft w:val="0"/>
      <w:marRight w:val="0"/>
      <w:marTop w:val="0"/>
      <w:marBottom w:val="0"/>
      <w:divBdr>
        <w:top w:val="none" w:sz="0" w:space="0" w:color="auto"/>
        <w:left w:val="none" w:sz="0" w:space="0" w:color="auto"/>
        <w:bottom w:val="none" w:sz="0" w:space="0" w:color="auto"/>
        <w:right w:val="none" w:sz="0" w:space="0" w:color="auto"/>
      </w:divBdr>
    </w:div>
    <w:div w:id="1412005652">
      <w:bodyDiv w:val="1"/>
      <w:marLeft w:val="0"/>
      <w:marRight w:val="0"/>
      <w:marTop w:val="0"/>
      <w:marBottom w:val="0"/>
      <w:divBdr>
        <w:top w:val="none" w:sz="0" w:space="0" w:color="auto"/>
        <w:left w:val="none" w:sz="0" w:space="0" w:color="auto"/>
        <w:bottom w:val="none" w:sz="0" w:space="0" w:color="auto"/>
        <w:right w:val="none" w:sz="0" w:space="0" w:color="auto"/>
      </w:divBdr>
    </w:div>
    <w:div w:id="1441796442">
      <w:bodyDiv w:val="1"/>
      <w:marLeft w:val="0"/>
      <w:marRight w:val="0"/>
      <w:marTop w:val="0"/>
      <w:marBottom w:val="0"/>
      <w:divBdr>
        <w:top w:val="none" w:sz="0" w:space="0" w:color="auto"/>
        <w:left w:val="none" w:sz="0" w:space="0" w:color="auto"/>
        <w:bottom w:val="none" w:sz="0" w:space="0" w:color="auto"/>
        <w:right w:val="none" w:sz="0" w:space="0" w:color="auto"/>
      </w:divBdr>
    </w:div>
    <w:div w:id="1468158260">
      <w:bodyDiv w:val="1"/>
      <w:marLeft w:val="0"/>
      <w:marRight w:val="0"/>
      <w:marTop w:val="0"/>
      <w:marBottom w:val="0"/>
      <w:divBdr>
        <w:top w:val="none" w:sz="0" w:space="0" w:color="auto"/>
        <w:left w:val="none" w:sz="0" w:space="0" w:color="auto"/>
        <w:bottom w:val="none" w:sz="0" w:space="0" w:color="auto"/>
        <w:right w:val="none" w:sz="0" w:space="0" w:color="auto"/>
      </w:divBdr>
    </w:div>
    <w:div w:id="1489248098">
      <w:bodyDiv w:val="1"/>
      <w:marLeft w:val="0"/>
      <w:marRight w:val="0"/>
      <w:marTop w:val="0"/>
      <w:marBottom w:val="0"/>
      <w:divBdr>
        <w:top w:val="none" w:sz="0" w:space="0" w:color="auto"/>
        <w:left w:val="none" w:sz="0" w:space="0" w:color="auto"/>
        <w:bottom w:val="none" w:sz="0" w:space="0" w:color="auto"/>
        <w:right w:val="none" w:sz="0" w:space="0" w:color="auto"/>
      </w:divBdr>
    </w:div>
    <w:div w:id="1507868580">
      <w:bodyDiv w:val="1"/>
      <w:marLeft w:val="0"/>
      <w:marRight w:val="0"/>
      <w:marTop w:val="0"/>
      <w:marBottom w:val="0"/>
      <w:divBdr>
        <w:top w:val="none" w:sz="0" w:space="0" w:color="auto"/>
        <w:left w:val="none" w:sz="0" w:space="0" w:color="auto"/>
        <w:bottom w:val="none" w:sz="0" w:space="0" w:color="auto"/>
        <w:right w:val="none" w:sz="0" w:space="0" w:color="auto"/>
      </w:divBdr>
    </w:div>
    <w:div w:id="1518887132">
      <w:bodyDiv w:val="1"/>
      <w:marLeft w:val="0"/>
      <w:marRight w:val="0"/>
      <w:marTop w:val="0"/>
      <w:marBottom w:val="0"/>
      <w:divBdr>
        <w:top w:val="none" w:sz="0" w:space="0" w:color="auto"/>
        <w:left w:val="none" w:sz="0" w:space="0" w:color="auto"/>
        <w:bottom w:val="none" w:sz="0" w:space="0" w:color="auto"/>
        <w:right w:val="none" w:sz="0" w:space="0" w:color="auto"/>
      </w:divBdr>
    </w:div>
    <w:div w:id="1554074490">
      <w:bodyDiv w:val="1"/>
      <w:marLeft w:val="0"/>
      <w:marRight w:val="0"/>
      <w:marTop w:val="0"/>
      <w:marBottom w:val="0"/>
      <w:divBdr>
        <w:top w:val="none" w:sz="0" w:space="0" w:color="auto"/>
        <w:left w:val="none" w:sz="0" w:space="0" w:color="auto"/>
        <w:bottom w:val="none" w:sz="0" w:space="0" w:color="auto"/>
        <w:right w:val="none" w:sz="0" w:space="0" w:color="auto"/>
      </w:divBdr>
    </w:div>
    <w:div w:id="1632200929">
      <w:bodyDiv w:val="1"/>
      <w:marLeft w:val="0"/>
      <w:marRight w:val="0"/>
      <w:marTop w:val="0"/>
      <w:marBottom w:val="0"/>
      <w:divBdr>
        <w:top w:val="none" w:sz="0" w:space="0" w:color="auto"/>
        <w:left w:val="none" w:sz="0" w:space="0" w:color="auto"/>
        <w:bottom w:val="none" w:sz="0" w:space="0" w:color="auto"/>
        <w:right w:val="none" w:sz="0" w:space="0" w:color="auto"/>
      </w:divBdr>
    </w:div>
    <w:div w:id="1642542623">
      <w:bodyDiv w:val="1"/>
      <w:marLeft w:val="0"/>
      <w:marRight w:val="0"/>
      <w:marTop w:val="0"/>
      <w:marBottom w:val="0"/>
      <w:divBdr>
        <w:top w:val="none" w:sz="0" w:space="0" w:color="auto"/>
        <w:left w:val="none" w:sz="0" w:space="0" w:color="auto"/>
        <w:bottom w:val="none" w:sz="0" w:space="0" w:color="auto"/>
        <w:right w:val="none" w:sz="0" w:space="0" w:color="auto"/>
      </w:divBdr>
    </w:div>
    <w:div w:id="1649356403">
      <w:bodyDiv w:val="1"/>
      <w:marLeft w:val="0"/>
      <w:marRight w:val="0"/>
      <w:marTop w:val="0"/>
      <w:marBottom w:val="0"/>
      <w:divBdr>
        <w:top w:val="none" w:sz="0" w:space="0" w:color="auto"/>
        <w:left w:val="none" w:sz="0" w:space="0" w:color="auto"/>
        <w:bottom w:val="none" w:sz="0" w:space="0" w:color="auto"/>
        <w:right w:val="none" w:sz="0" w:space="0" w:color="auto"/>
      </w:divBdr>
    </w:div>
    <w:div w:id="1671561552">
      <w:bodyDiv w:val="1"/>
      <w:marLeft w:val="0"/>
      <w:marRight w:val="0"/>
      <w:marTop w:val="0"/>
      <w:marBottom w:val="0"/>
      <w:divBdr>
        <w:top w:val="none" w:sz="0" w:space="0" w:color="auto"/>
        <w:left w:val="none" w:sz="0" w:space="0" w:color="auto"/>
        <w:bottom w:val="none" w:sz="0" w:space="0" w:color="auto"/>
        <w:right w:val="none" w:sz="0" w:space="0" w:color="auto"/>
      </w:divBdr>
    </w:div>
    <w:div w:id="1720743251">
      <w:bodyDiv w:val="1"/>
      <w:marLeft w:val="0"/>
      <w:marRight w:val="0"/>
      <w:marTop w:val="0"/>
      <w:marBottom w:val="0"/>
      <w:divBdr>
        <w:top w:val="none" w:sz="0" w:space="0" w:color="auto"/>
        <w:left w:val="none" w:sz="0" w:space="0" w:color="auto"/>
        <w:bottom w:val="none" w:sz="0" w:space="0" w:color="auto"/>
        <w:right w:val="none" w:sz="0" w:space="0" w:color="auto"/>
      </w:divBdr>
    </w:div>
    <w:div w:id="1736707475">
      <w:bodyDiv w:val="1"/>
      <w:marLeft w:val="0"/>
      <w:marRight w:val="0"/>
      <w:marTop w:val="0"/>
      <w:marBottom w:val="0"/>
      <w:divBdr>
        <w:top w:val="none" w:sz="0" w:space="0" w:color="auto"/>
        <w:left w:val="none" w:sz="0" w:space="0" w:color="auto"/>
        <w:bottom w:val="none" w:sz="0" w:space="0" w:color="auto"/>
        <w:right w:val="none" w:sz="0" w:space="0" w:color="auto"/>
      </w:divBdr>
    </w:div>
    <w:div w:id="1737166745">
      <w:bodyDiv w:val="1"/>
      <w:marLeft w:val="0"/>
      <w:marRight w:val="0"/>
      <w:marTop w:val="0"/>
      <w:marBottom w:val="0"/>
      <w:divBdr>
        <w:top w:val="none" w:sz="0" w:space="0" w:color="auto"/>
        <w:left w:val="none" w:sz="0" w:space="0" w:color="auto"/>
        <w:bottom w:val="none" w:sz="0" w:space="0" w:color="auto"/>
        <w:right w:val="none" w:sz="0" w:space="0" w:color="auto"/>
      </w:divBdr>
    </w:div>
    <w:div w:id="1759866807">
      <w:bodyDiv w:val="1"/>
      <w:marLeft w:val="0"/>
      <w:marRight w:val="0"/>
      <w:marTop w:val="0"/>
      <w:marBottom w:val="0"/>
      <w:divBdr>
        <w:top w:val="none" w:sz="0" w:space="0" w:color="auto"/>
        <w:left w:val="none" w:sz="0" w:space="0" w:color="auto"/>
        <w:bottom w:val="none" w:sz="0" w:space="0" w:color="auto"/>
        <w:right w:val="none" w:sz="0" w:space="0" w:color="auto"/>
      </w:divBdr>
    </w:div>
    <w:div w:id="1789272095">
      <w:bodyDiv w:val="1"/>
      <w:marLeft w:val="0"/>
      <w:marRight w:val="0"/>
      <w:marTop w:val="0"/>
      <w:marBottom w:val="0"/>
      <w:divBdr>
        <w:top w:val="none" w:sz="0" w:space="0" w:color="auto"/>
        <w:left w:val="none" w:sz="0" w:space="0" w:color="auto"/>
        <w:bottom w:val="none" w:sz="0" w:space="0" w:color="auto"/>
        <w:right w:val="none" w:sz="0" w:space="0" w:color="auto"/>
      </w:divBdr>
    </w:div>
    <w:div w:id="1811359147">
      <w:bodyDiv w:val="1"/>
      <w:marLeft w:val="0"/>
      <w:marRight w:val="0"/>
      <w:marTop w:val="0"/>
      <w:marBottom w:val="0"/>
      <w:divBdr>
        <w:top w:val="none" w:sz="0" w:space="0" w:color="auto"/>
        <w:left w:val="none" w:sz="0" w:space="0" w:color="auto"/>
        <w:bottom w:val="none" w:sz="0" w:space="0" w:color="auto"/>
        <w:right w:val="none" w:sz="0" w:space="0" w:color="auto"/>
      </w:divBdr>
    </w:div>
    <w:div w:id="1828204961">
      <w:bodyDiv w:val="1"/>
      <w:marLeft w:val="0"/>
      <w:marRight w:val="0"/>
      <w:marTop w:val="0"/>
      <w:marBottom w:val="0"/>
      <w:divBdr>
        <w:top w:val="none" w:sz="0" w:space="0" w:color="auto"/>
        <w:left w:val="none" w:sz="0" w:space="0" w:color="auto"/>
        <w:bottom w:val="none" w:sz="0" w:space="0" w:color="auto"/>
        <w:right w:val="none" w:sz="0" w:space="0" w:color="auto"/>
      </w:divBdr>
    </w:div>
    <w:div w:id="1838419339">
      <w:bodyDiv w:val="1"/>
      <w:marLeft w:val="0"/>
      <w:marRight w:val="0"/>
      <w:marTop w:val="0"/>
      <w:marBottom w:val="0"/>
      <w:divBdr>
        <w:top w:val="none" w:sz="0" w:space="0" w:color="auto"/>
        <w:left w:val="none" w:sz="0" w:space="0" w:color="auto"/>
        <w:bottom w:val="none" w:sz="0" w:space="0" w:color="auto"/>
        <w:right w:val="none" w:sz="0" w:space="0" w:color="auto"/>
      </w:divBdr>
    </w:div>
    <w:div w:id="1898394928">
      <w:bodyDiv w:val="1"/>
      <w:marLeft w:val="0"/>
      <w:marRight w:val="0"/>
      <w:marTop w:val="0"/>
      <w:marBottom w:val="0"/>
      <w:divBdr>
        <w:top w:val="none" w:sz="0" w:space="0" w:color="auto"/>
        <w:left w:val="none" w:sz="0" w:space="0" w:color="auto"/>
        <w:bottom w:val="none" w:sz="0" w:space="0" w:color="auto"/>
        <w:right w:val="none" w:sz="0" w:space="0" w:color="auto"/>
      </w:divBdr>
    </w:div>
    <w:div w:id="1923947780">
      <w:bodyDiv w:val="1"/>
      <w:marLeft w:val="0"/>
      <w:marRight w:val="0"/>
      <w:marTop w:val="0"/>
      <w:marBottom w:val="0"/>
      <w:divBdr>
        <w:top w:val="none" w:sz="0" w:space="0" w:color="auto"/>
        <w:left w:val="none" w:sz="0" w:space="0" w:color="auto"/>
        <w:bottom w:val="none" w:sz="0" w:space="0" w:color="auto"/>
        <w:right w:val="none" w:sz="0" w:space="0" w:color="auto"/>
      </w:divBdr>
    </w:div>
    <w:div w:id="1933271077">
      <w:bodyDiv w:val="1"/>
      <w:marLeft w:val="0"/>
      <w:marRight w:val="0"/>
      <w:marTop w:val="0"/>
      <w:marBottom w:val="0"/>
      <w:divBdr>
        <w:top w:val="none" w:sz="0" w:space="0" w:color="auto"/>
        <w:left w:val="none" w:sz="0" w:space="0" w:color="auto"/>
        <w:bottom w:val="none" w:sz="0" w:space="0" w:color="auto"/>
        <w:right w:val="none" w:sz="0" w:space="0" w:color="auto"/>
      </w:divBdr>
    </w:div>
    <w:div w:id="1943957411">
      <w:bodyDiv w:val="1"/>
      <w:marLeft w:val="0"/>
      <w:marRight w:val="0"/>
      <w:marTop w:val="0"/>
      <w:marBottom w:val="0"/>
      <w:divBdr>
        <w:top w:val="none" w:sz="0" w:space="0" w:color="auto"/>
        <w:left w:val="none" w:sz="0" w:space="0" w:color="auto"/>
        <w:bottom w:val="none" w:sz="0" w:space="0" w:color="auto"/>
        <w:right w:val="none" w:sz="0" w:space="0" w:color="auto"/>
      </w:divBdr>
    </w:div>
    <w:div w:id="1945263287">
      <w:bodyDiv w:val="1"/>
      <w:marLeft w:val="0"/>
      <w:marRight w:val="0"/>
      <w:marTop w:val="0"/>
      <w:marBottom w:val="0"/>
      <w:divBdr>
        <w:top w:val="none" w:sz="0" w:space="0" w:color="auto"/>
        <w:left w:val="none" w:sz="0" w:space="0" w:color="auto"/>
        <w:bottom w:val="none" w:sz="0" w:space="0" w:color="auto"/>
        <w:right w:val="none" w:sz="0" w:space="0" w:color="auto"/>
      </w:divBdr>
    </w:div>
    <w:div w:id="2020038226">
      <w:bodyDiv w:val="1"/>
      <w:marLeft w:val="0"/>
      <w:marRight w:val="0"/>
      <w:marTop w:val="0"/>
      <w:marBottom w:val="0"/>
      <w:divBdr>
        <w:top w:val="none" w:sz="0" w:space="0" w:color="auto"/>
        <w:left w:val="none" w:sz="0" w:space="0" w:color="auto"/>
        <w:bottom w:val="none" w:sz="0" w:space="0" w:color="auto"/>
        <w:right w:val="none" w:sz="0" w:space="0" w:color="auto"/>
      </w:divBdr>
    </w:div>
    <w:div w:id="2051222601">
      <w:bodyDiv w:val="1"/>
      <w:marLeft w:val="0"/>
      <w:marRight w:val="0"/>
      <w:marTop w:val="0"/>
      <w:marBottom w:val="0"/>
      <w:divBdr>
        <w:top w:val="none" w:sz="0" w:space="0" w:color="auto"/>
        <w:left w:val="none" w:sz="0" w:space="0" w:color="auto"/>
        <w:bottom w:val="none" w:sz="0" w:space="0" w:color="auto"/>
        <w:right w:val="none" w:sz="0" w:space="0" w:color="auto"/>
      </w:divBdr>
    </w:div>
    <w:div w:id="2055957181">
      <w:bodyDiv w:val="1"/>
      <w:marLeft w:val="0"/>
      <w:marRight w:val="0"/>
      <w:marTop w:val="0"/>
      <w:marBottom w:val="0"/>
      <w:divBdr>
        <w:top w:val="none" w:sz="0" w:space="0" w:color="auto"/>
        <w:left w:val="none" w:sz="0" w:space="0" w:color="auto"/>
        <w:bottom w:val="none" w:sz="0" w:space="0" w:color="auto"/>
        <w:right w:val="none" w:sz="0" w:space="0" w:color="auto"/>
      </w:divBdr>
    </w:div>
    <w:div w:id="2078894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hart" Target="charts/chart5.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D:\A_Wr\17-11-2022\2000\Book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A_Wr\17-11-2022\2000\Book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A_Wr\17-11-2022\2000\Book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A_Wr\17-11-2022\2000\Book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D:\A_Wr\17-11-2022\2000\Book1.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Gross Profit Margin for 2020 &amp;</a:t>
            </a:r>
            <a:r>
              <a:rPr lang="en-US" b="1" baseline="0"/>
              <a:t> 2021</a:t>
            </a:r>
            <a:endParaRPr lang="en-US"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Sheet1!$F$2</c:f>
              <c:strCache>
                <c:ptCount val="1"/>
                <c:pt idx="0">
                  <c:v>Gross Profit Margin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Sheet1!$G$1:$H$1</c:f>
              <c:strCache>
                <c:ptCount val="2"/>
                <c:pt idx="0">
                  <c:v>Value for 2021</c:v>
                </c:pt>
                <c:pt idx="1">
                  <c:v>Value for 2020</c:v>
                </c:pt>
              </c:strCache>
            </c:strRef>
          </c:cat>
          <c:val>
            <c:numRef>
              <c:f>Sheet1!$G$2:$H$2</c:f>
              <c:numCache>
                <c:formatCode>General</c:formatCode>
                <c:ptCount val="2"/>
                <c:pt idx="0">
                  <c:v>20.21</c:v>
                </c:pt>
                <c:pt idx="1">
                  <c:v>13.8</c:v>
                </c:pt>
              </c:numCache>
            </c:numRef>
          </c:val>
          <c:extLst>
            <c:ext xmlns:c16="http://schemas.microsoft.com/office/drawing/2014/chart" uri="{C3380CC4-5D6E-409C-BE32-E72D297353CC}">
              <c16:uniqueId val="{00000000-934D-4E38-9A30-CB3D90EF8A48}"/>
            </c:ext>
          </c:extLst>
        </c:ser>
        <c:dLbls>
          <c:dLblPos val="outEnd"/>
          <c:showLegendKey val="0"/>
          <c:showVal val="1"/>
          <c:showCatName val="0"/>
          <c:showSerName val="0"/>
          <c:showPercent val="0"/>
          <c:showBubbleSize val="0"/>
        </c:dLbls>
        <c:gapWidth val="150"/>
        <c:axId val="526018608"/>
        <c:axId val="526018216"/>
      </c:barChart>
      <c:catAx>
        <c:axId val="52601860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b="1"/>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018216"/>
        <c:crosses val="autoZero"/>
        <c:auto val="1"/>
        <c:lblAlgn val="ctr"/>
        <c:lblOffset val="100"/>
        <c:noMultiLvlLbl val="0"/>
      </c:catAx>
      <c:valAx>
        <c:axId val="5260182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a:t>Value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01860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Sheet1!$J$2</c:f>
              <c:strCache>
                <c:ptCount val="1"/>
                <c:pt idx="0">
                  <c:v>Operating Margin</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Sheet1!$K$1:$L$1</c:f>
              <c:strCache>
                <c:ptCount val="2"/>
                <c:pt idx="0">
                  <c:v>Value for 2021</c:v>
                </c:pt>
                <c:pt idx="1">
                  <c:v>Value for 2020</c:v>
                </c:pt>
              </c:strCache>
            </c:strRef>
          </c:cat>
          <c:val>
            <c:numRef>
              <c:f>Sheet1!$K$2:$L$2</c:f>
              <c:numCache>
                <c:formatCode>General</c:formatCode>
                <c:ptCount val="2"/>
                <c:pt idx="0">
                  <c:v>12.62</c:v>
                </c:pt>
                <c:pt idx="1">
                  <c:v>0.79</c:v>
                </c:pt>
              </c:numCache>
            </c:numRef>
          </c:val>
          <c:smooth val="0"/>
          <c:extLst>
            <c:ext xmlns:c16="http://schemas.microsoft.com/office/drawing/2014/chart" uri="{C3380CC4-5D6E-409C-BE32-E72D297353CC}">
              <c16:uniqueId val="{00000000-C022-4058-931A-B9CC8A4E3AA2}"/>
            </c:ext>
          </c:extLst>
        </c:ser>
        <c:dLbls>
          <c:dLblPos val="t"/>
          <c:showLegendKey val="0"/>
          <c:showVal val="1"/>
          <c:showCatName val="0"/>
          <c:showSerName val="0"/>
          <c:showPercent val="0"/>
          <c:showBubbleSize val="0"/>
        </c:dLbls>
        <c:hiLowLines>
          <c:spPr>
            <a:ln w="9525" cap="flat" cmpd="sng" algn="ctr">
              <a:solidFill>
                <a:schemeClr val="tx1">
                  <a:lumMod val="75000"/>
                  <a:lumOff val="25000"/>
                </a:schemeClr>
              </a:solidFill>
              <a:round/>
            </a:ln>
            <a:effectLst/>
          </c:spPr>
        </c:hiLowLines>
        <c:smooth val="0"/>
        <c:axId val="116243952"/>
        <c:axId val="300270576"/>
      </c:lineChart>
      <c:catAx>
        <c:axId val="1162439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b="1"/>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0270576"/>
        <c:crosses val="autoZero"/>
        <c:auto val="1"/>
        <c:lblAlgn val="ctr"/>
        <c:lblOffset val="100"/>
        <c:noMultiLvlLbl val="0"/>
      </c:catAx>
      <c:valAx>
        <c:axId val="3002705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b="1"/>
                  <a:t>Value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24395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Sheet1!$J$5</c:f>
              <c:strCache>
                <c:ptCount val="1"/>
                <c:pt idx="0">
                  <c:v>Return on Investment</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Sheet1!$K$4:$L$4</c:f>
              <c:strCache>
                <c:ptCount val="2"/>
                <c:pt idx="0">
                  <c:v>Value for 2021</c:v>
                </c:pt>
                <c:pt idx="1">
                  <c:v>Value for 2020</c:v>
                </c:pt>
              </c:strCache>
            </c:strRef>
          </c:cat>
          <c:val>
            <c:numRef>
              <c:f>Sheet1!$K$5:$L$5</c:f>
              <c:numCache>
                <c:formatCode>General</c:formatCode>
                <c:ptCount val="2"/>
                <c:pt idx="0">
                  <c:v>10.220000000000001</c:v>
                </c:pt>
                <c:pt idx="1">
                  <c:v>-2.77</c:v>
                </c:pt>
              </c:numCache>
            </c:numRef>
          </c:val>
          <c:extLst>
            <c:ext xmlns:c16="http://schemas.microsoft.com/office/drawing/2014/chart" uri="{C3380CC4-5D6E-409C-BE32-E72D297353CC}">
              <c16:uniqueId val="{00000000-BAFF-483D-B032-7CF9266DC7C4}"/>
            </c:ext>
          </c:extLst>
        </c:ser>
        <c:dLbls>
          <c:dLblPos val="outEnd"/>
          <c:showLegendKey val="0"/>
          <c:showVal val="1"/>
          <c:showCatName val="0"/>
          <c:showSerName val="0"/>
          <c:showPercent val="0"/>
          <c:showBubbleSize val="0"/>
        </c:dLbls>
        <c:gapWidth val="150"/>
        <c:axId val="469780008"/>
        <c:axId val="469780792"/>
      </c:barChart>
      <c:catAx>
        <c:axId val="46978000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9780792"/>
        <c:crosses val="autoZero"/>
        <c:auto val="1"/>
        <c:lblAlgn val="ctr"/>
        <c:lblOffset val="100"/>
        <c:noMultiLvlLbl val="0"/>
      </c:catAx>
      <c:valAx>
        <c:axId val="46978079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97800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IN"/>
              <a:t>Liquidity Analysis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Sheet1!$K$8</c:f>
              <c:strCache>
                <c:ptCount val="1"/>
                <c:pt idx="0">
                  <c:v>Value for 2021</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Sheet1!$J$9:$J$11</c:f>
              <c:strCache>
                <c:ptCount val="3"/>
                <c:pt idx="0">
                  <c:v>Current Ratio</c:v>
                </c:pt>
                <c:pt idx="1">
                  <c:v>Free Cash Flow Ratio</c:v>
                </c:pt>
                <c:pt idx="2">
                  <c:v>Operating Cash Flow Per Share</c:v>
                </c:pt>
              </c:strCache>
            </c:strRef>
          </c:cat>
          <c:val>
            <c:numRef>
              <c:f>Sheet1!$K$9:$K$11</c:f>
              <c:numCache>
                <c:formatCode>General</c:formatCode>
                <c:ptCount val="3"/>
                <c:pt idx="0">
                  <c:v>0.56000000000000005</c:v>
                </c:pt>
                <c:pt idx="1">
                  <c:v>-2.35</c:v>
                </c:pt>
                <c:pt idx="2">
                  <c:v>-1.45</c:v>
                </c:pt>
              </c:numCache>
            </c:numRef>
          </c:val>
          <c:extLst>
            <c:ext xmlns:c16="http://schemas.microsoft.com/office/drawing/2014/chart" uri="{C3380CC4-5D6E-409C-BE32-E72D297353CC}">
              <c16:uniqueId val="{00000000-8F2E-452B-826A-2D6A2E5CCC98}"/>
            </c:ext>
          </c:extLst>
        </c:ser>
        <c:ser>
          <c:idx val="1"/>
          <c:order val="1"/>
          <c:tx>
            <c:strRef>
              <c:f>Sheet1!$L$8</c:f>
              <c:strCache>
                <c:ptCount val="1"/>
                <c:pt idx="0">
                  <c:v>Value for 2020</c:v>
                </c:pt>
              </c:strCache>
            </c:strRef>
          </c:tx>
          <c:spPr>
            <a:solidFill>
              <a:schemeClr val="accent2">
                <a:alpha val="85000"/>
              </a:schemeClr>
            </a:solidFill>
            <a:ln w="9525" cap="flat" cmpd="sng" algn="ctr">
              <a:solidFill>
                <a:schemeClr val="accent2">
                  <a:lumMod val="75000"/>
                </a:schemeClr>
              </a:solidFill>
              <a:round/>
            </a:ln>
            <a:effectLst/>
            <a:sp3d contourW="9525">
              <a:contourClr>
                <a:schemeClr val="accent2">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Sheet1!$J$9:$J$11</c:f>
              <c:strCache>
                <c:ptCount val="3"/>
                <c:pt idx="0">
                  <c:v>Current Ratio</c:v>
                </c:pt>
                <c:pt idx="1">
                  <c:v>Free Cash Flow Ratio</c:v>
                </c:pt>
                <c:pt idx="2">
                  <c:v>Operating Cash Flow Per Share</c:v>
                </c:pt>
              </c:strCache>
            </c:strRef>
          </c:cat>
          <c:val>
            <c:numRef>
              <c:f>Sheet1!$L$9:$L$11</c:f>
              <c:numCache>
                <c:formatCode>General</c:formatCode>
                <c:ptCount val="3"/>
                <c:pt idx="0">
                  <c:v>0.49</c:v>
                </c:pt>
                <c:pt idx="1">
                  <c:v>1.1599999999999999</c:v>
                </c:pt>
                <c:pt idx="2">
                  <c:v>8.3000000000000001E-3</c:v>
                </c:pt>
              </c:numCache>
            </c:numRef>
          </c:val>
          <c:extLst>
            <c:ext xmlns:c16="http://schemas.microsoft.com/office/drawing/2014/chart" uri="{C3380CC4-5D6E-409C-BE32-E72D297353CC}">
              <c16:uniqueId val="{00000001-8F2E-452B-826A-2D6A2E5CCC98}"/>
            </c:ext>
          </c:extLst>
        </c:ser>
        <c:dLbls>
          <c:showLegendKey val="0"/>
          <c:showVal val="1"/>
          <c:showCatName val="0"/>
          <c:showSerName val="0"/>
          <c:showPercent val="0"/>
          <c:showBubbleSize val="0"/>
        </c:dLbls>
        <c:gapWidth val="150"/>
        <c:shape val="box"/>
        <c:axId val="522612208"/>
        <c:axId val="522612600"/>
        <c:axId val="0"/>
      </c:bar3DChart>
      <c:catAx>
        <c:axId val="522612208"/>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IN"/>
                  <a:t>Tyep fo Liquidity Ratio and Year</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522612600"/>
        <c:crosses val="autoZero"/>
        <c:auto val="1"/>
        <c:lblAlgn val="ctr"/>
        <c:lblOffset val="100"/>
        <c:noMultiLvlLbl val="0"/>
      </c:catAx>
      <c:valAx>
        <c:axId val="522612600"/>
        <c:scaling>
          <c:orientation val="minMax"/>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IN"/>
                  <a:t>Value</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522612208"/>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IN" b="1"/>
              <a:t>Gearing Ratio</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Sheet1!$N$2</c:f>
              <c:strCache>
                <c:ptCount val="1"/>
                <c:pt idx="0">
                  <c:v>D/E Ratio</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105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Sheet1!$O$1:$P$1</c:f>
              <c:strCache>
                <c:ptCount val="2"/>
                <c:pt idx="0">
                  <c:v>Value for 2021</c:v>
                </c:pt>
                <c:pt idx="1">
                  <c:v>Value for 2020</c:v>
                </c:pt>
              </c:strCache>
            </c:strRef>
          </c:cat>
          <c:val>
            <c:numRef>
              <c:f>Sheet1!$O$2:$P$2</c:f>
              <c:numCache>
                <c:formatCode>General</c:formatCode>
                <c:ptCount val="2"/>
                <c:pt idx="0">
                  <c:v>7.16</c:v>
                </c:pt>
                <c:pt idx="1">
                  <c:v>24.13</c:v>
                </c:pt>
              </c:numCache>
            </c:numRef>
          </c:val>
          <c:extLst>
            <c:ext xmlns:c16="http://schemas.microsoft.com/office/drawing/2014/chart" uri="{C3380CC4-5D6E-409C-BE32-E72D297353CC}">
              <c16:uniqueId val="{00000000-6E5D-419A-8C3D-800238F63F49}"/>
            </c:ext>
          </c:extLst>
        </c:ser>
        <c:ser>
          <c:idx val="1"/>
          <c:order val="1"/>
          <c:tx>
            <c:strRef>
              <c:f>Sheet1!$N$3</c:f>
              <c:strCache>
                <c:ptCount val="1"/>
                <c:pt idx="0">
                  <c:v>Long-term Debt / Capital</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11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Sheet1!$O$1:$P$1</c:f>
              <c:strCache>
                <c:ptCount val="2"/>
                <c:pt idx="0">
                  <c:v>Value for 2021</c:v>
                </c:pt>
                <c:pt idx="1">
                  <c:v>Value for 2020</c:v>
                </c:pt>
              </c:strCache>
            </c:strRef>
          </c:cat>
          <c:val>
            <c:numRef>
              <c:f>Sheet1!$O$3:$P$3</c:f>
              <c:numCache>
                <c:formatCode>General</c:formatCode>
                <c:ptCount val="2"/>
                <c:pt idx="0">
                  <c:v>0.86799999999999999</c:v>
                </c:pt>
                <c:pt idx="1">
                  <c:v>0.95499999999999996</c:v>
                </c:pt>
              </c:numCache>
            </c:numRef>
          </c:val>
          <c:extLst>
            <c:ext xmlns:c16="http://schemas.microsoft.com/office/drawing/2014/chart" uri="{C3380CC4-5D6E-409C-BE32-E72D297353CC}">
              <c16:uniqueId val="{00000001-6E5D-419A-8C3D-800238F63F49}"/>
            </c:ext>
          </c:extLst>
        </c:ser>
        <c:dLbls>
          <c:dLblPos val="outEnd"/>
          <c:showLegendKey val="0"/>
          <c:showVal val="1"/>
          <c:showCatName val="0"/>
          <c:showSerName val="0"/>
          <c:showPercent val="0"/>
          <c:showBubbleSize val="0"/>
        </c:dLbls>
        <c:gapWidth val="444"/>
        <c:overlap val="-90"/>
        <c:axId val="522613384"/>
        <c:axId val="522613776"/>
      </c:barChart>
      <c:catAx>
        <c:axId val="52261338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522613776"/>
        <c:crosses val="autoZero"/>
        <c:auto val="1"/>
        <c:lblAlgn val="ctr"/>
        <c:lblOffset val="100"/>
        <c:noMultiLvlLbl val="0"/>
      </c:catAx>
      <c:valAx>
        <c:axId val="522613776"/>
        <c:scaling>
          <c:orientation val="minMax"/>
        </c:scaling>
        <c:delete val="1"/>
        <c:axPos val="l"/>
        <c:numFmt formatCode="General" sourceLinked="1"/>
        <c:majorTickMark val="none"/>
        <c:minorTickMark val="none"/>
        <c:tickLblPos val="nextTo"/>
        <c:crossAx val="52261338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Mar22</b:Tag>
    <b:SourceType>InternetSite</b:SourceType>
    <b:Guid>{0CC1C446-6B51-4A93-9CE2-F55AFC9E9514}</b:Guid>
    <b:Author>
      <b:Author>
        <b:Corporate>Marriott</b:Corporate>
      </b:Author>
    </b:Author>
    <b:Title>About</b:Title>
    <b:Year>2022</b:Year>
    <b:YearAccessed>2022</b:YearAccessed>
    <b:MonthAccessed>Nov</b:MonthAccessed>
    <b:DayAccessed>17</b:DayAccessed>
    <b:URL>https://www.marriott.com/marriott/aboutmarriott.mi</b:URL>
    <b:RefOrder>1</b:RefOrder>
  </b:Source>
  <b:Source>
    <b:Tag>Mar221</b:Tag>
    <b:SourceType>InternetSite</b:SourceType>
    <b:Guid>{1F881464-BCC9-4729-B072-08B4B7E51844}</b:Guid>
    <b:Author>
      <b:Author>
        <b:Corporate>Marriott</b:Corporate>
      </b:Author>
    </b:Author>
    <b:Title>Our Story</b:Title>
    <b:Year>2022</b:Year>
    <b:YearAccessed>2022</b:YearAccessed>
    <b:MonthAccessed>Nov</b:MonthAccessed>
    <b:DayAccessed>17</b:DayAccessed>
    <b:URL>https://www.marriott.com/about/culture-and-values/history.mi</b:URL>
    <b:RefOrder>2</b:RefOrder>
  </b:Source>
  <b:Source>
    <b:Tag>Kil21</b:Tag>
    <b:SourceType>JournalArticle</b:SourceType>
    <b:Guid>{E5108792-0F1F-4F60-82E4-B194EF2A1FEB}</b:Guid>
    <b:Author>
      <b:Author>
        <b:NameList>
          <b:Person>
            <b:Last>Killingsworth</b:Last>
            <b:First>J.</b:First>
          </b:Person>
          <b:Person>
            <b:Last>Mehany</b:Last>
            <b:First>M.</b:First>
            <b:Middle>H.</b:Middle>
          </b:Person>
          <b:Person>
            <b:Last>Kim</b:Last>
            <b:First>J.</b:First>
          </b:Person>
        </b:NameList>
      </b:Author>
    </b:Author>
    <b:Title>Using accounting ratios to measure construction industry lag.</b:Title>
    <b:JournalName>Journal of Financial Management of Property and Construction.</b:JournalName>
    <b:Year>2021</b:Year>
    <b:Pages>22-29; DOI : 10.1108/JFMPC-11-2019-0085</b:Pages>
    <b:Volume>12</b:Volume>
    <b:Issue>1</b:Issue>
    <b:RefOrder>3</b:RefOrder>
  </b:Source>
  <b:Source>
    <b:Tag>Ala22</b:Tag>
    <b:SourceType>JournalArticle</b:SourceType>
    <b:Guid>{FA1596A6-8E3C-4FBB-BD8F-6FDE8F7EF6B2}</b:Guid>
    <b:Author>
      <b:Author>
        <b:NameList>
          <b:Person>
            <b:Last>Alabdullah</b:Last>
            <b:First>T.</b:First>
            <b:Middle>T. Y</b:Middle>
          </b:Person>
        </b:NameList>
      </b:Author>
    </b:Author>
    <b:Title> Management accounting insight via a new perspective on risk management-companies' profitability relationship.</b:Title>
    <b:JournalName> International Journal of Intelligent Enterprise</b:JournalName>
    <b:Year>2022</b:Year>
    <b:Pages>244-257; DOI : 10.1504/IJIE.2022.121752</b:Pages>
    <b:Volume>9</b:Volume>
    <b:Issue>2</b:Issue>
    <b:RefOrder>4</b:RefOrder>
  </b:Source>
  <b:Source>
    <b:Tag>Sud21</b:Tag>
    <b:SourceType>JournalArticle</b:SourceType>
    <b:Guid>{49CA8323-4486-4081-88F6-D3BED8DDFDBC}</b:Guid>
    <b:Author>
      <b:Author>
        <b:NameList>
          <b:Person>
            <b:Last>Sudharto</b:Last>
            <b:First>S.</b:First>
            <b:Middle>V.</b:Middle>
          </b:Person>
          <b:Person>
            <b:Last>Salim</b:Last>
            <b:First>S</b:First>
          </b:Person>
        </b:NameList>
      </b:Author>
    </b:Author>
    <b:Title>Efek Firm Size, Profitability, Gearing Ratio, Dan Public Ownership Terhadap Risk Disclosure.</b:Title>
    <b:JournalName>Jurnal Ekonomi</b:JournalName>
    <b:Year>2021</b:Year>
    <b:Pages>125-143; DOI : 10.24912/je.v0i0.770</b:Pages>
    <b:Volume>12</b:Volume>
    <b:Issue>1</b:Issue>
    <b:RefOrder>5</b:RefOrder>
  </b:Source>
  <b:Source>
    <b:Tag>Mac22</b:Tag>
    <b:SourceType>InternetSite</b:SourceType>
    <b:Guid>{BB0C4922-12AC-4154-8ADC-98D0CFA2C4EC}</b:Guid>
    <b:Author>
      <b:Author>
        <b:Corporate>Macrotrends</b:Corporate>
      </b:Author>
    </b:Author>
    <b:Title>Financial Ratio</b:Title>
    <b:Year>2022</b:Year>
    <b:YearAccessed>2022</b:YearAccessed>
    <b:MonthAccessed>Nov</b:MonthAccessed>
    <b:DayAccessed>17</b:DayAccessed>
    <b:URL>https://www.macrotrends.net/stocks/charts/MAR/marriott/financial-ratios</b:URL>
    <b:RefOrder>6</b:RefOrder>
  </b:Source>
  <b:Source>
    <b:Tag>Riz22</b:Tag>
    <b:SourceType>JournalArticle</b:SourceType>
    <b:Guid>{80E19D7B-87B4-4A13-B11D-FA9D46C54ED8}</b:Guid>
    <b:Author>
      <b:Author>
        <b:NameList>
          <b:Person>
            <b:Last>Rizki</b:Last>
            <b:First>I.</b:First>
            <b:Middle>H.</b:Middle>
          </b:Person>
          <b:Person>
            <b:Last>Kaur</b:Last>
            <b:First>M.</b:First>
          </b:Person>
        </b:NameList>
      </b:Author>
    </b:Author>
    <b:Title>Analysis Of Statement Of Profit And Loss And Statement Of Cash Flows On Operating Cash Flow Ratio On Cv Biru Utama. </b:Title>
    <b:JournalName>Enrichment: Journal of Management</b:JournalName>
    <b:Year>2022</b:Year>
    <b:Pages>2398-2403; DOI : 10.35335/enrichment.v12i2.570</b:Pages>
    <b:Volume>12</b:Volume>
    <b:Issue>2</b:Issue>
    <b:RefOrder>7</b:RefOrder>
  </b:Source>
  <b:Source>
    <b:Tag>Mar20</b:Tag>
    <b:SourceType>InternetSite</b:SourceType>
    <b:Guid>{C6639D6B-8CFF-4769-94F8-80B3A8938BC0}</b:Guid>
    <b:Author>
      <b:Author>
        <b:Corporate>Marriott</b:Corporate>
      </b:Author>
    </b:Author>
    <b:Title>Annual Report 2020</b:Title>
    <b:Year>2020</b:Year>
    <b:YearAccessed>2022</b:YearAccessed>
    <b:MonthAccessed>Nov</b:MonthAccessed>
    <b:DayAccessed>17</b:DayAccessed>
    <b:URL>https://marriott.gcs-web.com/annual</b:URL>
    <b:RefOrder>8</b:RefOrder>
  </b:Source>
  <b:Source>
    <b:Tag>Mar222</b:Tag>
    <b:SourceType>InternetSite</b:SourceType>
    <b:Guid>{B6B6F068-7A83-42B9-B163-982229C12000}</b:Guid>
    <b:Author>
      <b:Author>
        <b:Corporate>Marriott</b:Corporate>
      </b:Author>
    </b:Author>
    <b:Title>Annual Report 2021</b:Title>
    <b:Year>2022</b:Year>
    <b:YearAccessed>2022</b:YearAccessed>
    <b:MonthAccessed>Nov</b:MonthAccessed>
    <b:DayAccessed>17</b:DayAccessed>
    <b:URL>https://marriott.gcs-web.com/static-files/b82978a6-9d28-4e38-9855-fc4ae2cebe11</b:URL>
    <b:RefOrder>9</b:RefOrder>
  </b:Source>
  <b:Source>
    <b:Tag>Sap22</b:Tag>
    <b:SourceType>JournalArticle</b:SourceType>
    <b:Guid>{C6271C1B-A265-4909-A3D2-9E79B40AB788}</b:Guid>
    <b:Author>
      <b:Author>
        <b:NameList>
          <b:Person>
            <b:Last>Saputra</b:Last>
            <b:First>F.</b:First>
          </b:Person>
        </b:NameList>
      </b:Author>
    </b:Author>
    <b:Title>Analysis of Total Debt, Revenue and Net Profit on Stock Prices of Foods And Beverages Companies on the Indonesia Stock Exchange (IDX) Period 2018-2021.</b:Title>
    <b:JournalName>Journal of Accounting and Finance Management</b:JournalName>
    <b:Year>2022</b:Year>
    <b:Pages>10-20; DOI : 10.38035/jafm.v3i1.64</b:Pages>
    <b:Volume>3</b:Volume>
    <b:Issue>1</b:Issue>
    <b:RefOrder>10</b:RefOrder>
  </b:Source>
  <b:Source>
    <b:Tag>Ben16</b:Tag>
    <b:SourceType>JournalArticle</b:SourceType>
    <b:Guid>{42D76ABA-D5D4-4055-8431-23BC36411FF3}</b:Guid>
    <b:Author>
      <b:Author>
        <b:NameList>
          <b:Person>
            <b:Last>Benamraoui</b:Last>
            <b:First>A.</b:First>
          </b:Person>
          <b:Person>
            <b:Last>Jory</b:Last>
            <b:First>S.</b:First>
            <b:Middle>R.</b:Middle>
          </b:Person>
          <b:Person>
            <b:Last>Boojihawon</b:Last>
            <b:First>D.</b:First>
            <b:Middle>R.</b:Middle>
          </b:Person>
          <b:Person>
            <b:Last>Madichie</b:Last>
            <b:First>N.</b:First>
            <b:Middle>O</b:Middle>
          </b:Person>
        </b:NameList>
      </b:Author>
    </b:Author>
    <b:Title>Net present value analysis and the wealth creation process: A case illustration. </b:Title>
    <b:JournalName>The Accounting Educators' Journal</b:JournalName>
    <b:Year>2016</b:Year>
    <b:Pages>22-29; DOI : 10.1108/AJAR-04-2016-0023</b:Pages>
    <b:Volume>2</b:Volume>
    <b:Issue>6</b:Issue>
    <b:RefOrder>11</b:RefOrder>
  </b:Source>
  <b:Source>
    <b:Tag>Gal17</b:Tag>
    <b:SourceType>JournalArticle</b:SourceType>
    <b:Guid>{C14A2B84-C5D1-46A6-804E-004A5B899540}</b:Guid>
    <b:Author>
      <b:Author>
        <b:NameList>
          <b:Person>
            <b:Last>Galstian</b:Last>
            <b:First>N</b:First>
          </b:Person>
        </b:NameList>
      </b:Author>
    </b:Author>
    <b:Title>The impact of the level of financial literacy of managers, particularly the financial manager, in the economic and financial performance of SMEs, a comparison between Portugal and Russia</b:Title>
    <b:JournalName>Doctoral dissertation</b:JournalName>
    <b:Year>2017</b:Year>
    <b:Pages>22-29; DOI : 10.5937/tehnika2004498M</b:Pages>
    <b:Volume>2</b:Volume>
    <b:Issue>1</b:Issue>
    <b:RefOrder>12</b:RefOrder>
  </b:Source>
  <b:Source>
    <b:Tag>Par16</b:Tag>
    <b:SourceType>JournalArticle</b:SourceType>
    <b:Guid>{91D210EF-4BFF-491D-B58D-37C89E24066D}</b:Guid>
    <b:Author>
      <b:Author>
        <b:NameList>
          <b:Person>
            <b:Last>Parlak</b:Last>
            <b:First>D.</b:First>
          </b:Person>
          <b:Person>
            <b:Last>İlhan</b:Last>
            <b:First>H</b:First>
          </b:Person>
        </b:NameList>
      </b:Author>
    </b:Author>
    <b:Title>Foreign exchange risk and financial performance: The case of Turkey</b:Title>
    <b:JournalName> International review of Economics and Management</b:JournalName>
    <b:Year>2016</b:Year>
    <b:Pages>1-15; DOI: 10.22495/jgrv11i1art9</b:Pages>
    <b:Volume>4</b:Volume>
    <b:Issue>2</b:Issue>
    <b:RefOrder>13</b:RefOrder>
  </b:Source>
</b:Sources>
</file>

<file path=customXml/itemProps1.xml><?xml version="1.0" encoding="utf-8"?>
<ds:datastoreItem xmlns:ds="http://schemas.openxmlformats.org/officeDocument/2006/customXml" ds:itemID="{961C6C15-885D-46D6-B748-574C4BC63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3006</Words>
  <Characters>17135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Gheorghe Ilies (2025668)</cp:lastModifiedBy>
  <cp:revision>92</cp:revision>
  <dcterms:created xsi:type="dcterms:W3CDTF">2022-11-17T05:30:00Z</dcterms:created>
  <dcterms:modified xsi:type="dcterms:W3CDTF">2022-11-29T10:00:00Z</dcterms:modified>
</cp:coreProperties>
</file>