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68254" w14:textId="7DBC48E5" w:rsidR="001C6B66" w:rsidRDefault="001844CC" w:rsidP="00EB0766">
      <w:pPr>
        <w:jc w:val="center"/>
        <w:rPr>
          <w:rFonts w:cs="Calibri Light"/>
          <w:b/>
          <w:bCs/>
          <w:noProof/>
          <w:szCs w:val="24"/>
          <w:lang w:val="en-US"/>
        </w:rPr>
      </w:pPr>
      <w:r w:rsidRPr="00A406E5">
        <w:rPr>
          <w:rFonts w:cs="Arial"/>
          <w:noProof/>
        </w:rPr>
        <w:drawing>
          <wp:anchor distT="0" distB="0" distL="114300" distR="114300" simplePos="0" relativeHeight="251659264" behindDoc="0" locked="0" layoutInCell="1" allowOverlap="1" wp14:anchorId="3B456CE2" wp14:editId="751CFB3F">
            <wp:simplePos x="0" y="0"/>
            <wp:positionH relativeFrom="margin">
              <wp:align>center</wp:align>
            </wp:positionH>
            <wp:positionV relativeFrom="paragraph">
              <wp:posOffset>602</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287C2E1" w14:textId="77777777" w:rsidR="001844CC" w:rsidRDefault="001844CC" w:rsidP="00EB0766">
      <w:pPr>
        <w:jc w:val="center"/>
        <w:rPr>
          <w:rFonts w:cs="Calibri Light"/>
          <w:b/>
          <w:bCs/>
          <w:noProof/>
          <w:szCs w:val="24"/>
          <w:lang w:val="en-US"/>
        </w:rPr>
      </w:pPr>
    </w:p>
    <w:p w14:paraId="6673A636" w14:textId="77777777" w:rsidR="001844CC" w:rsidRDefault="001844CC" w:rsidP="00EB0766">
      <w:pPr>
        <w:jc w:val="center"/>
        <w:rPr>
          <w:rFonts w:cs="Calibri Light"/>
          <w:b/>
          <w:bCs/>
          <w:noProof/>
          <w:szCs w:val="24"/>
          <w:lang w:val="en-US"/>
        </w:rPr>
      </w:pPr>
    </w:p>
    <w:p w14:paraId="2D876611" w14:textId="77777777" w:rsidR="008C3047" w:rsidRDefault="008C3047" w:rsidP="00EB0766">
      <w:pPr>
        <w:jc w:val="center"/>
        <w:rPr>
          <w:rFonts w:cs="Calibri Light"/>
          <w:b/>
          <w:bCs/>
          <w:noProof/>
          <w:szCs w:val="24"/>
          <w:lang w:val="en-US"/>
        </w:rPr>
      </w:pPr>
    </w:p>
    <w:p w14:paraId="36552FAF" w14:textId="7322393C" w:rsidR="00D132D6" w:rsidRPr="00D132D6" w:rsidRDefault="00D132D6" w:rsidP="00FB5CEA">
      <w:pPr>
        <w:jc w:val="center"/>
        <w:rPr>
          <w:noProof/>
          <w:lang w:val="en-US"/>
        </w:rPr>
      </w:pPr>
      <w:r w:rsidRPr="00D132D6">
        <w:rPr>
          <w:noProof/>
          <w:lang w:val="en-US"/>
        </w:rPr>
        <w:t>Module:</w:t>
      </w:r>
      <w:r>
        <w:rPr>
          <w:noProof/>
          <w:lang w:val="en-US"/>
        </w:rPr>
        <w:t xml:space="preserve"> </w:t>
      </w:r>
      <w:r w:rsidRPr="00D132D6">
        <w:rPr>
          <w:noProof/>
          <w:lang w:val="en-US"/>
        </w:rPr>
        <w:t>Financial Management</w:t>
      </w:r>
    </w:p>
    <w:p w14:paraId="7C4E4981" w14:textId="496F556D" w:rsidR="009B7E2F" w:rsidRDefault="00D132D6" w:rsidP="00FB5CEA">
      <w:pPr>
        <w:jc w:val="center"/>
        <w:rPr>
          <w:noProof/>
          <w:lang w:val="en-US"/>
        </w:rPr>
      </w:pPr>
      <w:r w:rsidRPr="00D132D6">
        <w:rPr>
          <w:noProof/>
          <w:lang w:val="en-US"/>
        </w:rPr>
        <w:t>Module code:</w:t>
      </w:r>
      <w:r>
        <w:rPr>
          <w:noProof/>
          <w:lang w:val="en-US"/>
        </w:rPr>
        <w:t xml:space="preserve"> </w:t>
      </w:r>
      <w:r w:rsidRPr="00D132D6">
        <w:rPr>
          <w:noProof/>
          <w:lang w:val="en-US"/>
        </w:rPr>
        <w:t>LCMB7002</w:t>
      </w:r>
    </w:p>
    <w:p w14:paraId="0DF0B4F8" w14:textId="54C45D29" w:rsidR="00FB5CEA" w:rsidRDefault="00FB5CEA" w:rsidP="00FB5CEA">
      <w:pPr>
        <w:jc w:val="center"/>
      </w:pPr>
      <w:r>
        <w:t xml:space="preserve">Student Name: Mohammed </w:t>
      </w:r>
      <w:proofErr w:type="spellStart"/>
      <w:r>
        <w:t>Masoom</w:t>
      </w:r>
      <w:proofErr w:type="spellEnd"/>
    </w:p>
    <w:p w14:paraId="2D84FE5E" w14:textId="621F1684" w:rsidR="00FB5CEA" w:rsidRDefault="00FB5CEA" w:rsidP="00FB5CEA">
      <w:pPr>
        <w:jc w:val="center"/>
      </w:pPr>
      <w:r>
        <w:t>Student ID: 2223129</w:t>
      </w:r>
    </w:p>
    <w:p w14:paraId="5DAFB2E6" w14:textId="21767E5C" w:rsidR="00FB5CEA" w:rsidRDefault="00FB5CEA" w:rsidP="00FB5CEA">
      <w:pPr>
        <w:jc w:val="center"/>
      </w:pPr>
      <w:r>
        <w:t>Lecturer: Dr Patrick Yeboah</w:t>
      </w:r>
    </w:p>
    <w:p w14:paraId="0C36CDE2" w14:textId="77777777" w:rsidR="00FB5CEA" w:rsidRDefault="00FB5CEA" w:rsidP="00FB5CEA"/>
    <w:p w14:paraId="4F2D0A4B" w14:textId="77777777" w:rsidR="00FB5CEA" w:rsidRDefault="00FB5CEA" w:rsidP="00D132D6"/>
    <w:p w14:paraId="7DC72F6A" w14:textId="77777777" w:rsidR="008C3047" w:rsidRDefault="008C3047" w:rsidP="009B7E2F">
      <w:pPr>
        <w:tabs>
          <w:tab w:val="left" w:pos="0"/>
        </w:tabs>
        <w:jc w:val="center"/>
        <w:rPr>
          <w:rFonts w:cs="Calibri Light"/>
          <w:szCs w:val="24"/>
        </w:rPr>
      </w:pPr>
    </w:p>
    <w:p w14:paraId="1CBC6AB7" w14:textId="5080AA64" w:rsidR="008C3047" w:rsidRPr="00796C41" w:rsidRDefault="00796C41" w:rsidP="009B7E2F">
      <w:pPr>
        <w:tabs>
          <w:tab w:val="left" w:pos="0"/>
        </w:tabs>
        <w:jc w:val="center"/>
        <w:rPr>
          <w:rFonts w:cs="Calibri Light"/>
          <w:b/>
          <w:bCs/>
          <w:sz w:val="36"/>
          <w:szCs w:val="36"/>
        </w:rPr>
      </w:pPr>
      <w:r w:rsidRPr="00796C41">
        <w:rPr>
          <w:rFonts w:cs="Calibri Light"/>
          <w:b/>
          <w:bCs/>
          <w:sz w:val="36"/>
          <w:szCs w:val="36"/>
        </w:rPr>
        <w:t>Financial performance and management of Volkswagen</w:t>
      </w:r>
    </w:p>
    <w:p w14:paraId="38B3E6F8" w14:textId="77777777" w:rsidR="00E71664" w:rsidRDefault="00E71664" w:rsidP="00E71664"/>
    <w:p w14:paraId="50E660E4" w14:textId="77777777" w:rsidR="00793800" w:rsidRDefault="00793800" w:rsidP="00E71664"/>
    <w:p w14:paraId="326E64F2" w14:textId="5023665D" w:rsidR="00793800" w:rsidRDefault="00793800">
      <w:pPr>
        <w:spacing w:before="0" w:after="160" w:line="259" w:lineRule="auto"/>
        <w:jc w:val="left"/>
      </w:pPr>
      <w:r>
        <w:br w:type="page"/>
      </w:r>
    </w:p>
    <w:p w14:paraId="791ADE71" w14:textId="623C99E5" w:rsidR="00793800" w:rsidRPr="00793800" w:rsidRDefault="00793800" w:rsidP="00E71664">
      <w:pPr>
        <w:rPr>
          <w:b/>
          <w:bCs/>
        </w:rPr>
      </w:pPr>
      <w:r w:rsidRPr="00793800">
        <w:rPr>
          <w:b/>
          <w:bCs/>
        </w:rPr>
        <w:lastRenderedPageBreak/>
        <w:t>Executive Summary</w:t>
      </w:r>
    </w:p>
    <w:p w14:paraId="030FEE14" w14:textId="13D2FE74" w:rsidR="00793800" w:rsidRDefault="00A07F92" w:rsidP="00E71664">
      <w:r w:rsidRPr="00A07F92">
        <w:t xml:space="preserve">In this report, the financial analysis of the financial ratios, working capital analysis, restructuring strategies and capital budgeting approaches have been used to evaluate the financial performance and investment opportunities of the Volkswagen. The profitability, liquidity, efficiency, gearing, </w:t>
      </w:r>
      <w:proofErr w:type="gramStart"/>
      <w:r w:rsidRPr="00A07F92">
        <w:t>investment</w:t>
      </w:r>
      <w:proofErr w:type="gramEnd"/>
      <w:r w:rsidRPr="00A07F92">
        <w:t xml:space="preserve"> and cash flow ratio analysis shows that Volkswagen has increased its efficiencies in operations and use of capital, however, liquidity pressure and dependence on debt growth are also issues of concern. The working capital analysis reflects the better situations in the management of the inventory and receivables, which led to a shorter cash operating cycle. Payback Period, ARR, NPV, IRR and Profitability Index were used to evaluate three investment projects. The outcomes define Project C as the best investment in terms of returns, and the collective maximisation of returns under capital rationing constraint presents Projects B and C.</w:t>
      </w:r>
    </w:p>
    <w:p w14:paraId="76DA2F34" w14:textId="4CC33628" w:rsidR="00E71664" w:rsidRDefault="00E71664" w:rsidP="00EB0766">
      <w:pPr>
        <w:jc w:val="center"/>
        <w:rPr>
          <w:b/>
          <w:bCs/>
        </w:rPr>
      </w:pPr>
    </w:p>
    <w:p w14:paraId="13C9187E" w14:textId="7580EFD8" w:rsidR="00EB0766" w:rsidRDefault="00EB0766" w:rsidP="00EB0766">
      <w:pPr>
        <w:jc w:val="center"/>
      </w:pPr>
    </w:p>
    <w:p w14:paraId="5179EF9A" w14:textId="77777777" w:rsidR="00E71664" w:rsidRPr="00AB0D0B" w:rsidRDefault="00E71664" w:rsidP="00E71664"/>
    <w:p w14:paraId="23A2478A" w14:textId="77777777" w:rsidR="00350595" w:rsidRDefault="00350595" w:rsidP="00425580"/>
    <w:p w14:paraId="3DF76138" w14:textId="3E6DB310" w:rsidR="00425580" w:rsidRDefault="00425580" w:rsidP="00425580">
      <w:r>
        <w:br w:type="page"/>
      </w:r>
    </w:p>
    <w:p w14:paraId="42D2FAF1" w14:textId="77777777" w:rsidR="00E67808" w:rsidRPr="00AB0D0B" w:rsidRDefault="00E67808" w:rsidP="00924ABF">
      <w:pPr>
        <w:rPr>
          <w:rFonts w:cs="Times New Roman"/>
        </w:rPr>
        <w:sectPr w:rsidR="00E67808" w:rsidRPr="00AB0D0B" w:rsidSect="006A7C0D">
          <w:pgSz w:w="12240" w:h="15840"/>
          <w:pgMar w:top="1440" w:right="1440" w:bottom="1440" w:left="1440" w:header="720" w:footer="720" w:gutter="0"/>
          <w:cols w:space="720"/>
          <w:titlePg/>
          <w:docGrid w:linePitch="360"/>
        </w:sectPr>
      </w:pPr>
    </w:p>
    <w:sdt>
      <w:sdtPr>
        <w:rPr>
          <w:rFonts w:ascii="Times New Roman" w:eastAsiaTheme="minorHAnsi" w:hAnsi="Times New Roman" w:cs="Times New Roman"/>
          <w:caps/>
          <w:sz w:val="24"/>
          <w:szCs w:val="22"/>
        </w:rPr>
        <w:id w:val="-1186437845"/>
        <w:docPartObj>
          <w:docPartGallery w:val="Table of Contents"/>
          <w:docPartUnique/>
        </w:docPartObj>
      </w:sdtPr>
      <w:sdtEndPr>
        <w:rPr>
          <w:rFonts w:ascii="Arial" w:hAnsi="Arial"/>
          <w:b/>
          <w:bCs/>
          <w:caps w:val="0"/>
        </w:rPr>
      </w:sdtEndPr>
      <w:sdtContent>
        <w:p w14:paraId="3991987D" w14:textId="51362101" w:rsidR="00E82C9B" w:rsidRPr="005E73A4" w:rsidRDefault="00E82C9B" w:rsidP="00EE2A54">
          <w:pPr>
            <w:pStyle w:val="TOCHeading"/>
            <w:jc w:val="center"/>
            <w:rPr>
              <w:rFonts w:ascii="Times New Roman" w:hAnsi="Times New Roman" w:cs="Times New Roman"/>
              <w:b/>
            </w:rPr>
          </w:pPr>
          <w:r w:rsidRPr="005E73A4">
            <w:rPr>
              <w:rFonts w:ascii="Times New Roman" w:hAnsi="Times New Roman" w:cs="Times New Roman"/>
              <w:b/>
            </w:rPr>
            <w:t>Table</w:t>
          </w:r>
          <w:r w:rsidR="00F73E6B" w:rsidRPr="005E73A4">
            <w:rPr>
              <w:rFonts w:ascii="Times New Roman" w:hAnsi="Times New Roman" w:cs="Times New Roman"/>
              <w:b/>
            </w:rPr>
            <w:t xml:space="preserve"> </w:t>
          </w:r>
          <w:r w:rsidRPr="005E73A4">
            <w:rPr>
              <w:rFonts w:ascii="Times New Roman" w:hAnsi="Times New Roman" w:cs="Times New Roman"/>
              <w:b/>
            </w:rPr>
            <w:t>of Contents</w:t>
          </w:r>
        </w:p>
        <w:p w14:paraId="0A2D7D17" w14:textId="3DE06F18" w:rsidR="00B80B27" w:rsidRDefault="00E82C9B">
          <w:pPr>
            <w:pStyle w:val="TOC1"/>
            <w:tabs>
              <w:tab w:val="right" w:leader="dot" w:pos="9350"/>
            </w:tabs>
            <w:rPr>
              <w:rFonts w:asciiTheme="minorHAnsi" w:eastAsiaTheme="minorEastAsia" w:hAnsiTheme="minorHAnsi"/>
              <w:noProof/>
              <w:kern w:val="2"/>
              <w:szCs w:val="24"/>
              <w:lang w:val="en-US"/>
              <w14:ligatures w14:val="standardContextual"/>
            </w:rPr>
          </w:pPr>
          <w:r w:rsidRPr="005E73A4">
            <w:rPr>
              <w:rFonts w:cs="Times New Roman"/>
              <w:caps/>
            </w:rPr>
            <w:fldChar w:fldCharType="begin"/>
          </w:r>
          <w:r w:rsidRPr="005E73A4">
            <w:rPr>
              <w:rFonts w:cs="Times New Roman"/>
              <w:caps/>
            </w:rPr>
            <w:instrText xml:space="preserve"> TOC \o "1-3" \h \z \u </w:instrText>
          </w:r>
          <w:r w:rsidRPr="005E73A4">
            <w:rPr>
              <w:rFonts w:cs="Times New Roman"/>
              <w:caps/>
            </w:rPr>
            <w:fldChar w:fldCharType="separate"/>
          </w:r>
          <w:hyperlink w:anchor="_Toc224494887" w:history="1">
            <w:r w:rsidR="00B80B27" w:rsidRPr="00B9259D">
              <w:rPr>
                <w:rStyle w:val="Hyperlink"/>
                <w:rFonts w:cs="Times New Roman"/>
                <w:noProof/>
              </w:rPr>
              <w:t>Introduction</w:t>
            </w:r>
            <w:r w:rsidR="00B80B27">
              <w:rPr>
                <w:noProof/>
                <w:webHidden/>
              </w:rPr>
              <w:tab/>
            </w:r>
            <w:r w:rsidR="00B80B27">
              <w:rPr>
                <w:noProof/>
                <w:webHidden/>
              </w:rPr>
              <w:fldChar w:fldCharType="begin"/>
            </w:r>
            <w:r w:rsidR="00B80B27">
              <w:rPr>
                <w:noProof/>
                <w:webHidden/>
              </w:rPr>
              <w:instrText xml:space="preserve"> PAGEREF _Toc224494887 \h </w:instrText>
            </w:r>
            <w:r w:rsidR="00B80B27">
              <w:rPr>
                <w:noProof/>
                <w:webHidden/>
              </w:rPr>
            </w:r>
            <w:r w:rsidR="00B80B27">
              <w:rPr>
                <w:noProof/>
                <w:webHidden/>
              </w:rPr>
              <w:fldChar w:fldCharType="separate"/>
            </w:r>
            <w:r w:rsidR="00B80B27">
              <w:rPr>
                <w:noProof/>
                <w:webHidden/>
              </w:rPr>
              <w:t>1</w:t>
            </w:r>
            <w:r w:rsidR="00B80B27">
              <w:rPr>
                <w:noProof/>
                <w:webHidden/>
              </w:rPr>
              <w:fldChar w:fldCharType="end"/>
            </w:r>
          </w:hyperlink>
        </w:p>
        <w:p w14:paraId="0E2484F2" w14:textId="421DC8C7"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888" w:history="1">
            <w:r w:rsidR="00B80B27" w:rsidRPr="00B9259D">
              <w:rPr>
                <w:rStyle w:val="Hyperlink"/>
                <w:noProof/>
              </w:rPr>
              <w:t>Task 1: Financial Health of Volkswagen</w:t>
            </w:r>
            <w:r w:rsidR="00B80B27">
              <w:rPr>
                <w:noProof/>
                <w:webHidden/>
              </w:rPr>
              <w:tab/>
            </w:r>
            <w:r w:rsidR="00B80B27">
              <w:rPr>
                <w:noProof/>
                <w:webHidden/>
              </w:rPr>
              <w:fldChar w:fldCharType="begin"/>
            </w:r>
            <w:r w:rsidR="00B80B27">
              <w:rPr>
                <w:noProof/>
                <w:webHidden/>
              </w:rPr>
              <w:instrText xml:space="preserve"> PAGEREF _Toc224494888 \h </w:instrText>
            </w:r>
            <w:r w:rsidR="00B80B27">
              <w:rPr>
                <w:noProof/>
                <w:webHidden/>
              </w:rPr>
            </w:r>
            <w:r w:rsidR="00B80B27">
              <w:rPr>
                <w:noProof/>
                <w:webHidden/>
              </w:rPr>
              <w:fldChar w:fldCharType="separate"/>
            </w:r>
            <w:r w:rsidR="00B80B27">
              <w:rPr>
                <w:noProof/>
                <w:webHidden/>
              </w:rPr>
              <w:t>2</w:t>
            </w:r>
            <w:r w:rsidR="00B80B27">
              <w:rPr>
                <w:noProof/>
                <w:webHidden/>
              </w:rPr>
              <w:fldChar w:fldCharType="end"/>
            </w:r>
          </w:hyperlink>
        </w:p>
        <w:p w14:paraId="2A0CE420" w14:textId="7A44BC89"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89" w:history="1">
            <w:r w:rsidR="00B80B27" w:rsidRPr="00B9259D">
              <w:rPr>
                <w:rStyle w:val="Hyperlink"/>
                <w:noProof/>
              </w:rPr>
              <w:t>Analysis of Profitability Ratios</w:t>
            </w:r>
            <w:r w:rsidR="00B80B27">
              <w:rPr>
                <w:noProof/>
                <w:webHidden/>
              </w:rPr>
              <w:tab/>
            </w:r>
            <w:r w:rsidR="00B80B27">
              <w:rPr>
                <w:noProof/>
                <w:webHidden/>
              </w:rPr>
              <w:fldChar w:fldCharType="begin"/>
            </w:r>
            <w:r w:rsidR="00B80B27">
              <w:rPr>
                <w:noProof/>
                <w:webHidden/>
              </w:rPr>
              <w:instrText xml:space="preserve"> PAGEREF _Toc224494889 \h </w:instrText>
            </w:r>
            <w:r w:rsidR="00B80B27">
              <w:rPr>
                <w:noProof/>
                <w:webHidden/>
              </w:rPr>
            </w:r>
            <w:r w:rsidR="00B80B27">
              <w:rPr>
                <w:noProof/>
                <w:webHidden/>
              </w:rPr>
              <w:fldChar w:fldCharType="separate"/>
            </w:r>
            <w:r w:rsidR="00B80B27">
              <w:rPr>
                <w:noProof/>
                <w:webHidden/>
              </w:rPr>
              <w:t>2</w:t>
            </w:r>
            <w:r w:rsidR="00B80B27">
              <w:rPr>
                <w:noProof/>
                <w:webHidden/>
              </w:rPr>
              <w:fldChar w:fldCharType="end"/>
            </w:r>
          </w:hyperlink>
        </w:p>
        <w:p w14:paraId="4B98598B" w14:textId="7B741FEF"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0" w:history="1">
            <w:r w:rsidR="00B80B27" w:rsidRPr="00B9259D">
              <w:rPr>
                <w:rStyle w:val="Hyperlink"/>
                <w:noProof/>
              </w:rPr>
              <w:t>Analysis of Liquidity Ratios</w:t>
            </w:r>
            <w:r w:rsidR="00B80B27">
              <w:rPr>
                <w:noProof/>
                <w:webHidden/>
              </w:rPr>
              <w:tab/>
            </w:r>
            <w:r w:rsidR="00B80B27">
              <w:rPr>
                <w:noProof/>
                <w:webHidden/>
              </w:rPr>
              <w:fldChar w:fldCharType="begin"/>
            </w:r>
            <w:r w:rsidR="00B80B27">
              <w:rPr>
                <w:noProof/>
                <w:webHidden/>
              </w:rPr>
              <w:instrText xml:space="preserve"> PAGEREF _Toc224494890 \h </w:instrText>
            </w:r>
            <w:r w:rsidR="00B80B27">
              <w:rPr>
                <w:noProof/>
                <w:webHidden/>
              </w:rPr>
            </w:r>
            <w:r w:rsidR="00B80B27">
              <w:rPr>
                <w:noProof/>
                <w:webHidden/>
              </w:rPr>
              <w:fldChar w:fldCharType="separate"/>
            </w:r>
            <w:r w:rsidR="00B80B27">
              <w:rPr>
                <w:noProof/>
                <w:webHidden/>
              </w:rPr>
              <w:t>2</w:t>
            </w:r>
            <w:r w:rsidR="00B80B27">
              <w:rPr>
                <w:noProof/>
                <w:webHidden/>
              </w:rPr>
              <w:fldChar w:fldCharType="end"/>
            </w:r>
          </w:hyperlink>
        </w:p>
        <w:p w14:paraId="2EB012FF" w14:textId="16827670"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1" w:history="1">
            <w:r w:rsidR="00B80B27" w:rsidRPr="00B9259D">
              <w:rPr>
                <w:rStyle w:val="Hyperlink"/>
                <w:noProof/>
              </w:rPr>
              <w:t>Analysis of Efficiency Ratios</w:t>
            </w:r>
            <w:r w:rsidR="00B80B27">
              <w:rPr>
                <w:noProof/>
                <w:webHidden/>
              </w:rPr>
              <w:tab/>
            </w:r>
            <w:r w:rsidR="00B80B27">
              <w:rPr>
                <w:noProof/>
                <w:webHidden/>
              </w:rPr>
              <w:fldChar w:fldCharType="begin"/>
            </w:r>
            <w:r w:rsidR="00B80B27">
              <w:rPr>
                <w:noProof/>
                <w:webHidden/>
              </w:rPr>
              <w:instrText xml:space="preserve"> PAGEREF _Toc224494891 \h </w:instrText>
            </w:r>
            <w:r w:rsidR="00B80B27">
              <w:rPr>
                <w:noProof/>
                <w:webHidden/>
              </w:rPr>
            </w:r>
            <w:r w:rsidR="00B80B27">
              <w:rPr>
                <w:noProof/>
                <w:webHidden/>
              </w:rPr>
              <w:fldChar w:fldCharType="separate"/>
            </w:r>
            <w:r w:rsidR="00B80B27">
              <w:rPr>
                <w:noProof/>
                <w:webHidden/>
              </w:rPr>
              <w:t>3</w:t>
            </w:r>
            <w:r w:rsidR="00B80B27">
              <w:rPr>
                <w:noProof/>
                <w:webHidden/>
              </w:rPr>
              <w:fldChar w:fldCharType="end"/>
            </w:r>
          </w:hyperlink>
        </w:p>
        <w:p w14:paraId="33D590E3" w14:textId="6AAD6EC2"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2" w:history="1">
            <w:r w:rsidR="00B80B27" w:rsidRPr="00B9259D">
              <w:rPr>
                <w:rStyle w:val="Hyperlink"/>
                <w:noProof/>
              </w:rPr>
              <w:t>Analysis of Gearing Ratios</w:t>
            </w:r>
            <w:r w:rsidR="00B80B27">
              <w:rPr>
                <w:noProof/>
                <w:webHidden/>
              </w:rPr>
              <w:tab/>
            </w:r>
            <w:r w:rsidR="00B80B27">
              <w:rPr>
                <w:noProof/>
                <w:webHidden/>
              </w:rPr>
              <w:fldChar w:fldCharType="begin"/>
            </w:r>
            <w:r w:rsidR="00B80B27">
              <w:rPr>
                <w:noProof/>
                <w:webHidden/>
              </w:rPr>
              <w:instrText xml:space="preserve"> PAGEREF _Toc224494892 \h </w:instrText>
            </w:r>
            <w:r w:rsidR="00B80B27">
              <w:rPr>
                <w:noProof/>
                <w:webHidden/>
              </w:rPr>
            </w:r>
            <w:r w:rsidR="00B80B27">
              <w:rPr>
                <w:noProof/>
                <w:webHidden/>
              </w:rPr>
              <w:fldChar w:fldCharType="separate"/>
            </w:r>
            <w:r w:rsidR="00B80B27">
              <w:rPr>
                <w:noProof/>
                <w:webHidden/>
              </w:rPr>
              <w:t>4</w:t>
            </w:r>
            <w:r w:rsidR="00B80B27">
              <w:rPr>
                <w:noProof/>
                <w:webHidden/>
              </w:rPr>
              <w:fldChar w:fldCharType="end"/>
            </w:r>
          </w:hyperlink>
        </w:p>
        <w:p w14:paraId="23241C8C" w14:textId="352056FA"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3" w:history="1">
            <w:r w:rsidR="00B80B27" w:rsidRPr="00B9259D">
              <w:rPr>
                <w:rStyle w:val="Hyperlink"/>
                <w:noProof/>
              </w:rPr>
              <w:t>Analysis of Investment Ratios</w:t>
            </w:r>
            <w:r w:rsidR="00B80B27">
              <w:rPr>
                <w:noProof/>
                <w:webHidden/>
              </w:rPr>
              <w:tab/>
            </w:r>
            <w:r w:rsidR="00B80B27">
              <w:rPr>
                <w:noProof/>
                <w:webHidden/>
              </w:rPr>
              <w:fldChar w:fldCharType="begin"/>
            </w:r>
            <w:r w:rsidR="00B80B27">
              <w:rPr>
                <w:noProof/>
                <w:webHidden/>
              </w:rPr>
              <w:instrText xml:space="preserve"> PAGEREF _Toc224494893 \h </w:instrText>
            </w:r>
            <w:r w:rsidR="00B80B27">
              <w:rPr>
                <w:noProof/>
                <w:webHidden/>
              </w:rPr>
            </w:r>
            <w:r w:rsidR="00B80B27">
              <w:rPr>
                <w:noProof/>
                <w:webHidden/>
              </w:rPr>
              <w:fldChar w:fldCharType="separate"/>
            </w:r>
            <w:r w:rsidR="00B80B27">
              <w:rPr>
                <w:noProof/>
                <w:webHidden/>
              </w:rPr>
              <w:t>4</w:t>
            </w:r>
            <w:r w:rsidR="00B80B27">
              <w:rPr>
                <w:noProof/>
                <w:webHidden/>
              </w:rPr>
              <w:fldChar w:fldCharType="end"/>
            </w:r>
          </w:hyperlink>
        </w:p>
        <w:p w14:paraId="3B67F6A9" w14:textId="44CAC8F0"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4" w:history="1">
            <w:r w:rsidR="00B80B27" w:rsidRPr="00B9259D">
              <w:rPr>
                <w:rStyle w:val="Hyperlink"/>
                <w:noProof/>
              </w:rPr>
              <w:t>Analysis of Cash Flow Ratios</w:t>
            </w:r>
            <w:r w:rsidR="00B80B27">
              <w:rPr>
                <w:noProof/>
                <w:webHidden/>
              </w:rPr>
              <w:tab/>
            </w:r>
            <w:r w:rsidR="00B80B27">
              <w:rPr>
                <w:noProof/>
                <w:webHidden/>
              </w:rPr>
              <w:fldChar w:fldCharType="begin"/>
            </w:r>
            <w:r w:rsidR="00B80B27">
              <w:rPr>
                <w:noProof/>
                <w:webHidden/>
              </w:rPr>
              <w:instrText xml:space="preserve"> PAGEREF _Toc224494894 \h </w:instrText>
            </w:r>
            <w:r w:rsidR="00B80B27">
              <w:rPr>
                <w:noProof/>
                <w:webHidden/>
              </w:rPr>
            </w:r>
            <w:r w:rsidR="00B80B27">
              <w:rPr>
                <w:noProof/>
                <w:webHidden/>
              </w:rPr>
              <w:fldChar w:fldCharType="separate"/>
            </w:r>
            <w:r w:rsidR="00B80B27">
              <w:rPr>
                <w:noProof/>
                <w:webHidden/>
              </w:rPr>
              <w:t>5</w:t>
            </w:r>
            <w:r w:rsidR="00B80B27">
              <w:rPr>
                <w:noProof/>
                <w:webHidden/>
              </w:rPr>
              <w:fldChar w:fldCharType="end"/>
            </w:r>
          </w:hyperlink>
        </w:p>
        <w:p w14:paraId="1E6E7608" w14:textId="0E18AF35"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895" w:history="1">
            <w:r w:rsidR="00B80B27" w:rsidRPr="00B9259D">
              <w:rPr>
                <w:rStyle w:val="Hyperlink"/>
                <w:noProof/>
              </w:rPr>
              <w:t>Task 2: Analysis of Working Capital Management of Volkswagen</w:t>
            </w:r>
            <w:r w:rsidR="00B80B27">
              <w:rPr>
                <w:noProof/>
                <w:webHidden/>
              </w:rPr>
              <w:tab/>
            </w:r>
            <w:r w:rsidR="00B80B27">
              <w:rPr>
                <w:noProof/>
                <w:webHidden/>
              </w:rPr>
              <w:fldChar w:fldCharType="begin"/>
            </w:r>
            <w:r w:rsidR="00B80B27">
              <w:rPr>
                <w:noProof/>
                <w:webHidden/>
              </w:rPr>
              <w:instrText xml:space="preserve"> PAGEREF _Toc224494895 \h </w:instrText>
            </w:r>
            <w:r w:rsidR="00B80B27">
              <w:rPr>
                <w:noProof/>
                <w:webHidden/>
              </w:rPr>
            </w:r>
            <w:r w:rsidR="00B80B27">
              <w:rPr>
                <w:noProof/>
                <w:webHidden/>
              </w:rPr>
              <w:fldChar w:fldCharType="separate"/>
            </w:r>
            <w:r w:rsidR="00B80B27">
              <w:rPr>
                <w:noProof/>
                <w:webHidden/>
              </w:rPr>
              <w:t>7</w:t>
            </w:r>
            <w:r w:rsidR="00B80B27">
              <w:rPr>
                <w:noProof/>
                <w:webHidden/>
              </w:rPr>
              <w:fldChar w:fldCharType="end"/>
            </w:r>
          </w:hyperlink>
        </w:p>
        <w:p w14:paraId="0EB2D312" w14:textId="05D52CCD"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6" w:history="1">
            <w:r w:rsidR="00B80B27" w:rsidRPr="00B9259D">
              <w:rPr>
                <w:rStyle w:val="Hyperlink"/>
                <w:noProof/>
              </w:rPr>
              <w:t>Cash Operating Cycle Assessment</w:t>
            </w:r>
            <w:r w:rsidR="00B80B27">
              <w:rPr>
                <w:noProof/>
                <w:webHidden/>
              </w:rPr>
              <w:tab/>
            </w:r>
            <w:r w:rsidR="00B80B27">
              <w:rPr>
                <w:noProof/>
                <w:webHidden/>
              </w:rPr>
              <w:fldChar w:fldCharType="begin"/>
            </w:r>
            <w:r w:rsidR="00B80B27">
              <w:rPr>
                <w:noProof/>
                <w:webHidden/>
              </w:rPr>
              <w:instrText xml:space="preserve"> PAGEREF _Toc224494896 \h </w:instrText>
            </w:r>
            <w:r w:rsidR="00B80B27">
              <w:rPr>
                <w:noProof/>
                <w:webHidden/>
              </w:rPr>
            </w:r>
            <w:r w:rsidR="00B80B27">
              <w:rPr>
                <w:noProof/>
                <w:webHidden/>
              </w:rPr>
              <w:fldChar w:fldCharType="separate"/>
            </w:r>
            <w:r w:rsidR="00B80B27">
              <w:rPr>
                <w:noProof/>
                <w:webHidden/>
              </w:rPr>
              <w:t>7</w:t>
            </w:r>
            <w:r w:rsidR="00B80B27">
              <w:rPr>
                <w:noProof/>
                <w:webHidden/>
              </w:rPr>
              <w:fldChar w:fldCharType="end"/>
            </w:r>
          </w:hyperlink>
        </w:p>
        <w:p w14:paraId="7D581BEC" w14:textId="4347B816"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7" w:history="1">
            <w:r w:rsidR="00B80B27" w:rsidRPr="00B9259D">
              <w:rPr>
                <w:rStyle w:val="Hyperlink"/>
                <w:noProof/>
              </w:rPr>
              <w:t>Recommendations for Liquidity Improvement</w:t>
            </w:r>
            <w:r w:rsidR="00B80B27">
              <w:rPr>
                <w:noProof/>
                <w:webHidden/>
              </w:rPr>
              <w:tab/>
            </w:r>
            <w:r w:rsidR="00B80B27">
              <w:rPr>
                <w:noProof/>
                <w:webHidden/>
              </w:rPr>
              <w:fldChar w:fldCharType="begin"/>
            </w:r>
            <w:r w:rsidR="00B80B27">
              <w:rPr>
                <w:noProof/>
                <w:webHidden/>
              </w:rPr>
              <w:instrText xml:space="preserve"> PAGEREF _Toc224494897 \h </w:instrText>
            </w:r>
            <w:r w:rsidR="00B80B27">
              <w:rPr>
                <w:noProof/>
                <w:webHidden/>
              </w:rPr>
            </w:r>
            <w:r w:rsidR="00B80B27">
              <w:rPr>
                <w:noProof/>
                <w:webHidden/>
              </w:rPr>
              <w:fldChar w:fldCharType="separate"/>
            </w:r>
            <w:r w:rsidR="00B80B27">
              <w:rPr>
                <w:noProof/>
                <w:webHidden/>
              </w:rPr>
              <w:t>8</w:t>
            </w:r>
            <w:r w:rsidR="00B80B27">
              <w:rPr>
                <w:noProof/>
                <w:webHidden/>
              </w:rPr>
              <w:fldChar w:fldCharType="end"/>
            </w:r>
          </w:hyperlink>
        </w:p>
        <w:p w14:paraId="38342A64" w14:textId="54CE852C"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898" w:history="1">
            <w:r w:rsidR="00B80B27" w:rsidRPr="00B9259D">
              <w:rPr>
                <w:rStyle w:val="Hyperlink"/>
                <w:noProof/>
              </w:rPr>
              <w:t>Comparison of Short-Term vs Long-Term Financing Options</w:t>
            </w:r>
            <w:r w:rsidR="00B80B27">
              <w:rPr>
                <w:noProof/>
                <w:webHidden/>
              </w:rPr>
              <w:tab/>
            </w:r>
            <w:r w:rsidR="00B80B27">
              <w:rPr>
                <w:noProof/>
                <w:webHidden/>
              </w:rPr>
              <w:fldChar w:fldCharType="begin"/>
            </w:r>
            <w:r w:rsidR="00B80B27">
              <w:rPr>
                <w:noProof/>
                <w:webHidden/>
              </w:rPr>
              <w:instrText xml:space="preserve"> PAGEREF _Toc224494898 \h </w:instrText>
            </w:r>
            <w:r w:rsidR="00B80B27">
              <w:rPr>
                <w:noProof/>
                <w:webHidden/>
              </w:rPr>
            </w:r>
            <w:r w:rsidR="00B80B27">
              <w:rPr>
                <w:noProof/>
                <w:webHidden/>
              </w:rPr>
              <w:fldChar w:fldCharType="separate"/>
            </w:r>
            <w:r w:rsidR="00B80B27">
              <w:rPr>
                <w:noProof/>
                <w:webHidden/>
              </w:rPr>
              <w:t>8</w:t>
            </w:r>
            <w:r w:rsidR="00B80B27">
              <w:rPr>
                <w:noProof/>
                <w:webHidden/>
              </w:rPr>
              <w:fldChar w:fldCharType="end"/>
            </w:r>
          </w:hyperlink>
        </w:p>
        <w:p w14:paraId="444B0955" w14:textId="172F0DD2"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899" w:history="1">
            <w:r w:rsidR="00B80B27" w:rsidRPr="00B9259D">
              <w:rPr>
                <w:rStyle w:val="Hyperlink"/>
                <w:noProof/>
              </w:rPr>
              <w:t>Task 3: Financial Restructuring Options for Volkswagen</w:t>
            </w:r>
            <w:r w:rsidR="00B80B27">
              <w:rPr>
                <w:noProof/>
                <w:webHidden/>
              </w:rPr>
              <w:tab/>
            </w:r>
            <w:r w:rsidR="00B80B27">
              <w:rPr>
                <w:noProof/>
                <w:webHidden/>
              </w:rPr>
              <w:fldChar w:fldCharType="begin"/>
            </w:r>
            <w:r w:rsidR="00B80B27">
              <w:rPr>
                <w:noProof/>
                <w:webHidden/>
              </w:rPr>
              <w:instrText xml:space="preserve"> PAGEREF _Toc224494899 \h </w:instrText>
            </w:r>
            <w:r w:rsidR="00B80B27">
              <w:rPr>
                <w:noProof/>
                <w:webHidden/>
              </w:rPr>
            </w:r>
            <w:r w:rsidR="00B80B27">
              <w:rPr>
                <w:noProof/>
                <w:webHidden/>
              </w:rPr>
              <w:fldChar w:fldCharType="separate"/>
            </w:r>
            <w:r w:rsidR="00B80B27">
              <w:rPr>
                <w:noProof/>
                <w:webHidden/>
              </w:rPr>
              <w:t>10</w:t>
            </w:r>
            <w:r w:rsidR="00B80B27">
              <w:rPr>
                <w:noProof/>
                <w:webHidden/>
              </w:rPr>
              <w:fldChar w:fldCharType="end"/>
            </w:r>
          </w:hyperlink>
        </w:p>
        <w:p w14:paraId="0DB1D4E7" w14:textId="3246FD0C"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0" w:history="1">
            <w:r w:rsidR="00B80B27" w:rsidRPr="00B9259D">
              <w:rPr>
                <w:rStyle w:val="Hyperlink"/>
                <w:noProof/>
              </w:rPr>
              <w:t>Divestiture</w:t>
            </w:r>
            <w:r w:rsidR="00B80B27">
              <w:rPr>
                <w:noProof/>
                <w:webHidden/>
              </w:rPr>
              <w:tab/>
            </w:r>
            <w:r w:rsidR="00B80B27">
              <w:rPr>
                <w:noProof/>
                <w:webHidden/>
              </w:rPr>
              <w:fldChar w:fldCharType="begin"/>
            </w:r>
            <w:r w:rsidR="00B80B27">
              <w:rPr>
                <w:noProof/>
                <w:webHidden/>
              </w:rPr>
              <w:instrText xml:space="preserve"> PAGEREF _Toc224494900 \h </w:instrText>
            </w:r>
            <w:r w:rsidR="00B80B27">
              <w:rPr>
                <w:noProof/>
                <w:webHidden/>
              </w:rPr>
            </w:r>
            <w:r w:rsidR="00B80B27">
              <w:rPr>
                <w:noProof/>
                <w:webHidden/>
              </w:rPr>
              <w:fldChar w:fldCharType="separate"/>
            </w:r>
            <w:r w:rsidR="00B80B27">
              <w:rPr>
                <w:noProof/>
                <w:webHidden/>
              </w:rPr>
              <w:t>10</w:t>
            </w:r>
            <w:r w:rsidR="00B80B27">
              <w:rPr>
                <w:noProof/>
                <w:webHidden/>
              </w:rPr>
              <w:fldChar w:fldCharType="end"/>
            </w:r>
          </w:hyperlink>
        </w:p>
        <w:p w14:paraId="7A415F48" w14:textId="60A919AF"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1" w:history="1">
            <w:r w:rsidR="00B80B27" w:rsidRPr="00B9259D">
              <w:rPr>
                <w:rStyle w:val="Hyperlink"/>
                <w:noProof/>
              </w:rPr>
              <w:t>Merger or Acquisition</w:t>
            </w:r>
            <w:r w:rsidR="00B80B27">
              <w:rPr>
                <w:noProof/>
                <w:webHidden/>
              </w:rPr>
              <w:tab/>
            </w:r>
            <w:r w:rsidR="00B80B27">
              <w:rPr>
                <w:noProof/>
                <w:webHidden/>
              </w:rPr>
              <w:fldChar w:fldCharType="begin"/>
            </w:r>
            <w:r w:rsidR="00B80B27">
              <w:rPr>
                <w:noProof/>
                <w:webHidden/>
              </w:rPr>
              <w:instrText xml:space="preserve"> PAGEREF _Toc224494901 \h </w:instrText>
            </w:r>
            <w:r w:rsidR="00B80B27">
              <w:rPr>
                <w:noProof/>
                <w:webHidden/>
              </w:rPr>
            </w:r>
            <w:r w:rsidR="00B80B27">
              <w:rPr>
                <w:noProof/>
                <w:webHidden/>
              </w:rPr>
              <w:fldChar w:fldCharType="separate"/>
            </w:r>
            <w:r w:rsidR="00B80B27">
              <w:rPr>
                <w:noProof/>
                <w:webHidden/>
              </w:rPr>
              <w:t>11</w:t>
            </w:r>
            <w:r w:rsidR="00B80B27">
              <w:rPr>
                <w:noProof/>
                <w:webHidden/>
              </w:rPr>
              <w:fldChar w:fldCharType="end"/>
            </w:r>
          </w:hyperlink>
        </w:p>
        <w:p w14:paraId="38F1444B" w14:textId="2E1ADEF9"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2" w:history="1">
            <w:r w:rsidR="00B80B27" w:rsidRPr="00B9259D">
              <w:rPr>
                <w:rStyle w:val="Hyperlink"/>
                <w:noProof/>
              </w:rPr>
              <w:t>Equity Injection</w:t>
            </w:r>
            <w:r w:rsidR="00B80B27">
              <w:rPr>
                <w:noProof/>
                <w:webHidden/>
              </w:rPr>
              <w:tab/>
            </w:r>
            <w:r w:rsidR="00B80B27">
              <w:rPr>
                <w:noProof/>
                <w:webHidden/>
              </w:rPr>
              <w:fldChar w:fldCharType="begin"/>
            </w:r>
            <w:r w:rsidR="00B80B27">
              <w:rPr>
                <w:noProof/>
                <w:webHidden/>
              </w:rPr>
              <w:instrText xml:space="preserve"> PAGEREF _Toc224494902 \h </w:instrText>
            </w:r>
            <w:r w:rsidR="00B80B27">
              <w:rPr>
                <w:noProof/>
                <w:webHidden/>
              </w:rPr>
            </w:r>
            <w:r w:rsidR="00B80B27">
              <w:rPr>
                <w:noProof/>
                <w:webHidden/>
              </w:rPr>
              <w:fldChar w:fldCharType="separate"/>
            </w:r>
            <w:r w:rsidR="00B80B27">
              <w:rPr>
                <w:noProof/>
                <w:webHidden/>
              </w:rPr>
              <w:t>12</w:t>
            </w:r>
            <w:r w:rsidR="00B80B27">
              <w:rPr>
                <w:noProof/>
                <w:webHidden/>
              </w:rPr>
              <w:fldChar w:fldCharType="end"/>
            </w:r>
          </w:hyperlink>
        </w:p>
        <w:p w14:paraId="1AD5C3E5" w14:textId="51B367CA"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3" w:history="1">
            <w:r w:rsidR="00B80B27" w:rsidRPr="00B9259D">
              <w:rPr>
                <w:rStyle w:val="Hyperlink"/>
                <w:noProof/>
              </w:rPr>
              <w:t>Evaluation of Strategic Restructuring Options</w:t>
            </w:r>
            <w:r w:rsidR="00B80B27">
              <w:rPr>
                <w:noProof/>
                <w:webHidden/>
              </w:rPr>
              <w:tab/>
            </w:r>
            <w:r w:rsidR="00B80B27">
              <w:rPr>
                <w:noProof/>
                <w:webHidden/>
              </w:rPr>
              <w:fldChar w:fldCharType="begin"/>
            </w:r>
            <w:r w:rsidR="00B80B27">
              <w:rPr>
                <w:noProof/>
                <w:webHidden/>
              </w:rPr>
              <w:instrText xml:space="preserve"> PAGEREF _Toc224494903 \h </w:instrText>
            </w:r>
            <w:r w:rsidR="00B80B27">
              <w:rPr>
                <w:noProof/>
                <w:webHidden/>
              </w:rPr>
            </w:r>
            <w:r w:rsidR="00B80B27">
              <w:rPr>
                <w:noProof/>
                <w:webHidden/>
              </w:rPr>
              <w:fldChar w:fldCharType="separate"/>
            </w:r>
            <w:r w:rsidR="00B80B27">
              <w:rPr>
                <w:noProof/>
                <w:webHidden/>
              </w:rPr>
              <w:t>13</w:t>
            </w:r>
            <w:r w:rsidR="00B80B27">
              <w:rPr>
                <w:noProof/>
                <w:webHidden/>
              </w:rPr>
              <w:fldChar w:fldCharType="end"/>
            </w:r>
          </w:hyperlink>
        </w:p>
        <w:p w14:paraId="15C8E915" w14:textId="52369BD4"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904" w:history="1">
            <w:r w:rsidR="00B80B27" w:rsidRPr="00B9259D">
              <w:rPr>
                <w:rStyle w:val="Hyperlink"/>
                <w:noProof/>
              </w:rPr>
              <w:t>Task 4: Capital Budgeting</w:t>
            </w:r>
            <w:r w:rsidR="00B80B27">
              <w:rPr>
                <w:noProof/>
                <w:webHidden/>
              </w:rPr>
              <w:tab/>
            </w:r>
            <w:r w:rsidR="00B80B27">
              <w:rPr>
                <w:noProof/>
                <w:webHidden/>
              </w:rPr>
              <w:fldChar w:fldCharType="begin"/>
            </w:r>
            <w:r w:rsidR="00B80B27">
              <w:rPr>
                <w:noProof/>
                <w:webHidden/>
              </w:rPr>
              <w:instrText xml:space="preserve"> PAGEREF _Toc224494904 \h </w:instrText>
            </w:r>
            <w:r w:rsidR="00B80B27">
              <w:rPr>
                <w:noProof/>
                <w:webHidden/>
              </w:rPr>
            </w:r>
            <w:r w:rsidR="00B80B27">
              <w:rPr>
                <w:noProof/>
                <w:webHidden/>
              </w:rPr>
              <w:fldChar w:fldCharType="separate"/>
            </w:r>
            <w:r w:rsidR="00B80B27">
              <w:rPr>
                <w:noProof/>
                <w:webHidden/>
              </w:rPr>
              <w:t>14</w:t>
            </w:r>
            <w:r w:rsidR="00B80B27">
              <w:rPr>
                <w:noProof/>
                <w:webHidden/>
              </w:rPr>
              <w:fldChar w:fldCharType="end"/>
            </w:r>
          </w:hyperlink>
        </w:p>
        <w:p w14:paraId="57A289A4" w14:textId="05C3E7CF"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5" w:history="1">
            <w:r w:rsidR="00B80B27" w:rsidRPr="00B9259D">
              <w:rPr>
                <w:rStyle w:val="Hyperlink"/>
                <w:noProof/>
              </w:rPr>
              <w:t>Investment Appraisal</w:t>
            </w:r>
            <w:r w:rsidR="00B80B27">
              <w:rPr>
                <w:noProof/>
                <w:webHidden/>
              </w:rPr>
              <w:tab/>
            </w:r>
            <w:r w:rsidR="00B80B27">
              <w:rPr>
                <w:noProof/>
                <w:webHidden/>
              </w:rPr>
              <w:fldChar w:fldCharType="begin"/>
            </w:r>
            <w:r w:rsidR="00B80B27">
              <w:rPr>
                <w:noProof/>
                <w:webHidden/>
              </w:rPr>
              <w:instrText xml:space="preserve"> PAGEREF _Toc224494905 \h </w:instrText>
            </w:r>
            <w:r w:rsidR="00B80B27">
              <w:rPr>
                <w:noProof/>
                <w:webHidden/>
              </w:rPr>
            </w:r>
            <w:r w:rsidR="00B80B27">
              <w:rPr>
                <w:noProof/>
                <w:webHidden/>
              </w:rPr>
              <w:fldChar w:fldCharType="separate"/>
            </w:r>
            <w:r w:rsidR="00B80B27">
              <w:rPr>
                <w:noProof/>
                <w:webHidden/>
              </w:rPr>
              <w:t>14</w:t>
            </w:r>
            <w:r w:rsidR="00B80B27">
              <w:rPr>
                <w:noProof/>
                <w:webHidden/>
              </w:rPr>
              <w:fldChar w:fldCharType="end"/>
            </w:r>
          </w:hyperlink>
        </w:p>
        <w:p w14:paraId="11874F91" w14:textId="3315EA7F"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6" w:history="1">
            <w:r w:rsidR="00B80B27" w:rsidRPr="00B9259D">
              <w:rPr>
                <w:rStyle w:val="Hyperlink"/>
                <w:noProof/>
              </w:rPr>
              <w:t>Non-financial Factors</w:t>
            </w:r>
            <w:r w:rsidR="00B80B27">
              <w:rPr>
                <w:noProof/>
                <w:webHidden/>
              </w:rPr>
              <w:tab/>
            </w:r>
            <w:r w:rsidR="00B80B27">
              <w:rPr>
                <w:noProof/>
                <w:webHidden/>
              </w:rPr>
              <w:fldChar w:fldCharType="begin"/>
            </w:r>
            <w:r w:rsidR="00B80B27">
              <w:rPr>
                <w:noProof/>
                <w:webHidden/>
              </w:rPr>
              <w:instrText xml:space="preserve"> PAGEREF _Toc224494906 \h </w:instrText>
            </w:r>
            <w:r w:rsidR="00B80B27">
              <w:rPr>
                <w:noProof/>
                <w:webHidden/>
              </w:rPr>
            </w:r>
            <w:r w:rsidR="00B80B27">
              <w:rPr>
                <w:noProof/>
                <w:webHidden/>
              </w:rPr>
              <w:fldChar w:fldCharType="separate"/>
            </w:r>
            <w:r w:rsidR="00B80B27">
              <w:rPr>
                <w:noProof/>
                <w:webHidden/>
              </w:rPr>
              <w:t>16</w:t>
            </w:r>
            <w:r w:rsidR="00B80B27">
              <w:rPr>
                <w:noProof/>
                <w:webHidden/>
              </w:rPr>
              <w:fldChar w:fldCharType="end"/>
            </w:r>
          </w:hyperlink>
        </w:p>
        <w:p w14:paraId="0F04323D" w14:textId="218F3A40"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07" w:history="1">
            <w:r w:rsidR="00B80B27" w:rsidRPr="00B9259D">
              <w:rPr>
                <w:rStyle w:val="Hyperlink"/>
                <w:noProof/>
              </w:rPr>
              <w:t>Capital Rationing</w:t>
            </w:r>
            <w:r w:rsidR="00B80B27">
              <w:rPr>
                <w:noProof/>
                <w:webHidden/>
              </w:rPr>
              <w:tab/>
            </w:r>
            <w:r w:rsidR="00B80B27">
              <w:rPr>
                <w:noProof/>
                <w:webHidden/>
              </w:rPr>
              <w:fldChar w:fldCharType="begin"/>
            </w:r>
            <w:r w:rsidR="00B80B27">
              <w:rPr>
                <w:noProof/>
                <w:webHidden/>
              </w:rPr>
              <w:instrText xml:space="preserve"> PAGEREF _Toc224494907 \h </w:instrText>
            </w:r>
            <w:r w:rsidR="00B80B27">
              <w:rPr>
                <w:noProof/>
                <w:webHidden/>
              </w:rPr>
            </w:r>
            <w:r w:rsidR="00B80B27">
              <w:rPr>
                <w:noProof/>
                <w:webHidden/>
              </w:rPr>
              <w:fldChar w:fldCharType="separate"/>
            </w:r>
            <w:r w:rsidR="00B80B27">
              <w:rPr>
                <w:noProof/>
                <w:webHidden/>
              </w:rPr>
              <w:t>16</w:t>
            </w:r>
            <w:r w:rsidR="00B80B27">
              <w:rPr>
                <w:noProof/>
                <w:webHidden/>
              </w:rPr>
              <w:fldChar w:fldCharType="end"/>
            </w:r>
          </w:hyperlink>
        </w:p>
        <w:p w14:paraId="2F08095B" w14:textId="2B3AD33A"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908" w:history="1">
            <w:r w:rsidR="00B80B27" w:rsidRPr="00B9259D">
              <w:rPr>
                <w:rStyle w:val="Hyperlink"/>
                <w:noProof/>
              </w:rPr>
              <w:t>Conclusion</w:t>
            </w:r>
            <w:r w:rsidR="00B80B27">
              <w:rPr>
                <w:noProof/>
                <w:webHidden/>
              </w:rPr>
              <w:tab/>
            </w:r>
            <w:r w:rsidR="00B80B27">
              <w:rPr>
                <w:noProof/>
                <w:webHidden/>
              </w:rPr>
              <w:fldChar w:fldCharType="begin"/>
            </w:r>
            <w:r w:rsidR="00B80B27">
              <w:rPr>
                <w:noProof/>
                <w:webHidden/>
              </w:rPr>
              <w:instrText xml:space="preserve"> PAGEREF _Toc224494908 \h </w:instrText>
            </w:r>
            <w:r w:rsidR="00B80B27">
              <w:rPr>
                <w:noProof/>
                <w:webHidden/>
              </w:rPr>
            </w:r>
            <w:r w:rsidR="00B80B27">
              <w:rPr>
                <w:noProof/>
                <w:webHidden/>
              </w:rPr>
              <w:fldChar w:fldCharType="separate"/>
            </w:r>
            <w:r w:rsidR="00B80B27">
              <w:rPr>
                <w:noProof/>
                <w:webHidden/>
              </w:rPr>
              <w:t>18</w:t>
            </w:r>
            <w:r w:rsidR="00B80B27">
              <w:rPr>
                <w:noProof/>
                <w:webHidden/>
              </w:rPr>
              <w:fldChar w:fldCharType="end"/>
            </w:r>
          </w:hyperlink>
        </w:p>
        <w:p w14:paraId="625BAE90" w14:textId="4569443D"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909" w:history="1">
            <w:r w:rsidR="00B80B27" w:rsidRPr="00B9259D">
              <w:rPr>
                <w:rStyle w:val="Hyperlink"/>
                <w:noProof/>
              </w:rPr>
              <w:t>References</w:t>
            </w:r>
            <w:r w:rsidR="00B80B27">
              <w:rPr>
                <w:noProof/>
                <w:webHidden/>
              </w:rPr>
              <w:tab/>
            </w:r>
            <w:r w:rsidR="00B80B27">
              <w:rPr>
                <w:noProof/>
                <w:webHidden/>
              </w:rPr>
              <w:fldChar w:fldCharType="begin"/>
            </w:r>
            <w:r w:rsidR="00B80B27">
              <w:rPr>
                <w:noProof/>
                <w:webHidden/>
              </w:rPr>
              <w:instrText xml:space="preserve"> PAGEREF _Toc224494909 \h </w:instrText>
            </w:r>
            <w:r w:rsidR="00B80B27">
              <w:rPr>
                <w:noProof/>
                <w:webHidden/>
              </w:rPr>
            </w:r>
            <w:r w:rsidR="00B80B27">
              <w:rPr>
                <w:noProof/>
                <w:webHidden/>
              </w:rPr>
              <w:fldChar w:fldCharType="separate"/>
            </w:r>
            <w:r w:rsidR="00B80B27">
              <w:rPr>
                <w:noProof/>
                <w:webHidden/>
              </w:rPr>
              <w:t>19</w:t>
            </w:r>
            <w:r w:rsidR="00B80B27">
              <w:rPr>
                <w:noProof/>
                <w:webHidden/>
              </w:rPr>
              <w:fldChar w:fldCharType="end"/>
            </w:r>
          </w:hyperlink>
        </w:p>
        <w:p w14:paraId="7244C797" w14:textId="2C2647E8" w:rsidR="00B80B27"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24494910" w:history="1">
            <w:r w:rsidR="00B80B27" w:rsidRPr="00B9259D">
              <w:rPr>
                <w:rStyle w:val="Hyperlink"/>
                <w:noProof/>
              </w:rPr>
              <w:t>Appendices</w:t>
            </w:r>
            <w:r w:rsidR="00B80B27">
              <w:rPr>
                <w:noProof/>
                <w:webHidden/>
              </w:rPr>
              <w:tab/>
            </w:r>
            <w:r w:rsidR="00B80B27">
              <w:rPr>
                <w:noProof/>
                <w:webHidden/>
              </w:rPr>
              <w:fldChar w:fldCharType="begin"/>
            </w:r>
            <w:r w:rsidR="00B80B27">
              <w:rPr>
                <w:noProof/>
                <w:webHidden/>
              </w:rPr>
              <w:instrText xml:space="preserve"> PAGEREF _Toc224494910 \h </w:instrText>
            </w:r>
            <w:r w:rsidR="00B80B27">
              <w:rPr>
                <w:noProof/>
                <w:webHidden/>
              </w:rPr>
            </w:r>
            <w:r w:rsidR="00B80B27">
              <w:rPr>
                <w:noProof/>
                <w:webHidden/>
              </w:rPr>
              <w:fldChar w:fldCharType="separate"/>
            </w:r>
            <w:r w:rsidR="00B80B27">
              <w:rPr>
                <w:noProof/>
                <w:webHidden/>
              </w:rPr>
              <w:t>22</w:t>
            </w:r>
            <w:r w:rsidR="00B80B27">
              <w:rPr>
                <w:noProof/>
                <w:webHidden/>
              </w:rPr>
              <w:fldChar w:fldCharType="end"/>
            </w:r>
          </w:hyperlink>
        </w:p>
        <w:p w14:paraId="53A9E0AB" w14:textId="5B67B94F"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11" w:history="1">
            <w:r w:rsidR="00B80B27" w:rsidRPr="00B9259D">
              <w:rPr>
                <w:rStyle w:val="Hyperlink"/>
                <w:noProof/>
              </w:rPr>
              <w:t>1. Ratio Calculation</w:t>
            </w:r>
            <w:r w:rsidR="00B80B27">
              <w:rPr>
                <w:noProof/>
                <w:webHidden/>
              </w:rPr>
              <w:tab/>
            </w:r>
            <w:r w:rsidR="00B80B27">
              <w:rPr>
                <w:noProof/>
                <w:webHidden/>
              </w:rPr>
              <w:fldChar w:fldCharType="begin"/>
            </w:r>
            <w:r w:rsidR="00B80B27">
              <w:rPr>
                <w:noProof/>
                <w:webHidden/>
              </w:rPr>
              <w:instrText xml:space="preserve"> PAGEREF _Toc224494911 \h </w:instrText>
            </w:r>
            <w:r w:rsidR="00B80B27">
              <w:rPr>
                <w:noProof/>
                <w:webHidden/>
              </w:rPr>
            </w:r>
            <w:r w:rsidR="00B80B27">
              <w:rPr>
                <w:noProof/>
                <w:webHidden/>
              </w:rPr>
              <w:fldChar w:fldCharType="separate"/>
            </w:r>
            <w:r w:rsidR="00B80B27">
              <w:rPr>
                <w:noProof/>
                <w:webHidden/>
              </w:rPr>
              <w:t>22</w:t>
            </w:r>
            <w:r w:rsidR="00B80B27">
              <w:rPr>
                <w:noProof/>
                <w:webHidden/>
              </w:rPr>
              <w:fldChar w:fldCharType="end"/>
            </w:r>
          </w:hyperlink>
        </w:p>
        <w:p w14:paraId="371CE0DB" w14:textId="43446BB9"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12" w:history="1">
            <w:r w:rsidR="00B80B27" w:rsidRPr="00B9259D">
              <w:rPr>
                <w:rStyle w:val="Hyperlink"/>
                <w:noProof/>
              </w:rPr>
              <w:t>2. Cash Operating Cycle</w:t>
            </w:r>
            <w:r w:rsidR="00B80B27">
              <w:rPr>
                <w:noProof/>
                <w:webHidden/>
              </w:rPr>
              <w:tab/>
            </w:r>
            <w:r w:rsidR="00B80B27">
              <w:rPr>
                <w:noProof/>
                <w:webHidden/>
              </w:rPr>
              <w:fldChar w:fldCharType="begin"/>
            </w:r>
            <w:r w:rsidR="00B80B27">
              <w:rPr>
                <w:noProof/>
                <w:webHidden/>
              </w:rPr>
              <w:instrText xml:space="preserve"> PAGEREF _Toc224494912 \h </w:instrText>
            </w:r>
            <w:r w:rsidR="00B80B27">
              <w:rPr>
                <w:noProof/>
                <w:webHidden/>
              </w:rPr>
            </w:r>
            <w:r w:rsidR="00B80B27">
              <w:rPr>
                <w:noProof/>
                <w:webHidden/>
              </w:rPr>
              <w:fldChar w:fldCharType="separate"/>
            </w:r>
            <w:r w:rsidR="00B80B27">
              <w:rPr>
                <w:noProof/>
                <w:webHidden/>
              </w:rPr>
              <w:t>26</w:t>
            </w:r>
            <w:r w:rsidR="00B80B27">
              <w:rPr>
                <w:noProof/>
                <w:webHidden/>
              </w:rPr>
              <w:fldChar w:fldCharType="end"/>
            </w:r>
          </w:hyperlink>
        </w:p>
        <w:p w14:paraId="69EAF824" w14:textId="4E97DAA5" w:rsidR="00B80B27"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24494913" w:history="1">
            <w:r w:rsidR="00B80B27" w:rsidRPr="00B9259D">
              <w:rPr>
                <w:rStyle w:val="Hyperlink"/>
                <w:noProof/>
              </w:rPr>
              <w:t>3. Capital Budgeting Projects</w:t>
            </w:r>
            <w:r w:rsidR="00B80B27">
              <w:rPr>
                <w:noProof/>
                <w:webHidden/>
              </w:rPr>
              <w:tab/>
            </w:r>
            <w:r w:rsidR="00B80B27">
              <w:rPr>
                <w:noProof/>
                <w:webHidden/>
              </w:rPr>
              <w:fldChar w:fldCharType="begin"/>
            </w:r>
            <w:r w:rsidR="00B80B27">
              <w:rPr>
                <w:noProof/>
                <w:webHidden/>
              </w:rPr>
              <w:instrText xml:space="preserve"> PAGEREF _Toc224494913 \h </w:instrText>
            </w:r>
            <w:r w:rsidR="00B80B27">
              <w:rPr>
                <w:noProof/>
                <w:webHidden/>
              </w:rPr>
            </w:r>
            <w:r w:rsidR="00B80B27">
              <w:rPr>
                <w:noProof/>
                <w:webHidden/>
              </w:rPr>
              <w:fldChar w:fldCharType="separate"/>
            </w:r>
            <w:r w:rsidR="00B80B27">
              <w:rPr>
                <w:noProof/>
                <w:webHidden/>
              </w:rPr>
              <w:t>27</w:t>
            </w:r>
            <w:r w:rsidR="00B80B27">
              <w:rPr>
                <w:noProof/>
                <w:webHidden/>
              </w:rPr>
              <w:fldChar w:fldCharType="end"/>
            </w:r>
          </w:hyperlink>
        </w:p>
        <w:p w14:paraId="7613CAFE" w14:textId="763E5AF6" w:rsidR="00E82C9B" w:rsidRDefault="00E82C9B" w:rsidP="00E577E2">
          <w:pPr>
            <w:rPr>
              <w:rFonts w:cs="Times New Roman"/>
              <w:b/>
              <w:bCs/>
              <w:caps/>
            </w:rPr>
          </w:pPr>
          <w:r w:rsidRPr="005E73A4">
            <w:rPr>
              <w:rFonts w:cs="Times New Roman"/>
              <w:b/>
              <w:bCs/>
              <w:caps/>
            </w:rPr>
            <w:fldChar w:fldCharType="end"/>
          </w:r>
        </w:p>
      </w:sdtContent>
    </w:sdt>
    <w:p w14:paraId="22A47645" w14:textId="0A5609F1" w:rsidR="00DC23A1" w:rsidRPr="00E76639" w:rsidRDefault="00DF48D2" w:rsidP="00E76639">
      <w:pPr>
        <w:jc w:val="center"/>
        <w:rPr>
          <w:b/>
          <w:bCs/>
          <w:sz w:val="32"/>
          <w:szCs w:val="28"/>
        </w:rPr>
      </w:pPr>
      <w:r w:rsidRPr="00E76639">
        <w:rPr>
          <w:b/>
          <w:bCs/>
          <w:sz w:val="32"/>
          <w:szCs w:val="28"/>
        </w:rPr>
        <w:t>List of Tables</w:t>
      </w:r>
    </w:p>
    <w:p w14:paraId="6770777F" w14:textId="189AAC76" w:rsidR="00B80B27" w:rsidRDefault="00286BEF">
      <w:pPr>
        <w:pStyle w:val="TableofFigures"/>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\h \z \c "Table" </w:instrText>
      </w:r>
      <w:r>
        <w:fldChar w:fldCharType="separate"/>
      </w:r>
      <w:hyperlink w:anchor="_Toc224494914" w:history="1">
        <w:r w:rsidR="00B80B27" w:rsidRPr="00AF0557">
          <w:rPr>
            <w:rStyle w:val="Hyperlink"/>
            <w:noProof/>
          </w:rPr>
          <w:t>Table 1: Calculation of Different Ratios (Source- Author)</w:t>
        </w:r>
        <w:r w:rsidR="00B80B27">
          <w:rPr>
            <w:noProof/>
            <w:webHidden/>
          </w:rPr>
          <w:tab/>
        </w:r>
        <w:r w:rsidR="00B80B27">
          <w:rPr>
            <w:noProof/>
            <w:webHidden/>
          </w:rPr>
          <w:fldChar w:fldCharType="begin"/>
        </w:r>
        <w:r w:rsidR="00B80B27">
          <w:rPr>
            <w:noProof/>
            <w:webHidden/>
          </w:rPr>
          <w:instrText xml:space="preserve"> PAGEREF _Toc224494914 \h </w:instrText>
        </w:r>
        <w:r w:rsidR="00B80B27">
          <w:rPr>
            <w:noProof/>
            <w:webHidden/>
          </w:rPr>
        </w:r>
        <w:r w:rsidR="00B80B27">
          <w:rPr>
            <w:noProof/>
            <w:webHidden/>
          </w:rPr>
          <w:fldChar w:fldCharType="separate"/>
        </w:r>
        <w:r w:rsidR="00B80B27">
          <w:rPr>
            <w:noProof/>
            <w:webHidden/>
          </w:rPr>
          <w:t>25</w:t>
        </w:r>
        <w:r w:rsidR="00B80B27">
          <w:rPr>
            <w:noProof/>
            <w:webHidden/>
          </w:rPr>
          <w:fldChar w:fldCharType="end"/>
        </w:r>
      </w:hyperlink>
    </w:p>
    <w:p w14:paraId="60A52A29" w14:textId="5FEA614B"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15" w:history="1">
        <w:r w:rsidR="00B80B27" w:rsidRPr="00AF0557">
          <w:rPr>
            <w:rStyle w:val="Hyperlink"/>
            <w:noProof/>
          </w:rPr>
          <w:t>Table 2: Calculation of Cash Operating Cycle (Source- Author)</w:t>
        </w:r>
        <w:r w:rsidR="00B80B27">
          <w:rPr>
            <w:noProof/>
            <w:webHidden/>
          </w:rPr>
          <w:tab/>
        </w:r>
        <w:r w:rsidR="00B80B27">
          <w:rPr>
            <w:noProof/>
            <w:webHidden/>
          </w:rPr>
          <w:fldChar w:fldCharType="begin"/>
        </w:r>
        <w:r w:rsidR="00B80B27">
          <w:rPr>
            <w:noProof/>
            <w:webHidden/>
          </w:rPr>
          <w:instrText xml:space="preserve"> PAGEREF _Toc224494915 \h </w:instrText>
        </w:r>
        <w:r w:rsidR="00B80B27">
          <w:rPr>
            <w:noProof/>
            <w:webHidden/>
          </w:rPr>
        </w:r>
        <w:r w:rsidR="00B80B27">
          <w:rPr>
            <w:noProof/>
            <w:webHidden/>
          </w:rPr>
          <w:fldChar w:fldCharType="separate"/>
        </w:r>
        <w:r w:rsidR="00B80B27">
          <w:rPr>
            <w:noProof/>
            <w:webHidden/>
          </w:rPr>
          <w:t>26</w:t>
        </w:r>
        <w:r w:rsidR="00B80B27">
          <w:rPr>
            <w:noProof/>
            <w:webHidden/>
          </w:rPr>
          <w:fldChar w:fldCharType="end"/>
        </w:r>
      </w:hyperlink>
    </w:p>
    <w:p w14:paraId="3B4F5DBB" w14:textId="5CB23303"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16" w:history="1">
        <w:r w:rsidR="00B80B27" w:rsidRPr="00AF0557">
          <w:rPr>
            <w:rStyle w:val="Hyperlink"/>
            <w:noProof/>
          </w:rPr>
          <w:t>Table 3: Capital Budgeting Summary (Source - Author)</w:t>
        </w:r>
        <w:r w:rsidR="00B80B27">
          <w:rPr>
            <w:noProof/>
            <w:webHidden/>
          </w:rPr>
          <w:tab/>
        </w:r>
        <w:r w:rsidR="00B80B27">
          <w:rPr>
            <w:noProof/>
            <w:webHidden/>
          </w:rPr>
          <w:fldChar w:fldCharType="begin"/>
        </w:r>
        <w:r w:rsidR="00B80B27">
          <w:rPr>
            <w:noProof/>
            <w:webHidden/>
          </w:rPr>
          <w:instrText xml:space="preserve"> PAGEREF _Toc224494916 \h </w:instrText>
        </w:r>
        <w:r w:rsidR="00B80B27">
          <w:rPr>
            <w:noProof/>
            <w:webHidden/>
          </w:rPr>
        </w:r>
        <w:r w:rsidR="00B80B27">
          <w:rPr>
            <w:noProof/>
            <w:webHidden/>
          </w:rPr>
          <w:fldChar w:fldCharType="separate"/>
        </w:r>
        <w:r w:rsidR="00B80B27">
          <w:rPr>
            <w:noProof/>
            <w:webHidden/>
          </w:rPr>
          <w:t>27</w:t>
        </w:r>
        <w:r w:rsidR="00B80B27">
          <w:rPr>
            <w:noProof/>
            <w:webHidden/>
          </w:rPr>
          <w:fldChar w:fldCharType="end"/>
        </w:r>
      </w:hyperlink>
    </w:p>
    <w:p w14:paraId="6ECBABEB" w14:textId="1A2CB200"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17" w:history="1">
        <w:r w:rsidR="00B80B27" w:rsidRPr="00AF0557">
          <w:rPr>
            <w:rStyle w:val="Hyperlink"/>
            <w:noProof/>
          </w:rPr>
          <w:t>Table 4: Investment Appraisal of Project A (Source- Author)</w:t>
        </w:r>
        <w:r w:rsidR="00B80B27">
          <w:rPr>
            <w:noProof/>
            <w:webHidden/>
          </w:rPr>
          <w:tab/>
        </w:r>
        <w:r w:rsidR="00B80B27">
          <w:rPr>
            <w:noProof/>
            <w:webHidden/>
          </w:rPr>
          <w:fldChar w:fldCharType="begin"/>
        </w:r>
        <w:r w:rsidR="00B80B27">
          <w:rPr>
            <w:noProof/>
            <w:webHidden/>
          </w:rPr>
          <w:instrText xml:space="preserve"> PAGEREF _Toc224494917 \h </w:instrText>
        </w:r>
        <w:r w:rsidR="00B80B27">
          <w:rPr>
            <w:noProof/>
            <w:webHidden/>
          </w:rPr>
        </w:r>
        <w:r w:rsidR="00B80B27">
          <w:rPr>
            <w:noProof/>
            <w:webHidden/>
          </w:rPr>
          <w:fldChar w:fldCharType="separate"/>
        </w:r>
        <w:r w:rsidR="00B80B27">
          <w:rPr>
            <w:noProof/>
            <w:webHidden/>
          </w:rPr>
          <w:t>27</w:t>
        </w:r>
        <w:r w:rsidR="00B80B27">
          <w:rPr>
            <w:noProof/>
            <w:webHidden/>
          </w:rPr>
          <w:fldChar w:fldCharType="end"/>
        </w:r>
      </w:hyperlink>
    </w:p>
    <w:p w14:paraId="168F402C" w14:textId="0DDC4CE2"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18" w:history="1">
        <w:r w:rsidR="00B80B27" w:rsidRPr="00AF0557">
          <w:rPr>
            <w:rStyle w:val="Hyperlink"/>
            <w:noProof/>
          </w:rPr>
          <w:t>Table 5: Investment Appraisal of Project B (Source- Author)</w:t>
        </w:r>
        <w:r w:rsidR="00B80B27">
          <w:rPr>
            <w:noProof/>
            <w:webHidden/>
          </w:rPr>
          <w:tab/>
        </w:r>
        <w:r w:rsidR="00B80B27">
          <w:rPr>
            <w:noProof/>
            <w:webHidden/>
          </w:rPr>
          <w:fldChar w:fldCharType="begin"/>
        </w:r>
        <w:r w:rsidR="00B80B27">
          <w:rPr>
            <w:noProof/>
            <w:webHidden/>
          </w:rPr>
          <w:instrText xml:space="preserve"> PAGEREF _Toc224494918 \h </w:instrText>
        </w:r>
        <w:r w:rsidR="00B80B27">
          <w:rPr>
            <w:noProof/>
            <w:webHidden/>
          </w:rPr>
        </w:r>
        <w:r w:rsidR="00B80B27">
          <w:rPr>
            <w:noProof/>
            <w:webHidden/>
          </w:rPr>
          <w:fldChar w:fldCharType="separate"/>
        </w:r>
        <w:r w:rsidR="00B80B27">
          <w:rPr>
            <w:noProof/>
            <w:webHidden/>
          </w:rPr>
          <w:t>29</w:t>
        </w:r>
        <w:r w:rsidR="00B80B27">
          <w:rPr>
            <w:noProof/>
            <w:webHidden/>
          </w:rPr>
          <w:fldChar w:fldCharType="end"/>
        </w:r>
      </w:hyperlink>
    </w:p>
    <w:p w14:paraId="109D9DBF" w14:textId="08D4930E"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19" w:history="1">
        <w:r w:rsidR="00B80B27" w:rsidRPr="00AF0557">
          <w:rPr>
            <w:rStyle w:val="Hyperlink"/>
            <w:noProof/>
          </w:rPr>
          <w:t>Table 6: Investment Appraisal of Project C (Source- Author)</w:t>
        </w:r>
        <w:r w:rsidR="00B80B27">
          <w:rPr>
            <w:noProof/>
            <w:webHidden/>
          </w:rPr>
          <w:tab/>
        </w:r>
        <w:r w:rsidR="00B80B27">
          <w:rPr>
            <w:noProof/>
            <w:webHidden/>
          </w:rPr>
          <w:fldChar w:fldCharType="begin"/>
        </w:r>
        <w:r w:rsidR="00B80B27">
          <w:rPr>
            <w:noProof/>
            <w:webHidden/>
          </w:rPr>
          <w:instrText xml:space="preserve"> PAGEREF _Toc224494919 \h </w:instrText>
        </w:r>
        <w:r w:rsidR="00B80B27">
          <w:rPr>
            <w:noProof/>
            <w:webHidden/>
          </w:rPr>
        </w:r>
        <w:r w:rsidR="00B80B27">
          <w:rPr>
            <w:noProof/>
            <w:webHidden/>
          </w:rPr>
          <w:fldChar w:fldCharType="separate"/>
        </w:r>
        <w:r w:rsidR="00B80B27">
          <w:rPr>
            <w:noProof/>
            <w:webHidden/>
          </w:rPr>
          <w:t>30</w:t>
        </w:r>
        <w:r w:rsidR="00B80B27">
          <w:rPr>
            <w:noProof/>
            <w:webHidden/>
          </w:rPr>
          <w:fldChar w:fldCharType="end"/>
        </w:r>
      </w:hyperlink>
    </w:p>
    <w:p w14:paraId="6DA7A8EC" w14:textId="09B95FFD" w:rsidR="00E76639" w:rsidRDefault="00286BEF" w:rsidP="00286BEF">
      <w:pPr>
        <w:jc w:val="center"/>
        <w:rPr>
          <w:b/>
          <w:bCs/>
          <w:sz w:val="32"/>
          <w:szCs w:val="28"/>
        </w:rPr>
      </w:pPr>
      <w:r>
        <w:fldChar w:fldCharType="end"/>
      </w:r>
      <w:r w:rsidR="00DF48D2" w:rsidRPr="00E76639">
        <w:rPr>
          <w:b/>
          <w:bCs/>
          <w:sz w:val="32"/>
          <w:szCs w:val="28"/>
        </w:rPr>
        <w:t>List of Figures</w:t>
      </w:r>
    </w:p>
    <w:p w14:paraId="4FB01710" w14:textId="1FCB51FD" w:rsidR="00B80B27" w:rsidRDefault="00286BEF">
      <w:pPr>
        <w:pStyle w:val="TableofFigures"/>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\h \z \c "Figure" </w:instrText>
      </w:r>
      <w:r>
        <w:fldChar w:fldCharType="separate"/>
      </w:r>
      <w:hyperlink w:anchor="_Toc224494920" w:history="1">
        <w:r w:rsidR="00B80B27" w:rsidRPr="00310686">
          <w:rPr>
            <w:rStyle w:val="Hyperlink"/>
            <w:noProof/>
          </w:rPr>
          <w:t>Figure 1: Trend of Profitability Ratio (Source- Author)</w:t>
        </w:r>
        <w:r w:rsidR="00B80B27">
          <w:rPr>
            <w:noProof/>
            <w:webHidden/>
          </w:rPr>
          <w:tab/>
        </w:r>
        <w:r w:rsidR="00B80B27">
          <w:rPr>
            <w:noProof/>
            <w:webHidden/>
          </w:rPr>
          <w:fldChar w:fldCharType="begin"/>
        </w:r>
        <w:r w:rsidR="00B80B27">
          <w:rPr>
            <w:noProof/>
            <w:webHidden/>
          </w:rPr>
          <w:instrText xml:space="preserve"> PAGEREF _Toc224494920 \h </w:instrText>
        </w:r>
        <w:r w:rsidR="00B80B27">
          <w:rPr>
            <w:noProof/>
            <w:webHidden/>
          </w:rPr>
        </w:r>
        <w:r w:rsidR="00B80B27">
          <w:rPr>
            <w:noProof/>
            <w:webHidden/>
          </w:rPr>
          <w:fldChar w:fldCharType="separate"/>
        </w:r>
        <w:r w:rsidR="00B80B27">
          <w:rPr>
            <w:noProof/>
            <w:webHidden/>
          </w:rPr>
          <w:t>22</w:t>
        </w:r>
        <w:r w:rsidR="00B80B27">
          <w:rPr>
            <w:noProof/>
            <w:webHidden/>
          </w:rPr>
          <w:fldChar w:fldCharType="end"/>
        </w:r>
      </w:hyperlink>
    </w:p>
    <w:p w14:paraId="3171AB96" w14:textId="5C21A76B"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1" w:history="1">
        <w:r w:rsidR="00B80B27" w:rsidRPr="00310686">
          <w:rPr>
            <w:rStyle w:val="Hyperlink"/>
            <w:noProof/>
          </w:rPr>
          <w:t>Figure 2: Trend of Liquidity Ratio (Source- Author)</w:t>
        </w:r>
        <w:r w:rsidR="00B80B27">
          <w:rPr>
            <w:noProof/>
            <w:webHidden/>
          </w:rPr>
          <w:tab/>
        </w:r>
        <w:r w:rsidR="00B80B27">
          <w:rPr>
            <w:noProof/>
            <w:webHidden/>
          </w:rPr>
          <w:fldChar w:fldCharType="begin"/>
        </w:r>
        <w:r w:rsidR="00B80B27">
          <w:rPr>
            <w:noProof/>
            <w:webHidden/>
          </w:rPr>
          <w:instrText xml:space="preserve"> PAGEREF _Toc224494921 \h </w:instrText>
        </w:r>
        <w:r w:rsidR="00B80B27">
          <w:rPr>
            <w:noProof/>
            <w:webHidden/>
          </w:rPr>
        </w:r>
        <w:r w:rsidR="00B80B27">
          <w:rPr>
            <w:noProof/>
            <w:webHidden/>
          </w:rPr>
          <w:fldChar w:fldCharType="separate"/>
        </w:r>
        <w:r w:rsidR="00B80B27">
          <w:rPr>
            <w:noProof/>
            <w:webHidden/>
          </w:rPr>
          <w:t>22</w:t>
        </w:r>
        <w:r w:rsidR="00B80B27">
          <w:rPr>
            <w:noProof/>
            <w:webHidden/>
          </w:rPr>
          <w:fldChar w:fldCharType="end"/>
        </w:r>
      </w:hyperlink>
    </w:p>
    <w:p w14:paraId="70D06D1C" w14:textId="041B3CB8"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2" w:history="1">
        <w:r w:rsidR="00B80B27" w:rsidRPr="00310686">
          <w:rPr>
            <w:rStyle w:val="Hyperlink"/>
            <w:noProof/>
          </w:rPr>
          <w:t>Figure 3: Trend of Efficiency Ratio (Source- Author)</w:t>
        </w:r>
        <w:r w:rsidR="00B80B27">
          <w:rPr>
            <w:noProof/>
            <w:webHidden/>
          </w:rPr>
          <w:tab/>
        </w:r>
        <w:r w:rsidR="00B80B27">
          <w:rPr>
            <w:noProof/>
            <w:webHidden/>
          </w:rPr>
          <w:fldChar w:fldCharType="begin"/>
        </w:r>
        <w:r w:rsidR="00B80B27">
          <w:rPr>
            <w:noProof/>
            <w:webHidden/>
          </w:rPr>
          <w:instrText xml:space="preserve"> PAGEREF _Toc224494922 \h </w:instrText>
        </w:r>
        <w:r w:rsidR="00B80B27">
          <w:rPr>
            <w:noProof/>
            <w:webHidden/>
          </w:rPr>
        </w:r>
        <w:r w:rsidR="00B80B27">
          <w:rPr>
            <w:noProof/>
            <w:webHidden/>
          </w:rPr>
          <w:fldChar w:fldCharType="separate"/>
        </w:r>
        <w:r w:rsidR="00B80B27">
          <w:rPr>
            <w:noProof/>
            <w:webHidden/>
          </w:rPr>
          <w:t>23</w:t>
        </w:r>
        <w:r w:rsidR="00B80B27">
          <w:rPr>
            <w:noProof/>
            <w:webHidden/>
          </w:rPr>
          <w:fldChar w:fldCharType="end"/>
        </w:r>
      </w:hyperlink>
    </w:p>
    <w:p w14:paraId="06F6C04A" w14:textId="1A04D9E4"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3" w:history="1">
        <w:r w:rsidR="00B80B27" w:rsidRPr="00310686">
          <w:rPr>
            <w:rStyle w:val="Hyperlink"/>
            <w:noProof/>
          </w:rPr>
          <w:t>Figure 4: Trend of Gearing Ratio (Source- Author)</w:t>
        </w:r>
        <w:r w:rsidR="00B80B27">
          <w:rPr>
            <w:noProof/>
            <w:webHidden/>
          </w:rPr>
          <w:tab/>
        </w:r>
        <w:r w:rsidR="00B80B27">
          <w:rPr>
            <w:noProof/>
            <w:webHidden/>
          </w:rPr>
          <w:fldChar w:fldCharType="begin"/>
        </w:r>
        <w:r w:rsidR="00B80B27">
          <w:rPr>
            <w:noProof/>
            <w:webHidden/>
          </w:rPr>
          <w:instrText xml:space="preserve"> PAGEREF _Toc224494923 \h </w:instrText>
        </w:r>
        <w:r w:rsidR="00B80B27">
          <w:rPr>
            <w:noProof/>
            <w:webHidden/>
          </w:rPr>
        </w:r>
        <w:r w:rsidR="00B80B27">
          <w:rPr>
            <w:noProof/>
            <w:webHidden/>
          </w:rPr>
          <w:fldChar w:fldCharType="separate"/>
        </w:r>
        <w:r w:rsidR="00B80B27">
          <w:rPr>
            <w:noProof/>
            <w:webHidden/>
          </w:rPr>
          <w:t>23</w:t>
        </w:r>
        <w:r w:rsidR="00B80B27">
          <w:rPr>
            <w:noProof/>
            <w:webHidden/>
          </w:rPr>
          <w:fldChar w:fldCharType="end"/>
        </w:r>
      </w:hyperlink>
    </w:p>
    <w:p w14:paraId="433B86C3" w14:textId="5BBE0949"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4" w:history="1">
        <w:r w:rsidR="00B80B27" w:rsidRPr="00310686">
          <w:rPr>
            <w:rStyle w:val="Hyperlink"/>
            <w:noProof/>
          </w:rPr>
          <w:t>Figure 5: Trend of Investment Ratio (Source- Author)</w:t>
        </w:r>
        <w:r w:rsidR="00B80B27">
          <w:rPr>
            <w:noProof/>
            <w:webHidden/>
          </w:rPr>
          <w:tab/>
        </w:r>
        <w:r w:rsidR="00B80B27">
          <w:rPr>
            <w:noProof/>
            <w:webHidden/>
          </w:rPr>
          <w:fldChar w:fldCharType="begin"/>
        </w:r>
        <w:r w:rsidR="00B80B27">
          <w:rPr>
            <w:noProof/>
            <w:webHidden/>
          </w:rPr>
          <w:instrText xml:space="preserve"> PAGEREF _Toc224494924 \h </w:instrText>
        </w:r>
        <w:r w:rsidR="00B80B27">
          <w:rPr>
            <w:noProof/>
            <w:webHidden/>
          </w:rPr>
        </w:r>
        <w:r w:rsidR="00B80B27">
          <w:rPr>
            <w:noProof/>
            <w:webHidden/>
          </w:rPr>
          <w:fldChar w:fldCharType="separate"/>
        </w:r>
        <w:r w:rsidR="00B80B27">
          <w:rPr>
            <w:noProof/>
            <w:webHidden/>
          </w:rPr>
          <w:t>24</w:t>
        </w:r>
        <w:r w:rsidR="00B80B27">
          <w:rPr>
            <w:noProof/>
            <w:webHidden/>
          </w:rPr>
          <w:fldChar w:fldCharType="end"/>
        </w:r>
      </w:hyperlink>
    </w:p>
    <w:p w14:paraId="5DADC34D" w14:textId="6C04A9D7"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5" w:history="1">
        <w:r w:rsidR="00B80B27" w:rsidRPr="00310686">
          <w:rPr>
            <w:rStyle w:val="Hyperlink"/>
            <w:noProof/>
          </w:rPr>
          <w:t>Figure 6: Trend of Cash Flow Ratio (Source- Author)</w:t>
        </w:r>
        <w:r w:rsidR="00B80B27">
          <w:rPr>
            <w:noProof/>
            <w:webHidden/>
          </w:rPr>
          <w:tab/>
        </w:r>
        <w:r w:rsidR="00B80B27">
          <w:rPr>
            <w:noProof/>
            <w:webHidden/>
          </w:rPr>
          <w:fldChar w:fldCharType="begin"/>
        </w:r>
        <w:r w:rsidR="00B80B27">
          <w:rPr>
            <w:noProof/>
            <w:webHidden/>
          </w:rPr>
          <w:instrText xml:space="preserve"> PAGEREF _Toc224494925 \h </w:instrText>
        </w:r>
        <w:r w:rsidR="00B80B27">
          <w:rPr>
            <w:noProof/>
            <w:webHidden/>
          </w:rPr>
        </w:r>
        <w:r w:rsidR="00B80B27">
          <w:rPr>
            <w:noProof/>
            <w:webHidden/>
          </w:rPr>
          <w:fldChar w:fldCharType="separate"/>
        </w:r>
        <w:r w:rsidR="00B80B27">
          <w:rPr>
            <w:noProof/>
            <w:webHidden/>
          </w:rPr>
          <w:t>24</w:t>
        </w:r>
        <w:r w:rsidR="00B80B27">
          <w:rPr>
            <w:noProof/>
            <w:webHidden/>
          </w:rPr>
          <w:fldChar w:fldCharType="end"/>
        </w:r>
      </w:hyperlink>
    </w:p>
    <w:p w14:paraId="6E2A405B" w14:textId="62FBCE66" w:rsidR="00B80B27" w:rsidRDefault="00000000">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4494926" w:history="1">
        <w:r w:rsidR="00B80B27" w:rsidRPr="00310686">
          <w:rPr>
            <w:rStyle w:val="Hyperlink"/>
            <w:noProof/>
          </w:rPr>
          <w:t>Figure 7: Trend Cash Operating Cycle (Source- Author)</w:t>
        </w:r>
        <w:r w:rsidR="00B80B27">
          <w:rPr>
            <w:noProof/>
            <w:webHidden/>
          </w:rPr>
          <w:tab/>
        </w:r>
        <w:r w:rsidR="00B80B27">
          <w:rPr>
            <w:noProof/>
            <w:webHidden/>
          </w:rPr>
          <w:fldChar w:fldCharType="begin"/>
        </w:r>
        <w:r w:rsidR="00B80B27">
          <w:rPr>
            <w:noProof/>
            <w:webHidden/>
          </w:rPr>
          <w:instrText xml:space="preserve"> PAGEREF _Toc224494926 \h </w:instrText>
        </w:r>
        <w:r w:rsidR="00B80B27">
          <w:rPr>
            <w:noProof/>
            <w:webHidden/>
          </w:rPr>
        </w:r>
        <w:r w:rsidR="00B80B27">
          <w:rPr>
            <w:noProof/>
            <w:webHidden/>
          </w:rPr>
          <w:fldChar w:fldCharType="separate"/>
        </w:r>
        <w:r w:rsidR="00B80B27">
          <w:rPr>
            <w:noProof/>
            <w:webHidden/>
          </w:rPr>
          <w:t>26</w:t>
        </w:r>
        <w:r w:rsidR="00B80B27">
          <w:rPr>
            <w:noProof/>
            <w:webHidden/>
          </w:rPr>
          <w:fldChar w:fldCharType="end"/>
        </w:r>
      </w:hyperlink>
    </w:p>
    <w:p w14:paraId="06C24DB2" w14:textId="65F3C5AA" w:rsidR="00DC23A1" w:rsidRDefault="00286BEF" w:rsidP="00DC23A1">
      <w:r>
        <w:fldChar w:fldCharType="end"/>
      </w:r>
    </w:p>
    <w:p w14:paraId="3D603AC4" w14:textId="77777777" w:rsidR="00DC23A1" w:rsidRDefault="00DC23A1" w:rsidP="00DC23A1">
      <w:pPr>
        <w:rPr>
          <w:rFonts w:cs="Times New Roman"/>
          <w:b/>
          <w:bCs/>
          <w:caps/>
        </w:rPr>
      </w:pPr>
    </w:p>
    <w:p w14:paraId="10CAD006" w14:textId="77777777" w:rsidR="00DC23A1" w:rsidRPr="00DC23A1" w:rsidRDefault="00DC23A1" w:rsidP="00DC23A1">
      <w:pPr>
        <w:rPr>
          <w:rFonts w:cs="Times New Roman"/>
        </w:rPr>
        <w:sectPr w:rsidR="00DC23A1" w:rsidRPr="00DC23A1" w:rsidSect="006A7C0D">
          <w:pgSz w:w="12240" w:h="15840"/>
          <w:pgMar w:top="1440" w:right="1440" w:bottom="1440" w:left="1440" w:header="720" w:footer="720" w:gutter="0"/>
          <w:cols w:space="720"/>
          <w:titlePg/>
          <w:docGrid w:linePitch="360"/>
        </w:sectPr>
      </w:pPr>
    </w:p>
    <w:p w14:paraId="3DCF4338" w14:textId="197DE06E" w:rsidR="003E3173" w:rsidRDefault="001E5935" w:rsidP="001E5935">
      <w:pPr>
        <w:pStyle w:val="Heading1"/>
        <w:rPr>
          <w:rFonts w:cs="Times New Roman"/>
        </w:rPr>
      </w:pPr>
      <w:bookmarkStart w:id="0" w:name="_Toc224494887"/>
      <w:r>
        <w:rPr>
          <w:rFonts w:cs="Times New Roman"/>
        </w:rPr>
        <w:lastRenderedPageBreak/>
        <w:t>Introduction</w:t>
      </w:r>
      <w:bookmarkEnd w:id="0"/>
    </w:p>
    <w:p w14:paraId="15D13212" w14:textId="7823259A" w:rsidR="001E5935" w:rsidRDefault="00C26652" w:rsidP="001E5935">
      <w:r w:rsidRPr="00C26652">
        <w:t>V</w:t>
      </w:r>
      <w:r>
        <w:t>olkswagen</w:t>
      </w:r>
      <w:r w:rsidRPr="00C26652">
        <w:t xml:space="preserve">, which is one of the largest automotive manufacturers in the world, is currently reviewing three investment opportunities which will contribute towards its </w:t>
      </w:r>
      <w:r w:rsidR="00B31D97" w:rsidRPr="00C26652">
        <w:t>long-term</w:t>
      </w:r>
      <w:r w:rsidRPr="00C26652">
        <w:t xml:space="preserve"> growth and sustainability goals. The projects</w:t>
      </w:r>
      <w:r w:rsidR="003166F5">
        <w:t>,</w:t>
      </w:r>
      <w:r w:rsidRPr="00C26652">
        <w:t xml:space="preserve"> which are Project A, Project B, and Project C</w:t>
      </w:r>
      <w:r w:rsidR="003166F5">
        <w:t>,</w:t>
      </w:r>
      <w:r w:rsidRPr="00C26652">
        <w:t xml:space="preserve"> have different financial characteristics and possible benefits. This report seeks to evaluate such projects based on the most important capital budgeting methods</w:t>
      </w:r>
      <w:r w:rsidR="003166F5">
        <w:t>,</w:t>
      </w:r>
      <w:r w:rsidRPr="00C26652">
        <w:t xml:space="preserve"> including but not limited to Payback Period (PBP), Accounting rate of return (ARR), Net Present Value (NPV), Internal rate of return (IRR), and Profitability Index (PI). Besides financial measures, there are non-financial measures which include political risks, customer loyalty and market conditions to be taken into </w:t>
      </w:r>
      <w:r w:rsidR="00FB5CEA">
        <w:t>consideration during the</w:t>
      </w:r>
      <w:r w:rsidRPr="00C26652">
        <w:t xml:space="preserve"> </w:t>
      </w:r>
      <w:r w:rsidR="00FB5CEA" w:rsidRPr="00C26652">
        <w:t>decision-making</w:t>
      </w:r>
      <w:r w:rsidRPr="00C26652">
        <w:t xml:space="preserve"> process. This report shall finally be able to provide the most suitable investment strategy, taking into </w:t>
      </w:r>
      <w:r w:rsidR="00FB5CEA">
        <w:t>consideration</w:t>
      </w:r>
      <w:r w:rsidRPr="00C26652">
        <w:t xml:space="preserve"> the financial and non-financial risks.</w:t>
      </w:r>
    </w:p>
    <w:p w14:paraId="25376252" w14:textId="58C397A3" w:rsidR="00C2652C" w:rsidRDefault="00C2652C">
      <w:pPr>
        <w:spacing w:before="0" w:after="160" w:line="259" w:lineRule="auto"/>
        <w:jc w:val="left"/>
      </w:pPr>
      <w:r>
        <w:br w:type="page"/>
      </w:r>
    </w:p>
    <w:p w14:paraId="629D3CBA" w14:textId="03402E97" w:rsidR="00C2652C" w:rsidRDefault="00C2652C" w:rsidP="00525F90">
      <w:pPr>
        <w:pStyle w:val="Heading1"/>
      </w:pPr>
      <w:bookmarkStart w:id="1" w:name="_Toc224494888"/>
      <w:r>
        <w:lastRenderedPageBreak/>
        <w:t xml:space="preserve">Task 1: </w:t>
      </w:r>
      <w:r w:rsidR="00525F90">
        <w:t>Financial Health of Volkswagen</w:t>
      </w:r>
      <w:bookmarkEnd w:id="1"/>
    </w:p>
    <w:p w14:paraId="408ED737" w14:textId="11024B3E" w:rsidR="00FF783E" w:rsidRDefault="00D557EF" w:rsidP="00D557EF">
      <w:pPr>
        <w:pStyle w:val="Heading2"/>
      </w:pPr>
      <w:bookmarkStart w:id="2" w:name="_Toc224494889"/>
      <w:r>
        <w:t>Analysis of P</w:t>
      </w:r>
      <w:r w:rsidR="00FF783E" w:rsidRPr="00FF783E">
        <w:t>rofitability</w:t>
      </w:r>
      <w:r w:rsidR="00FF783E">
        <w:t xml:space="preserve"> </w:t>
      </w:r>
      <w:r>
        <w:t>Ratios</w:t>
      </w:r>
      <w:bookmarkEnd w:id="2"/>
      <w:r>
        <w:t xml:space="preserve"> </w:t>
      </w:r>
    </w:p>
    <w:p w14:paraId="57AD845A" w14:textId="4FB88634" w:rsidR="00D557EF" w:rsidRPr="00D557EF" w:rsidRDefault="0076457E" w:rsidP="00D557EF">
      <w:r w:rsidRPr="0076457E">
        <w:t>The profitability ratios of Volkswagen indicate a highlighted</w:t>
      </w:r>
      <w:r w:rsidR="003166F5">
        <w:t>,</w:t>
      </w:r>
      <w:r w:rsidRPr="0076457E">
        <w:t xml:space="preserve"> mixed</w:t>
      </w:r>
      <w:r w:rsidR="003166F5">
        <w:t>,</w:t>
      </w:r>
      <w:r w:rsidRPr="0076457E">
        <w:t xml:space="preserve"> but mostly positive trend within the last five years. Return on Capital Employed (ROCE) has also steadily </w:t>
      </w:r>
      <w:proofErr w:type="gramStart"/>
      <w:r w:rsidRPr="0076457E">
        <w:t>risen up</w:t>
      </w:r>
      <w:proofErr w:type="gramEnd"/>
      <w:r w:rsidRPr="0076457E">
        <w:t xml:space="preserve"> to 11.74 in 2020 and further on to 13.68 in 2022 and finally to 15.45 in 2023, then dropped down but marginally to 14.30 in 2024</w:t>
      </w:r>
      <w:r w:rsidR="00AC32CE">
        <w:t xml:space="preserve"> (Figure 1)</w:t>
      </w:r>
      <w:r w:rsidRPr="0076457E">
        <w:t>. This means that the company has been able to enhance its capability of leveraging high returns on capital</w:t>
      </w:r>
      <w:r w:rsidR="003166F5">
        <w:t>,</w:t>
      </w:r>
      <w:r w:rsidRPr="0076457E">
        <w:t xml:space="preserve"> portraying better operational efficiency and </w:t>
      </w:r>
      <w:r w:rsidR="003166F5">
        <w:t xml:space="preserve">the </w:t>
      </w:r>
      <w:r w:rsidRPr="0076457E">
        <w:t>capability to draw maximum returns on its investments. Nonetheless, the Net Profit Margin</w:t>
      </w:r>
      <w:r w:rsidR="003166F5">
        <w:t>, which</w:t>
      </w:r>
      <w:r w:rsidRPr="0076457E">
        <w:t xml:space="preserve"> indicates the ratio of revenue that is turned into profit</w:t>
      </w:r>
      <w:r w:rsidR="003166F5">
        <w:t>,</w:t>
      </w:r>
      <w:r w:rsidRPr="0076457E">
        <w:t xml:space="preserve"> becomes volatile. In 2020, it stood at 3.96% and in 2024 at 3.82%</w:t>
      </w:r>
      <w:r w:rsidR="003166F5">
        <w:t>,</w:t>
      </w:r>
      <w:r w:rsidRPr="0076457E">
        <w:t xml:space="preserve"> but it was highest in 2021 at 6.17%</w:t>
      </w:r>
      <w:r w:rsidR="00AC32CE">
        <w:t xml:space="preserve"> (Figure </w:t>
      </w:r>
      <w:r w:rsidR="00A84D68">
        <w:t>1</w:t>
      </w:r>
      <w:r w:rsidR="00AC32CE">
        <w:t>)</w:t>
      </w:r>
      <w:r w:rsidRPr="0076457E">
        <w:t xml:space="preserve">. With this fluctuation, it indicates that even though Volkswagen has been </w:t>
      </w:r>
      <w:proofErr w:type="gramStart"/>
      <w:r w:rsidRPr="0076457E">
        <w:t>in a position</w:t>
      </w:r>
      <w:proofErr w:type="gramEnd"/>
      <w:r w:rsidRPr="0076457E">
        <w:t xml:space="preserve"> to expand </w:t>
      </w:r>
      <w:r w:rsidR="003166F5">
        <w:t>its</w:t>
      </w:r>
      <w:r w:rsidRPr="0076457E">
        <w:t xml:space="preserve"> top line, it has not been able to manage its bottom line due to economic pressure or other external factors, like inflationary pressures, increased cost of raw materials or a disruption in supply chains to its top line </w:t>
      </w:r>
      <w:r w:rsidR="00167128" w:rsidRPr="00167128">
        <w:t>(</w:t>
      </w:r>
      <w:proofErr w:type="spellStart"/>
      <w:r w:rsidR="00167128" w:rsidRPr="00167128">
        <w:t>Atrill</w:t>
      </w:r>
      <w:proofErr w:type="spellEnd"/>
      <w:r w:rsidR="00167128" w:rsidRPr="00167128">
        <w:t xml:space="preserve"> and </w:t>
      </w:r>
      <w:proofErr w:type="spellStart"/>
      <w:r w:rsidR="00167128" w:rsidRPr="00167128">
        <w:t>Mclaney</w:t>
      </w:r>
      <w:proofErr w:type="spellEnd"/>
      <w:r w:rsidR="00167128" w:rsidRPr="00167128">
        <w:t>, 2022)</w:t>
      </w:r>
      <w:r w:rsidRPr="0076457E">
        <w:t>. ROCE has been increasing steadily and shows that it is becoming more profitable. Nevertheless, the net profit margin is volatile</w:t>
      </w:r>
      <w:r w:rsidR="003166F5">
        <w:t>,</w:t>
      </w:r>
      <w:r w:rsidRPr="0076457E">
        <w:t xml:space="preserve"> indicating the necessity of controlling </w:t>
      </w:r>
      <w:r w:rsidR="003166F5">
        <w:t>costs</w:t>
      </w:r>
      <w:r w:rsidRPr="0076457E">
        <w:t xml:space="preserve"> better and converting profits more consistently. VW has shown capital</w:t>
      </w:r>
      <w:r w:rsidR="003166F5">
        <w:t>-</w:t>
      </w:r>
      <w:r w:rsidRPr="0076457E">
        <w:t xml:space="preserve">efficient investment, as returns have been increasing year after year, which means it </w:t>
      </w:r>
      <w:proofErr w:type="gramStart"/>
      <w:r w:rsidRPr="0076457E">
        <w:t>is capable of making</w:t>
      </w:r>
      <w:proofErr w:type="gramEnd"/>
      <w:r w:rsidRPr="0076457E">
        <w:t xml:space="preserve"> profits on investments</w:t>
      </w:r>
      <w:r w:rsidR="00B31D97">
        <w:t xml:space="preserve"> </w:t>
      </w:r>
      <w:r w:rsidR="00B31D97" w:rsidRPr="00B31D97">
        <w:t>(Volkswagen, 2024)</w:t>
      </w:r>
      <w:r w:rsidRPr="0076457E">
        <w:t>. The dip in the Net Profit Margin also makes one wonder how the company can remain profitable in the future</w:t>
      </w:r>
      <w:r w:rsidR="003166F5">
        <w:t>,</w:t>
      </w:r>
      <w:r w:rsidRPr="0076457E">
        <w:t xml:space="preserve"> especially when the cost pressures are still in play or when the global economic circumstances deteriorate.</w:t>
      </w:r>
    </w:p>
    <w:p w14:paraId="27CAF580" w14:textId="7D42BE7F" w:rsidR="00FF783E" w:rsidRDefault="00D557EF" w:rsidP="00D557EF">
      <w:pPr>
        <w:pStyle w:val="Heading2"/>
      </w:pPr>
      <w:bookmarkStart w:id="3" w:name="_Toc224494890"/>
      <w:r>
        <w:t xml:space="preserve">Analysis of </w:t>
      </w:r>
      <w:r w:rsidR="00FF783E" w:rsidRPr="00FF783E">
        <w:t>Liquidity</w:t>
      </w:r>
      <w:r>
        <w:t xml:space="preserve"> Ratios</w:t>
      </w:r>
      <w:bookmarkEnd w:id="3"/>
      <w:r>
        <w:t xml:space="preserve"> </w:t>
      </w:r>
    </w:p>
    <w:p w14:paraId="7210B0BC" w14:textId="2E862265" w:rsidR="00637D35" w:rsidRPr="00637D35" w:rsidRDefault="00065A4C" w:rsidP="00637D35">
      <w:r w:rsidRPr="00065A4C">
        <w:t xml:space="preserve">The liquidity ratios of Volkswagen indicate that the company faces certain problems with </w:t>
      </w:r>
      <w:r w:rsidR="003166F5">
        <w:t>its</w:t>
      </w:r>
      <w:r w:rsidRPr="00065A4C">
        <w:t xml:space="preserve"> financial health in the short term. The Current Ratio</w:t>
      </w:r>
      <w:r w:rsidR="003166F5">
        <w:t>,</w:t>
      </w:r>
      <w:r w:rsidRPr="00065A4C">
        <w:t xml:space="preserve"> which is used to determine the solvency of the company using short</w:t>
      </w:r>
      <w:r w:rsidR="003166F5">
        <w:t>-</w:t>
      </w:r>
      <w:r w:rsidRPr="00065A4C">
        <w:t xml:space="preserve">term liabilities and </w:t>
      </w:r>
      <w:r w:rsidR="00F77EE7" w:rsidRPr="00065A4C">
        <w:t>short-term</w:t>
      </w:r>
      <w:r w:rsidRPr="00065A4C">
        <w:t xml:space="preserve"> assets</w:t>
      </w:r>
      <w:r w:rsidR="003166F5">
        <w:t>,</w:t>
      </w:r>
      <w:r w:rsidRPr="00065A4C">
        <w:t xml:space="preserve"> has been between 1.18 </w:t>
      </w:r>
      <w:r w:rsidR="003166F5">
        <w:t>and</w:t>
      </w:r>
      <w:r w:rsidRPr="00065A4C">
        <w:t xml:space="preserve"> 1.23 between 2020 and 2022</w:t>
      </w:r>
      <w:r w:rsidR="00F37D91">
        <w:t xml:space="preserve"> (Figure </w:t>
      </w:r>
      <w:r w:rsidR="00A84D68">
        <w:t>2</w:t>
      </w:r>
      <w:r w:rsidR="00F37D91">
        <w:t>)</w:t>
      </w:r>
      <w:r w:rsidRPr="00065A4C">
        <w:t xml:space="preserve">. That is why it dropped to 1.16 in 2023 and 1.13 in 2024, which is an indicator of a slow worsening of Volkswagen in </w:t>
      </w:r>
      <w:r w:rsidRPr="00065A4C">
        <w:lastRenderedPageBreak/>
        <w:t xml:space="preserve">terms of covering short-term obligations. Even though these ratios are still higher than the critical value of 1.0, the decreasing trend could indicate that the company is progressing towards being more tightfisted in terms of handling the </w:t>
      </w:r>
      <w:r w:rsidR="003E6520" w:rsidRPr="00065A4C">
        <w:t>short-term</w:t>
      </w:r>
      <w:r w:rsidRPr="00065A4C">
        <w:t xml:space="preserve"> liabilities. The Cash Ratio is a more conservative indicator of </w:t>
      </w:r>
      <w:r w:rsidR="003E6520" w:rsidRPr="00065A4C">
        <w:t>liquidity;</w:t>
      </w:r>
      <w:r w:rsidRPr="00065A4C">
        <w:t xml:space="preserve"> its value has stayed low (between 0.20 and 0.24) </w:t>
      </w:r>
      <w:r w:rsidR="003166F5">
        <w:t>from</w:t>
      </w:r>
      <w:r w:rsidRPr="00065A4C">
        <w:t xml:space="preserve"> 2020 to 2023 and has slightly decreased in 2024 to 0.19</w:t>
      </w:r>
      <w:r w:rsidR="00F37D91">
        <w:t xml:space="preserve"> (Figure </w:t>
      </w:r>
      <w:r w:rsidR="00A84D68">
        <w:t>2</w:t>
      </w:r>
      <w:r w:rsidR="00F37D91">
        <w:t>)</w:t>
      </w:r>
      <w:r w:rsidRPr="00065A4C">
        <w:t>. Such a low cash ratio indicates that Volkswagen does not use its liquid assets to finance its short-term liabilities as much</w:t>
      </w:r>
      <w:r w:rsidR="003166F5">
        <w:t>,</w:t>
      </w:r>
      <w:r w:rsidRPr="00065A4C">
        <w:t xml:space="preserve"> and it is more dependent on credit facilities or working capital management. The Current Ratio</w:t>
      </w:r>
      <w:r w:rsidR="003166F5">
        <w:t xml:space="preserve"> and</w:t>
      </w:r>
      <w:r w:rsidRPr="00065A4C">
        <w:t xml:space="preserve"> the Cash Ratio </w:t>
      </w:r>
      <w:r w:rsidR="003166F5">
        <w:t>are both</w:t>
      </w:r>
      <w:r w:rsidRPr="00065A4C">
        <w:t xml:space="preserve"> experiencing a downward </w:t>
      </w:r>
      <w:r w:rsidR="003E6520" w:rsidRPr="00065A4C">
        <w:t>trend,</w:t>
      </w:r>
      <w:r w:rsidRPr="00065A4C">
        <w:t xml:space="preserve"> and this is a signal of possible pressure in terms of liquidity. Volkswagen has been able to cover the short-term liabilities since it </w:t>
      </w:r>
      <w:r w:rsidR="003166F5">
        <w:t>can</w:t>
      </w:r>
      <w:r w:rsidRPr="00065A4C">
        <w:t xml:space="preserve"> pay them in terms of a ratio of above 1.0. This is</w:t>
      </w:r>
      <w:r w:rsidR="003166F5">
        <w:t>,</w:t>
      </w:r>
      <w:r w:rsidRPr="00065A4C">
        <w:t xml:space="preserve"> however</w:t>
      </w:r>
      <w:r w:rsidR="003166F5">
        <w:t>,</w:t>
      </w:r>
      <w:r w:rsidRPr="00065A4C">
        <w:t xml:space="preserve"> becoming harder as time goes by. The decreases in ratios of liquidity indicate that the organi</w:t>
      </w:r>
      <w:r w:rsidR="003166F5">
        <w:t>s</w:t>
      </w:r>
      <w:r w:rsidRPr="00065A4C">
        <w:t>ation may have trouble accessing cash flows</w:t>
      </w:r>
      <w:r w:rsidR="003166F5">
        <w:t>,</w:t>
      </w:r>
      <w:r w:rsidRPr="00065A4C">
        <w:t xml:space="preserve"> hence being less flexible to meet sudden financial needs</w:t>
      </w:r>
      <w:r w:rsidR="003166F5">
        <w:t>,</w:t>
      </w:r>
      <w:r w:rsidRPr="00065A4C">
        <w:t xml:space="preserve"> particularly in fluctuating markets.</w:t>
      </w:r>
    </w:p>
    <w:p w14:paraId="0D355BE8" w14:textId="0492FA0A" w:rsidR="00FF783E" w:rsidRDefault="00D557EF" w:rsidP="00D557EF">
      <w:pPr>
        <w:pStyle w:val="Heading2"/>
      </w:pPr>
      <w:bookmarkStart w:id="4" w:name="_Toc224494891"/>
      <w:r>
        <w:t xml:space="preserve">Analysis of </w:t>
      </w:r>
      <w:r w:rsidR="00FF783E" w:rsidRPr="00FF783E">
        <w:t>Efficiency</w:t>
      </w:r>
      <w:r>
        <w:t xml:space="preserve"> Ratios</w:t>
      </w:r>
      <w:bookmarkEnd w:id="4"/>
      <w:r>
        <w:t xml:space="preserve"> </w:t>
      </w:r>
    </w:p>
    <w:p w14:paraId="182802C9" w14:textId="20778F19" w:rsidR="003E6520" w:rsidRPr="003E6520" w:rsidRDefault="00C07093" w:rsidP="003E6520">
      <w:r w:rsidRPr="00C07093">
        <w:t xml:space="preserve">The overall trend of </w:t>
      </w:r>
      <w:r w:rsidR="00F77EE7" w:rsidRPr="00C07093">
        <w:t>Volkswagen</w:t>
      </w:r>
      <w:r w:rsidR="003166F5">
        <w:t>'s</w:t>
      </w:r>
      <w:r w:rsidRPr="00C07093">
        <w:t xml:space="preserve"> efficiency ratios has been on the positive side</w:t>
      </w:r>
      <w:r w:rsidR="003166F5">
        <w:t>,</w:t>
      </w:r>
      <w:r w:rsidRPr="00C07093">
        <w:t xml:space="preserve"> which indicates that the company has enhanced its capacity to use its assets to increase its revenues. The Asset Turnover ratio is the ratio that informs the company of how well the company utilises its assets to create sales, and the ratio has improved </w:t>
      </w:r>
      <w:r w:rsidR="003166F5">
        <w:t>from</w:t>
      </w:r>
      <w:r w:rsidRPr="00C07093">
        <w:t xml:space="preserve"> 0.67 in 2020 to 0.78 in 2024</w:t>
      </w:r>
      <w:r w:rsidR="00F37D91">
        <w:t xml:space="preserve"> (Figure </w:t>
      </w:r>
      <w:r w:rsidR="00A84D68">
        <w:t>3</w:t>
      </w:r>
      <w:r w:rsidR="00F37D91">
        <w:t>)</w:t>
      </w:r>
      <w:r w:rsidRPr="00C07093">
        <w:t xml:space="preserve">. This is a step in the right </w:t>
      </w:r>
      <w:r w:rsidR="00F77EE7" w:rsidRPr="00C07093">
        <w:t>direction,</w:t>
      </w:r>
      <w:r w:rsidRPr="00C07093">
        <w:t xml:space="preserve"> but the ratio is </w:t>
      </w:r>
      <w:proofErr w:type="gramStart"/>
      <w:r w:rsidRPr="00C07093">
        <w:t>fairly low</w:t>
      </w:r>
      <w:proofErr w:type="gramEnd"/>
      <w:r w:rsidRPr="00C07093">
        <w:t xml:space="preserve">, which means that Volkswagen can still increase its efficiency in using </w:t>
      </w:r>
      <w:r w:rsidR="003166F5">
        <w:t>its</w:t>
      </w:r>
      <w:r w:rsidRPr="00C07093">
        <w:t xml:space="preserve"> assets. </w:t>
      </w:r>
      <w:r w:rsidR="00F37D91">
        <w:t xml:space="preserve">Figure </w:t>
      </w:r>
      <w:r w:rsidR="00A84D68">
        <w:t>3</w:t>
      </w:r>
      <w:r w:rsidR="00F37D91">
        <w:t xml:space="preserve"> shows t</w:t>
      </w:r>
      <w:r w:rsidRPr="00C07093">
        <w:t>he Inventory Turnover ratio</w:t>
      </w:r>
      <w:r w:rsidR="003166F5">
        <w:t>, which</w:t>
      </w:r>
      <w:r w:rsidRPr="00C07093">
        <w:t xml:space="preserve"> indicates the speed at which the inventory is sold and replaced</w:t>
      </w:r>
      <w:r w:rsidR="003166F5">
        <w:t>,</w:t>
      </w:r>
      <w:r w:rsidRPr="00C07093">
        <w:t xml:space="preserve"> rose to 4.68 in 2024 compared to 4.20 in 2020, which is an indication that the company has handled the inventory better and has increased its efficiency in its operations. This is a positive development that means that products can be sold faster by Volkswagen</w:t>
      </w:r>
      <w:r w:rsidR="003166F5">
        <w:t>,</w:t>
      </w:r>
      <w:r w:rsidRPr="00C07093">
        <w:t xml:space="preserve"> and that means that the cost of inventory holding will be reduced</w:t>
      </w:r>
      <w:r w:rsidR="003166F5">
        <w:t>,</w:t>
      </w:r>
      <w:r w:rsidRPr="00C07093">
        <w:t xml:space="preserve"> and it will boost sales. Asset Turnover and Inventory Turnover </w:t>
      </w:r>
      <w:r w:rsidR="003166F5">
        <w:t>hav</w:t>
      </w:r>
      <w:r w:rsidRPr="00C07093">
        <w:t>e steadily improved, which means that there is a higher efficiency in terms of assets and inventory management. Over the years</w:t>
      </w:r>
      <w:r w:rsidR="003166F5">
        <w:t>,</w:t>
      </w:r>
      <w:r w:rsidRPr="00C07093">
        <w:t xml:space="preserve"> Volkswagen has also successfully increased the efficiency of asset and inventory management</w:t>
      </w:r>
      <w:r w:rsidR="003166F5">
        <w:t>,</w:t>
      </w:r>
      <w:r w:rsidRPr="00C07093">
        <w:t xml:space="preserve"> which has minimi</w:t>
      </w:r>
      <w:r w:rsidR="003166F5">
        <w:t>s</w:t>
      </w:r>
      <w:r w:rsidRPr="00C07093">
        <w:t xml:space="preserve">ed the waste and increased its capacity to </w:t>
      </w:r>
      <w:r w:rsidRPr="00C07093">
        <w:lastRenderedPageBreak/>
        <w:t>derive revenue out of its resources</w:t>
      </w:r>
      <w:r w:rsidR="00B31D97">
        <w:t xml:space="preserve"> </w:t>
      </w:r>
      <w:r w:rsidR="00B31D97" w:rsidRPr="00B31D97">
        <w:t>(Volkswagen, 2024)</w:t>
      </w:r>
      <w:r w:rsidRPr="00C07093">
        <w:t>. The low Asset Turnover ratio indicates that Volkswagen may have much more to achieve in the use of its assets to optimi</w:t>
      </w:r>
      <w:r w:rsidR="003166F5">
        <w:t>s</w:t>
      </w:r>
      <w:r w:rsidRPr="00C07093">
        <w:t>e the collection of revenues.</w:t>
      </w:r>
    </w:p>
    <w:p w14:paraId="04C66E34" w14:textId="158EF454" w:rsidR="00FF783E" w:rsidRDefault="00D557EF" w:rsidP="00D557EF">
      <w:pPr>
        <w:pStyle w:val="Heading2"/>
      </w:pPr>
      <w:bookmarkStart w:id="5" w:name="_Toc224494892"/>
      <w:r>
        <w:t xml:space="preserve">Analysis of </w:t>
      </w:r>
      <w:r w:rsidR="00FF783E" w:rsidRPr="00FF783E">
        <w:t>Gearing</w:t>
      </w:r>
      <w:r>
        <w:t xml:space="preserve"> Ratios</w:t>
      </w:r>
      <w:bookmarkEnd w:id="5"/>
      <w:r>
        <w:t xml:space="preserve"> </w:t>
      </w:r>
    </w:p>
    <w:p w14:paraId="516B5E34" w14:textId="1E10B37D" w:rsidR="007070C9" w:rsidRPr="007070C9" w:rsidRDefault="003A3980" w:rsidP="007070C9">
      <w:r w:rsidRPr="003A3980">
        <w:t xml:space="preserve">The gearing ratios of Volkswagen show a change in its dependence on debt funding. </w:t>
      </w:r>
      <w:r w:rsidR="00F37D91">
        <w:t xml:space="preserve">Figure </w:t>
      </w:r>
      <w:r w:rsidR="00A84D68">
        <w:t>4</w:t>
      </w:r>
      <w:r w:rsidR="00F37D91">
        <w:t xml:space="preserve"> shows t</w:t>
      </w:r>
      <w:r w:rsidRPr="003A3980">
        <w:t xml:space="preserve">he </w:t>
      </w:r>
      <w:r w:rsidR="00F77EE7" w:rsidRPr="003A3980">
        <w:t>Debt-to-Equity</w:t>
      </w:r>
      <w:r w:rsidRPr="003A3980">
        <w:t xml:space="preserve"> Ratio, which is an indicator of the financial leverage of the company, has declined to 1.11 in 2024 compared to 1.58 in 2020. This decline indicates that Volkswagen has been struggling to decrease its reliance on debt</w:t>
      </w:r>
      <w:r w:rsidR="003166F5">
        <w:t>,</w:t>
      </w:r>
      <w:r w:rsidRPr="003A3980">
        <w:t xml:space="preserve"> which may decrease </w:t>
      </w:r>
      <w:r w:rsidR="003166F5">
        <w:t>its</w:t>
      </w:r>
      <w:r w:rsidRPr="003A3980">
        <w:t xml:space="preserve"> financial risk. This is an encouraging sign because a lower debt ratio will lower the interest repayments and enhance the capacity of the company to withstand economic turbulence periods. Interest </w:t>
      </w:r>
      <w:r w:rsidR="00F37D91" w:rsidRPr="003A3980">
        <w:t>C</w:t>
      </w:r>
      <w:r w:rsidR="00F37D91">
        <w:t>overag</w:t>
      </w:r>
      <w:r w:rsidR="00F37D91" w:rsidRPr="003A3980">
        <w:t>e</w:t>
      </w:r>
      <w:r w:rsidRPr="003A3980">
        <w:t xml:space="preserve"> Ratio, which is the capacity to meet interest payments utili</w:t>
      </w:r>
      <w:r w:rsidR="003166F5">
        <w:t>s</w:t>
      </w:r>
      <w:r w:rsidRPr="003A3980">
        <w:t xml:space="preserve">ing the earnings preceding interest and charges, has exhibited a lot of volatility. </w:t>
      </w:r>
      <w:r w:rsidR="00F37D91">
        <w:t xml:space="preserve">Figure </w:t>
      </w:r>
      <w:r w:rsidR="00A84D68">
        <w:t>4</w:t>
      </w:r>
      <w:r w:rsidR="00F37D91">
        <w:t xml:space="preserve"> shows</w:t>
      </w:r>
      <w:r w:rsidR="00F37D91" w:rsidRPr="003A3980">
        <w:t xml:space="preserve"> </w:t>
      </w:r>
      <w:r w:rsidR="00F37D91">
        <w:t>that i</w:t>
      </w:r>
      <w:r w:rsidRPr="003A3980">
        <w:t xml:space="preserve">t rose considerably in 2020 </w:t>
      </w:r>
      <w:r w:rsidR="003166F5">
        <w:t>from</w:t>
      </w:r>
      <w:r w:rsidRPr="003A3980">
        <w:t xml:space="preserve"> 4.22 to 50.05 in </w:t>
      </w:r>
      <w:r w:rsidR="00F77EE7" w:rsidRPr="003A3980">
        <w:t>2022 and</w:t>
      </w:r>
      <w:r w:rsidRPr="003A3980">
        <w:t xml:space="preserve"> reverted to 5.53 in 2024. The first growth is an indication that Volkswagen had a high potential to meet its interests, but the latter decline might be an indicator of a lesser capacity to deal with debt or the difficulty </w:t>
      </w:r>
      <w:r w:rsidR="003166F5">
        <w:t>in</w:t>
      </w:r>
      <w:r w:rsidRPr="003A3980">
        <w:t xml:space="preserve"> raising adequate EBIT over the past few years. The Debt-to-Equity Ratio has also increased, which means that the company does not depend on debt that much, whereas the Interest Coverage Ratio is characteri</w:t>
      </w:r>
      <w:r w:rsidR="003166F5">
        <w:t>s</w:t>
      </w:r>
      <w:r w:rsidRPr="003A3980">
        <w:t xml:space="preserve">ed by a high degree of volatility. The decline in the Debt-to-Equity ratio demonstrates that Volkswagen has been efficient </w:t>
      </w:r>
      <w:r w:rsidR="003166F5">
        <w:t>in enhancing</w:t>
      </w:r>
      <w:r w:rsidRPr="003A3980">
        <w:t xml:space="preserve"> its capital structure and financial leverage. The reduction in the Interest Coverage Ratio and its fluctuation </w:t>
      </w:r>
      <w:proofErr w:type="gramStart"/>
      <w:r w:rsidRPr="003A3980">
        <w:t>raise</w:t>
      </w:r>
      <w:proofErr w:type="gramEnd"/>
      <w:r w:rsidRPr="003A3980">
        <w:t xml:space="preserve"> an issue of how the company will afford the interests as its EBIT keeps </w:t>
      </w:r>
      <w:r w:rsidR="003368B5" w:rsidRPr="003A3980">
        <w:t>dwindling</w:t>
      </w:r>
      <w:r w:rsidR="003166F5">
        <w:t>,</w:t>
      </w:r>
      <w:r w:rsidR="003368B5" w:rsidRPr="003A3980">
        <w:t xml:space="preserve"> and</w:t>
      </w:r>
      <w:r w:rsidRPr="003A3980">
        <w:t xml:space="preserve"> indicate that the company will experience financial pressure in case the trend persists.</w:t>
      </w:r>
    </w:p>
    <w:p w14:paraId="180EFE54" w14:textId="283FF1D1" w:rsidR="00FF783E" w:rsidRDefault="00D557EF" w:rsidP="00D557EF">
      <w:pPr>
        <w:pStyle w:val="Heading2"/>
      </w:pPr>
      <w:bookmarkStart w:id="6" w:name="_Toc224494893"/>
      <w:r>
        <w:t xml:space="preserve">Analysis of </w:t>
      </w:r>
      <w:r w:rsidR="00FF783E" w:rsidRPr="00FF783E">
        <w:t>Investment</w:t>
      </w:r>
      <w:r>
        <w:t xml:space="preserve"> Ratios</w:t>
      </w:r>
      <w:bookmarkEnd w:id="6"/>
      <w:r>
        <w:t xml:space="preserve"> </w:t>
      </w:r>
    </w:p>
    <w:p w14:paraId="766FC12E" w14:textId="29158BAC" w:rsidR="003368B5" w:rsidRPr="003368B5" w:rsidRDefault="00025CDA" w:rsidP="003368B5">
      <w:r w:rsidRPr="00025CDA">
        <w:t xml:space="preserve">The investment ratios of Volkswagen indicate a </w:t>
      </w:r>
      <w:r w:rsidR="00F77EE7" w:rsidRPr="00025CDA">
        <w:t>favourable</w:t>
      </w:r>
      <w:r w:rsidRPr="00025CDA">
        <w:t>, but rather evinced image of the company in the stock market. Earnings Per Share (EPS) increased to 31.79 in 2023</w:t>
      </w:r>
      <w:r w:rsidR="003166F5">
        <w:t>,</w:t>
      </w:r>
      <w:r w:rsidRPr="00025CDA">
        <w:t xml:space="preserve"> </w:t>
      </w:r>
      <w:r w:rsidR="003166F5">
        <w:t>and</w:t>
      </w:r>
      <w:r w:rsidRPr="00025CDA">
        <w:t xml:space="preserve"> then dropped to 21.36 in 2024</w:t>
      </w:r>
      <w:r w:rsidR="003166F5">
        <w:t>,</w:t>
      </w:r>
      <w:r w:rsidRPr="00025CDA">
        <w:t xml:space="preserve"> compared to 16.60 in 2020</w:t>
      </w:r>
      <w:r w:rsidR="00743640">
        <w:t xml:space="preserve"> (Figure </w:t>
      </w:r>
      <w:r w:rsidR="00A84D68">
        <w:t>5</w:t>
      </w:r>
      <w:r w:rsidR="00743640">
        <w:t>)</w:t>
      </w:r>
      <w:r w:rsidRPr="00025CDA">
        <w:t xml:space="preserve">. This expansion of EPS indicates that it can create higher profit per share, but the decrease in 2024 casts </w:t>
      </w:r>
      <w:r w:rsidRPr="00025CDA">
        <w:lastRenderedPageBreak/>
        <w:t>a question on whether Volkswagen can create more earnings</w:t>
      </w:r>
      <w:r w:rsidR="003166F5">
        <w:t>,</w:t>
      </w:r>
      <w:r w:rsidRPr="00025CDA">
        <w:t xml:space="preserve"> as obstacles may arise. The Price to Earnings (P/E) ratio is calculated as the ratio of the </w:t>
      </w:r>
      <w:r w:rsidR="0067408A" w:rsidRPr="00025CDA">
        <w:t>market’s</w:t>
      </w:r>
      <w:r w:rsidRPr="00025CDA">
        <w:t xml:space="preserve"> estimation of the company in comparison with its earnings, and it has been observed that the current ratio of 2024 is 4.33 lower than the 2020 ratio of 6.07</w:t>
      </w:r>
      <w:r w:rsidR="00743640">
        <w:t xml:space="preserve"> (Figure </w:t>
      </w:r>
      <w:r w:rsidR="00A84D68">
        <w:t>5</w:t>
      </w:r>
      <w:r w:rsidR="00743640">
        <w:t>)</w:t>
      </w:r>
      <w:r w:rsidRPr="00025CDA">
        <w:t>. This downward change can indicate the possibility of a less optimistic market regarding the future growth potential of Volkswagen or the potential that the stock is under-valued which can give investors an opportunity. The EPS growth is in the positive direction, though having a low point in 2024, and the P/E ratio reflects a decreasing tendency, which indicates a reserved attitude of the market towards the future performance of Volkswagen. The increase in the rate of EPS over the years indicates an indication that Volkswagen is achieving its objectives in enhancing the profitability rate and the shareholder value</w:t>
      </w:r>
      <w:r w:rsidR="004F369A">
        <w:t xml:space="preserve"> </w:t>
      </w:r>
      <w:r w:rsidR="004F369A" w:rsidRPr="004F369A">
        <w:t>(Volkswagen, 2024)</w:t>
      </w:r>
      <w:r w:rsidRPr="00025CDA">
        <w:t xml:space="preserve">. The P/E ratio is on </w:t>
      </w:r>
      <w:r w:rsidR="003166F5">
        <w:t>a</w:t>
      </w:r>
      <w:r w:rsidRPr="00025CDA">
        <w:t xml:space="preserve"> downward trend</w:t>
      </w:r>
      <w:r w:rsidR="003166F5">
        <w:t>,</w:t>
      </w:r>
      <w:r w:rsidRPr="00025CDA">
        <w:t xml:space="preserve"> which is an indication that the market is increasingly becoming cautious, probably </w:t>
      </w:r>
      <w:r w:rsidR="003166F5">
        <w:t>due to</w:t>
      </w:r>
      <w:r w:rsidRPr="00025CDA">
        <w:t xml:space="preserve"> future growth or </w:t>
      </w:r>
      <w:r w:rsidR="003166F5">
        <w:t xml:space="preserve">the </w:t>
      </w:r>
      <w:r w:rsidRPr="00025CDA">
        <w:t>external market environment.</w:t>
      </w:r>
    </w:p>
    <w:p w14:paraId="161AB5CB" w14:textId="7C5956FC" w:rsidR="00525F90" w:rsidRDefault="00D557EF" w:rsidP="00D557EF">
      <w:pPr>
        <w:pStyle w:val="Heading2"/>
      </w:pPr>
      <w:bookmarkStart w:id="7" w:name="_Toc224494894"/>
      <w:r>
        <w:t xml:space="preserve">Analysis of </w:t>
      </w:r>
      <w:r w:rsidR="00FF783E" w:rsidRPr="00FF783E">
        <w:t>Cash</w:t>
      </w:r>
      <w:r w:rsidR="00FF783E">
        <w:t xml:space="preserve"> </w:t>
      </w:r>
      <w:r w:rsidR="003166F5">
        <w:t>F</w:t>
      </w:r>
      <w:r w:rsidR="00FF783E" w:rsidRPr="00FF783E">
        <w:t>low</w:t>
      </w:r>
      <w:r>
        <w:t xml:space="preserve"> Ratios</w:t>
      </w:r>
      <w:bookmarkEnd w:id="7"/>
      <w:r>
        <w:t xml:space="preserve"> </w:t>
      </w:r>
    </w:p>
    <w:p w14:paraId="49E94BE7" w14:textId="6AF6A441" w:rsidR="00D557EF" w:rsidRDefault="00A71B24" w:rsidP="00525F90">
      <w:r w:rsidRPr="00A71B24">
        <w:t>The cash flow ratios of Volkswagen have positive and disturbing tendencies. The Operating Cash Flow Ratio, the ratio of cash available to meet operational expenditure of the company based on the cash available through operations, has been somewhat low and has increased to 0.15 in 2020 and further to 0.16 in 2022, and has slightly dropped to 0.08 in 2024</w:t>
      </w:r>
      <w:r w:rsidR="00010EE9">
        <w:t xml:space="preserve"> (Figure </w:t>
      </w:r>
      <w:r w:rsidR="00A84D68">
        <w:t>6</w:t>
      </w:r>
      <w:r w:rsidR="00010EE9">
        <w:t>)</w:t>
      </w:r>
      <w:r w:rsidRPr="00A71B24">
        <w:t>. This implies that though Volkswagen has been able to enhance its operational cash flow, it is still not enough to meet the operational costs fully. The Debt to Operating Cash Flow Ratio is a metric that indicates the amount of debt the company requires to execute its operations; and it has been rising consistently over time since the year 2020 at the beginning of the year at 8.15, and in 2024, it has reached 12.78</w:t>
      </w:r>
      <w:r w:rsidR="00010EE9">
        <w:t xml:space="preserve"> (Figure </w:t>
      </w:r>
      <w:r w:rsidR="00A84D68">
        <w:t>6</w:t>
      </w:r>
      <w:r w:rsidR="00010EE9">
        <w:t>)</w:t>
      </w:r>
      <w:r w:rsidRPr="00A71B24">
        <w:t>. This shows that it is possible that Volkswagen is depending more on debt financing to fund its operations, which would be problematic in case cash flow w</w:t>
      </w:r>
      <w:r w:rsidR="0077244D">
        <w:t>ere to</w:t>
      </w:r>
      <w:r w:rsidRPr="00A71B24">
        <w:t xml:space="preserve"> dwindle or debt servicing w</w:t>
      </w:r>
      <w:r w:rsidR="0077244D">
        <w:t>ere to</w:t>
      </w:r>
      <w:r w:rsidRPr="00A71B24">
        <w:t xml:space="preserve"> become more challenging. The Operating Cash Flow Ratio has not significantly increased</w:t>
      </w:r>
      <w:r w:rsidR="0077244D">
        <w:t>,</w:t>
      </w:r>
      <w:r w:rsidRPr="00A71B24">
        <w:t xml:space="preserve"> but </w:t>
      </w:r>
      <w:r w:rsidR="0077244D">
        <w:t>it is still</w:t>
      </w:r>
      <w:r w:rsidRPr="00A71B24">
        <w:t xml:space="preserve"> low</w:t>
      </w:r>
      <w:r w:rsidR="0077244D">
        <w:t>,</w:t>
      </w:r>
      <w:r w:rsidRPr="00A71B24">
        <w:t xml:space="preserve"> whereas </w:t>
      </w:r>
      <w:r w:rsidR="009633DE">
        <w:t xml:space="preserve">the </w:t>
      </w:r>
      <w:r w:rsidRPr="00A71B24">
        <w:t>Debt to Operating Cash Flow Ratio indicates that it is increasingly dependent on debt. VW has ex</w:t>
      </w:r>
      <w:r w:rsidR="009633DE">
        <w:t>perienc</w:t>
      </w:r>
      <w:r w:rsidRPr="00A71B24">
        <w:t xml:space="preserve">ed a slight improvement in managing operations cash flow; nevertheless, it continues to experience </w:t>
      </w:r>
      <w:r w:rsidRPr="00A71B24">
        <w:lastRenderedPageBreak/>
        <w:t>difficulties in turning the profit into cash</w:t>
      </w:r>
      <w:r w:rsidR="004F369A">
        <w:t xml:space="preserve"> </w:t>
      </w:r>
      <w:r w:rsidR="004F369A" w:rsidRPr="004F369A">
        <w:t>(Volkswagen, 2024)</w:t>
      </w:r>
      <w:r w:rsidRPr="00A71B24">
        <w:t>. The growing Debt to Operating Cash Flow Ratio is an indication of growing financial risk that may be problematic in case the cash flow generation is weakened</w:t>
      </w:r>
      <w:r w:rsidR="0077244D">
        <w:t>,</w:t>
      </w:r>
      <w:r w:rsidRPr="00A71B24">
        <w:t xml:space="preserve"> or the interest rates increase.</w:t>
      </w:r>
    </w:p>
    <w:p w14:paraId="13DAFF95" w14:textId="77777777" w:rsidR="009B3266" w:rsidRDefault="009B3266" w:rsidP="00525F90"/>
    <w:p w14:paraId="55295FFD" w14:textId="77777777" w:rsidR="00393399" w:rsidRDefault="00393399" w:rsidP="00525F90"/>
    <w:p w14:paraId="40552562" w14:textId="77777777" w:rsidR="00D557EF" w:rsidRDefault="00D557EF" w:rsidP="00525F90"/>
    <w:p w14:paraId="0222E171" w14:textId="0F2F6526" w:rsidR="0067408A" w:rsidRDefault="0067408A">
      <w:pPr>
        <w:spacing w:before="0" w:after="160" w:line="259" w:lineRule="auto"/>
        <w:jc w:val="left"/>
      </w:pPr>
      <w:r>
        <w:br w:type="page"/>
      </w:r>
    </w:p>
    <w:p w14:paraId="28482605" w14:textId="28A98A66" w:rsidR="0067408A" w:rsidRDefault="0067408A" w:rsidP="00250A31">
      <w:pPr>
        <w:pStyle w:val="Heading1"/>
      </w:pPr>
      <w:bookmarkStart w:id="8" w:name="_Toc224494895"/>
      <w:r>
        <w:lastRenderedPageBreak/>
        <w:t xml:space="preserve">Task 2: </w:t>
      </w:r>
      <w:r w:rsidR="00250A31">
        <w:t>Analysis of Working Capital Management of Volkswagen</w:t>
      </w:r>
      <w:bookmarkEnd w:id="8"/>
    </w:p>
    <w:p w14:paraId="50C9AA2C" w14:textId="05B69DB4" w:rsidR="00250A31" w:rsidRDefault="00336B0E" w:rsidP="00336B0E">
      <w:pPr>
        <w:pStyle w:val="Heading2"/>
      </w:pPr>
      <w:bookmarkStart w:id="9" w:name="_Toc224494896"/>
      <w:r>
        <w:t>Cash Operating Cycle Assessment</w:t>
      </w:r>
      <w:bookmarkEnd w:id="9"/>
    </w:p>
    <w:p w14:paraId="7720FC64" w14:textId="2C88F891" w:rsidR="0077573E" w:rsidRDefault="006B25EE" w:rsidP="0077573E">
      <w:r w:rsidRPr="006B25EE">
        <w:t>The gradual decline of Volkswagen Days Inventory Outstanding (DIO) has been observed</w:t>
      </w:r>
      <w:r w:rsidR="0077244D">
        <w:t>;</w:t>
      </w:r>
      <w:r w:rsidRPr="006B25EE">
        <w:t xml:space="preserve"> that is, in 2020, it amounted to 85.77 days, and in 2024, the company had 77.00 days</w:t>
      </w:r>
      <w:r w:rsidR="00044354">
        <w:t xml:space="preserve"> (Table 2)</w:t>
      </w:r>
      <w:r w:rsidRPr="006B25EE">
        <w:t>. This decrease indicates that the company has be</w:t>
      </w:r>
      <w:r w:rsidR="0077244D">
        <w:t>com</w:t>
      </w:r>
      <w:r w:rsidRPr="006B25EE">
        <w:t>e more efficient in managing its inventory and is turning its inventory faster. The fall in 2020 to 2021 and slight rises in 2022 and 2023, and the same constant value in 2024</w:t>
      </w:r>
      <w:r w:rsidR="0077244D">
        <w:t>,</w:t>
      </w:r>
      <w:r w:rsidRPr="006B25EE">
        <w:t xml:space="preserve"> represent increased efficiency in the functioning of the inventory. Equally, Days Sales Outstanding (DSO) or days on average that Volkswagen takes to collect its money </w:t>
      </w:r>
      <w:r w:rsidR="003D5412" w:rsidRPr="006B25EE">
        <w:t>from</w:t>
      </w:r>
      <w:r w:rsidRPr="006B25EE">
        <w:t xml:space="preserve"> its customers dropped to 23.43 in 2024 as compared to 26.24 in 2020</w:t>
      </w:r>
      <w:r w:rsidR="00044354">
        <w:t xml:space="preserve"> (Table 2)</w:t>
      </w:r>
      <w:r w:rsidRPr="006B25EE">
        <w:t>. The decrease in the DSO shows that the company has become more efficient in terms of collecting the payments of customers</w:t>
      </w:r>
      <w:r w:rsidR="0077244D">
        <w:t>,</w:t>
      </w:r>
      <w:r w:rsidRPr="006B25EE">
        <w:t xml:space="preserve"> and thus the cash flow of the company improved. The Days Payables Outstanding (DPO), or the relationship between the duration of time Volkswagen takes to pay suppliers, has been changing with a range of variations between a high in 2020 of 44.38 days and a 2024 low of 40.42 days</w:t>
      </w:r>
      <w:r w:rsidR="00044354">
        <w:t xml:space="preserve"> (Table 2)</w:t>
      </w:r>
      <w:r w:rsidRPr="006B25EE">
        <w:t xml:space="preserve">. A decrease in DPO with time indicates that Volkswagen is decreasing the </w:t>
      </w:r>
      <w:proofErr w:type="gramStart"/>
      <w:r w:rsidRPr="006B25EE">
        <w:t>time period</w:t>
      </w:r>
      <w:proofErr w:type="gramEnd"/>
      <w:r w:rsidRPr="006B25EE">
        <w:t xml:space="preserve"> to pay its payables, and this may be because of changing </w:t>
      </w:r>
      <w:r w:rsidR="003D5412" w:rsidRPr="006B25EE">
        <w:t>suppliers’</w:t>
      </w:r>
      <w:r w:rsidRPr="006B25EE">
        <w:t xml:space="preserve"> contracts, increasing efficiency or modifications in payment terms. All these aspects have led to the declining trend of </w:t>
      </w:r>
      <w:r w:rsidR="0077244D">
        <w:t xml:space="preserve">the </w:t>
      </w:r>
      <w:r w:rsidRPr="006B25EE">
        <w:t>Cash Operating Cycle of Volkswagen, starting with 67.62 days in 2020, peak</w:t>
      </w:r>
      <w:r w:rsidR="0077244D">
        <w:t>ing</w:t>
      </w:r>
      <w:r w:rsidRPr="006B25EE">
        <w:t xml:space="preserve"> at 61.26 </w:t>
      </w:r>
      <w:r w:rsidR="0077244D">
        <w:t xml:space="preserve">days </w:t>
      </w:r>
      <w:r w:rsidRPr="006B25EE">
        <w:t xml:space="preserve">in 2022 and </w:t>
      </w:r>
      <w:r w:rsidR="0077244D">
        <w:t xml:space="preserve">reaching a </w:t>
      </w:r>
      <w:r w:rsidRPr="006B25EE">
        <w:t>low in 2023 of 60.01 days</w:t>
      </w:r>
      <w:r w:rsidR="00044354">
        <w:t xml:space="preserve"> (Table 2)</w:t>
      </w:r>
      <w:r w:rsidRPr="006B25EE">
        <w:t>.</w:t>
      </w:r>
    </w:p>
    <w:p w14:paraId="30BD5D0F" w14:textId="3E62D814" w:rsidR="003D5412" w:rsidRPr="0077573E" w:rsidRDefault="00C36749" w:rsidP="0077573E">
      <w:r w:rsidRPr="00C36749">
        <w:t>The overall negative direction of COC</w:t>
      </w:r>
      <w:r w:rsidR="0077244D">
        <w:t>,</w:t>
      </w:r>
      <w:r w:rsidRPr="00C36749">
        <w:t xml:space="preserve"> as well as the increasing DSO and DIO</w:t>
      </w:r>
      <w:r w:rsidR="0077244D">
        <w:t>,</w:t>
      </w:r>
      <w:r w:rsidRPr="00C36749">
        <w:t xml:space="preserve"> points to the fact that Volkswagen has become more efficient in terms of working capital, as it lessens the time interval between cash outlay on the inventory and cash receipt of sales. The company has successfully minimi</w:t>
      </w:r>
      <w:r w:rsidR="0077244D">
        <w:t>s</w:t>
      </w:r>
      <w:r w:rsidRPr="00C36749">
        <w:t>ed the COC</w:t>
      </w:r>
      <w:r w:rsidR="0077244D">
        <w:t xml:space="preserve"> and</w:t>
      </w:r>
      <w:r w:rsidRPr="00C36749">
        <w:t xml:space="preserve"> improved liquidity through the reduction of the working capital turnover </w:t>
      </w:r>
      <w:r w:rsidR="0077244D">
        <w:t>i</w:t>
      </w:r>
      <w:r w:rsidRPr="00C36749">
        <w:t xml:space="preserve">n a shorter time. This is an economic indicator of efficiency in the operation of Volkswagen and </w:t>
      </w:r>
      <w:proofErr w:type="gramStart"/>
      <w:r w:rsidRPr="00C36749">
        <w:t>is capable of generating</w:t>
      </w:r>
      <w:proofErr w:type="gramEnd"/>
      <w:r w:rsidRPr="00C36749">
        <w:t xml:space="preserve"> cash faster. </w:t>
      </w:r>
      <w:r w:rsidRPr="00C36749">
        <w:lastRenderedPageBreak/>
        <w:t>Although the COC tends to decrease, the slight differences in the DIO and DPO may indicate the possible lack of efficiency in some domains. Another rise of DSO or a lengthy inventory high could pose a liquidity risk to the extent it is not handled well.</w:t>
      </w:r>
    </w:p>
    <w:p w14:paraId="444212CF" w14:textId="3AA2A3FC" w:rsidR="00336B0E" w:rsidRDefault="00CF63B7" w:rsidP="00CF63B7">
      <w:pPr>
        <w:pStyle w:val="Heading2"/>
      </w:pPr>
      <w:bookmarkStart w:id="10" w:name="_Toc224494897"/>
      <w:r>
        <w:t>Recommendations for Liquidity Improvement</w:t>
      </w:r>
      <w:bookmarkEnd w:id="10"/>
    </w:p>
    <w:p w14:paraId="2BE62FBB" w14:textId="39101DA6" w:rsidR="004F3408" w:rsidRDefault="004F3408" w:rsidP="0077573E">
      <w:r w:rsidRPr="009B2766">
        <w:t>Volkswagen</w:t>
      </w:r>
      <w:r w:rsidR="009B2766" w:rsidRPr="009B2766">
        <w:t xml:space="preserve"> can adopt some measures that aim at working capital reforms to enhance its liquidity even more. Inventory management is one of the areas that could be improved. Although the company has gone to the extent of minimi</w:t>
      </w:r>
      <w:r w:rsidR="0077244D">
        <w:t>s</w:t>
      </w:r>
      <w:r w:rsidR="009B2766" w:rsidRPr="009B2766">
        <w:t>ing DIO, more advancements in this field would enable Volkswagen to reduce its working capital needs. It is possible that the company may consider the use of advanced forecasting and inventory management based on just-in-time</w:t>
      </w:r>
      <w:r w:rsidR="0077244D">
        <w:t>, which</w:t>
      </w:r>
      <w:r w:rsidR="009B2766" w:rsidRPr="009B2766">
        <w:t xml:space="preserve"> will help reduce the capital locked in inventory </w:t>
      </w:r>
      <w:r w:rsidR="005667F0" w:rsidRPr="005667F0">
        <w:t>(Jenkins, 2024)</w:t>
      </w:r>
      <w:r w:rsidR="009B2766" w:rsidRPr="009B2766">
        <w:t>. Ensuring that the inventory amounts are more adjusted to the real sales, Volkswagen would be able to improve the liquidity and lower the costs of storage and holding.</w:t>
      </w:r>
    </w:p>
    <w:p w14:paraId="7EF105D4" w14:textId="687553D4" w:rsidR="0077573E" w:rsidRPr="0077573E" w:rsidRDefault="009B2766" w:rsidP="0077573E">
      <w:r w:rsidRPr="009B2766">
        <w:t xml:space="preserve">The other area that can be enhanced is accounts receivable management. Even though DSO has gone down over the years, </w:t>
      </w:r>
      <w:r w:rsidR="0077244D">
        <w:t>further decline</w:t>
      </w:r>
      <w:r w:rsidRPr="009B2766">
        <w:t xml:space="preserve"> of this measure will raise cash flow. VW can offer customers incentives on early </w:t>
      </w:r>
      <w:r w:rsidR="004F3408" w:rsidRPr="009B2766">
        <w:t>payments,</w:t>
      </w:r>
      <w:r w:rsidRPr="009B2766">
        <w:t xml:space="preserve"> and this might be in </w:t>
      </w:r>
      <w:r w:rsidR="0077244D">
        <w:t xml:space="preserve">the </w:t>
      </w:r>
      <w:r w:rsidRPr="009B2766">
        <w:t xml:space="preserve">form of discounts or other incentives to cut down the time required </w:t>
      </w:r>
      <w:r w:rsidR="0077244D">
        <w:t>for</w:t>
      </w:r>
      <w:r w:rsidRPr="009B2766">
        <w:t xml:space="preserve"> the collection of payments. Also, the late payers can be recogni</w:t>
      </w:r>
      <w:r w:rsidR="0077244D">
        <w:t>s</w:t>
      </w:r>
      <w:r w:rsidRPr="009B2766">
        <w:t xml:space="preserve">ed quickly at an earlier stage, and timely collections are achieved by enhancing the credit risk management process and regularly reviewing the customer payment history </w:t>
      </w:r>
      <w:r w:rsidR="0000427D" w:rsidRPr="0000427D">
        <w:t>(Martinez, 2024)</w:t>
      </w:r>
      <w:r w:rsidRPr="009B2766">
        <w:t>.</w:t>
      </w:r>
    </w:p>
    <w:p w14:paraId="33CE3D35" w14:textId="39C2C7ED" w:rsidR="00CF63B7" w:rsidRDefault="0077573E" w:rsidP="0077573E">
      <w:pPr>
        <w:pStyle w:val="Heading2"/>
      </w:pPr>
      <w:bookmarkStart w:id="11" w:name="_Toc224494898"/>
      <w:r>
        <w:t>Comparison of Short-Term vs Long-Term Financing Options</w:t>
      </w:r>
      <w:bookmarkEnd w:id="11"/>
    </w:p>
    <w:p w14:paraId="3865D6EE" w14:textId="4623926D" w:rsidR="00EE543D" w:rsidRDefault="008B7119" w:rsidP="0077573E">
      <w:r w:rsidRPr="008B7119">
        <w:t>Day to day working capital requirement can be handled by short term funds like revolving credit facilities, short term loans or trade credit which can be utilized to meet short term funds. Short</w:t>
      </w:r>
      <w:r w:rsidR="0077244D">
        <w:t>-</w:t>
      </w:r>
      <w:r w:rsidRPr="008B7119">
        <w:t xml:space="preserve">term financing is normally </w:t>
      </w:r>
      <w:r w:rsidR="00EE543D" w:rsidRPr="008B7119">
        <w:t>more relaxed and faster</w:t>
      </w:r>
      <w:r w:rsidRPr="008B7119">
        <w:t xml:space="preserve"> to acquire than long</w:t>
      </w:r>
      <w:r w:rsidR="0077244D">
        <w:t>-</w:t>
      </w:r>
      <w:r w:rsidRPr="008B7119">
        <w:t>term financing</w:t>
      </w:r>
      <w:r w:rsidR="0077244D">
        <w:t>,</w:t>
      </w:r>
      <w:r w:rsidRPr="008B7119">
        <w:t xml:space="preserve"> which makes it appropriate </w:t>
      </w:r>
      <w:r w:rsidR="0077244D">
        <w:t>for</w:t>
      </w:r>
      <w:r w:rsidRPr="008B7119">
        <w:t xml:space="preserve"> solving short liquidity problems or financing short</w:t>
      </w:r>
      <w:r w:rsidR="0077244D">
        <w:t>-term</w:t>
      </w:r>
      <w:r w:rsidRPr="008B7119">
        <w:t xml:space="preserve"> working capital. </w:t>
      </w:r>
    </w:p>
    <w:p w14:paraId="4EAE07E1" w14:textId="0EC7D413" w:rsidR="00EE543D" w:rsidRDefault="008B7119" w:rsidP="0077573E">
      <w:r w:rsidRPr="008B7119">
        <w:t xml:space="preserve">Nevertheless, long-term financing may be quite risky, as it may plunge Volkswagen into risks affecting its high interest rates, frequent refinancing, and may end up in liquidity </w:t>
      </w:r>
      <w:r w:rsidRPr="008B7119">
        <w:lastRenderedPageBreak/>
        <w:t xml:space="preserve">crises in </w:t>
      </w:r>
      <w:r w:rsidR="0077244D">
        <w:t xml:space="preserve">the </w:t>
      </w:r>
      <w:r w:rsidRPr="008B7119">
        <w:t xml:space="preserve">event of tight credit markets. Moreover, the short-term debt may not have adequate resources to invest in expansion strategies that take longer periods to bear fruit, including investing in research and development or capital expansion initiatives </w:t>
      </w:r>
      <w:r w:rsidR="005976B1" w:rsidRPr="005976B1">
        <w:t>(</w:t>
      </w:r>
      <w:proofErr w:type="spellStart"/>
      <w:r w:rsidR="005976B1" w:rsidRPr="005976B1">
        <w:t>Kinsha</w:t>
      </w:r>
      <w:proofErr w:type="spellEnd"/>
      <w:r w:rsidR="005976B1" w:rsidRPr="005976B1">
        <w:t xml:space="preserve"> and </w:t>
      </w:r>
      <w:proofErr w:type="spellStart"/>
      <w:r w:rsidR="005976B1" w:rsidRPr="005976B1">
        <w:t>Worme</w:t>
      </w:r>
      <w:proofErr w:type="spellEnd"/>
      <w:r w:rsidR="005976B1" w:rsidRPr="005976B1">
        <w:t>, 2022)</w:t>
      </w:r>
      <w:r w:rsidRPr="008B7119">
        <w:t xml:space="preserve">. </w:t>
      </w:r>
    </w:p>
    <w:p w14:paraId="74542D3B" w14:textId="5B1F02A2" w:rsidR="0077573E" w:rsidRDefault="008B7119" w:rsidP="0077573E">
      <w:r w:rsidRPr="008B7119">
        <w:t xml:space="preserve">Conversely, the strategic investments and expansion may be financed through the long-term financing options, </w:t>
      </w:r>
      <w:r w:rsidR="00FB5CEA" w:rsidRPr="008B7119">
        <w:t>i.e.,</w:t>
      </w:r>
      <w:r w:rsidRPr="008B7119">
        <w:t xml:space="preserve"> issuing bonds or taking long-term loans. Long</w:t>
      </w:r>
      <w:r w:rsidR="0077244D">
        <w:t>-</w:t>
      </w:r>
      <w:r w:rsidRPr="008B7119">
        <w:t>term financing is more stable because it is often affordable in terms of interest rates</w:t>
      </w:r>
      <w:r w:rsidR="0077244D">
        <w:t>,</w:t>
      </w:r>
      <w:r w:rsidRPr="008B7119">
        <w:t xml:space="preserve"> a</w:t>
      </w:r>
      <w:r w:rsidR="0077244D">
        <w:t>nd</w:t>
      </w:r>
      <w:r w:rsidRPr="008B7119">
        <w:t xml:space="preserve"> it is not refinanced frequently. Long</w:t>
      </w:r>
      <w:r w:rsidR="0077244D">
        <w:t>-</w:t>
      </w:r>
      <w:r w:rsidRPr="008B7119">
        <w:t xml:space="preserve">term financing might not be very flexible when dealing with short-term working capital requirements. Volkswagen should balance its course and not excessively depend on both forms of financing </w:t>
      </w:r>
      <w:r w:rsidR="00F75603" w:rsidRPr="00F75603">
        <w:t>(IMF, 2024)</w:t>
      </w:r>
      <w:r w:rsidRPr="008B7119">
        <w:t>.</w:t>
      </w:r>
    </w:p>
    <w:p w14:paraId="0FC94EA1" w14:textId="77777777" w:rsidR="005B70E7" w:rsidRDefault="005B70E7" w:rsidP="0077573E"/>
    <w:p w14:paraId="3DF2B31A" w14:textId="77777777" w:rsidR="0077573E" w:rsidRPr="0077573E" w:rsidRDefault="0077573E" w:rsidP="0077573E"/>
    <w:p w14:paraId="3E639E0A" w14:textId="36CE4D4B" w:rsidR="00926D41" w:rsidRDefault="00926D41">
      <w:pPr>
        <w:spacing w:before="0" w:after="160" w:line="259" w:lineRule="auto"/>
        <w:jc w:val="left"/>
      </w:pPr>
      <w:r>
        <w:br w:type="page"/>
      </w:r>
    </w:p>
    <w:p w14:paraId="237819AE" w14:textId="0446518F" w:rsidR="0077573E" w:rsidRDefault="00926D41" w:rsidP="00215CAE">
      <w:pPr>
        <w:pStyle w:val="Heading1"/>
      </w:pPr>
      <w:bookmarkStart w:id="12" w:name="_Toc224494899"/>
      <w:r>
        <w:lastRenderedPageBreak/>
        <w:t xml:space="preserve">Task 3: </w:t>
      </w:r>
      <w:r w:rsidR="00101BB0" w:rsidRPr="00101BB0">
        <w:t>Financial Restructuring Options for Volkswagen</w:t>
      </w:r>
      <w:bookmarkEnd w:id="12"/>
    </w:p>
    <w:p w14:paraId="5A124261" w14:textId="70E1A3EE" w:rsidR="00A11279" w:rsidRDefault="00A11279" w:rsidP="00A11279">
      <w:pPr>
        <w:pStyle w:val="Heading2"/>
      </w:pPr>
      <w:bookmarkStart w:id="13" w:name="_Toc224494900"/>
      <w:r>
        <w:t>Divestiture</w:t>
      </w:r>
      <w:bookmarkEnd w:id="13"/>
    </w:p>
    <w:p w14:paraId="4BE275F9" w14:textId="1EA5C003" w:rsidR="00F014E6" w:rsidRPr="00F014E6" w:rsidRDefault="00E662CA" w:rsidP="00F014E6">
      <w:r w:rsidRPr="00E662CA">
        <w:t>Divestiture should be considered as one of the initial opportunities that Volkswagen can pursue, especially in non-core or poor-performing assets. Divestiture would help Volkswagen to simplify its business model and concentrate on its core business</w:t>
      </w:r>
      <w:r w:rsidR="0077244D">
        <w:t>,</w:t>
      </w:r>
      <w:r w:rsidRPr="00E662CA">
        <w:t xml:space="preserve"> which is the production of electric cars (EV</w:t>
      </w:r>
      <w:r w:rsidR="0077244D">
        <w:t>s</w:t>
      </w:r>
      <w:r w:rsidRPr="00E662CA">
        <w:t>)</w:t>
      </w:r>
      <w:r w:rsidR="0077244D">
        <w:t>,</w:t>
      </w:r>
      <w:r w:rsidRPr="00E662CA">
        <w:t xml:space="preserve"> due to which it has a major opportunity </w:t>
      </w:r>
      <w:r w:rsidR="0077244D">
        <w:t>for</w:t>
      </w:r>
      <w:r w:rsidRPr="00E662CA">
        <w:t xml:space="preserve"> growth. The decision to sell divisions that are not essential to the company, like some manufacturing plants or business units, which do not correspond to the long-term strategic objectives of the company, will help Volkswagen to raise capital that can be redirected to its EV and sustainability projects </w:t>
      </w:r>
      <w:r w:rsidR="00EA2520" w:rsidRPr="00EA2520">
        <w:t>(Brealey, Myers and Allen, 2020)</w:t>
      </w:r>
      <w:r w:rsidRPr="00E662CA">
        <w:t>. The debt can also be reduced using the proceeds of the divestitures</w:t>
      </w:r>
      <w:r w:rsidR="0077244D">
        <w:t>,</w:t>
      </w:r>
      <w:r w:rsidRPr="00E662CA">
        <w:t xml:space="preserve"> hence enhancing the balance sheet of the </w:t>
      </w:r>
      <w:proofErr w:type="gramStart"/>
      <w:r w:rsidRPr="00E662CA">
        <w:t>company</w:t>
      </w:r>
      <w:proofErr w:type="gramEnd"/>
      <w:r w:rsidRPr="00E662CA">
        <w:t xml:space="preserve"> and increasing its liquidity status.</w:t>
      </w:r>
    </w:p>
    <w:p w14:paraId="1B1B8563" w14:textId="617F2203" w:rsidR="00A11279" w:rsidRPr="00F014E6" w:rsidRDefault="00F014E6" w:rsidP="00A11279">
      <w:pPr>
        <w:rPr>
          <w:b/>
          <w:bCs/>
          <w:i/>
          <w:iCs/>
        </w:rPr>
      </w:pPr>
      <w:r w:rsidRPr="00F014E6">
        <w:rPr>
          <w:b/>
          <w:bCs/>
          <w:i/>
          <w:iCs/>
        </w:rPr>
        <w:t>Impact on Shareholder Value</w:t>
      </w:r>
    </w:p>
    <w:p w14:paraId="7E913638" w14:textId="2CA45F50" w:rsidR="00F014E6" w:rsidRDefault="00D1256F" w:rsidP="00A11279">
      <w:r w:rsidRPr="00D1256F">
        <w:t>The disposition of non-core assets would boost shareholders</w:t>
      </w:r>
      <w:r w:rsidR="0077244D">
        <w:t>'</w:t>
      </w:r>
      <w:r w:rsidRPr="00D1256F">
        <w:t xml:space="preserve"> value by ploughing funds in</w:t>
      </w:r>
      <w:r w:rsidR="0077244D">
        <w:t>to</w:t>
      </w:r>
      <w:r w:rsidRPr="00D1256F">
        <w:t xml:space="preserve"> high-growth opportunities, including electric mobility that can potentially yield higher returns. Also, the profitability could be increased by selling the assets that do not perform well, thus enhancing the overall profitability and possibly increasing the price of the stock </w:t>
      </w:r>
      <w:r w:rsidR="00CC6D07" w:rsidRPr="00CC6D07">
        <w:t>(Noy, 2023)</w:t>
      </w:r>
      <w:r w:rsidRPr="00D1256F">
        <w:t>.</w:t>
      </w:r>
    </w:p>
    <w:p w14:paraId="27554912" w14:textId="71694093" w:rsidR="00F014E6" w:rsidRPr="00F014E6" w:rsidRDefault="00F014E6" w:rsidP="00A11279">
      <w:pPr>
        <w:rPr>
          <w:b/>
          <w:bCs/>
          <w:i/>
          <w:iCs/>
        </w:rPr>
      </w:pPr>
      <w:r w:rsidRPr="00F014E6">
        <w:rPr>
          <w:b/>
          <w:bCs/>
          <w:i/>
          <w:iCs/>
        </w:rPr>
        <w:t>Impact on Debt Structure and Operational Flexibility</w:t>
      </w:r>
    </w:p>
    <w:p w14:paraId="7B534131" w14:textId="2F9DED17" w:rsidR="00F014E6" w:rsidRDefault="00D1256F" w:rsidP="00A11279">
      <w:r w:rsidRPr="00D1256F">
        <w:t>The</w:t>
      </w:r>
      <w:r>
        <w:t xml:space="preserve"> </w:t>
      </w:r>
      <w:r w:rsidRPr="00D1256F">
        <w:t xml:space="preserve">divestitures will have a massive effect on the debt structure </w:t>
      </w:r>
      <w:r w:rsidR="0077244D">
        <w:t>of</w:t>
      </w:r>
      <w:r w:rsidRPr="00D1256F">
        <w:t xml:space="preserve"> the company since the funds acquired by selling the assets will be used to settle the high-interest debts. This would enhance its leverage ratios and its financial flexibility and would find it easier to walk through economic slowdowns or strategically invest in future. Operationally, the company would gain some benefits </w:t>
      </w:r>
      <w:r w:rsidR="0077244D">
        <w:t xml:space="preserve">by </w:t>
      </w:r>
      <w:r w:rsidRPr="00D1256F">
        <w:t xml:space="preserve">focusing on a leaner structure that would enable making decisions and allocating resources more freely </w:t>
      </w:r>
      <w:r w:rsidR="00774ED5" w:rsidRPr="00774ED5">
        <w:t>(Bailey et al., 2023)</w:t>
      </w:r>
      <w:r w:rsidRPr="00D1256F">
        <w:t>.</w:t>
      </w:r>
    </w:p>
    <w:p w14:paraId="77404F8A" w14:textId="61E21FE3" w:rsidR="00F014E6" w:rsidRPr="00F014E6" w:rsidRDefault="00F014E6" w:rsidP="00A11279">
      <w:pPr>
        <w:rPr>
          <w:b/>
          <w:bCs/>
          <w:i/>
          <w:iCs/>
        </w:rPr>
      </w:pPr>
      <w:r w:rsidRPr="00F014E6">
        <w:rPr>
          <w:b/>
          <w:bCs/>
          <w:i/>
          <w:iCs/>
        </w:rPr>
        <w:lastRenderedPageBreak/>
        <w:t>International and Ethical Considerations</w:t>
      </w:r>
    </w:p>
    <w:p w14:paraId="3D4142B3" w14:textId="25ED22DE" w:rsidR="00F014E6" w:rsidRDefault="00D1256F" w:rsidP="00A11279">
      <w:r w:rsidRPr="00D1256F">
        <w:t xml:space="preserve">The divestitures should take note of the international regulatory climate, especially </w:t>
      </w:r>
      <w:r w:rsidR="0077244D">
        <w:t xml:space="preserve">in </w:t>
      </w:r>
      <w:r w:rsidRPr="00D1256F">
        <w:t>the countries where Volkswagen has its subsidiaries. The sales of assets in a particular area may lead to antitrust scrutiny or mandate</w:t>
      </w:r>
      <w:r w:rsidR="0077244D">
        <w:t>s</w:t>
      </w:r>
      <w:r w:rsidRPr="00D1256F">
        <w:t xml:space="preserve"> from the government, particularly in cases where the assets sold are part of the local jurisdiction. Morally, Volkswagen must make sure that whenever making a divestiture, they do not cause excessive layoffs or harm local societies</w:t>
      </w:r>
      <w:r w:rsidR="0077244D">
        <w:t>,</w:t>
      </w:r>
      <w:r w:rsidRPr="00D1256F">
        <w:t xml:space="preserve"> especially </w:t>
      </w:r>
      <w:r w:rsidR="0077244D">
        <w:t>in</w:t>
      </w:r>
      <w:r w:rsidRPr="00D1256F">
        <w:t xml:space="preserve"> those countries where the enterprise enjoyed an extended relationship </w:t>
      </w:r>
      <w:r w:rsidR="005C7A5A" w:rsidRPr="005C7A5A">
        <w:t>(Luther, 2022)</w:t>
      </w:r>
      <w:r w:rsidRPr="00D1256F">
        <w:t>.</w:t>
      </w:r>
    </w:p>
    <w:p w14:paraId="62C29A84" w14:textId="40C2F838" w:rsidR="00C37BCB" w:rsidRDefault="00C37BCB" w:rsidP="00C37BCB">
      <w:pPr>
        <w:pStyle w:val="Heading2"/>
      </w:pPr>
      <w:bookmarkStart w:id="14" w:name="_Toc224494901"/>
      <w:r>
        <w:t>Merger or Acquisition</w:t>
      </w:r>
      <w:bookmarkEnd w:id="14"/>
    </w:p>
    <w:p w14:paraId="7D42381F" w14:textId="30D0FAE4" w:rsidR="00C37BCB" w:rsidRPr="00C37BCB" w:rsidRDefault="00B8505D" w:rsidP="00C37BCB">
      <w:r w:rsidRPr="00B8505D">
        <w:t>The other strategic alternative has been a merger or acquisition (M&amp;A) with a different team in the automobile industry or a technological company that deals in the technology of electric vehicles. Being merged with the rival might enable Volkswagen to g</w:t>
      </w:r>
      <w:r w:rsidR="0077244D">
        <w:t>ain</w:t>
      </w:r>
      <w:r w:rsidRPr="00B8505D">
        <w:t xml:space="preserve"> a hold of its market, strengthen </w:t>
      </w:r>
      <w:r w:rsidR="0077244D">
        <w:t xml:space="preserve">its </w:t>
      </w:r>
      <w:r w:rsidRPr="00B8505D">
        <w:t>technology, and enter new markets. Alternatively, another potential solution is acquiring a smaller, innovative EV startup to speed up the switch to electric mobility, enhancing the competitiveness of the company in a quickly developing sphere.</w:t>
      </w:r>
    </w:p>
    <w:p w14:paraId="0A6DADEB" w14:textId="77777777" w:rsidR="00C37BCB" w:rsidRDefault="00C37BCB" w:rsidP="00C37BCB">
      <w:pPr>
        <w:rPr>
          <w:b/>
          <w:bCs/>
          <w:i/>
          <w:iCs/>
        </w:rPr>
      </w:pPr>
      <w:r w:rsidRPr="00F014E6">
        <w:rPr>
          <w:b/>
          <w:bCs/>
          <w:i/>
          <w:iCs/>
        </w:rPr>
        <w:t>Impact on Shareholder Value</w:t>
      </w:r>
    </w:p>
    <w:p w14:paraId="130DF366" w14:textId="05782336" w:rsidR="00C37BCB" w:rsidRPr="00F014E6" w:rsidRDefault="00D4722D" w:rsidP="00C37BCB">
      <w:r w:rsidRPr="00D4722D">
        <w:t>An effective merger or acquisition may result in synergies such as cost</w:t>
      </w:r>
      <w:r w:rsidR="0077244D">
        <w:t xml:space="preserve"> savings</w:t>
      </w:r>
      <w:r w:rsidRPr="00D4722D">
        <w:t xml:space="preserve">, </w:t>
      </w:r>
      <w:r w:rsidR="0077244D">
        <w:t>economi</w:t>
      </w:r>
      <w:r w:rsidRPr="00D4722D">
        <w:t xml:space="preserve">es of </w:t>
      </w:r>
      <w:r w:rsidR="0077244D">
        <w:t>scale,</w:t>
      </w:r>
      <w:r w:rsidRPr="00D4722D">
        <w:t xml:space="preserve"> and increased market share, which will eventually benefit the shareholders. In case Volkswagen manages to take over an EV technology company, </w:t>
      </w:r>
      <w:r w:rsidR="00FB5CEA" w:rsidRPr="00D4722D">
        <w:t>e.g.,</w:t>
      </w:r>
      <w:r w:rsidRPr="00D4722D">
        <w:t xml:space="preserve"> the larger technology base and the capacity to scale production would contribute to expansion, which would have a positive effect on stock performance </w:t>
      </w:r>
      <w:r w:rsidR="005B5267" w:rsidRPr="005B5267">
        <w:t>(Gigante, Cerri and Leone, 2023)</w:t>
      </w:r>
      <w:r w:rsidRPr="00D4722D">
        <w:t>.</w:t>
      </w:r>
    </w:p>
    <w:p w14:paraId="2CB5C8B8" w14:textId="77777777" w:rsidR="00C37BCB" w:rsidRDefault="00C37BCB" w:rsidP="00C37BCB">
      <w:pPr>
        <w:rPr>
          <w:b/>
          <w:bCs/>
          <w:i/>
          <w:iCs/>
        </w:rPr>
      </w:pPr>
      <w:r w:rsidRPr="00F014E6">
        <w:rPr>
          <w:b/>
          <w:bCs/>
          <w:i/>
          <w:iCs/>
        </w:rPr>
        <w:t>Impact on Debt Structure and Operational Flexibility</w:t>
      </w:r>
    </w:p>
    <w:p w14:paraId="119241E8" w14:textId="6F1A0F4A" w:rsidR="00C37BCB" w:rsidRPr="00F014E6" w:rsidRDefault="00D4722D" w:rsidP="00C37BCB">
      <w:r w:rsidRPr="00D4722D">
        <w:t xml:space="preserve">Mergers and acquisitions are likely to come with considerable debt financing that will have a short-run impact of raising the debt-to-equity ratio of Volkswagen. However, it might be a good thing in the long-term to the extent that the merging body can gain greater profitability and operational synergies. The company would be required to run such a debt </w:t>
      </w:r>
      <w:r w:rsidRPr="00D4722D">
        <w:lastRenderedPageBreak/>
        <w:t>so that it does not become over-lever</w:t>
      </w:r>
      <w:r w:rsidR="0077244D">
        <w:t>ag</w:t>
      </w:r>
      <w:r w:rsidRPr="00D4722D">
        <w:t>ed. Its operational implementation might lead to certain integration issues, yet when a merger is performed successfully, the result could be a successful and more competitive organi</w:t>
      </w:r>
      <w:r w:rsidR="0077244D">
        <w:t>s</w:t>
      </w:r>
      <w:r w:rsidRPr="00D4722D">
        <w:t xml:space="preserve">ation </w:t>
      </w:r>
      <w:r w:rsidR="003224E2" w:rsidRPr="003224E2">
        <w:t>(Susanti et al., 2025)</w:t>
      </w:r>
      <w:r w:rsidRPr="00D4722D">
        <w:t>.</w:t>
      </w:r>
    </w:p>
    <w:p w14:paraId="54E20519" w14:textId="77777777" w:rsidR="00C37BCB" w:rsidRDefault="00C37BCB" w:rsidP="00C37BCB">
      <w:pPr>
        <w:rPr>
          <w:b/>
          <w:bCs/>
          <w:i/>
          <w:iCs/>
        </w:rPr>
      </w:pPr>
      <w:r w:rsidRPr="00F014E6">
        <w:rPr>
          <w:b/>
          <w:bCs/>
          <w:i/>
          <w:iCs/>
        </w:rPr>
        <w:t>International and Ethical Considerations</w:t>
      </w:r>
    </w:p>
    <w:p w14:paraId="1289DBDF" w14:textId="6CEB7C19" w:rsidR="00C37BCB" w:rsidRDefault="0046641F" w:rsidP="00C37BCB">
      <w:r w:rsidRPr="0046641F">
        <w:t>With regard</w:t>
      </w:r>
      <w:r w:rsidR="00FB5CEA">
        <w:t>s</w:t>
      </w:r>
      <w:r w:rsidRPr="0046641F">
        <w:t xml:space="preserve"> to international issues, acquisitions and mergers are prone to experiencing legal hurdles, such as antitrust laws in different countries. Ethics issues</w:t>
      </w:r>
      <w:r w:rsidR="0077244D">
        <w:t>,</w:t>
      </w:r>
      <w:r w:rsidRPr="0046641F">
        <w:t xml:space="preserve"> too</w:t>
      </w:r>
      <w:r w:rsidR="0077244D">
        <w:t>,</w:t>
      </w:r>
      <w:r w:rsidRPr="0046641F">
        <w:t xml:space="preserve"> should be considered, especially </w:t>
      </w:r>
      <w:r w:rsidR="0077244D">
        <w:t>regarding</w:t>
      </w:r>
      <w:r w:rsidRPr="0046641F">
        <w:t xml:space="preserve"> obtaining fair treatment of employees in the process of integrating them. Volkswagen would have to communicate with the employees and stakeholders in a transparent way and make sure that the merger will be of good use to both the workforce and shareholders of the company </w:t>
      </w:r>
      <w:r w:rsidR="004C69B8" w:rsidRPr="004C69B8">
        <w:t>(Martinez, 2024)</w:t>
      </w:r>
      <w:r w:rsidRPr="0046641F">
        <w:t>.</w:t>
      </w:r>
    </w:p>
    <w:p w14:paraId="24993E5F" w14:textId="26EA4460" w:rsidR="00B17428" w:rsidRDefault="00B17428" w:rsidP="00B17428">
      <w:pPr>
        <w:pStyle w:val="Heading2"/>
      </w:pPr>
      <w:bookmarkStart w:id="15" w:name="_Toc224494902"/>
      <w:r w:rsidRPr="00B17428">
        <w:t>Equity Injection</w:t>
      </w:r>
      <w:bookmarkEnd w:id="15"/>
    </w:p>
    <w:p w14:paraId="7AC7D62C" w14:textId="75146136" w:rsidR="009D31AF" w:rsidRDefault="00FB25EF" w:rsidP="009D31AF">
      <w:r w:rsidRPr="00FB25EF">
        <w:t>Con</w:t>
      </w:r>
      <w:r w:rsidR="0077244D">
        <w:t>cess</w:t>
      </w:r>
      <w:r w:rsidRPr="00FB25EF">
        <w:t>ion of equity</w:t>
      </w:r>
      <w:r w:rsidR="0077244D">
        <w:t>,</w:t>
      </w:r>
      <w:r w:rsidRPr="00FB25EF">
        <w:t xml:space="preserve"> either via a public issue of shares or via a private issue with institutional investors, offers a capital-raising tool that does not violate the amount of debt that Volkswagen holds. This approach might turn out to be particularly useful in case the company wants to finance </w:t>
      </w:r>
      <w:r w:rsidR="0077244D">
        <w:t>an</w:t>
      </w:r>
      <w:r w:rsidRPr="00FB25EF">
        <w:t xml:space="preserve"> important course towards the production of electric cars or additional study of autonomous driving systems. The equity injection would enable Volkswagen to improve its balance sheet and limit its dependence on debt.</w:t>
      </w:r>
    </w:p>
    <w:p w14:paraId="2D8C5FF5" w14:textId="77777777" w:rsidR="009D31AF" w:rsidRDefault="009D31AF" w:rsidP="009D31AF">
      <w:pPr>
        <w:rPr>
          <w:b/>
          <w:bCs/>
          <w:i/>
          <w:iCs/>
        </w:rPr>
      </w:pPr>
      <w:r w:rsidRPr="00F014E6">
        <w:rPr>
          <w:b/>
          <w:bCs/>
          <w:i/>
          <w:iCs/>
        </w:rPr>
        <w:t>Impact on Shareholder Value</w:t>
      </w:r>
    </w:p>
    <w:p w14:paraId="6685A2BF" w14:textId="764DBD56" w:rsidR="009D31AF" w:rsidRDefault="00FA6242" w:rsidP="009D31AF">
      <w:r w:rsidRPr="00FA6242">
        <w:t>Even though an equity injection will reduce the ownership of the partners who were there before, it may lead to an increase in shareholder value in the future</w:t>
      </w:r>
      <w:r w:rsidR="00FB5CEA">
        <w:t xml:space="preserve"> </w:t>
      </w:r>
      <w:r w:rsidRPr="00FA6242">
        <w:t>as long</w:t>
      </w:r>
      <w:r w:rsidR="00FB5CEA">
        <w:t>,</w:t>
      </w:r>
      <w:r w:rsidRPr="00FA6242">
        <w:t xml:space="preserve"> as the capital raised is put to good use. Willing to increase investment in high-return sectors such as electric mobility at the expense of debt would allow Volkswagen to add to its cumulative profitability and market value</w:t>
      </w:r>
      <w:r w:rsidR="0077244D">
        <w:t>,</w:t>
      </w:r>
      <w:r w:rsidRPr="00FA6242">
        <w:t xml:space="preserve"> which would benefit new shareholders and existing ones </w:t>
      </w:r>
      <w:r w:rsidR="00305D16" w:rsidRPr="00305D16">
        <w:t xml:space="preserve">(Li, </w:t>
      </w:r>
      <w:proofErr w:type="gramStart"/>
      <w:r w:rsidR="00305D16" w:rsidRPr="00305D16">
        <w:t>Che</w:t>
      </w:r>
      <w:proofErr w:type="gramEnd"/>
      <w:r w:rsidR="00305D16" w:rsidRPr="00305D16">
        <w:t xml:space="preserve"> and Huang, 2025)</w:t>
      </w:r>
      <w:r w:rsidRPr="00FA6242">
        <w:t>.</w:t>
      </w:r>
    </w:p>
    <w:p w14:paraId="7D49FC50" w14:textId="77777777" w:rsidR="009D31AF" w:rsidRDefault="009D31AF" w:rsidP="009D31AF">
      <w:pPr>
        <w:rPr>
          <w:b/>
          <w:bCs/>
          <w:i/>
          <w:iCs/>
        </w:rPr>
      </w:pPr>
      <w:r w:rsidRPr="00F014E6">
        <w:rPr>
          <w:b/>
          <w:bCs/>
          <w:i/>
          <w:iCs/>
        </w:rPr>
        <w:t>Impact on Debt Structure and Operational Flexibility</w:t>
      </w:r>
    </w:p>
    <w:p w14:paraId="6ED8AF16" w14:textId="1C72DF02" w:rsidR="009D31AF" w:rsidRDefault="00FA6242" w:rsidP="009D31AF">
      <w:r>
        <w:t>Equity addition</w:t>
      </w:r>
      <w:r w:rsidRPr="00FA6242">
        <w:t xml:space="preserve"> would decrease the total amount of debt of Volkswagen</w:t>
      </w:r>
      <w:r w:rsidR="0077244D">
        <w:t>,</w:t>
      </w:r>
      <w:r w:rsidRPr="00FA6242">
        <w:t xml:space="preserve"> that will enhance the debt-to-equity ratio and decrease financial risk. This, in its turn, would provide more </w:t>
      </w:r>
      <w:r w:rsidRPr="00FA6242">
        <w:lastRenderedPageBreak/>
        <w:t xml:space="preserve">flexibility in its operations, since the company could be more liberal in long-term growth efforts that </w:t>
      </w:r>
      <w:r w:rsidR="0077244D">
        <w:t>are</w:t>
      </w:r>
      <w:r w:rsidRPr="00FA6242">
        <w:t xml:space="preserve"> not subject to debt covenants </w:t>
      </w:r>
      <w:r w:rsidR="00CC6D07" w:rsidRPr="00CC6D07">
        <w:t>(</w:t>
      </w:r>
      <w:proofErr w:type="spellStart"/>
      <w:r w:rsidR="00CC6D07" w:rsidRPr="00CC6D07">
        <w:t>Ogundipe</w:t>
      </w:r>
      <w:proofErr w:type="spellEnd"/>
      <w:r w:rsidR="00CC6D07" w:rsidRPr="00CC6D07">
        <w:t xml:space="preserve">, </w:t>
      </w:r>
      <w:proofErr w:type="spellStart"/>
      <w:r w:rsidR="00CC6D07" w:rsidRPr="00CC6D07">
        <w:t>Ewim</w:t>
      </w:r>
      <w:proofErr w:type="spellEnd"/>
      <w:r w:rsidR="00CC6D07" w:rsidRPr="00CC6D07">
        <w:t xml:space="preserve"> and Sam-</w:t>
      </w:r>
      <w:proofErr w:type="spellStart"/>
      <w:r w:rsidR="00CC6D07" w:rsidRPr="00CC6D07">
        <w:t>Bulya</w:t>
      </w:r>
      <w:proofErr w:type="spellEnd"/>
      <w:r w:rsidR="00CC6D07" w:rsidRPr="00CC6D07">
        <w:t>, 2024)</w:t>
      </w:r>
      <w:r w:rsidRPr="00FA6242">
        <w:t>.</w:t>
      </w:r>
    </w:p>
    <w:p w14:paraId="1A617FC0" w14:textId="77777777" w:rsidR="009D31AF" w:rsidRDefault="009D31AF" w:rsidP="009D31AF">
      <w:pPr>
        <w:rPr>
          <w:b/>
          <w:bCs/>
          <w:i/>
          <w:iCs/>
        </w:rPr>
      </w:pPr>
      <w:r w:rsidRPr="00F014E6">
        <w:rPr>
          <w:b/>
          <w:bCs/>
          <w:i/>
          <w:iCs/>
        </w:rPr>
        <w:t>International and Ethical Considerations</w:t>
      </w:r>
    </w:p>
    <w:p w14:paraId="6EC24D5F" w14:textId="187366C1" w:rsidR="009D31AF" w:rsidRDefault="00414A37" w:rsidP="009D31AF">
      <w:r w:rsidRPr="00414A37">
        <w:t xml:space="preserve">Making equity in </w:t>
      </w:r>
      <w:r w:rsidR="0077244D">
        <w:t xml:space="preserve">the </w:t>
      </w:r>
      <w:r w:rsidRPr="00414A37">
        <w:t>international market may place Volkswagen under increased demands</w:t>
      </w:r>
      <w:r w:rsidR="0077244D">
        <w:t>,</w:t>
      </w:r>
      <w:r w:rsidRPr="00414A37">
        <w:t xml:space="preserve"> especially by authorities in the European Union, the United </w:t>
      </w:r>
      <w:proofErr w:type="gramStart"/>
      <w:r w:rsidRPr="00414A37">
        <w:t>States</w:t>
      </w:r>
      <w:proofErr w:type="gramEnd"/>
      <w:r w:rsidRPr="00414A37">
        <w:t xml:space="preserve"> and other major markets. The ethical issue of that dilution is that it may cause a negative effect on the current shareholders</w:t>
      </w:r>
      <w:r w:rsidR="0077244D">
        <w:t>,</w:t>
      </w:r>
      <w:r w:rsidRPr="00414A37">
        <w:t xml:space="preserve"> and Volkswagen needs to make sure that the new share issues will benefit the firm in the long-term. Also, when the equity capital raise is aimed at sustainable growth, it may strengthen the financial position of Volkswagen in terms of corporate social responsibility (CSR) </w:t>
      </w:r>
      <w:r w:rsidR="009F07BE" w:rsidRPr="009F07BE">
        <w:t>(</w:t>
      </w:r>
      <w:proofErr w:type="spellStart"/>
      <w:r w:rsidR="009F07BE" w:rsidRPr="009F07BE">
        <w:t>Ogundipe</w:t>
      </w:r>
      <w:proofErr w:type="spellEnd"/>
      <w:r w:rsidR="009F07BE" w:rsidRPr="009F07BE">
        <w:t xml:space="preserve">, </w:t>
      </w:r>
      <w:proofErr w:type="spellStart"/>
      <w:r w:rsidR="009F07BE" w:rsidRPr="009F07BE">
        <w:t>Ewim</w:t>
      </w:r>
      <w:proofErr w:type="spellEnd"/>
      <w:r w:rsidR="009F07BE" w:rsidRPr="009F07BE">
        <w:t xml:space="preserve"> and Sam-</w:t>
      </w:r>
      <w:proofErr w:type="spellStart"/>
      <w:r w:rsidR="009F07BE" w:rsidRPr="009F07BE">
        <w:t>Bulya</w:t>
      </w:r>
      <w:proofErr w:type="spellEnd"/>
      <w:r w:rsidR="009F07BE" w:rsidRPr="009F07BE">
        <w:t>, 2024)</w:t>
      </w:r>
      <w:r w:rsidRPr="00414A37">
        <w:t>.</w:t>
      </w:r>
    </w:p>
    <w:p w14:paraId="21EDED97" w14:textId="40748847" w:rsidR="00B17428" w:rsidRDefault="009D31AF" w:rsidP="009D31AF">
      <w:pPr>
        <w:pStyle w:val="Heading2"/>
      </w:pPr>
      <w:bookmarkStart w:id="16" w:name="_Toc224494903"/>
      <w:r>
        <w:t>Evaluation of Strategic Restructuring Options</w:t>
      </w:r>
      <w:bookmarkEnd w:id="16"/>
    </w:p>
    <w:p w14:paraId="7F277A05" w14:textId="218C5EB7" w:rsidR="005B70E7" w:rsidRDefault="002A28E1" w:rsidP="009D31AF">
      <w:r w:rsidRPr="002A28E1">
        <w:t xml:space="preserve">There are </w:t>
      </w:r>
      <w:r w:rsidR="0092392A" w:rsidRPr="002A28E1">
        <w:t>several</w:t>
      </w:r>
      <w:r w:rsidR="00FB5CEA">
        <w:t xml:space="preserve"> </w:t>
      </w:r>
      <w:r w:rsidRPr="002A28E1">
        <w:t xml:space="preserve">advantages and risks associated with each of the restructuring options. </w:t>
      </w:r>
      <w:r w:rsidR="004C3E63">
        <w:t>A d</w:t>
      </w:r>
      <w:r w:rsidRPr="002A28E1">
        <w:t>ivestment plan can enable Volkswagen to simplify its operations and minimi</w:t>
      </w:r>
      <w:r w:rsidR="004C3E63">
        <w:t>s</w:t>
      </w:r>
      <w:r w:rsidRPr="002A28E1">
        <w:t xml:space="preserve">e debts, yet it could probably come at the expense of forfeiting valuable assets and markets. The merger or acquisition can assist the company in its growth and in gaining access to new technology that may make the company grow, </w:t>
      </w:r>
      <w:r w:rsidR="004C3E63">
        <w:t>but</w:t>
      </w:r>
      <w:r w:rsidRPr="002A28E1">
        <w:t xml:space="preserve"> there may </w:t>
      </w:r>
      <w:r w:rsidR="0077244D">
        <w:t xml:space="preserve">also </w:t>
      </w:r>
      <w:r w:rsidRPr="002A28E1">
        <w:t>be high debt levels and challenges in integrating the units.</w:t>
      </w:r>
      <w:r w:rsidR="00897E3B">
        <w:t xml:space="preserve"> </w:t>
      </w:r>
      <w:r w:rsidRPr="002A28E1">
        <w:t>Equity injection is a less expensive method of decreasing the company</w:t>
      </w:r>
      <w:r w:rsidR="004C3E63">
        <w:t>'s</w:t>
      </w:r>
      <w:r w:rsidRPr="002A28E1">
        <w:t xml:space="preserve"> debt without interest </w:t>
      </w:r>
      <w:r w:rsidR="0025095F" w:rsidRPr="002A28E1">
        <w:t>payments,</w:t>
      </w:r>
      <w:r w:rsidRPr="002A28E1">
        <w:t xml:space="preserve"> but the current shareholders are diluted and could lead to a fluctuating stock price in the short term. The optimal alternative </w:t>
      </w:r>
      <w:r w:rsidR="004C3E63">
        <w:t>for</w:t>
      </w:r>
      <w:r w:rsidRPr="002A28E1">
        <w:t xml:space="preserve"> Volkswagen will be based on its strategic aims. In case the main target of the business is </w:t>
      </w:r>
      <w:r w:rsidR="0077244D">
        <w:t>the minimis</w:t>
      </w:r>
      <w:r w:rsidRPr="002A28E1">
        <w:t xml:space="preserve">ation of debt and </w:t>
      </w:r>
      <w:r w:rsidR="0077244D">
        <w:t xml:space="preserve">the </w:t>
      </w:r>
      <w:r w:rsidRPr="002A28E1">
        <w:t xml:space="preserve">enhancement of financial viability, then divestiture or purchase of equity could be the best decision. In the case of </w:t>
      </w:r>
      <w:r w:rsidR="0077244D">
        <w:t>a</w:t>
      </w:r>
      <w:r w:rsidRPr="002A28E1">
        <w:t xml:space="preserve"> company which wants to enter new markets or technologies in the quickest way possible, the strategy of M&amp;A can be a better option.</w:t>
      </w:r>
    </w:p>
    <w:p w14:paraId="2C4561A7" w14:textId="7CC01BEE" w:rsidR="00DA3F52" w:rsidRDefault="00DA3F52">
      <w:pPr>
        <w:spacing w:before="0" w:after="160" w:line="259" w:lineRule="auto"/>
        <w:jc w:val="left"/>
      </w:pPr>
      <w:r>
        <w:br w:type="page"/>
      </w:r>
    </w:p>
    <w:p w14:paraId="70FC789D" w14:textId="40D563B0" w:rsidR="00DA3F52" w:rsidRDefault="00DA3F52" w:rsidP="00065EDE">
      <w:pPr>
        <w:pStyle w:val="Heading1"/>
      </w:pPr>
      <w:bookmarkStart w:id="17" w:name="_Toc224494904"/>
      <w:r>
        <w:lastRenderedPageBreak/>
        <w:t xml:space="preserve">Task 4: </w:t>
      </w:r>
      <w:r w:rsidR="00065EDE">
        <w:t>Capital Budgeting</w:t>
      </w:r>
      <w:bookmarkEnd w:id="17"/>
    </w:p>
    <w:p w14:paraId="49453D77" w14:textId="4DCA4F3B" w:rsidR="002955E9" w:rsidRPr="002955E9" w:rsidRDefault="002955E9" w:rsidP="002955E9">
      <w:pPr>
        <w:pStyle w:val="Heading2"/>
      </w:pPr>
      <w:bookmarkStart w:id="18" w:name="_Toc224494905"/>
      <w:r>
        <w:t>Investment Appraisal</w:t>
      </w:r>
      <w:bookmarkEnd w:id="18"/>
    </w:p>
    <w:p w14:paraId="29BD8B98" w14:textId="3A018243" w:rsidR="00065EDE" w:rsidRDefault="00567D60" w:rsidP="00065EDE">
      <w:r w:rsidRPr="00567D60">
        <w:t>Volkswagen is in the process of considering three proposed investment options, each having a different financial nature with an approximate impact on the future growth and profitability of the company. Th</w:t>
      </w:r>
      <w:r w:rsidR="004C3E63">
        <w:t>is section aim</w:t>
      </w:r>
      <w:r w:rsidRPr="00567D60">
        <w:t xml:space="preserve">s to evaluate the financial feasibility of each project based on various capital budgeting methods: Payback Period (PBP), Accounting rate of return (ARR), Net Present Value (NPV), Internal rate of return (IRR) and Probability </w:t>
      </w:r>
      <w:r w:rsidR="00044407" w:rsidRPr="00567D60">
        <w:t>Index (</w:t>
      </w:r>
      <w:r w:rsidRPr="00567D60">
        <w:t>PI). These indicators will assist in identifying the project with the highest ROI</w:t>
      </w:r>
      <w:r w:rsidR="004C3E63">
        <w:t>,</w:t>
      </w:r>
      <w:r w:rsidRPr="00567D60">
        <w:t xml:space="preserve"> considering the financial performance of Volkswagen, its current liquidity, a</w:t>
      </w:r>
      <w:r w:rsidR="004C3E63">
        <w:t>nd</w:t>
      </w:r>
      <w:r w:rsidRPr="00567D60">
        <w:t xml:space="preserve"> future goals. Besides, since it is limited by a </w:t>
      </w:r>
      <w:r w:rsidR="00DA512F">
        <w:rPr>
          <w:rFonts w:cs="Arial"/>
        </w:rPr>
        <w:t>£</w:t>
      </w:r>
      <w:r w:rsidRPr="00567D60">
        <w:t>100 million investment limit, the most optimal combination of projects will also be considered by capital rationing.</w:t>
      </w:r>
    </w:p>
    <w:p w14:paraId="77A2B302" w14:textId="3DC626E1" w:rsidR="00044407" w:rsidRDefault="00E62915" w:rsidP="00065EDE">
      <w:r w:rsidRPr="00E62915">
        <w:t xml:space="preserve">The three projects under consideration are Project A, Project B and Project C. </w:t>
      </w:r>
      <w:proofErr w:type="gramStart"/>
      <w:r w:rsidRPr="00E62915">
        <w:t>All of</w:t>
      </w:r>
      <w:proofErr w:type="gramEnd"/>
      <w:r w:rsidRPr="00E62915">
        <w:t xml:space="preserve"> these projects will be an investment of </w:t>
      </w:r>
      <w:r w:rsidR="00DA512F">
        <w:rPr>
          <w:rFonts w:cs="Arial"/>
        </w:rPr>
        <w:t>£</w:t>
      </w:r>
      <w:r w:rsidRPr="00E62915">
        <w:t>50 million at the start</w:t>
      </w:r>
      <w:r w:rsidR="004C3E63">
        <w:t>;</w:t>
      </w:r>
      <w:r w:rsidRPr="00E62915">
        <w:t xml:space="preserve"> their cash inflows are not identical, but they are assessed with reference to popular financial indicators. The cash inflows of Project A are through five years, </w:t>
      </w:r>
      <w:r w:rsidR="0092392A" w:rsidRPr="00E62915">
        <w:t>i.e.,</w:t>
      </w:r>
      <w:r w:rsidRPr="00E62915">
        <w:t xml:space="preserve"> </w:t>
      </w:r>
      <w:r w:rsidR="00DA512F">
        <w:rPr>
          <w:rFonts w:cs="Arial"/>
        </w:rPr>
        <w:t>£</w:t>
      </w:r>
      <w:r w:rsidRPr="00E62915">
        <w:t xml:space="preserve">10 million in Year 1, </w:t>
      </w:r>
      <w:r w:rsidR="00DA512F">
        <w:rPr>
          <w:rFonts w:cs="Arial"/>
        </w:rPr>
        <w:t>£</w:t>
      </w:r>
      <w:r w:rsidRPr="00E62915">
        <w:t xml:space="preserve">12 million in Year 2, </w:t>
      </w:r>
      <w:r w:rsidR="00DA512F">
        <w:rPr>
          <w:rFonts w:cs="Arial"/>
        </w:rPr>
        <w:t>£</w:t>
      </w:r>
      <w:r w:rsidRPr="00E62915">
        <w:t xml:space="preserve">14 million in Year 3, </w:t>
      </w:r>
      <w:r w:rsidR="00DA512F">
        <w:rPr>
          <w:rFonts w:cs="Arial"/>
        </w:rPr>
        <w:t>£</w:t>
      </w:r>
      <w:r w:rsidRPr="00E62915">
        <w:t xml:space="preserve">10 million in Year 4 and </w:t>
      </w:r>
      <w:r w:rsidR="00DA512F">
        <w:rPr>
          <w:rFonts w:cs="Arial"/>
        </w:rPr>
        <w:t>£</w:t>
      </w:r>
      <w:r w:rsidRPr="00E62915">
        <w:t xml:space="preserve">8 million in Year 5. The major indicators of Project A are a Payback Period of 2.33 years, an ARR of 22, NPV of </w:t>
      </w:r>
      <w:r w:rsidR="005C3762">
        <w:rPr>
          <w:rFonts w:cs="Arial"/>
        </w:rPr>
        <w:t>£</w:t>
      </w:r>
      <w:r w:rsidRPr="00E62915">
        <w:t>29.23 million, an IRR of 31.23 and PI of 1.58</w:t>
      </w:r>
      <w:r w:rsidR="001E7522">
        <w:t xml:space="preserve"> (Table 4)</w:t>
      </w:r>
      <w:r w:rsidRPr="00E62915">
        <w:t>. Project B</w:t>
      </w:r>
      <w:r w:rsidR="004C3E63">
        <w:t>,</w:t>
      </w:r>
      <w:r w:rsidRPr="00E62915">
        <w:t xml:space="preserve"> on the other hand</w:t>
      </w:r>
      <w:r w:rsidR="004C3E63">
        <w:t>,</w:t>
      </w:r>
      <w:r w:rsidRPr="00E62915">
        <w:t xml:space="preserve"> offers constant cash inflows of </w:t>
      </w:r>
      <w:r w:rsidR="005C3762">
        <w:rPr>
          <w:rFonts w:cs="Arial"/>
        </w:rPr>
        <w:t>£</w:t>
      </w:r>
      <w:r w:rsidRPr="00E62915">
        <w:t xml:space="preserve">11 million per year over the same five years. The financial measures involved in this project </w:t>
      </w:r>
      <w:r w:rsidR="00A03E89" w:rsidRPr="00E62915">
        <w:t>are</w:t>
      </w:r>
      <w:r w:rsidRPr="00E62915">
        <w:t xml:space="preserve"> Payback Period= 2.38 years; ARR= 22; NPV= </w:t>
      </w:r>
      <w:r w:rsidR="005C3762">
        <w:rPr>
          <w:rFonts w:cs="Arial"/>
        </w:rPr>
        <w:t>£</w:t>
      </w:r>
      <w:r w:rsidRPr="00E62915">
        <w:t>29.61 million; IRR= 31.19; PI= 1.59</w:t>
      </w:r>
      <w:r w:rsidR="001E7522">
        <w:t xml:space="preserve"> (Table 5)</w:t>
      </w:r>
      <w:r w:rsidRPr="00E62915">
        <w:t xml:space="preserve">. Lastly, Project C is experiencing incremental cash inflow in future years beginning with </w:t>
      </w:r>
      <w:r w:rsidR="005C3762">
        <w:rPr>
          <w:rFonts w:cs="Arial"/>
        </w:rPr>
        <w:t>£</w:t>
      </w:r>
      <w:r w:rsidRPr="00E62915">
        <w:t>5 million in Year 1</w:t>
      </w:r>
      <w:r w:rsidR="004C3E63">
        <w:t>,</w:t>
      </w:r>
      <w:r w:rsidRPr="00E62915">
        <w:t xml:space="preserve"> then </w:t>
      </w:r>
      <w:r w:rsidR="005C3762">
        <w:rPr>
          <w:rFonts w:cs="Arial"/>
        </w:rPr>
        <w:t>£</w:t>
      </w:r>
      <w:r w:rsidRPr="00E62915">
        <w:t xml:space="preserve">10 million in Year 3, </w:t>
      </w:r>
      <w:r w:rsidR="004C3E63">
        <w:t xml:space="preserve">and </w:t>
      </w:r>
      <w:r w:rsidR="005C3762">
        <w:rPr>
          <w:rFonts w:cs="Arial"/>
        </w:rPr>
        <w:t>£</w:t>
      </w:r>
      <w:r w:rsidRPr="00E62915">
        <w:t xml:space="preserve">25 million in Years 4 and 5. The financial performance of project C will consist of the following: Payback Period of 2.50 years, ARR of 26, NPV of </w:t>
      </w:r>
      <w:r w:rsidR="005C3762">
        <w:rPr>
          <w:rFonts w:cs="Arial"/>
        </w:rPr>
        <w:t>£</w:t>
      </w:r>
      <w:r w:rsidRPr="00E62915">
        <w:t>35.92 million, IRR of 33.12, PI of 1.72</w:t>
      </w:r>
      <w:r w:rsidR="001E7522">
        <w:t xml:space="preserve"> (Table 6)</w:t>
      </w:r>
      <w:r w:rsidRPr="00E62915">
        <w:t>.</w:t>
      </w:r>
    </w:p>
    <w:p w14:paraId="15B22CD0" w14:textId="7E4363A7" w:rsidR="00732C47" w:rsidRDefault="001E5CE5" w:rsidP="00065EDE">
      <w:r w:rsidRPr="001E5CE5">
        <w:t xml:space="preserve">Payback Period (PBP) is the time the investment </w:t>
      </w:r>
      <w:r w:rsidR="004C3E63">
        <w:t>to recover</w:t>
      </w:r>
      <w:r w:rsidRPr="001E5CE5">
        <w:t xml:space="preserve"> the investment made</w:t>
      </w:r>
      <w:r w:rsidR="004C3E63">
        <w:t>,</w:t>
      </w:r>
      <w:r w:rsidRPr="001E5CE5">
        <w:t xml:space="preserve"> and it is one of the usual measurements in liquidity evaluation. A small PBP tends to show that investment is recovered faster</w:t>
      </w:r>
      <w:r w:rsidR="004C3E63">
        <w:t>,</w:t>
      </w:r>
      <w:r w:rsidRPr="001E5CE5">
        <w:t xml:space="preserve"> thus less risk exposure. Project A in this instance has the </w:t>
      </w:r>
      <w:r w:rsidRPr="001E5CE5">
        <w:lastRenderedPageBreak/>
        <w:t>least PBP at 2.33 years</w:t>
      </w:r>
      <w:r w:rsidR="004C3E63">
        <w:t>,</w:t>
      </w:r>
      <w:r w:rsidRPr="001E5CE5">
        <w:t xml:space="preserve"> as it will take Volkswagen less than three years to supply its </w:t>
      </w:r>
      <w:r w:rsidR="00EB47C0">
        <w:rPr>
          <w:rFonts w:cs="Arial"/>
        </w:rPr>
        <w:t>£</w:t>
      </w:r>
      <w:r w:rsidRPr="001E5CE5">
        <w:t xml:space="preserve">50 million investment back to it </w:t>
      </w:r>
      <w:r w:rsidR="004C3E63">
        <w:t>in</w:t>
      </w:r>
      <w:r w:rsidRPr="001E5CE5">
        <w:t xml:space="preserve"> the form of recovered funds. Project B is less desirable than Project A because it needs two years </w:t>
      </w:r>
      <w:r w:rsidR="004C3E63">
        <w:t xml:space="preserve">and </w:t>
      </w:r>
      <w:r w:rsidRPr="001E5CE5">
        <w:t>three months to recover the investment</w:t>
      </w:r>
      <w:r w:rsidR="004C3E63">
        <w:t>,</w:t>
      </w:r>
      <w:r w:rsidRPr="001E5CE5">
        <w:t xml:space="preserve"> whereas Project C has a Payback Period of 2.50 years and, thus, the longest period to recoup the initial investment. Though this can pass off as a drawback, it is worth mentioning that the rest of the financial measures make project C an attractive </w:t>
      </w:r>
      <w:r w:rsidR="00732C47" w:rsidRPr="001E5CE5">
        <w:t>long-term</w:t>
      </w:r>
      <w:r w:rsidRPr="001E5CE5">
        <w:t xml:space="preserve"> investment</w:t>
      </w:r>
      <w:r w:rsidR="004C3E63">
        <w:t>,</w:t>
      </w:r>
      <w:r w:rsidRPr="001E5CE5">
        <w:t xml:space="preserve"> even though </w:t>
      </w:r>
      <w:proofErr w:type="gramStart"/>
      <w:r w:rsidR="0092392A" w:rsidRPr="001E5CE5">
        <w:t>it’s</w:t>
      </w:r>
      <w:proofErr w:type="gramEnd"/>
      <w:r w:rsidRPr="001E5CE5">
        <w:t xml:space="preserve"> payback period is longer.</w:t>
      </w:r>
    </w:p>
    <w:p w14:paraId="2212C53D" w14:textId="49ED5BE4" w:rsidR="00A03E89" w:rsidRDefault="001E5CE5" w:rsidP="00065EDE">
      <w:r w:rsidRPr="001E5CE5">
        <w:t>Another parameter employed to determine the profitability of a project is Accounting Rate of Return (ARR), that is, it is used to determine the average accounting profit of the project divided by the initial investment on an annual average basis. The ARR of project</w:t>
      </w:r>
      <w:r w:rsidR="004C3E63">
        <w:t>s</w:t>
      </w:r>
      <w:r w:rsidRPr="001E5CE5">
        <w:t xml:space="preserve"> A and B is 22 percent and therefore</w:t>
      </w:r>
      <w:r w:rsidR="004C3E63">
        <w:t>,</w:t>
      </w:r>
      <w:r w:rsidRPr="001E5CE5">
        <w:t xml:space="preserve"> the two projects will give a</w:t>
      </w:r>
      <w:r w:rsidR="0092392A">
        <w:t xml:space="preserve"> moderately</w:t>
      </w:r>
      <w:r w:rsidRPr="001E5CE5">
        <w:t xml:space="preserve"> good </w:t>
      </w:r>
      <w:r w:rsidR="004C3E63">
        <w:t>return</w:t>
      </w:r>
      <w:r w:rsidRPr="001E5CE5">
        <w:t xml:space="preserve"> on the capital invested in the projects. Nevertheless, Project C has </w:t>
      </w:r>
      <w:r w:rsidR="004C3E63">
        <w:t xml:space="preserve">a </w:t>
      </w:r>
      <w:r w:rsidRPr="001E5CE5">
        <w:t>better ARR of 26</w:t>
      </w:r>
      <w:r w:rsidR="00732C47">
        <w:t>%</w:t>
      </w:r>
      <w:r w:rsidRPr="001E5CE5">
        <w:t xml:space="preserve"> as it indicates the greater profitability generated due to growing cash inflows. Project C is most profitable accounting</w:t>
      </w:r>
      <w:r w:rsidR="004C3E63">
        <w:t>-</w:t>
      </w:r>
      <w:r w:rsidRPr="001E5CE5">
        <w:t>wise because it offers a greater profitability in terms of investment units.</w:t>
      </w:r>
    </w:p>
    <w:p w14:paraId="24407606" w14:textId="3EE4AEA9" w:rsidR="002E1908" w:rsidRDefault="0056219C" w:rsidP="00065EDE">
      <w:r w:rsidRPr="0056219C">
        <w:t xml:space="preserve">In comparing the projects </w:t>
      </w:r>
      <w:r w:rsidR="0092392A" w:rsidRPr="0056219C">
        <w:t>based on</w:t>
      </w:r>
      <w:r w:rsidRPr="0056219C">
        <w:t xml:space="preserve"> their Net Present Value (NPV) that takes the time value of money, Project C is once again the most suitable choice. The NPV is determined by discounting the future cash inflows at the rate of </w:t>
      </w:r>
      <w:r w:rsidR="00F12C30" w:rsidRPr="0056219C">
        <w:t>return,</w:t>
      </w:r>
      <w:r w:rsidRPr="0056219C">
        <w:t xml:space="preserve"> which is necessary</w:t>
      </w:r>
      <w:r w:rsidR="004C3E63">
        <w:t>,</w:t>
      </w:r>
      <w:r w:rsidRPr="0056219C">
        <w:t xml:space="preserve"> and the positive NPV shows that the project will add value to the company. Project C has the highest NPV of </w:t>
      </w:r>
      <w:r w:rsidR="00F12C30">
        <w:rPr>
          <w:rFonts w:cs="Arial"/>
        </w:rPr>
        <w:t>£</w:t>
      </w:r>
      <w:r w:rsidRPr="0056219C">
        <w:t xml:space="preserve">35.92 million compared to the other two projects. </w:t>
      </w:r>
      <w:r w:rsidR="004C3E63">
        <w:t>This may indicate</w:t>
      </w:r>
      <w:r w:rsidRPr="0056219C">
        <w:t xml:space="preserve"> that even though Project C will lead to a longer payback period, it will create the greatest value to Volkswagen. Project B comes next with the NPV value of </w:t>
      </w:r>
      <w:r w:rsidR="00F12C30">
        <w:rPr>
          <w:rFonts w:cs="Arial"/>
        </w:rPr>
        <w:t>£</w:t>
      </w:r>
      <w:r w:rsidRPr="0056219C">
        <w:t>29.61 million</w:t>
      </w:r>
      <w:r w:rsidR="004C3E63">
        <w:t>,</w:t>
      </w:r>
      <w:r w:rsidRPr="0056219C">
        <w:t xml:space="preserve"> whereas </w:t>
      </w:r>
      <w:r w:rsidR="00F12C30">
        <w:rPr>
          <w:rFonts w:cs="Arial"/>
        </w:rPr>
        <w:t>£</w:t>
      </w:r>
      <w:r w:rsidRPr="0056219C">
        <w:t>29.23 million is the lowest NPV in Project A. These values indicate that the long-term cash flows of Project C are significantly high as compared to the slower recovery period of Project C</w:t>
      </w:r>
      <w:r w:rsidR="004C3E63">
        <w:t>,</w:t>
      </w:r>
      <w:r w:rsidRPr="0056219C">
        <w:t xml:space="preserve"> which means that it would be the most suitable choice in terms of value creation.</w:t>
      </w:r>
    </w:p>
    <w:p w14:paraId="4F8364F9" w14:textId="6CCE4945" w:rsidR="00732C47" w:rsidRDefault="0056219C" w:rsidP="00065EDE">
      <w:r w:rsidRPr="0056219C">
        <w:t xml:space="preserve">One of the most important measures in capital budgeting is </w:t>
      </w:r>
      <w:r w:rsidR="004C3E63">
        <w:t xml:space="preserve">the </w:t>
      </w:r>
      <w:r w:rsidRPr="0056219C">
        <w:t>Internal Rate of Return (IRR)</w:t>
      </w:r>
      <w:r w:rsidR="002E1908">
        <w:t>.</w:t>
      </w:r>
      <w:r w:rsidRPr="0056219C">
        <w:t xml:space="preserve"> </w:t>
      </w:r>
      <w:r w:rsidR="002E1908" w:rsidRPr="0056219C">
        <w:t>I</w:t>
      </w:r>
      <w:r w:rsidRPr="0056219C">
        <w:t>t</w:t>
      </w:r>
      <w:r w:rsidR="002E1908">
        <w:t xml:space="preserve"> </w:t>
      </w:r>
      <w:r w:rsidRPr="0056219C">
        <w:t>is used to identify the discount rate at which a project will have an NPV of zero. The larger the IRR, the more attractive an investment will be</w:t>
      </w:r>
      <w:r w:rsidR="004C3E63">
        <w:t>,</w:t>
      </w:r>
      <w:r w:rsidRPr="0056219C">
        <w:t xml:space="preserve"> so long as it is above the </w:t>
      </w:r>
      <w:r w:rsidRPr="0056219C">
        <w:lastRenderedPageBreak/>
        <w:t>required rate of the company. The current IRR is the highest in Project C</w:t>
      </w:r>
      <w:r w:rsidR="004C3E63">
        <w:t>,</w:t>
      </w:r>
      <w:r w:rsidRPr="0056219C">
        <w:t xml:space="preserve"> where it stands at 33.12</w:t>
      </w:r>
      <w:r w:rsidR="004C3E63">
        <w:t>,</w:t>
      </w:r>
      <w:r w:rsidRPr="0056219C">
        <w:t xml:space="preserve"> followed by Project A </w:t>
      </w:r>
      <w:r w:rsidR="004C3E63">
        <w:t xml:space="preserve">at </w:t>
      </w:r>
      <w:r w:rsidRPr="0056219C">
        <w:t xml:space="preserve">31.23 and Project B </w:t>
      </w:r>
      <w:r w:rsidR="004C3E63">
        <w:t xml:space="preserve">at </w:t>
      </w:r>
      <w:r w:rsidRPr="0056219C">
        <w:t xml:space="preserve">31.19. Although the IRR of Project B is almost </w:t>
      </w:r>
      <w:proofErr w:type="gramStart"/>
      <w:r w:rsidRPr="0056219C">
        <w:t>similar to</w:t>
      </w:r>
      <w:proofErr w:type="gramEnd"/>
      <w:r w:rsidRPr="0056219C">
        <w:t xml:space="preserve"> Project A, the high IRR of Project C shows that the project offers the highest returns against its cost.</w:t>
      </w:r>
    </w:p>
    <w:p w14:paraId="2E2B4ECE" w14:textId="08096850" w:rsidR="008E3B4B" w:rsidRDefault="00CD0C7B" w:rsidP="00065EDE">
      <w:r w:rsidRPr="00CD0C7B">
        <w:t xml:space="preserve">The Profitability Index (PI) is a ratio of the present value of the future inflows of cash to the </w:t>
      </w:r>
      <w:r w:rsidR="008E3B4B" w:rsidRPr="00CD0C7B">
        <w:t>startup</w:t>
      </w:r>
      <w:r w:rsidRPr="00CD0C7B">
        <w:t xml:space="preserve"> investment. PI above 1 shows a good thing to invest in. Project C is again better performing than the other two projects</w:t>
      </w:r>
      <w:r w:rsidR="004C3E63">
        <w:t>,</w:t>
      </w:r>
      <w:r w:rsidRPr="00CD0C7B">
        <w:t xml:space="preserve"> with the greatest PI of 1.72. The PI of Project B is 1.59</w:t>
      </w:r>
      <w:r w:rsidR="004C3E63">
        <w:t>,</w:t>
      </w:r>
      <w:r w:rsidRPr="00CD0C7B">
        <w:t xml:space="preserve"> and the lowest PI is in Project A of 1.58. This implies that, on a pound invested</w:t>
      </w:r>
      <w:r w:rsidR="004C3E63">
        <w:t>,</w:t>
      </w:r>
      <w:r w:rsidRPr="00CD0C7B">
        <w:t xml:space="preserve"> Project C creates the highest value</w:t>
      </w:r>
      <w:r w:rsidR="004C3E63">
        <w:t>,</w:t>
      </w:r>
      <w:r w:rsidRPr="00CD0C7B">
        <w:t xml:space="preserve"> followed by Project B, which is a little bit </w:t>
      </w:r>
      <w:r w:rsidR="004C3E63">
        <w:t xml:space="preserve">more </w:t>
      </w:r>
      <w:r w:rsidRPr="00CD0C7B">
        <w:t>efficient than Project A.</w:t>
      </w:r>
    </w:p>
    <w:p w14:paraId="32E46C65" w14:textId="788100D2" w:rsidR="002E1908" w:rsidRDefault="00CD0C7B" w:rsidP="00065EDE">
      <w:r w:rsidRPr="00CD0C7B">
        <w:t xml:space="preserve">With this kind of financial evaluation, </w:t>
      </w:r>
      <w:r w:rsidR="008E3B4B">
        <w:t>it can be stated</w:t>
      </w:r>
      <w:r w:rsidRPr="00CD0C7B">
        <w:t xml:space="preserve"> that Project C is the most appealing project. Its NPV, IRR, ARR, and PI are </w:t>
      </w:r>
      <w:r w:rsidR="004C3E63">
        <w:t xml:space="preserve">the </w:t>
      </w:r>
      <w:r w:rsidRPr="00CD0C7B">
        <w:t>highest</w:t>
      </w:r>
      <w:r w:rsidR="004C3E63">
        <w:t>,</w:t>
      </w:r>
      <w:r w:rsidRPr="00CD0C7B">
        <w:t xml:space="preserve"> meaning that it gives the best ROI and generates returns to Volkswagen in the long term. Although Project A provides a rapid initial investment payback period, the longer payback period is not as significant as </w:t>
      </w:r>
      <w:r w:rsidR="004C3E63">
        <w:t>the greater</w:t>
      </w:r>
      <w:r w:rsidRPr="00CD0C7B">
        <w:t xml:space="preserve"> profitability and value creation of Project C.</w:t>
      </w:r>
    </w:p>
    <w:p w14:paraId="21C231F6" w14:textId="01429F3E" w:rsidR="002955E9" w:rsidRDefault="00D05AEE" w:rsidP="00D05AEE">
      <w:pPr>
        <w:pStyle w:val="Heading2"/>
      </w:pPr>
      <w:bookmarkStart w:id="19" w:name="_Toc224494906"/>
      <w:r>
        <w:t>Non-financial Factors</w:t>
      </w:r>
      <w:bookmarkEnd w:id="19"/>
    </w:p>
    <w:p w14:paraId="7E7F6068" w14:textId="34162A96" w:rsidR="0072408C" w:rsidRDefault="00776DDA" w:rsidP="00776DDA">
      <w:r>
        <w:t xml:space="preserve">The </w:t>
      </w:r>
      <w:r w:rsidR="00656852">
        <w:t>decision-making</w:t>
      </w:r>
      <w:r>
        <w:t xml:space="preserve"> process should also take into consideration non-financial issues. An example is when Project C may hire more political risks to Volkswagen in case there is a substantial international expansion, particularly </w:t>
      </w:r>
      <w:r w:rsidR="004C3E63">
        <w:t xml:space="preserve">in </w:t>
      </w:r>
      <w:r>
        <w:t xml:space="preserve">those regions that are politically unstable or have varying regulations. In addition, customer loyalty is a factor to consider; Since companies can gain customer loyalty by providing a better customer experience or aligning with emerging consumer trends, </w:t>
      </w:r>
      <w:r w:rsidR="0092392A">
        <w:t>e.g.,</w:t>
      </w:r>
      <w:r>
        <w:t xml:space="preserve"> the rising popularity of electric cars, it may be part of building long-term customer loyalty and the company brand. In the case </w:t>
      </w:r>
      <w:r w:rsidR="004C3E63">
        <w:t>of</w:t>
      </w:r>
      <w:r>
        <w:t xml:space="preserve"> Project C</w:t>
      </w:r>
      <w:r w:rsidR="004C3E63">
        <w:t>,</w:t>
      </w:r>
      <w:r>
        <w:t xml:space="preserve"> where the company decides to enter the electric vehicle manufacturing and/or increase its sustainability efforts, these aspects might represent a formidable competitive advantage in an extremely dynamic market.</w:t>
      </w:r>
    </w:p>
    <w:p w14:paraId="6926CE4D" w14:textId="2007B0FA" w:rsidR="00656852" w:rsidRDefault="00D05AEE" w:rsidP="0072408C">
      <w:pPr>
        <w:pStyle w:val="Heading2"/>
      </w:pPr>
      <w:bookmarkStart w:id="20" w:name="_Toc224494907"/>
      <w:r>
        <w:lastRenderedPageBreak/>
        <w:t>Capital Rationing</w:t>
      </w:r>
      <w:bookmarkEnd w:id="20"/>
    </w:p>
    <w:p w14:paraId="10C55982" w14:textId="732920E1" w:rsidR="00656852" w:rsidRDefault="00656852" w:rsidP="00656852">
      <w:r>
        <w:t>Projects B and C should be chosen</w:t>
      </w:r>
      <w:r w:rsidR="004C3E63">
        <w:t>,</w:t>
      </w:r>
      <w:r>
        <w:t xml:space="preserve"> given the fact that the maximum investment target is PS 100 million. This selection would give the most optimal investment of PS 100 million and high profitability of the two projects because they offer good returns to the investments of the company and would be close to the long-term strategic goals of Volkswagen. Investing in both projects would help Volkswagen to diversify its investment and exploit the strengths of both investments.</w:t>
      </w:r>
    </w:p>
    <w:p w14:paraId="04E678F1" w14:textId="336850E9" w:rsidR="00656852" w:rsidRDefault="00656852" w:rsidP="00656852">
      <w:r>
        <w:t>To summari</w:t>
      </w:r>
      <w:r w:rsidR="007411A4">
        <w:t>s</w:t>
      </w:r>
      <w:r>
        <w:t>e, Project C is the best individual investment with the best NPV, IRR and profitability. In the case of capital rationing, Projects B and C can be undertaken since they give the optimal preferences on both profitability, profitability of investment and alignment to the strategic future vision of Volkswagen.</w:t>
      </w:r>
    </w:p>
    <w:p w14:paraId="29C8EA69" w14:textId="77777777" w:rsidR="00D429CF" w:rsidRDefault="00D429CF" w:rsidP="00656852"/>
    <w:p w14:paraId="697CCF83" w14:textId="77777777" w:rsidR="00D429CF" w:rsidRDefault="00D429CF" w:rsidP="00656852"/>
    <w:p w14:paraId="36A64274" w14:textId="2350304A" w:rsidR="00D429CF" w:rsidRDefault="00D429CF">
      <w:pPr>
        <w:spacing w:before="0" w:after="160" w:line="259" w:lineRule="auto"/>
        <w:jc w:val="left"/>
      </w:pPr>
      <w:r>
        <w:br w:type="page"/>
      </w:r>
    </w:p>
    <w:p w14:paraId="3E4DD1C5" w14:textId="54FD9AA1" w:rsidR="00264A23" w:rsidRPr="00264A23" w:rsidRDefault="00D429CF" w:rsidP="00264A23">
      <w:pPr>
        <w:pStyle w:val="Heading1"/>
      </w:pPr>
      <w:bookmarkStart w:id="21" w:name="_Toc224494908"/>
      <w:r>
        <w:lastRenderedPageBreak/>
        <w:t>Conclusion</w:t>
      </w:r>
      <w:bookmarkEnd w:id="21"/>
    </w:p>
    <w:p w14:paraId="43D25292" w14:textId="5369C35F" w:rsidR="00D429CF" w:rsidRDefault="001467F1" w:rsidP="00D429CF">
      <w:r w:rsidRPr="001467F1">
        <w:t>Summing up, the comparison of the three investment projects under consideration based on the main capital budgeting parameters allows concluding that Project C is the most appropriate investment choice since it has the best NPV, IRR, ARR, and Profitability Index. Project C comes with a longer payback period but has better returns</w:t>
      </w:r>
      <w:r w:rsidR="007411A4">
        <w:t>,</w:t>
      </w:r>
      <w:r w:rsidRPr="001467F1">
        <w:t xml:space="preserve"> thus making it the most desirable to Volkswagen. In the case of capital rationing, a mix of Projects B and C will result in maximum profitability without exceeding </w:t>
      </w:r>
      <w:r w:rsidR="007411A4">
        <w:t xml:space="preserve">the </w:t>
      </w:r>
      <w:r w:rsidRPr="001467F1">
        <w:t xml:space="preserve">PS 100 million investment constraint. The choice of these projects will allow Volkswagen to guarantee long-term growth, improve the value of shareholders and keep its operations flexible and be prepared </w:t>
      </w:r>
      <w:r w:rsidR="007411A4">
        <w:t>for</w:t>
      </w:r>
      <w:r w:rsidRPr="001467F1">
        <w:t xml:space="preserve"> the possible risks that such investments may bring.</w:t>
      </w:r>
    </w:p>
    <w:p w14:paraId="2B506128" w14:textId="45AC1106" w:rsidR="00D429CF" w:rsidRDefault="00D429CF">
      <w:pPr>
        <w:spacing w:before="0" w:after="160" w:line="259" w:lineRule="auto"/>
        <w:jc w:val="left"/>
      </w:pPr>
      <w:r>
        <w:br w:type="page"/>
      </w:r>
    </w:p>
    <w:p w14:paraId="5DCD7E24" w14:textId="0B8852DE" w:rsidR="00D429CF" w:rsidRDefault="00D429CF" w:rsidP="00D429CF">
      <w:pPr>
        <w:pStyle w:val="Heading1"/>
      </w:pPr>
      <w:bookmarkStart w:id="22" w:name="_Toc224494909"/>
      <w:r>
        <w:lastRenderedPageBreak/>
        <w:t>References</w:t>
      </w:r>
      <w:bookmarkEnd w:id="22"/>
    </w:p>
    <w:p w14:paraId="434FED80" w14:textId="77777777" w:rsidR="00E903F6" w:rsidRPr="00E903F6" w:rsidRDefault="00E903F6" w:rsidP="00E903F6">
      <w:proofErr w:type="spellStart"/>
      <w:r w:rsidRPr="00E903F6">
        <w:t>Atrill</w:t>
      </w:r>
      <w:proofErr w:type="spellEnd"/>
      <w:r w:rsidRPr="00E903F6">
        <w:t xml:space="preserve">, P. and </w:t>
      </w:r>
      <w:proofErr w:type="spellStart"/>
      <w:r w:rsidRPr="00E903F6">
        <w:t>Mclaney</w:t>
      </w:r>
      <w:proofErr w:type="spellEnd"/>
      <w:r w:rsidRPr="00E903F6">
        <w:t xml:space="preserve">, E. (2022). </w:t>
      </w:r>
      <w:r w:rsidRPr="00E903F6">
        <w:rPr>
          <w:i/>
          <w:iCs/>
        </w:rPr>
        <w:t>Accounting and Finance for Non-Specialists</w:t>
      </w:r>
      <w:r w:rsidRPr="00E903F6">
        <w:t>. 12th ed. Harlow: Pearson.</w:t>
      </w:r>
    </w:p>
    <w:p w14:paraId="6C572695" w14:textId="47A65717" w:rsidR="00E903F6" w:rsidRPr="00E903F6" w:rsidRDefault="00E903F6" w:rsidP="00E903F6">
      <w:r w:rsidRPr="00E903F6">
        <w:t xml:space="preserve">Bailey, D., de Ruyter, A., Michie, J. and Tyler, P. (2023). Global restructuring and the auto industry. </w:t>
      </w:r>
      <w:r w:rsidRPr="00E903F6">
        <w:rPr>
          <w:i/>
          <w:iCs/>
        </w:rPr>
        <w:t xml:space="preserve">Cambridge Journal of Regions, </w:t>
      </w:r>
      <w:proofErr w:type="gramStart"/>
      <w:r w:rsidRPr="00E903F6">
        <w:rPr>
          <w:i/>
          <w:iCs/>
        </w:rPr>
        <w:t>Economy</w:t>
      </w:r>
      <w:proofErr w:type="gramEnd"/>
      <w:r w:rsidRPr="00E903F6">
        <w:rPr>
          <w:i/>
          <w:iCs/>
        </w:rPr>
        <w:t xml:space="preserve"> and Society</w:t>
      </w:r>
      <w:r w:rsidRPr="00E903F6">
        <w:t xml:space="preserve">, [online] 3(3), pp.311–318. </w:t>
      </w:r>
      <w:proofErr w:type="spellStart"/>
      <w:r w:rsidRPr="00E903F6">
        <w:t>doi</w:t>
      </w:r>
      <w:proofErr w:type="spellEnd"/>
      <w:r w:rsidRPr="00E903F6">
        <w:t>:</w:t>
      </w:r>
      <w:r w:rsidR="00EF7305">
        <w:t xml:space="preserve"> </w:t>
      </w:r>
      <w:hyperlink r:id="rId13" w:history="1">
        <w:r w:rsidR="00EF7305" w:rsidRPr="00E903F6">
          <w:rPr>
            <w:rStyle w:val="Hyperlink"/>
          </w:rPr>
          <w:t>https://doi.org/10.1093/cjres/rsq029</w:t>
        </w:r>
      </w:hyperlink>
      <w:r w:rsidRPr="00E903F6">
        <w:t>.</w:t>
      </w:r>
      <w:r w:rsidR="00EF7305">
        <w:t xml:space="preserve"> </w:t>
      </w:r>
    </w:p>
    <w:p w14:paraId="66700F39" w14:textId="77777777" w:rsidR="00E903F6" w:rsidRPr="00E903F6" w:rsidRDefault="00E903F6" w:rsidP="00E903F6">
      <w:r w:rsidRPr="00E903F6">
        <w:t xml:space="preserve">Brealey, R.A., Myers, S.C. and Allen, F. (2020). </w:t>
      </w:r>
      <w:r w:rsidRPr="00E903F6">
        <w:rPr>
          <w:i/>
          <w:iCs/>
        </w:rPr>
        <w:t>Principles of Corporate Finance</w:t>
      </w:r>
      <w:r w:rsidRPr="00E903F6">
        <w:t>. 14th ed. New York: McGraw-Hill Education.</w:t>
      </w:r>
    </w:p>
    <w:p w14:paraId="7404E987" w14:textId="77777777" w:rsidR="00E903F6" w:rsidRPr="00E903F6" w:rsidRDefault="00E903F6" w:rsidP="00E903F6">
      <w:r w:rsidRPr="00E903F6">
        <w:t xml:space="preserve">Brigham, E.F. and Ehrhardt, M.C. (2023). </w:t>
      </w:r>
      <w:r w:rsidRPr="00E903F6">
        <w:rPr>
          <w:i/>
          <w:iCs/>
        </w:rPr>
        <w:t>Financial Management Theory &amp; Practice.</w:t>
      </w:r>
      <w:r w:rsidRPr="00E903F6">
        <w:t xml:space="preserve"> South-Western Pub.</w:t>
      </w:r>
    </w:p>
    <w:p w14:paraId="7B7FC87D" w14:textId="77ACC5B6" w:rsidR="00E903F6" w:rsidRPr="00E903F6" w:rsidRDefault="00E903F6" w:rsidP="00E903F6">
      <w:r w:rsidRPr="00E903F6">
        <w:t xml:space="preserve">Charitou, A., Neophytou, E. and Charalambous, C. (2004). Predicting corporate failure: empirical evidence for the UK. </w:t>
      </w:r>
      <w:r w:rsidRPr="00E903F6">
        <w:rPr>
          <w:i/>
          <w:iCs/>
        </w:rPr>
        <w:t>European Accounting Review</w:t>
      </w:r>
      <w:r w:rsidRPr="00E903F6">
        <w:t xml:space="preserve">, 13(3), pp.465–497. </w:t>
      </w:r>
      <w:proofErr w:type="spellStart"/>
      <w:r w:rsidRPr="00E903F6">
        <w:t>doi</w:t>
      </w:r>
      <w:proofErr w:type="spellEnd"/>
      <w:r w:rsidRPr="00E903F6">
        <w:t>:</w:t>
      </w:r>
      <w:r w:rsidR="00EF7305">
        <w:t xml:space="preserve"> </w:t>
      </w:r>
      <w:hyperlink r:id="rId14" w:history="1">
        <w:r w:rsidR="00EF7305" w:rsidRPr="00E903F6">
          <w:rPr>
            <w:rStyle w:val="Hyperlink"/>
          </w:rPr>
          <w:t>https://doi.org/10.1080/0963818042000216811</w:t>
        </w:r>
      </w:hyperlink>
      <w:r w:rsidRPr="00E903F6">
        <w:t>.</w:t>
      </w:r>
      <w:r w:rsidR="00EF7305">
        <w:t xml:space="preserve"> </w:t>
      </w:r>
    </w:p>
    <w:p w14:paraId="703B6BB4" w14:textId="13A0EEE9" w:rsidR="00E903F6" w:rsidRPr="00E903F6" w:rsidRDefault="00E903F6" w:rsidP="00E903F6">
      <w:r w:rsidRPr="00E903F6">
        <w:t xml:space="preserve">Gigante, G., Cerri, A. and Leone, G. (2023). The impact of mergers and acquisitions on shareholders’ value: an empirical study of pharmaceutical companies. </w:t>
      </w:r>
      <w:r w:rsidRPr="00E903F6">
        <w:rPr>
          <w:i/>
          <w:iCs/>
        </w:rPr>
        <w:t>Managerial Finance</w:t>
      </w:r>
      <w:r w:rsidRPr="00E903F6">
        <w:t xml:space="preserve">, 49(8). </w:t>
      </w:r>
      <w:proofErr w:type="spellStart"/>
      <w:r w:rsidRPr="00E903F6">
        <w:t>doi</w:t>
      </w:r>
      <w:proofErr w:type="spellEnd"/>
      <w:r w:rsidRPr="00E903F6">
        <w:t>:</w:t>
      </w:r>
      <w:r w:rsidR="00EF7305">
        <w:t xml:space="preserve"> </w:t>
      </w:r>
      <w:hyperlink r:id="rId15" w:history="1">
        <w:r w:rsidR="00EF7305" w:rsidRPr="00E903F6">
          <w:rPr>
            <w:rStyle w:val="Hyperlink"/>
          </w:rPr>
          <w:t>https://doi.org/10.1108/mf-01-2022-0015</w:t>
        </w:r>
      </w:hyperlink>
      <w:r w:rsidRPr="00E903F6">
        <w:t>.</w:t>
      </w:r>
      <w:r w:rsidR="00EF7305">
        <w:t xml:space="preserve"> </w:t>
      </w:r>
    </w:p>
    <w:p w14:paraId="329FC1D1" w14:textId="77777777" w:rsidR="00E903F6" w:rsidRPr="00E903F6" w:rsidRDefault="00E903F6" w:rsidP="00E903F6">
      <w:r w:rsidRPr="00E903F6">
        <w:t xml:space="preserve">Hillier, D., Ross, S.A., Westerfield, R., Jaffe, J.F. and Jordan, B.D. (2023). </w:t>
      </w:r>
      <w:r w:rsidRPr="00E903F6">
        <w:rPr>
          <w:i/>
          <w:iCs/>
        </w:rPr>
        <w:t>Corporate finance</w:t>
      </w:r>
      <w:r w:rsidRPr="00E903F6">
        <w:t xml:space="preserve">. 5th ed. New York: </w:t>
      </w:r>
      <w:proofErr w:type="spellStart"/>
      <w:r w:rsidRPr="00E903F6">
        <w:t>Mcgraw-Hill</w:t>
      </w:r>
      <w:proofErr w:type="spellEnd"/>
      <w:r w:rsidRPr="00E903F6">
        <w:t xml:space="preserve"> Education.</w:t>
      </w:r>
    </w:p>
    <w:p w14:paraId="35DB3848" w14:textId="467623D1" w:rsidR="00E903F6" w:rsidRPr="00E903F6" w:rsidRDefault="00E903F6" w:rsidP="00E903F6">
      <w:r w:rsidRPr="00E903F6">
        <w:t xml:space="preserve">Hossain, M.S. (2021). A revisit of capital structure puzzle: Global evidence and analysis. </w:t>
      </w:r>
      <w:r w:rsidRPr="00E903F6">
        <w:rPr>
          <w:i/>
          <w:iCs/>
        </w:rPr>
        <w:t>International Review of Economics &amp; Finance</w:t>
      </w:r>
      <w:r w:rsidRPr="00E903F6">
        <w:t xml:space="preserve">, 75, pp.657–678. </w:t>
      </w:r>
      <w:proofErr w:type="spellStart"/>
      <w:r w:rsidRPr="00E903F6">
        <w:t>doi</w:t>
      </w:r>
      <w:proofErr w:type="spellEnd"/>
      <w:r w:rsidRPr="00E903F6">
        <w:t>:</w:t>
      </w:r>
      <w:r w:rsidR="00EF7305">
        <w:t xml:space="preserve"> </w:t>
      </w:r>
      <w:hyperlink r:id="rId16" w:history="1">
        <w:r w:rsidR="00EF7305" w:rsidRPr="00E903F6">
          <w:rPr>
            <w:rStyle w:val="Hyperlink"/>
          </w:rPr>
          <w:t>https://doi.org/10.1016/j.iref.2021.05.001</w:t>
        </w:r>
      </w:hyperlink>
      <w:r w:rsidRPr="00E903F6">
        <w:t>.</w:t>
      </w:r>
      <w:r w:rsidR="00EF7305">
        <w:t xml:space="preserve"> </w:t>
      </w:r>
    </w:p>
    <w:p w14:paraId="360AF554" w14:textId="4EFE4A63" w:rsidR="00E903F6" w:rsidRPr="00E903F6" w:rsidRDefault="00E903F6" w:rsidP="00E903F6">
      <w:r w:rsidRPr="00E903F6">
        <w:t xml:space="preserve">IMF (2024). </w:t>
      </w:r>
      <w:r w:rsidRPr="00E903F6">
        <w:rPr>
          <w:i/>
          <w:iCs/>
        </w:rPr>
        <w:t>Understanding the Use of Long-term Finance in Developing Economies</w:t>
      </w:r>
      <w:r w:rsidRPr="00E903F6">
        <w:t xml:space="preserve">. [online] IMF. Available at: </w:t>
      </w:r>
      <w:hyperlink r:id="rId17" w:history="1">
        <w:r w:rsidR="00EF7305" w:rsidRPr="00E903F6">
          <w:rPr>
            <w:rStyle w:val="Hyperlink"/>
          </w:rPr>
          <w:t>https://www.imf.org/en/Publications/WP/Issues/2017/04/26/Understanding-the-Use-of-Long-term-Finance-in-Developing-Economies-44855</w:t>
        </w:r>
      </w:hyperlink>
      <w:r w:rsidRPr="00E903F6">
        <w:t>.</w:t>
      </w:r>
      <w:r w:rsidR="00EF7305">
        <w:t xml:space="preserve"> </w:t>
      </w:r>
    </w:p>
    <w:p w14:paraId="5D7262D1" w14:textId="6305CFAB" w:rsidR="00E903F6" w:rsidRPr="00E903F6" w:rsidRDefault="00E903F6" w:rsidP="00E903F6">
      <w:r w:rsidRPr="00E903F6">
        <w:lastRenderedPageBreak/>
        <w:t xml:space="preserve">Jenkins, A. (2024). </w:t>
      </w:r>
      <w:r w:rsidRPr="00E903F6">
        <w:rPr>
          <w:i/>
          <w:iCs/>
        </w:rPr>
        <w:t>Just-in-Time (JIT) Inventory: A Definition and Comprehensive Guide</w:t>
      </w:r>
      <w:r w:rsidRPr="00E903F6">
        <w:t xml:space="preserve">. [online] Oracle NetSuite. Available at: </w:t>
      </w:r>
      <w:hyperlink r:id="rId18" w:history="1">
        <w:r w:rsidR="00EF7305" w:rsidRPr="00E903F6">
          <w:rPr>
            <w:rStyle w:val="Hyperlink"/>
          </w:rPr>
          <w:t>https://www.netsuite.com/portal/resource/articles/inventory-management/just-in-time-inventory.shtml</w:t>
        </w:r>
      </w:hyperlink>
      <w:r w:rsidRPr="00E903F6">
        <w:t>.</w:t>
      </w:r>
      <w:r w:rsidR="00EF7305">
        <w:t xml:space="preserve"> </w:t>
      </w:r>
    </w:p>
    <w:p w14:paraId="0845DAD3" w14:textId="0A08D4AF" w:rsidR="00E903F6" w:rsidRPr="00E903F6" w:rsidRDefault="00E903F6" w:rsidP="00E903F6">
      <w:proofErr w:type="spellStart"/>
      <w:r w:rsidRPr="00E903F6">
        <w:t>Kinsha</w:t>
      </w:r>
      <w:proofErr w:type="spellEnd"/>
      <w:r w:rsidRPr="00E903F6">
        <w:t xml:space="preserve">, R. and Worme (2022). </w:t>
      </w:r>
      <w:r w:rsidRPr="00E903F6">
        <w:rPr>
          <w:i/>
          <w:iCs/>
        </w:rPr>
        <w:t>CORPORATE GOVERNANCE - A COMPARATIVE ANALYSIS OF THE APPROACH TO CORPORATE GOVERNANCE REGULATION AND ENFORCEMENT IN THE UK AND THE US</w:t>
      </w:r>
      <w:r w:rsidRPr="00E903F6">
        <w:t xml:space="preserve">. [online] Available at: </w:t>
      </w:r>
      <w:hyperlink r:id="rId19" w:history="1">
        <w:r w:rsidR="00EF7305" w:rsidRPr="00E903F6">
          <w:rPr>
            <w:rStyle w:val="Hyperlink"/>
          </w:rPr>
          <w:t>https://researchonline.ljmu.ac.uk/id/eprint/19580/1/2022wormephd.pdf</w:t>
        </w:r>
      </w:hyperlink>
      <w:r w:rsidRPr="00E903F6">
        <w:t>.</w:t>
      </w:r>
      <w:r w:rsidR="00EF7305">
        <w:t xml:space="preserve"> </w:t>
      </w:r>
    </w:p>
    <w:p w14:paraId="7AE87D88" w14:textId="5850227D" w:rsidR="00E903F6" w:rsidRPr="00E903F6" w:rsidRDefault="00E903F6" w:rsidP="00E903F6">
      <w:proofErr w:type="spellStart"/>
      <w:r w:rsidRPr="00E903F6">
        <w:t>Kuizinienė</w:t>
      </w:r>
      <w:proofErr w:type="spellEnd"/>
      <w:r w:rsidRPr="00E903F6">
        <w:t xml:space="preserve">, D. and Krilavičius, T. (2024). Balancing Techniques for Advanced Financial Distress Detection Using Artificial Intelligence. </w:t>
      </w:r>
      <w:r w:rsidRPr="00E903F6">
        <w:rPr>
          <w:i/>
          <w:iCs/>
        </w:rPr>
        <w:t>Electronics</w:t>
      </w:r>
      <w:r w:rsidRPr="00E903F6">
        <w:t xml:space="preserve">, 13(8), pp.1596–1596. </w:t>
      </w:r>
      <w:proofErr w:type="spellStart"/>
      <w:r w:rsidRPr="00E903F6">
        <w:t>doi</w:t>
      </w:r>
      <w:proofErr w:type="spellEnd"/>
      <w:r w:rsidRPr="00E903F6">
        <w:t>:</w:t>
      </w:r>
      <w:r w:rsidR="00EF7305">
        <w:t xml:space="preserve"> </w:t>
      </w:r>
      <w:hyperlink r:id="rId20" w:history="1">
        <w:r w:rsidR="00EF7305" w:rsidRPr="00E903F6">
          <w:rPr>
            <w:rStyle w:val="Hyperlink"/>
          </w:rPr>
          <w:t>https://doi.org/10.3390/electronics13081596</w:t>
        </w:r>
      </w:hyperlink>
      <w:r w:rsidRPr="00E903F6">
        <w:t>.</w:t>
      </w:r>
      <w:r w:rsidR="00EF7305">
        <w:t xml:space="preserve"> </w:t>
      </w:r>
    </w:p>
    <w:p w14:paraId="4424C30A" w14:textId="4D9408BA" w:rsidR="00E903F6" w:rsidRPr="00E903F6" w:rsidRDefault="00E903F6" w:rsidP="00E903F6">
      <w:r w:rsidRPr="00E903F6">
        <w:t xml:space="preserve">Li, R., Che, C. and Huang, T. (2025). Financial distress and corporate ESG greenwashing. </w:t>
      </w:r>
      <w:r w:rsidRPr="00E903F6">
        <w:rPr>
          <w:i/>
          <w:iCs/>
        </w:rPr>
        <w:t>International Review of Economics &amp; Finance</w:t>
      </w:r>
      <w:r w:rsidRPr="00E903F6">
        <w:t xml:space="preserve">, 106, p.104938. </w:t>
      </w:r>
      <w:proofErr w:type="spellStart"/>
      <w:r w:rsidRPr="00E903F6">
        <w:t>doi</w:t>
      </w:r>
      <w:proofErr w:type="spellEnd"/>
      <w:r w:rsidRPr="00E903F6">
        <w:t>:</w:t>
      </w:r>
      <w:r w:rsidR="00EF7305">
        <w:t xml:space="preserve"> </w:t>
      </w:r>
      <w:hyperlink r:id="rId21" w:history="1">
        <w:r w:rsidR="00EF7305" w:rsidRPr="00E903F6">
          <w:rPr>
            <w:rStyle w:val="Hyperlink"/>
          </w:rPr>
          <w:t>https://doi.org/10.1016/j.iref.2026.104938</w:t>
        </w:r>
      </w:hyperlink>
      <w:r w:rsidRPr="00E903F6">
        <w:t>.</w:t>
      </w:r>
      <w:r w:rsidR="00EF7305">
        <w:t xml:space="preserve"> </w:t>
      </w:r>
    </w:p>
    <w:p w14:paraId="515B418E" w14:textId="706F320D" w:rsidR="00E903F6" w:rsidRPr="00E903F6" w:rsidRDefault="00E903F6" w:rsidP="00E903F6">
      <w:r w:rsidRPr="00E903F6">
        <w:t xml:space="preserve">Luther, D. (2022). </w:t>
      </w:r>
      <w:r w:rsidRPr="00E903F6">
        <w:rPr>
          <w:i/>
          <w:iCs/>
        </w:rPr>
        <w:t>Top Efficiency Ratios: Operational, Asset, Inventory and More</w:t>
      </w:r>
      <w:r w:rsidRPr="00E903F6">
        <w:t xml:space="preserve">. [online] Oracle NetSuite. Available at: </w:t>
      </w:r>
      <w:hyperlink r:id="rId22" w:history="1">
        <w:r w:rsidR="00EF7305" w:rsidRPr="00E903F6">
          <w:rPr>
            <w:rStyle w:val="Hyperlink"/>
          </w:rPr>
          <w:t>https://www.netsuite.com/portal/resource/articles/accounting/efficiency-ratios.shtml</w:t>
        </w:r>
      </w:hyperlink>
      <w:r w:rsidRPr="00E903F6">
        <w:t>.</w:t>
      </w:r>
      <w:r w:rsidR="00EF7305">
        <w:t xml:space="preserve"> </w:t>
      </w:r>
    </w:p>
    <w:p w14:paraId="34EEC625" w14:textId="0B403B1F" w:rsidR="00E903F6" w:rsidRPr="00E903F6" w:rsidRDefault="00E903F6" w:rsidP="00E903F6">
      <w:r w:rsidRPr="00E903F6">
        <w:t xml:space="preserve">Martinez, Z. (2024). </w:t>
      </w:r>
      <w:r w:rsidRPr="00E903F6">
        <w:rPr>
          <w:i/>
          <w:iCs/>
        </w:rPr>
        <w:t>Top Accounts Receivable Process Improvement Ideas</w:t>
      </w:r>
      <w:r w:rsidRPr="00E903F6">
        <w:t xml:space="preserve">. [online] Paystand.com. Available at: </w:t>
      </w:r>
      <w:hyperlink r:id="rId23" w:history="1">
        <w:r w:rsidR="00EF7305" w:rsidRPr="00E903F6">
          <w:rPr>
            <w:rStyle w:val="Hyperlink"/>
          </w:rPr>
          <w:t>https://www.paystand.com/blog/accounts-receivable-process-improvement-ideas</w:t>
        </w:r>
      </w:hyperlink>
      <w:r w:rsidRPr="00E903F6">
        <w:t>.</w:t>
      </w:r>
      <w:r w:rsidR="00EF7305">
        <w:t xml:space="preserve"> </w:t>
      </w:r>
    </w:p>
    <w:p w14:paraId="47343FF3" w14:textId="01FD0DA2" w:rsidR="00E903F6" w:rsidRPr="00E903F6" w:rsidRDefault="00E903F6" w:rsidP="00E903F6">
      <w:r w:rsidRPr="00E903F6">
        <w:t xml:space="preserve">Noy, I. (2023). Corporate financial performance in terms of liquidity and profitability. </w:t>
      </w:r>
      <w:r w:rsidRPr="00E903F6">
        <w:rPr>
          <w:i/>
          <w:iCs/>
        </w:rPr>
        <w:t>Advances in Management &amp; Financial Reporting</w:t>
      </w:r>
      <w:r w:rsidRPr="00E903F6">
        <w:t xml:space="preserve">, 1(2). </w:t>
      </w:r>
      <w:proofErr w:type="spellStart"/>
      <w:r w:rsidRPr="00E903F6">
        <w:t>doi</w:t>
      </w:r>
      <w:proofErr w:type="spellEnd"/>
      <w:r w:rsidRPr="00E903F6">
        <w:t>:</w:t>
      </w:r>
      <w:r w:rsidR="00EF7305">
        <w:t xml:space="preserve"> </w:t>
      </w:r>
      <w:hyperlink r:id="rId24" w:history="1">
        <w:r w:rsidR="00EF7305" w:rsidRPr="00E903F6">
          <w:rPr>
            <w:rStyle w:val="Hyperlink"/>
          </w:rPr>
          <w:t>https://doi.org/10.60079/amfr.v1i2.99</w:t>
        </w:r>
      </w:hyperlink>
      <w:r w:rsidRPr="00E903F6">
        <w:t>.</w:t>
      </w:r>
      <w:r w:rsidR="00EF7305">
        <w:t xml:space="preserve"> </w:t>
      </w:r>
    </w:p>
    <w:p w14:paraId="3A862432" w14:textId="6FDCA537" w:rsidR="00E903F6" w:rsidRPr="00E903F6" w:rsidRDefault="00E903F6" w:rsidP="00E903F6">
      <w:r w:rsidRPr="00E903F6">
        <w:t xml:space="preserve">Ogundipe, T., </w:t>
      </w:r>
      <w:proofErr w:type="spellStart"/>
      <w:r w:rsidRPr="00E903F6">
        <w:t>Ewim</w:t>
      </w:r>
      <w:proofErr w:type="spellEnd"/>
      <w:r w:rsidRPr="00E903F6">
        <w:t xml:space="preserve">, S. and Sam-Bulya, N. (2024). A review of strategic cash flow management models and their role in driving financial growth and sustainability for energy companies in developing markets. </w:t>
      </w:r>
      <w:r w:rsidRPr="00E903F6">
        <w:rPr>
          <w:i/>
          <w:iCs/>
        </w:rPr>
        <w:t>GSC Advanced Research and Reviews</w:t>
      </w:r>
      <w:r w:rsidRPr="00E903F6">
        <w:t xml:space="preserve">, [online] 2024(01), pp.115–146. </w:t>
      </w:r>
      <w:proofErr w:type="spellStart"/>
      <w:r w:rsidRPr="00E903F6">
        <w:t>doi</w:t>
      </w:r>
      <w:proofErr w:type="spellEnd"/>
      <w:r w:rsidRPr="00E903F6">
        <w:t>:</w:t>
      </w:r>
      <w:r w:rsidR="00EF7305">
        <w:t xml:space="preserve"> </w:t>
      </w:r>
      <w:hyperlink r:id="rId25" w:history="1">
        <w:r w:rsidR="00EF7305" w:rsidRPr="00E903F6">
          <w:rPr>
            <w:rStyle w:val="Hyperlink"/>
          </w:rPr>
          <w:t>https://doi.org/10.30574/gscarr.2024.21.1.0378</w:t>
        </w:r>
      </w:hyperlink>
      <w:r w:rsidRPr="00E903F6">
        <w:t>.</w:t>
      </w:r>
      <w:r w:rsidR="00EF7305">
        <w:t xml:space="preserve"> </w:t>
      </w:r>
    </w:p>
    <w:p w14:paraId="4727609D" w14:textId="7AEE59EA" w:rsidR="00E903F6" w:rsidRPr="00E903F6" w:rsidRDefault="00E903F6" w:rsidP="00E903F6">
      <w:r w:rsidRPr="00E903F6">
        <w:lastRenderedPageBreak/>
        <w:t xml:space="preserve">Susanti, T., </w:t>
      </w:r>
      <w:proofErr w:type="spellStart"/>
      <w:r w:rsidRPr="00E903F6">
        <w:t>Rionaldi</w:t>
      </w:r>
      <w:proofErr w:type="spellEnd"/>
      <w:r w:rsidRPr="00E903F6">
        <w:t xml:space="preserve">, R., </w:t>
      </w:r>
      <w:proofErr w:type="spellStart"/>
      <w:r w:rsidRPr="00E903F6">
        <w:t>Aristiawan</w:t>
      </w:r>
      <w:proofErr w:type="spellEnd"/>
      <w:r w:rsidRPr="00E903F6">
        <w:t xml:space="preserve">, D., </w:t>
      </w:r>
      <w:proofErr w:type="spellStart"/>
      <w:r w:rsidRPr="00E903F6">
        <w:t>Taufid</w:t>
      </w:r>
      <w:proofErr w:type="spellEnd"/>
      <w:r w:rsidRPr="00E903F6">
        <w:t xml:space="preserve">, H. and Lusiana, L. (2025). Implementation Of Just-In-Time (Jit) In Inventory Management: A Case Study </w:t>
      </w:r>
      <w:proofErr w:type="gramStart"/>
      <w:r w:rsidRPr="00E903F6">
        <w:t>In</w:t>
      </w:r>
      <w:proofErr w:type="gramEnd"/>
      <w:r w:rsidRPr="00E903F6">
        <w:t xml:space="preserve"> A Manufacturing Company. </w:t>
      </w:r>
      <w:proofErr w:type="spellStart"/>
      <w:r w:rsidRPr="00E903F6">
        <w:rPr>
          <w:i/>
          <w:iCs/>
        </w:rPr>
        <w:t>Eduvest</w:t>
      </w:r>
      <w:proofErr w:type="spellEnd"/>
      <w:r w:rsidRPr="00E903F6">
        <w:rPr>
          <w:i/>
          <w:iCs/>
        </w:rPr>
        <w:t xml:space="preserve"> - Journal </w:t>
      </w:r>
      <w:proofErr w:type="gramStart"/>
      <w:r w:rsidRPr="00E903F6">
        <w:rPr>
          <w:i/>
          <w:iCs/>
        </w:rPr>
        <w:t>Of</w:t>
      </w:r>
      <w:proofErr w:type="gramEnd"/>
      <w:r w:rsidRPr="00E903F6">
        <w:rPr>
          <w:i/>
          <w:iCs/>
        </w:rPr>
        <w:t xml:space="preserve"> Universal Studies</w:t>
      </w:r>
      <w:r w:rsidRPr="00E903F6">
        <w:t xml:space="preserve">, 5(7), pp.6208–6216. </w:t>
      </w:r>
      <w:proofErr w:type="spellStart"/>
      <w:r w:rsidRPr="00E903F6">
        <w:t>doi</w:t>
      </w:r>
      <w:proofErr w:type="spellEnd"/>
      <w:r w:rsidRPr="00E903F6">
        <w:t>:</w:t>
      </w:r>
      <w:r w:rsidR="00EF7305">
        <w:t xml:space="preserve"> </w:t>
      </w:r>
      <w:hyperlink r:id="rId26" w:history="1">
        <w:r w:rsidR="00EF7305" w:rsidRPr="00E903F6">
          <w:rPr>
            <w:rStyle w:val="Hyperlink"/>
          </w:rPr>
          <w:t>https://doi.org/10.59188/eduvest.v5i7.51625</w:t>
        </w:r>
      </w:hyperlink>
      <w:r w:rsidRPr="00E903F6">
        <w:t>.</w:t>
      </w:r>
      <w:r w:rsidR="00EF7305">
        <w:t xml:space="preserve"> </w:t>
      </w:r>
    </w:p>
    <w:p w14:paraId="4CB247B1" w14:textId="44A16C86" w:rsidR="00E903F6" w:rsidRPr="00E903F6" w:rsidRDefault="00E903F6" w:rsidP="00E903F6">
      <w:r w:rsidRPr="00E903F6">
        <w:t xml:space="preserve">Volkswagen (2024). </w:t>
      </w:r>
      <w:r w:rsidRPr="00E903F6">
        <w:rPr>
          <w:i/>
          <w:iCs/>
        </w:rPr>
        <w:t>Financial Reports</w:t>
      </w:r>
      <w:r w:rsidRPr="00E903F6">
        <w:t xml:space="preserve">. [online] Volkswagen Group. Available at: </w:t>
      </w:r>
      <w:hyperlink r:id="rId27" w:history="1">
        <w:r w:rsidR="00EF7305" w:rsidRPr="00E903F6">
          <w:rPr>
            <w:rStyle w:val="Hyperlink"/>
          </w:rPr>
          <w:t>https://www.volkswagen-group.com/en/financial-reports-18134</w:t>
        </w:r>
      </w:hyperlink>
      <w:r w:rsidRPr="00E903F6">
        <w:t>.</w:t>
      </w:r>
      <w:r w:rsidR="00EF7305">
        <w:t xml:space="preserve"> </w:t>
      </w:r>
    </w:p>
    <w:p w14:paraId="000C302C" w14:textId="77777777" w:rsidR="00D429CF" w:rsidRDefault="00D429CF" w:rsidP="00D429CF"/>
    <w:p w14:paraId="25EE27A8" w14:textId="3C742AFA" w:rsidR="00D429CF" w:rsidRDefault="00D429CF">
      <w:pPr>
        <w:spacing w:before="0" w:after="160" w:line="259" w:lineRule="auto"/>
        <w:jc w:val="left"/>
      </w:pPr>
      <w:r>
        <w:br w:type="page"/>
      </w:r>
    </w:p>
    <w:p w14:paraId="2927F2EA" w14:textId="0F84FF74" w:rsidR="00215CAE" w:rsidRDefault="00D429CF" w:rsidP="009278FE">
      <w:pPr>
        <w:pStyle w:val="Heading1"/>
      </w:pPr>
      <w:bookmarkStart w:id="23" w:name="_Toc224494910"/>
      <w:r>
        <w:lastRenderedPageBreak/>
        <w:t>Appendices</w:t>
      </w:r>
      <w:bookmarkEnd w:id="23"/>
    </w:p>
    <w:p w14:paraId="0DC26CDB" w14:textId="33F15B81" w:rsidR="009278FE" w:rsidRDefault="009278FE" w:rsidP="009278FE">
      <w:pPr>
        <w:pStyle w:val="Heading2"/>
      </w:pPr>
      <w:bookmarkStart w:id="24" w:name="_Toc224494911"/>
      <w:r>
        <w:t>1. Ratio Calculation</w:t>
      </w:r>
      <w:bookmarkEnd w:id="24"/>
    </w:p>
    <w:p w14:paraId="1E5C1C59" w14:textId="77777777" w:rsidR="000F7E81" w:rsidRDefault="000F7E81" w:rsidP="00066E4B">
      <w:pPr>
        <w:jc w:val="center"/>
      </w:pPr>
      <w:r>
        <w:rPr>
          <w:noProof/>
        </w:rPr>
        <w:drawing>
          <wp:inline distT="0" distB="0" distL="0" distR="0" wp14:anchorId="238A3FBB" wp14:editId="09BBAAA6">
            <wp:extent cx="4595812" cy="2705099"/>
            <wp:effectExtent l="0" t="0" r="14605" b="635"/>
            <wp:docPr id="166439972" name="Chart 1">
              <a:extLst xmlns:a="http://schemas.openxmlformats.org/drawingml/2006/main">
                <a:ext uri="{FF2B5EF4-FFF2-40B4-BE49-F238E27FC236}">
                  <a16:creationId xmlns:a16="http://schemas.microsoft.com/office/drawing/2014/main" id="{EA04C94B-2200-F5B7-6EA1-8372635CF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C1A7631" w14:textId="2E04359D" w:rsidR="000F7E81" w:rsidRDefault="007F7F25" w:rsidP="007F7F25">
      <w:pPr>
        <w:pStyle w:val="Caption"/>
        <w:jc w:val="center"/>
      </w:pPr>
      <w:bookmarkStart w:id="25" w:name="_Toc224494920"/>
      <w:r>
        <w:t xml:space="preserve">Figure </w:t>
      </w:r>
      <w:r>
        <w:fldChar w:fldCharType="begin"/>
      </w:r>
      <w:r>
        <w:instrText xml:space="preserve"> SEQ Figure \* ARABIC </w:instrText>
      </w:r>
      <w:r>
        <w:fldChar w:fldCharType="separate"/>
      </w:r>
      <w:r w:rsidR="00A23D63">
        <w:rPr>
          <w:noProof/>
        </w:rPr>
        <w:t>1</w:t>
      </w:r>
      <w:r>
        <w:fldChar w:fldCharType="end"/>
      </w:r>
      <w:r>
        <w:t>: Trend of Profitability Ratio (Source- Author)</w:t>
      </w:r>
      <w:bookmarkEnd w:id="25"/>
    </w:p>
    <w:p w14:paraId="438F275D" w14:textId="77777777" w:rsidR="00E215EC" w:rsidRDefault="000F7E81" w:rsidP="00066E4B">
      <w:pPr>
        <w:jc w:val="center"/>
      </w:pPr>
      <w:r>
        <w:rPr>
          <w:noProof/>
        </w:rPr>
        <w:drawing>
          <wp:inline distT="0" distB="0" distL="0" distR="0" wp14:anchorId="7F8E613E" wp14:editId="1435778B">
            <wp:extent cx="4595812" cy="2705099"/>
            <wp:effectExtent l="0" t="0" r="0" b="635"/>
            <wp:docPr id="1293945789" name="Chart 2">
              <a:extLst xmlns:a="http://schemas.openxmlformats.org/drawingml/2006/main">
                <a:ext uri="{FF2B5EF4-FFF2-40B4-BE49-F238E27FC236}">
                  <a16:creationId xmlns:a16="http://schemas.microsoft.com/office/drawing/2014/main" id="{589FDE28-F86F-AA51-DEF6-829B11D72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E71E3F1" w14:textId="5C2032BA" w:rsidR="00E215EC" w:rsidRDefault="00E215EC" w:rsidP="00E215EC">
      <w:pPr>
        <w:pStyle w:val="Caption"/>
        <w:jc w:val="center"/>
      </w:pPr>
      <w:bookmarkStart w:id="26" w:name="_Toc224494921"/>
      <w:r>
        <w:t xml:space="preserve">Figure </w:t>
      </w:r>
      <w:r>
        <w:fldChar w:fldCharType="begin"/>
      </w:r>
      <w:r>
        <w:instrText xml:space="preserve"> SEQ Figure \* ARABIC </w:instrText>
      </w:r>
      <w:r>
        <w:fldChar w:fldCharType="separate"/>
      </w:r>
      <w:r w:rsidR="00A23D63">
        <w:rPr>
          <w:noProof/>
        </w:rPr>
        <w:t>2</w:t>
      </w:r>
      <w:r>
        <w:fldChar w:fldCharType="end"/>
      </w:r>
      <w:r w:rsidRPr="00DD6AB1">
        <w:t xml:space="preserve">: Trend of </w:t>
      </w:r>
      <w:r w:rsidR="00066E4B">
        <w:t>Liquidit</w:t>
      </w:r>
      <w:r w:rsidRPr="00DD6AB1">
        <w:t>y Ratio (Source- Author)</w:t>
      </w:r>
      <w:bookmarkEnd w:id="26"/>
    </w:p>
    <w:p w14:paraId="09425B30" w14:textId="77777777" w:rsidR="00066E4B" w:rsidRDefault="000F7E81" w:rsidP="00066E4B">
      <w:pPr>
        <w:jc w:val="center"/>
      </w:pPr>
      <w:r>
        <w:rPr>
          <w:noProof/>
        </w:rPr>
        <w:lastRenderedPageBreak/>
        <w:drawing>
          <wp:inline distT="0" distB="0" distL="0" distR="0" wp14:anchorId="6237D840" wp14:editId="136FF767">
            <wp:extent cx="4595812" cy="2705099"/>
            <wp:effectExtent l="0" t="0" r="14605" b="635"/>
            <wp:docPr id="1430205451" name="Chart 3">
              <a:extLst xmlns:a="http://schemas.openxmlformats.org/drawingml/2006/main">
                <a:ext uri="{FF2B5EF4-FFF2-40B4-BE49-F238E27FC236}">
                  <a16:creationId xmlns:a16="http://schemas.microsoft.com/office/drawing/2014/main" id="{0E71A809-C581-49F6-DA29-54231292FD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BF79047" w14:textId="24ABC9C7" w:rsidR="00066E4B" w:rsidRDefault="00066E4B" w:rsidP="00066E4B">
      <w:pPr>
        <w:pStyle w:val="Caption"/>
        <w:jc w:val="center"/>
      </w:pPr>
      <w:bookmarkStart w:id="27" w:name="_Toc224494922"/>
      <w:r>
        <w:t xml:space="preserve">Figure </w:t>
      </w:r>
      <w:r>
        <w:fldChar w:fldCharType="begin"/>
      </w:r>
      <w:r>
        <w:instrText xml:space="preserve"> SEQ Figure \* ARABIC </w:instrText>
      </w:r>
      <w:r>
        <w:fldChar w:fldCharType="separate"/>
      </w:r>
      <w:r w:rsidR="00A23D63">
        <w:rPr>
          <w:noProof/>
        </w:rPr>
        <w:t>3</w:t>
      </w:r>
      <w:r>
        <w:fldChar w:fldCharType="end"/>
      </w:r>
      <w:r w:rsidRPr="00B82399">
        <w:t xml:space="preserve">: Trend of </w:t>
      </w:r>
      <w:r w:rsidR="006F13E6">
        <w:t>Efficienc</w:t>
      </w:r>
      <w:r w:rsidRPr="00B82399">
        <w:t>y Ratio (Source- Author)</w:t>
      </w:r>
      <w:bookmarkEnd w:id="27"/>
    </w:p>
    <w:p w14:paraId="0601ED30" w14:textId="77777777" w:rsidR="00066E4B" w:rsidRDefault="000F7E81" w:rsidP="00066E4B">
      <w:pPr>
        <w:jc w:val="center"/>
      </w:pPr>
      <w:r>
        <w:rPr>
          <w:noProof/>
        </w:rPr>
        <w:drawing>
          <wp:inline distT="0" distB="0" distL="0" distR="0" wp14:anchorId="4972F053" wp14:editId="597A8C0C">
            <wp:extent cx="4595812" cy="2705099"/>
            <wp:effectExtent l="0" t="0" r="14605" b="635"/>
            <wp:docPr id="1742824653" name="Chart 4">
              <a:extLst xmlns:a="http://schemas.openxmlformats.org/drawingml/2006/main">
                <a:ext uri="{FF2B5EF4-FFF2-40B4-BE49-F238E27FC236}">
                  <a16:creationId xmlns:a16="http://schemas.microsoft.com/office/drawing/2014/main" id="{10CEA41F-B924-05FB-4F2D-267D266FDF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DB7B4EB" w14:textId="173195FA" w:rsidR="00066E4B" w:rsidRDefault="00066E4B" w:rsidP="00066E4B">
      <w:pPr>
        <w:pStyle w:val="Caption"/>
        <w:jc w:val="center"/>
      </w:pPr>
      <w:bookmarkStart w:id="28" w:name="_Toc224494923"/>
      <w:r>
        <w:t xml:space="preserve">Figure </w:t>
      </w:r>
      <w:r>
        <w:fldChar w:fldCharType="begin"/>
      </w:r>
      <w:r>
        <w:instrText xml:space="preserve"> SEQ Figure \* ARABIC </w:instrText>
      </w:r>
      <w:r>
        <w:fldChar w:fldCharType="separate"/>
      </w:r>
      <w:r w:rsidR="00A23D63">
        <w:rPr>
          <w:noProof/>
        </w:rPr>
        <w:t>4</w:t>
      </w:r>
      <w:r>
        <w:fldChar w:fldCharType="end"/>
      </w:r>
      <w:r w:rsidRPr="00E30C2B">
        <w:t xml:space="preserve">: Trend of </w:t>
      </w:r>
      <w:r w:rsidR="006F13E6">
        <w:t>Gearing</w:t>
      </w:r>
      <w:r w:rsidRPr="00E30C2B">
        <w:t xml:space="preserve"> Ratio (Source- Author)</w:t>
      </w:r>
      <w:bookmarkEnd w:id="28"/>
    </w:p>
    <w:p w14:paraId="4501BE1D" w14:textId="77777777" w:rsidR="00066E4B" w:rsidRDefault="000F7E81" w:rsidP="00066E4B">
      <w:pPr>
        <w:jc w:val="center"/>
      </w:pPr>
      <w:r>
        <w:rPr>
          <w:noProof/>
        </w:rPr>
        <w:lastRenderedPageBreak/>
        <w:drawing>
          <wp:inline distT="0" distB="0" distL="0" distR="0" wp14:anchorId="4D5B97C7" wp14:editId="4DDA8AF4">
            <wp:extent cx="4595812" cy="2740818"/>
            <wp:effectExtent l="0" t="0" r="14605" b="2540"/>
            <wp:docPr id="1173649768" name="Chart 5">
              <a:extLst xmlns:a="http://schemas.openxmlformats.org/drawingml/2006/main">
                <a:ext uri="{FF2B5EF4-FFF2-40B4-BE49-F238E27FC236}">
                  <a16:creationId xmlns:a16="http://schemas.microsoft.com/office/drawing/2014/main" id="{C7C2276E-B2B5-E0CB-33B2-419EF6958C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82E03C1" w14:textId="77813B16" w:rsidR="00066E4B" w:rsidRDefault="00066E4B" w:rsidP="00066E4B">
      <w:pPr>
        <w:pStyle w:val="Caption"/>
        <w:jc w:val="center"/>
      </w:pPr>
      <w:bookmarkStart w:id="29" w:name="_Toc224494924"/>
      <w:r>
        <w:t xml:space="preserve">Figure </w:t>
      </w:r>
      <w:r>
        <w:fldChar w:fldCharType="begin"/>
      </w:r>
      <w:r>
        <w:instrText xml:space="preserve"> SEQ Figure \* ARABIC </w:instrText>
      </w:r>
      <w:r>
        <w:fldChar w:fldCharType="separate"/>
      </w:r>
      <w:r w:rsidR="00A23D63">
        <w:rPr>
          <w:noProof/>
        </w:rPr>
        <w:t>5</w:t>
      </w:r>
      <w:r>
        <w:fldChar w:fldCharType="end"/>
      </w:r>
      <w:r w:rsidRPr="00DC4C89">
        <w:t xml:space="preserve">: Trend of </w:t>
      </w:r>
      <w:r w:rsidR="006F13E6">
        <w:t>Investment</w:t>
      </w:r>
      <w:r w:rsidRPr="00DC4C89">
        <w:t xml:space="preserve"> Ratio (Source- Author)</w:t>
      </w:r>
      <w:bookmarkEnd w:id="29"/>
    </w:p>
    <w:p w14:paraId="0552CD6C" w14:textId="33F47A39" w:rsidR="009278FE" w:rsidRDefault="000F7E81" w:rsidP="00066E4B">
      <w:pPr>
        <w:jc w:val="center"/>
      </w:pPr>
      <w:r>
        <w:rPr>
          <w:noProof/>
        </w:rPr>
        <w:drawing>
          <wp:inline distT="0" distB="0" distL="0" distR="0" wp14:anchorId="54118E6D" wp14:editId="4091D8FE">
            <wp:extent cx="4595812" cy="2740818"/>
            <wp:effectExtent l="0" t="0" r="14605" b="2540"/>
            <wp:docPr id="375396976" name="Chart 6">
              <a:extLst xmlns:a="http://schemas.openxmlformats.org/drawingml/2006/main">
                <a:ext uri="{FF2B5EF4-FFF2-40B4-BE49-F238E27FC236}">
                  <a16:creationId xmlns:a16="http://schemas.microsoft.com/office/drawing/2014/main" id="{1C93D11C-7082-B42D-E8C5-E1F63D414F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ED65A93" w14:textId="5EF71156" w:rsidR="009278FE" w:rsidRDefault="00066E4B" w:rsidP="00066E4B">
      <w:pPr>
        <w:pStyle w:val="Caption"/>
        <w:jc w:val="center"/>
      </w:pPr>
      <w:bookmarkStart w:id="30" w:name="_Toc224494925"/>
      <w:r>
        <w:t xml:space="preserve">Figure </w:t>
      </w:r>
      <w:r>
        <w:fldChar w:fldCharType="begin"/>
      </w:r>
      <w:r>
        <w:instrText xml:space="preserve"> SEQ Figure \* ARABIC </w:instrText>
      </w:r>
      <w:r>
        <w:fldChar w:fldCharType="separate"/>
      </w:r>
      <w:r w:rsidR="00A23D63">
        <w:rPr>
          <w:noProof/>
        </w:rPr>
        <w:t>6</w:t>
      </w:r>
      <w:r>
        <w:fldChar w:fldCharType="end"/>
      </w:r>
      <w:r w:rsidRPr="00AA296C">
        <w:t xml:space="preserve">: Trend of </w:t>
      </w:r>
      <w:r w:rsidR="006F13E6">
        <w:t>Cash Flow</w:t>
      </w:r>
      <w:r w:rsidRPr="00AA296C">
        <w:t xml:space="preserve"> Ratio (Source- Author)</w:t>
      </w:r>
      <w:bookmarkEnd w:id="30"/>
    </w:p>
    <w:tbl>
      <w:tblPr>
        <w:tblStyle w:val="GridTable4-Accent1"/>
        <w:tblW w:w="11700" w:type="dxa"/>
        <w:tblInd w:w="-1085" w:type="dxa"/>
        <w:tblLook w:val="04A0" w:firstRow="1" w:lastRow="0" w:firstColumn="1" w:lastColumn="0" w:noHBand="0" w:noVBand="1"/>
      </w:tblPr>
      <w:tblGrid>
        <w:gridCol w:w="2700"/>
        <w:gridCol w:w="3690"/>
        <w:gridCol w:w="1080"/>
        <w:gridCol w:w="1042"/>
        <w:gridCol w:w="1030"/>
        <w:gridCol w:w="1079"/>
        <w:gridCol w:w="1079"/>
      </w:tblGrid>
      <w:tr w:rsidR="00D20849" w:rsidRPr="000A55FB" w14:paraId="66B59919" w14:textId="77777777" w:rsidTr="00C572AE">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700" w:type="dxa"/>
            <w:hideMark/>
          </w:tcPr>
          <w:p w14:paraId="72CB48BB" w14:textId="77777777" w:rsidR="00D20849" w:rsidRPr="000A55FB" w:rsidRDefault="00D20849" w:rsidP="00C572AE">
            <w:r w:rsidRPr="000A55FB">
              <w:t>Ratio Name</w:t>
            </w:r>
          </w:p>
        </w:tc>
        <w:tc>
          <w:tcPr>
            <w:tcW w:w="3690" w:type="dxa"/>
            <w:hideMark/>
          </w:tcPr>
          <w:p w14:paraId="7BB22A50"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Formula</w:t>
            </w:r>
          </w:p>
        </w:tc>
        <w:tc>
          <w:tcPr>
            <w:tcW w:w="1080" w:type="dxa"/>
            <w:hideMark/>
          </w:tcPr>
          <w:p w14:paraId="7D0E2CFB"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2020</w:t>
            </w:r>
          </w:p>
        </w:tc>
        <w:tc>
          <w:tcPr>
            <w:tcW w:w="1042" w:type="dxa"/>
            <w:hideMark/>
          </w:tcPr>
          <w:p w14:paraId="23E08502"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2021</w:t>
            </w:r>
          </w:p>
        </w:tc>
        <w:tc>
          <w:tcPr>
            <w:tcW w:w="1030" w:type="dxa"/>
            <w:hideMark/>
          </w:tcPr>
          <w:p w14:paraId="775B5FE3"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2022</w:t>
            </w:r>
          </w:p>
        </w:tc>
        <w:tc>
          <w:tcPr>
            <w:tcW w:w="1079" w:type="dxa"/>
            <w:hideMark/>
          </w:tcPr>
          <w:p w14:paraId="077A7038"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2023</w:t>
            </w:r>
          </w:p>
        </w:tc>
        <w:tc>
          <w:tcPr>
            <w:tcW w:w="1079" w:type="dxa"/>
            <w:hideMark/>
          </w:tcPr>
          <w:p w14:paraId="7F2FC56B" w14:textId="77777777" w:rsidR="00D20849" w:rsidRPr="000A55FB" w:rsidRDefault="00D20849" w:rsidP="00C572AE">
            <w:pPr>
              <w:cnfStyle w:val="100000000000" w:firstRow="1" w:lastRow="0" w:firstColumn="0" w:lastColumn="0" w:oddVBand="0" w:evenVBand="0" w:oddHBand="0" w:evenHBand="0" w:firstRowFirstColumn="0" w:firstRowLastColumn="0" w:lastRowFirstColumn="0" w:lastRowLastColumn="0"/>
            </w:pPr>
            <w:r w:rsidRPr="000A55FB">
              <w:t>2024</w:t>
            </w:r>
          </w:p>
        </w:tc>
      </w:tr>
      <w:tr w:rsidR="00D20849" w:rsidRPr="000A55FB" w14:paraId="774360D8" w14:textId="77777777" w:rsidTr="00C572AE">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5FBF3E67" w14:textId="77777777" w:rsidR="00D20849" w:rsidRPr="000A55FB" w:rsidRDefault="00D20849" w:rsidP="00C572AE">
            <w:r w:rsidRPr="000A55FB">
              <w:t>Return on Capital Employed (ROCE)</w:t>
            </w:r>
          </w:p>
        </w:tc>
        <w:tc>
          <w:tcPr>
            <w:tcW w:w="3690" w:type="dxa"/>
            <w:hideMark/>
          </w:tcPr>
          <w:p w14:paraId="46C9EBF4"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Operating Profit ÷ Capital Employed × 100</w:t>
            </w:r>
          </w:p>
        </w:tc>
        <w:tc>
          <w:tcPr>
            <w:tcW w:w="1080" w:type="dxa"/>
            <w:hideMark/>
          </w:tcPr>
          <w:p w14:paraId="4B6DD71E"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11.74%</w:t>
            </w:r>
          </w:p>
        </w:tc>
        <w:tc>
          <w:tcPr>
            <w:tcW w:w="1042" w:type="dxa"/>
            <w:hideMark/>
          </w:tcPr>
          <w:p w14:paraId="4FE26DD1"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12.97%</w:t>
            </w:r>
          </w:p>
        </w:tc>
        <w:tc>
          <w:tcPr>
            <w:tcW w:w="1030" w:type="dxa"/>
            <w:hideMark/>
          </w:tcPr>
          <w:p w14:paraId="3C9BD58D"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13.68%</w:t>
            </w:r>
          </w:p>
        </w:tc>
        <w:tc>
          <w:tcPr>
            <w:tcW w:w="1079" w:type="dxa"/>
            <w:hideMark/>
          </w:tcPr>
          <w:p w14:paraId="415C47E8"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15.45%</w:t>
            </w:r>
          </w:p>
        </w:tc>
        <w:tc>
          <w:tcPr>
            <w:tcW w:w="1079" w:type="dxa"/>
            <w:hideMark/>
          </w:tcPr>
          <w:p w14:paraId="0C3F6647"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14.30%</w:t>
            </w:r>
          </w:p>
        </w:tc>
      </w:tr>
      <w:tr w:rsidR="00D20849" w:rsidRPr="000A55FB" w14:paraId="02EEB9D0" w14:textId="77777777" w:rsidTr="00C572AE">
        <w:trPr>
          <w:trHeight w:val="375"/>
        </w:trPr>
        <w:tc>
          <w:tcPr>
            <w:cnfStyle w:val="001000000000" w:firstRow="0" w:lastRow="0" w:firstColumn="1" w:lastColumn="0" w:oddVBand="0" w:evenVBand="0" w:oddHBand="0" w:evenHBand="0" w:firstRowFirstColumn="0" w:firstRowLastColumn="0" w:lastRowFirstColumn="0" w:lastRowLastColumn="0"/>
            <w:tcW w:w="2700" w:type="dxa"/>
            <w:hideMark/>
          </w:tcPr>
          <w:p w14:paraId="6EE7415E" w14:textId="77777777" w:rsidR="00D20849" w:rsidRPr="000A55FB" w:rsidRDefault="00D20849" w:rsidP="00C572AE">
            <w:r w:rsidRPr="000A55FB">
              <w:t>Net Profit Margin</w:t>
            </w:r>
          </w:p>
        </w:tc>
        <w:tc>
          <w:tcPr>
            <w:tcW w:w="3690" w:type="dxa"/>
            <w:hideMark/>
          </w:tcPr>
          <w:p w14:paraId="38C39994"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Net Profit ÷ Revenue × 100</w:t>
            </w:r>
          </w:p>
        </w:tc>
        <w:tc>
          <w:tcPr>
            <w:tcW w:w="1080" w:type="dxa"/>
            <w:hideMark/>
          </w:tcPr>
          <w:p w14:paraId="42E781EE"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3.96%</w:t>
            </w:r>
          </w:p>
        </w:tc>
        <w:tc>
          <w:tcPr>
            <w:tcW w:w="1042" w:type="dxa"/>
            <w:hideMark/>
          </w:tcPr>
          <w:p w14:paraId="4670660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6.17%</w:t>
            </w:r>
          </w:p>
        </w:tc>
        <w:tc>
          <w:tcPr>
            <w:tcW w:w="1030" w:type="dxa"/>
            <w:hideMark/>
          </w:tcPr>
          <w:p w14:paraId="6106B07F"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5.67%</w:t>
            </w:r>
          </w:p>
        </w:tc>
        <w:tc>
          <w:tcPr>
            <w:tcW w:w="1079" w:type="dxa"/>
            <w:hideMark/>
          </w:tcPr>
          <w:p w14:paraId="58ADDA71"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5.54%</w:t>
            </w:r>
          </w:p>
        </w:tc>
        <w:tc>
          <w:tcPr>
            <w:tcW w:w="1079" w:type="dxa"/>
            <w:hideMark/>
          </w:tcPr>
          <w:p w14:paraId="20A206E1"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3.82%</w:t>
            </w:r>
          </w:p>
        </w:tc>
      </w:tr>
      <w:tr w:rsidR="00D20849" w:rsidRPr="000A55FB" w14:paraId="3CFB3E59" w14:textId="77777777" w:rsidTr="00C572AE">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1B5B0C66" w14:textId="77777777" w:rsidR="00D20849" w:rsidRPr="000A55FB" w:rsidRDefault="00D20849" w:rsidP="00C572AE">
            <w:r w:rsidRPr="000A55FB">
              <w:lastRenderedPageBreak/>
              <w:t>Current Ratio</w:t>
            </w:r>
          </w:p>
        </w:tc>
        <w:tc>
          <w:tcPr>
            <w:tcW w:w="3690" w:type="dxa"/>
            <w:hideMark/>
          </w:tcPr>
          <w:p w14:paraId="0EF76280"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Current Assets ÷ Current Liabilities</w:t>
            </w:r>
          </w:p>
        </w:tc>
        <w:tc>
          <w:tcPr>
            <w:tcW w:w="1080" w:type="dxa"/>
            <w:hideMark/>
          </w:tcPr>
          <w:p w14:paraId="438A90E1"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1.18 </w:t>
            </w:r>
          </w:p>
        </w:tc>
        <w:tc>
          <w:tcPr>
            <w:tcW w:w="1042" w:type="dxa"/>
            <w:hideMark/>
          </w:tcPr>
          <w:p w14:paraId="35E4F369"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1.22 </w:t>
            </w:r>
          </w:p>
        </w:tc>
        <w:tc>
          <w:tcPr>
            <w:tcW w:w="1030" w:type="dxa"/>
            <w:hideMark/>
          </w:tcPr>
          <w:p w14:paraId="2B5ADDA9"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1.23 </w:t>
            </w:r>
          </w:p>
        </w:tc>
        <w:tc>
          <w:tcPr>
            <w:tcW w:w="1079" w:type="dxa"/>
            <w:hideMark/>
          </w:tcPr>
          <w:p w14:paraId="57F6600E"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1.16 </w:t>
            </w:r>
          </w:p>
        </w:tc>
        <w:tc>
          <w:tcPr>
            <w:tcW w:w="1079" w:type="dxa"/>
            <w:hideMark/>
          </w:tcPr>
          <w:p w14:paraId="21CFD3C0"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1.13 </w:t>
            </w:r>
          </w:p>
        </w:tc>
      </w:tr>
      <w:tr w:rsidR="00D20849" w:rsidRPr="000A55FB" w14:paraId="11045627" w14:textId="77777777" w:rsidTr="00C572AE">
        <w:trPr>
          <w:trHeight w:val="375"/>
        </w:trPr>
        <w:tc>
          <w:tcPr>
            <w:cnfStyle w:val="001000000000" w:firstRow="0" w:lastRow="0" w:firstColumn="1" w:lastColumn="0" w:oddVBand="0" w:evenVBand="0" w:oddHBand="0" w:evenHBand="0" w:firstRowFirstColumn="0" w:firstRowLastColumn="0" w:lastRowFirstColumn="0" w:lastRowLastColumn="0"/>
            <w:tcW w:w="2700" w:type="dxa"/>
            <w:hideMark/>
          </w:tcPr>
          <w:p w14:paraId="0D93AEC2" w14:textId="77777777" w:rsidR="00D20849" w:rsidRPr="000A55FB" w:rsidRDefault="00D20849" w:rsidP="00C572AE">
            <w:r w:rsidRPr="000A55FB">
              <w:t>Cash Ratio</w:t>
            </w:r>
          </w:p>
        </w:tc>
        <w:tc>
          <w:tcPr>
            <w:tcW w:w="3690" w:type="dxa"/>
            <w:hideMark/>
          </w:tcPr>
          <w:p w14:paraId="75A3F47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Cash ÷ Current Liabilities</w:t>
            </w:r>
          </w:p>
        </w:tc>
        <w:tc>
          <w:tcPr>
            <w:tcW w:w="1080" w:type="dxa"/>
            <w:hideMark/>
          </w:tcPr>
          <w:p w14:paraId="2DE61E3F"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0.20 </w:t>
            </w:r>
          </w:p>
        </w:tc>
        <w:tc>
          <w:tcPr>
            <w:tcW w:w="1042" w:type="dxa"/>
            <w:hideMark/>
          </w:tcPr>
          <w:p w14:paraId="70232688"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0.24 </w:t>
            </w:r>
          </w:p>
        </w:tc>
        <w:tc>
          <w:tcPr>
            <w:tcW w:w="1030" w:type="dxa"/>
            <w:hideMark/>
          </w:tcPr>
          <w:p w14:paraId="0F8A32D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0.16 </w:t>
            </w:r>
          </w:p>
        </w:tc>
        <w:tc>
          <w:tcPr>
            <w:tcW w:w="1079" w:type="dxa"/>
            <w:hideMark/>
          </w:tcPr>
          <w:p w14:paraId="43CCDFEF"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0.21 </w:t>
            </w:r>
          </w:p>
        </w:tc>
        <w:tc>
          <w:tcPr>
            <w:tcW w:w="1079" w:type="dxa"/>
            <w:hideMark/>
          </w:tcPr>
          <w:p w14:paraId="25B7A366"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0.19 </w:t>
            </w:r>
          </w:p>
        </w:tc>
      </w:tr>
      <w:tr w:rsidR="00D20849" w:rsidRPr="000A55FB" w14:paraId="4F7EE675" w14:textId="77777777" w:rsidTr="00C572AE">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700" w:type="dxa"/>
            <w:hideMark/>
          </w:tcPr>
          <w:p w14:paraId="6E69BE54" w14:textId="77777777" w:rsidR="00D20849" w:rsidRPr="000A55FB" w:rsidRDefault="00D20849" w:rsidP="00C572AE">
            <w:r w:rsidRPr="000A55FB">
              <w:t>Asset Turnover</w:t>
            </w:r>
          </w:p>
        </w:tc>
        <w:tc>
          <w:tcPr>
            <w:tcW w:w="3690" w:type="dxa"/>
            <w:hideMark/>
          </w:tcPr>
          <w:p w14:paraId="69B78424"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Revenue ÷ Capital Employed</w:t>
            </w:r>
          </w:p>
        </w:tc>
        <w:tc>
          <w:tcPr>
            <w:tcW w:w="1080" w:type="dxa"/>
            <w:hideMark/>
          </w:tcPr>
          <w:p w14:paraId="40553B02"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0.67 </w:t>
            </w:r>
          </w:p>
        </w:tc>
        <w:tc>
          <w:tcPr>
            <w:tcW w:w="1042" w:type="dxa"/>
            <w:hideMark/>
          </w:tcPr>
          <w:p w14:paraId="20C5A514"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0.69 </w:t>
            </w:r>
          </w:p>
        </w:tc>
        <w:tc>
          <w:tcPr>
            <w:tcW w:w="1030" w:type="dxa"/>
            <w:hideMark/>
          </w:tcPr>
          <w:p w14:paraId="595AB293"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0.73 </w:t>
            </w:r>
          </w:p>
        </w:tc>
        <w:tc>
          <w:tcPr>
            <w:tcW w:w="1079" w:type="dxa"/>
            <w:hideMark/>
          </w:tcPr>
          <w:p w14:paraId="0781A818"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0.82 </w:t>
            </w:r>
          </w:p>
        </w:tc>
        <w:tc>
          <w:tcPr>
            <w:tcW w:w="1079" w:type="dxa"/>
            <w:hideMark/>
          </w:tcPr>
          <w:p w14:paraId="141A4968"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0.78 </w:t>
            </w:r>
          </w:p>
        </w:tc>
      </w:tr>
      <w:tr w:rsidR="00D20849" w:rsidRPr="000A55FB" w14:paraId="5E6C94EE" w14:textId="77777777" w:rsidTr="00C572AE">
        <w:trPr>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525C01E0" w14:textId="77777777" w:rsidR="00D20849" w:rsidRPr="000A55FB" w:rsidRDefault="00D20849" w:rsidP="00C572AE">
            <w:r w:rsidRPr="000A55FB">
              <w:t>Inventory Turnover</w:t>
            </w:r>
          </w:p>
        </w:tc>
        <w:tc>
          <w:tcPr>
            <w:tcW w:w="3690" w:type="dxa"/>
            <w:hideMark/>
          </w:tcPr>
          <w:p w14:paraId="2EC0D361"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Cost of Sales ÷ Average Inventory</w:t>
            </w:r>
          </w:p>
        </w:tc>
        <w:tc>
          <w:tcPr>
            <w:tcW w:w="1080" w:type="dxa"/>
            <w:hideMark/>
          </w:tcPr>
          <w:p w14:paraId="367A0462"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4.20 </w:t>
            </w:r>
          </w:p>
        </w:tc>
        <w:tc>
          <w:tcPr>
            <w:tcW w:w="1042" w:type="dxa"/>
            <w:hideMark/>
          </w:tcPr>
          <w:p w14:paraId="0206FCC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4.64 </w:t>
            </w:r>
          </w:p>
        </w:tc>
        <w:tc>
          <w:tcPr>
            <w:tcW w:w="1030" w:type="dxa"/>
            <w:hideMark/>
          </w:tcPr>
          <w:p w14:paraId="611BCAE3"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4.34 </w:t>
            </w:r>
          </w:p>
        </w:tc>
        <w:tc>
          <w:tcPr>
            <w:tcW w:w="1079" w:type="dxa"/>
            <w:hideMark/>
          </w:tcPr>
          <w:p w14:paraId="02433E96"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4.87 </w:t>
            </w:r>
          </w:p>
        </w:tc>
        <w:tc>
          <w:tcPr>
            <w:tcW w:w="1079" w:type="dxa"/>
            <w:hideMark/>
          </w:tcPr>
          <w:p w14:paraId="68C4BBFC"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4.68 </w:t>
            </w:r>
          </w:p>
        </w:tc>
      </w:tr>
      <w:tr w:rsidR="00D20849" w:rsidRPr="000A55FB" w14:paraId="0F584B09" w14:textId="77777777" w:rsidTr="00C572AE">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700" w:type="dxa"/>
            <w:hideMark/>
          </w:tcPr>
          <w:p w14:paraId="069A4BE6" w14:textId="77777777" w:rsidR="00D20849" w:rsidRPr="000A55FB" w:rsidRDefault="00D20849" w:rsidP="00C572AE">
            <w:r w:rsidRPr="000A55FB">
              <w:t>Debt-to-Equity Ratio</w:t>
            </w:r>
          </w:p>
        </w:tc>
        <w:tc>
          <w:tcPr>
            <w:tcW w:w="3690" w:type="dxa"/>
            <w:hideMark/>
          </w:tcPr>
          <w:p w14:paraId="685E7D6F"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Total Debt ÷ Total Equity</w:t>
            </w:r>
          </w:p>
        </w:tc>
        <w:tc>
          <w:tcPr>
            <w:tcW w:w="1080" w:type="dxa"/>
            <w:hideMark/>
          </w:tcPr>
          <w:p w14:paraId="0BFF0516"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1.58 </w:t>
            </w:r>
          </w:p>
        </w:tc>
        <w:tc>
          <w:tcPr>
            <w:tcW w:w="1042" w:type="dxa"/>
            <w:hideMark/>
          </w:tcPr>
          <w:p w14:paraId="5172D6D6"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1.49 </w:t>
            </w:r>
          </w:p>
        </w:tc>
        <w:tc>
          <w:tcPr>
            <w:tcW w:w="1030" w:type="dxa"/>
            <w:hideMark/>
          </w:tcPr>
          <w:p w14:paraId="3DA8B246"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1.14 </w:t>
            </w:r>
          </w:p>
        </w:tc>
        <w:tc>
          <w:tcPr>
            <w:tcW w:w="1079" w:type="dxa"/>
            <w:hideMark/>
          </w:tcPr>
          <w:p w14:paraId="0BCBFBCD"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1.09 </w:t>
            </w:r>
          </w:p>
        </w:tc>
        <w:tc>
          <w:tcPr>
            <w:tcW w:w="1079" w:type="dxa"/>
            <w:hideMark/>
          </w:tcPr>
          <w:p w14:paraId="2B87AF2E"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1.11 </w:t>
            </w:r>
          </w:p>
        </w:tc>
      </w:tr>
      <w:tr w:rsidR="00D20849" w:rsidRPr="000A55FB" w14:paraId="3ED7EDB0" w14:textId="77777777" w:rsidTr="00C572AE">
        <w:trPr>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49434B25" w14:textId="77777777" w:rsidR="00D20849" w:rsidRPr="000A55FB" w:rsidRDefault="00D20849" w:rsidP="00C572AE">
            <w:r w:rsidRPr="000A55FB">
              <w:t>Interest Coverage Ratio</w:t>
            </w:r>
          </w:p>
        </w:tc>
        <w:tc>
          <w:tcPr>
            <w:tcW w:w="3690" w:type="dxa"/>
            <w:hideMark/>
          </w:tcPr>
          <w:p w14:paraId="35A6B118"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Operating Profit ÷ Interest Expense</w:t>
            </w:r>
          </w:p>
        </w:tc>
        <w:tc>
          <w:tcPr>
            <w:tcW w:w="1080" w:type="dxa"/>
            <w:hideMark/>
          </w:tcPr>
          <w:p w14:paraId="56E4B9B6"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4.22 </w:t>
            </w:r>
          </w:p>
        </w:tc>
        <w:tc>
          <w:tcPr>
            <w:tcW w:w="1042" w:type="dxa"/>
            <w:hideMark/>
          </w:tcPr>
          <w:p w14:paraId="1FB56CB6"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10.60 </w:t>
            </w:r>
          </w:p>
        </w:tc>
        <w:tc>
          <w:tcPr>
            <w:tcW w:w="1030" w:type="dxa"/>
            <w:hideMark/>
          </w:tcPr>
          <w:p w14:paraId="0E1843AF"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50.05 </w:t>
            </w:r>
          </w:p>
        </w:tc>
        <w:tc>
          <w:tcPr>
            <w:tcW w:w="1079" w:type="dxa"/>
            <w:hideMark/>
          </w:tcPr>
          <w:p w14:paraId="53E94194"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6.19 </w:t>
            </w:r>
          </w:p>
        </w:tc>
        <w:tc>
          <w:tcPr>
            <w:tcW w:w="1079" w:type="dxa"/>
            <w:hideMark/>
          </w:tcPr>
          <w:p w14:paraId="36859CAA"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5.53 </w:t>
            </w:r>
          </w:p>
        </w:tc>
      </w:tr>
      <w:tr w:rsidR="00D20849" w:rsidRPr="000A55FB" w14:paraId="68CEAEC8" w14:textId="77777777" w:rsidTr="00C572AE">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2700" w:type="dxa"/>
            <w:hideMark/>
          </w:tcPr>
          <w:p w14:paraId="7CC66129" w14:textId="77777777" w:rsidR="00D20849" w:rsidRPr="000A55FB" w:rsidRDefault="00D20849" w:rsidP="00C572AE">
            <w:r w:rsidRPr="000A55FB">
              <w:t>Earnings Per Share (EPS)</w:t>
            </w:r>
          </w:p>
        </w:tc>
        <w:tc>
          <w:tcPr>
            <w:tcW w:w="3690" w:type="dxa"/>
            <w:hideMark/>
          </w:tcPr>
          <w:p w14:paraId="618A5522"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(Net Profit − Preference Dividends) ÷ Number of Ordinary Shares</w:t>
            </w:r>
          </w:p>
        </w:tc>
        <w:tc>
          <w:tcPr>
            <w:tcW w:w="1080" w:type="dxa"/>
            <w:hideMark/>
          </w:tcPr>
          <w:p w14:paraId="12F0E148"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16.60 </w:t>
            </w:r>
          </w:p>
        </w:tc>
        <w:tc>
          <w:tcPr>
            <w:tcW w:w="1042" w:type="dxa"/>
            <w:hideMark/>
          </w:tcPr>
          <w:p w14:paraId="3DFF3829"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29.59 </w:t>
            </w:r>
          </w:p>
        </w:tc>
        <w:tc>
          <w:tcPr>
            <w:tcW w:w="1030" w:type="dxa"/>
            <w:hideMark/>
          </w:tcPr>
          <w:p w14:paraId="031A4ECC"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29.63 </w:t>
            </w:r>
          </w:p>
        </w:tc>
        <w:tc>
          <w:tcPr>
            <w:tcW w:w="1079" w:type="dxa"/>
            <w:hideMark/>
          </w:tcPr>
          <w:p w14:paraId="234D89AE"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31.79 </w:t>
            </w:r>
          </w:p>
        </w:tc>
        <w:tc>
          <w:tcPr>
            <w:tcW w:w="1079" w:type="dxa"/>
            <w:hideMark/>
          </w:tcPr>
          <w:p w14:paraId="70A79A13"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21.36 </w:t>
            </w:r>
          </w:p>
        </w:tc>
      </w:tr>
      <w:tr w:rsidR="00D20849" w:rsidRPr="000A55FB" w14:paraId="06BEA5C1" w14:textId="77777777" w:rsidTr="00C572AE">
        <w:trPr>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5C140D70" w14:textId="77777777" w:rsidR="00D20849" w:rsidRPr="000A55FB" w:rsidRDefault="00D20849" w:rsidP="00C572AE">
            <w:r w:rsidRPr="000A55FB">
              <w:t>Price/Earnings (P/E) Ratio</w:t>
            </w:r>
          </w:p>
        </w:tc>
        <w:tc>
          <w:tcPr>
            <w:tcW w:w="3690" w:type="dxa"/>
            <w:hideMark/>
          </w:tcPr>
          <w:p w14:paraId="08547947"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Market Price per Share ÷ Earnings Per Share</w:t>
            </w:r>
          </w:p>
        </w:tc>
        <w:tc>
          <w:tcPr>
            <w:tcW w:w="1080" w:type="dxa"/>
            <w:hideMark/>
          </w:tcPr>
          <w:p w14:paraId="2BBD4860"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6.07 </w:t>
            </w:r>
          </w:p>
        </w:tc>
        <w:tc>
          <w:tcPr>
            <w:tcW w:w="1042" w:type="dxa"/>
            <w:hideMark/>
          </w:tcPr>
          <w:p w14:paraId="178E4B77"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4.08 </w:t>
            </w:r>
          </w:p>
        </w:tc>
        <w:tc>
          <w:tcPr>
            <w:tcW w:w="1030" w:type="dxa"/>
            <w:hideMark/>
          </w:tcPr>
          <w:p w14:paraId="48F1DDBC"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3.46 </w:t>
            </w:r>
          </w:p>
        </w:tc>
        <w:tc>
          <w:tcPr>
            <w:tcW w:w="1079" w:type="dxa"/>
            <w:hideMark/>
          </w:tcPr>
          <w:p w14:paraId="01D45668"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3.27 </w:t>
            </w:r>
          </w:p>
        </w:tc>
        <w:tc>
          <w:tcPr>
            <w:tcW w:w="1079" w:type="dxa"/>
            <w:hideMark/>
          </w:tcPr>
          <w:p w14:paraId="4A0396D7"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4.33 </w:t>
            </w:r>
          </w:p>
        </w:tc>
      </w:tr>
      <w:tr w:rsidR="00D20849" w:rsidRPr="000A55FB" w14:paraId="03DF122F" w14:textId="77777777" w:rsidTr="00C572AE">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5AE999F4" w14:textId="77777777" w:rsidR="00D20849" w:rsidRPr="000A55FB" w:rsidRDefault="00D20849" w:rsidP="00C572AE">
            <w:r w:rsidRPr="000A55FB">
              <w:t>Operating Cash Flow Ratio</w:t>
            </w:r>
          </w:p>
        </w:tc>
        <w:tc>
          <w:tcPr>
            <w:tcW w:w="3690" w:type="dxa"/>
            <w:hideMark/>
          </w:tcPr>
          <w:p w14:paraId="4EC4125C"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Operating Cash Flow ÷ Current Liabilities</w:t>
            </w:r>
          </w:p>
        </w:tc>
        <w:tc>
          <w:tcPr>
            <w:tcW w:w="1080" w:type="dxa"/>
            <w:hideMark/>
          </w:tcPr>
          <w:p w14:paraId="530142C4"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0.15 </w:t>
            </w:r>
          </w:p>
        </w:tc>
        <w:tc>
          <w:tcPr>
            <w:tcW w:w="1042" w:type="dxa"/>
            <w:hideMark/>
          </w:tcPr>
          <w:p w14:paraId="726B2FE4"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0.24 </w:t>
            </w:r>
          </w:p>
        </w:tc>
        <w:tc>
          <w:tcPr>
            <w:tcW w:w="1030" w:type="dxa"/>
            <w:hideMark/>
          </w:tcPr>
          <w:p w14:paraId="1519441A"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0.16 </w:t>
            </w:r>
          </w:p>
        </w:tc>
        <w:tc>
          <w:tcPr>
            <w:tcW w:w="1079" w:type="dxa"/>
            <w:hideMark/>
          </w:tcPr>
          <w:p w14:paraId="0556601B"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0.09 </w:t>
            </w:r>
          </w:p>
        </w:tc>
        <w:tc>
          <w:tcPr>
            <w:tcW w:w="1079" w:type="dxa"/>
            <w:hideMark/>
          </w:tcPr>
          <w:p w14:paraId="5DB1AA4C" w14:textId="77777777" w:rsidR="00D20849" w:rsidRPr="000A55FB" w:rsidRDefault="00D20849" w:rsidP="00C572AE">
            <w:pPr>
              <w:cnfStyle w:val="000000100000" w:firstRow="0" w:lastRow="0" w:firstColumn="0" w:lastColumn="0" w:oddVBand="0" w:evenVBand="0" w:oddHBand="1" w:evenHBand="0" w:firstRowFirstColumn="0" w:firstRowLastColumn="0" w:lastRowFirstColumn="0" w:lastRowLastColumn="0"/>
            </w:pPr>
            <w:r w:rsidRPr="000A55FB">
              <w:t xml:space="preserve">       0.08 </w:t>
            </w:r>
          </w:p>
        </w:tc>
      </w:tr>
      <w:tr w:rsidR="00D20849" w:rsidRPr="000A55FB" w14:paraId="0B85DD36" w14:textId="77777777" w:rsidTr="00C572AE">
        <w:trPr>
          <w:trHeight w:val="750"/>
        </w:trPr>
        <w:tc>
          <w:tcPr>
            <w:cnfStyle w:val="001000000000" w:firstRow="0" w:lastRow="0" w:firstColumn="1" w:lastColumn="0" w:oddVBand="0" w:evenVBand="0" w:oddHBand="0" w:evenHBand="0" w:firstRowFirstColumn="0" w:firstRowLastColumn="0" w:lastRowFirstColumn="0" w:lastRowLastColumn="0"/>
            <w:tcW w:w="2700" w:type="dxa"/>
            <w:hideMark/>
          </w:tcPr>
          <w:p w14:paraId="1FC9501F" w14:textId="77777777" w:rsidR="00D20849" w:rsidRPr="000A55FB" w:rsidRDefault="00D20849" w:rsidP="00C572AE">
            <w:r w:rsidRPr="000A55FB">
              <w:t>Debt to OCF Ratio</w:t>
            </w:r>
          </w:p>
        </w:tc>
        <w:tc>
          <w:tcPr>
            <w:tcW w:w="3690" w:type="dxa"/>
            <w:hideMark/>
          </w:tcPr>
          <w:p w14:paraId="09136DD6"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Total Debt ÷ Operating Cash Flow </w:t>
            </w:r>
          </w:p>
        </w:tc>
        <w:tc>
          <w:tcPr>
            <w:tcW w:w="1080" w:type="dxa"/>
            <w:hideMark/>
          </w:tcPr>
          <w:p w14:paraId="4969638A"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8.15 </w:t>
            </w:r>
          </w:p>
        </w:tc>
        <w:tc>
          <w:tcPr>
            <w:tcW w:w="1042" w:type="dxa"/>
            <w:hideMark/>
          </w:tcPr>
          <w:p w14:paraId="6B1C72D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5.64 </w:t>
            </w:r>
          </w:p>
        </w:tc>
        <w:tc>
          <w:tcPr>
            <w:tcW w:w="1030" w:type="dxa"/>
            <w:hideMark/>
          </w:tcPr>
          <w:p w14:paraId="3D6E3D15"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7.14 </w:t>
            </w:r>
          </w:p>
        </w:tc>
        <w:tc>
          <w:tcPr>
            <w:tcW w:w="1079" w:type="dxa"/>
            <w:hideMark/>
          </w:tcPr>
          <w:p w14:paraId="492A1117"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10.61 </w:t>
            </w:r>
          </w:p>
        </w:tc>
        <w:tc>
          <w:tcPr>
            <w:tcW w:w="1079" w:type="dxa"/>
            <w:hideMark/>
          </w:tcPr>
          <w:p w14:paraId="6DDE7D9D" w14:textId="77777777" w:rsidR="00D20849" w:rsidRPr="000A55FB" w:rsidRDefault="00D20849" w:rsidP="00C572AE">
            <w:pPr>
              <w:cnfStyle w:val="000000000000" w:firstRow="0" w:lastRow="0" w:firstColumn="0" w:lastColumn="0" w:oddVBand="0" w:evenVBand="0" w:oddHBand="0" w:evenHBand="0" w:firstRowFirstColumn="0" w:firstRowLastColumn="0" w:lastRowFirstColumn="0" w:lastRowLastColumn="0"/>
            </w:pPr>
            <w:r w:rsidRPr="000A55FB">
              <w:t xml:space="preserve">     12.78 </w:t>
            </w:r>
          </w:p>
        </w:tc>
      </w:tr>
    </w:tbl>
    <w:p w14:paraId="23564722" w14:textId="376849C7" w:rsidR="009278FE" w:rsidRPr="009278FE" w:rsidRDefault="003931FE" w:rsidP="003931FE">
      <w:pPr>
        <w:pStyle w:val="Caption"/>
        <w:jc w:val="center"/>
      </w:pPr>
      <w:bookmarkStart w:id="31" w:name="_Toc224494914"/>
      <w:r>
        <w:t xml:space="preserve">Table </w:t>
      </w:r>
      <w:r>
        <w:fldChar w:fldCharType="begin"/>
      </w:r>
      <w:r>
        <w:instrText xml:space="preserve"> SEQ Table \* ARABIC </w:instrText>
      </w:r>
      <w:r>
        <w:fldChar w:fldCharType="separate"/>
      </w:r>
      <w:r w:rsidR="00F6185C">
        <w:rPr>
          <w:noProof/>
        </w:rPr>
        <w:t>1</w:t>
      </w:r>
      <w:r>
        <w:fldChar w:fldCharType="end"/>
      </w:r>
      <w:r>
        <w:t>: Calculation of Different Ratios (Source- Author)</w:t>
      </w:r>
      <w:bookmarkEnd w:id="31"/>
    </w:p>
    <w:p w14:paraId="4932133B" w14:textId="7EE7CFAF" w:rsidR="009278FE" w:rsidRPr="009278FE" w:rsidRDefault="009278FE" w:rsidP="009278FE">
      <w:pPr>
        <w:spacing w:before="0" w:after="160" w:line="259" w:lineRule="auto"/>
        <w:jc w:val="left"/>
      </w:pPr>
      <w:r>
        <w:br w:type="page"/>
      </w:r>
    </w:p>
    <w:p w14:paraId="19A11C79" w14:textId="01633224" w:rsidR="009278FE" w:rsidRDefault="009278FE" w:rsidP="009278FE">
      <w:pPr>
        <w:pStyle w:val="Heading2"/>
      </w:pPr>
      <w:bookmarkStart w:id="32" w:name="_Toc224494912"/>
      <w:r>
        <w:lastRenderedPageBreak/>
        <w:t>2. Cash Operating Cycle</w:t>
      </w:r>
      <w:bookmarkEnd w:id="32"/>
    </w:p>
    <w:p w14:paraId="02D39634" w14:textId="2C40FE71" w:rsidR="009278FE" w:rsidRDefault="00A23D63" w:rsidP="00A23D63">
      <w:pPr>
        <w:jc w:val="center"/>
      </w:pPr>
      <w:r>
        <w:rPr>
          <w:noProof/>
        </w:rPr>
        <w:drawing>
          <wp:inline distT="0" distB="0" distL="0" distR="0" wp14:anchorId="546DF3C4" wp14:editId="213C146A">
            <wp:extent cx="5943600" cy="3625215"/>
            <wp:effectExtent l="0" t="0" r="0" b="13335"/>
            <wp:docPr id="231061228" name="Chart 1">
              <a:extLst xmlns:a="http://schemas.openxmlformats.org/drawingml/2006/main">
                <a:ext uri="{FF2B5EF4-FFF2-40B4-BE49-F238E27FC236}">
                  <a16:creationId xmlns:a16="http://schemas.microsoft.com/office/drawing/2014/main" id="{DEDE8A3F-9E4D-455F-9810-CF1414024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7F1BF71" w14:textId="2761CF6F" w:rsidR="00A23D63" w:rsidRDefault="00A23D63" w:rsidP="00A23D63">
      <w:pPr>
        <w:pStyle w:val="Caption"/>
        <w:jc w:val="center"/>
      </w:pPr>
      <w:bookmarkStart w:id="33" w:name="_Toc224494926"/>
      <w:r>
        <w:t xml:space="preserve">Figure </w:t>
      </w:r>
      <w:r>
        <w:fldChar w:fldCharType="begin"/>
      </w:r>
      <w:r>
        <w:instrText xml:space="preserve"> SEQ Figure \* ARABIC </w:instrText>
      </w:r>
      <w:r>
        <w:fldChar w:fldCharType="separate"/>
      </w:r>
      <w:r>
        <w:rPr>
          <w:noProof/>
        </w:rPr>
        <w:t>7</w:t>
      </w:r>
      <w:r>
        <w:fldChar w:fldCharType="end"/>
      </w:r>
      <w:r>
        <w:t xml:space="preserve">: </w:t>
      </w:r>
      <w:r w:rsidR="0070264F">
        <w:t xml:space="preserve">Trend </w:t>
      </w:r>
      <w:r w:rsidRPr="00522CB1">
        <w:t>Cash Operating Cycle</w:t>
      </w:r>
      <w:r>
        <w:t xml:space="preserve"> (Source- Author)</w:t>
      </w:r>
      <w:bookmarkEnd w:id="33"/>
    </w:p>
    <w:tbl>
      <w:tblPr>
        <w:tblStyle w:val="TableGrid"/>
        <w:tblW w:w="9658" w:type="dxa"/>
        <w:tblLook w:val="04A0" w:firstRow="1" w:lastRow="0" w:firstColumn="1" w:lastColumn="0" w:noHBand="0" w:noVBand="1"/>
      </w:tblPr>
      <w:tblGrid>
        <w:gridCol w:w="3518"/>
        <w:gridCol w:w="1228"/>
        <w:gridCol w:w="1228"/>
        <w:gridCol w:w="1228"/>
        <w:gridCol w:w="1228"/>
        <w:gridCol w:w="1228"/>
      </w:tblGrid>
      <w:tr w:rsidR="0070264F" w:rsidRPr="0070264F" w14:paraId="40DE78E1" w14:textId="77777777" w:rsidTr="0028107A">
        <w:trPr>
          <w:trHeight w:val="269"/>
        </w:trPr>
        <w:tc>
          <w:tcPr>
            <w:tcW w:w="3518" w:type="dxa"/>
            <w:noWrap/>
            <w:hideMark/>
          </w:tcPr>
          <w:p w14:paraId="14218086" w14:textId="77777777" w:rsidR="0070264F" w:rsidRPr="0070264F" w:rsidRDefault="0070264F" w:rsidP="00F1761F">
            <w:pPr>
              <w:jc w:val="center"/>
              <w:rPr>
                <w:b/>
                <w:bCs/>
              </w:rPr>
            </w:pPr>
            <w:r w:rsidRPr="0070264F">
              <w:rPr>
                <w:b/>
                <w:bCs/>
              </w:rPr>
              <w:t>Particulars</w:t>
            </w:r>
          </w:p>
        </w:tc>
        <w:tc>
          <w:tcPr>
            <w:tcW w:w="1228" w:type="dxa"/>
            <w:noWrap/>
            <w:hideMark/>
          </w:tcPr>
          <w:p w14:paraId="644C544B" w14:textId="77777777" w:rsidR="0070264F" w:rsidRPr="0070264F" w:rsidRDefault="0070264F" w:rsidP="00F1761F">
            <w:pPr>
              <w:jc w:val="center"/>
              <w:rPr>
                <w:b/>
                <w:bCs/>
              </w:rPr>
            </w:pPr>
            <w:r w:rsidRPr="0070264F">
              <w:rPr>
                <w:b/>
                <w:bCs/>
              </w:rPr>
              <w:t>2020</w:t>
            </w:r>
          </w:p>
        </w:tc>
        <w:tc>
          <w:tcPr>
            <w:tcW w:w="1228" w:type="dxa"/>
            <w:noWrap/>
            <w:hideMark/>
          </w:tcPr>
          <w:p w14:paraId="5F4AA340" w14:textId="77777777" w:rsidR="0070264F" w:rsidRPr="0070264F" w:rsidRDefault="0070264F" w:rsidP="00F1761F">
            <w:pPr>
              <w:jc w:val="center"/>
              <w:rPr>
                <w:b/>
                <w:bCs/>
              </w:rPr>
            </w:pPr>
            <w:r w:rsidRPr="0070264F">
              <w:rPr>
                <w:b/>
                <w:bCs/>
              </w:rPr>
              <w:t>2021</w:t>
            </w:r>
          </w:p>
        </w:tc>
        <w:tc>
          <w:tcPr>
            <w:tcW w:w="1228" w:type="dxa"/>
            <w:noWrap/>
            <w:hideMark/>
          </w:tcPr>
          <w:p w14:paraId="4D65BE91" w14:textId="77777777" w:rsidR="0070264F" w:rsidRPr="0070264F" w:rsidRDefault="0070264F" w:rsidP="00F1761F">
            <w:pPr>
              <w:jc w:val="center"/>
              <w:rPr>
                <w:b/>
                <w:bCs/>
              </w:rPr>
            </w:pPr>
            <w:r w:rsidRPr="0070264F">
              <w:rPr>
                <w:b/>
                <w:bCs/>
              </w:rPr>
              <w:t>2022</w:t>
            </w:r>
          </w:p>
        </w:tc>
        <w:tc>
          <w:tcPr>
            <w:tcW w:w="1228" w:type="dxa"/>
            <w:noWrap/>
            <w:hideMark/>
          </w:tcPr>
          <w:p w14:paraId="534CA53B" w14:textId="77777777" w:rsidR="0070264F" w:rsidRPr="0070264F" w:rsidRDefault="0070264F" w:rsidP="00F1761F">
            <w:pPr>
              <w:jc w:val="center"/>
              <w:rPr>
                <w:b/>
                <w:bCs/>
              </w:rPr>
            </w:pPr>
            <w:r w:rsidRPr="0070264F">
              <w:rPr>
                <w:b/>
                <w:bCs/>
              </w:rPr>
              <w:t>2023</w:t>
            </w:r>
          </w:p>
        </w:tc>
        <w:tc>
          <w:tcPr>
            <w:tcW w:w="1228" w:type="dxa"/>
            <w:noWrap/>
            <w:hideMark/>
          </w:tcPr>
          <w:p w14:paraId="3E6B9922" w14:textId="77777777" w:rsidR="0070264F" w:rsidRPr="0070264F" w:rsidRDefault="0070264F" w:rsidP="00F1761F">
            <w:pPr>
              <w:jc w:val="center"/>
              <w:rPr>
                <w:b/>
                <w:bCs/>
              </w:rPr>
            </w:pPr>
            <w:r w:rsidRPr="0070264F">
              <w:rPr>
                <w:b/>
                <w:bCs/>
              </w:rPr>
              <w:t>2024</w:t>
            </w:r>
          </w:p>
        </w:tc>
      </w:tr>
      <w:tr w:rsidR="0070264F" w:rsidRPr="0070264F" w14:paraId="48B75F1D" w14:textId="77777777" w:rsidTr="0028107A">
        <w:trPr>
          <w:trHeight w:val="217"/>
        </w:trPr>
        <w:tc>
          <w:tcPr>
            <w:tcW w:w="3518" w:type="dxa"/>
            <w:noWrap/>
            <w:hideMark/>
          </w:tcPr>
          <w:p w14:paraId="31D02D2D" w14:textId="77777777" w:rsidR="0070264F" w:rsidRPr="0070264F" w:rsidRDefault="0070264F" w:rsidP="00F1761F">
            <w:pPr>
              <w:jc w:val="center"/>
            </w:pPr>
            <w:r w:rsidRPr="0070264F">
              <w:t>Days Inventory Outstanding</w:t>
            </w:r>
          </w:p>
        </w:tc>
        <w:tc>
          <w:tcPr>
            <w:tcW w:w="1228" w:type="dxa"/>
            <w:noWrap/>
            <w:hideMark/>
          </w:tcPr>
          <w:p w14:paraId="1A61DE3C" w14:textId="10872DB2" w:rsidR="0070264F" w:rsidRPr="0070264F" w:rsidRDefault="0070264F" w:rsidP="00F1761F">
            <w:pPr>
              <w:jc w:val="center"/>
            </w:pPr>
            <w:r w:rsidRPr="0070264F">
              <w:t>85.77</w:t>
            </w:r>
          </w:p>
        </w:tc>
        <w:tc>
          <w:tcPr>
            <w:tcW w:w="1228" w:type="dxa"/>
            <w:noWrap/>
            <w:hideMark/>
          </w:tcPr>
          <w:p w14:paraId="379750D4" w14:textId="2B73FACF" w:rsidR="0070264F" w:rsidRPr="0070264F" w:rsidRDefault="0070264F" w:rsidP="00F1761F">
            <w:pPr>
              <w:jc w:val="center"/>
            </w:pPr>
            <w:r w:rsidRPr="0070264F">
              <w:t>77.56</w:t>
            </w:r>
          </w:p>
        </w:tc>
        <w:tc>
          <w:tcPr>
            <w:tcW w:w="1228" w:type="dxa"/>
            <w:noWrap/>
            <w:hideMark/>
          </w:tcPr>
          <w:p w14:paraId="4304B539" w14:textId="403E03DE" w:rsidR="0070264F" w:rsidRPr="0070264F" w:rsidRDefault="0070264F" w:rsidP="00F1761F">
            <w:pPr>
              <w:jc w:val="center"/>
            </w:pPr>
            <w:r w:rsidRPr="0070264F">
              <w:t>82.90</w:t>
            </w:r>
          </w:p>
        </w:tc>
        <w:tc>
          <w:tcPr>
            <w:tcW w:w="1228" w:type="dxa"/>
            <w:noWrap/>
            <w:hideMark/>
          </w:tcPr>
          <w:p w14:paraId="26A92E3D" w14:textId="46FA0814" w:rsidR="0070264F" w:rsidRPr="0070264F" w:rsidRDefault="0070264F" w:rsidP="00F1761F">
            <w:pPr>
              <w:jc w:val="center"/>
            </w:pPr>
            <w:r w:rsidRPr="0070264F">
              <w:t>73.85</w:t>
            </w:r>
          </w:p>
        </w:tc>
        <w:tc>
          <w:tcPr>
            <w:tcW w:w="1228" w:type="dxa"/>
            <w:noWrap/>
            <w:hideMark/>
          </w:tcPr>
          <w:p w14:paraId="435FAE88" w14:textId="11D6F64A" w:rsidR="0070264F" w:rsidRPr="0070264F" w:rsidRDefault="0070264F" w:rsidP="00F1761F">
            <w:pPr>
              <w:jc w:val="center"/>
            </w:pPr>
            <w:r w:rsidRPr="0070264F">
              <w:t>77.00</w:t>
            </w:r>
          </w:p>
        </w:tc>
      </w:tr>
      <w:tr w:rsidR="0070264F" w:rsidRPr="0070264F" w14:paraId="2E9D7142" w14:textId="77777777" w:rsidTr="0028107A">
        <w:trPr>
          <w:trHeight w:val="217"/>
        </w:trPr>
        <w:tc>
          <w:tcPr>
            <w:tcW w:w="3518" w:type="dxa"/>
            <w:noWrap/>
            <w:hideMark/>
          </w:tcPr>
          <w:p w14:paraId="3DC8AEDB" w14:textId="77777777" w:rsidR="0070264F" w:rsidRPr="0070264F" w:rsidRDefault="0070264F" w:rsidP="00F1761F">
            <w:pPr>
              <w:jc w:val="center"/>
            </w:pPr>
            <w:r w:rsidRPr="0070264F">
              <w:t>Days Sales Outstanding</w:t>
            </w:r>
          </w:p>
        </w:tc>
        <w:tc>
          <w:tcPr>
            <w:tcW w:w="1228" w:type="dxa"/>
            <w:noWrap/>
            <w:hideMark/>
          </w:tcPr>
          <w:p w14:paraId="56E8E0CC" w14:textId="3A9BC909" w:rsidR="0070264F" w:rsidRPr="0070264F" w:rsidRDefault="0070264F" w:rsidP="00F1761F">
            <w:pPr>
              <w:jc w:val="center"/>
            </w:pPr>
            <w:r w:rsidRPr="0070264F">
              <w:t>26.24</w:t>
            </w:r>
          </w:p>
        </w:tc>
        <w:tc>
          <w:tcPr>
            <w:tcW w:w="1228" w:type="dxa"/>
            <w:noWrap/>
            <w:hideMark/>
          </w:tcPr>
          <w:p w14:paraId="3F04D8C3" w14:textId="08172C24" w:rsidR="0070264F" w:rsidRPr="0070264F" w:rsidRDefault="0070264F" w:rsidP="00F1761F">
            <w:pPr>
              <w:jc w:val="center"/>
            </w:pPr>
            <w:r w:rsidRPr="0070264F">
              <w:t>22.33</w:t>
            </w:r>
          </w:p>
        </w:tc>
        <w:tc>
          <w:tcPr>
            <w:tcW w:w="1228" w:type="dxa"/>
            <w:noWrap/>
            <w:hideMark/>
          </w:tcPr>
          <w:p w14:paraId="37FC84D6" w14:textId="6CF4BA99" w:rsidR="0070264F" w:rsidRPr="0070264F" w:rsidRDefault="0070264F" w:rsidP="00F1761F">
            <w:pPr>
              <w:jc w:val="center"/>
            </w:pPr>
            <w:r w:rsidRPr="0070264F">
              <w:t>23.96</w:t>
            </w:r>
          </w:p>
        </w:tc>
        <w:tc>
          <w:tcPr>
            <w:tcW w:w="1228" w:type="dxa"/>
            <w:noWrap/>
            <w:hideMark/>
          </w:tcPr>
          <w:p w14:paraId="6D80D0F8" w14:textId="47494888" w:rsidR="0070264F" w:rsidRPr="0070264F" w:rsidRDefault="0070264F" w:rsidP="00F1761F">
            <w:pPr>
              <w:jc w:val="center"/>
            </w:pPr>
            <w:r w:rsidRPr="0070264F">
              <w:t>24.41</w:t>
            </w:r>
          </w:p>
        </w:tc>
        <w:tc>
          <w:tcPr>
            <w:tcW w:w="1228" w:type="dxa"/>
            <w:noWrap/>
            <w:hideMark/>
          </w:tcPr>
          <w:p w14:paraId="01DDA206" w14:textId="2F9959B0" w:rsidR="0070264F" w:rsidRPr="0070264F" w:rsidRDefault="0070264F" w:rsidP="00F1761F">
            <w:pPr>
              <w:jc w:val="center"/>
            </w:pPr>
            <w:r w:rsidRPr="0070264F">
              <w:t>23.43</w:t>
            </w:r>
          </w:p>
        </w:tc>
      </w:tr>
      <w:tr w:rsidR="0070264F" w:rsidRPr="0070264F" w14:paraId="738A30DE" w14:textId="77777777" w:rsidTr="0028107A">
        <w:trPr>
          <w:trHeight w:val="217"/>
        </w:trPr>
        <w:tc>
          <w:tcPr>
            <w:tcW w:w="3518" w:type="dxa"/>
            <w:noWrap/>
            <w:hideMark/>
          </w:tcPr>
          <w:p w14:paraId="690EC9D7" w14:textId="77777777" w:rsidR="0070264F" w:rsidRPr="0070264F" w:rsidRDefault="0070264F" w:rsidP="00F1761F">
            <w:pPr>
              <w:jc w:val="center"/>
            </w:pPr>
            <w:r w:rsidRPr="0070264F">
              <w:t>Days Payable Outstanding</w:t>
            </w:r>
          </w:p>
        </w:tc>
        <w:tc>
          <w:tcPr>
            <w:tcW w:w="1228" w:type="dxa"/>
            <w:noWrap/>
            <w:hideMark/>
          </w:tcPr>
          <w:p w14:paraId="77623E47" w14:textId="488913A1" w:rsidR="0070264F" w:rsidRPr="0070264F" w:rsidRDefault="0070264F" w:rsidP="00F1761F">
            <w:pPr>
              <w:jc w:val="center"/>
            </w:pPr>
            <w:r w:rsidRPr="0070264F">
              <w:t>44.38</w:t>
            </w:r>
          </w:p>
        </w:tc>
        <w:tc>
          <w:tcPr>
            <w:tcW w:w="1228" w:type="dxa"/>
            <w:noWrap/>
            <w:hideMark/>
          </w:tcPr>
          <w:p w14:paraId="0EFC2FB1" w14:textId="46B5D76C" w:rsidR="0070264F" w:rsidRPr="0070264F" w:rsidRDefault="0070264F" w:rsidP="00F1761F">
            <w:pPr>
              <w:jc w:val="center"/>
            </w:pPr>
            <w:r w:rsidRPr="0070264F">
              <w:t>41.90</w:t>
            </w:r>
          </w:p>
        </w:tc>
        <w:tc>
          <w:tcPr>
            <w:tcW w:w="1228" w:type="dxa"/>
            <w:noWrap/>
            <w:hideMark/>
          </w:tcPr>
          <w:p w14:paraId="7BBE638D" w14:textId="723915A6" w:rsidR="0070264F" w:rsidRPr="0070264F" w:rsidRDefault="0070264F" w:rsidP="00F1761F">
            <w:pPr>
              <w:jc w:val="center"/>
            </w:pPr>
            <w:r w:rsidRPr="0070264F">
              <w:t>45.59</w:t>
            </w:r>
          </w:p>
        </w:tc>
        <w:tc>
          <w:tcPr>
            <w:tcW w:w="1228" w:type="dxa"/>
            <w:noWrap/>
            <w:hideMark/>
          </w:tcPr>
          <w:p w14:paraId="51FE18A6" w14:textId="1305661D" w:rsidR="0070264F" w:rsidRPr="0070264F" w:rsidRDefault="0070264F" w:rsidP="00F1761F">
            <w:pPr>
              <w:jc w:val="center"/>
            </w:pPr>
            <w:r w:rsidRPr="0070264F">
              <w:t>42.57</w:t>
            </w:r>
          </w:p>
        </w:tc>
        <w:tc>
          <w:tcPr>
            <w:tcW w:w="1228" w:type="dxa"/>
            <w:noWrap/>
            <w:hideMark/>
          </w:tcPr>
          <w:p w14:paraId="1C047F09" w14:textId="01602AED" w:rsidR="0070264F" w:rsidRPr="0070264F" w:rsidRDefault="0070264F" w:rsidP="00F1761F">
            <w:pPr>
              <w:jc w:val="center"/>
            </w:pPr>
            <w:r w:rsidRPr="0070264F">
              <w:t>40.42</w:t>
            </w:r>
          </w:p>
        </w:tc>
      </w:tr>
      <w:tr w:rsidR="0070264F" w:rsidRPr="0070264F" w14:paraId="1DD36DD4" w14:textId="77777777" w:rsidTr="0028107A">
        <w:trPr>
          <w:trHeight w:val="217"/>
        </w:trPr>
        <w:tc>
          <w:tcPr>
            <w:tcW w:w="3518" w:type="dxa"/>
            <w:noWrap/>
            <w:hideMark/>
          </w:tcPr>
          <w:p w14:paraId="1781A21F" w14:textId="77777777" w:rsidR="0070264F" w:rsidRPr="0070264F" w:rsidRDefault="0070264F" w:rsidP="00F1761F">
            <w:pPr>
              <w:jc w:val="center"/>
              <w:rPr>
                <w:b/>
                <w:bCs/>
              </w:rPr>
            </w:pPr>
            <w:r w:rsidRPr="0070264F">
              <w:rPr>
                <w:b/>
                <w:bCs/>
              </w:rPr>
              <w:t>Cash Operating Cycle</w:t>
            </w:r>
          </w:p>
        </w:tc>
        <w:tc>
          <w:tcPr>
            <w:tcW w:w="1228" w:type="dxa"/>
            <w:noWrap/>
            <w:hideMark/>
          </w:tcPr>
          <w:p w14:paraId="63354146" w14:textId="0ADE4A67" w:rsidR="0070264F" w:rsidRPr="0070264F" w:rsidRDefault="0070264F" w:rsidP="00F1761F">
            <w:pPr>
              <w:jc w:val="center"/>
              <w:rPr>
                <w:b/>
                <w:bCs/>
              </w:rPr>
            </w:pPr>
            <w:r w:rsidRPr="0070264F">
              <w:rPr>
                <w:b/>
                <w:bCs/>
              </w:rPr>
              <w:t>67.62</w:t>
            </w:r>
          </w:p>
        </w:tc>
        <w:tc>
          <w:tcPr>
            <w:tcW w:w="1228" w:type="dxa"/>
            <w:noWrap/>
            <w:hideMark/>
          </w:tcPr>
          <w:p w14:paraId="0D15F53F" w14:textId="7B89A346" w:rsidR="0070264F" w:rsidRPr="0070264F" w:rsidRDefault="0070264F" w:rsidP="00F1761F">
            <w:pPr>
              <w:jc w:val="center"/>
              <w:rPr>
                <w:b/>
                <w:bCs/>
              </w:rPr>
            </w:pPr>
            <w:r w:rsidRPr="0070264F">
              <w:rPr>
                <w:b/>
                <w:bCs/>
              </w:rPr>
              <w:t>57.99</w:t>
            </w:r>
          </w:p>
        </w:tc>
        <w:tc>
          <w:tcPr>
            <w:tcW w:w="1228" w:type="dxa"/>
            <w:noWrap/>
            <w:hideMark/>
          </w:tcPr>
          <w:p w14:paraId="1E6E2B0F" w14:textId="2A5E28AF" w:rsidR="0070264F" w:rsidRPr="0070264F" w:rsidRDefault="0070264F" w:rsidP="00F1761F">
            <w:pPr>
              <w:jc w:val="center"/>
              <w:rPr>
                <w:b/>
                <w:bCs/>
              </w:rPr>
            </w:pPr>
            <w:r w:rsidRPr="0070264F">
              <w:rPr>
                <w:b/>
                <w:bCs/>
              </w:rPr>
              <w:t>61.26</w:t>
            </w:r>
          </w:p>
        </w:tc>
        <w:tc>
          <w:tcPr>
            <w:tcW w:w="1228" w:type="dxa"/>
            <w:noWrap/>
            <w:hideMark/>
          </w:tcPr>
          <w:p w14:paraId="0376A8A2" w14:textId="6270FBE1" w:rsidR="0070264F" w:rsidRPr="0070264F" w:rsidRDefault="0070264F" w:rsidP="00F1761F">
            <w:pPr>
              <w:jc w:val="center"/>
              <w:rPr>
                <w:b/>
                <w:bCs/>
              </w:rPr>
            </w:pPr>
            <w:r w:rsidRPr="0070264F">
              <w:rPr>
                <w:b/>
                <w:bCs/>
              </w:rPr>
              <w:t>55.68</w:t>
            </w:r>
          </w:p>
        </w:tc>
        <w:tc>
          <w:tcPr>
            <w:tcW w:w="1228" w:type="dxa"/>
            <w:noWrap/>
            <w:hideMark/>
          </w:tcPr>
          <w:p w14:paraId="7A2FFB95" w14:textId="60831DD0" w:rsidR="0070264F" w:rsidRPr="0070264F" w:rsidRDefault="0070264F" w:rsidP="00F1761F">
            <w:pPr>
              <w:jc w:val="center"/>
              <w:rPr>
                <w:b/>
                <w:bCs/>
              </w:rPr>
            </w:pPr>
            <w:r w:rsidRPr="0070264F">
              <w:rPr>
                <w:b/>
                <w:bCs/>
              </w:rPr>
              <w:t>60.01</w:t>
            </w:r>
          </w:p>
        </w:tc>
      </w:tr>
    </w:tbl>
    <w:p w14:paraId="134495DC" w14:textId="719FF106" w:rsidR="0070264F" w:rsidRPr="0070264F" w:rsidRDefault="0028107A" w:rsidP="0028107A">
      <w:pPr>
        <w:pStyle w:val="Caption"/>
        <w:jc w:val="center"/>
      </w:pPr>
      <w:bookmarkStart w:id="34" w:name="_Toc224494915"/>
      <w:r>
        <w:t xml:space="preserve">Table </w:t>
      </w:r>
      <w:r>
        <w:fldChar w:fldCharType="begin"/>
      </w:r>
      <w:r>
        <w:instrText xml:space="preserve"> SEQ Table \* ARABIC </w:instrText>
      </w:r>
      <w:r>
        <w:fldChar w:fldCharType="separate"/>
      </w:r>
      <w:r w:rsidR="00F6185C">
        <w:rPr>
          <w:noProof/>
        </w:rPr>
        <w:t>2</w:t>
      </w:r>
      <w:r>
        <w:fldChar w:fldCharType="end"/>
      </w:r>
      <w:r>
        <w:t xml:space="preserve">: Calculation of </w:t>
      </w:r>
      <w:r w:rsidRPr="0058039B">
        <w:t>Cash Operating Cycle (Source- Author)</w:t>
      </w:r>
      <w:bookmarkEnd w:id="34"/>
    </w:p>
    <w:p w14:paraId="6B6A9AEF" w14:textId="3BB51A11" w:rsidR="009278FE" w:rsidRPr="009278FE" w:rsidRDefault="009278FE" w:rsidP="009278FE">
      <w:pPr>
        <w:spacing w:before="0" w:after="160" w:line="259" w:lineRule="auto"/>
        <w:jc w:val="left"/>
      </w:pPr>
      <w:r>
        <w:br w:type="page"/>
      </w:r>
    </w:p>
    <w:p w14:paraId="3EEEEBD5" w14:textId="095FEF31" w:rsidR="009278FE" w:rsidRDefault="009278FE" w:rsidP="009278FE">
      <w:pPr>
        <w:pStyle w:val="Heading2"/>
      </w:pPr>
      <w:bookmarkStart w:id="35" w:name="_Toc224494913"/>
      <w:r>
        <w:lastRenderedPageBreak/>
        <w:t>3. Capital Budgeting Projects</w:t>
      </w:r>
      <w:bookmarkEnd w:id="35"/>
    </w:p>
    <w:tbl>
      <w:tblPr>
        <w:tblW w:w="6920" w:type="dxa"/>
        <w:jc w:val="center"/>
        <w:tblLook w:val="04A0" w:firstRow="1" w:lastRow="0" w:firstColumn="1" w:lastColumn="0" w:noHBand="0" w:noVBand="1"/>
      </w:tblPr>
      <w:tblGrid>
        <w:gridCol w:w="1340"/>
        <w:gridCol w:w="1060"/>
        <w:gridCol w:w="1060"/>
        <w:gridCol w:w="1060"/>
        <w:gridCol w:w="1200"/>
        <w:gridCol w:w="1200"/>
      </w:tblGrid>
      <w:tr w:rsidR="00EC48C8" w:rsidRPr="00EC48C8" w14:paraId="15EB83DB" w14:textId="77777777" w:rsidTr="00EC48C8">
        <w:trPr>
          <w:trHeight w:val="375"/>
          <w:jc w:val="center"/>
        </w:trPr>
        <w:tc>
          <w:tcPr>
            <w:tcW w:w="1340" w:type="dxa"/>
            <w:tcBorders>
              <w:top w:val="single" w:sz="4" w:space="0" w:color="auto"/>
              <w:left w:val="single" w:sz="4" w:space="0" w:color="auto"/>
              <w:bottom w:val="single" w:sz="4" w:space="0" w:color="auto"/>
              <w:right w:val="single" w:sz="4" w:space="0" w:color="auto"/>
            </w:tcBorders>
            <w:noWrap/>
            <w:vAlign w:val="bottom"/>
            <w:hideMark/>
          </w:tcPr>
          <w:p w14:paraId="58B5FFEF"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Projects</w:t>
            </w:r>
          </w:p>
        </w:tc>
        <w:tc>
          <w:tcPr>
            <w:tcW w:w="1060" w:type="dxa"/>
            <w:tcBorders>
              <w:top w:val="single" w:sz="4" w:space="0" w:color="auto"/>
              <w:left w:val="nil"/>
              <w:bottom w:val="single" w:sz="4" w:space="0" w:color="auto"/>
              <w:right w:val="single" w:sz="4" w:space="0" w:color="auto"/>
            </w:tcBorders>
            <w:noWrap/>
            <w:vAlign w:val="bottom"/>
            <w:hideMark/>
          </w:tcPr>
          <w:p w14:paraId="59285920"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PBP</w:t>
            </w:r>
          </w:p>
        </w:tc>
        <w:tc>
          <w:tcPr>
            <w:tcW w:w="1060" w:type="dxa"/>
            <w:tcBorders>
              <w:top w:val="single" w:sz="4" w:space="0" w:color="auto"/>
              <w:left w:val="nil"/>
              <w:bottom w:val="single" w:sz="4" w:space="0" w:color="auto"/>
              <w:right w:val="single" w:sz="4" w:space="0" w:color="auto"/>
            </w:tcBorders>
            <w:noWrap/>
            <w:vAlign w:val="bottom"/>
            <w:hideMark/>
          </w:tcPr>
          <w:p w14:paraId="7BF010A4"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ARR</w:t>
            </w:r>
          </w:p>
        </w:tc>
        <w:tc>
          <w:tcPr>
            <w:tcW w:w="1060" w:type="dxa"/>
            <w:tcBorders>
              <w:top w:val="single" w:sz="4" w:space="0" w:color="auto"/>
              <w:left w:val="nil"/>
              <w:bottom w:val="single" w:sz="4" w:space="0" w:color="auto"/>
              <w:right w:val="single" w:sz="4" w:space="0" w:color="auto"/>
            </w:tcBorders>
            <w:noWrap/>
            <w:vAlign w:val="bottom"/>
            <w:hideMark/>
          </w:tcPr>
          <w:p w14:paraId="43BB529F"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NPV</w:t>
            </w:r>
          </w:p>
        </w:tc>
        <w:tc>
          <w:tcPr>
            <w:tcW w:w="1200" w:type="dxa"/>
            <w:tcBorders>
              <w:top w:val="single" w:sz="4" w:space="0" w:color="auto"/>
              <w:left w:val="nil"/>
              <w:bottom w:val="single" w:sz="4" w:space="0" w:color="auto"/>
              <w:right w:val="single" w:sz="4" w:space="0" w:color="auto"/>
            </w:tcBorders>
            <w:noWrap/>
            <w:vAlign w:val="bottom"/>
            <w:hideMark/>
          </w:tcPr>
          <w:p w14:paraId="045D7F19"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IRR</w:t>
            </w:r>
          </w:p>
        </w:tc>
        <w:tc>
          <w:tcPr>
            <w:tcW w:w="1200" w:type="dxa"/>
            <w:tcBorders>
              <w:top w:val="single" w:sz="4" w:space="0" w:color="auto"/>
              <w:left w:val="nil"/>
              <w:bottom w:val="single" w:sz="4" w:space="0" w:color="auto"/>
              <w:right w:val="single" w:sz="4" w:space="0" w:color="auto"/>
            </w:tcBorders>
            <w:noWrap/>
            <w:vAlign w:val="bottom"/>
            <w:hideMark/>
          </w:tcPr>
          <w:p w14:paraId="11E193B0"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PI</w:t>
            </w:r>
          </w:p>
        </w:tc>
      </w:tr>
      <w:tr w:rsidR="00EC48C8" w:rsidRPr="00EC48C8" w14:paraId="71BF0A69" w14:textId="77777777" w:rsidTr="00EC48C8">
        <w:trPr>
          <w:trHeight w:val="375"/>
          <w:jc w:val="center"/>
        </w:trPr>
        <w:tc>
          <w:tcPr>
            <w:tcW w:w="1340" w:type="dxa"/>
            <w:tcBorders>
              <w:top w:val="nil"/>
              <w:left w:val="single" w:sz="4" w:space="0" w:color="auto"/>
              <w:bottom w:val="single" w:sz="4" w:space="0" w:color="auto"/>
              <w:right w:val="single" w:sz="4" w:space="0" w:color="auto"/>
            </w:tcBorders>
            <w:noWrap/>
            <w:vAlign w:val="bottom"/>
            <w:hideMark/>
          </w:tcPr>
          <w:p w14:paraId="072E35E3"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A</w:t>
            </w:r>
          </w:p>
        </w:tc>
        <w:tc>
          <w:tcPr>
            <w:tcW w:w="1060" w:type="dxa"/>
            <w:tcBorders>
              <w:top w:val="nil"/>
              <w:left w:val="nil"/>
              <w:bottom w:val="single" w:sz="4" w:space="0" w:color="auto"/>
              <w:right w:val="single" w:sz="4" w:space="0" w:color="auto"/>
            </w:tcBorders>
            <w:noWrap/>
            <w:vAlign w:val="bottom"/>
            <w:hideMark/>
          </w:tcPr>
          <w:p w14:paraId="12D60A54"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2.33 </w:t>
            </w:r>
          </w:p>
        </w:tc>
        <w:tc>
          <w:tcPr>
            <w:tcW w:w="1060" w:type="dxa"/>
            <w:tcBorders>
              <w:top w:val="nil"/>
              <w:left w:val="nil"/>
              <w:bottom w:val="single" w:sz="4" w:space="0" w:color="auto"/>
              <w:right w:val="single" w:sz="4" w:space="0" w:color="auto"/>
            </w:tcBorders>
            <w:noWrap/>
            <w:vAlign w:val="bottom"/>
            <w:hideMark/>
          </w:tcPr>
          <w:p w14:paraId="3856E938"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22%</w:t>
            </w:r>
          </w:p>
        </w:tc>
        <w:tc>
          <w:tcPr>
            <w:tcW w:w="1060" w:type="dxa"/>
            <w:tcBorders>
              <w:top w:val="nil"/>
              <w:left w:val="nil"/>
              <w:bottom w:val="single" w:sz="4" w:space="0" w:color="auto"/>
              <w:right w:val="single" w:sz="4" w:space="0" w:color="auto"/>
            </w:tcBorders>
            <w:noWrap/>
            <w:vAlign w:val="bottom"/>
            <w:hideMark/>
          </w:tcPr>
          <w:p w14:paraId="793DE5BA"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29.23 </w:t>
            </w:r>
          </w:p>
        </w:tc>
        <w:tc>
          <w:tcPr>
            <w:tcW w:w="1200" w:type="dxa"/>
            <w:tcBorders>
              <w:top w:val="nil"/>
              <w:left w:val="nil"/>
              <w:bottom w:val="single" w:sz="4" w:space="0" w:color="auto"/>
              <w:right w:val="single" w:sz="4" w:space="0" w:color="auto"/>
            </w:tcBorders>
            <w:noWrap/>
            <w:vAlign w:val="bottom"/>
            <w:hideMark/>
          </w:tcPr>
          <w:p w14:paraId="56A30F59"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31.23%</w:t>
            </w:r>
          </w:p>
        </w:tc>
        <w:tc>
          <w:tcPr>
            <w:tcW w:w="1200" w:type="dxa"/>
            <w:tcBorders>
              <w:top w:val="nil"/>
              <w:left w:val="nil"/>
              <w:bottom w:val="single" w:sz="4" w:space="0" w:color="auto"/>
              <w:right w:val="single" w:sz="4" w:space="0" w:color="auto"/>
            </w:tcBorders>
            <w:noWrap/>
            <w:vAlign w:val="bottom"/>
            <w:hideMark/>
          </w:tcPr>
          <w:p w14:paraId="4890B00F"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1.58 </w:t>
            </w:r>
          </w:p>
        </w:tc>
      </w:tr>
      <w:tr w:rsidR="00EC48C8" w:rsidRPr="00EC48C8" w14:paraId="4FCB2B3A" w14:textId="77777777" w:rsidTr="00EC48C8">
        <w:trPr>
          <w:trHeight w:val="375"/>
          <w:jc w:val="center"/>
        </w:trPr>
        <w:tc>
          <w:tcPr>
            <w:tcW w:w="1340" w:type="dxa"/>
            <w:tcBorders>
              <w:top w:val="nil"/>
              <w:left w:val="single" w:sz="4" w:space="0" w:color="auto"/>
              <w:bottom w:val="single" w:sz="4" w:space="0" w:color="auto"/>
              <w:right w:val="single" w:sz="4" w:space="0" w:color="auto"/>
            </w:tcBorders>
            <w:noWrap/>
            <w:vAlign w:val="bottom"/>
            <w:hideMark/>
          </w:tcPr>
          <w:p w14:paraId="48FF4B9D"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B</w:t>
            </w:r>
          </w:p>
        </w:tc>
        <w:tc>
          <w:tcPr>
            <w:tcW w:w="1060" w:type="dxa"/>
            <w:tcBorders>
              <w:top w:val="nil"/>
              <w:left w:val="nil"/>
              <w:bottom w:val="single" w:sz="4" w:space="0" w:color="auto"/>
              <w:right w:val="single" w:sz="4" w:space="0" w:color="auto"/>
            </w:tcBorders>
            <w:noWrap/>
            <w:vAlign w:val="bottom"/>
            <w:hideMark/>
          </w:tcPr>
          <w:p w14:paraId="0504AE6A"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2.38 </w:t>
            </w:r>
          </w:p>
        </w:tc>
        <w:tc>
          <w:tcPr>
            <w:tcW w:w="1060" w:type="dxa"/>
            <w:tcBorders>
              <w:top w:val="nil"/>
              <w:left w:val="nil"/>
              <w:bottom w:val="single" w:sz="4" w:space="0" w:color="auto"/>
              <w:right w:val="single" w:sz="4" w:space="0" w:color="auto"/>
            </w:tcBorders>
            <w:noWrap/>
            <w:vAlign w:val="bottom"/>
            <w:hideMark/>
          </w:tcPr>
          <w:p w14:paraId="1FA3CCF6"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22%</w:t>
            </w:r>
          </w:p>
        </w:tc>
        <w:tc>
          <w:tcPr>
            <w:tcW w:w="1060" w:type="dxa"/>
            <w:tcBorders>
              <w:top w:val="nil"/>
              <w:left w:val="nil"/>
              <w:bottom w:val="single" w:sz="4" w:space="0" w:color="auto"/>
              <w:right w:val="single" w:sz="4" w:space="0" w:color="auto"/>
            </w:tcBorders>
            <w:noWrap/>
            <w:vAlign w:val="bottom"/>
            <w:hideMark/>
          </w:tcPr>
          <w:p w14:paraId="69FAB289"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29.61 </w:t>
            </w:r>
          </w:p>
        </w:tc>
        <w:tc>
          <w:tcPr>
            <w:tcW w:w="1200" w:type="dxa"/>
            <w:tcBorders>
              <w:top w:val="nil"/>
              <w:left w:val="nil"/>
              <w:bottom w:val="single" w:sz="4" w:space="0" w:color="auto"/>
              <w:right w:val="single" w:sz="4" w:space="0" w:color="auto"/>
            </w:tcBorders>
            <w:noWrap/>
            <w:vAlign w:val="bottom"/>
            <w:hideMark/>
          </w:tcPr>
          <w:p w14:paraId="51A02250"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31.19%</w:t>
            </w:r>
          </w:p>
        </w:tc>
        <w:tc>
          <w:tcPr>
            <w:tcW w:w="1200" w:type="dxa"/>
            <w:tcBorders>
              <w:top w:val="nil"/>
              <w:left w:val="nil"/>
              <w:bottom w:val="single" w:sz="4" w:space="0" w:color="auto"/>
              <w:right w:val="single" w:sz="4" w:space="0" w:color="auto"/>
            </w:tcBorders>
            <w:noWrap/>
            <w:vAlign w:val="bottom"/>
            <w:hideMark/>
          </w:tcPr>
          <w:p w14:paraId="07512A29"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1.59 </w:t>
            </w:r>
          </w:p>
        </w:tc>
      </w:tr>
      <w:tr w:rsidR="00EC48C8" w:rsidRPr="00EC48C8" w14:paraId="7203A3E5" w14:textId="77777777" w:rsidTr="00EC48C8">
        <w:trPr>
          <w:trHeight w:val="375"/>
          <w:jc w:val="center"/>
        </w:trPr>
        <w:tc>
          <w:tcPr>
            <w:tcW w:w="1340" w:type="dxa"/>
            <w:tcBorders>
              <w:top w:val="nil"/>
              <w:left w:val="single" w:sz="4" w:space="0" w:color="auto"/>
              <w:bottom w:val="single" w:sz="4" w:space="0" w:color="auto"/>
              <w:right w:val="single" w:sz="4" w:space="0" w:color="auto"/>
            </w:tcBorders>
            <w:noWrap/>
            <w:vAlign w:val="bottom"/>
            <w:hideMark/>
          </w:tcPr>
          <w:p w14:paraId="40464316"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C</w:t>
            </w:r>
          </w:p>
        </w:tc>
        <w:tc>
          <w:tcPr>
            <w:tcW w:w="1060" w:type="dxa"/>
            <w:tcBorders>
              <w:top w:val="nil"/>
              <w:left w:val="nil"/>
              <w:bottom w:val="single" w:sz="4" w:space="0" w:color="auto"/>
              <w:right w:val="single" w:sz="4" w:space="0" w:color="auto"/>
            </w:tcBorders>
            <w:noWrap/>
            <w:vAlign w:val="bottom"/>
            <w:hideMark/>
          </w:tcPr>
          <w:p w14:paraId="628875DC"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2.50 </w:t>
            </w:r>
          </w:p>
        </w:tc>
        <w:tc>
          <w:tcPr>
            <w:tcW w:w="1060" w:type="dxa"/>
            <w:tcBorders>
              <w:top w:val="nil"/>
              <w:left w:val="nil"/>
              <w:bottom w:val="single" w:sz="4" w:space="0" w:color="auto"/>
              <w:right w:val="single" w:sz="4" w:space="0" w:color="auto"/>
            </w:tcBorders>
            <w:noWrap/>
            <w:vAlign w:val="bottom"/>
            <w:hideMark/>
          </w:tcPr>
          <w:p w14:paraId="281E7514"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26%</w:t>
            </w:r>
          </w:p>
        </w:tc>
        <w:tc>
          <w:tcPr>
            <w:tcW w:w="1060" w:type="dxa"/>
            <w:tcBorders>
              <w:top w:val="nil"/>
              <w:left w:val="nil"/>
              <w:bottom w:val="single" w:sz="4" w:space="0" w:color="auto"/>
              <w:right w:val="single" w:sz="4" w:space="0" w:color="auto"/>
            </w:tcBorders>
            <w:noWrap/>
            <w:vAlign w:val="bottom"/>
            <w:hideMark/>
          </w:tcPr>
          <w:p w14:paraId="337E5948"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35.92 </w:t>
            </w:r>
          </w:p>
        </w:tc>
        <w:tc>
          <w:tcPr>
            <w:tcW w:w="1200" w:type="dxa"/>
            <w:tcBorders>
              <w:top w:val="nil"/>
              <w:left w:val="nil"/>
              <w:bottom w:val="single" w:sz="4" w:space="0" w:color="auto"/>
              <w:right w:val="single" w:sz="4" w:space="0" w:color="auto"/>
            </w:tcBorders>
            <w:noWrap/>
            <w:vAlign w:val="bottom"/>
            <w:hideMark/>
          </w:tcPr>
          <w:p w14:paraId="1133F0E8" w14:textId="77777777" w:rsidR="00EC48C8" w:rsidRPr="00EC48C8" w:rsidRDefault="00EC48C8" w:rsidP="00EC48C8">
            <w:pPr>
              <w:spacing w:before="0" w:after="0" w:line="240" w:lineRule="auto"/>
              <w:jc w:val="righ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33.12%</w:t>
            </w:r>
          </w:p>
        </w:tc>
        <w:tc>
          <w:tcPr>
            <w:tcW w:w="1200" w:type="dxa"/>
            <w:tcBorders>
              <w:top w:val="nil"/>
              <w:left w:val="nil"/>
              <w:bottom w:val="single" w:sz="4" w:space="0" w:color="auto"/>
              <w:right w:val="single" w:sz="4" w:space="0" w:color="auto"/>
            </w:tcBorders>
            <w:noWrap/>
            <w:vAlign w:val="bottom"/>
            <w:hideMark/>
          </w:tcPr>
          <w:p w14:paraId="10ADAE47" w14:textId="77777777" w:rsidR="00EC48C8" w:rsidRPr="00EC48C8" w:rsidRDefault="00EC48C8" w:rsidP="00EC48C8">
            <w:pPr>
              <w:spacing w:before="0" w:after="0" w:line="240" w:lineRule="auto"/>
              <w:jc w:val="left"/>
              <w:rPr>
                <w:rFonts w:ascii="Garamond" w:eastAsia="Times New Roman" w:hAnsi="Garamond" w:cs="Times New Roman"/>
                <w:color w:val="000000"/>
                <w:sz w:val="28"/>
                <w:szCs w:val="28"/>
                <w:lang w:eastAsia="en-GB"/>
              </w:rPr>
            </w:pPr>
            <w:r w:rsidRPr="00EC48C8">
              <w:rPr>
                <w:rFonts w:ascii="Garamond" w:eastAsia="Times New Roman" w:hAnsi="Garamond" w:cs="Times New Roman"/>
                <w:color w:val="000000"/>
                <w:sz w:val="28"/>
                <w:szCs w:val="28"/>
                <w:lang w:eastAsia="en-GB"/>
              </w:rPr>
              <w:t xml:space="preserve">       1.72 </w:t>
            </w:r>
          </w:p>
        </w:tc>
      </w:tr>
    </w:tbl>
    <w:p w14:paraId="31F69C9A" w14:textId="4C930684" w:rsidR="009278FE" w:rsidRDefault="00042A44" w:rsidP="00042A44">
      <w:pPr>
        <w:pStyle w:val="Caption"/>
        <w:jc w:val="center"/>
      </w:pPr>
      <w:bookmarkStart w:id="36" w:name="_Toc224494916"/>
      <w:r>
        <w:t xml:space="preserve">Table </w:t>
      </w:r>
      <w:r>
        <w:fldChar w:fldCharType="begin"/>
      </w:r>
      <w:r>
        <w:instrText xml:space="preserve"> SEQ Table \* ARABIC </w:instrText>
      </w:r>
      <w:r>
        <w:fldChar w:fldCharType="separate"/>
      </w:r>
      <w:r w:rsidR="00F6185C">
        <w:rPr>
          <w:noProof/>
        </w:rPr>
        <w:t>3</w:t>
      </w:r>
      <w:r>
        <w:fldChar w:fldCharType="end"/>
      </w:r>
      <w:r>
        <w:t>: Capital Budgeting Summary (Source - Author)</w:t>
      </w:r>
      <w:bookmarkEnd w:id="36"/>
    </w:p>
    <w:tbl>
      <w:tblPr>
        <w:tblStyle w:val="GridTable3-Accent6"/>
        <w:tblW w:w="10473" w:type="dxa"/>
        <w:tblLook w:val="04A0" w:firstRow="1" w:lastRow="0" w:firstColumn="1" w:lastColumn="0" w:noHBand="0" w:noVBand="1"/>
      </w:tblPr>
      <w:tblGrid>
        <w:gridCol w:w="3639"/>
        <w:gridCol w:w="1224"/>
        <w:gridCol w:w="1120"/>
        <w:gridCol w:w="1120"/>
        <w:gridCol w:w="1120"/>
        <w:gridCol w:w="1120"/>
        <w:gridCol w:w="1130"/>
      </w:tblGrid>
      <w:tr w:rsidR="00DD5FE7" w:rsidRPr="00DD5FE7" w14:paraId="23A96527" w14:textId="77777777" w:rsidTr="009714F0">
        <w:trPr>
          <w:cnfStyle w:val="100000000000" w:firstRow="1" w:lastRow="0" w:firstColumn="0" w:lastColumn="0" w:oddVBand="0" w:evenVBand="0" w:oddHBand="0" w:evenHBand="0" w:firstRowFirstColumn="0" w:firstRowLastColumn="0" w:lastRowFirstColumn="0" w:lastRowLastColumn="0"/>
          <w:trHeight w:val="583"/>
        </w:trPr>
        <w:tc>
          <w:tcPr>
            <w:cnfStyle w:val="001000000100" w:firstRow="0" w:lastRow="0" w:firstColumn="1" w:lastColumn="0" w:oddVBand="0" w:evenVBand="0" w:oddHBand="0" w:evenHBand="0" w:firstRowFirstColumn="1" w:firstRowLastColumn="0" w:lastRowFirstColumn="0" w:lastRowLastColumn="0"/>
            <w:tcW w:w="10473" w:type="dxa"/>
            <w:gridSpan w:val="7"/>
            <w:noWrap/>
            <w:hideMark/>
          </w:tcPr>
          <w:p w14:paraId="70811902" w14:textId="77777777" w:rsidR="00DD5FE7" w:rsidRPr="00DD5FE7" w:rsidRDefault="00DD5FE7" w:rsidP="00DD5FE7">
            <w:pPr>
              <w:jc w:val="center"/>
            </w:pPr>
            <w:r w:rsidRPr="00DD5FE7">
              <w:t>Project A</w:t>
            </w:r>
          </w:p>
        </w:tc>
      </w:tr>
      <w:tr w:rsidR="00DD5FE7" w:rsidRPr="00DD5FE7" w14:paraId="51AFDDFF" w14:textId="77777777" w:rsidTr="009714F0">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349A53B9" w14:textId="1E7E8684" w:rsidR="00DD5FE7" w:rsidRPr="00DD5FE7" w:rsidRDefault="00DD5FE7" w:rsidP="00DD5FE7">
            <w:pPr>
              <w:rPr>
                <w:b/>
                <w:bCs/>
              </w:rPr>
            </w:pPr>
            <w:r w:rsidRPr="00DD5FE7">
              <w:rPr>
                <w:b/>
                <w:bCs/>
              </w:rPr>
              <w:t>Item</w:t>
            </w:r>
            <w:r>
              <w:rPr>
                <w:b/>
                <w:bCs/>
              </w:rPr>
              <w:t>s</w:t>
            </w:r>
          </w:p>
        </w:tc>
        <w:tc>
          <w:tcPr>
            <w:tcW w:w="1224" w:type="dxa"/>
            <w:noWrap/>
            <w:hideMark/>
          </w:tcPr>
          <w:p w14:paraId="1F8AAFC8"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Year-0</w:t>
            </w:r>
          </w:p>
        </w:tc>
        <w:tc>
          <w:tcPr>
            <w:tcW w:w="1120" w:type="dxa"/>
            <w:noWrap/>
            <w:hideMark/>
          </w:tcPr>
          <w:p w14:paraId="268661C0"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Year-1</w:t>
            </w:r>
          </w:p>
        </w:tc>
        <w:tc>
          <w:tcPr>
            <w:tcW w:w="1120" w:type="dxa"/>
            <w:noWrap/>
            <w:hideMark/>
          </w:tcPr>
          <w:p w14:paraId="0C60D147"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Year-2</w:t>
            </w:r>
          </w:p>
        </w:tc>
        <w:tc>
          <w:tcPr>
            <w:tcW w:w="1120" w:type="dxa"/>
            <w:noWrap/>
            <w:hideMark/>
          </w:tcPr>
          <w:p w14:paraId="7949520D"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Year-3</w:t>
            </w:r>
          </w:p>
        </w:tc>
        <w:tc>
          <w:tcPr>
            <w:tcW w:w="1120" w:type="dxa"/>
            <w:noWrap/>
            <w:hideMark/>
          </w:tcPr>
          <w:p w14:paraId="0CDDC4F2"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Year-4</w:t>
            </w:r>
          </w:p>
        </w:tc>
        <w:tc>
          <w:tcPr>
            <w:tcW w:w="1130" w:type="dxa"/>
            <w:noWrap/>
            <w:hideMark/>
          </w:tcPr>
          <w:p w14:paraId="32D93415"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Year-5</w:t>
            </w:r>
          </w:p>
        </w:tc>
      </w:tr>
      <w:tr w:rsidR="00DD5FE7" w:rsidRPr="00DD5FE7" w14:paraId="66716305" w14:textId="77777777" w:rsidTr="009714F0">
        <w:trPr>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62E46DB4" w14:textId="77777777" w:rsidR="00DD5FE7" w:rsidRPr="00DD5FE7" w:rsidRDefault="00DD5FE7">
            <w:r w:rsidRPr="00DD5FE7">
              <w:t>Initial Investment</w:t>
            </w:r>
          </w:p>
        </w:tc>
        <w:tc>
          <w:tcPr>
            <w:tcW w:w="1224" w:type="dxa"/>
            <w:noWrap/>
            <w:hideMark/>
          </w:tcPr>
          <w:p w14:paraId="70518C12"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50.00 </w:t>
            </w:r>
          </w:p>
        </w:tc>
        <w:tc>
          <w:tcPr>
            <w:tcW w:w="1120" w:type="dxa"/>
            <w:noWrap/>
            <w:hideMark/>
          </w:tcPr>
          <w:p w14:paraId="03778E25"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c>
          <w:tcPr>
            <w:tcW w:w="1120" w:type="dxa"/>
            <w:noWrap/>
            <w:hideMark/>
          </w:tcPr>
          <w:p w14:paraId="1C94E1CF"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c>
          <w:tcPr>
            <w:tcW w:w="1120" w:type="dxa"/>
            <w:noWrap/>
            <w:hideMark/>
          </w:tcPr>
          <w:p w14:paraId="16A776CD"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c>
          <w:tcPr>
            <w:tcW w:w="1120" w:type="dxa"/>
            <w:noWrap/>
            <w:hideMark/>
          </w:tcPr>
          <w:p w14:paraId="31855D95"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c>
          <w:tcPr>
            <w:tcW w:w="1130" w:type="dxa"/>
            <w:noWrap/>
            <w:hideMark/>
          </w:tcPr>
          <w:p w14:paraId="6463DF10"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r>
      <w:tr w:rsidR="00DD5FE7" w:rsidRPr="00DD5FE7" w14:paraId="6D55601C" w14:textId="77777777" w:rsidTr="009714F0">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26F09A79" w14:textId="77777777" w:rsidR="00DD5FE7" w:rsidRPr="00DD5FE7" w:rsidRDefault="00DD5FE7">
            <w:r w:rsidRPr="00DD5FE7">
              <w:t>Net Cash Flows</w:t>
            </w:r>
          </w:p>
        </w:tc>
        <w:tc>
          <w:tcPr>
            <w:tcW w:w="1224" w:type="dxa"/>
            <w:noWrap/>
            <w:hideMark/>
          </w:tcPr>
          <w:p w14:paraId="7762DDC2"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c>
          <w:tcPr>
            <w:tcW w:w="1120" w:type="dxa"/>
            <w:noWrap/>
            <w:hideMark/>
          </w:tcPr>
          <w:p w14:paraId="26E25875"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10.00 </w:t>
            </w:r>
          </w:p>
        </w:tc>
        <w:tc>
          <w:tcPr>
            <w:tcW w:w="1120" w:type="dxa"/>
            <w:noWrap/>
            <w:hideMark/>
          </w:tcPr>
          <w:p w14:paraId="5468597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12.00 </w:t>
            </w:r>
          </w:p>
        </w:tc>
        <w:tc>
          <w:tcPr>
            <w:tcW w:w="1120" w:type="dxa"/>
            <w:noWrap/>
            <w:hideMark/>
          </w:tcPr>
          <w:p w14:paraId="423C353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14.00 </w:t>
            </w:r>
          </w:p>
        </w:tc>
        <w:tc>
          <w:tcPr>
            <w:tcW w:w="1120" w:type="dxa"/>
            <w:noWrap/>
            <w:hideMark/>
          </w:tcPr>
          <w:p w14:paraId="1AD17D48"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10.00 </w:t>
            </w:r>
          </w:p>
        </w:tc>
        <w:tc>
          <w:tcPr>
            <w:tcW w:w="1130" w:type="dxa"/>
            <w:noWrap/>
            <w:hideMark/>
          </w:tcPr>
          <w:p w14:paraId="71BFFCE2"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8.00 </w:t>
            </w:r>
          </w:p>
        </w:tc>
      </w:tr>
      <w:tr w:rsidR="00DD5FE7" w:rsidRPr="00DD5FE7" w14:paraId="29F0B643" w14:textId="77777777" w:rsidTr="009714F0">
        <w:trPr>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7F5515AB" w14:textId="77777777" w:rsidR="00DD5FE7" w:rsidRPr="00DD5FE7" w:rsidRDefault="00DD5FE7">
            <w:r w:rsidRPr="00DD5FE7">
              <w:t>Depreciation</w:t>
            </w:r>
          </w:p>
        </w:tc>
        <w:tc>
          <w:tcPr>
            <w:tcW w:w="1224" w:type="dxa"/>
            <w:noWrap/>
            <w:hideMark/>
          </w:tcPr>
          <w:p w14:paraId="7E2D38EE"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c>
          <w:tcPr>
            <w:tcW w:w="1120" w:type="dxa"/>
            <w:noWrap/>
            <w:hideMark/>
          </w:tcPr>
          <w:p w14:paraId="27EDED63"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10.00 </w:t>
            </w:r>
          </w:p>
        </w:tc>
        <w:tc>
          <w:tcPr>
            <w:tcW w:w="1120" w:type="dxa"/>
            <w:noWrap/>
            <w:hideMark/>
          </w:tcPr>
          <w:p w14:paraId="6DB8AA3B"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10.00 </w:t>
            </w:r>
          </w:p>
        </w:tc>
        <w:tc>
          <w:tcPr>
            <w:tcW w:w="1120" w:type="dxa"/>
            <w:noWrap/>
            <w:hideMark/>
          </w:tcPr>
          <w:p w14:paraId="60678D45"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10.00 </w:t>
            </w:r>
          </w:p>
        </w:tc>
        <w:tc>
          <w:tcPr>
            <w:tcW w:w="1120" w:type="dxa"/>
            <w:noWrap/>
            <w:hideMark/>
          </w:tcPr>
          <w:p w14:paraId="7FA3895F"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10.00 </w:t>
            </w:r>
          </w:p>
        </w:tc>
        <w:tc>
          <w:tcPr>
            <w:tcW w:w="1130" w:type="dxa"/>
            <w:noWrap/>
            <w:hideMark/>
          </w:tcPr>
          <w:p w14:paraId="3FDA04A3"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xml:space="preserve">     10.00 </w:t>
            </w:r>
          </w:p>
        </w:tc>
      </w:tr>
      <w:tr w:rsidR="00DD5FE7" w:rsidRPr="00DD5FE7" w14:paraId="0EE8C52C" w14:textId="77777777" w:rsidTr="009714F0">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128CE20A" w14:textId="77777777" w:rsidR="00DD5FE7" w:rsidRPr="00DD5FE7" w:rsidRDefault="00DD5FE7">
            <w:r w:rsidRPr="00DD5FE7">
              <w:t>Project Cash Flows</w:t>
            </w:r>
          </w:p>
        </w:tc>
        <w:tc>
          <w:tcPr>
            <w:tcW w:w="1224" w:type="dxa"/>
            <w:noWrap/>
            <w:hideMark/>
          </w:tcPr>
          <w:p w14:paraId="41C847DD"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(50.00)</w:t>
            </w:r>
          </w:p>
        </w:tc>
        <w:tc>
          <w:tcPr>
            <w:tcW w:w="1120" w:type="dxa"/>
            <w:noWrap/>
            <w:hideMark/>
          </w:tcPr>
          <w:p w14:paraId="3B79C5E6"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20.00 </w:t>
            </w:r>
          </w:p>
        </w:tc>
        <w:tc>
          <w:tcPr>
            <w:tcW w:w="1120" w:type="dxa"/>
            <w:noWrap/>
            <w:hideMark/>
          </w:tcPr>
          <w:p w14:paraId="49A9CF83"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22.00 </w:t>
            </w:r>
          </w:p>
        </w:tc>
        <w:tc>
          <w:tcPr>
            <w:tcW w:w="1120" w:type="dxa"/>
            <w:noWrap/>
            <w:hideMark/>
          </w:tcPr>
          <w:p w14:paraId="128AAEF5"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24.00 </w:t>
            </w:r>
          </w:p>
        </w:tc>
        <w:tc>
          <w:tcPr>
            <w:tcW w:w="1120" w:type="dxa"/>
            <w:noWrap/>
            <w:hideMark/>
          </w:tcPr>
          <w:p w14:paraId="6D66A2BA"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20.00 </w:t>
            </w:r>
          </w:p>
        </w:tc>
        <w:tc>
          <w:tcPr>
            <w:tcW w:w="1130" w:type="dxa"/>
            <w:noWrap/>
            <w:hideMark/>
          </w:tcPr>
          <w:p w14:paraId="157D9C7B"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xml:space="preserve">     18.00 </w:t>
            </w:r>
          </w:p>
        </w:tc>
      </w:tr>
      <w:tr w:rsidR="00DD5FE7" w:rsidRPr="00DD5FE7" w14:paraId="741C4C78" w14:textId="77777777" w:rsidTr="009714F0">
        <w:trPr>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12E0DC17" w14:textId="77777777" w:rsidR="00DD5FE7" w:rsidRPr="00DD5FE7" w:rsidRDefault="00DD5FE7">
            <w:r w:rsidRPr="00DD5FE7">
              <w:t>Discount Rate</w:t>
            </w:r>
          </w:p>
        </w:tc>
        <w:tc>
          <w:tcPr>
            <w:tcW w:w="1224" w:type="dxa"/>
            <w:noWrap/>
            <w:hideMark/>
          </w:tcPr>
          <w:p w14:paraId="57680D2F"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pPr>
            <w:r w:rsidRPr="00DD5FE7">
              <w:t>10%</w:t>
            </w:r>
          </w:p>
        </w:tc>
        <w:tc>
          <w:tcPr>
            <w:tcW w:w="1120" w:type="dxa"/>
            <w:noWrap/>
            <w:hideMark/>
          </w:tcPr>
          <w:p w14:paraId="4DCEB212"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0D9228E5"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3B379030"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5DA367B7"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30" w:type="dxa"/>
            <w:noWrap/>
            <w:hideMark/>
          </w:tcPr>
          <w:p w14:paraId="60CEAEFF"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r>
      <w:tr w:rsidR="00DD5FE7" w:rsidRPr="00DD5FE7" w14:paraId="714B9A31" w14:textId="77777777" w:rsidTr="009714F0">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7CAE7DA5" w14:textId="62B26537" w:rsidR="00DD5FE7" w:rsidRPr="00DD5FE7" w:rsidRDefault="00DD5FE7">
            <w:pPr>
              <w:rPr>
                <w:b/>
                <w:bCs/>
              </w:rPr>
            </w:pPr>
            <w:r w:rsidRPr="00DD5FE7">
              <w:rPr>
                <w:b/>
                <w:bCs/>
              </w:rPr>
              <w:t>Payback Period</w:t>
            </w:r>
          </w:p>
        </w:tc>
        <w:tc>
          <w:tcPr>
            <w:tcW w:w="1224" w:type="dxa"/>
            <w:noWrap/>
            <w:hideMark/>
          </w:tcPr>
          <w:p w14:paraId="4D170C1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 xml:space="preserve">       2.33 </w:t>
            </w:r>
          </w:p>
        </w:tc>
        <w:tc>
          <w:tcPr>
            <w:tcW w:w="1120" w:type="dxa"/>
            <w:noWrap/>
            <w:hideMark/>
          </w:tcPr>
          <w:p w14:paraId="0836BC06"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p>
        </w:tc>
        <w:tc>
          <w:tcPr>
            <w:tcW w:w="1120" w:type="dxa"/>
            <w:noWrap/>
            <w:hideMark/>
          </w:tcPr>
          <w:p w14:paraId="36D7EF79"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20" w:type="dxa"/>
            <w:noWrap/>
            <w:hideMark/>
          </w:tcPr>
          <w:p w14:paraId="150ABEC4"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20" w:type="dxa"/>
            <w:noWrap/>
            <w:hideMark/>
          </w:tcPr>
          <w:p w14:paraId="58451575"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30" w:type="dxa"/>
            <w:noWrap/>
            <w:hideMark/>
          </w:tcPr>
          <w:p w14:paraId="6D55027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r>
      <w:tr w:rsidR="00DD5FE7" w:rsidRPr="00DD5FE7" w14:paraId="7B4AB541" w14:textId="77777777" w:rsidTr="009714F0">
        <w:trPr>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7C672E6D" w14:textId="77777777" w:rsidR="00DD5FE7" w:rsidRPr="00DD5FE7" w:rsidRDefault="00DD5FE7">
            <w:pPr>
              <w:rPr>
                <w:b/>
                <w:bCs/>
              </w:rPr>
            </w:pPr>
            <w:r w:rsidRPr="00DD5FE7">
              <w:rPr>
                <w:b/>
                <w:bCs/>
              </w:rPr>
              <w:t>Accounting Rate of Return</w:t>
            </w:r>
          </w:p>
        </w:tc>
        <w:tc>
          <w:tcPr>
            <w:tcW w:w="1224" w:type="dxa"/>
            <w:noWrap/>
            <w:hideMark/>
          </w:tcPr>
          <w:p w14:paraId="1D6D09B4"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rPr>
                <w:b/>
                <w:bCs/>
              </w:rPr>
            </w:pPr>
            <w:r w:rsidRPr="00DD5FE7">
              <w:rPr>
                <w:b/>
                <w:bCs/>
              </w:rPr>
              <w:t>22%</w:t>
            </w:r>
          </w:p>
        </w:tc>
        <w:tc>
          <w:tcPr>
            <w:tcW w:w="1120" w:type="dxa"/>
            <w:noWrap/>
            <w:hideMark/>
          </w:tcPr>
          <w:p w14:paraId="7B1A0CD6"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rPr>
                <w:b/>
                <w:bCs/>
              </w:rPr>
            </w:pPr>
          </w:p>
        </w:tc>
        <w:tc>
          <w:tcPr>
            <w:tcW w:w="1120" w:type="dxa"/>
            <w:noWrap/>
            <w:hideMark/>
          </w:tcPr>
          <w:p w14:paraId="316B74C4"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026B42F9"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67F4EDAC"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30" w:type="dxa"/>
            <w:noWrap/>
            <w:hideMark/>
          </w:tcPr>
          <w:p w14:paraId="3A4EC790"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r>
      <w:tr w:rsidR="00DD5FE7" w:rsidRPr="00DD5FE7" w14:paraId="678233AE" w14:textId="77777777" w:rsidTr="009714F0">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7C186590" w14:textId="77777777" w:rsidR="00DD5FE7" w:rsidRPr="00DD5FE7" w:rsidRDefault="00DD5FE7">
            <w:pPr>
              <w:rPr>
                <w:b/>
                <w:bCs/>
              </w:rPr>
            </w:pPr>
            <w:r w:rsidRPr="00DD5FE7">
              <w:rPr>
                <w:b/>
                <w:bCs/>
              </w:rPr>
              <w:t>Net Present value</w:t>
            </w:r>
          </w:p>
        </w:tc>
        <w:tc>
          <w:tcPr>
            <w:tcW w:w="1224" w:type="dxa"/>
            <w:noWrap/>
            <w:hideMark/>
          </w:tcPr>
          <w:p w14:paraId="4EFD3554"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 xml:space="preserve"> £ 29.23 </w:t>
            </w:r>
          </w:p>
        </w:tc>
        <w:tc>
          <w:tcPr>
            <w:tcW w:w="1120" w:type="dxa"/>
            <w:noWrap/>
            <w:hideMark/>
          </w:tcPr>
          <w:p w14:paraId="62F3C6A2"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p>
        </w:tc>
        <w:tc>
          <w:tcPr>
            <w:tcW w:w="1120" w:type="dxa"/>
            <w:noWrap/>
            <w:hideMark/>
          </w:tcPr>
          <w:p w14:paraId="3D181D0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20" w:type="dxa"/>
            <w:noWrap/>
            <w:hideMark/>
          </w:tcPr>
          <w:p w14:paraId="611D7545"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20" w:type="dxa"/>
            <w:noWrap/>
            <w:hideMark/>
          </w:tcPr>
          <w:p w14:paraId="4228C3F7"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p>
        </w:tc>
        <w:tc>
          <w:tcPr>
            <w:tcW w:w="1130" w:type="dxa"/>
            <w:noWrap/>
            <w:hideMark/>
          </w:tcPr>
          <w:p w14:paraId="30F2A3C9"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r>
      <w:tr w:rsidR="00DD5FE7" w:rsidRPr="00DD5FE7" w14:paraId="07E2E5E2" w14:textId="77777777" w:rsidTr="009714F0">
        <w:trPr>
          <w:trHeight w:val="324"/>
        </w:trPr>
        <w:tc>
          <w:tcPr>
            <w:cnfStyle w:val="001000000000" w:firstRow="0" w:lastRow="0" w:firstColumn="1" w:lastColumn="0" w:oddVBand="0" w:evenVBand="0" w:oddHBand="0" w:evenHBand="0" w:firstRowFirstColumn="0" w:firstRowLastColumn="0" w:lastRowFirstColumn="0" w:lastRowLastColumn="0"/>
            <w:tcW w:w="3639" w:type="dxa"/>
            <w:noWrap/>
            <w:hideMark/>
          </w:tcPr>
          <w:p w14:paraId="09057600" w14:textId="77777777" w:rsidR="00DD5FE7" w:rsidRPr="00DD5FE7" w:rsidRDefault="00DD5FE7">
            <w:pPr>
              <w:rPr>
                <w:b/>
                <w:bCs/>
              </w:rPr>
            </w:pPr>
            <w:r w:rsidRPr="00DD5FE7">
              <w:rPr>
                <w:b/>
                <w:bCs/>
              </w:rPr>
              <w:t>IRR</w:t>
            </w:r>
          </w:p>
        </w:tc>
        <w:tc>
          <w:tcPr>
            <w:tcW w:w="1224" w:type="dxa"/>
            <w:noWrap/>
            <w:hideMark/>
          </w:tcPr>
          <w:p w14:paraId="318CA509"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rPr>
                <w:b/>
                <w:bCs/>
              </w:rPr>
            </w:pPr>
            <w:r w:rsidRPr="00DD5FE7">
              <w:rPr>
                <w:b/>
                <w:bCs/>
              </w:rPr>
              <w:t>31.23%</w:t>
            </w:r>
          </w:p>
        </w:tc>
        <w:tc>
          <w:tcPr>
            <w:tcW w:w="1120" w:type="dxa"/>
            <w:noWrap/>
            <w:hideMark/>
          </w:tcPr>
          <w:p w14:paraId="7BA4053C" w14:textId="77777777" w:rsidR="00DD5FE7" w:rsidRPr="00DD5FE7" w:rsidRDefault="00DD5FE7" w:rsidP="00DD5FE7">
            <w:pPr>
              <w:cnfStyle w:val="000000000000" w:firstRow="0" w:lastRow="0" w:firstColumn="0" w:lastColumn="0" w:oddVBand="0" w:evenVBand="0" w:oddHBand="0" w:evenHBand="0" w:firstRowFirstColumn="0" w:firstRowLastColumn="0" w:lastRowFirstColumn="0" w:lastRowLastColumn="0"/>
              <w:rPr>
                <w:b/>
                <w:bCs/>
              </w:rPr>
            </w:pPr>
          </w:p>
        </w:tc>
        <w:tc>
          <w:tcPr>
            <w:tcW w:w="1120" w:type="dxa"/>
            <w:noWrap/>
            <w:hideMark/>
          </w:tcPr>
          <w:p w14:paraId="5E69CD20"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1BEF280F"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20" w:type="dxa"/>
            <w:noWrap/>
            <w:hideMark/>
          </w:tcPr>
          <w:p w14:paraId="40E07C59"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p>
        </w:tc>
        <w:tc>
          <w:tcPr>
            <w:tcW w:w="1130" w:type="dxa"/>
            <w:noWrap/>
            <w:hideMark/>
          </w:tcPr>
          <w:p w14:paraId="7F0F454F" w14:textId="77777777" w:rsidR="00DD5FE7" w:rsidRPr="00DD5FE7" w:rsidRDefault="00DD5FE7">
            <w:pPr>
              <w:cnfStyle w:val="000000000000" w:firstRow="0" w:lastRow="0" w:firstColumn="0" w:lastColumn="0" w:oddVBand="0" w:evenVBand="0" w:oddHBand="0" w:evenHBand="0" w:firstRowFirstColumn="0" w:firstRowLastColumn="0" w:lastRowFirstColumn="0" w:lastRowLastColumn="0"/>
            </w:pPr>
            <w:r w:rsidRPr="00DD5FE7">
              <w:t> </w:t>
            </w:r>
          </w:p>
        </w:tc>
      </w:tr>
      <w:tr w:rsidR="00DD5FE7" w:rsidRPr="00DD5FE7" w14:paraId="648FFF66" w14:textId="77777777" w:rsidTr="009714F0">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39" w:type="dxa"/>
            <w:noWrap/>
            <w:hideMark/>
          </w:tcPr>
          <w:p w14:paraId="2699BE15" w14:textId="77777777" w:rsidR="00DD5FE7" w:rsidRPr="00DD5FE7" w:rsidRDefault="00DD5FE7">
            <w:pPr>
              <w:rPr>
                <w:b/>
                <w:bCs/>
              </w:rPr>
            </w:pPr>
            <w:r w:rsidRPr="00DD5FE7">
              <w:rPr>
                <w:b/>
                <w:bCs/>
              </w:rPr>
              <w:t>Profitability Index</w:t>
            </w:r>
          </w:p>
        </w:tc>
        <w:tc>
          <w:tcPr>
            <w:tcW w:w="1224" w:type="dxa"/>
            <w:noWrap/>
            <w:hideMark/>
          </w:tcPr>
          <w:p w14:paraId="731E0132"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rPr>
                <w:b/>
                <w:bCs/>
              </w:rPr>
            </w:pPr>
            <w:r w:rsidRPr="00DD5FE7">
              <w:rPr>
                <w:b/>
                <w:bCs/>
              </w:rPr>
              <w:t xml:space="preserve">       1.58 </w:t>
            </w:r>
          </w:p>
        </w:tc>
        <w:tc>
          <w:tcPr>
            <w:tcW w:w="1120" w:type="dxa"/>
            <w:noWrap/>
            <w:hideMark/>
          </w:tcPr>
          <w:p w14:paraId="6120C5A3"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c>
          <w:tcPr>
            <w:tcW w:w="1120" w:type="dxa"/>
            <w:noWrap/>
            <w:hideMark/>
          </w:tcPr>
          <w:p w14:paraId="414ADC66"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c>
          <w:tcPr>
            <w:tcW w:w="1120" w:type="dxa"/>
            <w:noWrap/>
            <w:hideMark/>
          </w:tcPr>
          <w:p w14:paraId="6FF61B41"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c>
          <w:tcPr>
            <w:tcW w:w="1120" w:type="dxa"/>
            <w:noWrap/>
            <w:hideMark/>
          </w:tcPr>
          <w:p w14:paraId="4F808386"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c>
          <w:tcPr>
            <w:tcW w:w="1130" w:type="dxa"/>
            <w:noWrap/>
            <w:hideMark/>
          </w:tcPr>
          <w:p w14:paraId="10428FB6" w14:textId="77777777" w:rsidR="00DD5FE7" w:rsidRPr="00DD5FE7" w:rsidRDefault="00DD5FE7">
            <w:pPr>
              <w:cnfStyle w:val="000000100000" w:firstRow="0" w:lastRow="0" w:firstColumn="0" w:lastColumn="0" w:oddVBand="0" w:evenVBand="0" w:oddHBand="1" w:evenHBand="0" w:firstRowFirstColumn="0" w:firstRowLastColumn="0" w:lastRowFirstColumn="0" w:lastRowLastColumn="0"/>
            </w:pPr>
            <w:r w:rsidRPr="00DD5FE7">
              <w:t> </w:t>
            </w:r>
          </w:p>
        </w:tc>
      </w:tr>
    </w:tbl>
    <w:p w14:paraId="596E6E54" w14:textId="660F7EE5" w:rsidR="00DD5FE7" w:rsidRDefault="00DD5FE7" w:rsidP="00DD5FE7">
      <w:pPr>
        <w:pStyle w:val="Caption"/>
        <w:jc w:val="center"/>
      </w:pPr>
      <w:bookmarkStart w:id="37" w:name="_Toc224494917"/>
      <w:r>
        <w:t xml:space="preserve">Table </w:t>
      </w:r>
      <w:r>
        <w:fldChar w:fldCharType="begin"/>
      </w:r>
      <w:r>
        <w:instrText xml:space="preserve"> SEQ Table \* ARABIC </w:instrText>
      </w:r>
      <w:r>
        <w:fldChar w:fldCharType="separate"/>
      </w:r>
      <w:r w:rsidR="00F6185C">
        <w:rPr>
          <w:noProof/>
        </w:rPr>
        <w:t>4</w:t>
      </w:r>
      <w:r>
        <w:fldChar w:fldCharType="end"/>
      </w:r>
      <w:r>
        <w:t>: Investment Appraisal of Project A (Source- Author)</w:t>
      </w:r>
      <w:bookmarkEnd w:id="37"/>
    </w:p>
    <w:p w14:paraId="6A275208" w14:textId="77777777" w:rsidR="00F81004" w:rsidRDefault="00F81004" w:rsidP="00F81004"/>
    <w:p w14:paraId="2DF71AB8" w14:textId="4D484FB9" w:rsidR="00F81004" w:rsidRDefault="00F81004" w:rsidP="00F81004">
      <w:r>
        <w:lastRenderedPageBreak/>
        <w:t xml:space="preserve">Calculations – </w:t>
      </w:r>
    </w:p>
    <w:p w14:paraId="41C4A232" w14:textId="68929C66" w:rsidR="00F81004" w:rsidRDefault="00F81004" w:rsidP="00F81004">
      <w:r w:rsidRPr="00F81004">
        <w:rPr>
          <w:i/>
          <w:iCs/>
        </w:rPr>
        <w:t>Payback Period</w:t>
      </w:r>
      <w:r>
        <w:t xml:space="preserve"> = 2 + ((50 – 42)/24) = 2.33 years</w:t>
      </w:r>
    </w:p>
    <w:p w14:paraId="607F190C" w14:textId="4CCC3D1E" w:rsidR="00F81004" w:rsidRDefault="00F81004" w:rsidP="00F81004">
      <w:r w:rsidRPr="00F81004">
        <w:rPr>
          <w:i/>
          <w:iCs/>
        </w:rPr>
        <w:t>Accounting Rate of Return</w:t>
      </w:r>
      <w:r>
        <w:t xml:space="preserve"> = ((10+12+14+10+8) / 5) / 50 = 22%</w:t>
      </w:r>
    </w:p>
    <w:p w14:paraId="1ABAAC86" w14:textId="777AA3C9" w:rsidR="00F81004" w:rsidRDefault="00F81004" w:rsidP="00F81004">
      <w:r w:rsidRPr="00F81004">
        <w:rPr>
          <w:i/>
          <w:iCs/>
        </w:rPr>
        <w:t>Net Present value</w:t>
      </w:r>
      <w:r>
        <w:t xml:space="preserve"> = (</w:t>
      </w:r>
      <w:r w:rsidRPr="00F81004">
        <w:t xml:space="preserve">20.00 </w:t>
      </w:r>
      <w:r>
        <w:t>/ (1+0.10)</w:t>
      </w:r>
      <w:r w:rsidRPr="00F81004">
        <w:t xml:space="preserve"> </w:t>
      </w:r>
      <w:r>
        <w:t>^1) + (</w:t>
      </w:r>
      <w:r w:rsidRPr="00F81004">
        <w:t xml:space="preserve">22.00 </w:t>
      </w:r>
      <w:r>
        <w:t>/ (1+0.10)</w:t>
      </w:r>
      <w:r w:rsidRPr="00F81004">
        <w:t xml:space="preserve"> </w:t>
      </w:r>
      <w:r>
        <w:t>^2)</w:t>
      </w:r>
      <w:r w:rsidRPr="00F81004">
        <w:t xml:space="preserve"> </w:t>
      </w:r>
      <w:r>
        <w:t>+ (</w:t>
      </w:r>
      <w:r w:rsidRPr="00F81004">
        <w:t xml:space="preserve">24.00 </w:t>
      </w:r>
      <w:r>
        <w:t>/ (1+0.10)</w:t>
      </w:r>
      <w:r w:rsidRPr="00F81004">
        <w:t xml:space="preserve"> </w:t>
      </w:r>
      <w:r>
        <w:t>^3)</w:t>
      </w:r>
      <w:r w:rsidRPr="00F81004">
        <w:t xml:space="preserve"> </w:t>
      </w:r>
      <w:r>
        <w:t>+ (</w:t>
      </w:r>
      <w:r w:rsidRPr="00F81004">
        <w:t xml:space="preserve">20.00 </w:t>
      </w:r>
      <w:r>
        <w:t>/ (1+0.10)</w:t>
      </w:r>
      <w:r w:rsidRPr="00F81004">
        <w:t xml:space="preserve"> </w:t>
      </w:r>
      <w:r>
        <w:t>^4)</w:t>
      </w:r>
      <w:r w:rsidRPr="00F81004">
        <w:t xml:space="preserve"> </w:t>
      </w:r>
      <w:r>
        <w:t>+ (</w:t>
      </w:r>
      <w:r w:rsidRPr="00F81004">
        <w:t xml:space="preserve">18.00 </w:t>
      </w:r>
      <w:r>
        <w:t>/ (1+0.</w:t>
      </w:r>
      <w:proofErr w:type="gramStart"/>
      <w:r>
        <w:t>10)^</w:t>
      </w:r>
      <w:proofErr w:type="gramEnd"/>
      <w:r>
        <w:t>5) – 50 = 29.23</w:t>
      </w:r>
    </w:p>
    <w:p w14:paraId="6AC5D8A3" w14:textId="16ED87C9" w:rsidR="00F81004" w:rsidRDefault="00F81004" w:rsidP="00F81004">
      <w:r>
        <w:t>NPV at 32% = - 0.71</w:t>
      </w:r>
    </w:p>
    <w:p w14:paraId="6C48F431" w14:textId="0967E754" w:rsidR="00F81004" w:rsidRDefault="00F81004" w:rsidP="00F81004">
      <w:r w:rsidRPr="00D324EB">
        <w:rPr>
          <w:i/>
          <w:iCs/>
        </w:rPr>
        <w:t>IRR</w:t>
      </w:r>
      <w:r>
        <w:t xml:space="preserve"> = 0.10 + (29.23 / (29.23 – (-0.71))) (0.32-0.10) = 31.23%</w:t>
      </w:r>
    </w:p>
    <w:p w14:paraId="1E9A026D" w14:textId="61807F1A" w:rsidR="00F81004" w:rsidRDefault="00F81004" w:rsidP="00F81004">
      <w:r w:rsidRPr="00D324EB">
        <w:rPr>
          <w:i/>
          <w:iCs/>
        </w:rPr>
        <w:t>Profitability Index</w:t>
      </w:r>
      <w:r>
        <w:t xml:space="preserve"> = [(</w:t>
      </w:r>
      <w:r w:rsidRPr="00F81004">
        <w:t xml:space="preserve">20.00 </w:t>
      </w:r>
      <w:r>
        <w:t>/ (1+0.10)</w:t>
      </w:r>
      <w:r w:rsidRPr="00F81004">
        <w:t xml:space="preserve"> </w:t>
      </w:r>
      <w:r>
        <w:t>^1) + (</w:t>
      </w:r>
      <w:r w:rsidRPr="00F81004">
        <w:t xml:space="preserve">22.00 </w:t>
      </w:r>
      <w:r>
        <w:t>/ (1+0.10)</w:t>
      </w:r>
      <w:r w:rsidRPr="00F81004">
        <w:t xml:space="preserve"> </w:t>
      </w:r>
      <w:r>
        <w:t>^2)</w:t>
      </w:r>
      <w:r w:rsidRPr="00F81004">
        <w:t xml:space="preserve"> </w:t>
      </w:r>
      <w:r>
        <w:t>+ (</w:t>
      </w:r>
      <w:r w:rsidRPr="00F81004">
        <w:t xml:space="preserve">24.00 </w:t>
      </w:r>
      <w:r>
        <w:t>/ (1+0.10)</w:t>
      </w:r>
      <w:r w:rsidRPr="00F81004">
        <w:t xml:space="preserve"> </w:t>
      </w:r>
      <w:r>
        <w:t>^3)</w:t>
      </w:r>
      <w:r w:rsidRPr="00F81004">
        <w:t xml:space="preserve"> </w:t>
      </w:r>
      <w:r>
        <w:t>+ (</w:t>
      </w:r>
      <w:r w:rsidRPr="00F81004">
        <w:t xml:space="preserve">20.00 </w:t>
      </w:r>
      <w:r>
        <w:t>/ (1+0.10)</w:t>
      </w:r>
      <w:r w:rsidRPr="00F81004">
        <w:t xml:space="preserve"> </w:t>
      </w:r>
      <w:r>
        <w:t>^4)</w:t>
      </w:r>
      <w:r w:rsidRPr="00F81004">
        <w:t xml:space="preserve"> </w:t>
      </w:r>
      <w:r>
        <w:t>+ (</w:t>
      </w:r>
      <w:r w:rsidRPr="00F81004">
        <w:t xml:space="preserve">18.00 </w:t>
      </w:r>
      <w:r>
        <w:t>/ (1+0.</w:t>
      </w:r>
      <w:proofErr w:type="gramStart"/>
      <w:r>
        <w:t>10)^</w:t>
      </w:r>
      <w:proofErr w:type="gramEnd"/>
      <w:r>
        <w:t>5)] / 50 = 1.58</w:t>
      </w:r>
    </w:p>
    <w:tbl>
      <w:tblPr>
        <w:tblStyle w:val="GridTable3-Accent2"/>
        <w:tblW w:w="10481" w:type="dxa"/>
        <w:tblLook w:val="04A0" w:firstRow="1" w:lastRow="0" w:firstColumn="1" w:lastColumn="0" w:noHBand="0" w:noVBand="1"/>
      </w:tblPr>
      <w:tblGrid>
        <w:gridCol w:w="3645"/>
        <w:gridCol w:w="1226"/>
        <w:gridCol w:w="1122"/>
        <w:gridCol w:w="1122"/>
        <w:gridCol w:w="1122"/>
        <w:gridCol w:w="1122"/>
        <w:gridCol w:w="1122"/>
      </w:tblGrid>
      <w:tr w:rsidR="00F6185C" w:rsidRPr="00F6185C" w14:paraId="4A3DA1D2" w14:textId="77777777" w:rsidTr="009714F0">
        <w:trPr>
          <w:cnfStyle w:val="100000000000" w:firstRow="1" w:lastRow="0" w:firstColumn="0" w:lastColumn="0" w:oddVBand="0" w:evenVBand="0" w:oddHBand="0" w:evenHBand="0" w:firstRowFirstColumn="0" w:firstRowLastColumn="0" w:lastRowFirstColumn="0" w:lastRowLastColumn="0"/>
          <w:trHeight w:val="629"/>
        </w:trPr>
        <w:tc>
          <w:tcPr>
            <w:cnfStyle w:val="001000000100" w:firstRow="0" w:lastRow="0" w:firstColumn="1" w:lastColumn="0" w:oddVBand="0" w:evenVBand="0" w:oddHBand="0" w:evenHBand="0" w:firstRowFirstColumn="1" w:firstRowLastColumn="0" w:lastRowFirstColumn="0" w:lastRowLastColumn="0"/>
            <w:tcW w:w="10481" w:type="dxa"/>
            <w:gridSpan w:val="7"/>
            <w:noWrap/>
            <w:hideMark/>
          </w:tcPr>
          <w:p w14:paraId="087D4E9D" w14:textId="77777777" w:rsidR="00F6185C" w:rsidRPr="00F6185C" w:rsidRDefault="00F6185C" w:rsidP="00F6185C">
            <w:pPr>
              <w:jc w:val="center"/>
            </w:pPr>
            <w:r w:rsidRPr="00F6185C">
              <w:t>Project B</w:t>
            </w:r>
          </w:p>
        </w:tc>
      </w:tr>
      <w:tr w:rsidR="00F6185C" w:rsidRPr="00F6185C" w14:paraId="2DB0617B" w14:textId="77777777" w:rsidTr="009714F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3975C563" w14:textId="77777777" w:rsidR="00F6185C" w:rsidRPr="00F6185C" w:rsidRDefault="00F6185C" w:rsidP="00F6185C">
            <w:r w:rsidRPr="00F6185C">
              <w:t>Item</w:t>
            </w:r>
          </w:p>
        </w:tc>
        <w:tc>
          <w:tcPr>
            <w:tcW w:w="1226" w:type="dxa"/>
            <w:noWrap/>
            <w:hideMark/>
          </w:tcPr>
          <w:p w14:paraId="76224778"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Year-0</w:t>
            </w:r>
          </w:p>
        </w:tc>
        <w:tc>
          <w:tcPr>
            <w:tcW w:w="1122" w:type="dxa"/>
            <w:noWrap/>
            <w:hideMark/>
          </w:tcPr>
          <w:p w14:paraId="1C1CC50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Year-1</w:t>
            </w:r>
          </w:p>
        </w:tc>
        <w:tc>
          <w:tcPr>
            <w:tcW w:w="1122" w:type="dxa"/>
            <w:noWrap/>
            <w:hideMark/>
          </w:tcPr>
          <w:p w14:paraId="16BE54F6"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Year-2</w:t>
            </w:r>
          </w:p>
        </w:tc>
        <w:tc>
          <w:tcPr>
            <w:tcW w:w="1122" w:type="dxa"/>
            <w:noWrap/>
            <w:hideMark/>
          </w:tcPr>
          <w:p w14:paraId="1ECE318B"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Year-3</w:t>
            </w:r>
          </w:p>
        </w:tc>
        <w:tc>
          <w:tcPr>
            <w:tcW w:w="1122" w:type="dxa"/>
            <w:noWrap/>
            <w:hideMark/>
          </w:tcPr>
          <w:p w14:paraId="674F629B"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Year-4</w:t>
            </w:r>
          </w:p>
        </w:tc>
        <w:tc>
          <w:tcPr>
            <w:tcW w:w="1122" w:type="dxa"/>
            <w:noWrap/>
            <w:hideMark/>
          </w:tcPr>
          <w:p w14:paraId="6B86CE97"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Year-5</w:t>
            </w:r>
          </w:p>
        </w:tc>
      </w:tr>
      <w:tr w:rsidR="00F6185C" w:rsidRPr="00F6185C" w14:paraId="263E7402" w14:textId="77777777" w:rsidTr="009714F0">
        <w:trPr>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62987171" w14:textId="77777777" w:rsidR="00F6185C" w:rsidRPr="00F6185C" w:rsidRDefault="00F6185C">
            <w:r w:rsidRPr="00F6185C">
              <w:t>Initial Investment</w:t>
            </w:r>
          </w:p>
        </w:tc>
        <w:tc>
          <w:tcPr>
            <w:tcW w:w="1226" w:type="dxa"/>
            <w:noWrap/>
            <w:hideMark/>
          </w:tcPr>
          <w:p w14:paraId="0D44DA04"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50.00 </w:t>
            </w:r>
          </w:p>
        </w:tc>
        <w:tc>
          <w:tcPr>
            <w:tcW w:w="1122" w:type="dxa"/>
            <w:noWrap/>
            <w:hideMark/>
          </w:tcPr>
          <w:p w14:paraId="256C7664"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c>
          <w:tcPr>
            <w:tcW w:w="1122" w:type="dxa"/>
            <w:noWrap/>
            <w:hideMark/>
          </w:tcPr>
          <w:p w14:paraId="4D0690E0"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c>
          <w:tcPr>
            <w:tcW w:w="1122" w:type="dxa"/>
            <w:noWrap/>
            <w:hideMark/>
          </w:tcPr>
          <w:p w14:paraId="0FF0C435"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c>
          <w:tcPr>
            <w:tcW w:w="1122" w:type="dxa"/>
            <w:noWrap/>
            <w:hideMark/>
          </w:tcPr>
          <w:p w14:paraId="22A3EF23"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c>
          <w:tcPr>
            <w:tcW w:w="1122" w:type="dxa"/>
            <w:noWrap/>
            <w:hideMark/>
          </w:tcPr>
          <w:p w14:paraId="0619C8F1"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r>
      <w:tr w:rsidR="00F6185C" w:rsidRPr="00F6185C" w14:paraId="3D91A55F" w14:textId="77777777" w:rsidTr="009714F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44F53BE1" w14:textId="77777777" w:rsidR="00F6185C" w:rsidRPr="00F6185C" w:rsidRDefault="00F6185C">
            <w:r w:rsidRPr="00F6185C">
              <w:t>Net Cash Flows</w:t>
            </w:r>
          </w:p>
        </w:tc>
        <w:tc>
          <w:tcPr>
            <w:tcW w:w="1226" w:type="dxa"/>
            <w:noWrap/>
            <w:hideMark/>
          </w:tcPr>
          <w:p w14:paraId="0F0707B3"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c>
          <w:tcPr>
            <w:tcW w:w="1122" w:type="dxa"/>
            <w:noWrap/>
            <w:hideMark/>
          </w:tcPr>
          <w:p w14:paraId="1BBF1327"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11.00 </w:t>
            </w:r>
          </w:p>
        </w:tc>
        <w:tc>
          <w:tcPr>
            <w:tcW w:w="1122" w:type="dxa"/>
            <w:noWrap/>
            <w:hideMark/>
          </w:tcPr>
          <w:p w14:paraId="0C4E90B2"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11.00 </w:t>
            </w:r>
          </w:p>
        </w:tc>
        <w:tc>
          <w:tcPr>
            <w:tcW w:w="1122" w:type="dxa"/>
            <w:noWrap/>
            <w:hideMark/>
          </w:tcPr>
          <w:p w14:paraId="3D11A1C1"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11.00 </w:t>
            </w:r>
          </w:p>
        </w:tc>
        <w:tc>
          <w:tcPr>
            <w:tcW w:w="1122" w:type="dxa"/>
            <w:noWrap/>
            <w:hideMark/>
          </w:tcPr>
          <w:p w14:paraId="68773F94"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11.00 </w:t>
            </w:r>
          </w:p>
        </w:tc>
        <w:tc>
          <w:tcPr>
            <w:tcW w:w="1122" w:type="dxa"/>
            <w:noWrap/>
            <w:hideMark/>
          </w:tcPr>
          <w:p w14:paraId="41CF0222"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11.00 </w:t>
            </w:r>
          </w:p>
        </w:tc>
      </w:tr>
      <w:tr w:rsidR="00F6185C" w:rsidRPr="00F6185C" w14:paraId="39958F02" w14:textId="77777777" w:rsidTr="009714F0">
        <w:trPr>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1782113E" w14:textId="77777777" w:rsidR="00F6185C" w:rsidRPr="00F6185C" w:rsidRDefault="00F6185C">
            <w:r w:rsidRPr="00F6185C">
              <w:t>Depreciation</w:t>
            </w:r>
          </w:p>
        </w:tc>
        <w:tc>
          <w:tcPr>
            <w:tcW w:w="1226" w:type="dxa"/>
            <w:noWrap/>
            <w:hideMark/>
          </w:tcPr>
          <w:p w14:paraId="73DC484B"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c>
          <w:tcPr>
            <w:tcW w:w="1122" w:type="dxa"/>
            <w:noWrap/>
            <w:hideMark/>
          </w:tcPr>
          <w:p w14:paraId="64CE5E1A"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10.00 </w:t>
            </w:r>
          </w:p>
        </w:tc>
        <w:tc>
          <w:tcPr>
            <w:tcW w:w="1122" w:type="dxa"/>
            <w:noWrap/>
            <w:hideMark/>
          </w:tcPr>
          <w:p w14:paraId="5BFD0B32"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10.00 </w:t>
            </w:r>
          </w:p>
        </w:tc>
        <w:tc>
          <w:tcPr>
            <w:tcW w:w="1122" w:type="dxa"/>
            <w:noWrap/>
            <w:hideMark/>
          </w:tcPr>
          <w:p w14:paraId="15A371C1"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10.00 </w:t>
            </w:r>
          </w:p>
        </w:tc>
        <w:tc>
          <w:tcPr>
            <w:tcW w:w="1122" w:type="dxa"/>
            <w:noWrap/>
            <w:hideMark/>
          </w:tcPr>
          <w:p w14:paraId="3A4FC4DE"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10.00 </w:t>
            </w:r>
          </w:p>
        </w:tc>
        <w:tc>
          <w:tcPr>
            <w:tcW w:w="1122" w:type="dxa"/>
            <w:noWrap/>
            <w:hideMark/>
          </w:tcPr>
          <w:p w14:paraId="214044A1"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xml:space="preserve">     10.00 </w:t>
            </w:r>
          </w:p>
        </w:tc>
      </w:tr>
      <w:tr w:rsidR="00F6185C" w:rsidRPr="00F6185C" w14:paraId="6FC90FE8" w14:textId="77777777" w:rsidTr="009714F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399C143F" w14:textId="77777777" w:rsidR="00F6185C" w:rsidRPr="00F6185C" w:rsidRDefault="00F6185C">
            <w:r w:rsidRPr="00F6185C">
              <w:t>Project Cash Flows</w:t>
            </w:r>
          </w:p>
        </w:tc>
        <w:tc>
          <w:tcPr>
            <w:tcW w:w="1226" w:type="dxa"/>
            <w:noWrap/>
            <w:hideMark/>
          </w:tcPr>
          <w:p w14:paraId="33C18A88"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(50.00)</w:t>
            </w:r>
          </w:p>
        </w:tc>
        <w:tc>
          <w:tcPr>
            <w:tcW w:w="1122" w:type="dxa"/>
            <w:noWrap/>
            <w:hideMark/>
          </w:tcPr>
          <w:p w14:paraId="22EC4E7D"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21.00 </w:t>
            </w:r>
          </w:p>
        </w:tc>
        <w:tc>
          <w:tcPr>
            <w:tcW w:w="1122" w:type="dxa"/>
            <w:noWrap/>
            <w:hideMark/>
          </w:tcPr>
          <w:p w14:paraId="5E8BC509"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21.00 </w:t>
            </w:r>
          </w:p>
        </w:tc>
        <w:tc>
          <w:tcPr>
            <w:tcW w:w="1122" w:type="dxa"/>
            <w:noWrap/>
            <w:hideMark/>
          </w:tcPr>
          <w:p w14:paraId="3312C9E1"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21.00 </w:t>
            </w:r>
          </w:p>
        </w:tc>
        <w:tc>
          <w:tcPr>
            <w:tcW w:w="1122" w:type="dxa"/>
            <w:noWrap/>
            <w:hideMark/>
          </w:tcPr>
          <w:p w14:paraId="72D78DE2"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21.00 </w:t>
            </w:r>
          </w:p>
        </w:tc>
        <w:tc>
          <w:tcPr>
            <w:tcW w:w="1122" w:type="dxa"/>
            <w:noWrap/>
            <w:hideMark/>
          </w:tcPr>
          <w:p w14:paraId="526B0C7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xml:space="preserve">     21.00 </w:t>
            </w:r>
          </w:p>
        </w:tc>
      </w:tr>
      <w:tr w:rsidR="00F6185C" w:rsidRPr="00F6185C" w14:paraId="3FBF2F78" w14:textId="77777777" w:rsidTr="009714F0">
        <w:trPr>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0F7434B7" w14:textId="77777777" w:rsidR="00F6185C" w:rsidRPr="00F6185C" w:rsidRDefault="00F6185C">
            <w:r w:rsidRPr="00F6185C">
              <w:t>Discount Rate</w:t>
            </w:r>
          </w:p>
        </w:tc>
        <w:tc>
          <w:tcPr>
            <w:tcW w:w="1226" w:type="dxa"/>
            <w:noWrap/>
            <w:hideMark/>
          </w:tcPr>
          <w:p w14:paraId="781706A7"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pPr>
            <w:r w:rsidRPr="00F6185C">
              <w:t>10%</w:t>
            </w:r>
          </w:p>
        </w:tc>
        <w:tc>
          <w:tcPr>
            <w:tcW w:w="1122" w:type="dxa"/>
            <w:noWrap/>
            <w:hideMark/>
          </w:tcPr>
          <w:p w14:paraId="26671B06"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5C846D73"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5F67BE6D"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2A0139C9"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0C1293DD"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r>
      <w:tr w:rsidR="00F6185C" w:rsidRPr="00F6185C" w14:paraId="68FDB021" w14:textId="77777777" w:rsidTr="009714F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248CF28D" w14:textId="275A9A34" w:rsidR="00F6185C" w:rsidRPr="00F6185C" w:rsidRDefault="00F6185C">
            <w:pPr>
              <w:rPr>
                <w:b/>
                <w:bCs/>
              </w:rPr>
            </w:pPr>
            <w:r w:rsidRPr="00F6185C">
              <w:rPr>
                <w:b/>
                <w:bCs/>
              </w:rPr>
              <w:t>Payback Period</w:t>
            </w:r>
          </w:p>
        </w:tc>
        <w:tc>
          <w:tcPr>
            <w:tcW w:w="1226" w:type="dxa"/>
            <w:noWrap/>
            <w:hideMark/>
          </w:tcPr>
          <w:p w14:paraId="4E41CA89"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rPr>
                <w:b/>
                <w:bCs/>
              </w:rPr>
            </w:pPr>
            <w:r w:rsidRPr="00F6185C">
              <w:rPr>
                <w:b/>
                <w:bCs/>
              </w:rPr>
              <w:t xml:space="preserve">       2.38 </w:t>
            </w:r>
          </w:p>
        </w:tc>
        <w:tc>
          <w:tcPr>
            <w:tcW w:w="1122" w:type="dxa"/>
            <w:noWrap/>
            <w:hideMark/>
          </w:tcPr>
          <w:p w14:paraId="4D03D644"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rPr>
                <w:b/>
                <w:bCs/>
              </w:rPr>
            </w:pPr>
          </w:p>
        </w:tc>
        <w:tc>
          <w:tcPr>
            <w:tcW w:w="1122" w:type="dxa"/>
            <w:noWrap/>
            <w:hideMark/>
          </w:tcPr>
          <w:p w14:paraId="273FC925"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55144D22"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06DFF024"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580C3FF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r>
      <w:tr w:rsidR="00F6185C" w:rsidRPr="00F6185C" w14:paraId="020F3758" w14:textId="77777777" w:rsidTr="009714F0">
        <w:trPr>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675AC8F0" w14:textId="77777777" w:rsidR="00F6185C" w:rsidRPr="00F6185C" w:rsidRDefault="00F6185C">
            <w:pPr>
              <w:rPr>
                <w:b/>
                <w:bCs/>
              </w:rPr>
            </w:pPr>
            <w:r w:rsidRPr="00F6185C">
              <w:rPr>
                <w:b/>
                <w:bCs/>
              </w:rPr>
              <w:t>Accounting Rate of Return</w:t>
            </w:r>
          </w:p>
        </w:tc>
        <w:tc>
          <w:tcPr>
            <w:tcW w:w="1226" w:type="dxa"/>
            <w:noWrap/>
            <w:hideMark/>
          </w:tcPr>
          <w:p w14:paraId="20DB8F0F"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rPr>
                <w:b/>
                <w:bCs/>
              </w:rPr>
            </w:pPr>
            <w:r w:rsidRPr="00F6185C">
              <w:rPr>
                <w:b/>
                <w:bCs/>
              </w:rPr>
              <w:t>22%</w:t>
            </w:r>
          </w:p>
        </w:tc>
        <w:tc>
          <w:tcPr>
            <w:tcW w:w="1122" w:type="dxa"/>
            <w:noWrap/>
            <w:hideMark/>
          </w:tcPr>
          <w:p w14:paraId="220BED32"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rPr>
                <w:b/>
                <w:bCs/>
              </w:rPr>
            </w:pPr>
          </w:p>
        </w:tc>
        <w:tc>
          <w:tcPr>
            <w:tcW w:w="1122" w:type="dxa"/>
            <w:noWrap/>
            <w:hideMark/>
          </w:tcPr>
          <w:p w14:paraId="3E975A3A"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4F6D2C59"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2A4B44E6"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249EFAFB"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r>
      <w:tr w:rsidR="00F6185C" w:rsidRPr="00F6185C" w14:paraId="19592531" w14:textId="77777777" w:rsidTr="009714F0">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1CCADB60" w14:textId="77777777" w:rsidR="00F6185C" w:rsidRPr="00F6185C" w:rsidRDefault="00F6185C">
            <w:pPr>
              <w:rPr>
                <w:b/>
                <w:bCs/>
              </w:rPr>
            </w:pPr>
            <w:r w:rsidRPr="00F6185C">
              <w:rPr>
                <w:b/>
                <w:bCs/>
              </w:rPr>
              <w:t>Net Present value</w:t>
            </w:r>
          </w:p>
        </w:tc>
        <w:tc>
          <w:tcPr>
            <w:tcW w:w="1226" w:type="dxa"/>
            <w:noWrap/>
            <w:hideMark/>
          </w:tcPr>
          <w:p w14:paraId="2D4EB264" w14:textId="2FA1EEF4" w:rsidR="00F6185C" w:rsidRPr="00F6185C" w:rsidRDefault="00F6185C">
            <w:pPr>
              <w:cnfStyle w:val="000000100000" w:firstRow="0" w:lastRow="0" w:firstColumn="0" w:lastColumn="0" w:oddVBand="0" w:evenVBand="0" w:oddHBand="1" w:evenHBand="0" w:firstRowFirstColumn="0" w:firstRowLastColumn="0" w:lastRowFirstColumn="0" w:lastRowLastColumn="0"/>
              <w:rPr>
                <w:b/>
                <w:bCs/>
              </w:rPr>
            </w:pPr>
            <w:r w:rsidRPr="00F6185C">
              <w:rPr>
                <w:b/>
                <w:bCs/>
              </w:rPr>
              <w:t xml:space="preserve"> £ 29.61 </w:t>
            </w:r>
          </w:p>
        </w:tc>
        <w:tc>
          <w:tcPr>
            <w:tcW w:w="1122" w:type="dxa"/>
            <w:noWrap/>
            <w:hideMark/>
          </w:tcPr>
          <w:p w14:paraId="3F1E7FDE"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rPr>
                <w:b/>
                <w:bCs/>
              </w:rPr>
            </w:pPr>
          </w:p>
        </w:tc>
        <w:tc>
          <w:tcPr>
            <w:tcW w:w="1122" w:type="dxa"/>
            <w:noWrap/>
            <w:hideMark/>
          </w:tcPr>
          <w:p w14:paraId="101C43D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27624613"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002713A2"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p>
        </w:tc>
        <w:tc>
          <w:tcPr>
            <w:tcW w:w="1122" w:type="dxa"/>
            <w:noWrap/>
            <w:hideMark/>
          </w:tcPr>
          <w:p w14:paraId="7628E153"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r>
      <w:tr w:rsidR="00F6185C" w:rsidRPr="00F6185C" w14:paraId="59D48C55" w14:textId="77777777" w:rsidTr="009714F0">
        <w:trPr>
          <w:trHeight w:val="349"/>
        </w:trPr>
        <w:tc>
          <w:tcPr>
            <w:cnfStyle w:val="001000000000" w:firstRow="0" w:lastRow="0" w:firstColumn="1" w:lastColumn="0" w:oddVBand="0" w:evenVBand="0" w:oddHBand="0" w:evenHBand="0" w:firstRowFirstColumn="0" w:firstRowLastColumn="0" w:lastRowFirstColumn="0" w:lastRowLastColumn="0"/>
            <w:tcW w:w="3645" w:type="dxa"/>
            <w:noWrap/>
            <w:hideMark/>
          </w:tcPr>
          <w:p w14:paraId="0BF48A37" w14:textId="77777777" w:rsidR="00F6185C" w:rsidRPr="00F6185C" w:rsidRDefault="00F6185C">
            <w:pPr>
              <w:rPr>
                <w:b/>
                <w:bCs/>
              </w:rPr>
            </w:pPr>
            <w:r w:rsidRPr="00F6185C">
              <w:rPr>
                <w:b/>
                <w:bCs/>
              </w:rPr>
              <w:lastRenderedPageBreak/>
              <w:t>IRR</w:t>
            </w:r>
          </w:p>
        </w:tc>
        <w:tc>
          <w:tcPr>
            <w:tcW w:w="1226" w:type="dxa"/>
            <w:noWrap/>
            <w:hideMark/>
          </w:tcPr>
          <w:p w14:paraId="3F672969"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rPr>
                <w:b/>
                <w:bCs/>
              </w:rPr>
            </w:pPr>
            <w:r w:rsidRPr="00F6185C">
              <w:rPr>
                <w:b/>
                <w:bCs/>
              </w:rPr>
              <w:t>31.19%</w:t>
            </w:r>
          </w:p>
        </w:tc>
        <w:tc>
          <w:tcPr>
            <w:tcW w:w="1122" w:type="dxa"/>
            <w:noWrap/>
            <w:hideMark/>
          </w:tcPr>
          <w:p w14:paraId="73AC7B48" w14:textId="77777777" w:rsidR="00F6185C" w:rsidRPr="00F6185C" w:rsidRDefault="00F6185C" w:rsidP="00F6185C">
            <w:pPr>
              <w:cnfStyle w:val="000000000000" w:firstRow="0" w:lastRow="0" w:firstColumn="0" w:lastColumn="0" w:oddVBand="0" w:evenVBand="0" w:oddHBand="0" w:evenHBand="0" w:firstRowFirstColumn="0" w:firstRowLastColumn="0" w:lastRowFirstColumn="0" w:lastRowLastColumn="0"/>
              <w:rPr>
                <w:b/>
                <w:bCs/>
              </w:rPr>
            </w:pPr>
          </w:p>
        </w:tc>
        <w:tc>
          <w:tcPr>
            <w:tcW w:w="1122" w:type="dxa"/>
            <w:noWrap/>
            <w:hideMark/>
          </w:tcPr>
          <w:p w14:paraId="3B0266B4"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662AD072"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138B8314"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p>
        </w:tc>
        <w:tc>
          <w:tcPr>
            <w:tcW w:w="1122" w:type="dxa"/>
            <w:noWrap/>
            <w:hideMark/>
          </w:tcPr>
          <w:p w14:paraId="6A304BB0" w14:textId="77777777" w:rsidR="00F6185C" w:rsidRPr="00F6185C" w:rsidRDefault="00F6185C">
            <w:pPr>
              <w:cnfStyle w:val="000000000000" w:firstRow="0" w:lastRow="0" w:firstColumn="0" w:lastColumn="0" w:oddVBand="0" w:evenVBand="0" w:oddHBand="0" w:evenHBand="0" w:firstRowFirstColumn="0" w:firstRowLastColumn="0" w:lastRowFirstColumn="0" w:lastRowLastColumn="0"/>
            </w:pPr>
            <w:r w:rsidRPr="00F6185C">
              <w:t> </w:t>
            </w:r>
          </w:p>
        </w:tc>
      </w:tr>
      <w:tr w:rsidR="00F6185C" w:rsidRPr="00F6185C" w14:paraId="1F7DAA8E" w14:textId="77777777" w:rsidTr="009714F0">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645" w:type="dxa"/>
            <w:noWrap/>
            <w:hideMark/>
          </w:tcPr>
          <w:p w14:paraId="4A187A36" w14:textId="77777777" w:rsidR="00F6185C" w:rsidRPr="00F6185C" w:rsidRDefault="00F6185C">
            <w:pPr>
              <w:rPr>
                <w:b/>
                <w:bCs/>
              </w:rPr>
            </w:pPr>
            <w:r w:rsidRPr="00F6185C">
              <w:rPr>
                <w:b/>
                <w:bCs/>
              </w:rPr>
              <w:t>Profitability Index</w:t>
            </w:r>
          </w:p>
        </w:tc>
        <w:tc>
          <w:tcPr>
            <w:tcW w:w="1226" w:type="dxa"/>
            <w:noWrap/>
            <w:hideMark/>
          </w:tcPr>
          <w:p w14:paraId="28154196"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rPr>
                <w:b/>
                <w:bCs/>
              </w:rPr>
            </w:pPr>
            <w:r w:rsidRPr="00F6185C">
              <w:rPr>
                <w:b/>
                <w:bCs/>
              </w:rPr>
              <w:t xml:space="preserve">       1.59 </w:t>
            </w:r>
          </w:p>
        </w:tc>
        <w:tc>
          <w:tcPr>
            <w:tcW w:w="1122" w:type="dxa"/>
            <w:noWrap/>
            <w:hideMark/>
          </w:tcPr>
          <w:p w14:paraId="5281D468"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c>
          <w:tcPr>
            <w:tcW w:w="1122" w:type="dxa"/>
            <w:noWrap/>
            <w:hideMark/>
          </w:tcPr>
          <w:p w14:paraId="59BE8D78"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c>
          <w:tcPr>
            <w:tcW w:w="1122" w:type="dxa"/>
            <w:noWrap/>
            <w:hideMark/>
          </w:tcPr>
          <w:p w14:paraId="7E461FD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c>
          <w:tcPr>
            <w:tcW w:w="1122" w:type="dxa"/>
            <w:noWrap/>
            <w:hideMark/>
          </w:tcPr>
          <w:p w14:paraId="633F6BFE"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c>
          <w:tcPr>
            <w:tcW w:w="1122" w:type="dxa"/>
            <w:noWrap/>
            <w:hideMark/>
          </w:tcPr>
          <w:p w14:paraId="131ECBD0" w14:textId="77777777" w:rsidR="00F6185C" w:rsidRPr="00F6185C" w:rsidRDefault="00F6185C">
            <w:pPr>
              <w:cnfStyle w:val="000000100000" w:firstRow="0" w:lastRow="0" w:firstColumn="0" w:lastColumn="0" w:oddVBand="0" w:evenVBand="0" w:oddHBand="1" w:evenHBand="0" w:firstRowFirstColumn="0" w:firstRowLastColumn="0" w:lastRowFirstColumn="0" w:lastRowLastColumn="0"/>
            </w:pPr>
            <w:r w:rsidRPr="00F6185C">
              <w:t> </w:t>
            </w:r>
          </w:p>
        </w:tc>
      </w:tr>
    </w:tbl>
    <w:p w14:paraId="50EB3C39" w14:textId="0704BA4B" w:rsidR="00F6185C" w:rsidRDefault="00F6185C" w:rsidP="00F6185C">
      <w:pPr>
        <w:pStyle w:val="Caption"/>
        <w:jc w:val="center"/>
      </w:pPr>
      <w:bookmarkStart w:id="38" w:name="_Toc224494918"/>
      <w:r>
        <w:t xml:space="preserve">Table </w:t>
      </w:r>
      <w:r>
        <w:fldChar w:fldCharType="begin"/>
      </w:r>
      <w:r>
        <w:instrText xml:space="preserve"> SEQ Table \* ARABIC </w:instrText>
      </w:r>
      <w:r>
        <w:fldChar w:fldCharType="separate"/>
      </w:r>
      <w:r>
        <w:rPr>
          <w:noProof/>
        </w:rPr>
        <w:t>5</w:t>
      </w:r>
      <w:r>
        <w:fldChar w:fldCharType="end"/>
      </w:r>
      <w:r w:rsidRPr="00764567">
        <w:t xml:space="preserve">: Investment Appraisal of Project </w:t>
      </w:r>
      <w:r>
        <w:t>B</w:t>
      </w:r>
      <w:r w:rsidRPr="00764567">
        <w:t xml:space="preserve"> (Source- Author)</w:t>
      </w:r>
      <w:bookmarkEnd w:id="38"/>
    </w:p>
    <w:p w14:paraId="3391FC2B" w14:textId="77777777" w:rsidR="00D324EB" w:rsidRDefault="00D324EB" w:rsidP="00D324EB">
      <w:r>
        <w:t xml:space="preserve">Calculations – </w:t>
      </w:r>
    </w:p>
    <w:p w14:paraId="0283D8E3" w14:textId="1619D649" w:rsidR="00D324EB" w:rsidRDefault="00D324EB" w:rsidP="00D324EB">
      <w:r w:rsidRPr="00F81004">
        <w:rPr>
          <w:i/>
          <w:iCs/>
        </w:rPr>
        <w:t>Payback Period</w:t>
      </w:r>
      <w:r>
        <w:t xml:space="preserve"> = 2 + ((50 – 42)/2</w:t>
      </w:r>
      <w:r w:rsidR="00D71D4C">
        <w:t>1</w:t>
      </w:r>
      <w:r>
        <w:t>) = 2.3</w:t>
      </w:r>
      <w:r w:rsidR="00D71D4C">
        <w:t>8</w:t>
      </w:r>
      <w:r>
        <w:t xml:space="preserve"> years</w:t>
      </w:r>
    </w:p>
    <w:p w14:paraId="17243916" w14:textId="413001F7" w:rsidR="00D324EB" w:rsidRDefault="00D324EB" w:rsidP="00D324EB">
      <w:r w:rsidRPr="00F81004">
        <w:rPr>
          <w:i/>
          <w:iCs/>
        </w:rPr>
        <w:t>Accounting Rate of Return</w:t>
      </w:r>
      <w:r>
        <w:t xml:space="preserve"> = ((1</w:t>
      </w:r>
      <w:r w:rsidR="00F616AA">
        <w:t>1</w:t>
      </w:r>
      <w:r>
        <w:t>+1</w:t>
      </w:r>
      <w:r w:rsidR="00F616AA">
        <w:t>1</w:t>
      </w:r>
      <w:r>
        <w:t>+1</w:t>
      </w:r>
      <w:r w:rsidR="00F616AA">
        <w:t>1</w:t>
      </w:r>
      <w:r>
        <w:t>+1</w:t>
      </w:r>
      <w:r w:rsidR="00F616AA">
        <w:t>1</w:t>
      </w:r>
      <w:r>
        <w:t>+</w:t>
      </w:r>
      <w:r w:rsidR="00F616AA">
        <w:t>11</w:t>
      </w:r>
      <w:r>
        <w:t>) / 5) / 50 = 22%</w:t>
      </w:r>
    </w:p>
    <w:p w14:paraId="63AEB272" w14:textId="026A48F9" w:rsidR="00D324EB" w:rsidRDefault="00D324EB" w:rsidP="00D324EB">
      <w:r w:rsidRPr="00F81004">
        <w:rPr>
          <w:i/>
          <w:iCs/>
        </w:rPr>
        <w:t>Net Present value</w:t>
      </w:r>
      <w:r>
        <w:t xml:space="preserve"> = (</w:t>
      </w:r>
      <w:r w:rsidRPr="00F81004">
        <w:t>2</w:t>
      </w:r>
      <w:r w:rsidR="00F616AA">
        <w:t>1</w:t>
      </w:r>
      <w:r w:rsidRPr="00F81004">
        <w:t xml:space="preserve">.00 </w:t>
      </w:r>
      <w:r>
        <w:t>/ (1+0.10)</w:t>
      </w:r>
      <w:r w:rsidRPr="00F81004">
        <w:t xml:space="preserve"> </w:t>
      </w:r>
      <w:r>
        <w:t>^1) + (</w:t>
      </w:r>
      <w:r w:rsidRPr="00F81004">
        <w:t>2</w:t>
      </w:r>
      <w:r w:rsidR="00F616AA">
        <w:t>1</w:t>
      </w:r>
      <w:r w:rsidRPr="00F81004">
        <w:t xml:space="preserve">.00 </w:t>
      </w:r>
      <w:r>
        <w:t>/ (1+0.10)</w:t>
      </w:r>
      <w:r w:rsidRPr="00F81004">
        <w:t xml:space="preserve"> </w:t>
      </w:r>
      <w:r>
        <w:t>^2)</w:t>
      </w:r>
      <w:r w:rsidRPr="00F81004">
        <w:t xml:space="preserve"> </w:t>
      </w:r>
      <w:r>
        <w:t>+ (</w:t>
      </w:r>
      <w:r w:rsidRPr="00F81004">
        <w:t>2</w:t>
      </w:r>
      <w:r w:rsidR="00F616AA">
        <w:t>1</w:t>
      </w:r>
      <w:r w:rsidRPr="00F81004">
        <w:t xml:space="preserve">.00 </w:t>
      </w:r>
      <w:r>
        <w:t>/ (1+0.10)</w:t>
      </w:r>
      <w:r w:rsidRPr="00F81004">
        <w:t xml:space="preserve"> </w:t>
      </w:r>
      <w:r>
        <w:t>^3)</w:t>
      </w:r>
      <w:r w:rsidRPr="00F81004">
        <w:t xml:space="preserve"> </w:t>
      </w:r>
      <w:r>
        <w:t>+ (</w:t>
      </w:r>
      <w:r w:rsidRPr="00F81004">
        <w:t>2</w:t>
      </w:r>
      <w:r w:rsidR="00F616AA">
        <w:t>1</w:t>
      </w:r>
      <w:r w:rsidRPr="00F81004">
        <w:t xml:space="preserve">.00 </w:t>
      </w:r>
      <w:r>
        <w:t>/ (1+0.10)</w:t>
      </w:r>
      <w:r w:rsidRPr="00F81004">
        <w:t xml:space="preserve"> </w:t>
      </w:r>
      <w:r>
        <w:t>^4)</w:t>
      </w:r>
      <w:r w:rsidRPr="00F81004">
        <w:t xml:space="preserve"> </w:t>
      </w:r>
      <w:r>
        <w:t>+ (</w:t>
      </w:r>
      <w:r w:rsidR="00F616AA">
        <w:t>21</w:t>
      </w:r>
      <w:r w:rsidRPr="00F81004">
        <w:t xml:space="preserve">.00 </w:t>
      </w:r>
      <w:r>
        <w:t>/ (1+0.</w:t>
      </w:r>
      <w:proofErr w:type="gramStart"/>
      <w:r>
        <w:t>10)^</w:t>
      </w:r>
      <w:proofErr w:type="gramEnd"/>
      <w:r>
        <w:t>5) – 50 = 29.</w:t>
      </w:r>
      <w:r w:rsidR="00A128CC">
        <w:t>61</w:t>
      </w:r>
    </w:p>
    <w:p w14:paraId="4000ABC3" w14:textId="08F5F81D" w:rsidR="00D324EB" w:rsidRDefault="00D324EB" w:rsidP="00D324EB">
      <w:r>
        <w:t>NPV at 32% = - 0.7</w:t>
      </w:r>
      <w:r w:rsidR="00A128CC">
        <w:t>5</w:t>
      </w:r>
    </w:p>
    <w:p w14:paraId="74CA2457" w14:textId="4E3280F5" w:rsidR="00D324EB" w:rsidRDefault="00D324EB" w:rsidP="00D324EB">
      <w:r w:rsidRPr="00D324EB">
        <w:rPr>
          <w:i/>
          <w:iCs/>
        </w:rPr>
        <w:t>IRR</w:t>
      </w:r>
      <w:r>
        <w:t xml:space="preserve"> = 0.10 + (29.</w:t>
      </w:r>
      <w:r w:rsidR="00A128CC">
        <w:t>61</w:t>
      </w:r>
      <w:r>
        <w:t xml:space="preserve"> / (29.</w:t>
      </w:r>
      <w:r w:rsidR="00A128CC">
        <w:t>61</w:t>
      </w:r>
      <w:r>
        <w:t xml:space="preserve"> – (-0.7</w:t>
      </w:r>
      <w:r w:rsidR="00A128CC">
        <w:t>5</w:t>
      </w:r>
      <w:r>
        <w:t>))) (0.32-0.10) = 31.</w:t>
      </w:r>
      <w:r w:rsidR="00A128CC">
        <w:t>19</w:t>
      </w:r>
      <w:r>
        <w:t>%</w:t>
      </w:r>
    </w:p>
    <w:p w14:paraId="09E108E8" w14:textId="4ABF0D0B" w:rsidR="00D324EB" w:rsidRDefault="00D324EB" w:rsidP="00D324EB">
      <w:r w:rsidRPr="00D324EB">
        <w:rPr>
          <w:i/>
          <w:iCs/>
        </w:rPr>
        <w:t>Profitability Index</w:t>
      </w:r>
      <w:r>
        <w:t xml:space="preserve"> = [</w:t>
      </w:r>
      <w:r w:rsidR="00954BA4">
        <w:t>(</w:t>
      </w:r>
      <w:r w:rsidR="00954BA4" w:rsidRPr="00F81004">
        <w:t>2</w:t>
      </w:r>
      <w:r w:rsidR="00954BA4">
        <w:t>1</w:t>
      </w:r>
      <w:r w:rsidR="00954BA4" w:rsidRPr="00F81004">
        <w:t xml:space="preserve">.00 </w:t>
      </w:r>
      <w:r w:rsidR="00954BA4">
        <w:t>/ (1+0.10)</w:t>
      </w:r>
      <w:r w:rsidR="00954BA4" w:rsidRPr="00F81004">
        <w:t xml:space="preserve"> </w:t>
      </w:r>
      <w:r w:rsidR="00954BA4">
        <w:t>^1) + (</w:t>
      </w:r>
      <w:r w:rsidR="00954BA4" w:rsidRPr="00F81004">
        <w:t>2</w:t>
      </w:r>
      <w:r w:rsidR="00954BA4">
        <w:t>1</w:t>
      </w:r>
      <w:r w:rsidR="00954BA4" w:rsidRPr="00F81004">
        <w:t xml:space="preserve">.00 </w:t>
      </w:r>
      <w:r w:rsidR="00954BA4">
        <w:t>/ (1+0.10)</w:t>
      </w:r>
      <w:r w:rsidR="00954BA4" w:rsidRPr="00F81004">
        <w:t xml:space="preserve"> </w:t>
      </w:r>
      <w:r w:rsidR="00954BA4">
        <w:t>^2)</w:t>
      </w:r>
      <w:r w:rsidR="00954BA4" w:rsidRPr="00F81004">
        <w:t xml:space="preserve"> </w:t>
      </w:r>
      <w:r w:rsidR="00954BA4">
        <w:t>+ (</w:t>
      </w:r>
      <w:r w:rsidR="00954BA4" w:rsidRPr="00F81004">
        <w:t>2</w:t>
      </w:r>
      <w:r w:rsidR="00954BA4">
        <w:t>1</w:t>
      </w:r>
      <w:r w:rsidR="00954BA4" w:rsidRPr="00F81004">
        <w:t xml:space="preserve">.00 </w:t>
      </w:r>
      <w:r w:rsidR="00954BA4">
        <w:t>/ (1+0.10)</w:t>
      </w:r>
      <w:r w:rsidR="00954BA4" w:rsidRPr="00F81004">
        <w:t xml:space="preserve"> </w:t>
      </w:r>
      <w:r w:rsidR="00954BA4">
        <w:t>^3)</w:t>
      </w:r>
      <w:r w:rsidR="00954BA4" w:rsidRPr="00F81004">
        <w:t xml:space="preserve"> </w:t>
      </w:r>
      <w:r w:rsidR="00954BA4">
        <w:t>+ (</w:t>
      </w:r>
      <w:r w:rsidR="00954BA4" w:rsidRPr="00F81004">
        <w:t>2</w:t>
      </w:r>
      <w:r w:rsidR="00954BA4">
        <w:t>1</w:t>
      </w:r>
      <w:r w:rsidR="00954BA4" w:rsidRPr="00F81004">
        <w:t xml:space="preserve">.00 </w:t>
      </w:r>
      <w:r w:rsidR="00954BA4">
        <w:t>/ (1+0.10)</w:t>
      </w:r>
      <w:r w:rsidR="00954BA4" w:rsidRPr="00F81004">
        <w:t xml:space="preserve"> </w:t>
      </w:r>
      <w:r w:rsidR="00954BA4">
        <w:t>^4)</w:t>
      </w:r>
      <w:r w:rsidR="00954BA4" w:rsidRPr="00F81004">
        <w:t xml:space="preserve"> </w:t>
      </w:r>
      <w:r w:rsidR="00954BA4">
        <w:t>+ (21</w:t>
      </w:r>
      <w:r w:rsidR="00954BA4" w:rsidRPr="00F81004">
        <w:t xml:space="preserve">.00 </w:t>
      </w:r>
      <w:r w:rsidR="00954BA4">
        <w:t>/ (1+0.</w:t>
      </w:r>
      <w:proofErr w:type="gramStart"/>
      <w:r w:rsidR="00954BA4">
        <w:t>10)^</w:t>
      </w:r>
      <w:proofErr w:type="gramEnd"/>
      <w:r w:rsidR="00954BA4">
        <w:t>5)</w:t>
      </w:r>
      <w:r>
        <w:t>] / 50 = 1.5</w:t>
      </w:r>
      <w:r w:rsidR="00A128CC">
        <w:t>9</w:t>
      </w:r>
    </w:p>
    <w:p w14:paraId="62D8D5E1" w14:textId="77777777" w:rsidR="00D324EB" w:rsidRPr="00D324EB" w:rsidRDefault="00D324EB" w:rsidP="00D324EB"/>
    <w:tbl>
      <w:tblPr>
        <w:tblStyle w:val="GridTable3-Accent3"/>
        <w:tblW w:w="10525" w:type="dxa"/>
        <w:tblLook w:val="04A0" w:firstRow="1" w:lastRow="0" w:firstColumn="1" w:lastColumn="0" w:noHBand="0" w:noVBand="1"/>
      </w:tblPr>
      <w:tblGrid>
        <w:gridCol w:w="3595"/>
        <w:gridCol w:w="1260"/>
        <w:gridCol w:w="1170"/>
        <w:gridCol w:w="1080"/>
        <w:gridCol w:w="1170"/>
        <w:gridCol w:w="1080"/>
        <w:gridCol w:w="1170"/>
      </w:tblGrid>
      <w:tr w:rsidR="00FA1B9E" w:rsidRPr="00FA1B9E" w14:paraId="2559739C" w14:textId="77777777" w:rsidTr="009714F0">
        <w:trPr>
          <w:cnfStyle w:val="100000000000" w:firstRow="1" w:lastRow="0" w:firstColumn="0" w:lastColumn="0" w:oddVBand="0" w:evenVBand="0" w:oddHBand="0" w:evenHBand="0" w:firstRowFirstColumn="0" w:firstRowLastColumn="0" w:lastRowFirstColumn="0" w:lastRowLastColumn="0"/>
          <w:trHeight w:val="649"/>
        </w:trPr>
        <w:tc>
          <w:tcPr>
            <w:cnfStyle w:val="001000000100" w:firstRow="0" w:lastRow="0" w:firstColumn="1" w:lastColumn="0" w:oddVBand="0" w:evenVBand="0" w:oddHBand="0" w:evenHBand="0" w:firstRowFirstColumn="1" w:firstRowLastColumn="0" w:lastRowFirstColumn="0" w:lastRowLastColumn="0"/>
            <w:tcW w:w="10525" w:type="dxa"/>
            <w:gridSpan w:val="7"/>
            <w:noWrap/>
            <w:hideMark/>
          </w:tcPr>
          <w:p w14:paraId="218FD134" w14:textId="77777777" w:rsidR="00FA1B9E" w:rsidRPr="00FA1B9E" w:rsidRDefault="00FA1B9E" w:rsidP="008C6D0A">
            <w:pPr>
              <w:jc w:val="center"/>
            </w:pPr>
            <w:r w:rsidRPr="00FA1B9E">
              <w:t>Project C</w:t>
            </w:r>
          </w:p>
        </w:tc>
      </w:tr>
      <w:tr w:rsidR="00FA1B9E" w:rsidRPr="00FA1B9E" w14:paraId="4C7C6A1A" w14:textId="77777777" w:rsidTr="009714F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73B4F897" w14:textId="77777777" w:rsidR="00FA1B9E" w:rsidRPr="00FA1B9E" w:rsidRDefault="00FA1B9E" w:rsidP="00FA1B9E">
            <w:r w:rsidRPr="00FA1B9E">
              <w:t>Item</w:t>
            </w:r>
          </w:p>
        </w:tc>
        <w:tc>
          <w:tcPr>
            <w:tcW w:w="1260" w:type="dxa"/>
            <w:noWrap/>
            <w:hideMark/>
          </w:tcPr>
          <w:p w14:paraId="00B1BFA8"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Year-0</w:t>
            </w:r>
          </w:p>
        </w:tc>
        <w:tc>
          <w:tcPr>
            <w:tcW w:w="1170" w:type="dxa"/>
            <w:noWrap/>
            <w:hideMark/>
          </w:tcPr>
          <w:p w14:paraId="3E123AD1"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Year-1</w:t>
            </w:r>
          </w:p>
        </w:tc>
        <w:tc>
          <w:tcPr>
            <w:tcW w:w="1080" w:type="dxa"/>
            <w:noWrap/>
            <w:hideMark/>
          </w:tcPr>
          <w:p w14:paraId="5C6732E6"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Year-2</w:t>
            </w:r>
          </w:p>
        </w:tc>
        <w:tc>
          <w:tcPr>
            <w:tcW w:w="1170" w:type="dxa"/>
            <w:noWrap/>
            <w:hideMark/>
          </w:tcPr>
          <w:p w14:paraId="7E189816"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Year-3</w:t>
            </w:r>
          </w:p>
        </w:tc>
        <w:tc>
          <w:tcPr>
            <w:tcW w:w="1080" w:type="dxa"/>
            <w:noWrap/>
            <w:hideMark/>
          </w:tcPr>
          <w:p w14:paraId="108F91D6"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Year-4</w:t>
            </w:r>
          </w:p>
        </w:tc>
        <w:tc>
          <w:tcPr>
            <w:tcW w:w="1170" w:type="dxa"/>
            <w:noWrap/>
            <w:hideMark/>
          </w:tcPr>
          <w:p w14:paraId="6EDA6C5F"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Year-5</w:t>
            </w:r>
          </w:p>
        </w:tc>
      </w:tr>
      <w:tr w:rsidR="00FA1B9E" w:rsidRPr="00FA1B9E" w14:paraId="26ACC441" w14:textId="77777777" w:rsidTr="009714F0">
        <w:trPr>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BFF4F5F" w14:textId="77777777" w:rsidR="00FA1B9E" w:rsidRPr="00FA1B9E" w:rsidRDefault="00FA1B9E">
            <w:r w:rsidRPr="00FA1B9E">
              <w:t>Initial Investment</w:t>
            </w:r>
          </w:p>
        </w:tc>
        <w:tc>
          <w:tcPr>
            <w:tcW w:w="1260" w:type="dxa"/>
            <w:noWrap/>
            <w:hideMark/>
          </w:tcPr>
          <w:p w14:paraId="6C94C6E0"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50.00 </w:t>
            </w:r>
          </w:p>
        </w:tc>
        <w:tc>
          <w:tcPr>
            <w:tcW w:w="1170" w:type="dxa"/>
            <w:noWrap/>
            <w:hideMark/>
          </w:tcPr>
          <w:p w14:paraId="229E77A3"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c>
          <w:tcPr>
            <w:tcW w:w="1080" w:type="dxa"/>
            <w:noWrap/>
            <w:hideMark/>
          </w:tcPr>
          <w:p w14:paraId="34607039"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c>
          <w:tcPr>
            <w:tcW w:w="1170" w:type="dxa"/>
            <w:noWrap/>
            <w:hideMark/>
          </w:tcPr>
          <w:p w14:paraId="72BE0389"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c>
          <w:tcPr>
            <w:tcW w:w="1080" w:type="dxa"/>
            <w:noWrap/>
            <w:hideMark/>
          </w:tcPr>
          <w:p w14:paraId="7E9A8DE2"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c>
          <w:tcPr>
            <w:tcW w:w="1170" w:type="dxa"/>
            <w:noWrap/>
            <w:hideMark/>
          </w:tcPr>
          <w:p w14:paraId="0A4225B2"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r>
      <w:tr w:rsidR="00FA1B9E" w:rsidRPr="00FA1B9E" w14:paraId="4796970B" w14:textId="77777777" w:rsidTr="009714F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4CF1B9FE" w14:textId="77777777" w:rsidR="00FA1B9E" w:rsidRPr="00FA1B9E" w:rsidRDefault="00FA1B9E">
            <w:r w:rsidRPr="00FA1B9E">
              <w:t>Net Cash Flows</w:t>
            </w:r>
          </w:p>
        </w:tc>
        <w:tc>
          <w:tcPr>
            <w:tcW w:w="1260" w:type="dxa"/>
            <w:noWrap/>
            <w:hideMark/>
          </w:tcPr>
          <w:p w14:paraId="707930F1"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c>
          <w:tcPr>
            <w:tcW w:w="1170" w:type="dxa"/>
            <w:noWrap/>
            <w:hideMark/>
          </w:tcPr>
          <w:p w14:paraId="74578E6D"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5.00 </w:t>
            </w:r>
          </w:p>
        </w:tc>
        <w:tc>
          <w:tcPr>
            <w:tcW w:w="1080" w:type="dxa"/>
            <w:noWrap/>
            <w:hideMark/>
          </w:tcPr>
          <w:p w14:paraId="5DFFD59F"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10.00 </w:t>
            </w:r>
          </w:p>
        </w:tc>
        <w:tc>
          <w:tcPr>
            <w:tcW w:w="1170" w:type="dxa"/>
            <w:noWrap/>
            <w:hideMark/>
          </w:tcPr>
          <w:p w14:paraId="3AB30F80"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20.00 </w:t>
            </w:r>
          </w:p>
        </w:tc>
        <w:tc>
          <w:tcPr>
            <w:tcW w:w="1080" w:type="dxa"/>
            <w:noWrap/>
            <w:hideMark/>
          </w:tcPr>
          <w:p w14:paraId="02667A12"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25.00 </w:t>
            </w:r>
          </w:p>
        </w:tc>
        <w:tc>
          <w:tcPr>
            <w:tcW w:w="1170" w:type="dxa"/>
            <w:noWrap/>
            <w:hideMark/>
          </w:tcPr>
          <w:p w14:paraId="3065AC7A"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5.00 </w:t>
            </w:r>
          </w:p>
        </w:tc>
      </w:tr>
      <w:tr w:rsidR="00FA1B9E" w:rsidRPr="00FA1B9E" w14:paraId="3E312FB7" w14:textId="77777777" w:rsidTr="009714F0">
        <w:trPr>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772D5FDA" w14:textId="77777777" w:rsidR="00FA1B9E" w:rsidRPr="00FA1B9E" w:rsidRDefault="00FA1B9E">
            <w:r w:rsidRPr="00FA1B9E">
              <w:t>Depreciation</w:t>
            </w:r>
          </w:p>
        </w:tc>
        <w:tc>
          <w:tcPr>
            <w:tcW w:w="1260" w:type="dxa"/>
            <w:noWrap/>
            <w:hideMark/>
          </w:tcPr>
          <w:p w14:paraId="22C32CC0"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c>
          <w:tcPr>
            <w:tcW w:w="1170" w:type="dxa"/>
            <w:noWrap/>
            <w:hideMark/>
          </w:tcPr>
          <w:p w14:paraId="349893A6"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10.00 </w:t>
            </w:r>
          </w:p>
        </w:tc>
        <w:tc>
          <w:tcPr>
            <w:tcW w:w="1080" w:type="dxa"/>
            <w:noWrap/>
            <w:hideMark/>
          </w:tcPr>
          <w:p w14:paraId="5C650F3C"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10.00 </w:t>
            </w:r>
          </w:p>
        </w:tc>
        <w:tc>
          <w:tcPr>
            <w:tcW w:w="1170" w:type="dxa"/>
            <w:noWrap/>
            <w:hideMark/>
          </w:tcPr>
          <w:p w14:paraId="2C065906"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10.00 </w:t>
            </w:r>
          </w:p>
        </w:tc>
        <w:tc>
          <w:tcPr>
            <w:tcW w:w="1080" w:type="dxa"/>
            <w:noWrap/>
            <w:hideMark/>
          </w:tcPr>
          <w:p w14:paraId="0A92080F"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10.00 </w:t>
            </w:r>
          </w:p>
        </w:tc>
        <w:tc>
          <w:tcPr>
            <w:tcW w:w="1170" w:type="dxa"/>
            <w:noWrap/>
            <w:hideMark/>
          </w:tcPr>
          <w:p w14:paraId="1F4BE8DD"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xml:space="preserve">     10.00 </w:t>
            </w:r>
          </w:p>
        </w:tc>
      </w:tr>
      <w:tr w:rsidR="00FA1B9E" w:rsidRPr="00FA1B9E" w14:paraId="30614EB9" w14:textId="77777777" w:rsidTr="009714F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00059A0" w14:textId="77777777" w:rsidR="00FA1B9E" w:rsidRPr="00FA1B9E" w:rsidRDefault="00FA1B9E">
            <w:r w:rsidRPr="00FA1B9E">
              <w:t>Project Cash Flows</w:t>
            </w:r>
          </w:p>
        </w:tc>
        <w:tc>
          <w:tcPr>
            <w:tcW w:w="1260" w:type="dxa"/>
            <w:noWrap/>
            <w:hideMark/>
          </w:tcPr>
          <w:p w14:paraId="287AEFF2"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(50.00)</w:t>
            </w:r>
          </w:p>
        </w:tc>
        <w:tc>
          <w:tcPr>
            <w:tcW w:w="1170" w:type="dxa"/>
            <w:noWrap/>
            <w:hideMark/>
          </w:tcPr>
          <w:p w14:paraId="0F53DFD3"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15.00 </w:t>
            </w:r>
          </w:p>
        </w:tc>
        <w:tc>
          <w:tcPr>
            <w:tcW w:w="1080" w:type="dxa"/>
            <w:noWrap/>
            <w:hideMark/>
          </w:tcPr>
          <w:p w14:paraId="1FBE58CD"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20.00 </w:t>
            </w:r>
          </w:p>
        </w:tc>
        <w:tc>
          <w:tcPr>
            <w:tcW w:w="1170" w:type="dxa"/>
            <w:noWrap/>
            <w:hideMark/>
          </w:tcPr>
          <w:p w14:paraId="64617E52"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30.00 </w:t>
            </w:r>
          </w:p>
        </w:tc>
        <w:tc>
          <w:tcPr>
            <w:tcW w:w="1080" w:type="dxa"/>
            <w:noWrap/>
            <w:hideMark/>
          </w:tcPr>
          <w:p w14:paraId="0B38056E"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35.00 </w:t>
            </w:r>
          </w:p>
        </w:tc>
        <w:tc>
          <w:tcPr>
            <w:tcW w:w="1170" w:type="dxa"/>
            <w:noWrap/>
            <w:hideMark/>
          </w:tcPr>
          <w:p w14:paraId="7F35072D"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xml:space="preserve">     15.00 </w:t>
            </w:r>
          </w:p>
        </w:tc>
      </w:tr>
      <w:tr w:rsidR="00FA1B9E" w:rsidRPr="00FA1B9E" w14:paraId="2DF8C585" w14:textId="77777777" w:rsidTr="009714F0">
        <w:trPr>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015CEF9" w14:textId="77777777" w:rsidR="00FA1B9E" w:rsidRPr="00FA1B9E" w:rsidRDefault="00FA1B9E">
            <w:r w:rsidRPr="00FA1B9E">
              <w:lastRenderedPageBreak/>
              <w:t>Discount Rate</w:t>
            </w:r>
          </w:p>
        </w:tc>
        <w:tc>
          <w:tcPr>
            <w:tcW w:w="1260" w:type="dxa"/>
            <w:noWrap/>
            <w:hideMark/>
          </w:tcPr>
          <w:p w14:paraId="7FB1F008"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pPr>
            <w:r w:rsidRPr="00FA1B9E">
              <w:t>10%</w:t>
            </w:r>
          </w:p>
        </w:tc>
        <w:tc>
          <w:tcPr>
            <w:tcW w:w="1170" w:type="dxa"/>
            <w:noWrap/>
            <w:hideMark/>
          </w:tcPr>
          <w:p w14:paraId="68527158"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pPr>
          </w:p>
        </w:tc>
        <w:tc>
          <w:tcPr>
            <w:tcW w:w="1080" w:type="dxa"/>
            <w:noWrap/>
            <w:hideMark/>
          </w:tcPr>
          <w:p w14:paraId="3DD32259"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67D980F4"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080" w:type="dxa"/>
            <w:noWrap/>
            <w:hideMark/>
          </w:tcPr>
          <w:p w14:paraId="1E34FB91"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71A3A4DE"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r>
      <w:tr w:rsidR="00FA1B9E" w:rsidRPr="00FA1B9E" w14:paraId="55BD2AAF" w14:textId="77777777" w:rsidTr="009714F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BBE564F" w14:textId="13B72B8B" w:rsidR="00FA1B9E" w:rsidRPr="00FA1B9E" w:rsidRDefault="00FD50B2">
            <w:pPr>
              <w:rPr>
                <w:b/>
                <w:bCs/>
              </w:rPr>
            </w:pPr>
            <w:r w:rsidRPr="00FA1B9E">
              <w:rPr>
                <w:b/>
                <w:bCs/>
              </w:rPr>
              <w:t>Payback</w:t>
            </w:r>
            <w:r w:rsidR="00FA1B9E" w:rsidRPr="00FA1B9E">
              <w:rPr>
                <w:b/>
                <w:bCs/>
              </w:rPr>
              <w:t xml:space="preserve"> Period</w:t>
            </w:r>
          </w:p>
        </w:tc>
        <w:tc>
          <w:tcPr>
            <w:tcW w:w="1260" w:type="dxa"/>
            <w:noWrap/>
            <w:hideMark/>
          </w:tcPr>
          <w:p w14:paraId="1001EA1F"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rPr>
                <w:b/>
                <w:bCs/>
              </w:rPr>
            </w:pPr>
            <w:r w:rsidRPr="00FA1B9E">
              <w:rPr>
                <w:b/>
                <w:bCs/>
              </w:rPr>
              <w:t xml:space="preserve">       2.50 </w:t>
            </w:r>
          </w:p>
        </w:tc>
        <w:tc>
          <w:tcPr>
            <w:tcW w:w="1170" w:type="dxa"/>
            <w:noWrap/>
            <w:hideMark/>
          </w:tcPr>
          <w:p w14:paraId="347F5D70"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rPr>
                <w:b/>
                <w:bCs/>
              </w:rPr>
            </w:pPr>
          </w:p>
        </w:tc>
        <w:tc>
          <w:tcPr>
            <w:tcW w:w="1080" w:type="dxa"/>
            <w:noWrap/>
            <w:hideMark/>
          </w:tcPr>
          <w:p w14:paraId="153051AE"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170" w:type="dxa"/>
            <w:noWrap/>
            <w:hideMark/>
          </w:tcPr>
          <w:p w14:paraId="79BA3854"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080" w:type="dxa"/>
            <w:noWrap/>
            <w:hideMark/>
          </w:tcPr>
          <w:p w14:paraId="780FF097"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170" w:type="dxa"/>
            <w:noWrap/>
            <w:hideMark/>
          </w:tcPr>
          <w:p w14:paraId="168DB749"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r>
      <w:tr w:rsidR="00FA1B9E" w:rsidRPr="00FA1B9E" w14:paraId="6C657341" w14:textId="77777777" w:rsidTr="009714F0">
        <w:trPr>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51B5A22" w14:textId="77777777" w:rsidR="00FA1B9E" w:rsidRPr="00FA1B9E" w:rsidRDefault="00FA1B9E">
            <w:pPr>
              <w:rPr>
                <w:b/>
                <w:bCs/>
              </w:rPr>
            </w:pPr>
            <w:r w:rsidRPr="00FA1B9E">
              <w:rPr>
                <w:b/>
                <w:bCs/>
              </w:rPr>
              <w:t>Accounting Rate of Return</w:t>
            </w:r>
          </w:p>
        </w:tc>
        <w:tc>
          <w:tcPr>
            <w:tcW w:w="1260" w:type="dxa"/>
            <w:noWrap/>
            <w:hideMark/>
          </w:tcPr>
          <w:p w14:paraId="155DAD09"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rPr>
                <w:b/>
                <w:bCs/>
              </w:rPr>
            </w:pPr>
            <w:r w:rsidRPr="00FA1B9E">
              <w:rPr>
                <w:b/>
                <w:bCs/>
              </w:rPr>
              <w:t>26%</w:t>
            </w:r>
          </w:p>
        </w:tc>
        <w:tc>
          <w:tcPr>
            <w:tcW w:w="1170" w:type="dxa"/>
            <w:noWrap/>
            <w:hideMark/>
          </w:tcPr>
          <w:p w14:paraId="45C3EE36"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rPr>
                <w:b/>
                <w:bCs/>
              </w:rPr>
            </w:pPr>
          </w:p>
        </w:tc>
        <w:tc>
          <w:tcPr>
            <w:tcW w:w="1080" w:type="dxa"/>
            <w:noWrap/>
            <w:hideMark/>
          </w:tcPr>
          <w:p w14:paraId="08967373"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0ED7B07D"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080" w:type="dxa"/>
            <w:noWrap/>
            <w:hideMark/>
          </w:tcPr>
          <w:p w14:paraId="039A573F"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5311C954"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r>
      <w:tr w:rsidR="00FA1B9E" w:rsidRPr="00FA1B9E" w14:paraId="5281B8A0" w14:textId="77777777" w:rsidTr="009714F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B03795B" w14:textId="77777777" w:rsidR="00FA1B9E" w:rsidRPr="00FA1B9E" w:rsidRDefault="00FA1B9E">
            <w:pPr>
              <w:rPr>
                <w:b/>
                <w:bCs/>
              </w:rPr>
            </w:pPr>
            <w:r w:rsidRPr="00FA1B9E">
              <w:rPr>
                <w:b/>
                <w:bCs/>
              </w:rPr>
              <w:t>Net Present value</w:t>
            </w:r>
          </w:p>
        </w:tc>
        <w:tc>
          <w:tcPr>
            <w:tcW w:w="1260" w:type="dxa"/>
            <w:noWrap/>
            <w:hideMark/>
          </w:tcPr>
          <w:p w14:paraId="1F534B89"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rPr>
                <w:b/>
                <w:bCs/>
              </w:rPr>
            </w:pPr>
            <w:r w:rsidRPr="00FA1B9E">
              <w:rPr>
                <w:b/>
                <w:bCs/>
              </w:rPr>
              <w:t xml:space="preserve"> £ 35.92 </w:t>
            </w:r>
          </w:p>
        </w:tc>
        <w:tc>
          <w:tcPr>
            <w:tcW w:w="1170" w:type="dxa"/>
            <w:noWrap/>
            <w:hideMark/>
          </w:tcPr>
          <w:p w14:paraId="59859871"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rPr>
                <w:b/>
                <w:bCs/>
              </w:rPr>
            </w:pPr>
          </w:p>
        </w:tc>
        <w:tc>
          <w:tcPr>
            <w:tcW w:w="1080" w:type="dxa"/>
            <w:noWrap/>
            <w:hideMark/>
          </w:tcPr>
          <w:p w14:paraId="75360070"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170" w:type="dxa"/>
            <w:noWrap/>
            <w:hideMark/>
          </w:tcPr>
          <w:p w14:paraId="33BBBD47"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080" w:type="dxa"/>
            <w:noWrap/>
            <w:hideMark/>
          </w:tcPr>
          <w:p w14:paraId="4459188C"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p>
        </w:tc>
        <w:tc>
          <w:tcPr>
            <w:tcW w:w="1170" w:type="dxa"/>
            <w:noWrap/>
            <w:hideMark/>
          </w:tcPr>
          <w:p w14:paraId="290F7ED7"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r>
      <w:tr w:rsidR="00FA1B9E" w:rsidRPr="00FA1B9E" w14:paraId="795A8C20" w14:textId="77777777" w:rsidTr="009714F0">
        <w:trPr>
          <w:trHeight w:val="360"/>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594A6A5" w14:textId="77777777" w:rsidR="00FA1B9E" w:rsidRPr="00FA1B9E" w:rsidRDefault="00FA1B9E">
            <w:pPr>
              <w:rPr>
                <w:b/>
                <w:bCs/>
              </w:rPr>
            </w:pPr>
            <w:r w:rsidRPr="00FA1B9E">
              <w:rPr>
                <w:b/>
                <w:bCs/>
              </w:rPr>
              <w:t>IRR</w:t>
            </w:r>
          </w:p>
        </w:tc>
        <w:tc>
          <w:tcPr>
            <w:tcW w:w="1260" w:type="dxa"/>
            <w:noWrap/>
            <w:hideMark/>
          </w:tcPr>
          <w:p w14:paraId="42C9DD96"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rPr>
                <w:b/>
                <w:bCs/>
              </w:rPr>
            </w:pPr>
            <w:r w:rsidRPr="00FA1B9E">
              <w:rPr>
                <w:b/>
                <w:bCs/>
              </w:rPr>
              <w:t>33.12%</w:t>
            </w:r>
          </w:p>
        </w:tc>
        <w:tc>
          <w:tcPr>
            <w:tcW w:w="1170" w:type="dxa"/>
            <w:noWrap/>
            <w:hideMark/>
          </w:tcPr>
          <w:p w14:paraId="55468E92" w14:textId="77777777" w:rsidR="00FA1B9E" w:rsidRPr="00FA1B9E" w:rsidRDefault="00FA1B9E" w:rsidP="00FA1B9E">
            <w:pPr>
              <w:cnfStyle w:val="000000000000" w:firstRow="0" w:lastRow="0" w:firstColumn="0" w:lastColumn="0" w:oddVBand="0" w:evenVBand="0" w:oddHBand="0" w:evenHBand="0" w:firstRowFirstColumn="0" w:firstRowLastColumn="0" w:lastRowFirstColumn="0" w:lastRowLastColumn="0"/>
              <w:rPr>
                <w:b/>
                <w:bCs/>
              </w:rPr>
            </w:pPr>
          </w:p>
        </w:tc>
        <w:tc>
          <w:tcPr>
            <w:tcW w:w="1080" w:type="dxa"/>
            <w:noWrap/>
            <w:hideMark/>
          </w:tcPr>
          <w:p w14:paraId="0ED85108"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1BA95927"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080" w:type="dxa"/>
            <w:noWrap/>
            <w:hideMark/>
          </w:tcPr>
          <w:p w14:paraId="4ACDFE51"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p>
        </w:tc>
        <w:tc>
          <w:tcPr>
            <w:tcW w:w="1170" w:type="dxa"/>
            <w:noWrap/>
            <w:hideMark/>
          </w:tcPr>
          <w:p w14:paraId="5BA23866" w14:textId="77777777" w:rsidR="00FA1B9E" w:rsidRPr="00FA1B9E" w:rsidRDefault="00FA1B9E">
            <w:pPr>
              <w:cnfStyle w:val="000000000000" w:firstRow="0" w:lastRow="0" w:firstColumn="0" w:lastColumn="0" w:oddVBand="0" w:evenVBand="0" w:oddHBand="0" w:evenHBand="0" w:firstRowFirstColumn="0" w:firstRowLastColumn="0" w:lastRowFirstColumn="0" w:lastRowLastColumn="0"/>
            </w:pPr>
            <w:r w:rsidRPr="00FA1B9E">
              <w:t> </w:t>
            </w:r>
          </w:p>
        </w:tc>
      </w:tr>
      <w:tr w:rsidR="00FA1B9E" w:rsidRPr="00FA1B9E" w14:paraId="6FB6BC17" w14:textId="77777777" w:rsidTr="009714F0">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1BE971F" w14:textId="77777777" w:rsidR="00FA1B9E" w:rsidRPr="00FA1B9E" w:rsidRDefault="00FA1B9E">
            <w:pPr>
              <w:rPr>
                <w:b/>
                <w:bCs/>
              </w:rPr>
            </w:pPr>
            <w:r w:rsidRPr="00FA1B9E">
              <w:rPr>
                <w:b/>
                <w:bCs/>
              </w:rPr>
              <w:t>Profitability Index</w:t>
            </w:r>
          </w:p>
        </w:tc>
        <w:tc>
          <w:tcPr>
            <w:tcW w:w="1260" w:type="dxa"/>
            <w:noWrap/>
            <w:hideMark/>
          </w:tcPr>
          <w:p w14:paraId="27B83E87"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rPr>
                <w:b/>
                <w:bCs/>
              </w:rPr>
            </w:pPr>
            <w:r w:rsidRPr="00FA1B9E">
              <w:rPr>
                <w:b/>
                <w:bCs/>
              </w:rPr>
              <w:t xml:space="preserve">       1.72 </w:t>
            </w:r>
          </w:p>
        </w:tc>
        <w:tc>
          <w:tcPr>
            <w:tcW w:w="1170" w:type="dxa"/>
            <w:noWrap/>
            <w:hideMark/>
          </w:tcPr>
          <w:p w14:paraId="624398B5"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c>
          <w:tcPr>
            <w:tcW w:w="1080" w:type="dxa"/>
            <w:noWrap/>
            <w:hideMark/>
          </w:tcPr>
          <w:p w14:paraId="56464586"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c>
          <w:tcPr>
            <w:tcW w:w="1170" w:type="dxa"/>
            <w:noWrap/>
            <w:hideMark/>
          </w:tcPr>
          <w:p w14:paraId="60E6037D"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c>
          <w:tcPr>
            <w:tcW w:w="1080" w:type="dxa"/>
            <w:noWrap/>
            <w:hideMark/>
          </w:tcPr>
          <w:p w14:paraId="7320BC22"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c>
          <w:tcPr>
            <w:tcW w:w="1170" w:type="dxa"/>
            <w:noWrap/>
            <w:hideMark/>
          </w:tcPr>
          <w:p w14:paraId="49DE4981" w14:textId="77777777" w:rsidR="00FA1B9E" w:rsidRPr="00FA1B9E" w:rsidRDefault="00FA1B9E">
            <w:pPr>
              <w:cnfStyle w:val="000000100000" w:firstRow="0" w:lastRow="0" w:firstColumn="0" w:lastColumn="0" w:oddVBand="0" w:evenVBand="0" w:oddHBand="1" w:evenHBand="0" w:firstRowFirstColumn="0" w:firstRowLastColumn="0" w:lastRowFirstColumn="0" w:lastRowLastColumn="0"/>
            </w:pPr>
            <w:r w:rsidRPr="00FA1B9E">
              <w:t> </w:t>
            </w:r>
          </w:p>
        </w:tc>
      </w:tr>
    </w:tbl>
    <w:p w14:paraId="517C9F6F" w14:textId="454972FA" w:rsidR="00F6185C" w:rsidRPr="00F6185C" w:rsidRDefault="00F6185C" w:rsidP="00F6185C">
      <w:pPr>
        <w:pStyle w:val="Caption"/>
        <w:jc w:val="center"/>
      </w:pPr>
      <w:bookmarkStart w:id="39" w:name="_Toc224494919"/>
      <w:r>
        <w:t xml:space="preserve">Table </w:t>
      </w:r>
      <w:r>
        <w:fldChar w:fldCharType="begin"/>
      </w:r>
      <w:r>
        <w:instrText xml:space="preserve"> SEQ Table \* ARABIC </w:instrText>
      </w:r>
      <w:r>
        <w:fldChar w:fldCharType="separate"/>
      </w:r>
      <w:r>
        <w:rPr>
          <w:noProof/>
        </w:rPr>
        <w:t>6</w:t>
      </w:r>
      <w:r>
        <w:fldChar w:fldCharType="end"/>
      </w:r>
      <w:r w:rsidRPr="00A97E8C">
        <w:t xml:space="preserve">: Investment Appraisal of Project </w:t>
      </w:r>
      <w:r>
        <w:t>C</w:t>
      </w:r>
      <w:r w:rsidRPr="00A97E8C">
        <w:t xml:space="preserve"> (Source- Author)</w:t>
      </w:r>
      <w:bookmarkEnd w:id="39"/>
    </w:p>
    <w:p w14:paraId="07C2860E" w14:textId="77777777" w:rsidR="00081488" w:rsidRDefault="00081488" w:rsidP="00081488">
      <w:r>
        <w:t xml:space="preserve">Calculations – </w:t>
      </w:r>
    </w:p>
    <w:p w14:paraId="4C9D777D" w14:textId="7E9DFA16" w:rsidR="00081488" w:rsidRDefault="00081488" w:rsidP="00081488">
      <w:r w:rsidRPr="00F81004">
        <w:rPr>
          <w:i/>
          <w:iCs/>
        </w:rPr>
        <w:t>Payback Period</w:t>
      </w:r>
      <w:r>
        <w:t xml:space="preserve"> = 2 + ((50 – </w:t>
      </w:r>
      <w:r w:rsidR="00322193">
        <w:t>35</w:t>
      </w:r>
      <w:r>
        <w:t>)/</w:t>
      </w:r>
      <w:r w:rsidR="00322193">
        <w:t>30</w:t>
      </w:r>
      <w:r>
        <w:t>) = 2.</w:t>
      </w:r>
      <w:r w:rsidR="00322193">
        <w:t>50</w:t>
      </w:r>
      <w:r>
        <w:t xml:space="preserve"> years</w:t>
      </w:r>
    </w:p>
    <w:p w14:paraId="4FFDDD49" w14:textId="0A18DDE4" w:rsidR="00081488" w:rsidRDefault="00081488" w:rsidP="00081488">
      <w:r w:rsidRPr="00F81004">
        <w:rPr>
          <w:i/>
          <w:iCs/>
        </w:rPr>
        <w:t>Accounting Rate of Return</w:t>
      </w:r>
      <w:r>
        <w:t xml:space="preserve"> = ((</w:t>
      </w:r>
      <w:r w:rsidR="00D9591C">
        <w:t>5</w:t>
      </w:r>
      <w:r>
        <w:t>+1</w:t>
      </w:r>
      <w:r w:rsidR="00D9591C">
        <w:t>0</w:t>
      </w:r>
      <w:r>
        <w:t>+</w:t>
      </w:r>
      <w:r w:rsidR="00D9591C">
        <w:t>20</w:t>
      </w:r>
      <w:r>
        <w:t>+</w:t>
      </w:r>
      <w:r w:rsidR="00D9591C">
        <w:t>25</w:t>
      </w:r>
      <w:r>
        <w:t>+</w:t>
      </w:r>
      <w:r w:rsidR="00D9591C">
        <w:t>5</w:t>
      </w:r>
      <w:r>
        <w:t>) / 5) / 50 = 2</w:t>
      </w:r>
      <w:r w:rsidR="004D15B7">
        <w:t>6</w:t>
      </w:r>
      <w:r>
        <w:t>%</w:t>
      </w:r>
    </w:p>
    <w:p w14:paraId="591F226B" w14:textId="2D790BBF" w:rsidR="00081488" w:rsidRDefault="00081488" w:rsidP="00081488">
      <w:r w:rsidRPr="00F81004">
        <w:rPr>
          <w:i/>
          <w:iCs/>
        </w:rPr>
        <w:t>Net Present value</w:t>
      </w:r>
      <w:r>
        <w:t xml:space="preserve"> = (</w:t>
      </w:r>
      <w:r w:rsidR="004D15B7">
        <w:t>15</w:t>
      </w:r>
      <w:r w:rsidRPr="00F81004">
        <w:t xml:space="preserve">.00 </w:t>
      </w:r>
      <w:r>
        <w:t>/ (1+0.10)</w:t>
      </w:r>
      <w:r w:rsidRPr="00F81004">
        <w:t xml:space="preserve"> </w:t>
      </w:r>
      <w:r>
        <w:t>^1) + (</w:t>
      </w:r>
      <w:r w:rsidRPr="00F81004">
        <w:t>2</w:t>
      </w:r>
      <w:r w:rsidR="004D15B7">
        <w:t>0</w:t>
      </w:r>
      <w:r w:rsidRPr="00F81004">
        <w:t xml:space="preserve">.00 </w:t>
      </w:r>
      <w:r>
        <w:t>/ (1+0.10)</w:t>
      </w:r>
      <w:r w:rsidRPr="00F81004">
        <w:t xml:space="preserve"> </w:t>
      </w:r>
      <w:r>
        <w:t>^2)</w:t>
      </w:r>
      <w:r w:rsidRPr="00F81004">
        <w:t xml:space="preserve"> </w:t>
      </w:r>
      <w:r>
        <w:t>+ (</w:t>
      </w:r>
      <w:r w:rsidR="004D15B7">
        <w:t>30</w:t>
      </w:r>
      <w:r w:rsidRPr="00F81004">
        <w:t xml:space="preserve">.00 </w:t>
      </w:r>
      <w:r>
        <w:t>/ (1+0.10)</w:t>
      </w:r>
      <w:r w:rsidRPr="00F81004">
        <w:t xml:space="preserve"> </w:t>
      </w:r>
      <w:r>
        <w:t>^3)</w:t>
      </w:r>
      <w:r w:rsidRPr="00F81004">
        <w:t xml:space="preserve"> </w:t>
      </w:r>
      <w:r>
        <w:t>+ (</w:t>
      </w:r>
      <w:r w:rsidR="004D15B7">
        <w:t>35</w:t>
      </w:r>
      <w:r w:rsidRPr="00F81004">
        <w:t xml:space="preserve">.00 </w:t>
      </w:r>
      <w:r>
        <w:t>/ (1+0.10)</w:t>
      </w:r>
      <w:r w:rsidRPr="00F81004">
        <w:t xml:space="preserve"> </w:t>
      </w:r>
      <w:r>
        <w:t>^4)</w:t>
      </w:r>
      <w:r w:rsidRPr="00F81004">
        <w:t xml:space="preserve"> </w:t>
      </w:r>
      <w:r>
        <w:t>+ (</w:t>
      </w:r>
      <w:r w:rsidR="004D15B7">
        <w:t>15</w:t>
      </w:r>
      <w:r w:rsidRPr="00F81004">
        <w:t xml:space="preserve">.00 </w:t>
      </w:r>
      <w:r>
        <w:t>/ (1+0.</w:t>
      </w:r>
      <w:proofErr w:type="gramStart"/>
      <w:r>
        <w:t>10)^</w:t>
      </w:r>
      <w:proofErr w:type="gramEnd"/>
      <w:r>
        <w:t xml:space="preserve">5) – 50 = </w:t>
      </w:r>
      <w:r w:rsidR="00A13051">
        <w:t>35.92</w:t>
      </w:r>
    </w:p>
    <w:p w14:paraId="1A78481A" w14:textId="0E6D3285" w:rsidR="00081488" w:rsidRDefault="00081488" w:rsidP="00081488">
      <w:r>
        <w:t>NPV at 3</w:t>
      </w:r>
      <w:r w:rsidR="004D6D7D">
        <w:t>6</w:t>
      </w:r>
      <w:r>
        <w:t>% = - 0.</w:t>
      </w:r>
      <w:r w:rsidR="004D6D7D">
        <w:t>35</w:t>
      </w:r>
    </w:p>
    <w:p w14:paraId="1372D022" w14:textId="351FD963" w:rsidR="00081488" w:rsidRDefault="00081488" w:rsidP="00081488">
      <w:r w:rsidRPr="00D324EB">
        <w:rPr>
          <w:i/>
          <w:iCs/>
        </w:rPr>
        <w:t>IRR</w:t>
      </w:r>
      <w:r>
        <w:t xml:space="preserve"> = 0.10 + (</w:t>
      </w:r>
      <w:r w:rsidR="004D6D7D">
        <w:t>35.92</w:t>
      </w:r>
      <w:r>
        <w:t xml:space="preserve"> / (</w:t>
      </w:r>
      <w:r w:rsidR="004D6D7D">
        <w:t>35.92</w:t>
      </w:r>
      <w:r>
        <w:t xml:space="preserve"> – (-0.</w:t>
      </w:r>
      <w:r w:rsidR="004D6D7D">
        <w:t>35</w:t>
      </w:r>
      <w:r>
        <w:t>))) (0.3</w:t>
      </w:r>
      <w:r w:rsidR="004D6D7D">
        <w:t>6</w:t>
      </w:r>
      <w:r>
        <w:t>-0.10) = 3</w:t>
      </w:r>
      <w:r w:rsidR="00AA0F22">
        <w:t>3.12</w:t>
      </w:r>
      <w:r>
        <w:t>%</w:t>
      </w:r>
    </w:p>
    <w:p w14:paraId="36A77527" w14:textId="338FA62F" w:rsidR="00081488" w:rsidRDefault="00081488" w:rsidP="00081488">
      <w:r w:rsidRPr="00D324EB">
        <w:rPr>
          <w:i/>
          <w:iCs/>
        </w:rPr>
        <w:t>Profitability Index</w:t>
      </w:r>
      <w:r>
        <w:t xml:space="preserve"> </w:t>
      </w:r>
      <w:proofErr w:type="gramStart"/>
      <w:r>
        <w:t>=</w:t>
      </w:r>
      <w:r w:rsidR="00841EB0">
        <w:t>[</w:t>
      </w:r>
      <w:proofErr w:type="gramEnd"/>
      <w:r w:rsidR="00841EB0">
        <w:t>(15</w:t>
      </w:r>
      <w:r w:rsidR="00841EB0" w:rsidRPr="00F81004">
        <w:t xml:space="preserve">.00 </w:t>
      </w:r>
      <w:r w:rsidR="00841EB0">
        <w:t>/ (1+0.10)</w:t>
      </w:r>
      <w:r w:rsidR="00841EB0" w:rsidRPr="00F81004">
        <w:t xml:space="preserve"> </w:t>
      </w:r>
      <w:r w:rsidR="00841EB0">
        <w:t>^1) + (</w:t>
      </w:r>
      <w:r w:rsidR="00841EB0" w:rsidRPr="00F81004">
        <w:t>2</w:t>
      </w:r>
      <w:r w:rsidR="00841EB0">
        <w:t>0</w:t>
      </w:r>
      <w:r w:rsidR="00841EB0" w:rsidRPr="00F81004">
        <w:t xml:space="preserve">.00 </w:t>
      </w:r>
      <w:r w:rsidR="00841EB0">
        <w:t>/ (1+0.10)</w:t>
      </w:r>
      <w:r w:rsidR="00841EB0" w:rsidRPr="00F81004">
        <w:t xml:space="preserve"> </w:t>
      </w:r>
      <w:r w:rsidR="00841EB0">
        <w:t>^2)</w:t>
      </w:r>
      <w:r w:rsidR="00841EB0" w:rsidRPr="00F81004">
        <w:t xml:space="preserve"> </w:t>
      </w:r>
      <w:r w:rsidR="00841EB0">
        <w:t>+ (30</w:t>
      </w:r>
      <w:r w:rsidR="00841EB0" w:rsidRPr="00F81004">
        <w:t xml:space="preserve">.00 </w:t>
      </w:r>
      <w:r w:rsidR="00841EB0">
        <w:t>/ (1+0.10)</w:t>
      </w:r>
      <w:r w:rsidR="00841EB0" w:rsidRPr="00F81004">
        <w:t xml:space="preserve"> </w:t>
      </w:r>
      <w:r w:rsidR="00841EB0">
        <w:t>^3)</w:t>
      </w:r>
      <w:r w:rsidR="00841EB0" w:rsidRPr="00F81004">
        <w:t xml:space="preserve"> </w:t>
      </w:r>
      <w:r w:rsidR="00841EB0">
        <w:t>+ (35</w:t>
      </w:r>
      <w:r w:rsidR="00841EB0" w:rsidRPr="00F81004">
        <w:t xml:space="preserve">.00 </w:t>
      </w:r>
      <w:r w:rsidR="00841EB0">
        <w:t>/ (1+0.10)</w:t>
      </w:r>
      <w:r w:rsidR="00841EB0" w:rsidRPr="00F81004">
        <w:t xml:space="preserve"> </w:t>
      </w:r>
      <w:r w:rsidR="00841EB0">
        <w:t>^4)</w:t>
      </w:r>
      <w:r w:rsidR="00841EB0" w:rsidRPr="00F81004">
        <w:t xml:space="preserve"> </w:t>
      </w:r>
      <w:r w:rsidR="00841EB0">
        <w:t>+ (15</w:t>
      </w:r>
      <w:r w:rsidR="00841EB0" w:rsidRPr="00F81004">
        <w:t xml:space="preserve">.00 </w:t>
      </w:r>
      <w:r w:rsidR="00841EB0">
        <w:t>/ (1+0.10)^5)</w:t>
      </w:r>
      <w:r>
        <w:t>] / 50 = 1.</w:t>
      </w:r>
      <w:r w:rsidR="00873A11">
        <w:t>72</w:t>
      </w:r>
    </w:p>
    <w:p w14:paraId="7D0FDBBB" w14:textId="77777777" w:rsidR="009278FE" w:rsidRPr="009278FE" w:rsidRDefault="009278FE" w:rsidP="009278FE"/>
    <w:sectPr w:rsidR="009278FE" w:rsidRPr="009278FE" w:rsidSect="006A7C0D">
      <w:footerReference w:type="default" r:id="rId3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BD7C9" w14:textId="77777777" w:rsidR="00ED03EE" w:rsidRPr="00AB0D0B" w:rsidRDefault="00ED03EE" w:rsidP="001D74B3">
      <w:pPr>
        <w:spacing w:before="0" w:after="0" w:line="240" w:lineRule="auto"/>
      </w:pPr>
      <w:r w:rsidRPr="00AB0D0B">
        <w:separator/>
      </w:r>
    </w:p>
  </w:endnote>
  <w:endnote w:type="continuationSeparator" w:id="0">
    <w:p w14:paraId="4D5008B4" w14:textId="77777777" w:rsidR="00ED03EE" w:rsidRPr="00AB0D0B" w:rsidRDefault="00ED03EE" w:rsidP="001D74B3">
      <w:pPr>
        <w:spacing w:before="0" w:after="0" w:line="240" w:lineRule="auto"/>
      </w:pPr>
      <w:r w:rsidRPr="00AB0D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627932"/>
      <w:docPartObj>
        <w:docPartGallery w:val="Page Numbers (Bottom of Page)"/>
        <w:docPartUnique/>
      </w:docPartObj>
    </w:sdtPr>
    <w:sdtContent>
      <w:p w14:paraId="49269DAF" w14:textId="212C9E15" w:rsidR="00345F6A" w:rsidRPr="00AB0D0B" w:rsidRDefault="00345F6A">
        <w:pPr>
          <w:pStyle w:val="Footer"/>
          <w:jc w:val="right"/>
        </w:pPr>
        <w:r w:rsidRPr="00AB0D0B">
          <w:fldChar w:fldCharType="begin"/>
        </w:r>
        <w:r w:rsidRPr="00AB0D0B">
          <w:instrText xml:space="preserve"> PAGE   \* MERGEFORMAT </w:instrText>
        </w:r>
        <w:r w:rsidRPr="00AB0D0B">
          <w:fldChar w:fldCharType="separate"/>
        </w:r>
        <w:r w:rsidR="00722452" w:rsidRPr="00AB0D0B">
          <w:t>4</w:t>
        </w:r>
        <w:r w:rsidRPr="00AB0D0B">
          <w:fldChar w:fldCharType="end"/>
        </w:r>
      </w:p>
    </w:sdtContent>
  </w:sdt>
  <w:p w14:paraId="697C137F" w14:textId="77777777" w:rsidR="00345F6A" w:rsidRPr="00AB0D0B" w:rsidRDefault="00345F6A">
    <w:pPr>
      <w:pStyle w:val="Footer"/>
    </w:pPr>
  </w:p>
  <w:p w14:paraId="3F025A45" w14:textId="77777777" w:rsidR="002D40CD" w:rsidRPr="00AB0D0B" w:rsidRDefault="002D40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FCB38" w14:textId="77777777" w:rsidR="00ED03EE" w:rsidRPr="00AB0D0B" w:rsidRDefault="00ED03EE" w:rsidP="001D74B3">
      <w:pPr>
        <w:spacing w:before="0" w:after="0" w:line="240" w:lineRule="auto"/>
      </w:pPr>
      <w:r w:rsidRPr="00AB0D0B">
        <w:separator/>
      </w:r>
    </w:p>
  </w:footnote>
  <w:footnote w:type="continuationSeparator" w:id="0">
    <w:p w14:paraId="5DDA8FE3" w14:textId="77777777" w:rsidR="00ED03EE" w:rsidRPr="00AB0D0B" w:rsidRDefault="00ED03EE" w:rsidP="001D74B3">
      <w:pPr>
        <w:spacing w:before="0" w:after="0" w:line="240" w:lineRule="auto"/>
      </w:pPr>
      <w:r w:rsidRPr="00AB0D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120167"/>
    <w:multiLevelType w:val="hybridMultilevel"/>
    <w:tmpl w:val="E1F2B6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393551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DAwNLUwtDQwMjZV0lEKTi0uzszPAykwMrWsBQB1eGw5LgAAAA=="/>
  </w:docVars>
  <w:rsids>
    <w:rsidRoot w:val="00E82C9B"/>
    <w:rsid w:val="00000022"/>
    <w:rsid w:val="00000300"/>
    <w:rsid w:val="00000569"/>
    <w:rsid w:val="00000A5A"/>
    <w:rsid w:val="000012F1"/>
    <w:rsid w:val="00001B02"/>
    <w:rsid w:val="00001C2A"/>
    <w:rsid w:val="00002E96"/>
    <w:rsid w:val="00003291"/>
    <w:rsid w:val="000032D8"/>
    <w:rsid w:val="000033DB"/>
    <w:rsid w:val="00003409"/>
    <w:rsid w:val="000036C9"/>
    <w:rsid w:val="0000380C"/>
    <w:rsid w:val="000038D0"/>
    <w:rsid w:val="00003ABA"/>
    <w:rsid w:val="00003E88"/>
    <w:rsid w:val="00004021"/>
    <w:rsid w:val="00004272"/>
    <w:rsid w:val="0000427D"/>
    <w:rsid w:val="00004540"/>
    <w:rsid w:val="000046A8"/>
    <w:rsid w:val="0000496D"/>
    <w:rsid w:val="00004D0C"/>
    <w:rsid w:val="0000506E"/>
    <w:rsid w:val="000053C6"/>
    <w:rsid w:val="0000596A"/>
    <w:rsid w:val="00005995"/>
    <w:rsid w:val="00005A52"/>
    <w:rsid w:val="00005D85"/>
    <w:rsid w:val="00006597"/>
    <w:rsid w:val="00006812"/>
    <w:rsid w:val="00006D20"/>
    <w:rsid w:val="00006D63"/>
    <w:rsid w:val="0000703E"/>
    <w:rsid w:val="000077CB"/>
    <w:rsid w:val="00007CFF"/>
    <w:rsid w:val="00007E7A"/>
    <w:rsid w:val="00010938"/>
    <w:rsid w:val="00010945"/>
    <w:rsid w:val="00010AAB"/>
    <w:rsid w:val="00010E87"/>
    <w:rsid w:val="00010EE9"/>
    <w:rsid w:val="0001153C"/>
    <w:rsid w:val="000115AA"/>
    <w:rsid w:val="0001163A"/>
    <w:rsid w:val="000118FD"/>
    <w:rsid w:val="00011D3A"/>
    <w:rsid w:val="000120D8"/>
    <w:rsid w:val="00012550"/>
    <w:rsid w:val="000130F4"/>
    <w:rsid w:val="00013151"/>
    <w:rsid w:val="00013326"/>
    <w:rsid w:val="000133AC"/>
    <w:rsid w:val="00013C3E"/>
    <w:rsid w:val="00013F93"/>
    <w:rsid w:val="00014287"/>
    <w:rsid w:val="000142AA"/>
    <w:rsid w:val="00014459"/>
    <w:rsid w:val="000146AD"/>
    <w:rsid w:val="00014ACF"/>
    <w:rsid w:val="00014D84"/>
    <w:rsid w:val="00014F20"/>
    <w:rsid w:val="000157AF"/>
    <w:rsid w:val="00015847"/>
    <w:rsid w:val="000161DD"/>
    <w:rsid w:val="000163E4"/>
    <w:rsid w:val="00016552"/>
    <w:rsid w:val="00016656"/>
    <w:rsid w:val="000166F9"/>
    <w:rsid w:val="000167D6"/>
    <w:rsid w:val="000168BF"/>
    <w:rsid w:val="00016A3F"/>
    <w:rsid w:val="00016C2E"/>
    <w:rsid w:val="00016DB5"/>
    <w:rsid w:val="00017151"/>
    <w:rsid w:val="00017459"/>
    <w:rsid w:val="0001769C"/>
    <w:rsid w:val="00017A26"/>
    <w:rsid w:val="00017E9A"/>
    <w:rsid w:val="00017E9B"/>
    <w:rsid w:val="00020272"/>
    <w:rsid w:val="000206B5"/>
    <w:rsid w:val="00020A0D"/>
    <w:rsid w:val="00020B35"/>
    <w:rsid w:val="00020BA4"/>
    <w:rsid w:val="00020D55"/>
    <w:rsid w:val="00020E73"/>
    <w:rsid w:val="000213D3"/>
    <w:rsid w:val="00021B0B"/>
    <w:rsid w:val="00021B76"/>
    <w:rsid w:val="00022022"/>
    <w:rsid w:val="00022628"/>
    <w:rsid w:val="000233FD"/>
    <w:rsid w:val="00023C84"/>
    <w:rsid w:val="00023D98"/>
    <w:rsid w:val="00024C42"/>
    <w:rsid w:val="00024EC4"/>
    <w:rsid w:val="0002504E"/>
    <w:rsid w:val="0002519E"/>
    <w:rsid w:val="000253AE"/>
    <w:rsid w:val="000254CD"/>
    <w:rsid w:val="000256A1"/>
    <w:rsid w:val="00025CDA"/>
    <w:rsid w:val="000261AE"/>
    <w:rsid w:val="0002624F"/>
    <w:rsid w:val="0002694D"/>
    <w:rsid w:val="000269A3"/>
    <w:rsid w:val="00026B22"/>
    <w:rsid w:val="00026B97"/>
    <w:rsid w:val="00026DC0"/>
    <w:rsid w:val="00026ED6"/>
    <w:rsid w:val="000274EF"/>
    <w:rsid w:val="000276DA"/>
    <w:rsid w:val="000279E5"/>
    <w:rsid w:val="00027B01"/>
    <w:rsid w:val="00027C5F"/>
    <w:rsid w:val="00030100"/>
    <w:rsid w:val="00030220"/>
    <w:rsid w:val="00030264"/>
    <w:rsid w:val="00030305"/>
    <w:rsid w:val="000303F7"/>
    <w:rsid w:val="000306BE"/>
    <w:rsid w:val="000307C8"/>
    <w:rsid w:val="00030834"/>
    <w:rsid w:val="00030931"/>
    <w:rsid w:val="00030D3B"/>
    <w:rsid w:val="00030EA6"/>
    <w:rsid w:val="00031105"/>
    <w:rsid w:val="000312FB"/>
    <w:rsid w:val="000313C8"/>
    <w:rsid w:val="000315D0"/>
    <w:rsid w:val="000318F3"/>
    <w:rsid w:val="000324B2"/>
    <w:rsid w:val="00032774"/>
    <w:rsid w:val="00032876"/>
    <w:rsid w:val="00032892"/>
    <w:rsid w:val="00033434"/>
    <w:rsid w:val="000338E9"/>
    <w:rsid w:val="00033986"/>
    <w:rsid w:val="000339EA"/>
    <w:rsid w:val="00033FDA"/>
    <w:rsid w:val="000342E1"/>
    <w:rsid w:val="000342E4"/>
    <w:rsid w:val="0003452D"/>
    <w:rsid w:val="0003481D"/>
    <w:rsid w:val="00034975"/>
    <w:rsid w:val="00034AE6"/>
    <w:rsid w:val="00034BD8"/>
    <w:rsid w:val="00034D90"/>
    <w:rsid w:val="00034F97"/>
    <w:rsid w:val="000352AC"/>
    <w:rsid w:val="00035599"/>
    <w:rsid w:val="0003559F"/>
    <w:rsid w:val="00035792"/>
    <w:rsid w:val="00035A52"/>
    <w:rsid w:val="000367AE"/>
    <w:rsid w:val="000368B1"/>
    <w:rsid w:val="000369E7"/>
    <w:rsid w:val="00036CC4"/>
    <w:rsid w:val="00036F75"/>
    <w:rsid w:val="00037002"/>
    <w:rsid w:val="0003700C"/>
    <w:rsid w:val="0003706E"/>
    <w:rsid w:val="000371B4"/>
    <w:rsid w:val="0003758B"/>
    <w:rsid w:val="000375CD"/>
    <w:rsid w:val="00037C5A"/>
    <w:rsid w:val="00037F69"/>
    <w:rsid w:val="0004046E"/>
    <w:rsid w:val="000404FA"/>
    <w:rsid w:val="000407AA"/>
    <w:rsid w:val="000408A3"/>
    <w:rsid w:val="00040EE6"/>
    <w:rsid w:val="0004111A"/>
    <w:rsid w:val="000418A6"/>
    <w:rsid w:val="000419E4"/>
    <w:rsid w:val="00041C70"/>
    <w:rsid w:val="00041CAB"/>
    <w:rsid w:val="00041D14"/>
    <w:rsid w:val="00041D85"/>
    <w:rsid w:val="00041F36"/>
    <w:rsid w:val="00042952"/>
    <w:rsid w:val="000429ED"/>
    <w:rsid w:val="00042A44"/>
    <w:rsid w:val="00042A87"/>
    <w:rsid w:val="00042AAF"/>
    <w:rsid w:val="00042B94"/>
    <w:rsid w:val="00042C8D"/>
    <w:rsid w:val="00042EB6"/>
    <w:rsid w:val="0004322C"/>
    <w:rsid w:val="000434F1"/>
    <w:rsid w:val="000436F9"/>
    <w:rsid w:val="0004378A"/>
    <w:rsid w:val="000437E6"/>
    <w:rsid w:val="00043A13"/>
    <w:rsid w:val="00043B11"/>
    <w:rsid w:val="000440AB"/>
    <w:rsid w:val="000441F4"/>
    <w:rsid w:val="00044354"/>
    <w:rsid w:val="00044407"/>
    <w:rsid w:val="000446C6"/>
    <w:rsid w:val="00044C1A"/>
    <w:rsid w:val="00044C1E"/>
    <w:rsid w:val="00044C58"/>
    <w:rsid w:val="00044E5B"/>
    <w:rsid w:val="00045288"/>
    <w:rsid w:val="00045816"/>
    <w:rsid w:val="00045846"/>
    <w:rsid w:val="0004595D"/>
    <w:rsid w:val="00045BE1"/>
    <w:rsid w:val="00046578"/>
    <w:rsid w:val="000468F3"/>
    <w:rsid w:val="00046CD8"/>
    <w:rsid w:val="00046FA5"/>
    <w:rsid w:val="000477BA"/>
    <w:rsid w:val="00047FC7"/>
    <w:rsid w:val="000503FB"/>
    <w:rsid w:val="00050611"/>
    <w:rsid w:val="00050761"/>
    <w:rsid w:val="0005094D"/>
    <w:rsid w:val="00050B03"/>
    <w:rsid w:val="00050BB8"/>
    <w:rsid w:val="00050FA4"/>
    <w:rsid w:val="00050FB6"/>
    <w:rsid w:val="00051117"/>
    <w:rsid w:val="00051521"/>
    <w:rsid w:val="0005168A"/>
    <w:rsid w:val="000517E1"/>
    <w:rsid w:val="00051AFD"/>
    <w:rsid w:val="00051C56"/>
    <w:rsid w:val="00051D44"/>
    <w:rsid w:val="000525CC"/>
    <w:rsid w:val="000528AD"/>
    <w:rsid w:val="00052B18"/>
    <w:rsid w:val="00052D74"/>
    <w:rsid w:val="00053154"/>
    <w:rsid w:val="0005320C"/>
    <w:rsid w:val="000533BB"/>
    <w:rsid w:val="00053B66"/>
    <w:rsid w:val="00053D0C"/>
    <w:rsid w:val="00053F66"/>
    <w:rsid w:val="000542DD"/>
    <w:rsid w:val="00054539"/>
    <w:rsid w:val="00054833"/>
    <w:rsid w:val="00055391"/>
    <w:rsid w:val="00055462"/>
    <w:rsid w:val="00055762"/>
    <w:rsid w:val="00055FBB"/>
    <w:rsid w:val="00056199"/>
    <w:rsid w:val="00056999"/>
    <w:rsid w:val="00056BE1"/>
    <w:rsid w:val="00056D87"/>
    <w:rsid w:val="00056DC8"/>
    <w:rsid w:val="00056E0E"/>
    <w:rsid w:val="00056F63"/>
    <w:rsid w:val="00057000"/>
    <w:rsid w:val="0005707C"/>
    <w:rsid w:val="000571CC"/>
    <w:rsid w:val="000572D1"/>
    <w:rsid w:val="000575E0"/>
    <w:rsid w:val="000576F2"/>
    <w:rsid w:val="0005773E"/>
    <w:rsid w:val="0005776D"/>
    <w:rsid w:val="00057B33"/>
    <w:rsid w:val="000601FA"/>
    <w:rsid w:val="00060303"/>
    <w:rsid w:val="0006051B"/>
    <w:rsid w:val="000608A7"/>
    <w:rsid w:val="00060FC6"/>
    <w:rsid w:val="0006101C"/>
    <w:rsid w:val="000612ED"/>
    <w:rsid w:val="00061770"/>
    <w:rsid w:val="0006199F"/>
    <w:rsid w:val="00061E8D"/>
    <w:rsid w:val="000623BB"/>
    <w:rsid w:val="00062448"/>
    <w:rsid w:val="000628EE"/>
    <w:rsid w:val="00062CC8"/>
    <w:rsid w:val="00062D63"/>
    <w:rsid w:val="00062EAC"/>
    <w:rsid w:val="00062EB9"/>
    <w:rsid w:val="00062F66"/>
    <w:rsid w:val="00062F8B"/>
    <w:rsid w:val="000631C3"/>
    <w:rsid w:val="000634BD"/>
    <w:rsid w:val="000639BE"/>
    <w:rsid w:val="00063F15"/>
    <w:rsid w:val="00064DD9"/>
    <w:rsid w:val="00064EE6"/>
    <w:rsid w:val="00064FBC"/>
    <w:rsid w:val="000653D9"/>
    <w:rsid w:val="00065429"/>
    <w:rsid w:val="00065477"/>
    <w:rsid w:val="0006572E"/>
    <w:rsid w:val="00065A4C"/>
    <w:rsid w:val="00065BBA"/>
    <w:rsid w:val="00065EDE"/>
    <w:rsid w:val="00066124"/>
    <w:rsid w:val="00066242"/>
    <w:rsid w:val="00066290"/>
    <w:rsid w:val="000663CB"/>
    <w:rsid w:val="000668BB"/>
    <w:rsid w:val="000669EF"/>
    <w:rsid w:val="00066CAA"/>
    <w:rsid w:val="00066E4B"/>
    <w:rsid w:val="00067051"/>
    <w:rsid w:val="0006754A"/>
    <w:rsid w:val="00067834"/>
    <w:rsid w:val="000678CF"/>
    <w:rsid w:val="000679AB"/>
    <w:rsid w:val="00067D25"/>
    <w:rsid w:val="00067D44"/>
    <w:rsid w:val="000700EC"/>
    <w:rsid w:val="000704D9"/>
    <w:rsid w:val="0007064D"/>
    <w:rsid w:val="00070A8E"/>
    <w:rsid w:val="00070B36"/>
    <w:rsid w:val="00070EDF"/>
    <w:rsid w:val="00070F49"/>
    <w:rsid w:val="00071696"/>
    <w:rsid w:val="000717A6"/>
    <w:rsid w:val="00071996"/>
    <w:rsid w:val="00071AFF"/>
    <w:rsid w:val="00072539"/>
    <w:rsid w:val="0007253C"/>
    <w:rsid w:val="000725A0"/>
    <w:rsid w:val="00072703"/>
    <w:rsid w:val="00072AF0"/>
    <w:rsid w:val="00073101"/>
    <w:rsid w:val="000731EF"/>
    <w:rsid w:val="00073489"/>
    <w:rsid w:val="00073700"/>
    <w:rsid w:val="00073CE8"/>
    <w:rsid w:val="000740DF"/>
    <w:rsid w:val="00074258"/>
    <w:rsid w:val="0007492F"/>
    <w:rsid w:val="00074CBC"/>
    <w:rsid w:val="00075B18"/>
    <w:rsid w:val="00075F1C"/>
    <w:rsid w:val="0007666D"/>
    <w:rsid w:val="00076B23"/>
    <w:rsid w:val="00076C72"/>
    <w:rsid w:val="00076EAC"/>
    <w:rsid w:val="0007705E"/>
    <w:rsid w:val="0007713D"/>
    <w:rsid w:val="0007719E"/>
    <w:rsid w:val="000772C3"/>
    <w:rsid w:val="000773AA"/>
    <w:rsid w:val="000775F6"/>
    <w:rsid w:val="0007772E"/>
    <w:rsid w:val="00077749"/>
    <w:rsid w:val="000777DC"/>
    <w:rsid w:val="00077AF6"/>
    <w:rsid w:val="00077EAC"/>
    <w:rsid w:val="00077FF5"/>
    <w:rsid w:val="00080510"/>
    <w:rsid w:val="00080838"/>
    <w:rsid w:val="000808DC"/>
    <w:rsid w:val="00080A4A"/>
    <w:rsid w:val="00080D97"/>
    <w:rsid w:val="00080F68"/>
    <w:rsid w:val="0008134F"/>
    <w:rsid w:val="00081488"/>
    <w:rsid w:val="00081671"/>
    <w:rsid w:val="0008186A"/>
    <w:rsid w:val="00081A29"/>
    <w:rsid w:val="00081C08"/>
    <w:rsid w:val="0008206C"/>
    <w:rsid w:val="0008268F"/>
    <w:rsid w:val="0008280F"/>
    <w:rsid w:val="00082A8F"/>
    <w:rsid w:val="00082E7A"/>
    <w:rsid w:val="00082F81"/>
    <w:rsid w:val="000831F6"/>
    <w:rsid w:val="00083443"/>
    <w:rsid w:val="00083AE8"/>
    <w:rsid w:val="00083B45"/>
    <w:rsid w:val="00083C0E"/>
    <w:rsid w:val="00083C90"/>
    <w:rsid w:val="00083DF9"/>
    <w:rsid w:val="00083F76"/>
    <w:rsid w:val="0008456E"/>
    <w:rsid w:val="00084652"/>
    <w:rsid w:val="000847A0"/>
    <w:rsid w:val="00084851"/>
    <w:rsid w:val="00085428"/>
    <w:rsid w:val="000855D0"/>
    <w:rsid w:val="0008573B"/>
    <w:rsid w:val="00085B2B"/>
    <w:rsid w:val="00085E73"/>
    <w:rsid w:val="00085FAB"/>
    <w:rsid w:val="000860C6"/>
    <w:rsid w:val="00086188"/>
    <w:rsid w:val="00086220"/>
    <w:rsid w:val="0008625F"/>
    <w:rsid w:val="00086A64"/>
    <w:rsid w:val="00086ADC"/>
    <w:rsid w:val="00086B9E"/>
    <w:rsid w:val="00086BC7"/>
    <w:rsid w:val="00086E9F"/>
    <w:rsid w:val="00087102"/>
    <w:rsid w:val="00087692"/>
    <w:rsid w:val="000879D9"/>
    <w:rsid w:val="00090325"/>
    <w:rsid w:val="000905E7"/>
    <w:rsid w:val="00090656"/>
    <w:rsid w:val="00090746"/>
    <w:rsid w:val="0009089A"/>
    <w:rsid w:val="00090A65"/>
    <w:rsid w:val="00091115"/>
    <w:rsid w:val="00091232"/>
    <w:rsid w:val="000912DE"/>
    <w:rsid w:val="00091958"/>
    <w:rsid w:val="00091B9E"/>
    <w:rsid w:val="00091D83"/>
    <w:rsid w:val="00092190"/>
    <w:rsid w:val="000922A5"/>
    <w:rsid w:val="000925FE"/>
    <w:rsid w:val="0009291F"/>
    <w:rsid w:val="00092998"/>
    <w:rsid w:val="000929E1"/>
    <w:rsid w:val="00092BC2"/>
    <w:rsid w:val="000930AB"/>
    <w:rsid w:val="00093222"/>
    <w:rsid w:val="00094248"/>
    <w:rsid w:val="00094330"/>
    <w:rsid w:val="00094509"/>
    <w:rsid w:val="00094791"/>
    <w:rsid w:val="00094FCC"/>
    <w:rsid w:val="00094FE3"/>
    <w:rsid w:val="00095461"/>
    <w:rsid w:val="00095D4D"/>
    <w:rsid w:val="00095DC2"/>
    <w:rsid w:val="00096215"/>
    <w:rsid w:val="0009626E"/>
    <w:rsid w:val="00096448"/>
    <w:rsid w:val="00096689"/>
    <w:rsid w:val="00096771"/>
    <w:rsid w:val="00096791"/>
    <w:rsid w:val="000969C6"/>
    <w:rsid w:val="00096AC2"/>
    <w:rsid w:val="000972E4"/>
    <w:rsid w:val="000973FA"/>
    <w:rsid w:val="0009792F"/>
    <w:rsid w:val="00097F2E"/>
    <w:rsid w:val="000A0337"/>
    <w:rsid w:val="000A0753"/>
    <w:rsid w:val="000A0A25"/>
    <w:rsid w:val="000A0B5C"/>
    <w:rsid w:val="000A0D7F"/>
    <w:rsid w:val="000A154D"/>
    <w:rsid w:val="000A15E6"/>
    <w:rsid w:val="000A1765"/>
    <w:rsid w:val="000A1788"/>
    <w:rsid w:val="000A17C7"/>
    <w:rsid w:val="000A1CBE"/>
    <w:rsid w:val="000A1EE0"/>
    <w:rsid w:val="000A2454"/>
    <w:rsid w:val="000A2537"/>
    <w:rsid w:val="000A26DA"/>
    <w:rsid w:val="000A33BE"/>
    <w:rsid w:val="000A399D"/>
    <w:rsid w:val="000A3BEB"/>
    <w:rsid w:val="000A4047"/>
    <w:rsid w:val="000A4314"/>
    <w:rsid w:val="000A4BD0"/>
    <w:rsid w:val="000A4C08"/>
    <w:rsid w:val="000A4CCA"/>
    <w:rsid w:val="000A511C"/>
    <w:rsid w:val="000A520A"/>
    <w:rsid w:val="000A52B0"/>
    <w:rsid w:val="000A5323"/>
    <w:rsid w:val="000A55C2"/>
    <w:rsid w:val="000A55FB"/>
    <w:rsid w:val="000A5821"/>
    <w:rsid w:val="000A5909"/>
    <w:rsid w:val="000A5994"/>
    <w:rsid w:val="000A5CDC"/>
    <w:rsid w:val="000A600F"/>
    <w:rsid w:val="000A6395"/>
    <w:rsid w:val="000A6644"/>
    <w:rsid w:val="000A6B23"/>
    <w:rsid w:val="000A6B95"/>
    <w:rsid w:val="000A6DAB"/>
    <w:rsid w:val="000A6E90"/>
    <w:rsid w:val="000A6EBB"/>
    <w:rsid w:val="000A767C"/>
    <w:rsid w:val="000A7685"/>
    <w:rsid w:val="000A768A"/>
    <w:rsid w:val="000A7772"/>
    <w:rsid w:val="000A77A6"/>
    <w:rsid w:val="000A79B5"/>
    <w:rsid w:val="000A7BC8"/>
    <w:rsid w:val="000A7CF2"/>
    <w:rsid w:val="000B0A80"/>
    <w:rsid w:val="000B0DEB"/>
    <w:rsid w:val="000B1010"/>
    <w:rsid w:val="000B120A"/>
    <w:rsid w:val="000B1217"/>
    <w:rsid w:val="000B12AA"/>
    <w:rsid w:val="000B1326"/>
    <w:rsid w:val="000B1A18"/>
    <w:rsid w:val="000B1B7C"/>
    <w:rsid w:val="000B205B"/>
    <w:rsid w:val="000B22FA"/>
    <w:rsid w:val="000B2700"/>
    <w:rsid w:val="000B2964"/>
    <w:rsid w:val="000B2F12"/>
    <w:rsid w:val="000B2F5E"/>
    <w:rsid w:val="000B32B4"/>
    <w:rsid w:val="000B353F"/>
    <w:rsid w:val="000B3613"/>
    <w:rsid w:val="000B39CE"/>
    <w:rsid w:val="000B3B0C"/>
    <w:rsid w:val="000B3CC6"/>
    <w:rsid w:val="000B3D85"/>
    <w:rsid w:val="000B3E30"/>
    <w:rsid w:val="000B409C"/>
    <w:rsid w:val="000B414E"/>
    <w:rsid w:val="000B41A5"/>
    <w:rsid w:val="000B41BA"/>
    <w:rsid w:val="000B47D5"/>
    <w:rsid w:val="000B495F"/>
    <w:rsid w:val="000B4DBF"/>
    <w:rsid w:val="000B5252"/>
    <w:rsid w:val="000B54D9"/>
    <w:rsid w:val="000B561D"/>
    <w:rsid w:val="000B57C8"/>
    <w:rsid w:val="000B5B51"/>
    <w:rsid w:val="000B5B8E"/>
    <w:rsid w:val="000B5C94"/>
    <w:rsid w:val="000B60F2"/>
    <w:rsid w:val="000B62AF"/>
    <w:rsid w:val="000B66EB"/>
    <w:rsid w:val="000B697F"/>
    <w:rsid w:val="000B6A2A"/>
    <w:rsid w:val="000B6A5E"/>
    <w:rsid w:val="000B6E9D"/>
    <w:rsid w:val="000B7D69"/>
    <w:rsid w:val="000C07A9"/>
    <w:rsid w:val="000C0980"/>
    <w:rsid w:val="000C17EC"/>
    <w:rsid w:val="000C18BC"/>
    <w:rsid w:val="000C2153"/>
    <w:rsid w:val="000C2928"/>
    <w:rsid w:val="000C2C4E"/>
    <w:rsid w:val="000C2D9D"/>
    <w:rsid w:val="000C3195"/>
    <w:rsid w:val="000C3397"/>
    <w:rsid w:val="000C3456"/>
    <w:rsid w:val="000C3645"/>
    <w:rsid w:val="000C3BCB"/>
    <w:rsid w:val="000C3BCE"/>
    <w:rsid w:val="000C3BD6"/>
    <w:rsid w:val="000C3BE5"/>
    <w:rsid w:val="000C3E52"/>
    <w:rsid w:val="000C45FF"/>
    <w:rsid w:val="000C4729"/>
    <w:rsid w:val="000C48A4"/>
    <w:rsid w:val="000C4BDD"/>
    <w:rsid w:val="000C4C9B"/>
    <w:rsid w:val="000C501E"/>
    <w:rsid w:val="000C5064"/>
    <w:rsid w:val="000C5510"/>
    <w:rsid w:val="000C5566"/>
    <w:rsid w:val="000C593B"/>
    <w:rsid w:val="000C5AFE"/>
    <w:rsid w:val="000C5B49"/>
    <w:rsid w:val="000C5C90"/>
    <w:rsid w:val="000C6922"/>
    <w:rsid w:val="000C7037"/>
    <w:rsid w:val="000C7180"/>
    <w:rsid w:val="000C72DE"/>
    <w:rsid w:val="000C731C"/>
    <w:rsid w:val="000C76F3"/>
    <w:rsid w:val="000C7817"/>
    <w:rsid w:val="000C7B2F"/>
    <w:rsid w:val="000C7C05"/>
    <w:rsid w:val="000D0182"/>
    <w:rsid w:val="000D0270"/>
    <w:rsid w:val="000D0337"/>
    <w:rsid w:val="000D0D14"/>
    <w:rsid w:val="000D0DD4"/>
    <w:rsid w:val="000D16B4"/>
    <w:rsid w:val="000D16ED"/>
    <w:rsid w:val="000D17E0"/>
    <w:rsid w:val="000D186D"/>
    <w:rsid w:val="000D1AF1"/>
    <w:rsid w:val="000D1BD2"/>
    <w:rsid w:val="000D1CB7"/>
    <w:rsid w:val="000D1E27"/>
    <w:rsid w:val="000D1E57"/>
    <w:rsid w:val="000D2672"/>
    <w:rsid w:val="000D2728"/>
    <w:rsid w:val="000D29A2"/>
    <w:rsid w:val="000D29C1"/>
    <w:rsid w:val="000D2C34"/>
    <w:rsid w:val="000D3303"/>
    <w:rsid w:val="000D3379"/>
    <w:rsid w:val="000D367C"/>
    <w:rsid w:val="000D36D5"/>
    <w:rsid w:val="000D382C"/>
    <w:rsid w:val="000D3FC2"/>
    <w:rsid w:val="000D442B"/>
    <w:rsid w:val="000D4C8E"/>
    <w:rsid w:val="000D531B"/>
    <w:rsid w:val="000D53E3"/>
    <w:rsid w:val="000D540D"/>
    <w:rsid w:val="000D555E"/>
    <w:rsid w:val="000D5DB7"/>
    <w:rsid w:val="000D6608"/>
    <w:rsid w:val="000D675D"/>
    <w:rsid w:val="000D6761"/>
    <w:rsid w:val="000D6783"/>
    <w:rsid w:val="000D6AAB"/>
    <w:rsid w:val="000D6BC1"/>
    <w:rsid w:val="000D6CA0"/>
    <w:rsid w:val="000D6D30"/>
    <w:rsid w:val="000D6EA3"/>
    <w:rsid w:val="000D6F09"/>
    <w:rsid w:val="000D7731"/>
    <w:rsid w:val="000D78C7"/>
    <w:rsid w:val="000E0782"/>
    <w:rsid w:val="000E0969"/>
    <w:rsid w:val="000E0A3E"/>
    <w:rsid w:val="000E0DF6"/>
    <w:rsid w:val="000E0F20"/>
    <w:rsid w:val="000E14D1"/>
    <w:rsid w:val="000E1945"/>
    <w:rsid w:val="000E1D51"/>
    <w:rsid w:val="000E2087"/>
    <w:rsid w:val="000E26B1"/>
    <w:rsid w:val="000E273E"/>
    <w:rsid w:val="000E291E"/>
    <w:rsid w:val="000E2C71"/>
    <w:rsid w:val="000E2D59"/>
    <w:rsid w:val="000E38FF"/>
    <w:rsid w:val="000E3C8B"/>
    <w:rsid w:val="000E40A2"/>
    <w:rsid w:val="000E4393"/>
    <w:rsid w:val="000E43F7"/>
    <w:rsid w:val="000E45B1"/>
    <w:rsid w:val="000E4810"/>
    <w:rsid w:val="000E4E2E"/>
    <w:rsid w:val="000E4F36"/>
    <w:rsid w:val="000E50B5"/>
    <w:rsid w:val="000E51B6"/>
    <w:rsid w:val="000E520C"/>
    <w:rsid w:val="000E5218"/>
    <w:rsid w:val="000E5241"/>
    <w:rsid w:val="000E5719"/>
    <w:rsid w:val="000E5A73"/>
    <w:rsid w:val="000E5F41"/>
    <w:rsid w:val="000E61D6"/>
    <w:rsid w:val="000E6292"/>
    <w:rsid w:val="000E6AE2"/>
    <w:rsid w:val="000E734B"/>
    <w:rsid w:val="000E73B5"/>
    <w:rsid w:val="000E74A0"/>
    <w:rsid w:val="000E7700"/>
    <w:rsid w:val="000E7734"/>
    <w:rsid w:val="000E7A2B"/>
    <w:rsid w:val="000F0A0F"/>
    <w:rsid w:val="000F0AA6"/>
    <w:rsid w:val="000F10BC"/>
    <w:rsid w:val="000F114E"/>
    <w:rsid w:val="000F11A5"/>
    <w:rsid w:val="000F121A"/>
    <w:rsid w:val="000F13A8"/>
    <w:rsid w:val="000F1698"/>
    <w:rsid w:val="000F1B90"/>
    <w:rsid w:val="000F2153"/>
    <w:rsid w:val="000F22CE"/>
    <w:rsid w:val="000F30AD"/>
    <w:rsid w:val="000F34F5"/>
    <w:rsid w:val="000F3709"/>
    <w:rsid w:val="000F391E"/>
    <w:rsid w:val="000F3973"/>
    <w:rsid w:val="000F3DEC"/>
    <w:rsid w:val="000F3E2F"/>
    <w:rsid w:val="000F3FEC"/>
    <w:rsid w:val="000F42C5"/>
    <w:rsid w:val="000F44D6"/>
    <w:rsid w:val="000F4649"/>
    <w:rsid w:val="000F4A19"/>
    <w:rsid w:val="000F53E9"/>
    <w:rsid w:val="000F58A7"/>
    <w:rsid w:val="000F58D2"/>
    <w:rsid w:val="000F5BE5"/>
    <w:rsid w:val="000F64CB"/>
    <w:rsid w:val="000F66EF"/>
    <w:rsid w:val="000F68AE"/>
    <w:rsid w:val="000F6D7E"/>
    <w:rsid w:val="000F6F92"/>
    <w:rsid w:val="000F7138"/>
    <w:rsid w:val="000F73FE"/>
    <w:rsid w:val="000F74B0"/>
    <w:rsid w:val="000F74D8"/>
    <w:rsid w:val="000F7516"/>
    <w:rsid w:val="000F7670"/>
    <w:rsid w:val="000F79A6"/>
    <w:rsid w:val="000F79E5"/>
    <w:rsid w:val="000F7E81"/>
    <w:rsid w:val="000F7F47"/>
    <w:rsid w:val="00100122"/>
    <w:rsid w:val="001003DC"/>
    <w:rsid w:val="00100612"/>
    <w:rsid w:val="001006BB"/>
    <w:rsid w:val="00100A10"/>
    <w:rsid w:val="00100FBB"/>
    <w:rsid w:val="00100FF2"/>
    <w:rsid w:val="001012E5"/>
    <w:rsid w:val="0010195A"/>
    <w:rsid w:val="0010196C"/>
    <w:rsid w:val="00101BB0"/>
    <w:rsid w:val="0010227B"/>
    <w:rsid w:val="00102479"/>
    <w:rsid w:val="001030E4"/>
    <w:rsid w:val="00103300"/>
    <w:rsid w:val="00103C0C"/>
    <w:rsid w:val="00103F8E"/>
    <w:rsid w:val="00104011"/>
    <w:rsid w:val="00104746"/>
    <w:rsid w:val="001049D0"/>
    <w:rsid w:val="00104D38"/>
    <w:rsid w:val="001052AD"/>
    <w:rsid w:val="00105DAF"/>
    <w:rsid w:val="00105ED1"/>
    <w:rsid w:val="001062A3"/>
    <w:rsid w:val="0010641B"/>
    <w:rsid w:val="001064B8"/>
    <w:rsid w:val="00106892"/>
    <w:rsid w:val="00106B7E"/>
    <w:rsid w:val="00106F93"/>
    <w:rsid w:val="00107120"/>
    <w:rsid w:val="00107827"/>
    <w:rsid w:val="0010798C"/>
    <w:rsid w:val="0011007D"/>
    <w:rsid w:val="001100C7"/>
    <w:rsid w:val="00110111"/>
    <w:rsid w:val="001105D7"/>
    <w:rsid w:val="0011064D"/>
    <w:rsid w:val="00110798"/>
    <w:rsid w:val="00110B9A"/>
    <w:rsid w:val="00110CE0"/>
    <w:rsid w:val="00111132"/>
    <w:rsid w:val="0011120D"/>
    <w:rsid w:val="0011173F"/>
    <w:rsid w:val="00111E5E"/>
    <w:rsid w:val="0011211C"/>
    <w:rsid w:val="001123D5"/>
    <w:rsid w:val="00112525"/>
    <w:rsid w:val="001125D8"/>
    <w:rsid w:val="0011263C"/>
    <w:rsid w:val="0011263E"/>
    <w:rsid w:val="00112671"/>
    <w:rsid w:val="00112752"/>
    <w:rsid w:val="0011280F"/>
    <w:rsid w:val="001128C1"/>
    <w:rsid w:val="00112932"/>
    <w:rsid w:val="00113014"/>
    <w:rsid w:val="00113CE8"/>
    <w:rsid w:val="00113FBF"/>
    <w:rsid w:val="001140B4"/>
    <w:rsid w:val="001142E7"/>
    <w:rsid w:val="001146B4"/>
    <w:rsid w:val="00114E09"/>
    <w:rsid w:val="001150F3"/>
    <w:rsid w:val="001152CE"/>
    <w:rsid w:val="001154C5"/>
    <w:rsid w:val="00115771"/>
    <w:rsid w:val="001158A5"/>
    <w:rsid w:val="0011592A"/>
    <w:rsid w:val="00115A8D"/>
    <w:rsid w:val="00115C66"/>
    <w:rsid w:val="00115D1B"/>
    <w:rsid w:val="00116472"/>
    <w:rsid w:val="001164E0"/>
    <w:rsid w:val="00116871"/>
    <w:rsid w:val="00116F5D"/>
    <w:rsid w:val="001172F1"/>
    <w:rsid w:val="0011731D"/>
    <w:rsid w:val="00117677"/>
    <w:rsid w:val="00117847"/>
    <w:rsid w:val="001179F8"/>
    <w:rsid w:val="00117E40"/>
    <w:rsid w:val="00117E7C"/>
    <w:rsid w:val="00117ECC"/>
    <w:rsid w:val="00117FC7"/>
    <w:rsid w:val="00117FFB"/>
    <w:rsid w:val="001205A8"/>
    <w:rsid w:val="001205BB"/>
    <w:rsid w:val="00120B06"/>
    <w:rsid w:val="00121096"/>
    <w:rsid w:val="001214EF"/>
    <w:rsid w:val="001214FC"/>
    <w:rsid w:val="00121B27"/>
    <w:rsid w:val="00121C2D"/>
    <w:rsid w:val="00121F7B"/>
    <w:rsid w:val="0012247C"/>
    <w:rsid w:val="001225C2"/>
    <w:rsid w:val="00122869"/>
    <w:rsid w:val="00122F04"/>
    <w:rsid w:val="0012385E"/>
    <w:rsid w:val="00123936"/>
    <w:rsid w:val="001239CD"/>
    <w:rsid w:val="00123FAE"/>
    <w:rsid w:val="00124250"/>
    <w:rsid w:val="00124695"/>
    <w:rsid w:val="00124A13"/>
    <w:rsid w:val="00124AEC"/>
    <w:rsid w:val="00124D0D"/>
    <w:rsid w:val="00124E7F"/>
    <w:rsid w:val="0012516B"/>
    <w:rsid w:val="00125441"/>
    <w:rsid w:val="0012562A"/>
    <w:rsid w:val="0012562B"/>
    <w:rsid w:val="00125978"/>
    <w:rsid w:val="001262AB"/>
    <w:rsid w:val="00127344"/>
    <w:rsid w:val="00127445"/>
    <w:rsid w:val="00127446"/>
    <w:rsid w:val="00127559"/>
    <w:rsid w:val="00127756"/>
    <w:rsid w:val="00127841"/>
    <w:rsid w:val="00127DB8"/>
    <w:rsid w:val="00127E17"/>
    <w:rsid w:val="00130350"/>
    <w:rsid w:val="00130A7D"/>
    <w:rsid w:val="00130B2D"/>
    <w:rsid w:val="00130C42"/>
    <w:rsid w:val="00130DCE"/>
    <w:rsid w:val="00130F68"/>
    <w:rsid w:val="0013157B"/>
    <w:rsid w:val="00131924"/>
    <w:rsid w:val="00131A98"/>
    <w:rsid w:val="00131CEB"/>
    <w:rsid w:val="0013206C"/>
    <w:rsid w:val="00132666"/>
    <w:rsid w:val="0013277A"/>
    <w:rsid w:val="00132895"/>
    <w:rsid w:val="001328EA"/>
    <w:rsid w:val="00132B4C"/>
    <w:rsid w:val="001332CB"/>
    <w:rsid w:val="00133372"/>
    <w:rsid w:val="0013346C"/>
    <w:rsid w:val="001339D9"/>
    <w:rsid w:val="001345F6"/>
    <w:rsid w:val="00134858"/>
    <w:rsid w:val="001348CD"/>
    <w:rsid w:val="00134B64"/>
    <w:rsid w:val="00134BDE"/>
    <w:rsid w:val="00134E0D"/>
    <w:rsid w:val="001353D2"/>
    <w:rsid w:val="00135CB6"/>
    <w:rsid w:val="001361FD"/>
    <w:rsid w:val="001362CE"/>
    <w:rsid w:val="001362E7"/>
    <w:rsid w:val="00136300"/>
    <w:rsid w:val="0013695C"/>
    <w:rsid w:val="00136E8C"/>
    <w:rsid w:val="00137AD0"/>
    <w:rsid w:val="00140C65"/>
    <w:rsid w:val="0014117C"/>
    <w:rsid w:val="0014161D"/>
    <w:rsid w:val="0014172E"/>
    <w:rsid w:val="001419A2"/>
    <w:rsid w:val="0014269B"/>
    <w:rsid w:val="001428A8"/>
    <w:rsid w:val="00142F25"/>
    <w:rsid w:val="00143929"/>
    <w:rsid w:val="001439CF"/>
    <w:rsid w:val="00143C0B"/>
    <w:rsid w:val="00144501"/>
    <w:rsid w:val="00144503"/>
    <w:rsid w:val="001448E7"/>
    <w:rsid w:val="00144AB1"/>
    <w:rsid w:val="00144C72"/>
    <w:rsid w:val="00144DE1"/>
    <w:rsid w:val="00144DFA"/>
    <w:rsid w:val="00144F0B"/>
    <w:rsid w:val="001451C8"/>
    <w:rsid w:val="00145549"/>
    <w:rsid w:val="00145718"/>
    <w:rsid w:val="00145725"/>
    <w:rsid w:val="00145D98"/>
    <w:rsid w:val="00145FA0"/>
    <w:rsid w:val="0014629A"/>
    <w:rsid w:val="001467F1"/>
    <w:rsid w:val="00146BF1"/>
    <w:rsid w:val="00146C30"/>
    <w:rsid w:val="00146DAA"/>
    <w:rsid w:val="00146DE0"/>
    <w:rsid w:val="001470CF"/>
    <w:rsid w:val="001477D7"/>
    <w:rsid w:val="001478D0"/>
    <w:rsid w:val="00147AFE"/>
    <w:rsid w:val="00147F3A"/>
    <w:rsid w:val="00147FDA"/>
    <w:rsid w:val="00150090"/>
    <w:rsid w:val="00150B4E"/>
    <w:rsid w:val="00150CA3"/>
    <w:rsid w:val="00150DAB"/>
    <w:rsid w:val="001510DB"/>
    <w:rsid w:val="001513E3"/>
    <w:rsid w:val="00151437"/>
    <w:rsid w:val="00151FF3"/>
    <w:rsid w:val="001525C1"/>
    <w:rsid w:val="0015285C"/>
    <w:rsid w:val="00152AB9"/>
    <w:rsid w:val="00152EE7"/>
    <w:rsid w:val="001531D4"/>
    <w:rsid w:val="001533B9"/>
    <w:rsid w:val="001537CB"/>
    <w:rsid w:val="00153CAE"/>
    <w:rsid w:val="00153CBA"/>
    <w:rsid w:val="00153E4F"/>
    <w:rsid w:val="0015419F"/>
    <w:rsid w:val="001541C1"/>
    <w:rsid w:val="00154530"/>
    <w:rsid w:val="0015495C"/>
    <w:rsid w:val="00154C98"/>
    <w:rsid w:val="00154E6C"/>
    <w:rsid w:val="00154F0B"/>
    <w:rsid w:val="00154F67"/>
    <w:rsid w:val="001557D0"/>
    <w:rsid w:val="001558AE"/>
    <w:rsid w:val="001558C4"/>
    <w:rsid w:val="001558E3"/>
    <w:rsid w:val="00155BF2"/>
    <w:rsid w:val="00155F48"/>
    <w:rsid w:val="00155F52"/>
    <w:rsid w:val="0015622C"/>
    <w:rsid w:val="0015660E"/>
    <w:rsid w:val="00156A9F"/>
    <w:rsid w:val="00156C21"/>
    <w:rsid w:val="00156C45"/>
    <w:rsid w:val="00156F71"/>
    <w:rsid w:val="00156FE1"/>
    <w:rsid w:val="0015705E"/>
    <w:rsid w:val="001572C1"/>
    <w:rsid w:val="0015775B"/>
    <w:rsid w:val="0015784C"/>
    <w:rsid w:val="00160617"/>
    <w:rsid w:val="0016092F"/>
    <w:rsid w:val="00160A66"/>
    <w:rsid w:val="00160CC0"/>
    <w:rsid w:val="00160DD0"/>
    <w:rsid w:val="001613F1"/>
    <w:rsid w:val="0016159F"/>
    <w:rsid w:val="001617C7"/>
    <w:rsid w:val="0016185C"/>
    <w:rsid w:val="00161B19"/>
    <w:rsid w:val="00161CF0"/>
    <w:rsid w:val="00161D9B"/>
    <w:rsid w:val="00161F6F"/>
    <w:rsid w:val="00162103"/>
    <w:rsid w:val="0016245E"/>
    <w:rsid w:val="0016254F"/>
    <w:rsid w:val="0016262C"/>
    <w:rsid w:val="00162854"/>
    <w:rsid w:val="001628A7"/>
    <w:rsid w:val="00162A2F"/>
    <w:rsid w:val="00162BF3"/>
    <w:rsid w:val="00162CA9"/>
    <w:rsid w:val="00162CF5"/>
    <w:rsid w:val="00162DBA"/>
    <w:rsid w:val="00162EB0"/>
    <w:rsid w:val="001632E0"/>
    <w:rsid w:val="001636F0"/>
    <w:rsid w:val="00163922"/>
    <w:rsid w:val="00163AB1"/>
    <w:rsid w:val="001640F9"/>
    <w:rsid w:val="00164270"/>
    <w:rsid w:val="00164446"/>
    <w:rsid w:val="00164594"/>
    <w:rsid w:val="0016485C"/>
    <w:rsid w:val="00164FC9"/>
    <w:rsid w:val="001652C4"/>
    <w:rsid w:val="00165693"/>
    <w:rsid w:val="001659E0"/>
    <w:rsid w:val="00165C47"/>
    <w:rsid w:val="00165D65"/>
    <w:rsid w:val="00165E2E"/>
    <w:rsid w:val="0016632C"/>
    <w:rsid w:val="00166648"/>
    <w:rsid w:val="0016671D"/>
    <w:rsid w:val="001667D4"/>
    <w:rsid w:val="00167128"/>
    <w:rsid w:val="0016733C"/>
    <w:rsid w:val="0016763E"/>
    <w:rsid w:val="00167891"/>
    <w:rsid w:val="00167A36"/>
    <w:rsid w:val="00167A74"/>
    <w:rsid w:val="00167AE4"/>
    <w:rsid w:val="00167B16"/>
    <w:rsid w:val="00167F67"/>
    <w:rsid w:val="0017060F"/>
    <w:rsid w:val="0017078D"/>
    <w:rsid w:val="001707C3"/>
    <w:rsid w:val="0017128E"/>
    <w:rsid w:val="00171429"/>
    <w:rsid w:val="001715D3"/>
    <w:rsid w:val="00171746"/>
    <w:rsid w:val="001717E0"/>
    <w:rsid w:val="00171804"/>
    <w:rsid w:val="00171950"/>
    <w:rsid w:val="0017238D"/>
    <w:rsid w:val="00172855"/>
    <w:rsid w:val="00172A6C"/>
    <w:rsid w:val="00172AE8"/>
    <w:rsid w:val="00172E71"/>
    <w:rsid w:val="0017346F"/>
    <w:rsid w:val="00173A68"/>
    <w:rsid w:val="00173FD5"/>
    <w:rsid w:val="001741ED"/>
    <w:rsid w:val="0017427B"/>
    <w:rsid w:val="001745EA"/>
    <w:rsid w:val="0017484C"/>
    <w:rsid w:val="00174970"/>
    <w:rsid w:val="00174FC4"/>
    <w:rsid w:val="00175125"/>
    <w:rsid w:val="001757C8"/>
    <w:rsid w:val="0017582D"/>
    <w:rsid w:val="00175DD3"/>
    <w:rsid w:val="001760B9"/>
    <w:rsid w:val="001765F2"/>
    <w:rsid w:val="00176D08"/>
    <w:rsid w:val="0017737C"/>
    <w:rsid w:val="00177B79"/>
    <w:rsid w:val="00177F2E"/>
    <w:rsid w:val="00180056"/>
    <w:rsid w:val="00180226"/>
    <w:rsid w:val="00180341"/>
    <w:rsid w:val="001803B3"/>
    <w:rsid w:val="001804DD"/>
    <w:rsid w:val="00180765"/>
    <w:rsid w:val="001810C9"/>
    <w:rsid w:val="001812F6"/>
    <w:rsid w:val="001825FB"/>
    <w:rsid w:val="00182D86"/>
    <w:rsid w:val="00182F7A"/>
    <w:rsid w:val="00182FF2"/>
    <w:rsid w:val="001830FE"/>
    <w:rsid w:val="0018321C"/>
    <w:rsid w:val="001833C2"/>
    <w:rsid w:val="00183429"/>
    <w:rsid w:val="00183666"/>
    <w:rsid w:val="00183713"/>
    <w:rsid w:val="00183A5B"/>
    <w:rsid w:val="00184180"/>
    <w:rsid w:val="001841F1"/>
    <w:rsid w:val="001844CC"/>
    <w:rsid w:val="0018477A"/>
    <w:rsid w:val="00184A9D"/>
    <w:rsid w:val="001858A7"/>
    <w:rsid w:val="00185B50"/>
    <w:rsid w:val="00185D13"/>
    <w:rsid w:val="001862AF"/>
    <w:rsid w:val="001867EC"/>
    <w:rsid w:val="001867EF"/>
    <w:rsid w:val="00186A3A"/>
    <w:rsid w:val="00186BA2"/>
    <w:rsid w:val="00186F47"/>
    <w:rsid w:val="00187154"/>
    <w:rsid w:val="00187689"/>
    <w:rsid w:val="001876F2"/>
    <w:rsid w:val="00187849"/>
    <w:rsid w:val="001878D5"/>
    <w:rsid w:val="001879FA"/>
    <w:rsid w:val="00187A84"/>
    <w:rsid w:val="00187CD2"/>
    <w:rsid w:val="00187F97"/>
    <w:rsid w:val="00187FD8"/>
    <w:rsid w:val="00190186"/>
    <w:rsid w:val="00190252"/>
    <w:rsid w:val="001902BA"/>
    <w:rsid w:val="00190AD9"/>
    <w:rsid w:val="00190B7E"/>
    <w:rsid w:val="00190C00"/>
    <w:rsid w:val="00190D9E"/>
    <w:rsid w:val="0019147F"/>
    <w:rsid w:val="001915E5"/>
    <w:rsid w:val="00191B30"/>
    <w:rsid w:val="00192142"/>
    <w:rsid w:val="00192206"/>
    <w:rsid w:val="00192612"/>
    <w:rsid w:val="0019270D"/>
    <w:rsid w:val="00192812"/>
    <w:rsid w:val="00192CDB"/>
    <w:rsid w:val="00192F7C"/>
    <w:rsid w:val="00192FEF"/>
    <w:rsid w:val="00193839"/>
    <w:rsid w:val="00193BE1"/>
    <w:rsid w:val="00193F81"/>
    <w:rsid w:val="00194063"/>
    <w:rsid w:val="00194376"/>
    <w:rsid w:val="001943C1"/>
    <w:rsid w:val="00194638"/>
    <w:rsid w:val="00194819"/>
    <w:rsid w:val="00194D53"/>
    <w:rsid w:val="00194EE3"/>
    <w:rsid w:val="00195067"/>
    <w:rsid w:val="001954BD"/>
    <w:rsid w:val="001956C3"/>
    <w:rsid w:val="00195A76"/>
    <w:rsid w:val="00196131"/>
    <w:rsid w:val="0019615C"/>
    <w:rsid w:val="00196171"/>
    <w:rsid w:val="001964D1"/>
    <w:rsid w:val="0019663C"/>
    <w:rsid w:val="00196C60"/>
    <w:rsid w:val="00196EB8"/>
    <w:rsid w:val="001970BD"/>
    <w:rsid w:val="001975BB"/>
    <w:rsid w:val="00197A36"/>
    <w:rsid w:val="00197C03"/>
    <w:rsid w:val="00197FB3"/>
    <w:rsid w:val="001A0470"/>
    <w:rsid w:val="001A0EE0"/>
    <w:rsid w:val="001A15BC"/>
    <w:rsid w:val="001A1BBC"/>
    <w:rsid w:val="001A1C48"/>
    <w:rsid w:val="001A1CEF"/>
    <w:rsid w:val="001A1F7D"/>
    <w:rsid w:val="001A243D"/>
    <w:rsid w:val="001A252F"/>
    <w:rsid w:val="001A2534"/>
    <w:rsid w:val="001A256D"/>
    <w:rsid w:val="001A2587"/>
    <w:rsid w:val="001A2696"/>
    <w:rsid w:val="001A271C"/>
    <w:rsid w:val="001A27BB"/>
    <w:rsid w:val="001A2A83"/>
    <w:rsid w:val="001A2AF4"/>
    <w:rsid w:val="001A2DE2"/>
    <w:rsid w:val="001A2E8A"/>
    <w:rsid w:val="001A3562"/>
    <w:rsid w:val="001A37E2"/>
    <w:rsid w:val="001A3ED0"/>
    <w:rsid w:val="001A3FE9"/>
    <w:rsid w:val="001A413A"/>
    <w:rsid w:val="001A449B"/>
    <w:rsid w:val="001A4C3C"/>
    <w:rsid w:val="001A5384"/>
    <w:rsid w:val="001A579C"/>
    <w:rsid w:val="001A5FFE"/>
    <w:rsid w:val="001A6201"/>
    <w:rsid w:val="001A6213"/>
    <w:rsid w:val="001A6402"/>
    <w:rsid w:val="001A653D"/>
    <w:rsid w:val="001A6573"/>
    <w:rsid w:val="001A67E1"/>
    <w:rsid w:val="001A6B20"/>
    <w:rsid w:val="001A6D8E"/>
    <w:rsid w:val="001A71FE"/>
    <w:rsid w:val="001A76E2"/>
    <w:rsid w:val="001A784A"/>
    <w:rsid w:val="001A7A51"/>
    <w:rsid w:val="001A7B26"/>
    <w:rsid w:val="001A7D85"/>
    <w:rsid w:val="001A7F94"/>
    <w:rsid w:val="001B0868"/>
    <w:rsid w:val="001B0BC7"/>
    <w:rsid w:val="001B0FB4"/>
    <w:rsid w:val="001B104F"/>
    <w:rsid w:val="001B15A1"/>
    <w:rsid w:val="001B161E"/>
    <w:rsid w:val="001B161F"/>
    <w:rsid w:val="001B1AC2"/>
    <w:rsid w:val="001B2026"/>
    <w:rsid w:val="001B277B"/>
    <w:rsid w:val="001B2962"/>
    <w:rsid w:val="001B296E"/>
    <w:rsid w:val="001B2CE2"/>
    <w:rsid w:val="001B2F24"/>
    <w:rsid w:val="001B30A6"/>
    <w:rsid w:val="001B317A"/>
    <w:rsid w:val="001B33DE"/>
    <w:rsid w:val="001B35D6"/>
    <w:rsid w:val="001B36D5"/>
    <w:rsid w:val="001B36E5"/>
    <w:rsid w:val="001B3933"/>
    <w:rsid w:val="001B3CA7"/>
    <w:rsid w:val="001B3FED"/>
    <w:rsid w:val="001B4084"/>
    <w:rsid w:val="001B44F4"/>
    <w:rsid w:val="001B4A09"/>
    <w:rsid w:val="001B4BB0"/>
    <w:rsid w:val="001B4BEA"/>
    <w:rsid w:val="001B4E7F"/>
    <w:rsid w:val="001B4F6D"/>
    <w:rsid w:val="001B4FB2"/>
    <w:rsid w:val="001B553B"/>
    <w:rsid w:val="001B5659"/>
    <w:rsid w:val="001B609B"/>
    <w:rsid w:val="001B63D8"/>
    <w:rsid w:val="001B64AD"/>
    <w:rsid w:val="001B6608"/>
    <w:rsid w:val="001B6A8E"/>
    <w:rsid w:val="001B6AFE"/>
    <w:rsid w:val="001B6B78"/>
    <w:rsid w:val="001B6F14"/>
    <w:rsid w:val="001B72C8"/>
    <w:rsid w:val="001B7449"/>
    <w:rsid w:val="001B766D"/>
    <w:rsid w:val="001B7885"/>
    <w:rsid w:val="001B78F9"/>
    <w:rsid w:val="001B7A2B"/>
    <w:rsid w:val="001B7A4F"/>
    <w:rsid w:val="001B7BC7"/>
    <w:rsid w:val="001B7CA0"/>
    <w:rsid w:val="001B7D69"/>
    <w:rsid w:val="001B7DE0"/>
    <w:rsid w:val="001C0158"/>
    <w:rsid w:val="001C0416"/>
    <w:rsid w:val="001C0943"/>
    <w:rsid w:val="001C0954"/>
    <w:rsid w:val="001C1805"/>
    <w:rsid w:val="001C1CC7"/>
    <w:rsid w:val="001C2672"/>
    <w:rsid w:val="001C2676"/>
    <w:rsid w:val="001C3140"/>
    <w:rsid w:val="001C39CF"/>
    <w:rsid w:val="001C3D7C"/>
    <w:rsid w:val="001C3DCD"/>
    <w:rsid w:val="001C42FF"/>
    <w:rsid w:val="001C4421"/>
    <w:rsid w:val="001C4EDE"/>
    <w:rsid w:val="001C4FAC"/>
    <w:rsid w:val="001C577B"/>
    <w:rsid w:val="001C57C8"/>
    <w:rsid w:val="001C5957"/>
    <w:rsid w:val="001C59F8"/>
    <w:rsid w:val="001C5A0C"/>
    <w:rsid w:val="001C5C7C"/>
    <w:rsid w:val="001C65C7"/>
    <w:rsid w:val="001C6888"/>
    <w:rsid w:val="001C695D"/>
    <w:rsid w:val="001C6B66"/>
    <w:rsid w:val="001C6C9F"/>
    <w:rsid w:val="001C6ECD"/>
    <w:rsid w:val="001C6F10"/>
    <w:rsid w:val="001C713A"/>
    <w:rsid w:val="001C743F"/>
    <w:rsid w:val="001C763A"/>
    <w:rsid w:val="001C791E"/>
    <w:rsid w:val="001C7D29"/>
    <w:rsid w:val="001D0166"/>
    <w:rsid w:val="001D0367"/>
    <w:rsid w:val="001D054E"/>
    <w:rsid w:val="001D068B"/>
    <w:rsid w:val="001D0D8E"/>
    <w:rsid w:val="001D0E83"/>
    <w:rsid w:val="001D1969"/>
    <w:rsid w:val="001D22F3"/>
    <w:rsid w:val="001D241E"/>
    <w:rsid w:val="001D2C95"/>
    <w:rsid w:val="001D2CBE"/>
    <w:rsid w:val="001D2ECC"/>
    <w:rsid w:val="001D3C14"/>
    <w:rsid w:val="001D51AC"/>
    <w:rsid w:val="001D5672"/>
    <w:rsid w:val="001D5B04"/>
    <w:rsid w:val="001D5CB1"/>
    <w:rsid w:val="001D6255"/>
    <w:rsid w:val="001D653A"/>
    <w:rsid w:val="001D6566"/>
    <w:rsid w:val="001D6B6C"/>
    <w:rsid w:val="001D6BB7"/>
    <w:rsid w:val="001D7154"/>
    <w:rsid w:val="001D71B2"/>
    <w:rsid w:val="001D73FB"/>
    <w:rsid w:val="001D74B3"/>
    <w:rsid w:val="001D77E3"/>
    <w:rsid w:val="001D7846"/>
    <w:rsid w:val="001D7DAB"/>
    <w:rsid w:val="001D7F6D"/>
    <w:rsid w:val="001E03FF"/>
    <w:rsid w:val="001E0650"/>
    <w:rsid w:val="001E06FF"/>
    <w:rsid w:val="001E1137"/>
    <w:rsid w:val="001E113A"/>
    <w:rsid w:val="001E13AC"/>
    <w:rsid w:val="001E1518"/>
    <w:rsid w:val="001E1C00"/>
    <w:rsid w:val="001E1FC1"/>
    <w:rsid w:val="001E207B"/>
    <w:rsid w:val="001E235D"/>
    <w:rsid w:val="001E23E1"/>
    <w:rsid w:val="001E255A"/>
    <w:rsid w:val="001E26AE"/>
    <w:rsid w:val="001E2876"/>
    <w:rsid w:val="001E2913"/>
    <w:rsid w:val="001E29D9"/>
    <w:rsid w:val="001E2B06"/>
    <w:rsid w:val="001E2D4B"/>
    <w:rsid w:val="001E309B"/>
    <w:rsid w:val="001E375B"/>
    <w:rsid w:val="001E440A"/>
    <w:rsid w:val="001E4724"/>
    <w:rsid w:val="001E52AC"/>
    <w:rsid w:val="001E5401"/>
    <w:rsid w:val="001E559B"/>
    <w:rsid w:val="001E566B"/>
    <w:rsid w:val="001E5780"/>
    <w:rsid w:val="001E5935"/>
    <w:rsid w:val="001E594B"/>
    <w:rsid w:val="001E595C"/>
    <w:rsid w:val="001E5CE5"/>
    <w:rsid w:val="001E5FDD"/>
    <w:rsid w:val="001E6387"/>
    <w:rsid w:val="001E64D0"/>
    <w:rsid w:val="001E6805"/>
    <w:rsid w:val="001E6A1C"/>
    <w:rsid w:val="001E6C25"/>
    <w:rsid w:val="001E6C8D"/>
    <w:rsid w:val="001E6CDA"/>
    <w:rsid w:val="001E6D5F"/>
    <w:rsid w:val="001E7522"/>
    <w:rsid w:val="001E7825"/>
    <w:rsid w:val="001E793F"/>
    <w:rsid w:val="001E795A"/>
    <w:rsid w:val="001E7999"/>
    <w:rsid w:val="001E7DD7"/>
    <w:rsid w:val="001E7E11"/>
    <w:rsid w:val="001E7E12"/>
    <w:rsid w:val="001E7F29"/>
    <w:rsid w:val="001F0527"/>
    <w:rsid w:val="001F0B08"/>
    <w:rsid w:val="001F0BDD"/>
    <w:rsid w:val="001F0CBD"/>
    <w:rsid w:val="001F1014"/>
    <w:rsid w:val="001F14F8"/>
    <w:rsid w:val="001F18C1"/>
    <w:rsid w:val="001F1999"/>
    <w:rsid w:val="001F1ABE"/>
    <w:rsid w:val="001F1C3A"/>
    <w:rsid w:val="001F1DFF"/>
    <w:rsid w:val="001F1EA2"/>
    <w:rsid w:val="001F2DD7"/>
    <w:rsid w:val="001F2F5A"/>
    <w:rsid w:val="001F3126"/>
    <w:rsid w:val="001F353D"/>
    <w:rsid w:val="001F3CFD"/>
    <w:rsid w:val="001F4254"/>
    <w:rsid w:val="001F4262"/>
    <w:rsid w:val="001F4796"/>
    <w:rsid w:val="001F4974"/>
    <w:rsid w:val="001F4A17"/>
    <w:rsid w:val="001F4CE6"/>
    <w:rsid w:val="001F4F1A"/>
    <w:rsid w:val="001F5172"/>
    <w:rsid w:val="001F5370"/>
    <w:rsid w:val="001F5801"/>
    <w:rsid w:val="001F5A39"/>
    <w:rsid w:val="001F5E2A"/>
    <w:rsid w:val="001F5EAD"/>
    <w:rsid w:val="001F600B"/>
    <w:rsid w:val="001F62C4"/>
    <w:rsid w:val="001F642E"/>
    <w:rsid w:val="001F66A4"/>
    <w:rsid w:val="001F6744"/>
    <w:rsid w:val="001F677B"/>
    <w:rsid w:val="001F6839"/>
    <w:rsid w:val="001F68CB"/>
    <w:rsid w:val="001F69D5"/>
    <w:rsid w:val="001F6B60"/>
    <w:rsid w:val="001F6BC1"/>
    <w:rsid w:val="001F7858"/>
    <w:rsid w:val="001F7A78"/>
    <w:rsid w:val="001F7B8F"/>
    <w:rsid w:val="001F7C09"/>
    <w:rsid w:val="001F7C28"/>
    <w:rsid w:val="00200A5B"/>
    <w:rsid w:val="00200D96"/>
    <w:rsid w:val="00200EF9"/>
    <w:rsid w:val="00201160"/>
    <w:rsid w:val="00201390"/>
    <w:rsid w:val="0020147D"/>
    <w:rsid w:val="00201DD4"/>
    <w:rsid w:val="00202220"/>
    <w:rsid w:val="002024FC"/>
    <w:rsid w:val="002027CA"/>
    <w:rsid w:val="0020298E"/>
    <w:rsid w:val="002029D7"/>
    <w:rsid w:val="0020355E"/>
    <w:rsid w:val="0020371B"/>
    <w:rsid w:val="00203755"/>
    <w:rsid w:val="00203FA1"/>
    <w:rsid w:val="00203FF1"/>
    <w:rsid w:val="002044A4"/>
    <w:rsid w:val="002044B0"/>
    <w:rsid w:val="00204552"/>
    <w:rsid w:val="002047D2"/>
    <w:rsid w:val="00204E68"/>
    <w:rsid w:val="00204F02"/>
    <w:rsid w:val="00204FC5"/>
    <w:rsid w:val="00205430"/>
    <w:rsid w:val="00205689"/>
    <w:rsid w:val="0020569F"/>
    <w:rsid w:val="0020576A"/>
    <w:rsid w:val="00206211"/>
    <w:rsid w:val="002063FD"/>
    <w:rsid w:val="00206691"/>
    <w:rsid w:val="002066CE"/>
    <w:rsid w:val="0020688B"/>
    <w:rsid w:val="00206B17"/>
    <w:rsid w:val="00206C12"/>
    <w:rsid w:val="00206C43"/>
    <w:rsid w:val="00206C5A"/>
    <w:rsid w:val="00206ED6"/>
    <w:rsid w:val="0020763B"/>
    <w:rsid w:val="00207FDB"/>
    <w:rsid w:val="00210023"/>
    <w:rsid w:val="002102DC"/>
    <w:rsid w:val="002105D6"/>
    <w:rsid w:val="00210CF0"/>
    <w:rsid w:val="00210E2C"/>
    <w:rsid w:val="00211160"/>
    <w:rsid w:val="0021126A"/>
    <w:rsid w:val="0021159D"/>
    <w:rsid w:val="002115C0"/>
    <w:rsid w:val="00211BF5"/>
    <w:rsid w:val="00211D0F"/>
    <w:rsid w:val="00211D65"/>
    <w:rsid w:val="00211ECB"/>
    <w:rsid w:val="00211F13"/>
    <w:rsid w:val="002120C0"/>
    <w:rsid w:val="0021234F"/>
    <w:rsid w:val="0021251C"/>
    <w:rsid w:val="00212872"/>
    <w:rsid w:val="002128AE"/>
    <w:rsid w:val="00212DB9"/>
    <w:rsid w:val="00212F0B"/>
    <w:rsid w:val="00213773"/>
    <w:rsid w:val="00213B4B"/>
    <w:rsid w:val="00213CF4"/>
    <w:rsid w:val="00214978"/>
    <w:rsid w:val="00214B40"/>
    <w:rsid w:val="00214B47"/>
    <w:rsid w:val="00214DA7"/>
    <w:rsid w:val="00215172"/>
    <w:rsid w:val="00215193"/>
    <w:rsid w:val="002151CD"/>
    <w:rsid w:val="00215234"/>
    <w:rsid w:val="002153AE"/>
    <w:rsid w:val="0021553D"/>
    <w:rsid w:val="00215CAE"/>
    <w:rsid w:val="0021608F"/>
    <w:rsid w:val="0021667A"/>
    <w:rsid w:val="00216E4B"/>
    <w:rsid w:val="00216E93"/>
    <w:rsid w:val="00216E99"/>
    <w:rsid w:val="002173EE"/>
    <w:rsid w:val="0021768F"/>
    <w:rsid w:val="002177A8"/>
    <w:rsid w:val="00217BD4"/>
    <w:rsid w:val="002202C9"/>
    <w:rsid w:val="0022058F"/>
    <w:rsid w:val="002207D0"/>
    <w:rsid w:val="00220B96"/>
    <w:rsid w:val="00220D9D"/>
    <w:rsid w:val="0022168C"/>
    <w:rsid w:val="0022179B"/>
    <w:rsid w:val="00221C75"/>
    <w:rsid w:val="002225BD"/>
    <w:rsid w:val="00222781"/>
    <w:rsid w:val="002228C6"/>
    <w:rsid w:val="00222924"/>
    <w:rsid w:val="002236D5"/>
    <w:rsid w:val="00223FDD"/>
    <w:rsid w:val="0022401F"/>
    <w:rsid w:val="002245C1"/>
    <w:rsid w:val="002246C0"/>
    <w:rsid w:val="00224869"/>
    <w:rsid w:val="00224A43"/>
    <w:rsid w:val="00224FBB"/>
    <w:rsid w:val="002251EC"/>
    <w:rsid w:val="00225786"/>
    <w:rsid w:val="00225A63"/>
    <w:rsid w:val="00225CA1"/>
    <w:rsid w:val="0022606A"/>
    <w:rsid w:val="0022678D"/>
    <w:rsid w:val="00226B9E"/>
    <w:rsid w:val="00226BC5"/>
    <w:rsid w:val="0022733E"/>
    <w:rsid w:val="0022748E"/>
    <w:rsid w:val="00227858"/>
    <w:rsid w:val="00227BD0"/>
    <w:rsid w:val="00227E22"/>
    <w:rsid w:val="00227E96"/>
    <w:rsid w:val="00230327"/>
    <w:rsid w:val="00230354"/>
    <w:rsid w:val="00230533"/>
    <w:rsid w:val="002307FA"/>
    <w:rsid w:val="00230995"/>
    <w:rsid w:val="00230ADF"/>
    <w:rsid w:val="00230CBB"/>
    <w:rsid w:val="00230F27"/>
    <w:rsid w:val="00230FAB"/>
    <w:rsid w:val="00231385"/>
    <w:rsid w:val="00231770"/>
    <w:rsid w:val="00231875"/>
    <w:rsid w:val="00231B11"/>
    <w:rsid w:val="00231C45"/>
    <w:rsid w:val="00231E7A"/>
    <w:rsid w:val="002320F1"/>
    <w:rsid w:val="00232306"/>
    <w:rsid w:val="00232523"/>
    <w:rsid w:val="0023253C"/>
    <w:rsid w:val="002327BF"/>
    <w:rsid w:val="00232D18"/>
    <w:rsid w:val="00232DB6"/>
    <w:rsid w:val="00232FA2"/>
    <w:rsid w:val="002333E7"/>
    <w:rsid w:val="00233594"/>
    <w:rsid w:val="002337CE"/>
    <w:rsid w:val="00233AAE"/>
    <w:rsid w:val="00233F08"/>
    <w:rsid w:val="002344C1"/>
    <w:rsid w:val="002345FD"/>
    <w:rsid w:val="00234667"/>
    <w:rsid w:val="00235184"/>
    <w:rsid w:val="0023522E"/>
    <w:rsid w:val="0023567D"/>
    <w:rsid w:val="0023595B"/>
    <w:rsid w:val="00235F67"/>
    <w:rsid w:val="002360AF"/>
    <w:rsid w:val="0023634A"/>
    <w:rsid w:val="0023635D"/>
    <w:rsid w:val="00236442"/>
    <w:rsid w:val="002365C6"/>
    <w:rsid w:val="002365EB"/>
    <w:rsid w:val="002368CA"/>
    <w:rsid w:val="00236F0F"/>
    <w:rsid w:val="00237056"/>
    <w:rsid w:val="00237234"/>
    <w:rsid w:val="0023743F"/>
    <w:rsid w:val="002377E1"/>
    <w:rsid w:val="002379E8"/>
    <w:rsid w:val="00237D0B"/>
    <w:rsid w:val="00237DFD"/>
    <w:rsid w:val="0024023C"/>
    <w:rsid w:val="002410D5"/>
    <w:rsid w:val="0024178A"/>
    <w:rsid w:val="0024187A"/>
    <w:rsid w:val="002419CB"/>
    <w:rsid w:val="00241B2A"/>
    <w:rsid w:val="00241BA5"/>
    <w:rsid w:val="00241CA4"/>
    <w:rsid w:val="00242648"/>
    <w:rsid w:val="002427F2"/>
    <w:rsid w:val="0024292D"/>
    <w:rsid w:val="002434EB"/>
    <w:rsid w:val="00243782"/>
    <w:rsid w:val="002440D0"/>
    <w:rsid w:val="00244235"/>
    <w:rsid w:val="0024479C"/>
    <w:rsid w:val="00244901"/>
    <w:rsid w:val="00244BCF"/>
    <w:rsid w:val="00244E23"/>
    <w:rsid w:val="00244F47"/>
    <w:rsid w:val="002451B2"/>
    <w:rsid w:val="00245315"/>
    <w:rsid w:val="002455DC"/>
    <w:rsid w:val="00245753"/>
    <w:rsid w:val="00245C02"/>
    <w:rsid w:val="00246277"/>
    <w:rsid w:val="00246296"/>
    <w:rsid w:val="00246530"/>
    <w:rsid w:val="0024683E"/>
    <w:rsid w:val="002468EA"/>
    <w:rsid w:val="00246B26"/>
    <w:rsid w:val="00247232"/>
    <w:rsid w:val="00247382"/>
    <w:rsid w:val="00247F8F"/>
    <w:rsid w:val="002502DC"/>
    <w:rsid w:val="0025035C"/>
    <w:rsid w:val="002503E7"/>
    <w:rsid w:val="00250457"/>
    <w:rsid w:val="0025066B"/>
    <w:rsid w:val="0025079F"/>
    <w:rsid w:val="0025095F"/>
    <w:rsid w:val="00250A31"/>
    <w:rsid w:val="00250B8C"/>
    <w:rsid w:val="00250C9D"/>
    <w:rsid w:val="00251E1B"/>
    <w:rsid w:val="00251E47"/>
    <w:rsid w:val="00252375"/>
    <w:rsid w:val="002524DA"/>
    <w:rsid w:val="002526CF"/>
    <w:rsid w:val="002527D0"/>
    <w:rsid w:val="00252BE6"/>
    <w:rsid w:val="00252E41"/>
    <w:rsid w:val="00253762"/>
    <w:rsid w:val="00253764"/>
    <w:rsid w:val="0025378C"/>
    <w:rsid w:val="00253F10"/>
    <w:rsid w:val="00254683"/>
    <w:rsid w:val="00254C7E"/>
    <w:rsid w:val="00255637"/>
    <w:rsid w:val="00255A5B"/>
    <w:rsid w:val="002560CB"/>
    <w:rsid w:val="002564D4"/>
    <w:rsid w:val="00256796"/>
    <w:rsid w:val="00256D3C"/>
    <w:rsid w:val="00256F14"/>
    <w:rsid w:val="00256FC1"/>
    <w:rsid w:val="00257314"/>
    <w:rsid w:val="0025769D"/>
    <w:rsid w:val="002577BE"/>
    <w:rsid w:val="00257982"/>
    <w:rsid w:val="00257C1A"/>
    <w:rsid w:val="00257D9D"/>
    <w:rsid w:val="00260894"/>
    <w:rsid w:val="00260A61"/>
    <w:rsid w:val="00260DE8"/>
    <w:rsid w:val="00261011"/>
    <w:rsid w:val="0026108C"/>
    <w:rsid w:val="0026114C"/>
    <w:rsid w:val="0026135D"/>
    <w:rsid w:val="002618DB"/>
    <w:rsid w:val="00261E02"/>
    <w:rsid w:val="002620F0"/>
    <w:rsid w:val="00262473"/>
    <w:rsid w:val="002626E2"/>
    <w:rsid w:val="00262874"/>
    <w:rsid w:val="0026296E"/>
    <w:rsid w:val="00262997"/>
    <w:rsid w:val="002629F0"/>
    <w:rsid w:val="00262A0A"/>
    <w:rsid w:val="00262AD7"/>
    <w:rsid w:val="00262CBC"/>
    <w:rsid w:val="00263243"/>
    <w:rsid w:val="0026330B"/>
    <w:rsid w:val="002637E6"/>
    <w:rsid w:val="0026444B"/>
    <w:rsid w:val="002645F2"/>
    <w:rsid w:val="00264805"/>
    <w:rsid w:val="00264A23"/>
    <w:rsid w:val="00264C37"/>
    <w:rsid w:val="00264F48"/>
    <w:rsid w:val="00264F8C"/>
    <w:rsid w:val="0026511B"/>
    <w:rsid w:val="0026524B"/>
    <w:rsid w:val="00265306"/>
    <w:rsid w:val="00265312"/>
    <w:rsid w:val="0026542F"/>
    <w:rsid w:val="0026571D"/>
    <w:rsid w:val="002657B3"/>
    <w:rsid w:val="00265A03"/>
    <w:rsid w:val="00266008"/>
    <w:rsid w:val="002662F1"/>
    <w:rsid w:val="002664FD"/>
    <w:rsid w:val="00266AD4"/>
    <w:rsid w:val="00266B75"/>
    <w:rsid w:val="002670ED"/>
    <w:rsid w:val="00267296"/>
    <w:rsid w:val="002676CA"/>
    <w:rsid w:val="00267F25"/>
    <w:rsid w:val="002702E6"/>
    <w:rsid w:val="0027034E"/>
    <w:rsid w:val="0027065B"/>
    <w:rsid w:val="002707BA"/>
    <w:rsid w:val="00270C63"/>
    <w:rsid w:val="00270E90"/>
    <w:rsid w:val="00271173"/>
    <w:rsid w:val="00271190"/>
    <w:rsid w:val="00271198"/>
    <w:rsid w:val="002717E7"/>
    <w:rsid w:val="00271A19"/>
    <w:rsid w:val="00271AA8"/>
    <w:rsid w:val="00271ABE"/>
    <w:rsid w:val="00271B15"/>
    <w:rsid w:val="00271B73"/>
    <w:rsid w:val="00271D45"/>
    <w:rsid w:val="0027237F"/>
    <w:rsid w:val="00272DA7"/>
    <w:rsid w:val="00272EBF"/>
    <w:rsid w:val="002730B1"/>
    <w:rsid w:val="0027352D"/>
    <w:rsid w:val="002739A9"/>
    <w:rsid w:val="0027405B"/>
    <w:rsid w:val="00274ABD"/>
    <w:rsid w:val="00274C7D"/>
    <w:rsid w:val="00274F23"/>
    <w:rsid w:val="00274F64"/>
    <w:rsid w:val="002751B5"/>
    <w:rsid w:val="002753EE"/>
    <w:rsid w:val="00276171"/>
    <w:rsid w:val="0027619A"/>
    <w:rsid w:val="00276266"/>
    <w:rsid w:val="002763B9"/>
    <w:rsid w:val="002766AC"/>
    <w:rsid w:val="002767CD"/>
    <w:rsid w:val="00276C5F"/>
    <w:rsid w:val="00276E6A"/>
    <w:rsid w:val="002772D8"/>
    <w:rsid w:val="00277348"/>
    <w:rsid w:val="002776C2"/>
    <w:rsid w:val="00277759"/>
    <w:rsid w:val="00277DD6"/>
    <w:rsid w:val="002801EA"/>
    <w:rsid w:val="00280220"/>
    <w:rsid w:val="00280365"/>
    <w:rsid w:val="00280616"/>
    <w:rsid w:val="0028067D"/>
    <w:rsid w:val="00280BC9"/>
    <w:rsid w:val="00280DD8"/>
    <w:rsid w:val="00281078"/>
    <w:rsid w:val="0028107A"/>
    <w:rsid w:val="002814D4"/>
    <w:rsid w:val="002818B2"/>
    <w:rsid w:val="002818E7"/>
    <w:rsid w:val="00281954"/>
    <w:rsid w:val="00281C32"/>
    <w:rsid w:val="00281C8C"/>
    <w:rsid w:val="0028209D"/>
    <w:rsid w:val="00282370"/>
    <w:rsid w:val="00282435"/>
    <w:rsid w:val="002828C4"/>
    <w:rsid w:val="0028299F"/>
    <w:rsid w:val="002829B0"/>
    <w:rsid w:val="00282E17"/>
    <w:rsid w:val="002833F4"/>
    <w:rsid w:val="00283689"/>
    <w:rsid w:val="00283C06"/>
    <w:rsid w:val="00283E0D"/>
    <w:rsid w:val="0028406E"/>
    <w:rsid w:val="00284401"/>
    <w:rsid w:val="002847C3"/>
    <w:rsid w:val="0028490E"/>
    <w:rsid w:val="00284A09"/>
    <w:rsid w:val="00284F4E"/>
    <w:rsid w:val="0028505A"/>
    <w:rsid w:val="00285115"/>
    <w:rsid w:val="00285AAB"/>
    <w:rsid w:val="00285BD7"/>
    <w:rsid w:val="00285BF4"/>
    <w:rsid w:val="002864FA"/>
    <w:rsid w:val="00286678"/>
    <w:rsid w:val="00286936"/>
    <w:rsid w:val="00286BEF"/>
    <w:rsid w:val="00286E11"/>
    <w:rsid w:val="0028751D"/>
    <w:rsid w:val="00287627"/>
    <w:rsid w:val="0029062A"/>
    <w:rsid w:val="0029092E"/>
    <w:rsid w:val="00290A02"/>
    <w:rsid w:val="00290AC1"/>
    <w:rsid w:val="00290D6C"/>
    <w:rsid w:val="00290EB8"/>
    <w:rsid w:val="00290FC7"/>
    <w:rsid w:val="00291124"/>
    <w:rsid w:val="0029148A"/>
    <w:rsid w:val="0029175E"/>
    <w:rsid w:val="0029176C"/>
    <w:rsid w:val="00291927"/>
    <w:rsid w:val="00291B40"/>
    <w:rsid w:val="00291B91"/>
    <w:rsid w:val="00291D39"/>
    <w:rsid w:val="00291F2B"/>
    <w:rsid w:val="00292285"/>
    <w:rsid w:val="002922E1"/>
    <w:rsid w:val="002925A2"/>
    <w:rsid w:val="00292CFE"/>
    <w:rsid w:val="00293832"/>
    <w:rsid w:val="00293AA0"/>
    <w:rsid w:val="00293BC3"/>
    <w:rsid w:val="00293D0A"/>
    <w:rsid w:val="00293F1A"/>
    <w:rsid w:val="0029417C"/>
    <w:rsid w:val="00294235"/>
    <w:rsid w:val="0029435C"/>
    <w:rsid w:val="00294ACD"/>
    <w:rsid w:val="00294EE3"/>
    <w:rsid w:val="002955E9"/>
    <w:rsid w:val="00295A3C"/>
    <w:rsid w:val="00295C99"/>
    <w:rsid w:val="002965EC"/>
    <w:rsid w:val="0029666A"/>
    <w:rsid w:val="00296B00"/>
    <w:rsid w:val="00296B03"/>
    <w:rsid w:val="00296CB2"/>
    <w:rsid w:val="0029708D"/>
    <w:rsid w:val="0029709E"/>
    <w:rsid w:val="002970C4"/>
    <w:rsid w:val="00297442"/>
    <w:rsid w:val="00297734"/>
    <w:rsid w:val="00297C74"/>
    <w:rsid w:val="00297E07"/>
    <w:rsid w:val="00297EAD"/>
    <w:rsid w:val="00297F56"/>
    <w:rsid w:val="002A0464"/>
    <w:rsid w:val="002A0486"/>
    <w:rsid w:val="002A05FE"/>
    <w:rsid w:val="002A09E0"/>
    <w:rsid w:val="002A0A8D"/>
    <w:rsid w:val="002A0C63"/>
    <w:rsid w:val="002A14D9"/>
    <w:rsid w:val="002A1A76"/>
    <w:rsid w:val="002A1B43"/>
    <w:rsid w:val="002A1D40"/>
    <w:rsid w:val="002A1E2C"/>
    <w:rsid w:val="002A22A5"/>
    <w:rsid w:val="002A22B1"/>
    <w:rsid w:val="002A22DE"/>
    <w:rsid w:val="002A22F4"/>
    <w:rsid w:val="002A25CF"/>
    <w:rsid w:val="002A2727"/>
    <w:rsid w:val="002A28E1"/>
    <w:rsid w:val="002A2D53"/>
    <w:rsid w:val="002A2DA2"/>
    <w:rsid w:val="002A3552"/>
    <w:rsid w:val="002A3643"/>
    <w:rsid w:val="002A3AEE"/>
    <w:rsid w:val="002A3B28"/>
    <w:rsid w:val="002A3C9D"/>
    <w:rsid w:val="002A4166"/>
    <w:rsid w:val="002A4898"/>
    <w:rsid w:val="002A4C09"/>
    <w:rsid w:val="002A4E4C"/>
    <w:rsid w:val="002A568F"/>
    <w:rsid w:val="002A58AD"/>
    <w:rsid w:val="002A5D14"/>
    <w:rsid w:val="002A6A34"/>
    <w:rsid w:val="002A6A66"/>
    <w:rsid w:val="002A6AFF"/>
    <w:rsid w:val="002A6BC5"/>
    <w:rsid w:val="002A6E21"/>
    <w:rsid w:val="002A6EA3"/>
    <w:rsid w:val="002A7821"/>
    <w:rsid w:val="002A7DFD"/>
    <w:rsid w:val="002B01AB"/>
    <w:rsid w:val="002B0230"/>
    <w:rsid w:val="002B02A4"/>
    <w:rsid w:val="002B03A5"/>
    <w:rsid w:val="002B06C7"/>
    <w:rsid w:val="002B0C59"/>
    <w:rsid w:val="002B0F63"/>
    <w:rsid w:val="002B10C0"/>
    <w:rsid w:val="002B1134"/>
    <w:rsid w:val="002B1D54"/>
    <w:rsid w:val="002B2A13"/>
    <w:rsid w:val="002B2B8D"/>
    <w:rsid w:val="002B2D0C"/>
    <w:rsid w:val="002B2D84"/>
    <w:rsid w:val="002B2E09"/>
    <w:rsid w:val="002B2FC4"/>
    <w:rsid w:val="002B364D"/>
    <w:rsid w:val="002B367E"/>
    <w:rsid w:val="002B3D75"/>
    <w:rsid w:val="002B415D"/>
    <w:rsid w:val="002B43A0"/>
    <w:rsid w:val="002B4493"/>
    <w:rsid w:val="002B44FE"/>
    <w:rsid w:val="002B4C0A"/>
    <w:rsid w:val="002B4CA0"/>
    <w:rsid w:val="002B53B9"/>
    <w:rsid w:val="002B5B32"/>
    <w:rsid w:val="002B63C6"/>
    <w:rsid w:val="002B6647"/>
    <w:rsid w:val="002B6930"/>
    <w:rsid w:val="002B7366"/>
    <w:rsid w:val="002B76B1"/>
    <w:rsid w:val="002B7932"/>
    <w:rsid w:val="002B7B61"/>
    <w:rsid w:val="002B7E8E"/>
    <w:rsid w:val="002C000B"/>
    <w:rsid w:val="002C0180"/>
    <w:rsid w:val="002C0622"/>
    <w:rsid w:val="002C0909"/>
    <w:rsid w:val="002C0A35"/>
    <w:rsid w:val="002C0AD8"/>
    <w:rsid w:val="002C100A"/>
    <w:rsid w:val="002C14B2"/>
    <w:rsid w:val="002C15F7"/>
    <w:rsid w:val="002C19AE"/>
    <w:rsid w:val="002C1A9D"/>
    <w:rsid w:val="002C1B8C"/>
    <w:rsid w:val="002C1E3A"/>
    <w:rsid w:val="002C1E70"/>
    <w:rsid w:val="002C1F7D"/>
    <w:rsid w:val="002C24AB"/>
    <w:rsid w:val="002C26DC"/>
    <w:rsid w:val="002C343A"/>
    <w:rsid w:val="002C3705"/>
    <w:rsid w:val="002C395E"/>
    <w:rsid w:val="002C3D99"/>
    <w:rsid w:val="002C4519"/>
    <w:rsid w:val="002C4564"/>
    <w:rsid w:val="002C4727"/>
    <w:rsid w:val="002C4868"/>
    <w:rsid w:val="002C4DE3"/>
    <w:rsid w:val="002C5266"/>
    <w:rsid w:val="002C527E"/>
    <w:rsid w:val="002C591A"/>
    <w:rsid w:val="002C6140"/>
    <w:rsid w:val="002C6903"/>
    <w:rsid w:val="002C6914"/>
    <w:rsid w:val="002C6A8B"/>
    <w:rsid w:val="002C718D"/>
    <w:rsid w:val="002C7497"/>
    <w:rsid w:val="002C7A5F"/>
    <w:rsid w:val="002C7BEE"/>
    <w:rsid w:val="002C7D88"/>
    <w:rsid w:val="002C7EA1"/>
    <w:rsid w:val="002D0130"/>
    <w:rsid w:val="002D0414"/>
    <w:rsid w:val="002D04FB"/>
    <w:rsid w:val="002D071C"/>
    <w:rsid w:val="002D0765"/>
    <w:rsid w:val="002D076F"/>
    <w:rsid w:val="002D0997"/>
    <w:rsid w:val="002D0D79"/>
    <w:rsid w:val="002D0DAE"/>
    <w:rsid w:val="002D1210"/>
    <w:rsid w:val="002D17C5"/>
    <w:rsid w:val="002D1FC7"/>
    <w:rsid w:val="002D202F"/>
    <w:rsid w:val="002D20FE"/>
    <w:rsid w:val="002D22AE"/>
    <w:rsid w:val="002D22FF"/>
    <w:rsid w:val="002D2380"/>
    <w:rsid w:val="002D2809"/>
    <w:rsid w:val="002D3041"/>
    <w:rsid w:val="002D32C2"/>
    <w:rsid w:val="002D3308"/>
    <w:rsid w:val="002D3779"/>
    <w:rsid w:val="002D37A3"/>
    <w:rsid w:val="002D3976"/>
    <w:rsid w:val="002D3FC0"/>
    <w:rsid w:val="002D40CD"/>
    <w:rsid w:val="002D4199"/>
    <w:rsid w:val="002D41AF"/>
    <w:rsid w:val="002D41FD"/>
    <w:rsid w:val="002D423A"/>
    <w:rsid w:val="002D4A03"/>
    <w:rsid w:val="002D5162"/>
    <w:rsid w:val="002D52BA"/>
    <w:rsid w:val="002D5729"/>
    <w:rsid w:val="002D57CC"/>
    <w:rsid w:val="002D5BE9"/>
    <w:rsid w:val="002D5FFA"/>
    <w:rsid w:val="002D61BD"/>
    <w:rsid w:val="002D6B69"/>
    <w:rsid w:val="002D6EE5"/>
    <w:rsid w:val="002D79EA"/>
    <w:rsid w:val="002D7BFA"/>
    <w:rsid w:val="002D7F0A"/>
    <w:rsid w:val="002E00E4"/>
    <w:rsid w:val="002E0128"/>
    <w:rsid w:val="002E044A"/>
    <w:rsid w:val="002E055F"/>
    <w:rsid w:val="002E0589"/>
    <w:rsid w:val="002E070F"/>
    <w:rsid w:val="002E0937"/>
    <w:rsid w:val="002E0D86"/>
    <w:rsid w:val="002E0E7C"/>
    <w:rsid w:val="002E1850"/>
    <w:rsid w:val="002E1908"/>
    <w:rsid w:val="002E1A2A"/>
    <w:rsid w:val="002E26B2"/>
    <w:rsid w:val="002E2869"/>
    <w:rsid w:val="002E2A46"/>
    <w:rsid w:val="002E3A0D"/>
    <w:rsid w:val="002E3EC5"/>
    <w:rsid w:val="002E4042"/>
    <w:rsid w:val="002E438A"/>
    <w:rsid w:val="002E4B63"/>
    <w:rsid w:val="002E4EAF"/>
    <w:rsid w:val="002E500C"/>
    <w:rsid w:val="002E559F"/>
    <w:rsid w:val="002E5A45"/>
    <w:rsid w:val="002E5C31"/>
    <w:rsid w:val="002E5EA4"/>
    <w:rsid w:val="002E6192"/>
    <w:rsid w:val="002E620E"/>
    <w:rsid w:val="002E621F"/>
    <w:rsid w:val="002E6419"/>
    <w:rsid w:val="002E6517"/>
    <w:rsid w:val="002E651C"/>
    <w:rsid w:val="002E652A"/>
    <w:rsid w:val="002E6654"/>
    <w:rsid w:val="002E6B3F"/>
    <w:rsid w:val="002E6B86"/>
    <w:rsid w:val="002E6EF8"/>
    <w:rsid w:val="002E7049"/>
    <w:rsid w:val="002E708E"/>
    <w:rsid w:val="002E7256"/>
    <w:rsid w:val="002E754D"/>
    <w:rsid w:val="002E76EB"/>
    <w:rsid w:val="002E77E6"/>
    <w:rsid w:val="002E7824"/>
    <w:rsid w:val="002E78CF"/>
    <w:rsid w:val="002E791A"/>
    <w:rsid w:val="002E79E2"/>
    <w:rsid w:val="002F0482"/>
    <w:rsid w:val="002F0B26"/>
    <w:rsid w:val="002F142F"/>
    <w:rsid w:val="002F18FD"/>
    <w:rsid w:val="002F1A5A"/>
    <w:rsid w:val="002F1A82"/>
    <w:rsid w:val="002F2494"/>
    <w:rsid w:val="002F2A61"/>
    <w:rsid w:val="002F2B6F"/>
    <w:rsid w:val="002F2DD3"/>
    <w:rsid w:val="002F32CE"/>
    <w:rsid w:val="002F3722"/>
    <w:rsid w:val="002F3B44"/>
    <w:rsid w:val="002F42A2"/>
    <w:rsid w:val="002F45BA"/>
    <w:rsid w:val="002F48CD"/>
    <w:rsid w:val="002F4914"/>
    <w:rsid w:val="002F499E"/>
    <w:rsid w:val="002F4A8B"/>
    <w:rsid w:val="002F5411"/>
    <w:rsid w:val="002F5B97"/>
    <w:rsid w:val="002F61C8"/>
    <w:rsid w:val="002F6208"/>
    <w:rsid w:val="002F624B"/>
    <w:rsid w:val="002F6478"/>
    <w:rsid w:val="002F6DB2"/>
    <w:rsid w:val="002F6E7F"/>
    <w:rsid w:val="002F700D"/>
    <w:rsid w:val="002F7162"/>
    <w:rsid w:val="002F73A6"/>
    <w:rsid w:val="002F7489"/>
    <w:rsid w:val="002F74A2"/>
    <w:rsid w:val="002F759A"/>
    <w:rsid w:val="002F7754"/>
    <w:rsid w:val="002F77A0"/>
    <w:rsid w:val="002F7B51"/>
    <w:rsid w:val="002F7B63"/>
    <w:rsid w:val="002F7D33"/>
    <w:rsid w:val="002F7DC1"/>
    <w:rsid w:val="003000A3"/>
    <w:rsid w:val="003008BF"/>
    <w:rsid w:val="00300FBE"/>
    <w:rsid w:val="0030180C"/>
    <w:rsid w:val="00301959"/>
    <w:rsid w:val="00301968"/>
    <w:rsid w:val="00301CD6"/>
    <w:rsid w:val="003020C3"/>
    <w:rsid w:val="00302108"/>
    <w:rsid w:val="00302454"/>
    <w:rsid w:val="00302786"/>
    <w:rsid w:val="003027B3"/>
    <w:rsid w:val="00302A35"/>
    <w:rsid w:val="00302B9E"/>
    <w:rsid w:val="00303B0D"/>
    <w:rsid w:val="00303C68"/>
    <w:rsid w:val="00303F00"/>
    <w:rsid w:val="00303FA3"/>
    <w:rsid w:val="003043C1"/>
    <w:rsid w:val="003046A0"/>
    <w:rsid w:val="00304863"/>
    <w:rsid w:val="00304AF9"/>
    <w:rsid w:val="003051F3"/>
    <w:rsid w:val="003052B5"/>
    <w:rsid w:val="003053AA"/>
    <w:rsid w:val="003053B3"/>
    <w:rsid w:val="00305828"/>
    <w:rsid w:val="00305AA5"/>
    <w:rsid w:val="00305D16"/>
    <w:rsid w:val="00305D32"/>
    <w:rsid w:val="00305DF7"/>
    <w:rsid w:val="00305E8B"/>
    <w:rsid w:val="00306180"/>
    <w:rsid w:val="00306202"/>
    <w:rsid w:val="003065C9"/>
    <w:rsid w:val="00306611"/>
    <w:rsid w:val="00306A32"/>
    <w:rsid w:val="00306F8C"/>
    <w:rsid w:val="003074E4"/>
    <w:rsid w:val="00307605"/>
    <w:rsid w:val="00307740"/>
    <w:rsid w:val="00307919"/>
    <w:rsid w:val="00307A4B"/>
    <w:rsid w:val="00307B29"/>
    <w:rsid w:val="00307D88"/>
    <w:rsid w:val="003102E1"/>
    <w:rsid w:val="00310351"/>
    <w:rsid w:val="0031071D"/>
    <w:rsid w:val="003107C9"/>
    <w:rsid w:val="003108C9"/>
    <w:rsid w:val="00310A80"/>
    <w:rsid w:val="00310BFB"/>
    <w:rsid w:val="00311123"/>
    <w:rsid w:val="003114BD"/>
    <w:rsid w:val="003119A8"/>
    <w:rsid w:val="00311B12"/>
    <w:rsid w:val="00311BF2"/>
    <w:rsid w:val="00311D6B"/>
    <w:rsid w:val="00312181"/>
    <w:rsid w:val="00312EBD"/>
    <w:rsid w:val="00313569"/>
    <w:rsid w:val="003135E5"/>
    <w:rsid w:val="00313B87"/>
    <w:rsid w:val="00313E9F"/>
    <w:rsid w:val="0031418D"/>
    <w:rsid w:val="0031463F"/>
    <w:rsid w:val="0031475D"/>
    <w:rsid w:val="00314AE0"/>
    <w:rsid w:val="00314F6A"/>
    <w:rsid w:val="00315C70"/>
    <w:rsid w:val="00315E66"/>
    <w:rsid w:val="00315F57"/>
    <w:rsid w:val="0031626F"/>
    <w:rsid w:val="003166F5"/>
    <w:rsid w:val="00316E47"/>
    <w:rsid w:val="0031728A"/>
    <w:rsid w:val="003176F2"/>
    <w:rsid w:val="00317862"/>
    <w:rsid w:val="00320254"/>
    <w:rsid w:val="0032064F"/>
    <w:rsid w:val="003207C5"/>
    <w:rsid w:val="00321081"/>
    <w:rsid w:val="00321189"/>
    <w:rsid w:val="0032149A"/>
    <w:rsid w:val="00321B1B"/>
    <w:rsid w:val="00321D9F"/>
    <w:rsid w:val="00321F02"/>
    <w:rsid w:val="00321F9B"/>
    <w:rsid w:val="00322193"/>
    <w:rsid w:val="0032219E"/>
    <w:rsid w:val="003221F0"/>
    <w:rsid w:val="00322261"/>
    <w:rsid w:val="003224C2"/>
    <w:rsid w:val="003224E2"/>
    <w:rsid w:val="003228D0"/>
    <w:rsid w:val="003229AB"/>
    <w:rsid w:val="00322A70"/>
    <w:rsid w:val="00322EA1"/>
    <w:rsid w:val="00322FA7"/>
    <w:rsid w:val="0032311E"/>
    <w:rsid w:val="00323295"/>
    <w:rsid w:val="00323C4D"/>
    <w:rsid w:val="00323C65"/>
    <w:rsid w:val="00323F73"/>
    <w:rsid w:val="003244BB"/>
    <w:rsid w:val="00324675"/>
    <w:rsid w:val="0032470A"/>
    <w:rsid w:val="00324749"/>
    <w:rsid w:val="0032497B"/>
    <w:rsid w:val="00324A22"/>
    <w:rsid w:val="00324A9E"/>
    <w:rsid w:val="00324BCE"/>
    <w:rsid w:val="00324ED7"/>
    <w:rsid w:val="00325129"/>
    <w:rsid w:val="00325209"/>
    <w:rsid w:val="00325A56"/>
    <w:rsid w:val="00325CDB"/>
    <w:rsid w:val="00325ED7"/>
    <w:rsid w:val="003262EC"/>
    <w:rsid w:val="00326D8A"/>
    <w:rsid w:val="00326E00"/>
    <w:rsid w:val="00327561"/>
    <w:rsid w:val="00327A03"/>
    <w:rsid w:val="00327A5C"/>
    <w:rsid w:val="00327BC7"/>
    <w:rsid w:val="00327C59"/>
    <w:rsid w:val="00327CD2"/>
    <w:rsid w:val="00327DD3"/>
    <w:rsid w:val="00330204"/>
    <w:rsid w:val="003308DA"/>
    <w:rsid w:val="00330B55"/>
    <w:rsid w:val="00330C38"/>
    <w:rsid w:val="00330CD1"/>
    <w:rsid w:val="00330E53"/>
    <w:rsid w:val="0033134A"/>
    <w:rsid w:val="00331633"/>
    <w:rsid w:val="00331781"/>
    <w:rsid w:val="003318FD"/>
    <w:rsid w:val="00331EE1"/>
    <w:rsid w:val="00331FEC"/>
    <w:rsid w:val="0033230B"/>
    <w:rsid w:val="003324D0"/>
    <w:rsid w:val="00332AEE"/>
    <w:rsid w:val="00332E0D"/>
    <w:rsid w:val="00332E47"/>
    <w:rsid w:val="00332F6D"/>
    <w:rsid w:val="00333270"/>
    <w:rsid w:val="00333542"/>
    <w:rsid w:val="003337E3"/>
    <w:rsid w:val="0033390C"/>
    <w:rsid w:val="00333AC0"/>
    <w:rsid w:val="00333E86"/>
    <w:rsid w:val="00333F43"/>
    <w:rsid w:val="003340E2"/>
    <w:rsid w:val="0033417F"/>
    <w:rsid w:val="0033458D"/>
    <w:rsid w:val="00334B88"/>
    <w:rsid w:val="00334E07"/>
    <w:rsid w:val="003353C1"/>
    <w:rsid w:val="00335455"/>
    <w:rsid w:val="00335882"/>
    <w:rsid w:val="00335898"/>
    <w:rsid w:val="003358F3"/>
    <w:rsid w:val="00336154"/>
    <w:rsid w:val="003361C9"/>
    <w:rsid w:val="00336288"/>
    <w:rsid w:val="003366BA"/>
    <w:rsid w:val="00336856"/>
    <w:rsid w:val="003368B5"/>
    <w:rsid w:val="003368C0"/>
    <w:rsid w:val="003369F6"/>
    <w:rsid w:val="00336AC4"/>
    <w:rsid w:val="00336B0E"/>
    <w:rsid w:val="00336CE5"/>
    <w:rsid w:val="00337098"/>
    <w:rsid w:val="00337193"/>
    <w:rsid w:val="003372BB"/>
    <w:rsid w:val="00337348"/>
    <w:rsid w:val="0033735A"/>
    <w:rsid w:val="003376EB"/>
    <w:rsid w:val="00337D43"/>
    <w:rsid w:val="00340B6D"/>
    <w:rsid w:val="00340C50"/>
    <w:rsid w:val="003415B6"/>
    <w:rsid w:val="00342131"/>
    <w:rsid w:val="003421ED"/>
    <w:rsid w:val="00342385"/>
    <w:rsid w:val="00342548"/>
    <w:rsid w:val="0034281B"/>
    <w:rsid w:val="003428E6"/>
    <w:rsid w:val="003433C7"/>
    <w:rsid w:val="00343594"/>
    <w:rsid w:val="00343862"/>
    <w:rsid w:val="0034390F"/>
    <w:rsid w:val="0034418C"/>
    <w:rsid w:val="003443A7"/>
    <w:rsid w:val="0034450A"/>
    <w:rsid w:val="00344BFF"/>
    <w:rsid w:val="00344DC3"/>
    <w:rsid w:val="00344F38"/>
    <w:rsid w:val="00345653"/>
    <w:rsid w:val="00345847"/>
    <w:rsid w:val="00345E42"/>
    <w:rsid w:val="00345F6A"/>
    <w:rsid w:val="0034602A"/>
    <w:rsid w:val="0034606C"/>
    <w:rsid w:val="00346517"/>
    <w:rsid w:val="003467B8"/>
    <w:rsid w:val="00346829"/>
    <w:rsid w:val="0034697A"/>
    <w:rsid w:val="00346C19"/>
    <w:rsid w:val="00347452"/>
    <w:rsid w:val="0034760B"/>
    <w:rsid w:val="00347653"/>
    <w:rsid w:val="003476D0"/>
    <w:rsid w:val="00347C41"/>
    <w:rsid w:val="00347FF8"/>
    <w:rsid w:val="003503C4"/>
    <w:rsid w:val="00350595"/>
    <w:rsid w:val="00350698"/>
    <w:rsid w:val="0035077E"/>
    <w:rsid w:val="00350815"/>
    <w:rsid w:val="0035098A"/>
    <w:rsid w:val="0035119D"/>
    <w:rsid w:val="00351446"/>
    <w:rsid w:val="003515BF"/>
    <w:rsid w:val="00351B81"/>
    <w:rsid w:val="00351C30"/>
    <w:rsid w:val="0035217E"/>
    <w:rsid w:val="00352500"/>
    <w:rsid w:val="00352600"/>
    <w:rsid w:val="00352779"/>
    <w:rsid w:val="00352C25"/>
    <w:rsid w:val="00352D0E"/>
    <w:rsid w:val="00352EDC"/>
    <w:rsid w:val="00353486"/>
    <w:rsid w:val="003535D9"/>
    <w:rsid w:val="00353A8B"/>
    <w:rsid w:val="00353BA4"/>
    <w:rsid w:val="00353CE4"/>
    <w:rsid w:val="00353D68"/>
    <w:rsid w:val="0035420F"/>
    <w:rsid w:val="0035421E"/>
    <w:rsid w:val="0035488E"/>
    <w:rsid w:val="003549C2"/>
    <w:rsid w:val="00354AE1"/>
    <w:rsid w:val="0035503A"/>
    <w:rsid w:val="00355348"/>
    <w:rsid w:val="0035538D"/>
    <w:rsid w:val="00355C33"/>
    <w:rsid w:val="003565AD"/>
    <w:rsid w:val="00356698"/>
    <w:rsid w:val="003566FC"/>
    <w:rsid w:val="00356A18"/>
    <w:rsid w:val="00356F5D"/>
    <w:rsid w:val="00356F6D"/>
    <w:rsid w:val="003573DB"/>
    <w:rsid w:val="00357698"/>
    <w:rsid w:val="00357779"/>
    <w:rsid w:val="00357BC4"/>
    <w:rsid w:val="003600A9"/>
    <w:rsid w:val="003604F9"/>
    <w:rsid w:val="003609CA"/>
    <w:rsid w:val="00360BDC"/>
    <w:rsid w:val="00360D59"/>
    <w:rsid w:val="00360E7F"/>
    <w:rsid w:val="00360FED"/>
    <w:rsid w:val="003612BC"/>
    <w:rsid w:val="003613B3"/>
    <w:rsid w:val="003616F1"/>
    <w:rsid w:val="0036185F"/>
    <w:rsid w:val="0036190A"/>
    <w:rsid w:val="003619E7"/>
    <w:rsid w:val="00361AFC"/>
    <w:rsid w:val="00361EB2"/>
    <w:rsid w:val="00362074"/>
    <w:rsid w:val="003620C4"/>
    <w:rsid w:val="0036277B"/>
    <w:rsid w:val="003629B7"/>
    <w:rsid w:val="00362C67"/>
    <w:rsid w:val="00362C87"/>
    <w:rsid w:val="00362F9B"/>
    <w:rsid w:val="0036312A"/>
    <w:rsid w:val="00363C97"/>
    <w:rsid w:val="0036409E"/>
    <w:rsid w:val="003640F3"/>
    <w:rsid w:val="00364375"/>
    <w:rsid w:val="00364A9F"/>
    <w:rsid w:val="00364C72"/>
    <w:rsid w:val="00364DFC"/>
    <w:rsid w:val="003650B7"/>
    <w:rsid w:val="00365BAC"/>
    <w:rsid w:val="00365EED"/>
    <w:rsid w:val="00366423"/>
    <w:rsid w:val="003666CB"/>
    <w:rsid w:val="0036702B"/>
    <w:rsid w:val="0036729D"/>
    <w:rsid w:val="00367720"/>
    <w:rsid w:val="0036791F"/>
    <w:rsid w:val="00367AAB"/>
    <w:rsid w:val="00367B0A"/>
    <w:rsid w:val="00367FF8"/>
    <w:rsid w:val="003700F1"/>
    <w:rsid w:val="003706C1"/>
    <w:rsid w:val="00370729"/>
    <w:rsid w:val="003707F7"/>
    <w:rsid w:val="003709F7"/>
    <w:rsid w:val="00370FC6"/>
    <w:rsid w:val="00371072"/>
    <w:rsid w:val="00371287"/>
    <w:rsid w:val="00371294"/>
    <w:rsid w:val="00371736"/>
    <w:rsid w:val="0037175E"/>
    <w:rsid w:val="003719B1"/>
    <w:rsid w:val="00371A42"/>
    <w:rsid w:val="00371E05"/>
    <w:rsid w:val="00371E6D"/>
    <w:rsid w:val="00371EE3"/>
    <w:rsid w:val="00372695"/>
    <w:rsid w:val="003729C0"/>
    <w:rsid w:val="00373302"/>
    <w:rsid w:val="00373D5C"/>
    <w:rsid w:val="00373D97"/>
    <w:rsid w:val="00373E96"/>
    <w:rsid w:val="00374551"/>
    <w:rsid w:val="00374855"/>
    <w:rsid w:val="00374BB7"/>
    <w:rsid w:val="00374DC7"/>
    <w:rsid w:val="0037550E"/>
    <w:rsid w:val="00375979"/>
    <w:rsid w:val="00375CFA"/>
    <w:rsid w:val="00375E61"/>
    <w:rsid w:val="00375E9A"/>
    <w:rsid w:val="00375FD0"/>
    <w:rsid w:val="00376050"/>
    <w:rsid w:val="003762AE"/>
    <w:rsid w:val="003764E6"/>
    <w:rsid w:val="003768F9"/>
    <w:rsid w:val="00376AF7"/>
    <w:rsid w:val="003772CF"/>
    <w:rsid w:val="003778F2"/>
    <w:rsid w:val="00377C67"/>
    <w:rsid w:val="00377D37"/>
    <w:rsid w:val="0038090F"/>
    <w:rsid w:val="00380CD6"/>
    <w:rsid w:val="00381580"/>
    <w:rsid w:val="00381E5E"/>
    <w:rsid w:val="00382023"/>
    <w:rsid w:val="0038223B"/>
    <w:rsid w:val="003824ED"/>
    <w:rsid w:val="003826F7"/>
    <w:rsid w:val="003828FE"/>
    <w:rsid w:val="00382972"/>
    <w:rsid w:val="00382BD3"/>
    <w:rsid w:val="0038346B"/>
    <w:rsid w:val="00383795"/>
    <w:rsid w:val="00383E01"/>
    <w:rsid w:val="00383EEC"/>
    <w:rsid w:val="0038457D"/>
    <w:rsid w:val="00384AB6"/>
    <w:rsid w:val="00385026"/>
    <w:rsid w:val="0038523A"/>
    <w:rsid w:val="00385976"/>
    <w:rsid w:val="00385DE5"/>
    <w:rsid w:val="00385ED4"/>
    <w:rsid w:val="0038641E"/>
    <w:rsid w:val="00386500"/>
    <w:rsid w:val="00386A98"/>
    <w:rsid w:val="00386BA5"/>
    <w:rsid w:val="00387411"/>
    <w:rsid w:val="00387869"/>
    <w:rsid w:val="003878FF"/>
    <w:rsid w:val="00387D94"/>
    <w:rsid w:val="00387F2F"/>
    <w:rsid w:val="00390636"/>
    <w:rsid w:val="00390D6A"/>
    <w:rsid w:val="00390E64"/>
    <w:rsid w:val="003918D2"/>
    <w:rsid w:val="00391985"/>
    <w:rsid w:val="00391B68"/>
    <w:rsid w:val="0039202D"/>
    <w:rsid w:val="00392AC0"/>
    <w:rsid w:val="00392C46"/>
    <w:rsid w:val="00392F30"/>
    <w:rsid w:val="003931FE"/>
    <w:rsid w:val="00393399"/>
    <w:rsid w:val="0039371A"/>
    <w:rsid w:val="003937B6"/>
    <w:rsid w:val="00393B74"/>
    <w:rsid w:val="00393D4E"/>
    <w:rsid w:val="00394041"/>
    <w:rsid w:val="003942C7"/>
    <w:rsid w:val="003943AF"/>
    <w:rsid w:val="003945C0"/>
    <w:rsid w:val="00394A8E"/>
    <w:rsid w:val="00394EB8"/>
    <w:rsid w:val="0039534C"/>
    <w:rsid w:val="00395395"/>
    <w:rsid w:val="003956E5"/>
    <w:rsid w:val="003959EB"/>
    <w:rsid w:val="00395CD3"/>
    <w:rsid w:val="00395D1A"/>
    <w:rsid w:val="00395D57"/>
    <w:rsid w:val="003960E5"/>
    <w:rsid w:val="00396541"/>
    <w:rsid w:val="003A076F"/>
    <w:rsid w:val="003A0C68"/>
    <w:rsid w:val="003A1352"/>
    <w:rsid w:val="003A1B62"/>
    <w:rsid w:val="003A1E63"/>
    <w:rsid w:val="003A201E"/>
    <w:rsid w:val="003A28AF"/>
    <w:rsid w:val="003A2940"/>
    <w:rsid w:val="003A2A2B"/>
    <w:rsid w:val="003A2A86"/>
    <w:rsid w:val="003A2BBE"/>
    <w:rsid w:val="003A2C8D"/>
    <w:rsid w:val="003A348B"/>
    <w:rsid w:val="003A3498"/>
    <w:rsid w:val="003A3980"/>
    <w:rsid w:val="003A41B3"/>
    <w:rsid w:val="003A4246"/>
    <w:rsid w:val="003A4674"/>
    <w:rsid w:val="003A46B5"/>
    <w:rsid w:val="003A4936"/>
    <w:rsid w:val="003A4CAC"/>
    <w:rsid w:val="003A5109"/>
    <w:rsid w:val="003A536D"/>
    <w:rsid w:val="003A5754"/>
    <w:rsid w:val="003A5B59"/>
    <w:rsid w:val="003A6084"/>
    <w:rsid w:val="003A6814"/>
    <w:rsid w:val="003A6B75"/>
    <w:rsid w:val="003A6FB8"/>
    <w:rsid w:val="003A711D"/>
    <w:rsid w:val="003A728D"/>
    <w:rsid w:val="003A73D9"/>
    <w:rsid w:val="003A74DE"/>
    <w:rsid w:val="003A76A3"/>
    <w:rsid w:val="003A76D2"/>
    <w:rsid w:val="003A7851"/>
    <w:rsid w:val="003A797B"/>
    <w:rsid w:val="003A7A02"/>
    <w:rsid w:val="003A7DC5"/>
    <w:rsid w:val="003A7FF4"/>
    <w:rsid w:val="003B003B"/>
    <w:rsid w:val="003B05D9"/>
    <w:rsid w:val="003B08B3"/>
    <w:rsid w:val="003B0AFC"/>
    <w:rsid w:val="003B0C20"/>
    <w:rsid w:val="003B0DE3"/>
    <w:rsid w:val="003B0DE4"/>
    <w:rsid w:val="003B10D0"/>
    <w:rsid w:val="003B11E0"/>
    <w:rsid w:val="003B1844"/>
    <w:rsid w:val="003B186A"/>
    <w:rsid w:val="003B1950"/>
    <w:rsid w:val="003B1B67"/>
    <w:rsid w:val="003B1B9A"/>
    <w:rsid w:val="003B2194"/>
    <w:rsid w:val="003B224D"/>
    <w:rsid w:val="003B2429"/>
    <w:rsid w:val="003B2927"/>
    <w:rsid w:val="003B2A1D"/>
    <w:rsid w:val="003B2ACB"/>
    <w:rsid w:val="003B2C2E"/>
    <w:rsid w:val="003B32E0"/>
    <w:rsid w:val="003B32EF"/>
    <w:rsid w:val="003B3677"/>
    <w:rsid w:val="003B3777"/>
    <w:rsid w:val="003B3787"/>
    <w:rsid w:val="003B38D2"/>
    <w:rsid w:val="003B3D84"/>
    <w:rsid w:val="003B3DC1"/>
    <w:rsid w:val="003B42CB"/>
    <w:rsid w:val="003B42F0"/>
    <w:rsid w:val="003B46DB"/>
    <w:rsid w:val="003B47CA"/>
    <w:rsid w:val="003B4AC0"/>
    <w:rsid w:val="003B4C86"/>
    <w:rsid w:val="003B4FA5"/>
    <w:rsid w:val="003B4FD3"/>
    <w:rsid w:val="003B5179"/>
    <w:rsid w:val="003B53C7"/>
    <w:rsid w:val="003B55AB"/>
    <w:rsid w:val="003B56C1"/>
    <w:rsid w:val="003B5805"/>
    <w:rsid w:val="003B5B1E"/>
    <w:rsid w:val="003B6002"/>
    <w:rsid w:val="003B6806"/>
    <w:rsid w:val="003B6A41"/>
    <w:rsid w:val="003B6ED7"/>
    <w:rsid w:val="003B73AF"/>
    <w:rsid w:val="003B7434"/>
    <w:rsid w:val="003B75FC"/>
    <w:rsid w:val="003B7B54"/>
    <w:rsid w:val="003B7B5D"/>
    <w:rsid w:val="003B7CE1"/>
    <w:rsid w:val="003C0157"/>
    <w:rsid w:val="003C09B7"/>
    <w:rsid w:val="003C100D"/>
    <w:rsid w:val="003C1245"/>
    <w:rsid w:val="003C13F1"/>
    <w:rsid w:val="003C1BC9"/>
    <w:rsid w:val="003C1D55"/>
    <w:rsid w:val="003C1D6D"/>
    <w:rsid w:val="003C1E82"/>
    <w:rsid w:val="003C2144"/>
    <w:rsid w:val="003C21A0"/>
    <w:rsid w:val="003C258A"/>
    <w:rsid w:val="003C26BF"/>
    <w:rsid w:val="003C3BFE"/>
    <w:rsid w:val="003C3DF6"/>
    <w:rsid w:val="003C3E67"/>
    <w:rsid w:val="003C4543"/>
    <w:rsid w:val="003C495D"/>
    <w:rsid w:val="003C530C"/>
    <w:rsid w:val="003C5760"/>
    <w:rsid w:val="003C5E1E"/>
    <w:rsid w:val="003C5F59"/>
    <w:rsid w:val="003C6325"/>
    <w:rsid w:val="003C696E"/>
    <w:rsid w:val="003C698D"/>
    <w:rsid w:val="003C6C78"/>
    <w:rsid w:val="003C716B"/>
    <w:rsid w:val="003C71D2"/>
    <w:rsid w:val="003C724D"/>
    <w:rsid w:val="003C7298"/>
    <w:rsid w:val="003C7787"/>
    <w:rsid w:val="003C7DB7"/>
    <w:rsid w:val="003C7FDC"/>
    <w:rsid w:val="003D02B6"/>
    <w:rsid w:val="003D0511"/>
    <w:rsid w:val="003D0657"/>
    <w:rsid w:val="003D0704"/>
    <w:rsid w:val="003D07C7"/>
    <w:rsid w:val="003D0AB0"/>
    <w:rsid w:val="003D0DB8"/>
    <w:rsid w:val="003D0EB8"/>
    <w:rsid w:val="003D0ED9"/>
    <w:rsid w:val="003D0F92"/>
    <w:rsid w:val="003D11DD"/>
    <w:rsid w:val="003D124F"/>
    <w:rsid w:val="003D152C"/>
    <w:rsid w:val="003D1740"/>
    <w:rsid w:val="003D1C82"/>
    <w:rsid w:val="003D1D1F"/>
    <w:rsid w:val="003D1D3A"/>
    <w:rsid w:val="003D1FAE"/>
    <w:rsid w:val="003D278F"/>
    <w:rsid w:val="003D285F"/>
    <w:rsid w:val="003D2DD9"/>
    <w:rsid w:val="003D2FE7"/>
    <w:rsid w:val="003D33F0"/>
    <w:rsid w:val="003D349C"/>
    <w:rsid w:val="003D35B0"/>
    <w:rsid w:val="003D413E"/>
    <w:rsid w:val="003D4404"/>
    <w:rsid w:val="003D4625"/>
    <w:rsid w:val="003D4927"/>
    <w:rsid w:val="003D4BEE"/>
    <w:rsid w:val="003D4C0E"/>
    <w:rsid w:val="003D5073"/>
    <w:rsid w:val="003D52A1"/>
    <w:rsid w:val="003D5412"/>
    <w:rsid w:val="003D5AED"/>
    <w:rsid w:val="003D5F02"/>
    <w:rsid w:val="003D60A7"/>
    <w:rsid w:val="003D612B"/>
    <w:rsid w:val="003D64EF"/>
    <w:rsid w:val="003D6787"/>
    <w:rsid w:val="003D69C1"/>
    <w:rsid w:val="003D6A87"/>
    <w:rsid w:val="003D6A94"/>
    <w:rsid w:val="003D6C11"/>
    <w:rsid w:val="003D7050"/>
    <w:rsid w:val="003D73E7"/>
    <w:rsid w:val="003D782B"/>
    <w:rsid w:val="003D7843"/>
    <w:rsid w:val="003D7CDA"/>
    <w:rsid w:val="003E012D"/>
    <w:rsid w:val="003E03EC"/>
    <w:rsid w:val="003E076D"/>
    <w:rsid w:val="003E0A3B"/>
    <w:rsid w:val="003E149E"/>
    <w:rsid w:val="003E1636"/>
    <w:rsid w:val="003E18A9"/>
    <w:rsid w:val="003E1C89"/>
    <w:rsid w:val="003E1FA6"/>
    <w:rsid w:val="003E24D6"/>
    <w:rsid w:val="003E2E83"/>
    <w:rsid w:val="003E2EFF"/>
    <w:rsid w:val="003E3173"/>
    <w:rsid w:val="003E3652"/>
    <w:rsid w:val="003E370C"/>
    <w:rsid w:val="003E3996"/>
    <w:rsid w:val="003E3D8C"/>
    <w:rsid w:val="003E40AC"/>
    <w:rsid w:val="003E43D2"/>
    <w:rsid w:val="003E4692"/>
    <w:rsid w:val="003E479B"/>
    <w:rsid w:val="003E4B80"/>
    <w:rsid w:val="003E4B8B"/>
    <w:rsid w:val="003E5148"/>
    <w:rsid w:val="003E5261"/>
    <w:rsid w:val="003E58E4"/>
    <w:rsid w:val="003E5D20"/>
    <w:rsid w:val="003E5D60"/>
    <w:rsid w:val="003E62D7"/>
    <w:rsid w:val="003E6454"/>
    <w:rsid w:val="003E6520"/>
    <w:rsid w:val="003E6538"/>
    <w:rsid w:val="003E6A5A"/>
    <w:rsid w:val="003E6D86"/>
    <w:rsid w:val="003E7328"/>
    <w:rsid w:val="003E7397"/>
    <w:rsid w:val="003E783E"/>
    <w:rsid w:val="003E7C52"/>
    <w:rsid w:val="003E7DB4"/>
    <w:rsid w:val="003F001F"/>
    <w:rsid w:val="003F0152"/>
    <w:rsid w:val="003F01F3"/>
    <w:rsid w:val="003F0BBB"/>
    <w:rsid w:val="003F0D02"/>
    <w:rsid w:val="003F0F35"/>
    <w:rsid w:val="003F1376"/>
    <w:rsid w:val="003F162A"/>
    <w:rsid w:val="003F188E"/>
    <w:rsid w:val="003F196A"/>
    <w:rsid w:val="003F1A5D"/>
    <w:rsid w:val="003F1CFA"/>
    <w:rsid w:val="003F2013"/>
    <w:rsid w:val="003F216F"/>
    <w:rsid w:val="003F2AC8"/>
    <w:rsid w:val="003F2CCF"/>
    <w:rsid w:val="003F30DD"/>
    <w:rsid w:val="003F3737"/>
    <w:rsid w:val="003F37A2"/>
    <w:rsid w:val="003F3995"/>
    <w:rsid w:val="003F3AF8"/>
    <w:rsid w:val="003F3C25"/>
    <w:rsid w:val="003F3FD8"/>
    <w:rsid w:val="003F41A0"/>
    <w:rsid w:val="003F4411"/>
    <w:rsid w:val="003F4441"/>
    <w:rsid w:val="003F4660"/>
    <w:rsid w:val="003F4A75"/>
    <w:rsid w:val="003F4A98"/>
    <w:rsid w:val="003F57BB"/>
    <w:rsid w:val="003F5F25"/>
    <w:rsid w:val="003F63CF"/>
    <w:rsid w:val="003F7099"/>
    <w:rsid w:val="003F750B"/>
    <w:rsid w:val="003F7583"/>
    <w:rsid w:val="003F763B"/>
    <w:rsid w:val="003F7845"/>
    <w:rsid w:val="003F7BC1"/>
    <w:rsid w:val="003F7D0D"/>
    <w:rsid w:val="003F7DB5"/>
    <w:rsid w:val="003F7E23"/>
    <w:rsid w:val="0040000F"/>
    <w:rsid w:val="00400611"/>
    <w:rsid w:val="0040064B"/>
    <w:rsid w:val="00400887"/>
    <w:rsid w:val="00400889"/>
    <w:rsid w:val="00400FD2"/>
    <w:rsid w:val="00401469"/>
    <w:rsid w:val="004017AC"/>
    <w:rsid w:val="00401EA0"/>
    <w:rsid w:val="00401F3A"/>
    <w:rsid w:val="00401FBC"/>
    <w:rsid w:val="00402058"/>
    <w:rsid w:val="00402204"/>
    <w:rsid w:val="0040220C"/>
    <w:rsid w:val="0040272D"/>
    <w:rsid w:val="00402E9E"/>
    <w:rsid w:val="004030FC"/>
    <w:rsid w:val="004035AD"/>
    <w:rsid w:val="00403AAF"/>
    <w:rsid w:val="00403C52"/>
    <w:rsid w:val="00403CA8"/>
    <w:rsid w:val="00403EA9"/>
    <w:rsid w:val="004047FF"/>
    <w:rsid w:val="004049B4"/>
    <w:rsid w:val="00404D9A"/>
    <w:rsid w:val="00404DC2"/>
    <w:rsid w:val="00404E30"/>
    <w:rsid w:val="00404E3F"/>
    <w:rsid w:val="0040562E"/>
    <w:rsid w:val="0040621C"/>
    <w:rsid w:val="00406484"/>
    <w:rsid w:val="00406650"/>
    <w:rsid w:val="004068D1"/>
    <w:rsid w:val="00406AFA"/>
    <w:rsid w:val="00406C69"/>
    <w:rsid w:val="00406F50"/>
    <w:rsid w:val="00407240"/>
    <w:rsid w:val="0040735B"/>
    <w:rsid w:val="00407667"/>
    <w:rsid w:val="0040782C"/>
    <w:rsid w:val="00407859"/>
    <w:rsid w:val="00407DA9"/>
    <w:rsid w:val="00407F73"/>
    <w:rsid w:val="00407FD4"/>
    <w:rsid w:val="0041004C"/>
    <w:rsid w:val="0041062B"/>
    <w:rsid w:val="00410989"/>
    <w:rsid w:val="00410C11"/>
    <w:rsid w:val="00410FC0"/>
    <w:rsid w:val="004111ED"/>
    <w:rsid w:val="00411334"/>
    <w:rsid w:val="00411654"/>
    <w:rsid w:val="00411A32"/>
    <w:rsid w:val="00411E7D"/>
    <w:rsid w:val="00412115"/>
    <w:rsid w:val="00412155"/>
    <w:rsid w:val="00412842"/>
    <w:rsid w:val="004129E7"/>
    <w:rsid w:val="00412BC4"/>
    <w:rsid w:val="00413AA0"/>
    <w:rsid w:val="00413FC6"/>
    <w:rsid w:val="0041476C"/>
    <w:rsid w:val="00414928"/>
    <w:rsid w:val="00414A37"/>
    <w:rsid w:val="00414D0E"/>
    <w:rsid w:val="00415035"/>
    <w:rsid w:val="0041562C"/>
    <w:rsid w:val="004156B5"/>
    <w:rsid w:val="0041574B"/>
    <w:rsid w:val="00415F18"/>
    <w:rsid w:val="004160E3"/>
    <w:rsid w:val="004160FA"/>
    <w:rsid w:val="0041658E"/>
    <w:rsid w:val="00416729"/>
    <w:rsid w:val="00416A25"/>
    <w:rsid w:val="00416A3B"/>
    <w:rsid w:val="00416F04"/>
    <w:rsid w:val="0041724A"/>
    <w:rsid w:val="00417327"/>
    <w:rsid w:val="0041745D"/>
    <w:rsid w:val="0041764B"/>
    <w:rsid w:val="00417767"/>
    <w:rsid w:val="004177D0"/>
    <w:rsid w:val="00417D6F"/>
    <w:rsid w:val="00420256"/>
    <w:rsid w:val="0042034D"/>
    <w:rsid w:val="00420A8E"/>
    <w:rsid w:val="00420A9F"/>
    <w:rsid w:val="00420C15"/>
    <w:rsid w:val="00420F7D"/>
    <w:rsid w:val="00421612"/>
    <w:rsid w:val="004218B1"/>
    <w:rsid w:val="00421C97"/>
    <w:rsid w:val="0042219C"/>
    <w:rsid w:val="0042309F"/>
    <w:rsid w:val="004230E8"/>
    <w:rsid w:val="0042337A"/>
    <w:rsid w:val="00423506"/>
    <w:rsid w:val="00423A0F"/>
    <w:rsid w:val="00423BEE"/>
    <w:rsid w:val="00423C88"/>
    <w:rsid w:val="00423D92"/>
    <w:rsid w:val="0042400E"/>
    <w:rsid w:val="00424135"/>
    <w:rsid w:val="00424149"/>
    <w:rsid w:val="0042435B"/>
    <w:rsid w:val="004244FC"/>
    <w:rsid w:val="004249A6"/>
    <w:rsid w:val="00424A33"/>
    <w:rsid w:val="00424B85"/>
    <w:rsid w:val="00424E36"/>
    <w:rsid w:val="004250A2"/>
    <w:rsid w:val="004251CA"/>
    <w:rsid w:val="00425286"/>
    <w:rsid w:val="004253BD"/>
    <w:rsid w:val="00425580"/>
    <w:rsid w:val="004257D7"/>
    <w:rsid w:val="004258D4"/>
    <w:rsid w:val="004258DA"/>
    <w:rsid w:val="004260CE"/>
    <w:rsid w:val="004261F0"/>
    <w:rsid w:val="0042633C"/>
    <w:rsid w:val="0042660A"/>
    <w:rsid w:val="00426C54"/>
    <w:rsid w:val="00426CB4"/>
    <w:rsid w:val="00426DDB"/>
    <w:rsid w:val="0042733A"/>
    <w:rsid w:val="00427603"/>
    <w:rsid w:val="0042765D"/>
    <w:rsid w:val="00427791"/>
    <w:rsid w:val="004278F2"/>
    <w:rsid w:val="00427FC6"/>
    <w:rsid w:val="004301EF"/>
    <w:rsid w:val="00430323"/>
    <w:rsid w:val="0043058F"/>
    <w:rsid w:val="00430A13"/>
    <w:rsid w:val="00430B29"/>
    <w:rsid w:val="00430C4E"/>
    <w:rsid w:val="00430DEB"/>
    <w:rsid w:val="00430EFE"/>
    <w:rsid w:val="0043121E"/>
    <w:rsid w:val="00431231"/>
    <w:rsid w:val="0043131F"/>
    <w:rsid w:val="00431579"/>
    <w:rsid w:val="004319CC"/>
    <w:rsid w:val="00431F9E"/>
    <w:rsid w:val="0043220D"/>
    <w:rsid w:val="00432230"/>
    <w:rsid w:val="004326DC"/>
    <w:rsid w:val="00432FF7"/>
    <w:rsid w:val="0043392C"/>
    <w:rsid w:val="004339C5"/>
    <w:rsid w:val="00433D2E"/>
    <w:rsid w:val="0043413F"/>
    <w:rsid w:val="00434267"/>
    <w:rsid w:val="00434472"/>
    <w:rsid w:val="0043460A"/>
    <w:rsid w:val="00434A56"/>
    <w:rsid w:val="0043508D"/>
    <w:rsid w:val="004350D3"/>
    <w:rsid w:val="00435313"/>
    <w:rsid w:val="00435315"/>
    <w:rsid w:val="00435594"/>
    <w:rsid w:val="00435CE7"/>
    <w:rsid w:val="00435CEB"/>
    <w:rsid w:val="00435E83"/>
    <w:rsid w:val="00435F12"/>
    <w:rsid w:val="004364AF"/>
    <w:rsid w:val="004364B1"/>
    <w:rsid w:val="004366CE"/>
    <w:rsid w:val="00436989"/>
    <w:rsid w:val="00436C80"/>
    <w:rsid w:val="00436EEC"/>
    <w:rsid w:val="00436F72"/>
    <w:rsid w:val="0043742B"/>
    <w:rsid w:val="004377F1"/>
    <w:rsid w:val="0043780D"/>
    <w:rsid w:val="00437AC8"/>
    <w:rsid w:val="00437AFB"/>
    <w:rsid w:val="00437D56"/>
    <w:rsid w:val="00440359"/>
    <w:rsid w:val="0044066A"/>
    <w:rsid w:val="00440768"/>
    <w:rsid w:val="00440A88"/>
    <w:rsid w:val="0044111A"/>
    <w:rsid w:val="0044133D"/>
    <w:rsid w:val="004417C7"/>
    <w:rsid w:val="00441C7E"/>
    <w:rsid w:val="00441DFB"/>
    <w:rsid w:val="0044257D"/>
    <w:rsid w:val="00442584"/>
    <w:rsid w:val="004426A9"/>
    <w:rsid w:val="00442CA9"/>
    <w:rsid w:val="00442EA8"/>
    <w:rsid w:val="004431ED"/>
    <w:rsid w:val="004431FB"/>
    <w:rsid w:val="004433B1"/>
    <w:rsid w:val="004438DC"/>
    <w:rsid w:val="00443B3C"/>
    <w:rsid w:val="00443B5E"/>
    <w:rsid w:val="00443D01"/>
    <w:rsid w:val="00443DDE"/>
    <w:rsid w:val="00444428"/>
    <w:rsid w:val="004448B6"/>
    <w:rsid w:val="004448ED"/>
    <w:rsid w:val="00444B47"/>
    <w:rsid w:val="00444F4E"/>
    <w:rsid w:val="00444FBE"/>
    <w:rsid w:val="004452B1"/>
    <w:rsid w:val="00445502"/>
    <w:rsid w:val="00445F41"/>
    <w:rsid w:val="00446056"/>
    <w:rsid w:val="004460D2"/>
    <w:rsid w:val="0044639D"/>
    <w:rsid w:val="004463CD"/>
    <w:rsid w:val="00446AE6"/>
    <w:rsid w:val="00447183"/>
    <w:rsid w:val="00447209"/>
    <w:rsid w:val="00447906"/>
    <w:rsid w:val="00447988"/>
    <w:rsid w:val="0044798A"/>
    <w:rsid w:val="00450801"/>
    <w:rsid w:val="00450A4C"/>
    <w:rsid w:val="00450D32"/>
    <w:rsid w:val="00451343"/>
    <w:rsid w:val="00451433"/>
    <w:rsid w:val="00451664"/>
    <w:rsid w:val="00451999"/>
    <w:rsid w:val="00451D8D"/>
    <w:rsid w:val="00451E1E"/>
    <w:rsid w:val="004521ED"/>
    <w:rsid w:val="00452518"/>
    <w:rsid w:val="004527BA"/>
    <w:rsid w:val="00452C51"/>
    <w:rsid w:val="00452C52"/>
    <w:rsid w:val="00452EFA"/>
    <w:rsid w:val="00452FFB"/>
    <w:rsid w:val="00453071"/>
    <w:rsid w:val="00453238"/>
    <w:rsid w:val="0045375E"/>
    <w:rsid w:val="004539D0"/>
    <w:rsid w:val="00453D5B"/>
    <w:rsid w:val="00453ECF"/>
    <w:rsid w:val="00453F34"/>
    <w:rsid w:val="00453FF6"/>
    <w:rsid w:val="004543E6"/>
    <w:rsid w:val="004544EA"/>
    <w:rsid w:val="004545AD"/>
    <w:rsid w:val="00454E04"/>
    <w:rsid w:val="00454F1F"/>
    <w:rsid w:val="004550F0"/>
    <w:rsid w:val="00455209"/>
    <w:rsid w:val="0045564F"/>
    <w:rsid w:val="00456145"/>
    <w:rsid w:val="00456425"/>
    <w:rsid w:val="004568AB"/>
    <w:rsid w:val="00456922"/>
    <w:rsid w:val="00456AB2"/>
    <w:rsid w:val="00456D19"/>
    <w:rsid w:val="00456EFE"/>
    <w:rsid w:val="004570EE"/>
    <w:rsid w:val="004574FC"/>
    <w:rsid w:val="00457645"/>
    <w:rsid w:val="004578D9"/>
    <w:rsid w:val="00457F2D"/>
    <w:rsid w:val="00460081"/>
    <w:rsid w:val="004602E2"/>
    <w:rsid w:val="0046065B"/>
    <w:rsid w:val="00460B04"/>
    <w:rsid w:val="00460CDC"/>
    <w:rsid w:val="00460F8A"/>
    <w:rsid w:val="00461B91"/>
    <w:rsid w:val="00461EAE"/>
    <w:rsid w:val="00461FB1"/>
    <w:rsid w:val="00461FC4"/>
    <w:rsid w:val="00462064"/>
    <w:rsid w:val="0046208D"/>
    <w:rsid w:val="004620AC"/>
    <w:rsid w:val="0046244C"/>
    <w:rsid w:val="00462673"/>
    <w:rsid w:val="00462697"/>
    <w:rsid w:val="00462798"/>
    <w:rsid w:val="00462817"/>
    <w:rsid w:val="00462F0E"/>
    <w:rsid w:val="0046345B"/>
    <w:rsid w:val="00463C3A"/>
    <w:rsid w:val="00463DA9"/>
    <w:rsid w:val="0046419E"/>
    <w:rsid w:val="004641E5"/>
    <w:rsid w:val="0046476D"/>
    <w:rsid w:val="00464C35"/>
    <w:rsid w:val="00464C3C"/>
    <w:rsid w:val="00464D1D"/>
    <w:rsid w:val="00465004"/>
    <w:rsid w:val="004658B7"/>
    <w:rsid w:val="00465CAA"/>
    <w:rsid w:val="004660AF"/>
    <w:rsid w:val="0046641F"/>
    <w:rsid w:val="00466944"/>
    <w:rsid w:val="004671C0"/>
    <w:rsid w:val="004671CE"/>
    <w:rsid w:val="00467812"/>
    <w:rsid w:val="004679BC"/>
    <w:rsid w:val="00467D82"/>
    <w:rsid w:val="00467F5F"/>
    <w:rsid w:val="0047006F"/>
    <w:rsid w:val="00470205"/>
    <w:rsid w:val="00470B99"/>
    <w:rsid w:val="00470C88"/>
    <w:rsid w:val="00470ED8"/>
    <w:rsid w:val="00470F63"/>
    <w:rsid w:val="00471935"/>
    <w:rsid w:val="00471B3E"/>
    <w:rsid w:val="00471B78"/>
    <w:rsid w:val="00471B99"/>
    <w:rsid w:val="00471EE6"/>
    <w:rsid w:val="00471FC3"/>
    <w:rsid w:val="00471FFD"/>
    <w:rsid w:val="004722D3"/>
    <w:rsid w:val="004727FB"/>
    <w:rsid w:val="00472907"/>
    <w:rsid w:val="00472978"/>
    <w:rsid w:val="00472BF9"/>
    <w:rsid w:val="0047337C"/>
    <w:rsid w:val="00473461"/>
    <w:rsid w:val="00473A52"/>
    <w:rsid w:val="00473AFD"/>
    <w:rsid w:val="004741E4"/>
    <w:rsid w:val="00474421"/>
    <w:rsid w:val="00475000"/>
    <w:rsid w:val="00475175"/>
    <w:rsid w:val="00475656"/>
    <w:rsid w:val="004757B7"/>
    <w:rsid w:val="00475894"/>
    <w:rsid w:val="00475A5A"/>
    <w:rsid w:val="00476207"/>
    <w:rsid w:val="00476285"/>
    <w:rsid w:val="0047630C"/>
    <w:rsid w:val="0047647B"/>
    <w:rsid w:val="00476B52"/>
    <w:rsid w:val="00476EAE"/>
    <w:rsid w:val="00476FA6"/>
    <w:rsid w:val="00477466"/>
    <w:rsid w:val="004774E8"/>
    <w:rsid w:val="00477B87"/>
    <w:rsid w:val="00477F53"/>
    <w:rsid w:val="00480524"/>
    <w:rsid w:val="00480573"/>
    <w:rsid w:val="00480814"/>
    <w:rsid w:val="00480882"/>
    <w:rsid w:val="00480F05"/>
    <w:rsid w:val="00481368"/>
    <w:rsid w:val="004816EF"/>
    <w:rsid w:val="00481812"/>
    <w:rsid w:val="00481899"/>
    <w:rsid w:val="00481902"/>
    <w:rsid w:val="00481A1F"/>
    <w:rsid w:val="00481E3C"/>
    <w:rsid w:val="004820FF"/>
    <w:rsid w:val="00482420"/>
    <w:rsid w:val="0048262D"/>
    <w:rsid w:val="004827F8"/>
    <w:rsid w:val="00482B0F"/>
    <w:rsid w:val="00482EDE"/>
    <w:rsid w:val="00483281"/>
    <w:rsid w:val="004832CC"/>
    <w:rsid w:val="00483327"/>
    <w:rsid w:val="00483551"/>
    <w:rsid w:val="0048358D"/>
    <w:rsid w:val="00483735"/>
    <w:rsid w:val="00483C75"/>
    <w:rsid w:val="00483C80"/>
    <w:rsid w:val="0048412B"/>
    <w:rsid w:val="0048499E"/>
    <w:rsid w:val="004850B0"/>
    <w:rsid w:val="00485226"/>
    <w:rsid w:val="00485248"/>
    <w:rsid w:val="004853A9"/>
    <w:rsid w:val="00485419"/>
    <w:rsid w:val="0048576F"/>
    <w:rsid w:val="0048584E"/>
    <w:rsid w:val="004859DF"/>
    <w:rsid w:val="00485CE3"/>
    <w:rsid w:val="004865CD"/>
    <w:rsid w:val="004868D9"/>
    <w:rsid w:val="00486925"/>
    <w:rsid w:val="00486A31"/>
    <w:rsid w:val="00486A8D"/>
    <w:rsid w:val="00486C38"/>
    <w:rsid w:val="00486E22"/>
    <w:rsid w:val="00487108"/>
    <w:rsid w:val="00487603"/>
    <w:rsid w:val="0048792A"/>
    <w:rsid w:val="00487CD6"/>
    <w:rsid w:val="00487F1E"/>
    <w:rsid w:val="00490119"/>
    <w:rsid w:val="00490EEF"/>
    <w:rsid w:val="00491034"/>
    <w:rsid w:val="004915B5"/>
    <w:rsid w:val="004916C2"/>
    <w:rsid w:val="00491745"/>
    <w:rsid w:val="004918D8"/>
    <w:rsid w:val="00491B2C"/>
    <w:rsid w:val="00491C57"/>
    <w:rsid w:val="0049229A"/>
    <w:rsid w:val="00492582"/>
    <w:rsid w:val="00492742"/>
    <w:rsid w:val="00492961"/>
    <w:rsid w:val="00492A5A"/>
    <w:rsid w:val="00493845"/>
    <w:rsid w:val="00493A00"/>
    <w:rsid w:val="00493BBC"/>
    <w:rsid w:val="00493C98"/>
    <w:rsid w:val="00493E21"/>
    <w:rsid w:val="0049454A"/>
    <w:rsid w:val="00494613"/>
    <w:rsid w:val="00494736"/>
    <w:rsid w:val="00494A66"/>
    <w:rsid w:val="00494DE5"/>
    <w:rsid w:val="004952B6"/>
    <w:rsid w:val="0049541C"/>
    <w:rsid w:val="004957B4"/>
    <w:rsid w:val="004958C4"/>
    <w:rsid w:val="00495BD0"/>
    <w:rsid w:val="00495C03"/>
    <w:rsid w:val="00496545"/>
    <w:rsid w:val="004967A4"/>
    <w:rsid w:val="00496A6E"/>
    <w:rsid w:val="00496CA5"/>
    <w:rsid w:val="00496FD7"/>
    <w:rsid w:val="00497027"/>
    <w:rsid w:val="00497A66"/>
    <w:rsid w:val="00497B8A"/>
    <w:rsid w:val="00497E25"/>
    <w:rsid w:val="004A01B6"/>
    <w:rsid w:val="004A0212"/>
    <w:rsid w:val="004A022C"/>
    <w:rsid w:val="004A0437"/>
    <w:rsid w:val="004A0717"/>
    <w:rsid w:val="004A07B9"/>
    <w:rsid w:val="004A0986"/>
    <w:rsid w:val="004A0B54"/>
    <w:rsid w:val="004A0BB1"/>
    <w:rsid w:val="004A10CA"/>
    <w:rsid w:val="004A138E"/>
    <w:rsid w:val="004A1836"/>
    <w:rsid w:val="004A188B"/>
    <w:rsid w:val="004A194D"/>
    <w:rsid w:val="004A1CDD"/>
    <w:rsid w:val="004A1CF4"/>
    <w:rsid w:val="004A29C4"/>
    <w:rsid w:val="004A2B98"/>
    <w:rsid w:val="004A2BD5"/>
    <w:rsid w:val="004A2E3D"/>
    <w:rsid w:val="004A3246"/>
    <w:rsid w:val="004A36E1"/>
    <w:rsid w:val="004A378C"/>
    <w:rsid w:val="004A3A61"/>
    <w:rsid w:val="004A40E2"/>
    <w:rsid w:val="004A4769"/>
    <w:rsid w:val="004A49C1"/>
    <w:rsid w:val="004A5057"/>
    <w:rsid w:val="004A54F4"/>
    <w:rsid w:val="004A574C"/>
    <w:rsid w:val="004A59A0"/>
    <w:rsid w:val="004A5E0A"/>
    <w:rsid w:val="004A6373"/>
    <w:rsid w:val="004A63A3"/>
    <w:rsid w:val="004A63F4"/>
    <w:rsid w:val="004A66F9"/>
    <w:rsid w:val="004A69CB"/>
    <w:rsid w:val="004A6A90"/>
    <w:rsid w:val="004A6D1A"/>
    <w:rsid w:val="004A70BC"/>
    <w:rsid w:val="004A7280"/>
    <w:rsid w:val="004B0206"/>
    <w:rsid w:val="004B02E9"/>
    <w:rsid w:val="004B0624"/>
    <w:rsid w:val="004B0892"/>
    <w:rsid w:val="004B0DB0"/>
    <w:rsid w:val="004B0EE8"/>
    <w:rsid w:val="004B1A44"/>
    <w:rsid w:val="004B1B8D"/>
    <w:rsid w:val="004B1DE9"/>
    <w:rsid w:val="004B1E56"/>
    <w:rsid w:val="004B22B1"/>
    <w:rsid w:val="004B2348"/>
    <w:rsid w:val="004B26EE"/>
    <w:rsid w:val="004B27A6"/>
    <w:rsid w:val="004B2CD1"/>
    <w:rsid w:val="004B2D77"/>
    <w:rsid w:val="004B2F3E"/>
    <w:rsid w:val="004B3065"/>
    <w:rsid w:val="004B30B9"/>
    <w:rsid w:val="004B31A9"/>
    <w:rsid w:val="004B33FB"/>
    <w:rsid w:val="004B3596"/>
    <w:rsid w:val="004B3690"/>
    <w:rsid w:val="004B3A61"/>
    <w:rsid w:val="004B3BAA"/>
    <w:rsid w:val="004B42AD"/>
    <w:rsid w:val="004B46FB"/>
    <w:rsid w:val="004B4B6C"/>
    <w:rsid w:val="004B4E0D"/>
    <w:rsid w:val="004B545C"/>
    <w:rsid w:val="004B5DB6"/>
    <w:rsid w:val="004B63C5"/>
    <w:rsid w:val="004B6402"/>
    <w:rsid w:val="004B6560"/>
    <w:rsid w:val="004B6628"/>
    <w:rsid w:val="004B69EE"/>
    <w:rsid w:val="004B6D87"/>
    <w:rsid w:val="004B6F8F"/>
    <w:rsid w:val="004B704E"/>
    <w:rsid w:val="004B736C"/>
    <w:rsid w:val="004B76B5"/>
    <w:rsid w:val="004B78B9"/>
    <w:rsid w:val="004B7B40"/>
    <w:rsid w:val="004B7C5D"/>
    <w:rsid w:val="004B7CC2"/>
    <w:rsid w:val="004B7D00"/>
    <w:rsid w:val="004C059E"/>
    <w:rsid w:val="004C074E"/>
    <w:rsid w:val="004C0A0E"/>
    <w:rsid w:val="004C0BFC"/>
    <w:rsid w:val="004C0D68"/>
    <w:rsid w:val="004C0E96"/>
    <w:rsid w:val="004C0E9C"/>
    <w:rsid w:val="004C1174"/>
    <w:rsid w:val="004C1179"/>
    <w:rsid w:val="004C11AC"/>
    <w:rsid w:val="004C141F"/>
    <w:rsid w:val="004C1780"/>
    <w:rsid w:val="004C17DF"/>
    <w:rsid w:val="004C19AD"/>
    <w:rsid w:val="004C1B1B"/>
    <w:rsid w:val="004C21CF"/>
    <w:rsid w:val="004C2352"/>
    <w:rsid w:val="004C25B1"/>
    <w:rsid w:val="004C2802"/>
    <w:rsid w:val="004C2916"/>
    <w:rsid w:val="004C2B13"/>
    <w:rsid w:val="004C2C23"/>
    <w:rsid w:val="004C2CFA"/>
    <w:rsid w:val="004C33AF"/>
    <w:rsid w:val="004C39E5"/>
    <w:rsid w:val="004C3AC5"/>
    <w:rsid w:val="004C3AF5"/>
    <w:rsid w:val="004C3E63"/>
    <w:rsid w:val="004C3FAC"/>
    <w:rsid w:val="004C4638"/>
    <w:rsid w:val="004C4705"/>
    <w:rsid w:val="004C4B56"/>
    <w:rsid w:val="004C4E79"/>
    <w:rsid w:val="004C50E5"/>
    <w:rsid w:val="004C5381"/>
    <w:rsid w:val="004C5922"/>
    <w:rsid w:val="004C5B8C"/>
    <w:rsid w:val="004C69B8"/>
    <w:rsid w:val="004C6C97"/>
    <w:rsid w:val="004C6E48"/>
    <w:rsid w:val="004C70E3"/>
    <w:rsid w:val="004C720E"/>
    <w:rsid w:val="004C7477"/>
    <w:rsid w:val="004C74D4"/>
    <w:rsid w:val="004C7A97"/>
    <w:rsid w:val="004C7B20"/>
    <w:rsid w:val="004C7C72"/>
    <w:rsid w:val="004D0172"/>
    <w:rsid w:val="004D01E2"/>
    <w:rsid w:val="004D0435"/>
    <w:rsid w:val="004D04C6"/>
    <w:rsid w:val="004D0962"/>
    <w:rsid w:val="004D11D9"/>
    <w:rsid w:val="004D15B7"/>
    <w:rsid w:val="004D163A"/>
    <w:rsid w:val="004D1731"/>
    <w:rsid w:val="004D1C35"/>
    <w:rsid w:val="004D1CD8"/>
    <w:rsid w:val="004D1D3F"/>
    <w:rsid w:val="004D2412"/>
    <w:rsid w:val="004D2ADF"/>
    <w:rsid w:val="004D3644"/>
    <w:rsid w:val="004D37BC"/>
    <w:rsid w:val="004D3CF2"/>
    <w:rsid w:val="004D3ECA"/>
    <w:rsid w:val="004D423F"/>
    <w:rsid w:val="004D4768"/>
    <w:rsid w:val="004D571F"/>
    <w:rsid w:val="004D5817"/>
    <w:rsid w:val="004D5EC5"/>
    <w:rsid w:val="004D60F9"/>
    <w:rsid w:val="004D6ABD"/>
    <w:rsid w:val="004D6BDE"/>
    <w:rsid w:val="004D6D7D"/>
    <w:rsid w:val="004D6E17"/>
    <w:rsid w:val="004D75A0"/>
    <w:rsid w:val="004D7875"/>
    <w:rsid w:val="004D7DBE"/>
    <w:rsid w:val="004D7E89"/>
    <w:rsid w:val="004E0128"/>
    <w:rsid w:val="004E0344"/>
    <w:rsid w:val="004E07A2"/>
    <w:rsid w:val="004E0BB2"/>
    <w:rsid w:val="004E0CDF"/>
    <w:rsid w:val="004E104D"/>
    <w:rsid w:val="004E1483"/>
    <w:rsid w:val="004E1BA0"/>
    <w:rsid w:val="004E1E42"/>
    <w:rsid w:val="004E2ADE"/>
    <w:rsid w:val="004E2C95"/>
    <w:rsid w:val="004E2F96"/>
    <w:rsid w:val="004E316B"/>
    <w:rsid w:val="004E3187"/>
    <w:rsid w:val="004E39F4"/>
    <w:rsid w:val="004E3BDC"/>
    <w:rsid w:val="004E4182"/>
    <w:rsid w:val="004E4890"/>
    <w:rsid w:val="004E4B60"/>
    <w:rsid w:val="004E4BED"/>
    <w:rsid w:val="004E4EC4"/>
    <w:rsid w:val="004E52CC"/>
    <w:rsid w:val="004E5666"/>
    <w:rsid w:val="004E5835"/>
    <w:rsid w:val="004E5AFC"/>
    <w:rsid w:val="004E5B7F"/>
    <w:rsid w:val="004E5E6C"/>
    <w:rsid w:val="004E6091"/>
    <w:rsid w:val="004E6207"/>
    <w:rsid w:val="004E6510"/>
    <w:rsid w:val="004E6E5B"/>
    <w:rsid w:val="004E7344"/>
    <w:rsid w:val="004E794A"/>
    <w:rsid w:val="004E7B27"/>
    <w:rsid w:val="004E7BCE"/>
    <w:rsid w:val="004E7F03"/>
    <w:rsid w:val="004F029F"/>
    <w:rsid w:val="004F02CA"/>
    <w:rsid w:val="004F0559"/>
    <w:rsid w:val="004F05D7"/>
    <w:rsid w:val="004F0607"/>
    <w:rsid w:val="004F0750"/>
    <w:rsid w:val="004F07C5"/>
    <w:rsid w:val="004F08A3"/>
    <w:rsid w:val="004F08F3"/>
    <w:rsid w:val="004F0958"/>
    <w:rsid w:val="004F0AA2"/>
    <w:rsid w:val="004F0C5F"/>
    <w:rsid w:val="004F101C"/>
    <w:rsid w:val="004F10CB"/>
    <w:rsid w:val="004F174F"/>
    <w:rsid w:val="004F1A6D"/>
    <w:rsid w:val="004F212E"/>
    <w:rsid w:val="004F27BE"/>
    <w:rsid w:val="004F2A89"/>
    <w:rsid w:val="004F2C5D"/>
    <w:rsid w:val="004F2D6B"/>
    <w:rsid w:val="004F2EFB"/>
    <w:rsid w:val="004F2FA5"/>
    <w:rsid w:val="004F3408"/>
    <w:rsid w:val="004F369A"/>
    <w:rsid w:val="004F3A6F"/>
    <w:rsid w:val="004F3CDF"/>
    <w:rsid w:val="004F3F0C"/>
    <w:rsid w:val="004F3F70"/>
    <w:rsid w:val="004F4523"/>
    <w:rsid w:val="004F499E"/>
    <w:rsid w:val="004F4EED"/>
    <w:rsid w:val="004F55FA"/>
    <w:rsid w:val="004F5866"/>
    <w:rsid w:val="004F5B6A"/>
    <w:rsid w:val="004F5CF5"/>
    <w:rsid w:val="004F66DD"/>
    <w:rsid w:val="004F671D"/>
    <w:rsid w:val="004F6CAF"/>
    <w:rsid w:val="004F6F9A"/>
    <w:rsid w:val="004F709C"/>
    <w:rsid w:val="004F7123"/>
    <w:rsid w:val="004F7230"/>
    <w:rsid w:val="004F76A9"/>
    <w:rsid w:val="004F79EF"/>
    <w:rsid w:val="004F7EBB"/>
    <w:rsid w:val="00500751"/>
    <w:rsid w:val="00500844"/>
    <w:rsid w:val="00500F1C"/>
    <w:rsid w:val="005012FA"/>
    <w:rsid w:val="00501AF1"/>
    <w:rsid w:val="00501C7D"/>
    <w:rsid w:val="00501D4A"/>
    <w:rsid w:val="00502142"/>
    <w:rsid w:val="00502306"/>
    <w:rsid w:val="00502578"/>
    <w:rsid w:val="005027DE"/>
    <w:rsid w:val="00502865"/>
    <w:rsid w:val="00502AB7"/>
    <w:rsid w:val="00502B16"/>
    <w:rsid w:val="0050361B"/>
    <w:rsid w:val="00503640"/>
    <w:rsid w:val="00503713"/>
    <w:rsid w:val="00503863"/>
    <w:rsid w:val="005038AF"/>
    <w:rsid w:val="00503C2F"/>
    <w:rsid w:val="00503EB9"/>
    <w:rsid w:val="005040EC"/>
    <w:rsid w:val="0050415C"/>
    <w:rsid w:val="00504A3D"/>
    <w:rsid w:val="005050C8"/>
    <w:rsid w:val="0050588C"/>
    <w:rsid w:val="00505DE6"/>
    <w:rsid w:val="00505FD5"/>
    <w:rsid w:val="0050615B"/>
    <w:rsid w:val="0050628D"/>
    <w:rsid w:val="0050669A"/>
    <w:rsid w:val="0050679A"/>
    <w:rsid w:val="005068C4"/>
    <w:rsid w:val="00507094"/>
    <w:rsid w:val="005072B2"/>
    <w:rsid w:val="0050734F"/>
    <w:rsid w:val="00507957"/>
    <w:rsid w:val="00507A7E"/>
    <w:rsid w:val="00507DEE"/>
    <w:rsid w:val="00507E75"/>
    <w:rsid w:val="00507E7D"/>
    <w:rsid w:val="00507F75"/>
    <w:rsid w:val="005102EF"/>
    <w:rsid w:val="005108B4"/>
    <w:rsid w:val="00510DDD"/>
    <w:rsid w:val="00511639"/>
    <w:rsid w:val="00511811"/>
    <w:rsid w:val="00511D9E"/>
    <w:rsid w:val="005120D3"/>
    <w:rsid w:val="005120F1"/>
    <w:rsid w:val="005126EB"/>
    <w:rsid w:val="0051270C"/>
    <w:rsid w:val="00512878"/>
    <w:rsid w:val="0051301C"/>
    <w:rsid w:val="00513376"/>
    <w:rsid w:val="0051353F"/>
    <w:rsid w:val="0051379F"/>
    <w:rsid w:val="00513844"/>
    <w:rsid w:val="00513A6F"/>
    <w:rsid w:val="00513B2D"/>
    <w:rsid w:val="00513C64"/>
    <w:rsid w:val="00513C8B"/>
    <w:rsid w:val="005140A1"/>
    <w:rsid w:val="00514250"/>
    <w:rsid w:val="00514309"/>
    <w:rsid w:val="00514671"/>
    <w:rsid w:val="00514D74"/>
    <w:rsid w:val="00514DCB"/>
    <w:rsid w:val="0051504D"/>
    <w:rsid w:val="00515425"/>
    <w:rsid w:val="0051584D"/>
    <w:rsid w:val="00515B54"/>
    <w:rsid w:val="00515CDA"/>
    <w:rsid w:val="00515E37"/>
    <w:rsid w:val="0051601A"/>
    <w:rsid w:val="00516982"/>
    <w:rsid w:val="005172DC"/>
    <w:rsid w:val="005173C1"/>
    <w:rsid w:val="005176BA"/>
    <w:rsid w:val="00521328"/>
    <w:rsid w:val="005213F1"/>
    <w:rsid w:val="00521427"/>
    <w:rsid w:val="005216EB"/>
    <w:rsid w:val="00521882"/>
    <w:rsid w:val="005219B8"/>
    <w:rsid w:val="00521B3B"/>
    <w:rsid w:val="00521B66"/>
    <w:rsid w:val="00521DC2"/>
    <w:rsid w:val="00522733"/>
    <w:rsid w:val="00522A52"/>
    <w:rsid w:val="00522EB1"/>
    <w:rsid w:val="00523554"/>
    <w:rsid w:val="00523B1E"/>
    <w:rsid w:val="00523CCB"/>
    <w:rsid w:val="00523D45"/>
    <w:rsid w:val="0052439F"/>
    <w:rsid w:val="00524731"/>
    <w:rsid w:val="00524C9D"/>
    <w:rsid w:val="0052523B"/>
    <w:rsid w:val="0052524F"/>
    <w:rsid w:val="00525539"/>
    <w:rsid w:val="005255B4"/>
    <w:rsid w:val="005259F8"/>
    <w:rsid w:val="00525AB8"/>
    <w:rsid w:val="00525B59"/>
    <w:rsid w:val="00525EED"/>
    <w:rsid w:val="00525F90"/>
    <w:rsid w:val="005262B5"/>
    <w:rsid w:val="00526377"/>
    <w:rsid w:val="00526497"/>
    <w:rsid w:val="00526547"/>
    <w:rsid w:val="0052679B"/>
    <w:rsid w:val="00526A81"/>
    <w:rsid w:val="00526C25"/>
    <w:rsid w:val="00526C4D"/>
    <w:rsid w:val="00526F79"/>
    <w:rsid w:val="0052704A"/>
    <w:rsid w:val="00527369"/>
    <w:rsid w:val="00527827"/>
    <w:rsid w:val="00527F70"/>
    <w:rsid w:val="00530326"/>
    <w:rsid w:val="005306C7"/>
    <w:rsid w:val="00530738"/>
    <w:rsid w:val="00530AD2"/>
    <w:rsid w:val="0053102C"/>
    <w:rsid w:val="0053133E"/>
    <w:rsid w:val="0053155C"/>
    <w:rsid w:val="005315E2"/>
    <w:rsid w:val="00531921"/>
    <w:rsid w:val="00531BF3"/>
    <w:rsid w:val="00531E2B"/>
    <w:rsid w:val="00531E64"/>
    <w:rsid w:val="0053205D"/>
    <w:rsid w:val="005323CE"/>
    <w:rsid w:val="005324ED"/>
    <w:rsid w:val="00532BD2"/>
    <w:rsid w:val="00532E4C"/>
    <w:rsid w:val="005330A2"/>
    <w:rsid w:val="00533444"/>
    <w:rsid w:val="0053346A"/>
    <w:rsid w:val="00533881"/>
    <w:rsid w:val="00533BE6"/>
    <w:rsid w:val="00533E5C"/>
    <w:rsid w:val="00534402"/>
    <w:rsid w:val="00534BF0"/>
    <w:rsid w:val="0053519B"/>
    <w:rsid w:val="005358D6"/>
    <w:rsid w:val="005358EC"/>
    <w:rsid w:val="00535AE3"/>
    <w:rsid w:val="00535EC0"/>
    <w:rsid w:val="00536708"/>
    <w:rsid w:val="00536731"/>
    <w:rsid w:val="005367A8"/>
    <w:rsid w:val="00536DC4"/>
    <w:rsid w:val="00536F2F"/>
    <w:rsid w:val="00537074"/>
    <w:rsid w:val="00537164"/>
    <w:rsid w:val="0053789B"/>
    <w:rsid w:val="00537C4E"/>
    <w:rsid w:val="00540A2D"/>
    <w:rsid w:val="0054126B"/>
    <w:rsid w:val="00541AEB"/>
    <w:rsid w:val="0054208B"/>
    <w:rsid w:val="00542404"/>
    <w:rsid w:val="00542685"/>
    <w:rsid w:val="005427BB"/>
    <w:rsid w:val="0054318E"/>
    <w:rsid w:val="00543B40"/>
    <w:rsid w:val="0054403E"/>
    <w:rsid w:val="0054414E"/>
    <w:rsid w:val="00544C19"/>
    <w:rsid w:val="00544D30"/>
    <w:rsid w:val="0054588D"/>
    <w:rsid w:val="00545976"/>
    <w:rsid w:val="00545F6F"/>
    <w:rsid w:val="00546123"/>
    <w:rsid w:val="00546203"/>
    <w:rsid w:val="00546209"/>
    <w:rsid w:val="005462AB"/>
    <w:rsid w:val="00546403"/>
    <w:rsid w:val="00546708"/>
    <w:rsid w:val="0054679B"/>
    <w:rsid w:val="005468B6"/>
    <w:rsid w:val="005469E7"/>
    <w:rsid w:val="00546CE0"/>
    <w:rsid w:val="00546FC6"/>
    <w:rsid w:val="005473A3"/>
    <w:rsid w:val="005474E5"/>
    <w:rsid w:val="0054768C"/>
    <w:rsid w:val="00547B90"/>
    <w:rsid w:val="00547CAC"/>
    <w:rsid w:val="00547DD0"/>
    <w:rsid w:val="0055057D"/>
    <w:rsid w:val="0055063F"/>
    <w:rsid w:val="00550DC5"/>
    <w:rsid w:val="00550E50"/>
    <w:rsid w:val="00551308"/>
    <w:rsid w:val="005513B8"/>
    <w:rsid w:val="005514E3"/>
    <w:rsid w:val="0055197D"/>
    <w:rsid w:val="00551C09"/>
    <w:rsid w:val="00551DD6"/>
    <w:rsid w:val="00552179"/>
    <w:rsid w:val="0055229D"/>
    <w:rsid w:val="005524CF"/>
    <w:rsid w:val="005525C1"/>
    <w:rsid w:val="00552773"/>
    <w:rsid w:val="00552CB6"/>
    <w:rsid w:val="00552DB8"/>
    <w:rsid w:val="00552DE8"/>
    <w:rsid w:val="005533CA"/>
    <w:rsid w:val="00553434"/>
    <w:rsid w:val="005536B1"/>
    <w:rsid w:val="00553E42"/>
    <w:rsid w:val="005544EE"/>
    <w:rsid w:val="00554807"/>
    <w:rsid w:val="00554813"/>
    <w:rsid w:val="00554846"/>
    <w:rsid w:val="005548CD"/>
    <w:rsid w:val="00554F04"/>
    <w:rsid w:val="005553A3"/>
    <w:rsid w:val="00555619"/>
    <w:rsid w:val="00555A31"/>
    <w:rsid w:val="00555B24"/>
    <w:rsid w:val="00555C49"/>
    <w:rsid w:val="00555ED7"/>
    <w:rsid w:val="00556881"/>
    <w:rsid w:val="00557007"/>
    <w:rsid w:val="0055771C"/>
    <w:rsid w:val="0055773A"/>
    <w:rsid w:val="0056045E"/>
    <w:rsid w:val="00560555"/>
    <w:rsid w:val="005605B6"/>
    <w:rsid w:val="00560883"/>
    <w:rsid w:val="00560887"/>
    <w:rsid w:val="005608E1"/>
    <w:rsid w:val="00560974"/>
    <w:rsid w:val="00560C74"/>
    <w:rsid w:val="005611A6"/>
    <w:rsid w:val="00561232"/>
    <w:rsid w:val="005613C4"/>
    <w:rsid w:val="00561515"/>
    <w:rsid w:val="00561797"/>
    <w:rsid w:val="00561D02"/>
    <w:rsid w:val="00561E71"/>
    <w:rsid w:val="00561F16"/>
    <w:rsid w:val="00561FB9"/>
    <w:rsid w:val="0056219C"/>
    <w:rsid w:val="005621EE"/>
    <w:rsid w:val="005623A0"/>
    <w:rsid w:val="0056241E"/>
    <w:rsid w:val="00562932"/>
    <w:rsid w:val="00562E58"/>
    <w:rsid w:val="00562E65"/>
    <w:rsid w:val="005630CD"/>
    <w:rsid w:val="00563159"/>
    <w:rsid w:val="005632C5"/>
    <w:rsid w:val="0056390D"/>
    <w:rsid w:val="00563993"/>
    <w:rsid w:val="00563CBE"/>
    <w:rsid w:val="00564006"/>
    <w:rsid w:val="005640A3"/>
    <w:rsid w:val="00564279"/>
    <w:rsid w:val="00564329"/>
    <w:rsid w:val="00564737"/>
    <w:rsid w:val="00565129"/>
    <w:rsid w:val="00565220"/>
    <w:rsid w:val="00565DEE"/>
    <w:rsid w:val="00565DF1"/>
    <w:rsid w:val="00565F5E"/>
    <w:rsid w:val="00566365"/>
    <w:rsid w:val="005667F0"/>
    <w:rsid w:val="00566C01"/>
    <w:rsid w:val="00566D36"/>
    <w:rsid w:val="00566F08"/>
    <w:rsid w:val="0056735D"/>
    <w:rsid w:val="00567D60"/>
    <w:rsid w:val="00567E67"/>
    <w:rsid w:val="005701D4"/>
    <w:rsid w:val="00570354"/>
    <w:rsid w:val="0057099A"/>
    <w:rsid w:val="00570B3E"/>
    <w:rsid w:val="0057134D"/>
    <w:rsid w:val="0057186A"/>
    <w:rsid w:val="0057299A"/>
    <w:rsid w:val="00572BD5"/>
    <w:rsid w:val="0057334E"/>
    <w:rsid w:val="005737AB"/>
    <w:rsid w:val="00573807"/>
    <w:rsid w:val="00573A85"/>
    <w:rsid w:val="00573AB1"/>
    <w:rsid w:val="00573BD4"/>
    <w:rsid w:val="00573BFB"/>
    <w:rsid w:val="00573C51"/>
    <w:rsid w:val="00573FC3"/>
    <w:rsid w:val="005743B3"/>
    <w:rsid w:val="005746C3"/>
    <w:rsid w:val="00574934"/>
    <w:rsid w:val="00574BB4"/>
    <w:rsid w:val="00574F54"/>
    <w:rsid w:val="005751B4"/>
    <w:rsid w:val="005754A7"/>
    <w:rsid w:val="0057598C"/>
    <w:rsid w:val="00575DD5"/>
    <w:rsid w:val="0057611A"/>
    <w:rsid w:val="0057626C"/>
    <w:rsid w:val="00576486"/>
    <w:rsid w:val="005769DF"/>
    <w:rsid w:val="00576D60"/>
    <w:rsid w:val="00577362"/>
    <w:rsid w:val="005776F9"/>
    <w:rsid w:val="005777D3"/>
    <w:rsid w:val="0057789F"/>
    <w:rsid w:val="00577C3C"/>
    <w:rsid w:val="00577D3D"/>
    <w:rsid w:val="005802CF"/>
    <w:rsid w:val="00580484"/>
    <w:rsid w:val="005805ED"/>
    <w:rsid w:val="00580898"/>
    <w:rsid w:val="00580C79"/>
    <w:rsid w:val="005814A1"/>
    <w:rsid w:val="005814FB"/>
    <w:rsid w:val="005818A9"/>
    <w:rsid w:val="00581D15"/>
    <w:rsid w:val="00581EB9"/>
    <w:rsid w:val="00582220"/>
    <w:rsid w:val="00582725"/>
    <w:rsid w:val="005827B0"/>
    <w:rsid w:val="00582E24"/>
    <w:rsid w:val="00582F51"/>
    <w:rsid w:val="0058323F"/>
    <w:rsid w:val="005843B2"/>
    <w:rsid w:val="0058457F"/>
    <w:rsid w:val="00584667"/>
    <w:rsid w:val="00584988"/>
    <w:rsid w:val="0058521D"/>
    <w:rsid w:val="00585394"/>
    <w:rsid w:val="0058596D"/>
    <w:rsid w:val="00585A5F"/>
    <w:rsid w:val="00585D4D"/>
    <w:rsid w:val="0058600D"/>
    <w:rsid w:val="00586331"/>
    <w:rsid w:val="00586533"/>
    <w:rsid w:val="00586600"/>
    <w:rsid w:val="00586732"/>
    <w:rsid w:val="00586A3F"/>
    <w:rsid w:val="00586B44"/>
    <w:rsid w:val="00586E23"/>
    <w:rsid w:val="00587081"/>
    <w:rsid w:val="00587BC2"/>
    <w:rsid w:val="00587C20"/>
    <w:rsid w:val="00587FC6"/>
    <w:rsid w:val="005906ED"/>
    <w:rsid w:val="00590885"/>
    <w:rsid w:val="0059134E"/>
    <w:rsid w:val="00591A73"/>
    <w:rsid w:val="00591D2C"/>
    <w:rsid w:val="00592A55"/>
    <w:rsid w:val="00592D47"/>
    <w:rsid w:val="00592F86"/>
    <w:rsid w:val="00592F94"/>
    <w:rsid w:val="005930C6"/>
    <w:rsid w:val="00593287"/>
    <w:rsid w:val="00593526"/>
    <w:rsid w:val="00593611"/>
    <w:rsid w:val="00594028"/>
    <w:rsid w:val="00594541"/>
    <w:rsid w:val="00594586"/>
    <w:rsid w:val="0059497D"/>
    <w:rsid w:val="00594B39"/>
    <w:rsid w:val="00594DEC"/>
    <w:rsid w:val="005957E6"/>
    <w:rsid w:val="005958A1"/>
    <w:rsid w:val="00595A07"/>
    <w:rsid w:val="00595CD7"/>
    <w:rsid w:val="00595FFC"/>
    <w:rsid w:val="0059646B"/>
    <w:rsid w:val="00596895"/>
    <w:rsid w:val="00596961"/>
    <w:rsid w:val="00596AA3"/>
    <w:rsid w:val="00596DDA"/>
    <w:rsid w:val="00596EF4"/>
    <w:rsid w:val="0059721C"/>
    <w:rsid w:val="005973D1"/>
    <w:rsid w:val="005976B1"/>
    <w:rsid w:val="00597A31"/>
    <w:rsid w:val="00597E02"/>
    <w:rsid w:val="005A006F"/>
    <w:rsid w:val="005A0536"/>
    <w:rsid w:val="005A0790"/>
    <w:rsid w:val="005A0E32"/>
    <w:rsid w:val="005A1438"/>
    <w:rsid w:val="005A16D3"/>
    <w:rsid w:val="005A1942"/>
    <w:rsid w:val="005A1A37"/>
    <w:rsid w:val="005A1B91"/>
    <w:rsid w:val="005A1C6C"/>
    <w:rsid w:val="005A1EFE"/>
    <w:rsid w:val="005A2113"/>
    <w:rsid w:val="005A2BC8"/>
    <w:rsid w:val="005A35B5"/>
    <w:rsid w:val="005A367A"/>
    <w:rsid w:val="005A39F3"/>
    <w:rsid w:val="005A3DDF"/>
    <w:rsid w:val="005A4539"/>
    <w:rsid w:val="005A4D0C"/>
    <w:rsid w:val="005A4D39"/>
    <w:rsid w:val="005A57D3"/>
    <w:rsid w:val="005A587C"/>
    <w:rsid w:val="005A599E"/>
    <w:rsid w:val="005A5D45"/>
    <w:rsid w:val="005A5E37"/>
    <w:rsid w:val="005A5FC5"/>
    <w:rsid w:val="005A6935"/>
    <w:rsid w:val="005A6B31"/>
    <w:rsid w:val="005A6B7D"/>
    <w:rsid w:val="005A718B"/>
    <w:rsid w:val="005A71C1"/>
    <w:rsid w:val="005A74AD"/>
    <w:rsid w:val="005A753E"/>
    <w:rsid w:val="005A79E9"/>
    <w:rsid w:val="005A7A58"/>
    <w:rsid w:val="005A7AEB"/>
    <w:rsid w:val="005A7D77"/>
    <w:rsid w:val="005A7DAE"/>
    <w:rsid w:val="005A7E6F"/>
    <w:rsid w:val="005B00AB"/>
    <w:rsid w:val="005B057E"/>
    <w:rsid w:val="005B0947"/>
    <w:rsid w:val="005B1482"/>
    <w:rsid w:val="005B169A"/>
    <w:rsid w:val="005B16B1"/>
    <w:rsid w:val="005B1978"/>
    <w:rsid w:val="005B1A03"/>
    <w:rsid w:val="005B1C74"/>
    <w:rsid w:val="005B1D40"/>
    <w:rsid w:val="005B1D46"/>
    <w:rsid w:val="005B1F04"/>
    <w:rsid w:val="005B2398"/>
    <w:rsid w:val="005B24A3"/>
    <w:rsid w:val="005B2563"/>
    <w:rsid w:val="005B28EC"/>
    <w:rsid w:val="005B293D"/>
    <w:rsid w:val="005B2BB3"/>
    <w:rsid w:val="005B3157"/>
    <w:rsid w:val="005B326C"/>
    <w:rsid w:val="005B3B59"/>
    <w:rsid w:val="005B3D16"/>
    <w:rsid w:val="005B3EF1"/>
    <w:rsid w:val="005B40B6"/>
    <w:rsid w:val="005B4174"/>
    <w:rsid w:val="005B4790"/>
    <w:rsid w:val="005B480B"/>
    <w:rsid w:val="005B4A48"/>
    <w:rsid w:val="005B4A91"/>
    <w:rsid w:val="005B504A"/>
    <w:rsid w:val="005B50F1"/>
    <w:rsid w:val="005B51E6"/>
    <w:rsid w:val="005B5267"/>
    <w:rsid w:val="005B52F0"/>
    <w:rsid w:val="005B587B"/>
    <w:rsid w:val="005B5BD9"/>
    <w:rsid w:val="005B5CA9"/>
    <w:rsid w:val="005B5EBA"/>
    <w:rsid w:val="005B600A"/>
    <w:rsid w:val="005B6099"/>
    <w:rsid w:val="005B6105"/>
    <w:rsid w:val="005B67D1"/>
    <w:rsid w:val="005B6B2F"/>
    <w:rsid w:val="005B70E7"/>
    <w:rsid w:val="005B71F0"/>
    <w:rsid w:val="005B7422"/>
    <w:rsid w:val="005B75EE"/>
    <w:rsid w:val="005B7C9F"/>
    <w:rsid w:val="005C0441"/>
    <w:rsid w:val="005C0475"/>
    <w:rsid w:val="005C06EC"/>
    <w:rsid w:val="005C09D5"/>
    <w:rsid w:val="005C0C34"/>
    <w:rsid w:val="005C10B1"/>
    <w:rsid w:val="005C15AB"/>
    <w:rsid w:val="005C15AC"/>
    <w:rsid w:val="005C1654"/>
    <w:rsid w:val="005C1BFC"/>
    <w:rsid w:val="005C1CA5"/>
    <w:rsid w:val="005C298B"/>
    <w:rsid w:val="005C2F2F"/>
    <w:rsid w:val="005C312E"/>
    <w:rsid w:val="005C3388"/>
    <w:rsid w:val="005C35A2"/>
    <w:rsid w:val="005C3762"/>
    <w:rsid w:val="005C3AD7"/>
    <w:rsid w:val="005C3B66"/>
    <w:rsid w:val="005C3BFB"/>
    <w:rsid w:val="005C3D24"/>
    <w:rsid w:val="005C3E5E"/>
    <w:rsid w:val="005C3EB8"/>
    <w:rsid w:val="005C4098"/>
    <w:rsid w:val="005C47C0"/>
    <w:rsid w:val="005C4943"/>
    <w:rsid w:val="005C4CD5"/>
    <w:rsid w:val="005C4EDA"/>
    <w:rsid w:val="005C533A"/>
    <w:rsid w:val="005C540C"/>
    <w:rsid w:val="005C5482"/>
    <w:rsid w:val="005C5780"/>
    <w:rsid w:val="005C595C"/>
    <w:rsid w:val="005C5997"/>
    <w:rsid w:val="005C5F14"/>
    <w:rsid w:val="005C676F"/>
    <w:rsid w:val="005C69F0"/>
    <w:rsid w:val="005C6A68"/>
    <w:rsid w:val="005C6B50"/>
    <w:rsid w:val="005C7182"/>
    <w:rsid w:val="005C73B5"/>
    <w:rsid w:val="005C7A5A"/>
    <w:rsid w:val="005C7F2D"/>
    <w:rsid w:val="005C7F86"/>
    <w:rsid w:val="005D0186"/>
    <w:rsid w:val="005D0222"/>
    <w:rsid w:val="005D0ADE"/>
    <w:rsid w:val="005D0D04"/>
    <w:rsid w:val="005D0F34"/>
    <w:rsid w:val="005D1170"/>
    <w:rsid w:val="005D12EA"/>
    <w:rsid w:val="005D12F5"/>
    <w:rsid w:val="005D139D"/>
    <w:rsid w:val="005D14B0"/>
    <w:rsid w:val="005D1750"/>
    <w:rsid w:val="005D1901"/>
    <w:rsid w:val="005D1B06"/>
    <w:rsid w:val="005D1B6D"/>
    <w:rsid w:val="005D211C"/>
    <w:rsid w:val="005D2369"/>
    <w:rsid w:val="005D24CB"/>
    <w:rsid w:val="005D26EF"/>
    <w:rsid w:val="005D2FBE"/>
    <w:rsid w:val="005D30E3"/>
    <w:rsid w:val="005D3278"/>
    <w:rsid w:val="005D3C90"/>
    <w:rsid w:val="005D3EC4"/>
    <w:rsid w:val="005D423C"/>
    <w:rsid w:val="005D458C"/>
    <w:rsid w:val="005D4712"/>
    <w:rsid w:val="005D4B41"/>
    <w:rsid w:val="005D4E5A"/>
    <w:rsid w:val="005D4FD8"/>
    <w:rsid w:val="005D5184"/>
    <w:rsid w:val="005D553B"/>
    <w:rsid w:val="005D5581"/>
    <w:rsid w:val="005D5589"/>
    <w:rsid w:val="005D5761"/>
    <w:rsid w:val="005D5B22"/>
    <w:rsid w:val="005D5BB2"/>
    <w:rsid w:val="005D5C45"/>
    <w:rsid w:val="005D5C5D"/>
    <w:rsid w:val="005D605C"/>
    <w:rsid w:val="005D69A6"/>
    <w:rsid w:val="005D69AB"/>
    <w:rsid w:val="005D6D92"/>
    <w:rsid w:val="005D6DFF"/>
    <w:rsid w:val="005D6FEB"/>
    <w:rsid w:val="005D7576"/>
    <w:rsid w:val="005D773A"/>
    <w:rsid w:val="005D7A8E"/>
    <w:rsid w:val="005E0366"/>
    <w:rsid w:val="005E0472"/>
    <w:rsid w:val="005E0B53"/>
    <w:rsid w:val="005E11FF"/>
    <w:rsid w:val="005E1294"/>
    <w:rsid w:val="005E19C5"/>
    <w:rsid w:val="005E1BC5"/>
    <w:rsid w:val="005E1C3A"/>
    <w:rsid w:val="005E1D37"/>
    <w:rsid w:val="005E287C"/>
    <w:rsid w:val="005E2991"/>
    <w:rsid w:val="005E2F8B"/>
    <w:rsid w:val="005E30DA"/>
    <w:rsid w:val="005E313D"/>
    <w:rsid w:val="005E377E"/>
    <w:rsid w:val="005E3920"/>
    <w:rsid w:val="005E3AC3"/>
    <w:rsid w:val="005E3D1C"/>
    <w:rsid w:val="005E4062"/>
    <w:rsid w:val="005E4342"/>
    <w:rsid w:val="005E46F4"/>
    <w:rsid w:val="005E4E98"/>
    <w:rsid w:val="005E5063"/>
    <w:rsid w:val="005E554C"/>
    <w:rsid w:val="005E55EB"/>
    <w:rsid w:val="005E5BC8"/>
    <w:rsid w:val="005E5E1E"/>
    <w:rsid w:val="005E5E77"/>
    <w:rsid w:val="005E5F2D"/>
    <w:rsid w:val="005E6290"/>
    <w:rsid w:val="005E664E"/>
    <w:rsid w:val="005E6A28"/>
    <w:rsid w:val="005E6FFF"/>
    <w:rsid w:val="005E73A4"/>
    <w:rsid w:val="005E74E6"/>
    <w:rsid w:val="005E768A"/>
    <w:rsid w:val="005E7A51"/>
    <w:rsid w:val="005E7E09"/>
    <w:rsid w:val="005E7E59"/>
    <w:rsid w:val="005F0A30"/>
    <w:rsid w:val="005F0C6E"/>
    <w:rsid w:val="005F0CAB"/>
    <w:rsid w:val="005F0DFF"/>
    <w:rsid w:val="005F157A"/>
    <w:rsid w:val="005F1810"/>
    <w:rsid w:val="005F21B8"/>
    <w:rsid w:val="005F24C9"/>
    <w:rsid w:val="005F253B"/>
    <w:rsid w:val="005F2665"/>
    <w:rsid w:val="005F275A"/>
    <w:rsid w:val="005F29D4"/>
    <w:rsid w:val="005F3B6B"/>
    <w:rsid w:val="005F3E29"/>
    <w:rsid w:val="005F3F62"/>
    <w:rsid w:val="005F3FDA"/>
    <w:rsid w:val="005F4075"/>
    <w:rsid w:val="005F413C"/>
    <w:rsid w:val="005F4407"/>
    <w:rsid w:val="005F4AC2"/>
    <w:rsid w:val="005F52BE"/>
    <w:rsid w:val="005F54A6"/>
    <w:rsid w:val="005F568E"/>
    <w:rsid w:val="005F6062"/>
    <w:rsid w:val="005F6335"/>
    <w:rsid w:val="005F66A3"/>
    <w:rsid w:val="005F66AB"/>
    <w:rsid w:val="005F6D5E"/>
    <w:rsid w:val="005F6E9C"/>
    <w:rsid w:val="005F6F3D"/>
    <w:rsid w:val="005F6F61"/>
    <w:rsid w:val="005F7156"/>
    <w:rsid w:val="005F761C"/>
    <w:rsid w:val="005F76B0"/>
    <w:rsid w:val="005F77AC"/>
    <w:rsid w:val="005F791B"/>
    <w:rsid w:val="005F7B2E"/>
    <w:rsid w:val="005F7E95"/>
    <w:rsid w:val="005F7E9A"/>
    <w:rsid w:val="005F7FC7"/>
    <w:rsid w:val="00600526"/>
    <w:rsid w:val="006007BF"/>
    <w:rsid w:val="00600F22"/>
    <w:rsid w:val="00600F83"/>
    <w:rsid w:val="006013A2"/>
    <w:rsid w:val="00601640"/>
    <w:rsid w:val="0060164B"/>
    <w:rsid w:val="00601755"/>
    <w:rsid w:val="00601D53"/>
    <w:rsid w:val="006020DE"/>
    <w:rsid w:val="006029AC"/>
    <w:rsid w:val="00602B83"/>
    <w:rsid w:val="00602BF4"/>
    <w:rsid w:val="00602CB3"/>
    <w:rsid w:val="00603694"/>
    <w:rsid w:val="00603A1A"/>
    <w:rsid w:val="0060453F"/>
    <w:rsid w:val="00604695"/>
    <w:rsid w:val="00604906"/>
    <w:rsid w:val="006050CD"/>
    <w:rsid w:val="0060515F"/>
    <w:rsid w:val="0060535F"/>
    <w:rsid w:val="00605C99"/>
    <w:rsid w:val="00605DCF"/>
    <w:rsid w:val="00606336"/>
    <w:rsid w:val="00606DBC"/>
    <w:rsid w:val="00606E69"/>
    <w:rsid w:val="006072A0"/>
    <w:rsid w:val="006073EF"/>
    <w:rsid w:val="0060747C"/>
    <w:rsid w:val="00607620"/>
    <w:rsid w:val="00607753"/>
    <w:rsid w:val="006078BD"/>
    <w:rsid w:val="00607C43"/>
    <w:rsid w:val="00607DC2"/>
    <w:rsid w:val="00607E17"/>
    <w:rsid w:val="006105BA"/>
    <w:rsid w:val="00610643"/>
    <w:rsid w:val="00610B8E"/>
    <w:rsid w:val="006111E4"/>
    <w:rsid w:val="0061192E"/>
    <w:rsid w:val="00611BE2"/>
    <w:rsid w:val="006121FC"/>
    <w:rsid w:val="006122C6"/>
    <w:rsid w:val="0061246B"/>
    <w:rsid w:val="00612553"/>
    <w:rsid w:val="00612872"/>
    <w:rsid w:val="00612932"/>
    <w:rsid w:val="00612A04"/>
    <w:rsid w:val="00612AB6"/>
    <w:rsid w:val="00612BC6"/>
    <w:rsid w:val="00612EF2"/>
    <w:rsid w:val="00612FA2"/>
    <w:rsid w:val="00613110"/>
    <w:rsid w:val="00613186"/>
    <w:rsid w:val="00613469"/>
    <w:rsid w:val="006138D8"/>
    <w:rsid w:val="00613A0A"/>
    <w:rsid w:val="00613A99"/>
    <w:rsid w:val="00613F00"/>
    <w:rsid w:val="00614136"/>
    <w:rsid w:val="00614300"/>
    <w:rsid w:val="00614402"/>
    <w:rsid w:val="00614988"/>
    <w:rsid w:val="0061528C"/>
    <w:rsid w:val="00615877"/>
    <w:rsid w:val="00615C5D"/>
    <w:rsid w:val="00615CDA"/>
    <w:rsid w:val="00615D92"/>
    <w:rsid w:val="00616253"/>
    <w:rsid w:val="006163B9"/>
    <w:rsid w:val="006166EF"/>
    <w:rsid w:val="00616993"/>
    <w:rsid w:val="00616C3F"/>
    <w:rsid w:val="00616D54"/>
    <w:rsid w:val="00616F97"/>
    <w:rsid w:val="00616FD7"/>
    <w:rsid w:val="00617081"/>
    <w:rsid w:val="00617204"/>
    <w:rsid w:val="006173AF"/>
    <w:rsid w:val="0061759A"/>
    <w:rsid w:val="006178E5"/>
    <w:rsid w:val="006179FF"/>
    <w:rsid w:val="00617C20"/>
    <w:rsid w:val="00617D68"/>
    <w:rsid w:val="00617D8D"/>
    <w:rsid w:val="006203BD"/>
    <w:rsid w:val="006203D5"/>
    <w:rsid w:val="0062088E"/>
    <w:rsid w:val="00620C03"/>
    <w:rsid w:val="00620CE1"/>
    <w:rsid w:val="00621001"/>
    <w:rsid w:val="00621D42"/>
    <w:rsid w:val="00621E8D"/>
    <w:rsid w:val="00621F62"/>
    <w:rsid w:val="006225F3"/>
    <w:rsid w:val="006228CA"/>
    <w:rsid w:val="006230EE"/>
    <w:rsid w:val="0062341E"/>
    <w:rsid w:val="0062357F"/>
    <w:rsid w:val="0062386A"/>
    <w:rsid w:val="00623B50"/>
    <w:rsid w:val="00623BA6"/>
    <w:rsid w:val="00623D4D"/>
    <w:rsid w:val="0062401F"/>
    <w:rsid w:val="00624BED"/>
    <w:rsid w:val="00624C04"/>
    <w:rsid w:val="00624E5B"/>
    <w:rsid w:val="0062510A"/>
    <w:rsid w:val="0062510C"/>
    <w:rsid w:val="0062516C"/>
    <w:rsid w:val="006256B9"/>
    <w:rsid w:val="00625C65"/>
    <w:rsid w:val="00625D23"/>
    <w:rsid w:val="006260ED"/>
    <w:rsid w:val="00626130"/>
    <w:rsid w:val="00626261"/>
    <w:rsid w:val="006268B9"/>
    <w:rsid w:val="0062694F"/>
    <w:rsid w:val="00626B0E"/>
    <w:rsid w:val="00626C28"/>
    <w:rsid w:val="00626D52"/>
    <w:rsid w:val="00626E44"/>
    <w:rsid w:val="006275E0"/>
    <w:rsid w:val="00627889"/>
    <w:rsid w:val="00627E21"/>
    <w:rsid w:val="00630063"/>
    <w:rsid w:val="0063024A"/>
    <w:rsid w:val="00630972"/>
    <w:rsid w:val="00630A21"/>
    <w:rsid w:val="00630B46"/>
    <w:rsid w:val="00631133"/>
    <w:rsid w:val="00631383"/>
    <w:rsid w:val="006317AF"/>
    <w:rsid w:val="0063209A"/>
    <w:rsid w:val="00632695"/>
    <w:rsid w:val="006327D1"/>
    <w:rsid w:val="00632A9E"/>
    <w:rsid w:val="00632ADB"/>
    <w:rsid w:val="00632DAD"/>
    <w:rsid w:val="00632E3B"/>
    <w:rsid w:val="00632FBD"/>
    <w:rsid w:val="006335BF"/>
    <w:rsid w:val="006338CD"/>
    <w:rsid w:val="00633A3E"/>
    <w:rsid w:val="00633A93"/>
    <w:rsid w:val="00633F55"/>
    <w:rsid w:val="00634099"/>
    <w:rsid w:val="006342A4"/>
    <w:rsid w:val="00634383"/>
    <w:rsid w:val="0063442E"/>
    <w:rsid w:val="006344B2"/>
    <w:rsid w:val="00634752"/>
    <w:rsid w:val="0063498A"/>
    <w:rsid w:val="00634B5C"/>
    <w:rsid w:val="00634E55"/>
    <w:rsid w:val="00634E5C"/>
    <w:rsid w:val="006351F7"/>
    <w:rsid w:val="006351FC"/>
    <w:rsid w:val="006352AC"/>
    <w:rsid w:val="00635310"/>
    <w:rsid w:val="00635A70"/>
    <w:rsid w:val="00636290"/>
    <w:rsid w:val="006362AA"/>
    <w:rsid w:val="006364A4"/>
    <w:rsid w:val="006364DE"/>
    <w:rsid w:val="006366BC"/>
    <w:rsid w:val="0063695B"/>
    <w:rsid w:val="00636A0D"/>
    <w:rsid w:val="00636B1F"/>
    <w:rsid w:val="00636B71"/>
    <w:rsid w:val="006373C9"/>
    <w:rsid w:val="0063742F"/>
    <w:rsid w:val="006374D1"/>
    <w:rsid w:val="00637D35"/>
    <w:rsid w:val="00637F7C"/>
    <w:rsid w:val="0064008C"/>
    <w:rsid w:val="006402E5"/>
    <w:rsid w:val="0064084E"/>
    <w:rsid w:val="00640950"/>
    <w:rsid w:val="00640EF8"/>
    <w:rsid w:val="006411CA"/>
    <w:rsid w:val="006414D1"/>
    <w:rsid w:val="00641573"/>
    <w:rsid w:val="00641962"/>
    <w:rsid w:val="00641C5E"/>
    <w:rsid w:val="00641E1F"/>
    <w:rsid w:val="006420EB"/>
    <w:rsid w:val="006427A5"/>
    <w:rsid w:val="00642810"/>
    <w:rsid w:val="00642F76"/>
    <w:rsid w:val="0064303C"/>
    <w:rsid w:val="00643049"/>
    <w:rsid w:val="0064314A"/>
    <w:rsid w:val="006435DD"/>
    <w:rsid w:val="00643BEE"/>
    <w:rsid w:val="00643DC9"/>
    <w:rsid w:val="00644479"/>
    <w:rsid w:val="006445E5"/>
    <w:rsid w:val="00644797"/>
    <w:rsid w:val="006447AA"/>
    <w:rsid w:val="00645404"/>
    <w:rsid w:val="00645463"/>
    <w:rsid w:val="0064582A"/>
    <w:rsid w:val="006459D1"/>
    <w:rsid w:val="00645A3C"/>
    <w:rsid w:val="00645BA1"/>
    <w:rsid w:val="00645F84"/>
    <w:rsid w:val="00645FBA"/>
    <w:rsid w:val="006460CC"/>
    <w:rsid w:val="00646270"/>
    <w:rsid w:val="00646683"/>
    <w:rsid w:val="00646D1E"/>
    <w:rsid w:val="00647229"/>
    <w:rsid w:val="006473DC"/>
    <w:rsid w:val="00647CF2"/>
    <w:rsid w:val="006501AD"/>
    <w:rsid w:val="00650290"/>
    <w:rsid w:val="0065042C"/>
    <w:rsid w:val="00650544"/>
    <w:rsid w:val="0065099E"/>
    <w:rsid w:val="00650F16"/>
    <w:rsid w:val="00651D1D"/>
    <w:rsid w:val="00651E6C"/>
    <w:rsid w:val="00651F79"/>
    <w:rsid w:val="0065255C"/>
    <w:rsid w:val="006527C7"/>
    <w:rsid w:val="00652DDE"/>
    <w:rsid w:val="0065307F"/>
    <w:rsid w:val="00653087"/>
    <w:rsid w:val="006531A8"/>
    <w:rsid w:val="006533D9"/>
    <w:rsid w:val="00653640"/>
    <w:rsid w:val="006536AA"/>
    <w:rsid w:val="006536BA"/>
    <w:rsid w:val="00653CE2"/>
    <w:rsid w:val="00653D14"/>
    <w:rsid w:val="006546A2"/>
    <w:rsid w:val="00654832"/>
    <w:rsid w:val="00654D4C"/>
    <w:rsid w:val="006552B1"/>
    <w:rsid w:val="006554FE"/>
    <w:rsid w:val="00655848"/>
    <w:rsid w:val="00655893"/>
    <w:rsid w:val="00655937"/>
    <w:rsid w:val="006562A9"/>
    <w:rsid w:val="006562EB"/>
    <w:rsid w:val="00656852"/>
    <w:rsid w:val="0065696C"/>
    <w:rsid w:val="00656C0C"/>
    <w:rsid w:val="00656FDF"/>
    <w:rsid w:val="006570B5"/>
    <w:rsid w:val="00657C1A"/>
    <w:rsid w:val="0066015D"/>
    <w:rsid w:val="0066049C"/>
    <w:rsid w:val="006607B1"/>
    <w:rsid w:val="00660F16"/>
    <w:rsid w:val="006612B7"/>
    <w:rsid w:val="006617A2"/>
    <w:rsid w:val="006618B8"/>
    <w:rsid w:val="00661AB5"/>
    <w:rsid w:val="00661B81"/>
    <w:rsid w:val="006622D6"/>
    <w:rsid w:val="00662556"/>
    <w:rsid w:val="0066264F"/>
    <w:rsid w:val="00662A99"/>
    <w:rsid w:val="00662CD1"/>
    <w:rsid w:val="00662CFB"/>
    <w:rsid w:val="00662E96"/>
    <w:rsid w:val="006632E9"/>
    <w:rsid w:val="006635D1"/>
    <w:rsid w:val="00663763"/>
    <w:rsid w:val="006646E2"/>
    <w:rsid w:val="00664931"/>
    <w:rsid w:val="006649FB"/>
    <w:rsid w:val="006650BB"/>
    <w:rsid w:val="006652DE"/>
    <w:rsid w:val="0066541F"/>
    <w:rsid w:val="00665611"/>
    <w:rsid w:val="00665A58"/>
    <w:rsid w:val="00665D02"/>
    <w:rsid w:val="006665C0"/>
    <w:rsid w:val="00666663"/>
    <w:rsid w:val="0066711D"/>
    <w:rsid w:val="0066765D"/>
    <w:rsid w:val="00667842"/>
    <w:rsid w:val="0066789C"/>
    <w:rsid w:val="00667B91"/>
    <w:rsid w:val="00667C55"/>
    <w:rsid w:val="00667EDB"/>
    <w:rsid w:val="006702A8"/>
    <w:rsid w:val="006702B4"/>
    <w:rsid w:val="00670401"/>
    <w:rsid w:val="006704FE"/>
    <w:rsid w:val="006706E0"/>
    <w:rsid w:val="0067089D"/>
    <w:rsid w:val="00670A1F"/>
    <w:rsid w:val="00670CA1"/>
    <w:rsid w:val="00670CD7"/>
    <w:rsid w:val="00671530"/>
    <w:rsid w:val="00671979"/>
    <w:rsid w:val="00671991"/>
    <w:rsid w:val="00671DD8"/>
    <w:rsid w:val="00671E4C"/>
    <w:rsid w:val="00672128"/>
    <w:rsid w:val="006721D2"/>
    <w:rsid w:val="006728E1"/>
    <w:rsid w:val="00672F13"/>
    <w:rsid w:val="00672F74"/>
    <w:rsid w:val="00673008"/>
    <w:rsid w:val="00673253"/>
    <w:rsid w:val="00673457"/>
    <w:rsid w:val="00673DC3"/>
    <w:rsid w:val="0067408A"/>
    <w:rsid w:val="006743C6"/>
    <w:rsid w:val="00674507"/>
    <w:rsid w:val="00675136"/>
    <w:rsid w:val="006752E5"/>
    <w:rsid w:val="0067548A"/>
    <w:rsid w:val="00675676"/>
    <w:rsid w:val="006759A2"/>
    <w:rsid w:val="00675B69"/>
    <w:rsid w:val="00675E1A"/>
    <w:rsid w:val="00676BFE"/>
    <w:rsid w:val="00677101"/>
    <w:rsid w:val="00677439"/>
    <w:rsid w:val="00677458"/>
    <w:rsid w:val="00677629"/>
    <w:rsid w:val="00677CE9"/>
    <w:rsid w:val="00677D05"/>
    <w:rsid w:val="00677D4D"/>
    <w:rsid w:val="00677E0A"/>
    <w:rsid w:val="006805AD"/>
    <w:rsid w:val="006805B7"/>
    <w:rsid w:val="00680675"/>
    <w:rsid w:val="00680D24"/>
    <w:rsid w:val="00680D38"/>
    <w:rsid w:val="0068143B"/>
    <w:rsid w:val="00681471"/>
    <w:rsid w:val="0068150C"/>
    <w:rsid w:val="0068192A"/>
    <w:rsid w:val="00681B4A"/>
    <w:rsid w:val="0068205A"/>
    <w:rsid w:val="00682269"/>
    <w:rsid w:val="00682340"/>
    <w:rsid w:val="00682453"/>
    <w:rsid w:val="00682656"/>
    <w:rsid w:val="00682708"/>
    <w:rsid w:val="00682709"/>
    <w:rsid w:val="00682DF7"/>
    <w:rsid w:val="00683007"/>
    <w:rsid w:val="0068301C"/>
    <w:rsid w:val="00683329"/>
    <w:rsid w:val="006834DE"/>
    <w:rsid w:val="006835DC"/>
    <w:rsid w:val="0068382A"/>
    <w:rsid w:val="00684497"/>
    <w:rsid w:val="006848FE"/>
    <w:rsid w:val="00684C59"/>
    <w:rsid w:val="00684E6D"/>
    <w:rsid w:val="00684F5C"/>
    <w:rsid w:val="00685157"/>
    <w:rsid w:val="0068516E"/>
    <w:rsid w:val="006852BD"/>
    <w:rsid w:val="0068531D"/>
    <w:rsid w:val="0068533A"/>
    <w:rsid w:val="00685940"/>
    <w:rsid w:val="00685B0E"/>
    <w:rsid w:val="00685B39"/>
    <w:rsid w:val="00685BEF"/>
    <w:rsid w:val="0068684D"/>
    <w:rsid w:val="006870AC"/>
    <w:rsid w:val="00687168"/>
    <w:rsid w:val="006876E7"/>
    <w:rsid w:val="00687943"/>
    <w:rsid w:val="00687A67"/>
    <w:rsid w:val="00687FC1"/>
    <w:rsid w:val="00690446"/>
    <w:rsid w:val="006908C2"/>
    <w:rsid w:val="00691958"/>
    <w:rsid w:val="00691BEF"/>
    <w:rsid w:val="00691C0E"/>
    <w:rsid w:val="00691E23"/>
    <w:rsid w:val="00691E3F"/>
    <w:rsid w:val="00692013"/>
    <w:rsid w:val="006923CF"/>
    <w:rsid w:val="00692618"/>
    <w:rsid w:val="006928A6"/>
    <w:rsid w:val="006928E8"/>
    <w:rsid w:val="00693245"/>
    <w:rsid w:val="00693831"/>
    <w:rsid w:val="00693AA2"/>
    <w:rsid w:val="00693E75"/>
    <w:rsid w:val="00694289"/>
    <w:rsid w:val="006944C7"/>
    <w:rsid w:val="00694528"/>
    <w:rsid w:val="0069482E"/>
    <w:rsid w:val="00694CD6"/>
    <w:rsid w:val="00694DCA"/>
    <w:rsid w:val="00694E20"/>
    <w:rsid w:val="00694FB3"/>
    <w:rsid w:val="00695A57"/>
    <w:rsid w:val="00695B0D"/>
    <w:rsid w:val="00695BC2"/>
    <w:rsid w:val="00695DCE"/>
    <w:rsid w:val="00695FF7"/>
    <w:rsid w:val="00696173"/>
    <w:rsid w:val="00696518"/>
    <w:rsid w:val="00696D92"/>
    <w:rsid w:val="006973A7"/>
    <w:rsid w:val="00697658"/>
    <w:rsid w:val="00697B7D"/>
    <w:rsid w:val="006A0232"/>
    <w:rsid w:val="006A0541"/>
    <w:rsid w:val="006A0642"/>
    <w:rsid w:val="006A0AF0"/>
    <w:rsid w:val="006A0B6F"/>
    <w:rsid w:val="006A0ECA"/>
    <w:rsid w:val="006A105B"/>
    <w:rsid w:val="006A16EE"/>
    <w:rsid w:val="006A1A46"/>
    <w:rsid w:val="006A1A69"/>
    <w:rsid w:val="006A1EEE"/>
    <w:rsid w:val="006A23ED"/>
    <w:rsid w:val="006A2906"/>
    <w:rsid w:val="006A2AC2"/>
    <w:rsid w:val="006A3653"/>
    <w:rsid w:val="006A4803"/>
    <w:rsid w:val="006A48C3"/>
    <w:rsid w:val="006A4A34"/>
    <w:rsid w:val="006A4FE5"/>
    <w:rsid w:val="006A509F"/>
    <w:rsid w:val="006A5213"/>
    <w:rsid w:val="006A5229"/>
    <w:rsid w:val="006A5299"/>
    <w:rsid w:val="006A580E"/>
    <w:rsid w:val="006A5AF6"/>
    <w:rsid w:val="006A6718"/>
    <w:rsid w:val="006A694B"/>
    <w:rsid w:val="006A6D5F"/>
    <w:rsid w:val="006A6DB4"/>
    <w:rsid w:val="006A76A4"/>
    <w:rsid w:val="006A77BF"/>
    <w:rsid w:val="006A790B"/>
    <w:rsid w:val="006A7A2D"/>
    <w:rsid w:val="006A7A59"/>
    <w:rsid w:val="006A7C0D"/>
    <w:rsid w:val="006A7EA0"/>
    <w:rsid w:val="006A7ED9"/>
    <w:rsid w:val="006B0944"/>
    <w:rsid w:val="006B0C53"/>
    <w:rsid w:val="006B0D8D"/>
    <w:rsid w:val="006B0E44"/>
    <w:rsid w:val="006B0EFA"/>
    <w:rsid w:val="006B108A"/>
    <w:rsid w:val="006B163E"/>
    <w:rsid w:val="006B1D4C"/>
    <w:rsid w:val="006B1DDF"/>
    <w:rsid w:val="006B1FC6"/>
    <w:rsid w:val="006B20FC"/>
    <w:rsid w:val="006B25EE"/>
    <w:rsid w:val="006B263A"/>
    <w:rsid w:val="006B26A4"/>
    <w:rsid w:val="006B2757"/>
    <w:rsid w:val="006B27F4"/>
    <w:rsid w:val="006B2837"/>
    <w:rsid w:val="006B2BA9"/>
    <w:rsid w:val="006B2C77"/>
    <w:rsid w:val="006B2E3D"/>
    <w:rsid w:val="006B37B0"/>
    <w:rsid w:val="006B3919"/>
    <w:rsid w:val="006B4222"/>
    <w:rsid w:val="006B438D"/>
    <w:rsid w:val="006B43BC"/>
    <w:rsid w:val="006B4406"/>
    <w:rsid w:val="006B4413"/>
    <w:rsid w:val="006B471C"/>
    <w:rsid w:val="006B495F"/>
    <w:rsid w:val="006B49E9"/>
    <w:rsid w:val="006B514D"/>
    <w:rsid w:val="006B5201"/>
    <w:rsid w:val="006B52DB"/>
    <w:rsid w:val="006B5483"/>
    <w:rsid w:val="006B55F8"/>
    <w:rsid w:val="006B59C2"/>
    <w:rsid w:val="006B5D17"/>
    <w:rsid w:val="006B5FCE"/>
    <w:rsid w:val="006B6069"/>
    <w:rsid w:val="006B617D"/>
    <w:rsid w:val="006B6203"/>
    <w:rsid w:val="006B65F5"/>
    <w:rsid w:val="006B6E24"/>
    <w:rsid w:val="006B7122"/>
    <w:rsid w:val="006B7AAD"/>
    <w:rsid w:val="006B7C66"/>
    <w:rsid w:val="006B7D99"/>
    <w:rsid w:val="006B7D9D"/>
    <w:rsid w:val="006C03A8"/>
    <w:rsid w:val="006C051B"/>
    <w:rsid w:val="006C0699"/>
    <w:rsid w:val="006C0859"/>
    <w:rsid w:val="006C0980"/>
    <w:rsid w:val="006C0D00"/>
    <w:rsid w:val="006C13EA"/>
    <w:rsid w:val="006C177E"/>
    <w:rsid w:val="006C1A14"/>
    <w:rsid w:val="006C1E38"/>
    <w:rsid w:val="006C1EC7"/>
    <w:rsid w:val="006C238B"/>
    <w:rsid w:val="006C25E6"/>
    <w:rsid w:val="006C2809"/>
    <w:rsid w:val="006C2CB8"/>
    <w:rsid w:val="006C2D1E"/>
    <w:rsid w:val="006C2D65"/>
    <w:rsid w:val="006C3084"/>
    <w:rsid w:val="006C375A"/>
    <w:rsid w:val="006C3B24"/>
    <w:rsid w:val="006C3BCB"/>
    <w:rsid w:val="006C3C6F"/>
    <w:rsid w:val="006C3EB7"/>
    <w:rsid w:val="006C4082"/>
    <w:rsid w:val="006C4183"/>
    <w:rsid w:val="006C4836"/>
    <w:rsid w:val="006C4972"/>
    <w:rsid w:val="006C5212"/>
    <w:rsid w:val="006C5276"/>
    <w:rsid w:val="006C5358"/>
    <w:rsid w:val="006C542D"/>
    <w:rsid w:val="006C54A5"/>
    <w:rsid w:val="006C5EFC"/>
    <w:rsid w:val="006C60C8"/>
    <w:rsid w:val="006C6407"/>
    <w:rsid w:val="006C6515"/>
    <w:rsid w:val="006C66EA"/>
    <w:rsid w:val="006C6AEF"/>
    <w:rsid w:val="006C6B30"/>
    <w:rsid w:val="006C70BB"/>
    <w:rsid w:val="006C764E"/>
    <w:rsid w:val="006C7F26"/>
    <w:rsid w:val="006C7F56"/>
    <w:rsid w:val="006D006A"/>
    <w:rsid w:val="006D0141"/>
    <w:rsid w:val="006D02B3"/>
    <w:rsid w:val="006D0355"/>
    <w:rsid w:val="006D06A5"/>
    <w:rsid w:val="006D0755"/>
    <w:rsid w:val="006D08FB"/>
    <w:rsid w:val="006D14F8"/>
    <w:rsid w:val="006D155C"/>
    <w:rsid w:val="006D15A8"/>
    <w:rsid w:val="006D1A19"/>
    <w:rsid w:val="006D1D81"/>
    <w:rsid w:val="006D1D8D"/>
    <w:rsid w:val="006D1E58"/>
    <w:rsid w:val="006D1FB9"/>
    <w:rsid w:val="006D24A3"/>
    <w:rsid w:val="006D24A7"/>
    <w:rsid w:val="006D24BE"/>
    <w:rsid w:val="006D291F"/>
    <w:rsid w:val="006D2DE0"/>
    <w:rsid w:val="006D317B"/>
    <w:rsid w:val="006D3500"/>
    <w:rsid w:val="006D36E0"/>
    <w:rsid w:val="006D3CCB"/>
    <w:rsid w:val="006D3EBF"/>
    <w:rsid w:val="006D4226"/>
    <w:rsid w:val="006D4557"/>
    <w:rsid w:val="006D4761"/>
    <w:rsid w:val="006D49BE"/>
    <w:rsid w:val="006D4C0E"/>
    <w:rsid w:val="006D51A8"/>
    <w:rsid w:val="006D5565"/>
    <w:rsid w:val="006D5733"/>
    <w:rsid w:val="006D5A43"/>
    <w:rsid w:val="006D5A96"/>
    <w:rsid w:val="006D5CC8"/>
    <w:rsid w:val="006D5ED4"/>
    <w:rsid w:val="006D5F36"/>
    <w:rsid w:val="006D5F89"/>
    <w:rsid w:val="006D6153"/>
    <w:rsid w:val="006D67A4"/>
    <w:rsid w:val="006D6B68"/>
    <w:rsid w:val="006D6CB2"/>
    <w:rsid w:val="006D6D7E"/>
    <w:rsid w:val="006D708E"/>
    <w:rsid w:val="006D7193"/>
    <w:rsid w:val="006D72C0"/>
    <w:rsid w:val="006D7401"/>
    <w:rsid w:val="006D7A9A"/>
    <w:rsid w:val="006D7CD2"/>
    <w:rsid w:val="006D7CFE"/>
    <w:rsid w:val="006D7E0B"/>
    <w:rsid w:val="006E0E1F"/>
    <w:rsid w:val="006E0E4D"/>
    <w:rsid w:val="006E1A6F"/>
    <w:rsid w:val="006E1A8D"/>
    <w:rsid w:val="006E1EC0"/>
    <w:rsid w:val="006E1F08"/>
    <w:rsid w:val="006E1FF3"/>
    <w:rsid w:val="006E216E"/>
    <w:rsid w:val="006E2553"/>
    <w:rsid w:val="006E2902"/>
    <w:rsid w:val="006E2D82"/>
    <w:rsid w:val="006E3117"/>
    <w:rsid w:val="006E31A7"/>
    <w:rsid w:val="006E31E0"/>
    <w:rsid w:val="006E3772"/>
    <w:rsid w:val="006E38D9"/>
    <w:rsid w:val="006E420E"/>
    <w:rsid w:val="006E46D0"/>
    <w:rsid w:val="006E52E8"/>
    <w:rsid w:val="006E52F0"/>
    <w:rsid w:val="006E595D"/>
    <w:rsid w:val="006E6156"/>
    <w:rsid w:val="006E62B0"/>
    <w:rsid w:val="006E642B"/>
    <w:rsid w:val="006E6642"/>
    <w:rsid w:val="006E6655"/>
    <w:rsid w:val="006E6B79"/>
    <w:rsid w:val="006E6CE0"/>
    <w:rsid w:val="006E6DFD"/>
    <w:rsid w:val="006E744D"/>
    <w:rsid w:val="006E76C6"/>
    <w:rsid w:val="006E785C"/>
    <w:rsid w:val="006E7B07"/>
    <w:rsid w:val="006F00AA"/>
    <w:rsid w:val="006F067C"/>
    <w:rsid w:val="006F099C"/>
    <w:rsid w:val="006F0D76"/>
    <w:rsid w:val="006F1178"/>
    <w:rsid w:val="006F11C3"/>
    <w:rsid w:val="006F130D"/>
    <w:rsid w:val="006F13E6"/>
    <w:rsid w:val="006F1601"/>
    <w:rsid w:val="006F1D61"/>
    <w:rsid w:val="006F1E7A"/>
    <w:rsid w:val="006F1EB5"/>
    <w:rsid w:val="006F1EBF"/>
    <w:rsid w:val="006F233B"/>
    <w:rsid w:val="006F243C"/>
    <w:rsid w:val="006F25B1"/>
    <w:rsid w:val="006F2D85"/>
    <w:rsid w:val="006F344D"/>
    <w:rsid w:val="006F3556"/>
    <w:rsid w:val="006F3810"/>
    <w:rsid w:val="006F3917"/>
    <w:rsid w:val="006F3B0B"/>
    <w:rsid w:val="006F3E59"/>
    <w:rsid w:val="006F423C"/>
    <w:rsid w:val="006F432C"/>
    <w:rsid w:val="006F4533"/>
    <w:rsid w:val="006F45DD"/>
    <w:rsid w:val="006F4603"/>
    <w:rsid w:val="006F486C"/>
    <w:rsid w:val="006F4908"/>
    <w:rsid w:val="006F49DB"/>
    <w:rsid w:val="006F4DDE"/>
    <w:rsid w:val="006F51BD"/>
    <w:rsid w:val="006F5850"/>
    <w:rsid w:val="006F5DB7"/>
    <w:rsid w:val="006F651E"/>
    <w:rsid w:val="006F6B12"/>
    <w:rsid w:val="006F6C03"/>
    <w:rsid w:val="006F7102"/>
    <w:rsid w:val="006F71D9"/>
    <w:rsid w:val="006F76A8"/>
    <w:rsid w:val="006F7B17"/>
    <w:rsid w:val="006F7C1F"/>
    <w:rsid w:val="006F7F5C"/>
    <w:rsid w:val="0070039F"/>
    <w:rsid w:val="007003D3"/>
    <w:rsid w:val="007005B7"/>
    <w:rsid w:val="00700764"/>
    <w:rsid w:val="007009BA"/>
    <w:rsid w:val="007011F9"/>
    <w:rsid w:val="00701B4A"/>
    <w:rsid w:val="0070219D"/>
    <w:rsid w:val="00702275"/>
    <w:rsid w:val="0070264F"/>
    <w:rsid w:val="007026FB"/>
    <w:rsid w:val="00702DBB"/>
    <w:rsid w:val="00702EE1"/>
    <w:rsid w:val="0070396C"/>
    <w:rsid w:val="00703B41"/>
    <w:rsid w:val="007041EA"/>
    <w:rsid w:val="00704381"/>
    <w:rsid w:val="0070489B"/>
    <w:rsid w:val="00704B20"/>
    <w:rsid w:val="00705125"/>
    <w:rsid w:val="007054AB"/>
    <w:rsid w:val="00705583"/>
    <w:rsid w:val="00705813"/>
    <w:rsid w:val="007058FF"/>
    <w:rsid w:val="00705B16"/>
    <w:rsid w:val="00705B35"/>
    <w:rsid w:val="00705C50"/>
    <w:rsid w:val="00705ECA"/>
    <w:rsid w:val="0070678E"/>
    <w:rsid w:val="00706EBF"/>
    <w:rsid w:val="00706F4E"/>
    <w:rsid w:val="007070C9"/>
    <w:rsid w:val="00707743"/>
    <w:rsid w:val="00707866"/>
    <w:rsid w:val="00707EE4"/>
    <w:rsid w:val="007106F8"/>
    <w:rsid w:val="0071090E"/>
    <w:rsid w:val="00710933"/>
    <w:rsid w:val="00710C0E"/>
    <w:rsid w:val="00710D12"/>
    <w:rsid w:val="00710DC2"/>
    <w:rsid w:val="0071114E"/>
    <w:rsid w:val="00711174"/>
    <w:rsid w:val="00711402"/>
    <w:rsid w:val="00711454"/>
    <w:rsid w:val="007115A4"/>
    <w:rsid w:val="00711702"/>
    <w:rsid w:val="007117B4"/>
    <w:rsid w:val="00711DBD"/>
    <w:rsid w:val="00711E01"/>
    <w:rsid w:val="00712144"/>
    <w:rsid w:val="00712740"/>
    <w:rsid w:val="00712A08"/>
    <w:rsid w:val="00712B14"/>
    <w:rsid w:val="00712C3E"/>
    <w:rsid w:val="00713483"/>
    <w:rsid w:val="0071363D"/>
    <w:rsid w:val="0071374A"/>
    <w:rsid w:val="00713908"/>
    <w:rsid w:val="00713AE7"/>
    <w:rsid w:val="00713D10"/>
    <w:rsid w:val="00713D95"/>
    <w:rsid w:val="00713DB2"/>
    <w:rsid w:val="007146A1"/>
    <w:rsid w:val="0071487D"/>
    <w:rsid w:val="0071492D"/>
    <w:rsid w:val="007149C1"/>
    <w:rsid w:val="00714FCF"/>
    <w:rsid w:val="007156EB"/>
    <w:rsid w:val="00715B8F"/>
    <w:rsid w:val="00715EFF"/>
    <w:rsid w:val="0071612E"/>
    <w:rsid w:val="0071644F"/>
    <w:rsid w:val="0071645A"/>
    <w:rsid w:val="007164ED"/>
    <w:rsid w:val="00716772"/>
    <w:rsid w:val="00716F00"/>
    <w:rsid w:val="007171CD"/>
    <w:rsid w:val="0071794A"/>
    <w:rsid w:val="00717D0A"/>
    <w:rsid w:val="00717D61"/>
    <w:rsid w:val="007205F4"/>
    <w:rsid w:val="0072062B"/>
    <w:rsid w:val="00720DA0"/>
    <w:rsid w:val="007211EB"/>
    <w:rsid w:val="00721781"/>
    <w:rsid w:val="00721795"/>
    <w:rsid w:val="00721EBC"/>
    <w:rsid w:val="00722380"/>
    <w:rsid w:val="0072244E"/>
    <w:rsid w:val="00722452"/>
    <w:rsid w:val="0072280A"/>
    <w:rsid w:val="0072285D"/>
    <w:rsid w:val="00722933"/>
    <w:rsid w:val="00722C57"/>
    <w:rsid w:val="00722FE9"/>
    <w:rsid w:val="007230B9"/>
    <w:rsid w:val="00723189"/>
    <w:rsid w:val="00723249"/>
    <w:rsid w:val="00723436"/>
    <w:rsid w:val="0072343B"/>
    <w:rsid w:val="007237F7"/>
    <w:rsid w:val="00723BEB"/>
    <w:rsid w:val="0072408C"/>
    <w:rsid w:val="00724416"/>
    <w:rsid w:val="007246D7"/>
    <w:rsid w:val="00724D3F"/>
    <w:rsid w:val="0072597B"/>
    <w:rsid w:val="00726083"/>
    <w:rsid w:val="00726090"/>
    <w:rsid w:val="0072609A"/>
    <w:rsid w:val="007261CC"/>
    <w:rsid w:val="007263A3"/>
    <w:rsid w:val="00726D0A"/>
    <w:rsid w:val="007274CE"/>
    <w:rsid w:val="0072765A"/>
    <w:rsid w:val="007277A2"/>
    <w:rsid w:val="0072798B"/>
    <w:rsid w:val="00727AC4"/>
    <w:rsid w:val="007301C5"/>
    <w:rsid w:val="00730296"/>
    <w:rsid w:val="007302F9"/>
    <w:rsid w:val="00730B1A"/>
    <w:rsid w:val="00730F70"/>
    <w:rsid w:val="007312BE"/>
    <w:rsid w:val="007312D7"/>
    <w:rsid w:val="007316D0"/>
    <w:rsid w:val="00731A6A"/>
    <w:rsid w:val="00732207"/>
    <w:rsid w:val="00732438"/>
    <w:rsid w:val="00732C47"/>
    <w:rsid w:val="0073300E"/>
    <w:rsid w:val="007333D1"/>
    <w:rsid w:val="00733F9F"/>
    <w:rsid w:val="007346E7"/>
    <w:rsid w:val="00734D5E"/>
    <w:rsid w:val="0073512C"/>
    <w:rsid w:val="007351E7"/>
    <w:rsid w:val="00735452"/>
    <w:rsid w:val="00735861"/>
    <w:rsid w:val="00735A3C"/>
    <w:rsid w:val="00735B68"/>
    <w:rsid w:val="00735BB0"/>
    <w:rsid w:val="00735EDE"/>
    <w:rsid w:val="007360EC"/>
    <w:rsid w:val="0073625B"/>
    <w:rsid w:val="0073655C"/>
    <w:rsid w:val="00736AB7"/>
    <w:rsid w:val="00736D49"/>
    <w:rsid w:val="00737373"/>
    <w:rsid w:val="007373CB"/>
    <w:rsid w:val="00737473"/>
    <w:rsid w:val="00737650"/>
    <w:rsid w:val="007376FB"/>
    <w:rsid w:val="00737816"/>
    <w:rsid w:val="0074045F"/>
    <w:rsid w:val="007404AB"/>
    <w:rsid w:val="00740C10"/>
    <w:rsid w:val="00740EFF"/>
    <w:rsid w:val="007411A4"/>
    <w:rsid w:val="007411ED"/>
    <w:rsid w:val="00741296"/>
    <w:rsid w:val="00741959"/>
    <w:rsid w:val="00741DA4"/>
    <w:rsid w:val="00741DB0"/>
    <w:rsid w:val="007420F4"/>
    <w:rsid w:val="00742142"/>
    <w:rsid w:val="00742231"/>
    <w:rsid w:val="00742498"/>
    <w:rsid w:val="007426C1"/>
    <w:rsid w:val="007428FF"/>
    <w:rsid w:val="00742A84"/>
    <w:rsid w:val="00742D6E"/>
    <w:rsid w:val="00743640"/>
    <w:rsid w:val="00744628"/>
    <w:rsid w:val="007446A6"/>
    <w:rsid w:val="00744C5D"/>
    <w:rsid w:val="00745164"/>
    <w:rsid w:val="007451BE"/>
    <w:rsid w:val="00745542"/>
    <w:rsid w:val="007456FE"/>
    <w:rsid w:val="00745708"/>
    <w:rsid w:val="00745834"/>
    <w:rsid w:val="00745E79"/>
    <w:rsid w:val="007460A3"/>
    <w:rsid w:val="007463BF"/>
    <w:rsid w:val="00746531"/>
    <w:rsid w:val="00746580"/>
    <w:rsid w:val="007468DE"/>
    <w:rsid w:val="00746CA9"/>
    <w:rsid w:val="00746DAF"/>
    <w:rsid w:val="0074778F"/>
    <w:rsid w:val="00747926"/>
    <w:rsid w:val="00747B7E"/>
    <w:rsid w:val="00747D64"/>
    <w:rsid w:val="00750093"/>
    <w:rsid w:val="007500D4"/>
    <w:rsid w:val="00750494"/>
    <w:rsid w:val="0075090C"/>
    <w:rsid w:val="00750AE6"/>
    <w:rsid w:val="00750C41"/>
    <w:rsid w:val="00751156"/>
    <w:rsid w:val="00751533"/>
    <w:rsid w:val="00751695"/>
    <w:rsid w:val="00752063"/>
    <w:rsid w:val="0075231D"/>
    <w:rsid w:val="007523D5"/>
    <w:rsid w:val="0075288E"/>
    <w:rsid w:val="00752AAD"/>
    <w:rsid w:val="00752B12"/>
    <w:rsid w:val="00752E91"/>
    <w:rsid w:val="0075349A"/>
    <w:rsid w:val="00753CD7"/>
    <w:rsid w:val="00753E95"/>
    <w:rsid w:val="00754414"/>
    <w:rsid w:val="00754893"/>
    <w:rsid w:val="007548EA"/>
    <w:rsid w:val="007552BE"/>
    <w:rsid w:val="007557C0"/>
    <w:rsid w:val="007558AA"/>
    <w:rsid w:val="00755ABC"/>
    <w:rsid w:val="00755B89"/>
    <w:rsid w:val="00755C9B"/>
    <w:rsid w:val="00755CA4"/>
    <w:rsid w:val="00755E46"/>
    <w:rsid w:val="0075617F"/>
    <w:rsid w:val="00756521"/>
    <w:rsid w:val="0075673B"/>
    <w:rsid w:val="007567EA"/>
    <w:rsid w:val="0075682F"/>
    <w:rsid w:val="0075696C"/>
    <w:rsid w:val="00756C8C"/>
    <w:rsid w:val="007571E6"/>
    <w:rsid w:val="00757268"/>
    <w:rsid w:val="00757C54"/>
    <w:rsid w:val="007600C9"/>
    <w:rsid w:val="007605CB"/>
    <w:rsid w:val="00760B7F"/>
    <w:rsid w:val="00760CE0"/>
    <w:rsid w:val="00760E3B"/>
    <w:rsid w:val="0076133E"/>
    <w:rsid w:val="00761346"/>
    <w:rsid w:val="0076135A"/>
    <w:rsid w:val="007613CF"/>
    <w:rsid w:val="007616A0"/>
    <w:rsid w:val="00761E1B"/>
    <w:rsid w:val="00762805"/>
    <w:rsid w:val="0076296B"/>
    <w:rsid w:val="00762A29"/>
    <w:rsid w:val="00762AF7"/>
    <w:rsid w:val="00762C0C"/>
    <w:rsid w:val="00762E38"/>
    <w:rsid w:val="00762FBF"/>
    <w:rsid w:val="00763228"/>
    <w:rsid w:val="00763256"/>
    <w:rsid w:val="0076335B"/>
    <w:rsid w:val="00763A66"/>
    <w:rsid w:val="007640D5"/>
    <w:rsid w:val="00764195"/>
    <w:rsid w:val="0076435C"/>
    <w:rsid w:val="00764400"/>
    <w:rsid w:val="0076457E"/>
    <w:rsid w:val="00764632"/>
    <w:rsid w:val="00765834"/>
    <w:rsid w:val="00765FD3"/>
    <w:rsid w:val="00766480"/>
    <w:rsid w:val="0076740C"/>
    <w:rsid w:val="00767429"/>
    <w:rsid w:val="0076742B"/>
    <w:rsid w:val="007676D8"/>
    <w:rsid w:val="007677FD"/>
    <w:rsid w:val="00767896"/>
    <w:rsid w:val="00767A41"/>
    <w:rsid w:val="00767A48"/>
    <w:rsid w:val="00767D02"/>
    <w:rsid w:val="00767D8C"/>
    <w:rsid w:val="00767F59"/>
    <w:rsid w:val="007703DE"/>
    <w:rsid w:val="00770B7A"/>
    <w:rsid w:val="00770DDE"/>
    <w:rsid w:val="00770E2E"/>
    <w:rsid w:val="00770F9E"/>
    <w:rsid w:val="00770FA3"/>
    <w:rsid w:val="00770FDF"/>
    <w:rsid w:val="00771443"/>
    <w:rsid w:val="00771468"/>
    <w:rsid w:val="0077168D"/>
    <w:rsid w:val="007716A9"/>
    <w:rsid w:val="00771857"/>
    <w:rsid w:val="007718E3"/>
    <w:rsid w:val="007719E1"/>
    <w:rsid w:val="00771D04"/>
    <w:rsid w:val="00771F07"/>
    <w:rsid w:val="007723F7"/>
    <w:rsid w:val="0077244D"/>
    <w:rsid w:val="007726F3"/>
    <w:rsid w:val="00772D7A"/>
    <w:rsid w:val="0077321B"/>
    <w:rsid w:val="007733CE"/>
    <w:rsid w:val="0077340F"/>
    <w:rsid w:val="007736D2"/>
    <w:rsid w:val="00773D21"/>
    <w:rsid w:val="00774060"/>
    <w:rsid w:val="007744EA"/>
    <w:rsid w:val="007744F8"/>
    <w:rsid w:val="0077480B"/>
    <w:rsid w:val="00774A13"/>
    <w:rsid w:val="00774AB5"/>
    <w:rsid w:val="00774C65"/>
    <w:rsid w:val="00774CB7"/>
    <w:rsid w:val="00774ED5"/>
    <w:rsid w:val="007752FB"/>
    <w:rsid w:val="00775390"/>
    <w:rsid w:val="007755AE"/>
    <w:rsid w:val="0077564B"/>
    <w:rsid w:val="0077573E"/>
    <w:rsid w:val="0077649F"/>
    <w:rsid w:val="00776AE7"/>
    <w:rsid w:val="00776C0F"/>
    <w:rsid w:val="00776DB9"/>
    <w:rsid w:val="00776DDA"/>
    <w:rsid w:val="00776E08"/>
    <w:rsid w:val="007772F2"/>
    <w:rsid w:val="00777984"/>
    <w:rsid w:val="007779AB"/>
    <w:rsid w:val="007779D3"/>
    <w:rsid w:val="00777C8A"/>
    <w:rsid w:val="00777D03"/>
    <w:rsid w:val="00777E6B"/>
    <w:rsid w:val="0078024F"/>
    <w:rsid w:val="0078030B"/>
    <w:rsid w:val="007807F9"/>
    <w:rsid w:val="00780CB0"/>
    <w:rsid w:val="00780D1C"/>
    <w:rsid w:val="00780D7E"/>
    <w:rsid w:val="00780D92"/>
    <w:rsid w:val="00780FA3"/>
    <w:rsid w:val="00780FCD"/>
    <w:rsid w:val="007811A4"/>
    <w:rsid w:val="00781823"/>
    <w:rsid w:val="00781A92"/>
    <w:rsid w:val="00781AA9"/>
    <w:rsid w:val="00782AB6"/>
    <w:rsid w:val="00783404"/>
    <w:rsid w:val="007836CB"/>
    <w:rsid w:val="0078384C"/>
    <w:rsid w:val="00783A38"/>
    <w:rsid w:val="00784492"/>
    <w:rsid w:val="007844D2"/>
    <w:rsid w:val="00784667"/>
    <w:rsid w:val="0078482C"/>
    <w:rsid w:val="00784838"/>
    <w:rsid w:val="007849E5"/>
    <w:rsid w:val="00784BE4"/>
    <w:rsid w:val="00785372"/>
    <w:rsid w:val="007855B0"/>
    <w:rsid w:val="00785692"/>
    <w:rsid w:val="00785B4C"/>
    <w:rsid w:val="0078607F"/>
    <w:rsid w:val="00786297"/>
    <w:rsid w:val="007863DC"/>
    <w:rsid w:val="007865F9"/>
    <w:rsid w:val="00786AA7"/>
    <w:rsid w:val="00786D08"/>
    <w:rsid w:val="00787157"/>
    <w:rsid w:val="00787487"/>
    <w:rsid w:val="00787CCD"/>
    <w:rsid w:val="007900A3"/>
    <w:rsid w:val="00790169"/>
    <w:rsid w:val="007903CC"/>
    <w:rsid w:val="0079081F"/>
    <w:rsid w:val="007908DF"/>
    <w:rsid w:val="00790A75"/>
    <w:rsid w:val="00790C96"/>
    <w:rsid w:val="00790F4E"/>
    <w:rsid w:val="00790F61"/>
    <w:rsid w:val="00791103"/>
    <w:rsid w:val="0079137E"/>
    <w:rsid w:val="0079163D"/>
    <w:rsid w:val="0079264A"/>
    <w:rsid w:val="00792657"/>
    <w:rsid w:val="00792CB0"/>
    <w:rsid w:val="00792ED9"/>
    <w:rsid w:val="00793493"/>
    <w:rsid w:val="007936D7"/>
    <w:rsid w:val="00793800"/>
    <w:rsid w:val="007939C3"/>
    <w:rsid w:val="00793B90"/>
    <w:rsid w:val="00793D49"/>
    <w:rsid w:val="00793E05"/>
    <w:rsid w:val="00794119"/>
    <w:rsid w:val="0079415E"/>
    <w:rsid w:val="007941DC"/>
    <w:rsid w:val="00794BA7"/>
    <w:rsid w:val="00794E07"/>
    <w:rsid w:val="00794E91"/>
    <w:rsid w:val="0079510E"/>
    <w:rsid w:val="00795171"/>
    <w:rsid w:val="00795D0E"/>
    <w:rsid w:val="0079668A"/>
    <w:rsid w:val="00796767"/>
    <w:rsid w:val="00796C27"/>
    <w:rsid w:val="00796C41"/>
    <w:rsid w:val="00796F40"/>
    <w:rsid w:val="00796F96"/>
    <w:rsid w:val="007A0132"/>
    <w:rsid w:val="007A0243"/>
    <w:rsid w:val="007A0716"/>
    <w:rsid w:val="007A08D9"/>
    <w:rsid w:val="007A0A06"/>
    <w:rsid w:val="007A0CB4"/>
    <w:rsid w:val="007A10B3"/>
    <w:rsid w:val="007A10BF"/>
    <w:rsid w:val="007A1138"/>
    <w:rsid w:val="007A12DE"/>
    <w:rsid w:val="007A1933"/>
    <w:rsid w:val="007A22E4"/>
    <w:rsid w:val="007A2888"/>
    <w:rsid w:val="007A2911"/>
    <w:rsid w:val="007A2B78"/>
    <w:rsid w:val="007A2ED2"/>
    <w:rsid w:val="007A30DF"/>
    <w:rsid w:val="007A33C9"/>
    <w:rsid w:val="007A3402"/>
    <w:rsid w:val="007A341E"/>
    <w:rsid w:val="007A3475"/>
    <w:rsid w:val="007A34E0"/>
    <w:rsid w:val="007A3807"/>
    <w:rsid w:val="007A3AF5"/>
    <w:rsid w:val="007A409C"/>
    <w:rsid w:val="007A47FF"/>
    <w:rsid w:val="007A4A71"/>
    <w:rsid w:val="007A4EEF"/>
    <w:rsid w:val="007A5104"/>
    <w:rsid w:val="007A5531"/>
    <w:rsid w:val="007A5C62"/>
    <w:rsid w:val="007A608B"/>
    <w:rsid w:val="007A60DE"/>
    <w:rsid w:val="007A6226"/>
    <w:rsid w:val="007A659D"/>
    <w:rsid w:val="007A6664"/>
    <w:rsid w:val="007A67B1"/>
    <w:rsid w:val="007A6F04"/>
    <w:rsid w:val="007A71DB"/>
    <w:rsid w:val="007A72F8"/>
    <w:rsid w:val="007A7402"/>
    <w:rsid w:val="007A7557"/>
    <w:rsid w:val="007A7C8F"/>
    <w:rsid w:val="007A7FE9"/>
    <w:rsid w:val="007B0297"/>
    <w:rsid w:val="007B041B"/>
    <w:rsid w:val="007B05EE"/>
    <w:rsid w:val="007B0830"/>
    <w:rsid w:val="007B0956"/>
    <w:rsid w:val="007B0A99"/>
    <w:rsid w:val="007B0B11"/>
    <w:rsid w:val="007B0C3F"/>
    <w:rsid w:val="007B0CB9"/>
    <w:rsid w:val="007B0D0E"/>
    <w:rsid w:val="007B0F9B"/>
    <w:rsid w:val="007B103C"/>
    <w:rsid w:val="007B1348"/>
    <w:rsid w:val="007B1C9A"/>
    <w:rsid w:val="007B1D52"/>
    <w:rsid w:val="007B1DC8"/>
    <w:rsid w:val="007B1F63"/>
    <w:rsid w:val="007B1F8B"/>
    <w:rsid w:val="007B2A1B"/>
    <w:rsid w:val="007B3158"/>
    <w:rsid w:val="007B3528"/>
    <w:rsid w:val="007B3820"/>
    <w:rsid w:val="007B3A5A"/>
    <w:rsid w:val="007B3DC6"/>
    <w:rsid w:val="007B3E4F"/>
    <w:rsid w:val="007B4761"/>
    <w:rsid w:val="007B4A1C"/>
    <w:rsid w:val="007B4C78"/>
    <w:rsid w:val="007B4CBC"/>
    <w:rsid w:val="007B51E9"/>
    <w:rsid w:val="007B547C"/>
    <w:rsid w:val="007B5673"/>
    <w:rsid w:val="007B5824"/>
    <w:rsid w:val="007B5A2F"/>
    <w:rsid w:val="007B5B53"/>
    <w:rsid w:val="007B5B7E"/>
    <w:rsid w:val="007B5F8D"/>
    <w:rsid w:val="007B64F3"/>
    <w:rsid w:val="007B68C6"/>
    <w:rsid w:val="007B6D2A"/>
    <w:rsid w:val="007B717F"/>
    <w:rsid w:val="007B721B"/>
    <w:rsid w:val="007B758A"/>
    <w:rsid w:val="007B75CD"/>
    <w:rsid w:val="007B779B"/>
    <w:rsid w:val="007B7C85"/>
    <w:rsid w:val="007B7E95"/>
    <w:rsid w:val="007C00CB"/>
    <w:rsid w:val="007C05AF"/>
    <w:rsid w:val="007C0631"/>
    <w:rsid w:val="007C0695"/>
    <w:rsid w:val="007C1987"/>
    <w:rsid w:val="007C1CFB"/>
    <w:rsid w:val="007C1D5C"/>
    <w:rsid w:val="007C2061"/>
    <w:rsid w:val="007C2588"/>
    <w:rsid w:val="007C273F"/>
    <w:rsid w:val="007C34FC"/>
    <w:rsid w:val="007C3515"/>
    <w:rsid w:val="007C3537"/>
    <w:rsid w:val="007C35A4"/>
    <w:rsid w:val="007C3969"/>
    <w:rsid w:val="007C3ADC"/>
    <w:rsid w:val="007C3DE5"/>
    <w:rsid w:val="007C41D7"/>
    <w:rsid w:val="007C440D"/>
    <w:rsid w:val="007C47C0"/>
    <w:rsid w:val="007C4A54"/>
    <w:rsid w:val="007C4BC7"/>
    <w:rsid w:val="007C4D87"/>
    <w:rsid w:val="007C51A5"/>
    <w:rsid w:val="007C51E6"/>
    <w:rsid w:val="007C5286"/>
    <w:rsid w:val="007C5347"/>
    <w:rsid w:val="007C5614"/>
    <w:rsid w:val="007C5640"/>
    <w:rsid w:val="007C5817"/>
    <w:rsid w:val="007C5CC1"/>
    <w:rsid w:val="007C5D7A"/>
    <w:rsid w:val="007C5E8E"/>
    <w:rsid w:val="007C5F62"/>
    <w:rsid w:val="007C5F98"/>
    <w:rsid w:val="007C60AA"/>
    <w:rsid w:val="007C642A"/>
    <w:rsid w:val="007C670E"/>
    <w:rsid w:val="007C6AA0"/>
    <w:rsid w:val="007C6C6E"/>
    <w:rsid w:val="007C6F11"/>
    <w:rsid w:val="007C6F41"/>
    <w:rsid w:val="007C730F"/>
    <w:rsid w:val="007C7510"/>
    <w:rsid w:val="007C756C"/>
    <w:rsid w:val="007C7A44"/>
    <w:rsid w:val="007D0099"/>
    <w:rsid w:val="007D0471"/>
    <w:rsid w:val="007D0AD6"/>
    <w:rsid w:val="007D0BDE"/>
    <w:rsid w:val="007D0EAA"/>
    <w:rsid w:val="007D0EF0"/>
    <w:rsid w:val="007D10B7"/>
    <w:rsid w:val="007D13B1"/>
    <w:rsid w:val="007D13CF"/>
    <w:rsid w:val="007D1AC5"/>
    <w:rsid w:val="007D21B0"/>
    <w:rsid w:val="007D2EBE"/>
    <w:rsid w:val="007D382B"/>
    <w:rsid w:val="007D3A07"/>
    <w:rsid w:val="007D3DDB"/>
    <w:rsid w:val="007D440A"/>
    <w:rsid w:val="007D444F"/>
    <w:rsid w:val="007D498F"/>
    <w:rsid w:val="007D4DE4"/>
    <w:rsid w:val="007D4E5C"/>
    <w:rsid w:val="007D506E"/>
    <w:rsid w:val="007D525A"/>
    <w:rsid w:val="007D56A8"/>
    <w:rsid w:val="007D5E05"/>
    <w:rsid w:val="007D6AFE"/>
    <w:rsid w:val="007D6E0D"/>
    <w:rsid w:val="007D6F4A"/>
    <w:rsid w:val="007D7102"/>
    <w:rsid w:val="007D718C"/>
    <w:rsid w:val="007D751B"/>
    <w:rsid w:val="007D79A7"/>
    <w:rsid w:val="007D7ABE"/>
    <w:rsid w:val="007D7B61"/>
    <w:rsid w:val="007D7FD6"/>
    <w:rsid w:val="007E035A"/>
    <w:rsid w:val="007E039E"/>
    <w:rsid w:val="007E0EDD"/>
    <w:rsid w:val="007E1014"/>
    <w:rsid w:val="007E1311"/>
    <w:rsid w:val="007E1329"/>
    <w:rsid w:val="007E14B8"/>
    <w:rsid w:val="007E1A81"/>
    <w:rsid w:val="007E1E2F"/>
    <w:rsid w:val="007E1ED4"/>
    <w:rsid w:val="007E2CAE"/>
    <w:rsid w:val="007E2D4A"/>
    <w:rsid w:val="007E2ED0"/>
    <w:rsid w:val="007E2ED3"/>
    <w:rsid w:val="007E3513"/>
    <w:rsid w:val="007E35A8"/>
    <w:rsid w:val="007E3638"/>
    <w:rsid w:val="007E3B36"/>
    <w:rsid w:val="007E3EB3"/>
    <w:rsid w:val="007E489C"/>
    <w:rsid w:val="007E4A60"/>
    <w:rsid w:val="007E4AD5"/>
    <w:rsid w:val="007E4C47"/>
    <w:rsid w:val="007E4CCC"/>
    <w:rsid w:val="007E5160"/>
    <w:rsid w:val="007E51A4"/>
    <w:rsid w:val="007E5646"/>
    <w:rsid w:val="007E606C"/>
    <w:rsid w:val="007E614E"/>
    <w:rsid w:val="007E6A5E"/>
    <w:rsid w:val="007E6C4E"/>
    <w:rsid w:val="007E71B9"/>
    <w:rsid w:val="007E7EE4"/>
    <w:rsid w:val="007F00F9"/>
    <w:rsid w:val="007F0187"/>
    <w:rsid w:val="007F03EC"/>
    <w:rsid w:val="007F0AD0"/>
    <w:rsid w:val="007F0ED9"/>
    <w:rsid w:val="007F12AD"/>
    <w:rsid w:val="007F13A6"/>
    <w:rsid w:val="007F1418"/>
    <w:rsid w:val="007F1447"/>
    <w:rsid w:val="007F14F0"/>
    <w:rsid w:val="007F1531"/>
    <w:rsid w:val="007F180A"/>
    <w:rsid w:val="007F19FA"/>
    <w:rsid w:val="007F1AB8"/>
    <w:rsid w:val="007F1B2D"/>
    <w:rsid w:val="007F1CF1"/>
    <w:rsid w:val="007F1DE5"/>
    <w:rsid w:val="007F1F61"/>
    <w:rsid w:val="007F238B"/>
    <w:rsid w:val="007F23D6"/>
    <w:rsid w:val="007F267F"/>
    <w:rsid w:val="007F3157"/>
    <w:rsid w:val="007F3401"/>
    <w:rsid w:val="007F3492"/>
    <w:rsid w:val="007F374E"/>
    <w:rsid w:val="007F3850"/>
    <w:rsid w:val="007F3CA4"/>
    <w:rsid w:val="007F3CA8"/>
    <w:rsid w:val="007F3EB7"/>
    <w:rsid w:val="007F401F"/>
    <w:rsid w:val="007F4152"/>
    <w:rsid w:val="007F417E"/>
    <w:rsid w:val="007F4314"/>
    <w:rsid w:val="007F479C"/>
    <w:rsid w:val="007F498D"/>
    <w:rsid w:val="007F4EEE"/>
    <w:rsid w:val="007F5359"/>
    <w:rsid w:val="007F53E6"/>
    <w:rsid w:val="007F585F"/>
    <w:rsid w:val="007F5AF5"/>
    <w:rsid w:val="007F5FF1"/>
    <w:rsid w:val="007F67FF"/>
    <w:rsid w:val="007F6B1D"/>
    <w:rsid w:val="007F6C6B"/>
    <w:rsid w:val="007F6E40"/>
    <w:rsid w:val="007F70FC"/>
    <w:rsid w:val="007F7198"/>
    <w:rsid w:val="007F74C2"/>
    <w:rsid w:val="007F793F"/>
    <w:rsid w:val="007F7B25"/>
    <w:rsid w:val="007F7CAE"/>
    <w:rsid w:val="007F7F25"/>
    <w:rsid w:val="00800065"/>
    <w:rsid w:val="008000CE"/>
    <w:rsid w:val="0080020D"/>
    <w:rsid w:val="00800F13"/>
    <w:rsid w:val="0080116A"/>
    <w:rsid w:val="0080144F"/>
    <w:rsid w:val="0080150A"/>
    <w:rsid w:val="00801B01"/>
    <w:rsid w:val="0080202D"/>
    <w:rsid w:val="008021D8"/>
    <w:rsid w:val="008022ED"/>
    <w:rsid w:val="008024EA"/>
    <w:rsid w:val="00802C31"/>
    <w:rsid w:val="00802EC5"/>
    <w:rsid w:val="00802FFF"/>
    <w:rsid w:val="00803103"/>
    <w:rsid w:val="00803247"/>
    <w:rsid w:val="00803738"/>
    <w:rsid w:val="008039EF"/>
    <w:rsid w:val="00803EC3"/>
    <w:rsid w:val="0080468A"/>
    <w:rsid w:val="0080483D"/>
    <w:rsid w:val="008050ED"/>
    <w:rsid w:val="008051D2"/>
    <w:rsid w:val="00805300"/>
    <w:rsid w:val="0080557E"/>
    <w:rsid w:val="00805D00"/>
    <w:rsid w:val="0080695F"/>
    <w:rsid w:val="00806AFE"/>
    <w:rsid w:val="00806C5B"/>
    <w:rsid w:val="00806DA8"/>
    <w:rsid w:val="00807325"/>
    <w:rsid w:val="008073EE"/>
    <w:rsid w:val="0080795C"/>
    <w:rsid w:val="00807B7A"/>
    <w:rsid w:val="00807BDA"/>
    <w:rsid w:val="00807E55"/>
    <w:rsid w:val="00807F73"/>
    <w:rsid w:val="00807FC3"/>
    <w:rsid w:val="00810D0F"/>
    <w:rsid w:val="00810D99"/>
    <w:rsid w:val="00810F2F"/>
    <w:rsid w:val="00811043"/>
    <w:rsid w:val="008114BD"/>
    <w:rsid w:val="008114C7"/>
    <w:rsid w:val="00811A73"/>
    <w:rsid w:val="00811C08"/>
    <w:rsid w:val="00811CED"/>
    <w:rsid w:val="00811DA3"/>
    <w:rsid w:val="0081252E"/>
    <w:rsid w:val="00812814"/>
    <w:rsid w:val="00812B10"/>
    <w:rsid w:val="00812D3C"/>
    <w:rsid w:val="00813138"/>
    <w:rsid w:val="00813301"/>
    <w:rsid w:val="0081349C"/>
    <w:rsid w:val="00813634"/>
    <w:rsid w:val="0081388C"/>
    <w:rsid w:val="00813AB7"/>
    <w:rsid w:val="00813FA4"/>
    <w:rsid w:val="008140F0"/>
    <w:rsid w:val="00814124"/>
    <w:rsid w:val="0081424A"/>
    <w:rsid w:val="00814870"/>
    <w:rsid w:val="00814C6D"/>
    <w:rsid w:val="00814CEC"/>
    <w:rsid w:val="00814D12"/>
    <w:rsid w:val="00814DFA"/>
    <w:rsid w:val="00815C15"/>
    <w:rsid w:val="00815DBC"/>
    <w:rsid w:val="00816062"/>
    <w:rsid w:val="0081617A"/>
    <w:rsid w:val="0081643C"/>
    <w:rsid w:val="00816AA8"/>
    <w:rsid w:val="00816B76"/>
    <w:rsid w:val="00816ED5"/>
    <w:rsid w:val="008176F7"/>
    <w:rsid w:val="00817795"/>
    <w:rsid w:val="00817CE8"/>
    <w:rsid w:val="0082008F"/>
    <w:rsid w:val="0082024E"/>
    <w:rsid w:val="008204BD"/>
    <w:rsid w:val="00820EAA"/>
    <w:rsid w:val="00821139"/>
    <w:rsid w:val="008214CB"/>
    <w:rsid w:val="00821F04"/>
    <w:rsid w:val="00821FFF"/>
    <w:rsid w:val="0082229E"/>
    <w:rsid w:val="008223F9"/>
    <w:rsid w:val="00822422"/>
    <w:rsid w:val="00822CD8"/>
    <w:rsid w:val="00822DDF"/>
    <w:rsid w:val="00822E32"/>
    <w:rsid w:val="00822F0C"/>
    <w:rsid w:val="0082354B"/>
    <w:rsid w:val="00823CC5"/>
    <w:rsid w:val="00824700"/>
    <w:rsid w:val="008248DE"/>
    <w:rsid w:val="00824FB5"/>
    <w:rsid w:val="008250D8"/>
    <w:rsid w:val="008253EF"/>
    <w:rsid w:val="008259B7"/>
    <w:rsid w:val="00825A1B"/>
    <w:rsid w:val="00825F6B"/>
    <w:rsid w:val="0082679F"/>
    <w:rsid w:val="0082687F"/>
    <w:rsid w:val="008268C6"/>
    <w:rsid w:val="00826D89"/>
    <w:rsid w:val="00827082"/>
    <w:rsid w:val="008270F8"/>
    <w:rsid w:val="008275DE"/>
    <w:rsid w:val="00827660"/>
    <w:rsid w:val="008276F3"/>
    <w:rsid w:val="00827A40"/>
    <w:rsid w:val="00827B9A"/>
    <w:rsid w:val="00827DDE"/>
    <w:rsid w:val="008309DA"/>
    <w:rsid w:val="00830EAF"/>
    <w:rsid w:val="00831263"/>
    <w:rsid w:val="00831406"/>
    <w:rsid w:val="00831801"/>
    <w:rsid w:val="008318F8"/>
    <w:rsid w:val="00831BA9"/>
    <w:rsid w:val="00832166"/>
    <w:rsid w:val="008321BF"/>
    <w:rsid w:val="00832225"/>
    <w:rsid w:val="0083261C"/>
    <w:rsid w:val="00832753"/>
    <w:rsid w:val="00832939"/>
    <w:rsid w:val="00832A65"/>
    <w:rsid w:val="00832F3E"/>
    <w:rsid w:val="00833100"/>
    <w:rsid w:val="00833567"/>
    <w:rsid w:val="00833591"/>
    <w:rsid w:val="0083379D"/>
    <w:rsid w:val="00833861"/>
    <w:rsid w:val="00833D4D"/>
    <w:rsid w:val="00833E04"/>
    <w:rsid w:val="00834138"/>
    <w:rsid w:val="008341EC"/>
    <w:rsid w:val="00834405"/>
    <w:rsid w:val="00834684"/>
    <w:rsid w:val="008348BA"/>
    <w:rsid w:val="00834BA3"/>
    <w:rsid w:val="008355E0"/>
    <w:rsid w:val="00835A7B"/>
    <w:rsid w:val="00836005"/>
    <w:rsid w:val="008360E5"/>
    <w:rsid w:val="00836112"/>
    <w:rsid w:val="008364D6"/>
    <w:rsid w:val="008365EF"/>
    <w:rsid w:val="0083660D"/>
    <w:rsid w:val="008368DA"/>
    <w:rsid w:val="00836FB7"/>
    <w:rsid w:val="008375E1"/>
    <w:rsid w:val="00837847"/>
    <w:rsid w:val="00837D68"/>
    <w:rsid w:val="008400E2"/>
    <w:rsid w:val="0084044B"/>
    <w:rsid w:val="00840E2E"/>
    <w:rsid w:val="00840F66"/>
    <w:rsid w:val="008410BC"/>
    <w:rsid w:val="008410E2"/>
    <w:rsid w:val="00841816"/>
    <w:rsid w:val="0084199B"/>
    <w:rsid w:val="00841A12"/>
    <w:rsid w:val="00841A4B"/>
    <w:rsid w:val="00841A9C"/>
    <w:rsid w:val="00841BB2"/>
    <w:rsid w:val="00841EB0"/>
    <w:rsid w:val="00841F4E"/>
    <w:rsid w:val="0084216A"/>
    <w:rsid w:val="00842649"/>
    <w:rsid w:val="008426C8"/>
    <w:rsid w:val="0084292E"/>
    <w:rsid w:val="0084297E"/>
    <w:rsid w:val="00842D92"/>
    <w:rsid w:val="00843204"/>
    <w:rsid w:val="00843859"/>
    <w:rsid w:val="00843BA1"/>
    <w:rsid w:val="00843DAD"/>
    <w:rsid w:val="008440FB"/>
    <w:rsid w:val="00844727"/>
    <w:rsid w:val="00844969"/>
    <w:rsid w:val="00844ACF"/>
    <w:rsid w:val="00844C7E"/>
    <w:rsid w:val="008452BC"/>
    <w:rsid w:val="00845895"/>
    <w:rsid w:val="00845A28"/>
    <w:rsid w:val="00845B01"/>
    <w:rsid w:val="00846591"/>
    <w:rsid w:val="008465F8"/>
    <w:rsid w:val="00846F57"/>
    <w:rsid w:val="0084719E"/>
    <w:rsid w:val="00847536"/>
    <w:rsid w:val="0084764B"/>
    <w:rsid w:val="00847CC9"/>
    <w:rsid w:val="00847D14"/>
    <w:rsid w:val="00850131"/>
    <w:rsid w:val="008501C7"/>
    <w:rsid w:val="0085073F"/>
    <w:rsid w:val="00850B0C"/>
    <w:rsid w:val="00850B2B"/>
    <w:rsid w:val="0085143B"/>
    <w:rsid w:val="00851CFD"/>
    <w:rsid w:val="00851D97"/>
    <w:rsid w:val="00851E60"/>
    <w:rsid w:val="00851EA0"/>
    <w:rsid w:val="00851FE5"/>
    <w:rsid w:val="00852097"/>
    <w:rsid w:val="008524AC"/>
    <w:rsid w:val="00852809"/>
    <w:rsid w:val="00852C3F"/>
    <w:rsid w:val="00853664"/>
    <w:rsid w:val="00853946"/>
    <w:rsid w:val="008542CF"/>
    <w:rsid w:val="008545AC"/>
    <w:rsid w:val="00854F85"/>
    <w:rsid w:val="00855139"/>
    <w:rsid w:val="00855237"/>
    <w:rsid w:val="0085543E"/>
    <w:rsid w:val="0085553A"/>
    <w:rsid w:val="00855558"/>
    <w:rsid w:val="008557F6"/>
    <w:rsid w:val="00855C3B"/>
    <w:rsid w:val="008562AA"/>
    <w:rsid w:val="00856395"/>
    <w:rsid w:val="00856871"/>
    <w:rsid w:val="0085687C"/>
    <w:rsid w:val="00856A47"/>
    <w:rsid w:val="00856C6D"/>
    <w:rsid w:val="008572AB"/>
    <w:rsid w:val="0085749D"/>
    <w:rsid w:val="0085758A"/>
    <w:rsid w:val="0085781C"/>
    <w:rsid w:val="00857A9C"/>
    <w:rsid w:val="00857FD7"/>
    <w:rsid w:val="0086006A"/>
    <w:rsid w:val="0086022B"/>
    <w:rsid w:val="00860431"/>
    <w:rsid w:val="00860538"/>
    <w:rsid w:val="00860607"/>
    <w:rsid w:val="008607EC"/>
    <w:rsid w:val="00860846"/>
    <w:rsid w:val="008608E1"/>
    <w:rsid w:val="008608F6"/>
    <w:rsid w:val="00860968"/>
    <w:rsid w:val="008609C0"/>
    <w:rsid w:val="00860FEF"/>
    <w:rsid w:val="00861089"/>
    <w:rsid w:val="00861877"/>
    <w:rsid w:val="00861CF0"/>
    <w:rsid w:val="00862052"/>
    <w:rsid w:val="008620AA"/>
    <w:rsid w:val="008623E2"/>
    <w:rsid w:val="008632D7"/>
    <w:rsid w:val="008634B3"/>
    <w:rsid w:val="00863C9C"/>
    <w:rsid w:val="00863E33"/>
    <w:rsid w:val="00864513"/>
    <w:rsid w:val="0086491C"/>
    <w:rsid w:val="00864937"/>
    <w:rsid w:val="008649B7"/>
    <w:rsid w:val="00864A7C"/>
    <w:rsid w:val="00864AB4"/>
    <w:rsid w:val="00864D24"/>
    <w:rsid w:val="00864E39"/>
    <w:rsid w:val="008653C5"/>
    <w:rsid w:val="00865D01"/>
    <w:rsid w:val="00865DD5"/>
    <w:rsid w:val="00865FB6"/>
    <w:rsid w:val="00866A02"/>
    <w:rsid w:val="00866F4B"/>
    <w:rsid w:val="008673B3"/>
    <w:rsid w:val="00867542"/>
    <w:rsid w:val="00867661"/>
    <w:rsid w:val="00867860"/>
    <w:rsid w:val="00867CA0"/>
    <w:rsid w:val="00867E2C"/>
    <w:rsid w:val="00867EBF"/>
    <w:rsid w:val="00867F4D"/>
    <w:rsid w:val="0087007A"/>
    <w:rsid w:val="008702F6"/>
    <w:rsid w:val="0087053A"/>
    <w:rsid w:val="00870A0F"/>
    <w:rsid w:val="00870C35"/>
    <w:rsid w:val="00871380"/>
    <w:rsid w:val="008714CD"/>
    <w:rsid w:val="00871698"/>
    <w:rsid w:val="00871B7E"/>
    <w:rsid w:val="00871D7E"/>
    <w:rsid w:val="00871FFE"/>
    <w:rsid w:val="0087207A"/>
    <w:rsid w:val="00872089"/>
    <w:rsid w:val="008726DB"/>
    <w:rsid w:val="008726DE"/>
    <w:rsid w:val="00872715"/>
    <w:rsid w:val="00872A3E"/>
    <w:rsid w:val="00872C26"/>
    <w:rsid w:val="00873207"/>
    <w:rsid w:val="0087344C"/>
    <w:rsid w:val="00873830"/>
    <w:rsid w:val="00873891"/>
    <w:rsid w:val="00873A11"/>
    <w:rsid w:val="00873EC2"/>
    <w:rsid w:val="00873F1F"/>
    <w:rsid w:val="00874508"/>
    <w:rsid w:val="00875089"/>
    <w:rsid w:val="008750AF"/>
    <w:rsid w:val="008754CC"/>
    <w:rsid w:val="00875731"/>
    <w:rsid w:val="0087582A"/>
    <w:rsid w:val="00875D0B"/>
    <w:rsid w:val="00876035"/>
    <w:rsid w:val="0087687D"/>
    <w:rsid w:val="00876BEF"/>
    <w:rsid w:val="0087768A"/>
    <w:rsid w:val="0087769D"/>
    <w:rsid w:val="00877917"/>
    <w:rsid w:val="008779A4"/>
    <w:rsid w:val="00880694"/>
    <w:rsid w:val="00880AAB"/>
    <w:rsid w:val="00880AC1"/>
    <w:rsid w:val="00880C28"/>
    <w:rsid w:val="00881386"/>
    <w:rsid w:val="00881771"/>
    <w:rsid w:val="00881C45"/>
    <w:rsid w:val="00881E62"/>
    <w:rsid w:val="008821BD"/>
    <w:rsid w:val="00882577"/>
    <w:rsid w:val="0088282A"/>
    <w:rsid w:val="00883043"/>
    <w:rsid w:val="008830C7"/>
    <w:rsid w:val="008833E3"/>
    <w:rsid w:val="008834A2"/>
    <w:rsid w:val="00883816"/>
    <w:rsid w:val="00883CE8"/>
    <w:rsid w:val="00884014"/>
    <w:rsid w:val="00884266"/>
    <w:rsid w:val="00884684"/>
    <w:rsid w:val="00884B13"/>
    <w:rsid w:val="00884CBA"/>
    <w:rsid w:val="00885089"/>
    <w:rsid w:val="00885383"/>
    <w:rsid w:val="008854A1"/>
    <w:rsid w:val="008855C8"/>
    <w:rsid w:val="00885801"/>
    <w:rsid w:val="008859E6"/>
    <w:rsid w:val="00885B3C"/>
    <w:rsid w:val="00886033"/>
    <w:rsid w:val="0088615A"/>
    <w:rsid w:val="0088726D"/>
    <w:rsid w:val="00887367"/>
    <w:rsid w:val="008875F4"/>
    <w:rsid w:val="00887B31"/>
    <w:rsid w:val="00887B80"/>
    <w:rsid w:val="00887DC2"/>
    <w:rsid w:val="00890283"/>
    <w:rsid w:val="008903EF"/>
    <w:rsid w:val="00890588"/>
    <w:rsid w:val="0089077B"/>
    <w:rsid w:val="0089098E"/>
    <w:rsid w:val="00890A98"/>
    <w:rsid w:val="00890C0C"/>
    <w:rsid w:val="00891111"/>
    <w:rsid w:val="00891254"/>
    <w:rsid w:val="0089171A"/>
    <w:rsid w:val="00891731"/>
    <w:rsid w:val="00891F23"/>
    <w:rsid w:val="008925F1"/>
    <w:rsid w:val="00892700"/>
    <w:rsid w:val="0089278B"/>
    <w:rsid w:val="00892957"/>
    <w:rsid w:val="0089321C"/>
    <w:rsid w:val="008939EF"/>
    <w:rsid w:val="00893CEA"/>
    <w:rsid w:val="00893D3F"/>
    <w:rsid w:val="00894158"/>
    <w:rsid w:val="0089437F"/>
    <w:rsid w:val="00894634"/>
    <w:rsid w:val="0089483B"/>
    <w:rsid w:val="00894A6E"/>
    <w:rsid w:val="00894C02"/>
    <w:rsid w:val="0089521F"/>
    <w:rsid w:val="00895453"/>
    <w:rsid w:val="00895478"/>
    <w:rsid w:val="00895695"/>
    <w:rsid w:val="0089579F"/>
    <w:rsid w:val="00895A4F"/>
    <w:rsid w:val="00895B21"/>
    <w:rsid w:val="00895B7B"/>
    <w:rsid w:val="00895D72"/>
    <w:rsid w:val="00895E57"/>
    <w:rsid w:val="00896523"/>
    <w:rsid w:val="00896B5B"/>
    <w:rsid w:val="00896CDB"/>
    <w:rsid w:val="00897902"/>
    <w:rsid w:val="00897ADB"/>
    <w:rsid w:val="00897B77"/>
    <w:rsid w:val="00897C97"/>
    <w:rsid w:val="00897D6D"/>
    <w:rsid w:val="00897D95"/>
    <w:rsid w:val="00897E3B"/>
    <w:rsid w:val="008A0420"/>
    <w:rsid w:val="008A068D"/>
    <w:rsid w:val="008A0C5C"/>
    <w:rsid w:val="008A100F"/>
    <w:rsid w:val="008A11F6"/>
    <w:rsid w:val="008A12DA"/>
    <w:rsid w:val="008A1428"/>
    <w:rsid w:val="008A1481"/>
    <w:rsid w:val="008A157B"/>
    <w:rsid w:val="008A1699"/>
    <w:rsid w:val="008A1759"/>
    <w:rsid w:val="008A18F1"/>
    <w:rsid w:val="008A194F"/>
    <w:rsid w:val="008A26D4"/>
    <w:rsid w:val="008A2707"/>
    <w:rsid w:val="008A32FC"/>
    <w:rsid w:val="008A359E"/>
    <w:rsid w:val="008A3A02"/>
    <w:rsid w:val="008A3A40"/>
    <w:rsid w:val="008A3AEC"/>
    <w:rsid w:val="008A3F37"/>
    <w:rsid w:val="008A454C"/>
    <w:rsid w:val="008A47E2"/>
    <w:rsid w:val="008A4B1A"/>
    <w:rsid w:val="008A4F3D"/>
    <w:rsid w:val="008A51E4"/>
    <w:rsid w:val="008A53E8"/>
    <w:rsid w:val="008A54B4"/>
    <w:rsid w:val="008A5500"/>
    <w:rsid w:val="008A55D2"/>
    <w:rsid w:val="008A56BC"/>
    <w:rsid w:val="008A5933"/>
    <w:rsid w:val="008A5CE1"/>
    <w:rsid w:val="008A5EAC"/>
    <w:rsid w:val="008A6086"/>
    <w:rsid w:val="008A60AA"/>
    <w:rsid w:val="008A6364"/>
    <w:rsid w:val="008A64EF"/>
    <w:rsid w:val="008A66F3"/>
    <w:rsid w:val="008A6B9B"/>
    <w:rsid w:val="008A6DBA"/>
    <w:rsid w:val="008A7062"/>
    <w:rsid w:val="008A7280"/>
    <w:rsid w:val="008A7339"/>
    <w:rsid w:val="008A7469"/>
    <w:rsid w:val="008A76DB"/>
    <w:rsid w:val="008A7FD1"/>
    <w:rsid w:val="008B0402"/>
    <w:rsid w:val="008B04EC"/>
    <w:rsid w:val="008B0696"/>
    <w:rsid w:val="008B0C16"/>
    <w:rsid w:val="008B0F77"/>
    <w:rsid w:val="008B108B"/>
    <w:rsid w:val="008B16D7"/>
    <w:rsid w:val="008B183F"/>
    <w:rsid w:val="008B1B4C"/>
    <w:rsid w:val="008B1C09"/>
    <w:rsid w:val="008B1C29"/>
    <w:rsid w:val="008B1CB4"/>
    <w:rsid w:val="008B1E06"/>
    <w:rsid w:val="008B1E74"/>
    <w:rsid w:val="008B23FF"/>
    <w:rsid w:val="008B2B43"/>
    <w:rsid w:val="008B3054"/>
    <w:rsid w:val="008B370B"/>
    <w:rsid w:val="008B400B"/>
    <w:rsid w:val="008B4654"/>
    <w:rsid w:val="008B4F2A"/>
    <w:rsid w:val="008B4FD6"/>
    <w:rsid w:val="008B58EF"/>
    <w:rsid w:val="008B5BCD"/>
    <w:rsid w:val="008B60DB"/>
    <w:rsid w:val="008B6195"/>
    <w:rsid w:val="008B6560"/>
    <w:rsid w:val="008B66D5"/>
    <w:rsid w:val="008B697B"/>
    <w:rsid w:val="008B6AEF"/>
    <w:rsid w:val="008B6D25"/>
    <w:rsid w:val="008B7119"/>
    <w:rsid w:val="008B7237"/>
    <w:rsid w:val="008B7353"/>
    <w:rsid w:val="008B759A"/>
    <w:rsid w:val="008B788A"/>
    <w:rsid w:val="008B7DFE"/>
    <w:rsid w:val="008B7FAA"/>
    <w:rsid w:val="008C00FC"/>
    <w:rsid w:val="008C0CD4"/>
    <w:rsid w:val="008C0DA1"/>
    <w:rsid w:val="008C12F5"/>
    <w:rsid w:val="008C13DB"/>
    <w:rsid w:val="008C1457"/>
    <w:rsid w:val="008C1C5C"/>
    <w:rsid w:val="008C213C"/>
    <w:rsid w:val="008C2193"/>
    <w:rsid w:val="008C2280"/>
    <w:rsid w:val="008C2331"/>
    <w:rsid w:val="008C24B9"/>
    <w:rsid w:val="008C257B"/>
    <w:rsid w:val="008C2644"/>
    <w:rsid w:val="008C2997"/>
    <w:rsid w:val="008C2A5D"/>
    <w:rsid w:val="008C2AC7"/>
    <w:rsid w:val="008C2D72"/>
    <w:rsid w:val="008C2DDD"/>
    <w:rsid w:val="008C3047"/>
    <w:rsid w:val="008C318F"/>
    <w:rsid w:val="008C31F8"/>
    <w:rsid w:val="008C34EA"/>
    <w:rsid w:val="008C3617"/>
    <w:rsid w:val="008C37AE"/>
    <w:rsid w:val="008C39F8"/>
    <w:rsid w:val="008C3C02"/>
    <w:rsid w:val="008C3E2A"/>
    <w:rsid w:val="008C3FC4"/>
    <w:rsid w:val="008C4622"/>
    <w:rsid w:val="008C4804"/>
    <w:rsid w:val="008C4A59"/>
    <w:rsid w:val="008C4A8C"/>
    <w:rsid w:val="008C4DC8"/>
    <w:rsid w:val="008C57F6"/>
    <w:rsid w:val="008C58B6"/>
    <w:rsid w:val="008C5A04"/>
    <w:rsid w:val="008C5D4F"/>
    <w:rsid w:val="008C5D6C"/>
    <w:rsid w:val="008C621C"/>
    <w:rsid w:val="008C63BC"/>
    <w:rsid w:val="008C65A4"/>
    <w:rsid w:val="008C67D8"/>
    <w:rsid w:val="008C6A1B"/>
    <w:rsid w:val="008C6D0A"/>
    <w:rsid w:val="008C6EB8"/>
    <w:rsid w:val="008C7090"/>
    <w:rsid w:val="008C7419"/>
    <w:rsid w:val="008C7925"/>
    <w:rsid w:val="008C7993"/>
    <w:rsid w:val="008D0190"/>
    <w:rsid w:val="008D0426"/>
    <w:rsid w:val="008D06B0"/>
    <w:rsid w:val="008D0E90"/>
    <w:rsid w:val="008D1590"/>
    <w:rsid w:val="008D17F6"/>
    <w:rsid w:val="008D19BE"/>
    <w:rsid w:val="008D1A14"/>
    <w:rsid w:val="008D1C43"/>
    <w:rsid w:val="008D1DF0"/>
    <w:rsid w:val="008D1E07"/>
    <w:rsid w:val="008D2038"/>
    <w:rsid w:val="008D2BC4"/>
    <w:rsid w:val="008D3142"/>
    <w:rsid w:val="008D324B"/>
    <w:rsid w:val="008D337B"/>
    <w:rsid w:val="008D3B72"/>
    <w:rsid w:val="008D3DB1"/>
    <w:rsid w:val="008D3E19"/>
    <w:rsid w:val="008D4191"/>
    <w:rsid w:val="008D421A"/>
    <w:rsid w:val="008D4562"/>
    <w:rsid w:val="008D46E7"/>
    <w:rsid w:val="008D499F"/>
    <w:rsid w:val="008D4E49"/>
    <w:rsid w:val="008D4E63"/>
    <w:rsid w:val="008D64D5"/>
    <w:rsid w:val="008D684D"/>
    <w:rsid w:val="008D71F4"/>
    <w:rsid w:val="008D7349"/>
    <w:rsid w:val="008D7496"/>
    <w:rsid w:val="008D759C"/>
    <w:rsid w:val="008D7659"/>
    <w:rsid w:val="008D773B"/>
    <w:rsid w:val="008D7759"/>
    <w:rsid w:val="008D7CCC"/>
    <w:rsid w:val="008D7F54"/>
    <w:rsid w:val="008E01BE"/>
    <w:rsid w:val="008E031A"/>
    <w:rsid w:val="008E0431"/>
    <w:rsid w:val="008E09E1"/>
    <w:rsid w:val="008E0CE7"/>
    <w:rsid w:val="008E0F22"/>
    <w:rsid w:val="008E0FA5"/>
    <w:rsid w:val="008E1476"/>
    <w:rsid w:val="008E1804"/>
    <w:rsid w:val="008E1BD3"/>
    <w:rsid w:val="008E1F5C"/>
    <w:rsid w:val="008E26F3"/>
    <w:rsid w:val="008E2847"/>
    <w:rsid w:val="008E372D"/>
    <w:rsid w:val="008E3902"/>
    <w:rsid w:val="008E3B4B"/>
    <w:rsid w:val="008E4296"/>
    <w:rsid w:val="008E4384"/>
    <w:rsid w:val="008E4726"/>
    <w:rsid w:val="008E476D"/>
    <w:rsid w:val="008E47DB"/>
    <w:rsid w:val="008E49BC"/>
    <w:rsid w:val="008E4D39"/>
    <w:rsid w:val="008E5126"/>
    <w:rsid w:val="008E53BE"/>
    <w:rsid w:val="008E5526"/>
    <w:rsid w:val="008E5BC7"/>
    <w:rsid w:val="008E5CAF"/>
    <w:rsid w:val="008E5F82"/>
    <w:rsid w:val="008E61A2"/>
    <w:rsid w:val="008E64E4"/>
    <w:rsid w:val="008E657F"/>
    <w:rsid w:val="008E66C6"/>
    <w:rsid w:val="008E69FB"/>
    <w:rsid w:val="008E6DA6"/>
    <w:rsid w:val="008E6DB7"/>
    <w:rsid w:val="008E6F51"/>
    <w:rsid w:val="008E72EE"/>
    <w:rsid w:val="008E7AB7"/>
    <w:rsid w:val="008E7AC2"/>
    <w:rsid w:val="008E7DF6"/>
    <w:rsid w:val="008E7E80"/>
    <w:rsid w:val="008E7FC4"/>
    <w:rsid w:val="008F0018"/>
    <w:rsid w:val="008F0176"/>
    <w:rsid w:val="008F05E6"/>
    <w:rsid w:val="008F097D"/>
    <w:rsid w:val="008F0AEC"/>
    <w:rsid w:val="008F0C0F"/>
    <w:rsid w:val="008F1111"/>
    <w:rsid w:val="008F1170"/>
    <w:rsid w:val="008F1200"/>
    <w:rsid w:val="008F12CE"/>
    <w:rsid w:val="008F1E5E"/>
    <w:rsid w:val="008F258F"/>
    <w:rsid w:val="008F25C9"/>
    <w:rsid w:val="008F30B7"/>
    <w:rsid w:val="008F33A9"/>
    <w:rsid w:val="008F3893"/>
    <w:rsid w:val="008F3B86"/>
    <w:rsid w:val="008F49AE"/>
    <w:rsid w:val="008F4F92"/>
    <w:rsid w:val="008F5731"/>
    <w:rsid w:val="008F59C9"/>
    <w:rsid w:val="008F5A93"/>
    <w:rsid w:val="008F5D88"/>
    <w:rsid w:val="008F607E"/>
    <w:rsid w:val="008F6265"/>
    <w:rsid w:val="008F6723"/>
    <w:rsid w:val="008F67C9"/>
    <w:rsid w:val="008F6900"/>
    <w:rsid w:val="008F69A3"/>
    <w:rsid w:val="008F6FC3"/>
    <w:rsid w:val="008F71AE"/>
    <w:rsid w:val="008F7552"/>
    <w:rsid w:val="008F75C0"/>
    <w:rsid w:val="008F77D1"/>
    <w:rsid w:val="008F7915"/>
    <w:rsid w:val="008F7DCC"/>
    <w:rsid w:val="00900949"/>
    <w:rsid w:val="009009E8"/>
    <w:rsid w:val="00900DC3"/>
    <w:rsid w:val="009013FE"/>
    <w:rsid w:val="00901C61"/>
    <w:rsid w:val="0090247D"/>
    <w:rsid w:val="0090268F"/>
    <w:rsid w:val="00902921"/>
    <w:rsid w:val="00902995"/>
    <w:rsid w:val="00902AE1"/>
    <w:rsid w:val="00902D55"/>
    <w:rsid w:val="00903208"/>
    <w:rsid w:val="00903A6A"/>
    <w:rsid w:val="00903C94"/>
    <w:rsid w:val="00903E3A"/>
    <w:rsid w:val="00904C76"/>
    <w:rsid w:val="00904EE0"/>
    <w:rsid w:val="00905691"/>
    <w:rsid w:val="009067C3"/>
    <w:rsid w:val="00906993"/>
    <w:rsid w:val="00906CA9"/>
    <w:rsid w:val="00906E34"/>
    <w:rsid w:val="009078C7"/>
    <w:rsid w:val="00907A77"/>
    <w:rsid w:val="00910242"/>
    <w:rsid w:val="0091041E"/>
    <w:rsid w:val="009104BE"/>
    <w:rsid w:val="0091068E"/>
    <w:rsid w:val="00910A8C"/>
    <w:rsid w:val="00910DC6"/>
    <w:rsid w:val="009114B4"/>
    <w:rsid w:val="00911534"/>
    <w:rsid w:val="00911622"/>
    <w:rsid w:val="00911AB8"/>
    <w:rsid w:val="00911B6B"/>
    <w:rsid w:val="00911C22"/>
    <w:rsid w:val="00911C99"/>
    <w:rsid w:val="00911E41"/>
    <w:rsid w:val="009121E3"/>
    <w:rsid w:val="009125BC"/>
    <w:rsid w:val="0091266A"/>
    <w:rsid w:val="009128D6"/>
    <w:rsid w:val="00912E46"/>
    <w:rsid w:val="00912E53"/>
    <w:rsid w:val="00912EFA"/>
    <w:rsid w:val="00913257"/>
    <w:rsid w:val="00913368"/>
    <w:rsid w:val="00913555"/>
    <w:rsid w:val="009136C0"/>
    <w:rsid w:val="00913910"/>
    <w:rsid w:val="00913AC0"/>
    <w:rsid w:val="00913B5C"/>
    <w:rsid w:val="009143F1"/>
    <w:rsid w:val="009145F5"/>
    <w:rsid w:val="00914786"/>
    <w:rsid w:val="00914E1E"/>
    <w:rsid w:val="00914E40"/>
    <w:rsid w:val="0091501E"/>
    <w:rsid w:val="009154EB"/>
    <w:rsid w:val="00915594"/>
    <w:rsid w:val="00915629"/>
    <w:rsid w:val="00915739"/>
    <w:rsid w:val="009157D0"/>
    <w:rsid w:val="00915844"/>
    <w:rsid w:val="00915981"/>
    <w:rsid w:val="00915A81"/>
    <w:rsid w:val="00915D38"/>
    <w:rsid w:val="00915EF5"/>
    <w:rsid w:val="0091603D"/>
    <w:rsid w:val="00916096"/>
    <w:rsid w:val="009160A1"/>
    <w:rsid w:val="009163A3"/>
    <w:rsid w:val="00916699"/>
    <w:rsid w:val="0091688E"/>
    <w:rsid w:val="009168ED"/>
    <w:rsid w:val="00917056"/>
    <w:rsid w:val="00917148"/>
    <w:rsid w:val="0091723D"/>
    <w:rsid w:val="00917299"/>
    <w:rsid w:val="0091731C"/>
    <w:rsid w:val="00917592"/>
    <w:rsid w:val="009175C1"/>
    <w:rsid w:val="00917656"/>
    <w:rsid w:val="009178C6"/>
    <w:rsid w:val="00917FF6"/>
    <w:rsid w:val="00920288"/>
    <w:rsid w:val="00920CA9"/>
    <w:rsid w:val="00920D8C"/>
    <w:rsid w:val="00920F05"/>
    <w:rsid w:val="0092124B"/>
    <w:rsid w:val="00921AA0"/>
    <w:rsid w:val="00921D65"/>
    <w:rsid w:val="00922065"/>
    <w:rsid w:val="00922201"/>
    <w:rsid w:val="00922248"/>
    <w:rsid w:val="009226CE"/>
    <w:rsid w:val="00922763"/>
    <w:rsid w:val="00922829"/>
    <w:rsid w:val="0092285E"/>
    <w:rsid w:val="00922967"/>
    <w:rsid w:val="00922DC8"/>
    <w:rsid w:val="00922E8B"/>
    <w:rsid w:val="00922EF4"/>
    <w:rsid w:val="00922FC3"/>
    <w:rsid w:val="00923057"/>
    <w:rsid w:val="009232A4"/>
    <w:rsid w:val="009237BC"/>
    <w:rsid w:val="0092392A"/>
    <w:rsid w:val="009239DC"/>
    <w:rsid w:val="009239E5"/>
    <w:rsid w:val="00923B22"/>
    <w:rsid w:val="00923CF6"/>
    <w:rsid w:val="009240E8"/>
    <w:rsid w:val="009241CB"/>
    <w:rsid w:val="009244DF"/>
    <w:rsid w:val="00924607"/>
    <w:rsid w:val="00924674"/>
    <w:rsid w:val="0092473C"/>
    <w:rsid w:val="00924986"/>
    <w:rsid w:val="00924ABF"/>
    <w:rsid w:val="00925090"/>
    <w:rsid w:val="00925109"/>
    <w:rsid w:val="00925692"/>
    <w:rsid w:val="009258B5"/>
    <w:rsid w:val="00925B08"/>
    <w:rsid w:val="009261B7"/>
    <w:rsid w:val="00926208"/>
    <w:rsid w:val="009267D1"/>
    <w:rsid w:val="00926984"/>
    <w:rsid w:val="00926A9C"/>
    <w:rsid w:val="00926D41"/>
    <w:rsid w:val="00926E0C"/>
    <w:rsid w:val="009270E1"/>
    <w:rsid w:val="009276D2"/>
    <w:rsid w:val="00927706"/>
    <w:rsid w:val="009278FE"/>
    <w:rsid w:val="009279AF"/>
    <w:rsid w:val="00927D2B"/>
    <w:rsid w:val="00927DF0"/>
    <w:rsid w:val="0093017A"/>
    <w:rsid w:val="009306FE"/>
    <w:rsid w:val="0093073E"/>
    <w:rsid w:val="00930A9F"/>
    <w:rsid w:val="00930AB1"/>
    <w:rsid w:val="00931095"/>
    <w:rsid w:val="009313EF"/>
    <w:rsid w:val="0093142E"/>
    <w:rsid w:val="0093175F"/>
    <w:rsid w:val="00931BE6"/>
    <w:rsid w:val="009324C4"/>
    <w:rsid w:val="009326F6"/>
    <w:rsid w:val="00932791"/>
    <w:rsid w:val="00932F0D"/>
    <w:rsid w:val="00933080"/>
    <w:rsid w:val="00933238"/>
    <w:rsid w:val="0093326A"/>
    <w:rsid w:val="00933450"/>
    <w:rsid w:val="009335F9"/>
    <w:rsid w:val="00933618"/>
    <w:rsid w:val="009337A9"/>
    <w:rsid w:val="00933D75"/>
    <w:rsid w:val="00934074"/>
    <w:rsid w:val="0093495C"/>
    <w:rsid w:val="009350B0"/>
    <w:rsid w:val="0093539D"/>
    <w:rsid w:val="0093557E"/>
    <w:rsid w:val="0093573F"/>
    <w:rsid w:val="0093577C"/>
    <w:rsid w:val="00935AFA"/>
    <w:rsid w:val="00935B38"/>
    <w:rsid w:val="009363B9"/>
    <w:rsid w:val="00936634"/>
    <w:rsid w:val="009369BD"/>
    <w:rsid w:val="00936BE9"/>
    <w:rsid w:val="00936F6A"/>
    <w:rsid w:val="0093714F"/>
    <w:rsid w:val="00937594"/>
    <w:rsid w:val="009376FD"/>
    <w:rsid w:val="00937ABE"/>
    <w:rsid w:val="00940227"/>
    <w:rsid w:val="009403F5"/>
    <w:rsid w:val="00940547"/>
    <w:rsid w:val="009405E5"/>
    <w:rsid w:val="00940674"/>
    <w:rsid w:val="0094078E"/>
    <w:rsid w:val="00940868"/>
    <w:rsid w:val="00940E88"/>
    <w:rsid w:val="00941656"/>
    <w:rsid w:val="0094194A"/>
    <w:rsid w:val="00941F3F"/>
    <w:rsid w:val="0094277E"/>
    <w:rsid w:val="009428CC"/>
    <w:rsid w:val="00942D22"/>
    <w:rsid w:val="00942DF3"/>
    <w:rsid w:val="009433D8"/>
    <w:rsid w:val="0094376F"/>
    <w:rsid w:val="00943986"/>
    <w:rsid w:val="00943C24"/>
    <w:rsid w:val="00943C71"/>
    <w:rsid w:val="00944199"/>
    <w:rsid w:val="009441D8"/>
    <w:rsid w:val="009447F5"/>
    <w:rsid w:val="00944A80"/>
    <w:rsid w:val="00944A9C"/>
    <w:rsid w:val="00944E88"/>
    <w:rsid w:val="0094521E"/>
    <w:rsid w:val="0094545B"/>
    <w:rsid w:val="0094553C"/>
    <w:rsid w:val="00945804"/>
    <w:rsid w:val="00945883"/>
    <w:rsid w:val="0094602F"/>
    <w:rsid w:val="009462CC"/>
    <w:rsid w:val="00946424"/>
    <w:rsid w:val="00946B59"/>
    <w:rsid w:val="00946F04"/>
    <w:rsid w:val="00947107"/>
    <w:rsid w:val="00947117"/>
    <w:rsid w:val="0094789C"/>
    <w:rsid w:val="00947A71"/>
    <w:rsid w:val="00947B81"/>
    <w:rsid w:val="00947BA2"/>
    <w:rsid w:val="00947BBA"/>
    <w:rsid w:val="00947F54"/>
    <w:rsid w:val="009507FC"/>
    <w:rsid w:val="00950A87"/>
    <w:rsid w:val="00950AD9"/>
    <w:rsid w:val="00950FC0"/>
    <w:rsid w:val="00951030"/>
    <w:rsid w:val="0095103E"/>
    <w:rsid w:val="009511E0"/>
    <w:rsid w:val="00951231"/>
    <w:rsid w:val="009512F1"/>
    <w:rsid w:val="00951FE0"/>
    <w:rsid w:val="00952166"/>
    <w:rsid w:val="00952254"/>
    <w:rsid w:val="0095265A"/>
    <w:rsid w:val="00952C2E"/>
    <w:rsid w:val="00953241"/>
    <w:rsid w:val="0095328B"/>
    <w:rsid w:val="0095329D"/>
    <w:rsid w:val="0095345D"/>
    <w:rsid w:val="009536C1"/>
    <w:rsid w:val="00953830"/>
    <w:rsid w:val="00953957"/>
    <w:rsid w:val="00953DDD"/>
    <w:rsid w:val="00954198"/>
    <w:rsid w:val="009544B2"/>
    <w:rsid w:val="0095454C"/>
    <w:rsid w:val="00954640"/>
    <w:rsid w:val="009547A7"/>
    <w:rsid w:val="00954BA4"/>
    <w:rsid w:val="00954D05"/>
    <w:rsid w:val="00954F3D"/>
    <w:rsid w:val="00955190"/>
    <w:rsid w:val="00955659"/>
    <w:rsid w:val="0095609C"/>
    <w:rsid w:val="00956191"/>
    <w:rsid w:val="009561C6"/>
    <w:rsid w:val="009561D1"/>
    <w:rsid w:val="00956541"/>
    <w:rsid w:val="00956B82"/>
    <w:rsid w:val="00956D5E"/>
    <w:rsid w:val="0095777D"/>
    <w:rsid w:val="00957782"/>
    <w:rsid w:val="0095796B"/>
    <w:rsid w:val="00957D1C"/>
    <w:rsid w:val="0096061B"/>
    <w:rsid w:val="0096061F"/>
    <w:rsid w:val="00960AB8"/>
    <w:rsid w:val="00960ADD"/>
    <w:rsid w:val="00960F37"/>
    <w:rsid w:val="00961066"/>
    <w:rsid w:val="0096117A"/>
    <w:rsid w:val="009616F9"/>
    <w:rsid w:val="00961831"/>
    <w:rsid w:val="00961D74"/>
    <w:rsid w:val="00961F1E"/>
    <w:rsid w:val="00961F64"/>
    <w:rsid w:val="00962222"/>
    <w:rsid w:val="009623C4"/>
    <w:rsid w:val="00962B0F"/>
    <w:rsid w:val="00962DF2"/>
    <w:rsid w:val="009631A5"/>
    <w:rsid w:val="009632EF"/>
    <w:rsid w:val="0096333A"/>
    <w:rsid w:val="009633DE"/>
    <w:rsid w:val="00963494"/>
    <w:rsid w:val="00963546"/>
    <w:rsid w:val="00963694"/>
    <w:rsid w:val="00963879"/>
    <w:rsid w:val="00963934"/>
    <w:rsid w:val="00963F87"/>
    <w:rsid w:val="00963F91"/>
    <w:rsid w:val="0096434C"/>
    <w:rsid w:val="009645A1"/>
    <w:rsid w:val="00964860"/>
    <w:rsid w:val="00964F1D"/>
    <w:rsid w:val="009651E4"/>
    <w:rsid w:val="00965208"/>
    <w:rsid w:val="00965426"/>
    <w:rsid w:val="009654F6"/>
    <w:rsid w:val="00965BF6"/>
    <w:rsid w:val="0096601F"/>
    <w:rsid w:val="00966388"/>
    <w:rsid w:val="00967337"/>
    <w:rsid w:val="00967338"/>
    <w:rsid w:val="00967374"/>
    <w:rsid w:val="00967646"/>
    <w:rsid w:val="009676C3"/>
    <w:rsid w:val="009678E0"/>
    <w:rsid w:val="00967BF9"/>
    <w:rsid w:val="00967CA0"/>
    <w:rsid w:val="00967D76"/>
    <w:rsid w:val="00967DF8"/>
    <w:rsid w:val="009702FF"/>
    <w:rsid w:val="0097038E"/>
    <w:rsid w:val="00970445"/>
    <w:rsid w:val="0097128E"/>
    <w:rsid w:val="00971462"/>
    <w:rsid w:val="009714BE"/>
    <w:rsid w:val="009714F0"/>
    <w:rsid w:val="00971952"/>
    <w:rsid w:val="00971958"/>
    <w:rsid w:val="009719EC"/>
    <w:rsid w:val="00971DEA"/>
    <w:rsid w:val="00972A09"/>
    <w:rsid w:val="00973626"/>
    <w:rsid w:val="0097368D"/>
    <w:rsid w:val="009736F5"/>
    <w:rsid w:val="0097376C"/>
    <w:rsid w:val="00973AAF"/>
    <w:rsid w:val="00973AB9"/>
    <w:rsid w:val="0097427A"/>
    <w:rsid w:val="0097434C"/>
    <w:rsid w:val="009747B5"/>
    <w:rsid w:val="0097534A"/>
    <w:rsid w:val="0097552D"/>
    <w:rsid w:val="00975A41"/>
    <w:rsid w:val="00975A71"/>
    <w:rsid w:val="00975D03"/>
    <w:rsid w:val="00975E5B"/>
    <w:rsid w:val="00976223"/>
    <w:rsid w:val="00976C73"/>
    <w:rsid w:val="00976F66"/>
    <w:rsid w:val="009770B2"/>
    <w:rsid w:val="009777A6"/>
    <w:rsid w:val="00977D17"/>
    <w:rsid w:val="00977E44"/>
    <w:rsid w:val="00980174"/>
    <w:rsid w:val="009807B2"/>
    <w:rsid w:val="00980EFF"/>
    <w:rsid w:val="00981027"/>
    <w:rsid w:val="009813DD"/>
    <w:rsid w:val="0098188F"/>
    <w:rsid w:val="00981996"/>
    <w:rsid w:val="00981C02"/>
    <w:rsid w:val="00981CE4"/>
    <w:rsid w:val="00981DCF"/>
    <w:rsid w:val="00981FC1"/>
    <w:rsid w:val="009822F1"/>
    <w:rsid w:val="009823E6"/>
    <w:rsid w:val="00982402"/>
    <w:rsid w:val="009824D2"/>
    <w:rsid w:val="00982B42"/>
    <w:rsid w:val="00983527"/>
    <w:rsid w:val="0098385A"/>
    <w:rsid w:val="00983926"/>
    <w:rsid w:val="00983A1D"/>
    <w:rsid w:val="00983A26"/>
    <w:rsid w:val="00983A73"/>
    <w:rsid w:val="00983CDB"/>
    <w:rsid w:val="00983F1F"/>
    <w:rsid w:val="00984174"/>
    <w:rsid w:val="0098469B"/>
    <w:rsid w:val="00984733"/>
    <w:rsid w:val="00984A28"/>
    <w:rsid w:val="00984C99"/>
    <w:rsid w:val="00984E70"/>
    <w:rsid w:val="0098571F"/>
    <w:rsid w:val="00985940"/>
    <w:rsid w:val="0098599F"/>
    <w:rsid w:val="00985D11"/>
    <w:rsid w:val="00985F81"/>
    <w:rsid w:val="009863D2"/>
    <w:rsid w:val="009865D6"/>
    <w:rsid w:val="00986939"/>
    <w:rsid w:val="00986B31"/>
    <w:rsid w:val="009870B6"/>
    <w:rsid w:val="00987103"/>
    <w:rsid w:val="00987214"/>
    <w:rsid w:val="009873F6"/>
    <w:rsid w:val="0098757C"/>
    <w:rsid w:val="00987810"/>
    <w:rsid w:val="0098788F"/>
    <w:rsid w:val="00987A69"/>
    <w:rsid w:val="00987ACF"/>
    <w:rsid w:val="00987C6C"/>
    <w:rsid w:val="00990452"/>
    <w:rsid w:val="009907BB"/>
    <w:rsid w:val="009909AB"/>
    <w:rsid w:val="00990A0D"/>
    <w:rsid w:val="00990ED8"/>
    <w:rsid w:val="00990FBA"/>
    <w:rsid w:val="00991301"/>
    <w:rsid w:val="009914BB"/>
    <w:rsid w:val="00991D5B"/>
    <w:rsid w:val="00991F8D"/>
    <w:rsid w:val="009920D9"/>
    <w:rsid w:val="00992CC8"/>
    <w:rsid w:val="00992FC0"/>
    <w:rsid w:val="009930CE"/>
    <w:rsid w:val="009931B6"/>
    <w:rsid w:val="009937B6"/>
    <w:rsid w:val="0099392A"/>
    <w:rsid w:val="009940A0"/>
    <w:rsid w:val="00995178"/>
    <w:rsid w:val="00995270"/>
    <w:rsid w:val="009953B9"/>
    <w:rsid w:val="009959D6"/>
    <w:rsid w:val="00995B00"/>
    <w:rsid w:val="00995FD5"/>
    <w:rsid w:val="00996543"/>
    <w:rsid w:val="0099667B"/>
    <w:rsid w:val="0099699E"/>
    <w:rsid w:val="00996AD2"/>
    <w:rsid w:val="00997025"/>
    <w:rsid w:val="00997041"/>
    <w:rsid w:val="00997DA6"/>
    <w:rsid w:val="00997DF4"/>
    <w:rsid w:val="009A00F3"/>
    <w:rsid w:val="009A0262"/>
    <w:rsid w:val="009A05A5"/>
    <w:rsid w:val="009A09F9"/>
    <w:rsid w:val="009A0A96"/>
    <w:rsid w:val="009A0EAE"/>
    <w:rsid w:val="009A1B54"/>
    <w:rsid w:val="009A1DEF"/>
    <w:rsid w:val="009A1E7B"/>
    <w:rsid w:val="009A1E9D"/>
    <w:rsid w:val="009A2022"/>
    <w:rsid w:val="009A24AA"/>
    <w:rsid w:val="009A278E"/>
    <w:rsid w:val="009A2E87"/>
    <w:rsid w:val="009A2EB4"/>
    <w:rsid w:val="009A2F66"/>
    <w:rsid w:val="009A30BF"/>
    <w:rsid w:val="009A3678"/>
    <w:rsid w:val="009A39E4"/>
    <w:rsid w:val="009A3BE9"/>
    <w:rsid w:val="009A3E5B"/>
    <w:rsid w:val="009A3F89"/>
    <w:rsid w:val="009A3FEC"/>
    <w:rsid w:val="009A4142"/>
    <w:rsid w:val="009A426F"/>
    <w:rsid w:val="009A42D2"/>
    <w:rsid w:val="009A46B3"/>
    <w:rsid w:val="009A4FA5"/>
    <w:rsid w:val="009A515A"/>
    <w:rsid w:val="009A53FF"/>
    <w:rsid w:val="009A5868"/>
    <w:rsid w:val="009A5A68"/>
    <w:rsid w:val="009A5E42"/>
    <w:rsid w:val="009A6132"/>
    <w:rsid w:val="009A61A0"/>
    <w:rsid w:val="009A61B0"/>
    <w:rsid w:val="009A637C"/>
    <w:rsid w:val="009A65AA"/>
    <w:rsid w:val="009A664D"/>
    <w:rsid w:val="009A6CEF"/>
    <w:rsid w:val="009A6D1A"/>
    <w:rsid w:val="009A6F8A"/>
    <w:rsid w:val="009A71FC"/>
    <w:rsid w:val="009A739E"/>
    <w:rsid w:val="009A73B1"/>
    <w:rsid w:val="009A73CB"/>
    <w:rsid w:val="009A7994"/>
    <w:rsid w:val="009A7A58"/>
    <w:rsid w:val="009A7AAE"/>
    <w:rsid w:val="009A7DD4"/>
    <w:rsid w:val="009A7F5A"/>
    <w:rsid w:val="009B024A"/>
    <w:rsid w:val="009B0BA6"/>
    <w:rsid w:val="009B0E4E"/>
    <w:rsid w:val="009B1025"/>
    <w:rsid w:val="009B10F1"/>
    <w:rsid w:val="009B1406"/>
    <w:rsid w:val="009B1504"/>
    <w:rsid w:val="009B1558"/>
    <w:rsid w:val="009B183D"/>
    <w:rsid w:val="009B1A97"/>
    <w:rsid w:val="009B1E06"/>
    <w:rsid w:val="009B2134"/>
    <w:rsid w:val="009B226E"/>
    <w:rsid w:val="009B2277"/>
    <w:rsid w:val="009B2364"/>
    <w:rsid w:val="009B2517"/>
    <w:rsid w:val="009B25AC"/>
    <w:rsid w:val="009B25D6"/>
    <w:rsid w:val="009B2766"/>
    <w:rsid w:val="009B276F"/>
    <w:rsid w:val="009B28BB"/>
    <w:rsid w:val="009B2C8C"/>
    <w:rsid w:val="009B2CDA"/>
    <w:rsid w:val="009B3266"/>
    <w:rsid w:val="009B3441"/>
    <w:rsid w:val="009B355A"/>
    <w:rsid w:val="009B35B1"/>
    <w:rsid w:val="009B35E7"/>
    <w:rsid w:val="009B38C5"/>
    <w:rsid w:val="009B38CF"/>
    <w:rsid w:val="009B46B7"/>
    <w:rsid w:val="009B4B84"/>
    <w:rsid w:val="009B4C40"/>
    <w:rsid w:val="009B5F4D"/>
    <w:rsid w:val="009B5F72"/>
    <w:rsid w:val="009B5FF3"/>
    <w:rsid w:val="009B6327"/>
    <w:rsid w:val="009B643B"/>
    <w:rsid w:val="009B6661"/>
    <w:rsid w:val="009B684F"/>
    <w:rsid w:val="009B6A72"/>
    <w:rsid w:val="009B6B75"/>
    <w:rsid w:val="009B6B89"/>
    <w:rsid w:val="009B6E95"/>
    <w:rsid w:val="009B6F6B"/>
    <w:rsid w:val="009B6FDF"/>
    <w:rsid w:val="009B7632"/>
    <w:rsid w:val="009B79E9"/>
    <w:rsid w:val="009B7E2F"/>
    <w:rsid w:val="009C02EE"/>
    <w:rsid w:val="009C04E8"/>
    <w:rsid w:val="009C0689"/>
    <w:rsid w:val="009C0BDF"/>
    <w:rsid w:val="009C11C2"/>
    <w:rsid w:val="009C1497"/>
    <w:rsid w:val="009C1979"/>
    <w:rsid w:val="009C20CE"/>
    <w:rsid w:val="009C20F8"/>
    <w:rsid w:val="009C2293"/>
    <w:rsid w:val="009C28BD"/>
    <w:rsid w:val="009C30D0"/>
    <w:rsid w:val="009C3455"/>
    <w:rsid w:val="009C368F"/>
    <w:rsid w:val="009C450F"/>
    <w:rsid w:val="009C460A"/>
    <w:rsid w:val="009C464C"/>
    <w:rsid w:val="009C4A15"/>
    <w:rsid w:val="009C4C6A"/>
    <w:rsid w:val="009C538D"/>
    <w:rsid w:val="009C5A3D"/>
    <w:rsid w:val="009C679E"/>
    <w:rsid w:val="009C6A00"/>
    <w:rsid w:val="009C6C64"/>
    <w:rsid w:val="009C6E6C"/>
    <w:rsid w:val="009C7166"/>
    <w:rsid w:val="009C7176"/>
    <w:rsid w:val="009C753B"/>
    <w:rsid w:val="009C7749"/>
    <w:rsid w:val="009C7D19"/>
    <w:rsid w:val="009C7DA0"/>
    <w:rsid w:val="009C7E89"/>
    <w:rsid w:val="009C7E9A"/>
    <w:rsid w:val="009D011E"/>
    <w:rsid w:val="009D02C7"/>
    <w:rsid w:val="009D0524"/>
    <w:rsid w:val="009D0A80"/>
    <w:rsid w:val="009D0CEC"/>
    <w:rsid w:val="009D0DA7"/>
    <w:rsid w:val="009D0F75"/>
    <w:rsid w:val="009D1523"/>
    <w:rsid w:val="009D18B7"/>
    <w:rsid w:val="009D1971"/>
    <w:rsid w:val="009D21A4"/>
    <w:rsid w:val="009D23A8"/>
    <w:rsid w:val="009D25A7"/>
    <w:rsid w:val="009D2B51"/>
    <w:rsid w:val="009D2C79"/>
    <w:rsid w:val="009D2DA0"/>
    <w:rsid w:val="009D31AF"/>
    <w:rsid w:val="009D31FC"/>
    <w:rsid w:val="009D3C6F"/>
    <w:rsid w:val="009D3CBF"/>
    <w:rsid w:val="009D3FF2"/>
    <w:rsid w:val="009D400E"/>
    <w:rsid w:val="009D40FD"/>
    <w:rsid w:val="009D4498"/>
    <w:rsid w:val="009D48B1"/>
    <w:rsid w:val="009D4B05"/>
    <w:rsid w:val="009D4F62"/>
    <w:rsid w:val="009D5103"/>
    <w:rsid w:val="009D5A84"/>
    <w:rsid w:val="009D5AAB"/>
    <w:rsid w:val="009D5DCC"/>
    <w:rsid w:val="009D5DF6"/>
    <w:rsid w:val="009D63F1"/>
    <w:rsid w:val="009D65E5"/>
    <w:rsid w:val="009D66DE"/>
    <w:rsid w:val="009D6C14"/>
    <w:rsid w:val="009D6D4D"/>
    <w:rsid w:val="009D6EDE"/>
    <w:rsid w:val="009D70CF"/>
    <w:rsid w:val="009D7233"/>
    <w:rsid w:val="009D7598"/>
    <w:rsid w:val="009D75B7"/>
    <w:rsid w:val="009D75CB"/>
    <w:rsid w:val="009D78F2"/>
    <w:rsid w:val="009D7938"/>
    <w:rsid w:val="009D7CE1"/>
    <w:rsid w:val="009E027A"/>
    <w:rsid w:val="009E0A2D"/>
    <w:rsid w:val="009E0AC7"/>
    <w:rsid w:val="009E0CA8"/>
    <w:rsid w:val="009E1106"/>
    <w:rsid w:val="009E128D"/>
    <w:rsid w:val="009E14F7"/>
    <w:rsid w:val="009E162B"/>
    <w:rsid w:val="009E16F5"/>
    <w:rsid w:val="009E1762"/>
    <w:rsid w:val="009E1A31"/>
    <w:rsid w:val="009E1E94"/>
    <w:rsid w:val="009E2222"/>
    <w:rsid w:val="009E22A1"/>
    <w:rsid w:val="009E2664"/>
    <w:rsid w:val="009E2A0B"/>
    <w:rsid w:val="009E2CD4"/>
    <w:rsid w:val="009E2D83"/>
    <w:rsid w:val="009E2EB1"/>
    <w:rsid w:val="009E2F16"/>
    <w:rsid w:val="009E32E7"/>
    <w:rsid w:val="009E3845"/>
    <w:rsid w:val="009E44CB"/>
    <w:rsid w:val="009E49C6"/>
    <w:rsid w:val="009E4A6F"/>
    <w:rsid w:val="009E4C96"/>
    <w:rsid w:val="009E5255"/>
    <w:rsid w:val="009E53BF"/>
    <w:rsid w:val="009E5B99"/>
    <w:rsid w:val="009E5C5B"/>
    <w:rsid w:val="009E5CAD"/>
    <w:rsid w:val="009E658D"/>
    <w:rsid w:val="009E70AC"/>
    <w:rsid w:val="009E74A5"/>
    <w:rsid w:val="009E782B"/>
    <w:rsid w:val="009E7B44"/>
    <w:rsid w:val="009E7D4D"/>
    <w:rsid w:val="009F01E5"/>
    <w:rsid w:val="009F0442"/>
    <w:rsid w:val="009F05F0"/>
    <w:rsid w:val="009F07BE"/>
    <w:rsid w:val="009F0A5F"/>
    <w:rsid w:val="009F0B04"/>
    <w:rsid w:val="009F0BCC"/>
    <w:rsid w:val="009F1289"/>
    <w:rsid w:val="009F12A1"/>
    <w:rsid w:val="009F144E"/>
    <w:rsid w:val="009F1732"/>
    <w:rsid w:val="009F1766"/>
    <w:rsid w:val="009F18B0"/>
    <w:rsid w:val="009F1A21"/>
    <w:rsid w:val="009F2256"/>
    <w:rsid w:val="009F25BC"/>
    <w:rsid w:val="009F28F4"/>
    <w:rsid w:val="009F2BA0"/>
    <w:rsid w:val="009F3BC5"/>
    <w:rsid w:val="009F41AC"/>
    <w:rsid w:val="009F4371"/>
    <w:rsid w:val="009F440E"/>
    <w:rsid w:val="009F4439"/>
    <w:rsid w:val="009F472C"/>
    <w:rsid w:val="009F499D"/>
    <w:rsid w:val="009F596E"/>
    <w:rsid w:val="009F5ADF"/>
    <w:rsid w:val="009F5DAC"/>
    <w:rsid w:val="009F6354"/>
    <w:rsid w:val="009F63A2"/>
    <w:rsid w:val="009F6637"/>
    <w:rsid w:val="009F6BFC"/>
    <w:rsid w:val="009F6C73"/>
    <w:rsid w:val="009F6E56"/>
    <w:rsid w:val="009F717C"/>
    <w:rsid w:val="009F7399"/>
    <w:rsid w:val="009F75A0"/>
    <w:rsid w:val="009F7776"/>
    <w:rsid w:val="009F7AE4"/>
    <w:rsid w:val="009F7AE7"/>
    <w:rsid w:val="009F7F6D"/>
    <w:rsid w:val="00A00743"/>
    <w:rsid w:val="00A009D0"/>
    <w:rsid w:val="00A00C39"/>
    <w:rsid w:val="00A01109"/>
    <w:rsid w:val="00A012CF"/>
    <w:rsid w:val="00A01520"/>
    <w:rsid w:val="00A015BF"/>
    <w:rsid w:val="00A017E4"/>
    <w:rsid w:val="00A01800"/>
    <w:rsid w:val="00A01C87"/>
    <w:rsid w:val="00A01D39"/>
    <w:rsid w:val="00A0259E"/>
    <w:rsid w:val="00A02C52"/>
    <w:rsid w:val="00A02DA9"/>
    <w:rsid w:val="00A031B4"/>
    <w:rsid w:val="00A032C8"/>
    <w:rsid w:val="00A03E89"/>
    <w:rsid w:val="00A03EAF"/>
    <w:rsid w:val="00A04022"/>
    <w:rsid w:val="00A04031"/>
    <w:rsid w:val="00A04189"/>
    <w:rsid w:val="00A042DB"/>
    <w:rsid w:val="00A0434A"/>
    <w:rsid w:val="00A0460F"/>
    <w:rsid w:val="00A04A7A"/>
    <w:rsid w:val="00A051B7"/>
    <w:rsid w:val="00A05386"/>
    <w:rsid w:val="00A059AD"/>
    <w:rsid w:val="00A05B54"/>
    <w:rsid w:val="00A062D8"/>
    <w:rsid w:val="00A066AA"/>
    <w:rsid w:val="00A06711"/>
    <w:rsid w:val="00A0677D"/>
    <w:rsid w:val="00A06EC1"/>
    <w:rsid w:val="00A07DDB"/>
    <w:rsid w:val="00A07F92"/>
    <w:rsid w:val="00A108F0"/>
    <w:rsid w:val="00A10ADB"/>
    <w:rsid w:val="00A10BD0"/>
    <w:rsid w:val="00A1105F"/>
    <w:rsid w:val="00A111EA"/>
    <w:rsid w:val="00A1121C"/>
    <w:rsid w:val="00A11279"/>
    <w:rsid w:val="00A1128A"/>
    <w:rsid w:val="00A114EA"/>
    <w:rsid w:val="00A11E06"/>
    <w:rsid w:val="00A11EB6"/>
    <w:rsid w:val="00A12764"/>
    <w:rsid w:val="00A12840"/>
    <w:rsid w:val="00A128AD"/>
    <w:rsid w:val="00A128CC"/>
    <w:rsid w:val="00A1298C"/>
    <w:rsid w:val="00A12B83"/>
    <w:rsid w:val="00A12C5A"/>
    <w:rsid w:val="00A1304E"/>
    <w:rsid w:val="00A13051"/>
    <w:rsid w:val="00A13C60"/>
    <w:rsid w:val="00A13DED"/>
    <w:rsid w:val="00A14227"/>
    <w:rsid w:val="00A1422F"/>
    <w:rsid w:val="00A147F6"/>
    <w:rsid w:val="00A14821"/>
    <w:rsid w:val="00A14EF3"/>
    <w:rsid w:val="00A1510D"/>
    <w:rsid w:val="00A15A83"/>
    <w:rsid w:val="00A1642C"/>
    <w:rsid w:val="00A16ECB"/>
    <w:rsid w:val="00A17057"/>
    <w:rsid w:val="00A175F6"/>
    <w:rsid w:val="00A177C5"/>
    <w:rsid w:val="00A179E9"/>
    <w:rsid w:val="00A17BA7"/>
    <w:rsid w:val="00A20000"/>
    <w:rsid w:val="00A20136"/>
    <w:rsid w:val="00A2044D"/>
    <w:rsid w:val="00A204FC"/>
    <w:rsid w:val="00A20800"/>
    <w:rsid w:val="00A20D2A"/>
    <w:rsid w:val="00A20E71"/>
    <w:rsid w:val="00A213AE"/>
    <w:rsid w:val="00A216F9"/>
    <w:rsid w:val="00A21871"/>
    <w:rsid w:val="00A218AD"/>
    <w:rsid w:val="00A218B0"/>
    <w:rsid w:val="00A21D36"/>
    <w:rsid w:val="00A21E3C"/>
    <w:rsid w:val="00A22029"/>
    <w:rsid w:val="00A22163"/>
    <w:rsid w:val="00A221DB"/>
    <w:rsid w:val="00A22890"/>
    <w:rsid w:val="00A22A47"/>
    <w:rsid w:val="00A22A60"/>
    <w:rsid w:val="00A22C23"/>
    <w:rsid w:val="00A22CE6"/>
    <w:rsid w:val="00A2339A"/>
    <w:rsid w:val="00A2345B"/>
    <w:rsid w:val="00A23527"/>
    <w:rsid w:val="00A2381E"/>
    <w:rsid w:val="00A23848"/>
    <w:rsid w:val="00A23D63"/>
    <w:rsid w:val="00A23F45"/>
    <w:rsid w:val="00A24052"/>
    <w:rsid w:val="00A2480B"/>
    <w:rsid w:val="00A25529"/>
    <w:rsid w:val="00A25909"/>
    <w:rsid w:val="00A25D27"/>
    <w:rsid w:val="00A25D61"/>
    <w:rsid w:val="00A25D82"/>
    <w:rsid w:val="00A2644D"/>
    <w:rsid w:val="00A26781"/>
    <w:rsid w:val="00A2690F"/>
    <w:rsid w:val="00A26BD6"/>
    <w:rsid w:val="00A27082"/>
    <w:rsid w:val="00A27A38"/>
    <w:rsid w:val="00A27C2A"/>
    <w:rsid w:val="00A27E76"/>
    <w:rsid w:val="00A300F9"/>
    <w:rsid w:val="00A301AA"/>
    <w:rsid w:val="00A3022A"/>
    <w:rsid w:val="00A306EA"/>
    <w:rsid w:val="00A31918"/>
    <w:rsid w:val="00A31C8F"/>
    <w:rsid w:val="00A32077"/>
    <w:rsid w:val="00A3228B"/>
    <w:rsid w:val="00A323D9"/>
    <w:rsid w:val="00A3254B"/>
    <w:rsid w:val="00A325E6"/>
    <w:rsid w:val="00A32E74"/>
    <w:rsid w:val="00A32EED"/>
    <w:rsid w:val="00A332EB"/>
    <w:rsid w:val="00A33389"/>
    <w:rsid w:val="00A33620"/>
    <w:rsid w:val="00A346AF"/>
    <w:rsid w:val="00A3474D"/>
    <w:rsid w:val="00A34A77"/>
    <w:rsid w:val="00A34C50"/>
    <w:rsid w:val="00A34CFB"/>
    <w:rsid w:val="00A34FFE"/>
    <w:rsid w:val="00A35125"/>
    <w:rsid w:val="00A35312"/>
    <w:rsid w:val="00A3551F"/>
    <w:rsid w:val="00A35875"/>
    <w:rsid w:val="00A35ACF"/>
    <w:rsid w:val="00A35BF7"/>
    <w:rsid w:val="00A35FC8"/>
    <w:rsid w:val="00A36053"/>
    <w:rsid w:val="00A3626E"/>
    <w:rsid w:val="00A36863"/>
    <w:rsid w:val="00A36A2E"/>
    <w:rsid w:val="00A36E9C"/>
    <w:rsid w:val="00A36FAA"/>
    <w:rsid w:val="00A3747B"/>
    <w:rsid w:val="00A37CBB"/>
    <w:rsid w:val="00A37CD2"/>
    <w:rsid w:val="00A37FF9"/>
    <w:rsid w:val="00A40274"/>
    <w:rsid w:val="00A40B69"/>
    <w:rsid w:val="00A40EF6"/>
    <w:rsid w:val="00A40F66"/>
    <w:rsid w:val="00A40F8B"/>
    <w:rsid w:val="00A41089"/>
    <w:rsid w:val="00A41B5E"/>
    <w:rsid w:val="00A41D91"/>
    <w:rsid w:val="00A4204A"/>
    <w:rsid w:val="00A4208F"/>
    <w:rsid w:val="00A42091"/>
    <w:rsid w:val="00A420DB"/>
    <w:rsid w:val="00A428BC"/>
    <w:rsid w:val="00A42906"/>
    <w:rsid w:val="00A43117"/>
    <w:rsid w:val="00A44046"/>
    <w:rsid w:val="00A44192"/>
    <w:rsid w:val="00A44297"/>
    <w:rsid w:val="00A4452C"/>
    <w:rsid w:val="00A447B8"/>
    <w:rsid w:val="00A4496F"/>
    <w:rsid w:val="00A45619"/>
    <w:rsid w:val="00A456F1"/>
    <w:rsid w:val="00A4588D"/>
    <w:rsid w:val="00A45F5C"/>
    <w:rsid w:val="00A46183"/>
    <w:rsid w:val="00A461E5"/>
    <w:rsid w:val="00A465AC"/>
    <w:rsid w:val="00A46726"/>
    <w:rsid w:val="00A46ECB"/>
    <w:rsid w:val="00A4710B"/>
    <w:rsid w:val="00A47465"/>
    <w:rsid w:val="00A475A5"/>
    <w:rsid w:val="00A476A1"/>
    <w:rsid w:val="00A47A42"/>
    <w:rsid w:val="00A47E2C"/>
    <w:rsid w:val="00A47F0B"/>
    <w:rsid w:val="00A504B4"/>
    <w:rsid w:val="00A50653"/>
    <w:rsid w:val="00A507C4"/>
    <w:rsid w:val="00A5092D"/>
    <w:rsid w:val="00A50D49"/>
    <w:rsid w:val="00A50DE8"/>
    <w:rsid w:val="00A50EE2"/>
    <w:rsid w:val="00A5105F"/>
    <w:rsid w:val="00A5134C"/>
    <w:rsid w:val="00A516D5"/>
    <w:rsid w:val="00A51767"/>
    <w:rsid w:val="00A51867"/>
    <w:rsid w:val="00A51C8F"/>
    <w:rsid w:val="00A51D6E"/>
    <w:rsid w:val="00A51F2C"/>
    <w:rsid w:val="00A51F50"/>
    <w:rsid w:val="00A521EA"/>
    <w:rsid w:val="00A52BAA"/>
    <w:rsid w:val="00A52D0C"/>
    <w:rsid w:val="00A52D11"/>
    <w:rsid w:val="00A52E8C"/>
    <w:rsid w:val="00A52F2A"/>
    <w:rsid w:val="00A52F83"/>
    <w:rsid w:val="00A5311F"/>
    <w:rsid w:val="00A53419"/>
    <w:rsid w:val="00A5363B"/>
    <w:rsid w:val="00A5387A"/>
    <w:rsid w:val="00A54299"/>
    <w:rsid w:val="00A5434C"/>
    <w:rsid w:val="00A543FA"/>
    <w:rsid w:val="00A5447B"/>
    <w:rsid w:val="00A544CD"/>
    <w:rsid w:val="00A5479C"/>
    <w:rsid w:val="00A54B8E"/>
    <w:rsid w:val="00A54F36"/>
    <w:rsid w:val="00A55924"/>
    <w:rsid w:val="00A55E3C"/>
    <w:rsid w:val="00A56238"/>
    <w:rsid w:val="00A5629F"/>
    <w:rsid w:val="00A562D0"/>
    <w:rsid w:val="00A5635B"/>
    <w:rsid w:val="00A5662E"/>
    <w:rsid w:val="00A56D1C"/>
    <w:rsid w:val="00A56D9F"/>
    <w:rsid w:val="00A57457"/>
    <w:rsid w:val="00A578CD"/>
    <w:rsid w:val="00A57A88"/>
    <w:rsid w:val="00A60506"/>
    <w:rsid w:val="00A60BFB"/>
    <w:rsid w:val="00A60C02"/>
    <w:rsid w:val="00A61080"/>
    <w:rsid w:val="00A61082"/>
    <w:rsid w:val="00A615A9"/>
    <w:rsid w:val="00A623BD"/>
    <w:rsid w:val="00A62CA3"/>
    <w:rsid w:val="00A62D5D"/>
    <w:rsid w:val="00A62D73"/>
    <w:rsid w:val="00A63228"/>
    <w:rsid w:val="00A634C1"/>
    <w:rsid w:val="00A635EA"/>
    <w:rsid w:val="00A636DD"/>
    <w:rsid w:val="00A637A7"/>
    <w:rsid w:val="00A63AFE"/>
    <w:rsid w:val="00A63CB3"/>
    <w:rsid w:val="00A63D2C"/>
    <w:rsid w:val="00A6436D"/>
    <w:rsid w:val="00A64431"/>
    <w:rsid w:val="00A64DE3"/>
    <w:rsid w:val="00A64F6E"/>
    <w:rsid w:val="00A65214"/>
    <w:rsid w:val="00A65283"/>
    <w:rsid w:val="00A652E9"/>
    <w:rsid w:val="00A659A3"/>
    <w:rsid w:val="00A65A81"/>
    <w:rsid w:val="00A65BDE"/>
    <w:rsid w:val="00A65D7C"/>
    <w:rsid w:val="00A65F42"/>
    <w:rsid w:val="00A660E8"/>
    <w:rsid w:val="00A661AA"/>
    <w:rsid w:val="00A661C9"/>
    <w:rsid w:val="00A66428"/>
    <w:rsid w:val="00A668FB"/>
    <w:rsid w:val="00A66E75"/>
    <w:rsid w:val="00A67231"/>
    <w:rsid w:val="00A675E7"/>
    <w:rsid w:val="00A67D21"/>
    <w:rsid w:val="00A70284"/>
    <w:rsid w:val="00A70491"/>
    <w:rsid w:val="00A70754"/>
    <w:rsid w:val="00A708D6"/>
    <w:rsid w:val="00A70A28"/>
    <w:rsid w:val="00A70A6F"/>
    <w:rsid w:val="00A70F6C"/>
    <w:rsid w:val="00A71004"/>
    <w:rsid w:val="00A7154E"/>
    <w:rsid w:val="00A71B24"/>
    <w:rsid w:val="00A71B92"/>
    <w:rsid w:val="00A71D42"/>
    <w:rsid w:val="00A72165"/>
    <w:rsid w:val="00A72231"/>
    <w:rsid w:val="00A722A2"/>
    <w:rsid w:val="00A72573"/>
    <w:rsid w:val="00A7271F"/>
    <w:rsid w:val="00A72790"/>
    <w:rsid w:val="00A72AC2"/>
    <w:rsid w:val="00A72FAB"/>
    <w:rsid w:val="00A73456"/>
    <w:rsid w:val="00A73774"/>
    <w:rsid w:val="00A73F45"/>
    <w:rsid w:val="00A73F87"/>
    <w:rsid w:val="00A742FF"/>
    <w:rsid w:val="00A7473C"/>
    <w:rsid w:val="00A7484E"/>
    <w:rsid w:val="00A75010"/>
    <w:rsid w:val="00A750B6"/>
    <w:rsid w:val="00A75533"/>
    <w:rsid w:val="00A756C8"/>
    <w:rsid w:val="00A75A91"/>
    <w:rsid w:val="00A75D1E"/>
    <w:rsid w:val="00A75E27"/>
    <w:rsid w:val="00A75F65"/>
    <w:rsid w:val="00A76031"/>
    <w:rsid w:val="00A761EC"/>
    <w:rsid w:val="00A7629B"/>
    <w:rsid w:val="00A763A1"/>
    <w:rsid w:val="00A763A7"/>
    <w:rsid w:val="00A76AED"/>
    <w:rsid w:val="00A76C42"/>
    <w:rsid w:val="00A76EF4"/>
    <w:rsid w:val="00A775A1"/>
    <w:rsid w:val="00A77BDC"/>
    <w:rsid w:val="00A8042C"/>
    <w:rsid w:val="00A80858"/>
    <w:rsid w:val="00A8130E"/>
    <w:rsid w:val="00A81962"/>
    <w:rsid w:val="00A81C71"/>
    <w:rsid w:val="00A81CAC"/>
    <w:rsid w:val="00A8280F"/>
    <w:rsid w:val="00A82B20"/>
    <w:rsid w:val="00A82ED5"/>
    <w:rsid w:val="00A82F17"/>
    <w:rsid w:val="00A82FB1"/>
    <w:rsid w:val="00A832E9"/>
    <w:rsid w:val="00A83536"/>
    <w:rsid w:val="00A837BC"/>
    <w:rsid w:val="00A83A62"/>
    <w:rsid w:val="00A83E69"/>
    <w:rsid w:val="00A83F3E"/>
    <w:rsid w:val="00A8449F"/>
    <w:rsid w:val="00A844A3"/>
    <w:rsid w:val="00A845A3"/>
    <w:rsid w:val="00A846A9"/>
    <w:rsid w:val="00A84718"/>
    <w:rsid w:val="00A84797"/>
    <w:rsid w:val="00A84A95"/>
    <w:rsid w:val="00A84B4B"/>
    <w:rsid w:val="00A84D68"/>
    <w:rsid w:val="00A8514A"/>
    <w:rsid w:val="00A85289"/>
    <w:rsid w:val="00A862E7"/>
    <w:rsid w:val="00A86390"/>
    <w:rsid w:val="00A863DA"/>
    <w:rsid w:val="00A867E8"/>
    <w:rsid w:val="00A86871"/>
    <w:rsid w:val="00A86937"/>
    <w:rsid w:val="00A86CB8"/>
    <w:rsid w:val="00A86F42"/>
    <w:rsid w:val="00A8748B"/>
    <w:rsid w:val="00A874BA"/>
    <w:rsid w:val="00A87E54"/>
    <w:rsid w:val="00A87FD5"/>
    <w:rsid w:val="00A9044A"/>
    <w:rsid w:val="00A909BF"/>
    <w:rsid w:val="00A90B86"/>
    <w:rsid w:val="00A90BA2"/>
    <w:rsid w:val="00A90D37"/>
    <w:rsid w:val="00A90E16"/>
    <w:rsid w:val="00A90F16"/>
    <w:rsid w:val="00A91460"/>
    <w:rsid w:val="00A917D6"/>
    <w:rsid w:val="00A91BDC"/>
    <w:rsid w:val="00A91D14"/>
    <w:rsid w:val="00A9208F"/>
    <w:rsid w:val="00A92238"/>
    <w:rsid w:val="00A9261F"/>
    <w:rsid w:val="00A9263F"/>
    <w:rsid w:val="00A927AF"/>
    <w:rsid w:val="00A9335A"/>
    <w:rsid w:val="00A93EB8"/>
    <w:rsid w:val="00A94198"/>
    <w:rsid w:val="00A945B5"/>
    <w:rsid w:val="00A946CF"/>
    <w:rsid w:val="00A94B32"/>
    <w:rsid w:val="00A95091"/>
    <w:rsid w:val="00A950CE"/>
    <w:rsid w:val="00A95255"/>
    <w:rsid w:val="00A95A19"/>
    <w:rsid w:val="00A95A5D"/>
    <w:rsid w:val="00A95AEA"/>
    <w:rsid w:val="00A95F01"/>
    <w:rsid w:val="00A96280"/>
    <w:rsid w:val="00A965E2"/>
    <w:rsid w:val="00A966E3"/>
    <w:rsid w:val="00A96731"/>
    <w:rsid w:val="00A968A0"/>
    <w:rsid w:val="00A969B8"/>
    <w:rsid w:val="00A96D8C"/>
    <w:rsid w:val="00A970B7"/>
    <w:rsid w:val="00A97238"/>
    <w:rsid w:val="00A973AA"/>
    <w:rsid w:val="00A97404"/>
    <w:rsid w:val="00A97431"/>
    <w:rsid w:val="00A977EF"/>
    <w:rsid w:val="00A97CA0"/>
    <w:rsid w:val="00A97CAC"/>
    <w:rsid w:val="00A97EC2"/>
    <w:rsid w:val="00AA0230"/>
    <w:rsid w:val="00AA038D"/>
    <w:rsid w:val="00AA0464"/>
    <w:rsid w:val="00AA0BB5"/>
    <w:rsid w:val="00AA0CF7"/>
    <w:rsid w:val="00AA0F22"/>
    <w:rsid w:val="00AA1018"/>
    <w:rsid w:val="00AA116A"/>
    <w:rsid w:val="00AA11D6"/>
    <w:rsid w:val="00AA12B7"/>
    <w:rsid w:val="00AA1564"/>
    <w:rsid w:val="00AA1610"/>
    <w:rsid w:val="00AA1625"/>
    <w:rsid w:val="00AA1653"/>
    <w:rsid w:val="00AA1A2A"/>
    <w:rsid w:val="00AA1DBD"/>
    <w:rsid w:val="00AA22CB"/>
    <w:rsid w:val="00AA2534"/>
    <w:rsid w:val="00AA2547"/>
    <w:rsid w:val="00AA2710"/>
    <w:rsid w:val="00AA2824"/>
    <w:rsid w:val="00AA2A09"/>
    <w:rsid w:val="00AA2A82"/>
    <w:rsid w:val="00AA3114"/>
    <w:rsid w:val="00AA3228"/>
    <w:rsid w:val="00AA387D"/>
    <w:rsid w:val="00AA3AA7"/>
    <w:rsid w:val="00AA3E68"/>
    <w:rsid w:val="00AA4302"/>
    <w:rsid w:val="00AA43BF"/>
    <w:rsid w:val="00AA4458"/>
    <w:rsid w:val="00AA4489"/>
    <w:rsid w:val="00AA4872"/>
    <w:rsid w:val="00AA4882"/>
    <w:rsid w:val="00AA4942"/>
    <w:rsid w:val="00AA4E80"/>
    <w:rsid w:val="00AA4F6F"/>
    <w:rsid w:val="00AA5FBC"/>
    <w:rsid w:val="00AA6463"/>
    <w:rsid w:val="00AA6888"/>
    <w:rsid w:val="00AA6E6A"/>
    <w:rsid w:val="00AA6E81"/>
    <w:rsid w:val="00AA7272"/>
    <w:rsid w:val="00AA74E8"/>
    <w:rsid w:val="00AA7974"/>
    <w:rsid w:val="00AA7A52"/>
    <w:rsid w:val="00AA7F9F"/>
    <w:rsid w:val="00AB0077"/>
    <w:rsid w:val="00AB008D"/>
    <w:rsid w:val="00AB0129"/>
    <w:rsid w:val="00AB020C"/>
    <w:rsid w:val="00AB0256"/>
    <w:rsid w:val="00AB08FB"/>
    <w:rsid w:val="00AB0C13"/>
    <w:rsid w:val="00AB0D0B"/>
    <w:rsid w:val="00AB0D46"/>
    <w:rsid w:val="00AB0FD1"/>
    <w:rsid w:val="00AB0FEA"/>
    <w:rsid w:val="00AB10FF"/>
    <w:rsid w:val="00AB1866"/>
    <w:rsid w:val="00AB214B"/>
    <w:rsid w:val="00AB2196"/>
    <w:rsid w:val="00AB31C0"/>
    <w:rsid w:val="00AB3332"/>
    <w:rsid w:val="00AB364C"/>
    <w:rsid w:val="00AB373F"/>
    <w:rsid w:val="00AB37A7"/>
    <w:rsid w:val="00AB39D9"/>
    <w:rsid w:val="00AB39F9"/>
    <w:rsid w:val="00AB3E21"/>
    <w:rsid w:val="00AB3E32"/>
    <w:rsid w:val="00AB3F0F"/>
    <w:rsid w:val="00AB41C8"/>
    <w:rsid w:val="00AB488D"/>
    <w:rsid w:val="00AB4C03"/>
    <w:rsid w:val="00AB4FB9"/>
    <w:rsid w:val="00AB5226"/>
    <w:rsid w:val="00AB5289"/>
    <w:rsid w:val="00AB5291"/>
    <w:rsid w:val="00AB566E"/>
    <w:rsid w:val="00AB5801"/>
    <w:rsid w:val="00AB5AF7"/>
    <w:rsid w:val="00AB5CC6"/>
    <w:rsid w:val="00AB5ED2"/>
    <w:rsid w:val="00AB61B5"/>
    <w:rsid w:val="00AB62F5"/>
    <w:rsid w:val="00AB695D"/>
    <w:rsid w:val="00AB69A3"/>
    <w:rsid w:val="00AB6BC1"/>
    <w:rsid w:val="00AB7671"/>
    <w:rsid w:val="00AB7773"/>
    <w:rsid w:val="00AB7B54"/>
    <w:rsid w:val="00AB7BEE"/>
    <w:rsid w:val="00AC029A"/>
    <w:rsid w:val="00AC078C"/>
    <w:rsid w:val="00AC081B"/>
    <w:rsid w:val="00AC0CC3"/>
    <w:rsid w:val="00AC1C48"/>
    <w:rsid w:val="00AC1EC6"/>
    <w:rsid w:val="00AC22D1"/>
    <w:rsid w:val="00AC2393"/>
    <w:rsid w:val="00AC267F"/>
    <w:rsid w:val="00AC2953"/>
    <w:rsid w:val="00AC298C"/>
    <w:rsid w:val="00AC2F1D"/>
    <w:rsid w:val="00AC2F63"/>
    <w:rsid w:val="00AC30AD"/>
    <w:rsid w:val="00AC30E6"/>
    <w:rsid w:val="00AC31B6"/>
    <w:rsid w:val="00AC32CE"/>
    <w:rsid w:val="00AC3500"/>
    <w:rsid w:val="00AC3521"/>
    <w:rsid w:val="00AC3774"/>
    <w:rsid w:val="00AC3DE5"/>
    <w:rsid w:val="00AC3E0E"/>
    <w:rsid w:val="00AC443A"/>
    <w:rsid w:val="00AC4914"/>
    <w:rsid w:val="00AC491C"/>
    <w:rsid w:val="00AC4D46"/>
    <w:rsid w:val="00AC4E4D"/>
    <w:rsid w:val="00AC50B3"/>
    <w:rsid w:val="00AC588B"/>
    <w:rsid w:val="00AC5AA1"/>
    <w:rsid w:val="00AC5C16"/>
    <w:rsid w:val="00AC6381"/>
    <w:rsid w:val="00AC679B"/>
    <w:rsid w:val="00AC71BC"/>
    <w:rsid w:val="00AC7360"/>
    <w:rsid w:val="00AC7676"/>
    <w:rsid w:val="00AC7B0B"/>
    <w:rsid w:val="00AC7B16"/>
    <w:rsid w:val="00AC7C9B"/>
    <w:rsid w:val="00AC7D29"/>
    <w:rsid w:val="00AC7F45"/>
    <w:rsid w:val="00AD0120"/>
    <w:rsid w:val="00AD01A0"/>
    <w:rsid w:val="00AD0FBF"/>
    <w:rsid w:val="00AD1026"/>
    <w:rsid w:val="00AD113D"/>
    <w:rsid w:val="00AD16FB"/>
    <w:rsid w:val="00AD170D"/>
    <w:rsid w:val="00AD1A0B"/>
    <w:rsid w:val="00AD1A8A"/>
    <w:rsid w:val="00AD239A"/>
    <w:rsid w:val="00AD2AD5"/>
    <w:rsid w:val="00AD2F56"/>
    <w:rsid w:val="00AD3449"/>
    <w:rsid w:val="00AD35E6"/>
    <w:rsid w:val="00AD37D3"/>
    <w:rsid w:val="00AD3855"/>
    <w:rsid w:val="00AD3B7F"/>
    <w:rsid w:val="00AD475E"/>
    <w:rsid w:val="00AD4A4C"/>
    <w:rsid w:val="00AD4B61"/>
    <w:rsid w:val="00AD4D85"/>
    <w:rsid w:val="00AD4E2E"/>
    <w:rsid w:val="00AD5849"/>
    <w:rsid w:val="00AD58AD"/>
    <w:rsid w:val="00AD5C99"/>
    <w:rsid w:val="00AD5ED2"/>
    <w:rsid w:val="00AD616A"/>
    <w:rsid w:val="00AD66A9"/>
    <w:rsid w:val="00AD69B4"/>
    <w:rsid w:val="00AD6A5D"/>
    <w:rsid w:val="00AD6D2D"/>
    <w:rsid w:val="00AD6FB2"/>
    <w:rsid w:val="00AD71DF"/>
    <w:rsid w:val="00AD73B0"/>
    <w:rsid w:val="00AD763C"/>
    <w:rsid w:val="00AD76C6"/>
    <w:rsid w:val="00AD7CBC"/>
    <w:rsid w:val="00AE0242"/>
    <w:rsid w:val="00AE0A3D"/>
    <w:rsid w:val="00AE0C73"/>
    <w:rsid w:val="00AE1092"/>
    <w:rsid w:val="00AE13BA"/>
    <w:rsid w:val="00AE15D6"/>
    <w:rsid w:val="00AE1BED"/>
    <w:rsid w:val="00AE1BFA"/>
    <w:rsid w:val="00AE1C97"/>
    <w:rsid w:val="00AE1D02"/>
    <w:rsid w:val="00AE21A3"/>
    <w:rsid w:val="00AE2245"/>
    <w:rsid w:val="00AE24A2"/>
    <w:rsid w:val="00AE2D48"/>
    <w:rsid w:val="00AE30AA"/>
    <w:rsid w:val="00AE31E1"/>
    <w:rsid w:val="00AE3B12"/>
    <w:rsid w:val="00AE451A"/>
    <w:rsid w:val="00AE453C"/>
    <w:rsid w:val="00AE4BF2"/>
    <w:rsid w:val="00AE4D5B"/>
    <w:rsid w:val="00AE4DEB"/>
    <w:rsid w:val="00AE52E5"/>
    <w:rsid w:val="00AE5377"/>
    <w:rsid w:val="00AE5383"/>
    <w:rsid w:val="00AE56B7"/>
    <w:rsid w:val="00AE5784"/>
    <w:rsid w:val="00AE59B2"/>
    <w:rsid w:val="00AE5F64"/>
    <w:rsid w:val="00AE66AD"/>
    <w:rsid w:val="00AE67A2"/>
    <w:rsid w:val="00AE6994"/>
    <w:rsid w:val="00AE6F8E"/>
    <w:rsid w:val="00AE708D"/>
    <w:rsid w:val="00AE7098"/>
    <w:rsid w:val="00AE71D9"/>
    <w:rsid w:val="00AE7340"/>
    <w:rsid w:val="00AE73B1"/>
    <w:rsid w:val="00AE760C"/>
    <w:rsid w:val="00AE774D"/>
    <w:rsid w:val="00AE785D"/>
    <w:rsid w:val="00AE7959"/>
    <w:rsid w:val="00AE7A00"/>
    <w:rsid w:val="00AE7F18"/>
    <w:rsid w:val="00AF0293"/>
    <w:rsid w:val="00AF0658"/>
    <w:rsid w:val="00AF06DE"/>
    <w:rsid w:val="00AF090D"/>
    <w:rsid w:val="00AF0CEF"/>
    <w:rsid w:val="00AF10B8"/>
    <w:rsid w:val="00AF10DD"/>
    <w:rsid w:val="00AF188E"/>
    <w:rsid w:val="00AF1953"/>
    <w:rsid w:val="00AF1D0E"/>
    <w:rsid w:val="00AF20CC"/>
    <w:rsid w:val="00AF2293"/>
    <w:rsid w:val="00AF23BE"/>
    <w:rsid w:val="00AF2761"/>
    <w:rsid w:val="00AF2849"/>
    <w:rsid w:val="00AF2A09"/>
    <w:rsid w:val="00AF2AE0"/>
    <w:rsid w:val="00AF2DF6"/>
    <w:rsid w:val="00AF2ED5"/>
    <w:rsid w:val="00AF33F2"/>
    <w:rsid w:val="00AF34FF"/>
    <w:rsid w:val="00AF3879"/>
    <w:rsid w:val="00AF42DC"/>
    <w:rsid w:val="00AF44D7"/>
    <w:rsid w:val="00AF470E"/>
    <w:rsid w:val="00AF47EF"/>
    <w:rsid w:val="00AF4A95"/>
    <w:rsid w:val="00AF4D9B"/>
    <w:rsid w:val="00AF4F3F"/>
    <w:rsid w:val="00AF4FAB"/>
    <w:rsid w:val="00AF5350"/>
    <w:rsid w:val="00AF55A3"/>
    <w:rsid w:val="00AF56BB"/>
    <w:rsid w:val="00AF60DA"/>
    <w:rsid w:val="00AF6194"/>
    <w:rsid w:val="00AF627C"/>
    <w:rsid w:val="00AF63A4"/>
    <w:rsid w:val="00AF653E"/>
    <w:rsid w:val="00AF6555"/>
    <w:rsid w:val="00AF7634"/>
    <w:rsid w:val="00AF79D6"/>
    <w:rsid w:val="00AF7A0A"/>
    <w:rsid w:val="00AF7A33"/>
    <w:rsid w:val="00B004ED"/>
    <w:rsid w:val="00B0067E"/>
    <w:rsid w:val="00B008B8"/>
    <w:rsid w:val="00B00971"/>
    <w:rsid w:val="00B010EA"/>
    <w:rsid w:val="00B01674"/>
    <w:rsid w:val="00B01745"/>
    <w:rsid w:val="00B01926"/>
    <w:rsid w:val="00B02309"/>
    <w:rsid w:val="00B027AC"/>
    <w:rsid w:val="00B02C53"/>
    <w:rsid w:val="00B02CEA"/>
    <w:rsid w:val="00B02E65"/>
    <w:rsid w:val="00B0328E"/>
    <w:rsid w:val="00B03491"/>
    <w:rsid w:val="00B034AF"/>
    <w:rsid w:val="00B03894"/>
    <w:rsid w:val="00B038FF"/>
    <w:rsid w:val="00B039C2"/>
    <w:rsid w:val="00B03B21"/>
    <w:rsid w:val="00B03C2A"/>
    <w:rsid w:val="00B03E3F"/>
    <w:rsid w:val="00B046E0"/>
    <w:rsid w:val="00B04923"/>
    <w:rsid w:val="00B04A33"/>
    <w:rsid w:val="00B04CB7"/>
    <w:rsid w:val="00B050DB"/>
    <w:rsid w:val="00B053A5"/>
    <w:rsid w:val="00B05CC4"/>
    <w:rsid w:val="00B05EDC"/>
    <w:rsid w:val="00B0608E"/>
    <w:rsid w:val="00B06255"/>
    <w:rsid w:val="00B0649F"/>
    <w:rsid w:val="00B064CF"/>
    <w:rsid w:val="00B065B2"/>
    <w:rsid w:val="00B066E7"/>
    <w:rsid w:val="00B067E8"/>
    <w:rsid w:val="00B06A4D"/>
    <w:rsid w:val="00B06AE3"/>
    <w:rsid w:val="00B06C84"/>
    <w:rsid w:val="00B06FAA"/>
    <w:rsid w:val="00B0704F"/>
    <w:rsid w:val="00B07138"/>
    <w:rsid w:val="00B07709"/>
    <w:rsid w:val="00B07AAB"/>
    <w:rsid w:val="00B07B3B"/>
    <w:rsid w:val="00B07BBC"/>
    <w:rsid w:val="00B07C2D"/>
    <w:rsid w:val="00B07C5A"/>
    <w:rsid w:val="00B07F8B"/>
    <w:rsid w:val="00B100B1"/>
    <w:rsid w:val="00B10331"/>
    <w:rsid w:val="00B1034C"/>
    <w:rsid w:val="00B10628"/>
    <w:rsid w:val="00B10933"/>
    <w:rsid w:val="00B10DB5"/>
    <w:rsid w:val="00B1110A"/>
    <w:rsid w:val="00B11935"/>
    <w:rsid w:val="00B11BC3"/>
    <w:rsid w:val="00B11D5B"/>
    <w:rsid w:val="00B11E94"/>
    <w:rsid w:val="00B12218"/>
    <w:rsid w:val="00B124CA"/>
    <w:rsid w:val="00B12719"/>
    <w:rsid w:val="00B12F68"/>
    <w:rsid w:val="00B12FB7"/>
    <w:rsid w:val="00B131A4"/>
    <w:rsid w:val="00B13357"/>
    <w:rsid w:val="00B13524"/>
    <w:rsid w:val="00B13580"/>
    <w:rsid w:val="00B13850"/>
    <w:rsid w:val="00B141C0"/>
    <w:rsid w:val="00B14217"/>
    <w:rsid w:val="00B14480"/>
    <w:rsid w:val="00B14C68"/>
    <w:rsid w:val="00B14D4D"/>
    <w:rsid w:val="00B15350"/>
    <w:rsid w:val="00B15A5A"/>
    <w:rsid w:val="00B15C5F"/>
    <w:rsid w:val="00B15ECE"/>
    <w:rsid w:val="00B15F2D"/>
    <w:rsid w:val="00B162CC"/>
    <w:rsid w:val="00B1630A"/>
    <w:rsid w:val="00B1665D"/>
    <w:rsid w:val="00B16836"/>
    <w:rsid w:val="00B16A59"/>
    <w:rsid w:val="00B16C29"/>
    <w:rsid w:val="00B16C83"/>
    <w:rsid w:val="00B16F41"/>
    <w:rsid w:val="00B17153"/>
    <w:rsid w:val="00B17428"/>
    <w:rsid w:val="00B17654"/>
    <w:rsid w:val="00B176FD"/>
    <w:rsid w:val="00B17D38"/>
    <w:rsid w:val="00B20164"/>
    <w:rsid w:val="00B204B1"/>
    <w:rsid w:val="00B20C7D"/>
    <w:rsid w:val="00B20C83"/>
    <w:rsid w:val="00B2106F"/>
    <w:rsid w:val="00B21161"/>
    <w:rsid w:val="00B21551"/>
    <w:rsid w:val="00B21C3F"/>
    <w:rsid w:val="00B21EF9"/>
    <w:rsid w:val="00B21F08"/>
    <w:rsid w:val="00B22006"/>
    <w:rsid w:val="00B22279"/>
    <w:rsid w:val="00B223DB"/>
    <w:rsid w:val="00B2287B"/>
    <w:rsid w:val="00B22BB5"/>
    <w:rsid w:val="00B22C88"/>
    <w:rsid w:val="00B232C7"/>
    <w:rsid w:val="00B23536"/>
    <w:rsid w:val="00B23CBD"/>
    <w:rsid w:val="00B23E1F"/>
    <w:rsid w:val="00B23F2A"/>
    <w:rsid w:val="00B23FAF"/>
    <w:rsid w:val="00B24099"/>
    <w:rsid w:val="00B241D2"/>
    <w:rsid w:val="00B24203"/>
    <w:rsid w:val="00B2421C"/>
    <w:rsid w:val="00B245AC"/>
    <w:rsid w:val="00B246B5"/>
    <w:rsid w:val="00B24793"/>
    <w:rsid w:val="00B24C6D"/>
    <w:rsid w:val="00B24E8B"/>
    <w:rsid w:val="00B24E99"/>
    <w:rsid w:val="00B252DF"/>
    <w:rsid w:val="00B2545A"/>
    <w:rsid w:val="00B25466"/>
    <w:rsid w:val="00B25983"/>
    <w:rsid w:val="00B26177"/>
    <w:rsid w:val="00B2624B"/>
    <w:rsid w:val="00B26612"/>
    <w:rsid w:val="00B26651"/>
    <w:rsid w:val="00B26765"/>
    <w:rsid w:val="00B2692E"/>
    <w:rsid w:val="00B26BD1"/>
    <w:rsid w:val="00B26D43"/>
    <w:rsid w:val="00B26E1C"/>
    <w:rsid w:val="00B26EB0"/>
    <w:rsid w:val="00B27070"/>
    <w:rsid w:val="00B27E6A"/>
    <w:rsid w:val="00B30029"/>
    <w:rsid w:val="00B300B7"/>
    <w:rsid w:val="00B300F6"/>
    <w:rsid w:val="00B3041E"/>
    <w:rsid w:val="00B30591"/>
    <w:rsid w:val="00B309DB"/>
    <w:rsid w:val="00B30C5A"/>
    <w:rsid w:val="00B30E78"/>
    <w:rsid w:val="00B31000"/>
    <w:rsid w:val="00B310E6"/>
    <w:rsid w:val="00B3125C"/>
    <w:rsid w:val="00B314EE"/>
    <w:rsid w:val="00B31813"/>
    <w:rsid w:val="00B31CF0"/>
    <w:rsid w:val="00B31D97"/>
    <w:rsid w:val="00B3202A"/>
    <w:rsid w:val="00B320A7"/>
    <w:rsid w:val="00B3225C"/>
    <w:rsid w:val="00B3238D"/>
    <w:rsid w:val="00B3294B"/>
    <w:rsid w:val="00B32978"/>
    <w:rsid w:val="00B32CCC"/>
    <w:rsid w:val="00B32D31"/>
    <w:rsid w:val="00B3314F"/>
    <w:rsid w:val="00B3355C"/>
    <w:rsid w:val="00B3377F"/>
    <w:rsid w:val="00B33EB6"/>
    <w:rsid w:val="00B33F68"/>
    <w:rsid w:val="00B34522"/>
    <w:rsid w:val="00B346AE"/>
    <w:rsid w:val="00B34759"/>
    <w:rsid w:val="00B34C24"/>
    <w:rsid w:val="00B34C2F"/>
    <w:rsid w:val="00B34ED5"/>
    <w:rsid w:val="00B34EF7"/>
    <w:rsid w:val="00B34F65"/>
    <w:rsid w:val="00B35484"/>
    <w:rsid w:val="00B354FD"/>
    <w:rsid w:val="00B359CC"/>
    <w:rsid w:val="00B35D39"/>
    <w:rsid w:val="00B35D73"/>
    <w:rsid w:val="00B362C1"/>
    <w:rsid w:val="00B36324"/>
    <w:rsid w:val="00B363F7"/>
    <w:rsid w:val="00B36998"/>
    <w:rsid w:val="00B36B5E"/>
    <w:rsid w:val="00B36D1D"/>
    <w:rsid w:val="00B36F1F"/>
    <w:rsid w:val="00B37A06"/>
    <w:rsid w:val="00B37B51"/>
    <w:rsid w:val="00B37DAD"/>
    <w:rsid w:val="00B37E02"/>
    <w:rsid w:val="00B37FA2"/>
    <w:rsid w:val="00B402DD"/>
    <w:rsid w:val="00B40445"/>
    <w:rsid w:val="00B40A50"/>
    <w:rsid w:val="00B40B9E"/>
    <w:rsid w:val="00B40BFA"/>
    <w:rsid w:val="00B40D3D"/>
    <w:rsid w:val="00B40E0F"/>
    <w:rsid w:val="00B40FDB"/>
    <w:rsid w:val="00B4195C"/>
    <w:rsid w:val="00B41DD8"/>
    <w:rsid w:val="00B41F3B"/>
    <w:rsid w:val="00B425D1"/>
    <w:rsid w:val="00B4281E"/>
    <w:rsid w:val="00B42854"/>
    <w:rsid w:val="00B428A0"/>
    <w:rsid w:val="00B42963"/>
    <w:rsid w:val="00B4314D"/>
    <w:rsid w:val="00B43282"/>
    <w:rsid w:val="00B43429"/>
    <w:rsid w:val="00B4369A"/>
    <w:rsid w:val="00B4371E"/>
    <w:rsid w:val="00B43AB3"/>
    <w:rsid w:val="00B43AB7"/>
    <w:rsid w:val="00B43DEF"/>
    <w:rsid w:val="00B44475"/>
    <w:rsid w:val="00B44824"/>
    <w:rsid w:val="00B44AEF"/>
    <w:rsid w:val="00B44E5F"/>
    <w:rsid w:val="00B44FC6"/>
    <w:rsid w:val="00B455F7"/>
    <w:rsid w:val="00B459F5"/>
    <w:rsid w:val="00B45CDE"/>
    <w:rsid w:val="00B462B4"/>
    <w:rsid w:val="00B4630C"/>
    <w:rsid w:val="00B4635D"/>
    <w:rsid w:val="00B4671F"/>
    <w:rsid w:val="00B468C9"/>
    <w:rsid w:val="00B46C22"/>
    <w:rsid w:val="00B46C7C"/>
    <w:rsid w:val="00B46F0D"/>
    <w:rsid w:val="00B472A6"/>
    <w:rsid w:val="00B47477"/>
    <w:rsid w:val="00B477F5"/>
    <w:rsid w:val="00B47B23"/>
    <w:rsid w:val="00B47D8D"/>
    <w:rsid w:val="00B47F96"/>
    <w:rsid w:val="00B5007B"/>
    <w:rsid w:val="00B50321"/>
    <w:rsid w:val="00B50887"/>
    <w:rsid w:val="00B50BDA"/>
    <w:rsid w:val="00B50C11"/>
    <w:rsid w:val="00B51B32"/>
    <w:rsid w:val="00B51C1B"/>
    <w:rsid w:val="00B523B8"/>
    <w:rsid w:val="00B52738"/>
    <w:rsid w:val="00B52926"/>
    <w:rsid w:val="00B52B61"/>
    <w:rsid w:val="00B52D26"/>
    <w:rsid w:val="00B52ECB"/>
    <w:rsid w:val="00B52F6D"/>
    <w:rsid w:val="00B533CB"/>
    <w:rsid w:val="00B53648"/>
    <w:rsid w:val="00B53E12"/>
    <w:rsid w:val="00B540B9"/>
    <w:rsid w:val="00B54623"/>
    <w:rsid w:val="00B54684"/>
    <w:rsid w:val="00B55899"/>
    <w:rsid w:val="00B55F89"/>
    <w:rsid w:val="00B5673C"/>
    <w:rsid w:val="00B567B3"/>
    <w:rsid w:val="00B56CBE"/>
    <w:rsid w:val="00B56DCE"/>
    <w:rsid w:val="00B5726D"/>
    <w:rsid w:val="00B572A5"/>
    <w:rsid w:val="00B572A9"/>
    <w:rsid w:val="00B572D2"/>
    <w:rsid w:val="00B5743F"/>
    <w:rsid w:val="00B57511"/>
    <w:rsid w:val="00B57590"/>
    <w:rsid w:val="00B577BD"/>
    <w:rsid w:val="00B579DC"/>
    <w:rsid w:val="00B6029D"/>
    <w:rsid w:val="00B603B7"/>
    <w:rsid w:val="00B60418"/>
    <w:rsid w:val="00B609A6"/>
    <w:rsid w:val="00B60D63"/>
    <w:rsid w:val="00B60F5C"/>
    <w:rsid w:val="00B61552"/>
    <w:rsid w:val="00B6173B"/>
    <w:rsid w:val="00B61924"/>
    <w:rsid w:val="00B61DA9"/>
    <w:rsid w:val="00B61E98"/>
    <w:rsid w:val="00B62543"/>
    <w:rsid w:val="00B626E7"/>
    <w:rsid w:val="00B62C9D"/>
    <w:rsid w:val="00B62DB4"/>
    <w:rsid w:val="00B63E27"/>
    <w:rsid w:val="00B63F9E"/>
    <w:rsid w:val="00B64016"/>
    <w:rsid w:val="00B641D6"/>
    <w:rsid w:val="00B64359"/>
    <w:rsid w:val="00B65326"/>
    <w:rsid w:val="00B65B94"/>
    <w:rsid w:val="00B66367"/>
    <w:rsid w:val="00B663D2"/>
    <w:rsid w:val="00B6648B"/>
    <w:rsid w:val="00B66514"/>
    <w:rsid w:val="00B6686E"/>
    <w:rsid w:val="00B6746F"/>
    <w:rsid w:val="00B67B40"/>
    <w:rsid w:val="00B7005A"/>
    <w:rsid w:val="00B7017C"/>
    <w:rsid w:val="00B706E7"/>
    <w:rsid w:val="00B70DAB"/>
    <w:rsid w:val="00B7120D"/>
    <w:rsid w:val="00B716A1"/>
    <w:rsid w:val="00B71791"/>
    <w:rsid w:val="00B718D7"/>
    <w:rsid w:val="00B71A9D"/>
    <w:rsid w:val="00B71AF9"/>
    <w:rsid w:val="00B71B44"/>
    <w:rsid w:val="00B71CE9"/>
    <w:rsid w:val="00B7269B"/>
    <w:rsid w:val="00B726D6"/>
    <w:rsid w:val="00B728A5"/>
    <w:rsid w:val="00B72EB3"/>
    <w:rsid w:val="00B7330B"/>
    <w:rsid w:val="00B73949"/>
    <w:rsid w:val="00B73E79"/>
    <w:rsid w:val="00B7455F"/>
    <w:rsid w:val="00B747BD"/>
    <w:rsid w:val="00B74A99"/>
    <w:rsid w:val="00B74CFC"/>
    <w:rsid w:val="00B75213"/>
    <w:rsid w:val="00B7535F"/>
    <w:rsid w:val="00B75F90"/>
    <w:rsid w:val="00B766DD"/>
    <w:rsid w:val="00B7710D"/>
    <w:rsid w:val="00B7718E"/>
    <w:rsid w:val="00B772C5"/>
    <w:rsid w:val="00B773B7"/>
    <w:rsid w:val="00B77579"/>
    <w:rsid w:val="00B776B7"/>
    <w:rsid w:val="00B777AF"/>
    <w:rsid w:val="00B77879"/>
    <w:rsid w:val="00B77DBC"/>
    <w:rsid w:val="00B77F76"/>
    <w:rsid w:val="00B801C6"/>
    <w:rsid w:val="00B801FE"/>
    <w:rsid w:val="00B802C7"/>
    <w:rsid w:val="00B805EC"/>
    <w:rsid w:val="00B8061D"/>
    <w:rsid w:val="00B8082C"/>
    <w:rsid w:val="00B80B27"/>
    <w:rsid w:val="00B8104D"/>
    <w:rsid w:val="00B81129"/>
    <w:rsid w:val="00B818E6"/>
    <w:rsid w:val="00B81958"/>
    <w:rsid w:val="00B81DC9"/>
    <w:rsid w:val="00B81FDA"/>
    <w:rsid w:val="00B8234C"/>
    <w:rsid w:val="00B823C1"/>
    <w:rsid w:val="00B823C7"/>
    <w:rsid w:val="00B8351D"/>
    <w:rsid w:val="00B8373C"/>
    <w:rsid w:val="00B83BB0"/>
    <w:rsid w:val="00B83BF3"/>
    <w:rsid w:val="00B83D19"/>
    <w:rsid w:val="00B84318"/>
    <w:rsid w:val="00B84579"/>
    <w:rsid w:val="00B8471B"/>
    <w:rsid w:val="00B848C4"/>
    <w:rsid w:val="00B849C3"/>
    <w:rsid w:val="00B84CEB"/>
    <w:rsid w:val="00B84F74"/>
    <w:rsid w:val="00B8505D"/>
    <w:rsid w:val="00B85308"/>
    <w:rsid w:val="00B854B6"/>
    <w:rsid w:val="00B854E6"/>
    <w:rsid w:val="00B856A8"/>
    <w:rsid w:val="00B85B5E"/>
    <w:rsid w:val="00B85DED"/>
    <w:rsid w:val="00B864CA"/>
    <w:rsid w:val="00B8697C"/>
    <w:rsid w:val="00B869AE"/>
    <w:rsid w:val="00B86B6E"/>
    <w:rsid w:val="00B86CB9"/>
    <w:rsid w:val="00B86EAC"/>
    <w:rsid w:val="00B878E0"/>
    <w:rsid w:val="00B87C59"/>
    <w:rsid w:val="00B87EA4"/>
    <w:rsid w:val="00B903CD"/>
    <w:rsid w:val="00B906B2"/>
    <w:rsid w:val="00B907FC"/>
    <w:rsid w:val="00B90945"/>
    <w:rsid w:val="00B9098B"/>
    <w:rsid w:val="00B90CCD"/>
    <w:rsid w:val="00B91514"/>
    <w:rsid w:val="00B915D8"/>
    <w:rsid w:val="00B91DE8"/>
    <w:rsid w:val="00B92975"/>
    <w:rsid w:val="00B92BB5"/>
    <w:rsid w:val="00B92CF3"/>
    <w:rsid w:val="00B92D52"/>
    <w:rsid w:val="00B935EC"/>
    <w:rsid w:val="00B937E9"/>
    <w:rsid w:val="00B93A81"/>
    <w:rsid w:val="00B93ABE"/>
    <w:rsid w:val="00B93CAB"/>
    <w:rsid w:val="00B93F23"/>
    <w:rsid w:val="00B93F98"/>
    <w:rsid w:val="00B946F0"/>
    <w:rsid w:val="00B9470A"/>
    <w:rsid w:val="00B94898"/>
    <w:rsid w:val="00B9491F"/>
    <w:rsid w:val="00B94C24"/>
    <w:rsid w:val="00B94ED4"/>
    <w:rsid w:val="00B94F3B"/>
    <w:rsid w:val="00B95433"/>
    <w:rsid w:val="00B95612"/>
    <w:rsid w:val="00B957FC"/>
    <w:rsid w:val="00B964C7"/>
    <w:rsid w:val="00B966AD"/>
    <w:rsid w:val="00B96B1B"/>
    <w:rsid w:val="00B972F5"/>
    <w:rsid w:val="00B97542"/>
    <w:rsid w:val="00B9758D"/>
    <w:rsid w:val="00B97D7C"/>
    <w:rsid w:val="00B97E9F"/>
    <w:rsid w:val="00BA0596"/>
    <w:rsid w:val="00BA071C"/>
    <w:rsid w:val="00BA072D"/>
    <w:rsid w:val="00BA074B"/>
    <w:rsid w:val="00BA0821"/>
    <w:rsid w:val="00BA0A6D"/>
    <w:rsid w:val="00BA0DF0"/>
    <w:rsid w:val="00BA0DFE"/>
    <w:rsid w:val="00BA0E74"/>
    <w:rsid w:val="00BA115F"/>
    <w:rsid w:val="00BA143A"/>
    <w:rsid w:val="00BA236B"/>
    <w:rsid w:val="00BA2733"/>
    <w:rsid w:val="00BA2ED9"/>
    <w:rsid w:val="00BA33C9"/>
    <w:rsid w:val="00BA34C2"/>
    <w:rsid w:val="00BA3B8F"/>
    <w:rsid w:val="00BA3C95"/>
    <w:rsid w:val="00BA44ED"/>
    <w:rsid w:val="00BA4563"/>
    <w:rsid w:val="00BA4D20"/>
    <w:rsid w:val="00BA4DA3"/>
    <w:rsid w:val="00BA4F02"/>
    <w:rsid w:val="00BA5138"/>
    <w:rsid w:val="00BA5153"/>
    <w:rsid w:val="00BA548C"/>
    <w:rsid w:val="00BA5541"/>
    <w:rsid w:val="00BA56D3"/>
    <w:rsid w:val="00BA5D19"/>
    <w:rsid w:val="00BA61C3"/>
    <w:rsid w:val="00BA62DB"/>
    <w:rsid w:val="00BA6713"/>
    <w:rsid w:val="00BA6C10"/>
    <w:rsid w:val="00BA6C8C"/>
    <w:rsid w:val="00BA6F50"/>
    <w:rsid w:val="00BB059C"/>
    <w:rsid w:val="00BB0C2A"/>
    <w:rsid w:val="00BB11BC"/>
    <w:rsid w:val="00BB1A18"/>
    <w:rsid w:val="00BB1A24"/>
    <w:rsid w:val="00BB1A30"/>
    <w:rsid w:val="00BB1B4B"/>
    <w:rsid w:val="00BB1D3D"/>
    <w:rsid w:val="00BB241B"/>
    <w:rsid w:val="00BB2490"/>
    <w:rsid w:val="00BB252D"/>
    <w:rsid w:val="00BB269C"/>
    <w:rsid w:val="00BB26D5"/>
    <w:rsid w:val="00BB2DD3"/>
    <w:rsid w:val="00BB2DF3"/>
    <w:rsid w:val="00BB34A3"/>
    <w:rsid w:val="00BB34AD"/>
    <w:rsid w:val="00BB34AF"/>
    <w:rsid w:val="00BB35C8"/>
    <w:rsid w:val="00BB3A74"/>
    <w:rsid w:val="00BB3BCF"/>
    <w:rsid w:val="00BB3DD5"/>
    <w:rsid w:val="00BB47DD"/>
    <w:rsid w:val="00BB543D"/>
    <w:rsid w:val="00BB562B"/>
    <w:rsid w:val="00BB5A8A"/>
    <w:rsid w:val="00BB5BCD"/>
    <w:rsid w:val="00BB5DEE"/>
    <w:rsid w:val="00BB5E2B"/>
    <w:rsid w:val="00BB603A"/>
    <w:rsid w:val="00BB6B74"/>
    <w:rsid w:val="00BB6EB6"/>
    <w:rsid w:val="00BB7C26"/>
    <w:rsid w:val="00BC034E"/>
    <w:rsid w:val="00BC09E0"/>
    <w:rsid w:val="00BC0B97"/>
    <w:rsid w:val="00BC124C"/>
    <w:rsid w:val="00BC151F"/>
    <w:rsid w:val="00BC15C5"/>
    <w:rsid w:val="00BC193E"/>
    <w:rsid w:val="00BC1DA9"/>
    <w:rsid w:val="00BC1DF9"/>
    <w:rsid w:val="00BC2721"/>
    <w:rsid w:val="00BC2782"/>
    <w:rsid w:val="00BC27A4"/>
    <w:rsid w:val="00BC28DC"/>
    <w:rsid w:val="00BC299A"/>
    <w:rsid w:val="00BC2B19"/>
    <w:rsid w:val="00BC2E8F"/>
    <w:rsid w:val="00BC2F36"/>
    <w:rsid w:val="00BC3041"/>
    <w:rsid w:val="00BC349B"/>
    <w:rsid w:val="00BC3545"/>
    <w:rsid w:val="00BC3733"/>
    <w:rsid w:val="00BC3F3C"/>
    <w:rsid w:val="00BC4093"/>
    <w:rsid w:val="00BC42A9"/>
    <w:rsid w:val="00BC4877"/>
    <w:rsid w:val="00BC4B10"/>
    <w:rsid w:val="00BC4E55"/>
    <w:rsid w:val="00BC5347"/>
    <w:rsid w:val="00BC5354"/>
    <w:rsid w:val="00BC5361"/>
    <w:rsid w:val="00BC545C"/>
    <w:rsid w:val="00BC55C3"/>
    <w:rsid w:val="00BC59FD"/>
    <w:rsid w:val="00BC6A55"/>
    <w:rsid w:val="00BC6D6A"/>
    <w:rsid w:val="00BC7074"/>
    <w:rsid w:val="00BC787B"/>
    <w:rsid w:val="00BC78DA"/>
    <w:rsid w:val="00BC7E25"/>
    <w:rsid w:val="00BD0287"/>
    <w:rsid w:val="00BD046C"/>
    <w:rsid w:val="00BD04BA"/>
    <w:rsid w:val="00BD0B54"/>
    <w:rsid w:val="00BD0C29"/>
    <w:rsid w:val="00BD0C79"/>
    <w:rsid w:val="00BD12D4"/>
    <w:rsid w:val="00BD13D4"/>
    <w:rsid w:val="00BD145F"/>
    <w:rsid w:val="00BD16ED"/>
    <w:rsid w:val="00BD18D4"/>
    <w:rsid w:val="00BD1B63"/>
    <w:rsid w:val="00BD1D41"/>
    <w:rsid w:val="00BD21D5"/>
    <w:rsid w:val="00BD26A7"/>
    <w:rsid w:val="00BD26E8"/>
    <w:rsid w:val="00BD2709"/>
    <w:rsid w:val="00BD2BFE"/>
    <w:rsid w:val="00BD2F9C"/>
    <w:rsid w:val="00BD335E"/>
    <w:rsid w:val="00BD363C"/>
    <w:rsid w:val="00BD39DB"/>
    <w:rsid w:val="00BD3CED"/>
    <w:rsid w:val="00BD3DAC"/>
    <w:rsid w:val="00BD4476"/>
    <w:rsid w:val="00BD496A"/>
    <w:rsid w:val="00BD4A84"/>
    <w:rsid w:val="00BD514A"/>
    <w:rsid w:val="00BD524E"/>
    <w:rsid w:val="00BD5C4D"/>
    <w:rsid w:val="00BD5C7C"/>
    <w:rsid w:val="00BD64FC"/>
    <w:rsid w:val="00BD6702"/>
    <w:rsid w:val="00BD6BDF"/>
    <w:rsid w:val="00BD6F34"/>
    <w:rsid w:val="00BD712E"/>
    <w:rsid w:val="00BD71BF"/>
    <w:rsid w:val="00BD7709"/>
    <w:rsid w:val="00BD7813"/>
    <w:rsid w:val="00BD7A80"/>
    <w:rsid w:val="00BD7BF6"/>
    <w:rsid w:val="00BD7EAF"/>
    <w:rsid w:val="00BE05A5"/>
    <w:rsid w:val="00BE0843"/>
    <w:rsid w:val="00BE0885"/>
    <w:rsid w:val="00BE0C6E"/>
    <w:rsid w:val="00BE0D82"/>
    <w:rsid w:val="00BE0F68"/>
    <w:rsid w:val="00BE127F"/>
    <w:rsid w:val="00BE177A"/>
    <w:rsid w:val="00BE2145"/>
    <w:rsid w:val="00BE264B"/>
    <w:rsid w:val="00BE2913"/>
    <w:rsid w:val="00BE2F55"/>
    <w:rsid w:val="00BE3734"/>
    <w:rsid w:val="00BE3A48"/>
    <w:rsid w:val="00BE3A97"/>
    <w:rsid w:val="00BE3D3C"/>
    <w:rsid w:val="00BE465E"/>
    <w:rsid w:val="00BE489D"/>
    <w:rsid w:val="00BE4B56"/>
    <w:rsid w:val="00BE4D24"/>
    <w:rsid w:val="00BE4D41"/>
    <w:rsid w:val="00BE4E31"/>
    <w:rsid w:val="00BE4E4A"/>
    <w:rsid w:val="00BE5095"/>
    <w:rsid w:val="00BE56AF"/>
    <w:rsid w:val="00BE56CF"/>
    <w:rsid w:val="00BE57D4"/>
    <w:rsid w:val="00BE59E6"/>
    <w:rsid w:val="00BE5D57"/>
    <w:rsid w:val="00BE5D61"/>
    <w:rsid w:val="00BE5DEC"/>
    <w:rsid w:val="00BE5E45"/>
    <w:rsid w:val="00BE5EEB"/>
    <w:rsid w:val="00BE5F47"/>
    <w:rsid w:val="00BE644F"/>
    <w:rsid w:val="00BE68BE"/>
    <w:rsid w:val="00BE6BB4"/>
    <w:rsid w:val="00BE6C95"/>
    <w:rsid w:val="00BE6F76"/>
    <w:rsid w:val="00BE712B"/>
    <w:rsid w:val="00BE789D"/>
    <w:rsid w:val="00BE7A8A"/>
    <w:rsid w:val="00BE7D87"/>
    <w:rsid w:val="00BF0014"/>
    <w:rsid w:val="00BF01E7"/>
    <w:rsid w:val="00BF057E"/>
    <w:rsid w:val="00BF08FC"/>
    <w:rsid w:val="00BF09A6"/>
    <w:rsid w:val="00BF0C13"/>
    <w:rsid w:val="00BF0E0C"/>
    <w:rsid w:val="00BF14FA"/>
    <w:rsid w:val="00BF16F3"/>
    <w:rsid w:val="00BF1A26"/>
    <w:rsid w:val="00BF1AC8"/>
    <w:rsid w:val="00BF1D09"/>
    <w:rsid w:val="00BF1DFB"/>
    <w:rsid w:val="00BF200C"/>
    <w:rsid w:val="00BF2264"/>
    <w:rsid w:val="00BF2351"/>
    <w:rsid w:val="00BF243B"/>
    <w:rsid w:val="00BF247F"/>
    <w:rsid w:val="00BF2787"/>
    <w:rsid w:val="00BF31EA"/>
    <w:rsid w:val="00BF3BC8"/>
    <w:rsid w:val="00BF3CCB"/>
    <w:rsid w:val="00BF3E2A"/>
    <w:rsid w:val="00BF3F9D"/>
    <w:rsid w:val="00BF404D"/>
    <w:rsid w:val="00BF4069"/>
    <w:rsid w:val="00BF46C1"/>
    <w:rsid w:val="00BF48C9"/>
    <w:rsid w:val="00BF52A2"/>
    <w:rsid w:val="00BF56D4"/>
    <w:rsid w:val="00BF57B8"/>
    <w:rsid w:val="00BF599F"/>
    <w:rsid w:val="00BF59E8"/>
    <w:rsid w:val="00BF5A9C"/>
    <w:rsid w:val="00BF5C15"/>
    <w:rsid w:val="00BF5E61"/>
    <w:rsid w:val="00BF5EBF"/>
    <w:rsid w:val="00BF70D4"/>
    <w:rsid w:val="00BF759F"/>
    <w:rsid w:val="00BF7B0F"/>
    <w:rsid w:val="00BF7EF9"/>
    <w:rsid w:val="00C002F9"/>
    <w:rsid w:val="00C003A6"/>
    <w:rsid w:val="00C004A4"/>
    <w:rsid w:val="00C005F0"/>
    <w:rsid w:val="00C00BCF"/>
    <w:rsid w:val="00C00FA7"/>
    <w:rsid w:val="00C0115A"/>
    <w:rsid w:val="00C01427"/>
    <w:rsid w:val="00C02666"/>
    <w:rsid w:val="00C02DD3"/>
    <w:rsid w:val="00C036B6"/>
    <w:rsid w:val="00C04681"/>
    <w:rsid w:val="00C0483D"/>
    <w:rsid w:val="00C04926"/>
    <w:rsid w:val="00C04AEB"/>
    <w:rsid w:val="00C04B8D"/>
    <w:rsid w:val="00C04EE7"/>
    <w:rsid w:val="00C0503B"/>
    <w:rsid w:val="00C050A3"/>
    <w:rsid w:val="00C050FA"/>
    <w:rsid w:val="00C05DBA"/>
    <w:rsid w:val="00C05EA0"/>
    <w:rsid w:val="00C063DC"/>
    <w:rsid w:val="00C065E0"/>
    <w:rsid w:val="00C06941"/>
    <w:rsid w:val="00C06AB0"/>
    <w:rsid w:val="00C06B0D"/>
    <w:rsid w:val="00C06D1B"/>
    <w:rsid w:val="00C06DB3"/>
    <w:rsid w:val="00C06FA1"/>
    <w:rsid w:val="00C06FDD"/>
    <w:rsid w:val="00C07011"/>
    <w:rsid w:val="00C07093"/>
    <w:rsid w:val="00C071DA"/>
    <w:rsid w:val="00C072B2"/>
    <w:rsid w:val="00C07311"/>
    <w:rsid w:val="00C074A0"/>
    <w:rsid w:val="00C07AB0"/>
    <w:rsid w:val="00C07BC1"/>
    <w:rsid w:val="00C07D71"/>
    <w:rsid w:val="00C102D8"/>
    <w:rsid w:val="00C102FA"/>
    <w:rsid w:val="00C10313"/>
    <w:rsid w:val="00C1038C"/>
    <w:rsid w:val="00C103C8"/>
    <w:rsid w:val="00C10400"/>
    <w:rsid w:val="00C104F5"/>
    <w:rsid w:val="00C1097B"/>
    <w:rsid w:val="00C10BF1"/>
    <w:rsid w:val="00C10C8C"/>
    <w:rsid w:val="00C10CAC"/>
    <w:rsid w:val="00C10CE4"/>
    <w:rsid w:val="00C10EC4"/>
    <w:rsid w:val="00C11B12"/>
    <w:rsid w:val="00C11E0A"/>
    <w:rsid w:val="00C11F33"/>
    <w:rsid w:val="00C121D1"/>
    <w:rsid w:val="00C12D3F"/>
    <w:rsid w:val="00C131B4"/>
    <w:rsid w:val="00C13225"/>
    <w:rsid w:val="00C13600"/>
    <w:rsid w:val="00C13646"/>
    <w:rsid w:val="00C13A47"/>
    <w:rsid w:val="00C1434C"/>
    <w:rsid w:val="00C14727"/>
    <w:rsid w:val="00C14735"/>
    <w:rsid w:val="00C14CA5"/>
    <w:rsid w:val="00C14D22"/>
    <w:rsid w:val="00C15360"/>
    <w:rsid w:val="00C154EA"/>
    <w:rsid w:val="00C156D0"/>
    <w:rsid w:val="00C15B40"/>
    <w:rsid w:val="00C15BAB"/>
    <w:rsid w:val="00C15D3C"/>
    <w:rsid w:val="00C15F8D"/>
    <w:rsid w:val="00C160FE"/>
    <w:rsid w:val="00C164BC"/>
    <w:rsid w:val="00C1653B"/>
    <w:rsid w:val="00C165D4"/>
    <w:rsid w:val="00C169BE"/>
    <w:rsid w:val="00C16BB0"/>
    <w:rsid w:val="00C16E99"/>
    <w:rsid w:val="00C16FE8"/>
    <w:rsid w:val="00C17B64"/>
    <w:rsid w:val="00C203B8"/>
    <w:rsid w:val="00C2052D"/>
    <w:rsid w:val="00C20569"/>
    <w:rsid w:val="00C21037"/>
    <w:rsid w:val="00C21211"/>
    <w:rsid w:val="00C2139B"/>
    <w:rsid w:val="00C217A5"/>
    <w:rsid w:val="00C218D4"/>
    <w:rsid w:val="00C219D8"/>
    <w:rsid w:val="00C21C76"/>
    <w:rsid w:val="00C21D3B"/>
    <w:rsid w:val="00C21E2F"/>
    <w:rsid w:val="00C21EDB"/>
    <w:rsid w:val="00C221D9"/>
    <w:rsid w:val="00C222F2"/>
    <w:rsid w:val="00C225BD"/>
    <w:rsid w:val="00C22977"/>
    <w:rsid w:val="00C22AC1"/>
    <w:rsid w:val="00C247DA"/>
    <w:rsid w:val="00C24D8D"/>
    <w:rsid w:val="00C24E5F"/>
    <w:rsid w:val="00C24EC9"/>
    <w:rsid w:val="00C2535B"/>
    <w:rsid w:val="00C26066"/>
    <w:rsid w:val="00C260A6"/>
    <w:rsid w:val="00C26324"/>
    <w:rsid w:val="00C2652C"/>
    <w:rsid w:val="00C2660B"/>
    <w:rsid w:val="00C26652"/>
    <w:rsid w:val="00C26819"/>
    <w:rsid w:val="00C268BF"/>
    <w:rsid w:val="00C26E13"/>
    <w:rsid w:val="00C2701F"/>
    <w:rsid w:val="00C2742E"/>
    <w:rsid w:val="00C2751E"/>
    <w:rsid w:val="00C2778C"/>
    <w:rsid w:val="00C27919"/>
    <w:rsid w:val="00C27920"/>
    <w:rsid w:val="00C27EAF"/>
    <w:rsid w:val="00C30024"/>
    <w:rsid w:val="00C3009B"/>
    <w:rsid w:val="00C302CA"/>
    <w:rsid w:val="00C302F4"/>
    <w:rsid w:val="00C3044D"/>
    <w:rsid w:val="00C3058C"/>
    <w:rsid w:val="00C30653"/>
    <w:rsid w:val="00C306ED"/>
    <w:rsid w:val="00C30B7F"/>
    <w:rsid w:val="00C30FD2"/>
    <w:rsid w:val="00C3116C"/>
    <w:rsid w:val="00C3118B"/>
    <w:rsid w:val="00C31345"/>
    <w:rsid w:val="00C31D07"/>
    <w:rsid w:val="00C32482"/>
    <w:rsid w:val="00C328C0"/>
    <w:rsid w:val="00C332F0"/>
    <w:rsid w:val="00C3365B"/>
    <w:rsid w:val="00C33D6F"/>
    <w:rsid w:val="00C33E39"/>
    <w:rsid w:val="00C3468D"/>
    <w:rsid w:val="00C34AFE"/>
    <w:rsid w:val="00C34B7C"/>
    <w:rsid w:val="00C34D08"/>
    <w:rsid w:val="00C34D45"/>
    <w:rsid w:val="00C34E03"/>
    <w:rsid w:val="00C34EB8"/>
    <w:rsid w:val="00C35152"/>
    <w:rsid w:val="00C3538C"/>
    <w:rsid w:val="00C35A69"/>
    <w:rsid w:val="00C35A9D"/>
    <w:rsid w:val="00C35CE6"/>
    <w:rsid w:val="00C35D19"/>
    <w:rsid w:val="00C362B3"/>
    <w:rsid w:val="00C3636A"/>
    <w:rsid w:val="00C36576"/>
    <w:rsid w:val="00C36749"/>
    <w:rsid w:val="00C3681E"/>
    <w:rsid w:val="00C368D8"/>
    <w:rsid w:val="00C369C2"/>
    <w:rsid w:val="00C36AAA"/>
    <w:rsid w:val="00C36BA7"/>
    <w:rsid w:val="00C370CC"/>
    <w:rsid w:val="00C37211"/>
    <w:rsid w:val="00C37266"/>
    <w:rsid w:val="00C37A63"/>
    <w:rsid w:val="00C37AE4"/>
    <w:rsid w:val="00C37BCB"/>
    <w:rsid w:val="00C37D3F"/>
    <w:rsid w:val="00C37F4C"/>
    <w:rsid w:val="00C403C3"/>
    <w:rsid w:val="00C405E6"/>
    <w:rsid w:val="00C40D98"/>
    <w:rsid w:val="00C40DD7"/>
    <w:rsid w:val="00C41440"/>
    <w:rsid w:val="00C41A8E"/>
    <w:rsid w:val="00C41B83"/>
    <w:rsid w:val="00C41CBD"/>
    <w:rsid w:val="00C42720"/>
    <w:rsid w:val="00C42893"/>
    <w:rsid w:val="00C42AEF"/>
    <w:rsid w:val="00C42C25"/>
    <w:rsid w:val="00C431EA"/>
    <w:rsid w:val="00C43206"/>
    <w:rsid w:val="00C43407"/>
    <w:rsid w:val="00C434A3"/>
    <w:rsid w:val="00C437A8"/>
    <w:rsid w:val="00C43944"/>
    <w:rsid w:val="00C43B71"/>
    <w:rsid w:val="00C43CFC"/>
    <w:rsid w:val="00C4413E"/>
    <w:rsid w:val="00C448B8"/>
    <w:rsid w:val="00C44A58"/>
    <w:rsid w:val="00C44AC1"/>
    <w:rsid w:val="00C44AF8"/>
    <w:rsid w:val="00C44F88"/>
    <w:rsid w:val="00C4519D"/>
    <w:rsid w:val="00C453C3"/>
    <w:rsid w:val="00C458A5"/>
    <w:rsid w:val="00C45D50"/>
    <w:rsid w:val="00C45EC8"/>
    <w:rsid w:val="00C46803"/>
    <w:rsid w:val="00C46F6A"/>
    <w:rsid w:val="00C471DC"/>
    <w:rsid w:val="00C47408"/>
    <w:rsid w:val="00C47436"/>
    <w:rsid w:val="00C478C3"/>
    <w:rsid w:val="00C47A85"/>
    <w:rsid w:val="00C47EE9"/>
    <w:rsid w:val="00C47F05"/>
    <w:rsid w:val="00C50512"/>
    <w:rsid w:val="00C50644"/>
    <w:rsid w:val="00C50695"/>
    <w:rsid w:val="00C5088D"/>
    <w:rsid w:val="00C50A36"/>
    <w:rsid w:val="00C51430"/>
    <w:rsid w:val="00C51983"/>
    <w:rsid w:val="00C51AE2"/>
    <w:rsid w:val="00C51B36"/>
    <w:rsid w:val="00C51B7D"/>
    <w:rsid w:val="00C51C06"/>
    <w:rsid w:val="00C51C29"/>
    <w:rsid w:val="00C51D1C"/>
    <w:rsid w:val="00C51F6F"/>
    <w:rsid w:val="00C522AC"/>
    <w:rsid w:val="00C52311"/>
    <w:rsid w:val="00C52513"/>
    <w:rsid w:val="00C52B50"/>
    <w:rsid w:val="00C52C2A"/>
    <w:rsid w:val="00C53190"/>
    <w:rsid w:val="00C5319A"/>
    <w:rsid w:val="00C532C9"/>
    <w:rsid w:val="00C532D2"/>
    <w:rsid w:val="00C53821"/>
    <w:rsid w:val="00C538DF"/>
    <w:rsid w:val="00C53966"/>
    <w:rsid w:val="00C53F6A"/>
    <w:rsid w:val="00C53FEB"/>
    <w:rsid w:val="00C5411E"/>
    <w:rsid w:val="00C542D9"/>
    <w:rsid w:val="00C542DA"/>
    <w:rsid w:val="00C5455B"/>
    <w:rsid w:val="00C54560"/>
    <w:rsid w:val="00C547ED"/>
    <w:rsid w:val="00C54A38"/>
    <w:rsid w:val="00C54B16"/>
    <w:rsid w:val="00C54E42"/>
    <w:rsid w:val="00C54F86"/>
    <w:rsid w:val="00C55203"/>
    <w:rsid w:val="00C55269"/>
    <w:rsid w:val="00C55385"/>
    <w:rsid w:val="00C55733"/>
    <w:rsid w:val="00C569A5"/>
    <w:rsid w:val="00C56B6C"/>
    <w:rsid w:val="00C56F7E"/>
    <w:rsid w:val="00C57450"/>
    <w:rsid w:val="00C5749A"/>
    <w:rsid w:val="00C57594"/>
    <w:rsid w:val="00C57686"/>
    <w:rsid w:val="00C576B7"/>
    <w:rsid w:val="00C57EE7"/>
    <w:rsid w:val="00C60140"/>
    <w:rsid w:val="00C603B6"/>
    <w:rsid w:val="00C60763"/>
    <w:rsid w:val="00C6084F"/>
    <w:rsid w:val="00C61066"/>
    <w:rsid w:val="00C610F0"/>
    <w:rsid w:val="00C618A3"/>
    <w:rsid w:val="00C61959"/>
    <w:rsid w:val="00C61C05"/>
    <w:rsid w:val="00C61D23"/>
    <w:rsid w:val="00C61E73"/>
    <w:rsid w:val="00C61F83"/>
    <w:rsid w:val="00C62066"/>
    <w:rsid w:val="00C62208"/>
    <w:rsid w:val="00C62837"/>
    <w:rsid w:val="00C6289B"/>
    <w:rsid w:val="00C62C3B"/>
    <w:rsid w:val="00C62DC1"/>
    <w:rsid w:val="00C62F33"/>
    <w:rsid w:val="00C6319A"/>
    <w:rsid w:val="00C6321A"/>
    <w:rsid w:val="00C63517"/>
    <w:rsid w:val="00C63CD1"/>
    <w:rsid w:val="00C6475F"/>
    <w:rsid w:val="00C647A1"/>
    <w:rsid w:val="00C64A28"/>
    <w:rsid w:val="00C64EEB"/>
    <w:rsid w:val="00C65574"/>
    <w:rsid w:val="00C65575"/>
    <w:rsid w:val="00C6566D"/>
    <w:rsid w:val="00C65F33"/>
    <w:rsid w:val="00C6609C"/>
    <w:rsid w:val="00C66472"/>
    <w:rsid w:val="00C66DA0"/>
    <w:rsid w:val="00C66E2D"/>
    <w:rsid w:val="00C66E55"/>
    <w:rsid w:val="00C66E60"/>
    <w:rsid w:val="00C6723D"/>
    <w:rsid w:val="00C672E3"/>
    <w:rsid w:val="00C678A9"/>
    <w:rsid w:val="00C678BB"/>
    <w:rsid w:val="00C67A13"/>
    <w:rsid w:val="00C67B69"/>
    <w:rsid w:val="00C67D78"/>
    <w:rsid w:val="00C67E53"/>
    <w:rsid w:val="00C67EA8"/>
    <w:rsid w:val="00C703E9"/>
    <w:rsid w:val="00C7066D"/>
    <w:rsid w:val="00C70718"/>
    <w:rsid w:val="00C7085F"/>
    <w:rsid w:val="00C708F4"/>
    <w:rsid w:val="00C70C78"/>
    <w:rsid w:val="00C70FC2"/>
    <w:rsid w:val="00C7100A"/>
    <w:rsid w:val="00C71052"/>
    <w:rsid w:val="00C716E4"/>
    <w:rsid w:val="00C71789"/>
    <w:rsid w:val="00C719E0"/>
    <w:rsid w:val="00C71A28"/>
    <w:rsid w:val="00C71EC6"/>
    <w:rsid w:val="00C720E0"/>
    <w:rsid w:val="00C722FF"/>
    <w:rsid w:val="00C7244B"/>
    <w:rsid w:val="00C724C4"/>
    <w:rsid w:val="00C72F41"/>
    <w:rsid w:val="00C73113"/>
    <w:rsid w:val="00C731F8"/>
    <w:rsid w:val="00C73398"/>
    <w:rsid w:val="00C733B0"/>
    <w:rsid w:val="00C73D68"/>
    <w:rsid w:val="00C74018"/>
    <w:rsid w:val="00C7402A"/>
    <w:rsid w:val="00C74232"/>
    <w:rsid w:val="00C74246"/>
    <w:rsid w:val="00C7453F"/>
    <w:rsid w:val="00C746C4"/>
    <w:rsid w:val="00C748F8"/>
    <w:rsid w:val="00C74B39"/>
    <w:rsid w:val="00C74B46"/>
    <w:rsid w:val="00C74BDC"/>
    <w:rsid w:val="00C7533A"/>
    <w:rsid w:val="00C754AE"/>
    <w:rsid w:val="00C75944"/>
    <w:rsid w:val="00C75A08"/>
    <w:rsid w:val="00C75B5E"/>
    <w:rsid w:val="00C75BC8"/>
    <w:rsid w:val="00C75DD0"/>
    <w:rsid w:val="00C75ED7"/>
    <w:rsid w:val="00C75F32"/>
    <w:rsid w:val="00C760D7"/>
    <w:rsid w:val="00C76117"/>
    <w:rsid w:val="00C764BB"/>
    <w:rsid w:val="00C76D5A"/>
    <w:rsid w:val="00C7709A"/>
    <w:rsid w:val="00C770C9"/>
    <w:rsid w:val="00C7765D"/>
    <w:rsid w:val="00C77A11"/>
    <w:rsid w:val="00C77E6A"/>
    <w:rsid w:val="00C77F85"/>
    <w:rsid w:val="00C8007E"/>
    <w:rsid w:val="00C80A79"/>
    <w:rsid w:val="00C80CD7"/>
    <w:rsid w:val="00C8113F"/>
    <w:rsid w:val="00C8148C"/>
    <w:rsid w:val="00C815C0"/>
    <w:rsid w:val="00C81AC5"/>
    <w:rsid w:val="00C81C1A"/>
    <w:rsid w:val="00C81C98"/>
    <w:rsid w:val="00C81E67"/>
    <w:rsid w:val="00C82100"/>
    <w:rsid w:val="00C82689"/>
    <w:rsid w:val="00C82989"/>
    <w:rsid w:val="00C82C92"/>
    <w:rsid w:val="00C83344"/>
    <w:rsid w:val="00C835E0"/>
    <w:rsid w:val="00C8378B"/>
    <w:rsid w:val="00C83C9C"/>
    <w:rsid w:val="00C83CEF"/>
    <w:rsid w:val="00C83FE5"/>
    <w:rsid w:val="00C8453A"/>
    <w:rsid w:val="00C84561"/>
    <w:rsid w:val="00C8478E"/>
    <w:rsid w:val="00C84908"/>
    <w:rsid w:val="00C84D62"/>
    <w:rsid w:val="00C85117"/>
    <w:rsid w:val="00C85A29"/>
    <w:rsid w:val="00C85A40"/>
    <w:rsid w:val="00C85D71"/>
    <w:rsid w:val="00C860C9"/>
    <w:rsid w:val="00C86166"/>
    <w:rsid w:val="00C86B13"/>
    <w:rsid w:val="00C86E28"/>
    <w:rsid w:val="00C86EF6"/>
    <w:rsid w:val="00C86F3B"/>
    <w:rsid w:val="00C874E1"/>
    <w:rsid w:val="00C87838"/>
    <w:rsid w:val="00C87B42"/>
    <w:rsid w:val="00C901B0"/>
    <w:rsid w:val="00C9058C"/>
    <w:rsid w:val="00C905AE"/>
    <w:rsid w:val="00C908C4"/>
    <w:rsid w:val="00C90934"/>
    <w:rsid w:val="00C90A08"/>
    <w:rsid w:val="00C90BA4"/>
    <w:rsid w:val="00C91351"/>
    <w:rsid w:val="00C91356"/>
    <w:rsid w:val="00C91478"/>
    <w:rsid w:val="00C91758"/>
    <w:rsid w:val="00C91B20"/>
    <w:rsid w:val="00C91D9E"/>
    <w:rsid w:val="00C9229D"/>
    <w:rsid w:val="00C924EA"/>
    <w:rsid w:val="00C925A5"/>
    <w:rsid w:val="00C92963"/>
    <w:rsid w:val="00C92E7E"/>
    <w:rsid w:val="00C93A60"/>
    <w:rsid w:val="00C93D4F"/>
    <w:rsid w:val="00C93F23"/>
    <w:rsid w:val="00C94211"/>
    <w:rsid w:val="00C94660"/>
    <w:rsid w:val="00C947B4"/>
    <w:rsid w:val="00C9489D"/>
    <w:rsid w:val="00C9495E"/>
    <w:rsid w:val="00C949C7"/>
    <w:rsid w:val="00C94D86"/>
    <w:rsid w:val="00C953A6"/>
    <w:rsid w:val="00C95951"/>
    <w:rsid w:val="00C95BCE"/>
    <w:rsid w:val="00C95D2D"/>
    <w:rsid w:val="00C95F85"/>
    <w:rsid w:val="00C96C64"/>
    <w:rsid w:val="00C96F21"/>
    <w:rsid w:val="00C97216"/>
    <w:rsid w:val="00C9725E"/>
    <w:rsid w:val="00C97661"/>
    <w:rsid w:val="00C97AC5"/>
    <w:rsid w:val="00C97D92"/>
    <w:rsid w:val="00C97DDA"/>
    <w:rsid w:val="00CA0238"/>
    <w:rsid w:val="00CA10E5"/>
    <w:rsid w:val="00CA10E7"/>
    <w:rsid w:val="00CA11E6"/>
    <w:rsid w:val="00CA1607"/>
    <w:rsid w:val="00CA24D2"/>
    <w:rsid w:val="00CA25EE"/>
    <w:rsid w:val="00CA28A5"/>
    <w:rsid w:val="00CA2B4E"/>
    <w:rsid w:val="00CA2E02"/>
    <w:rsid w:val="00CA2E19"/>
    <w:rsid w:val="00CA331F"/>
    <w:rsid w:val="00CA372E"/>
    <w:rsid w:val="00CA377A"/>
    <w:rsid w:val="00CA3C15"/>
    <w:rsid w:val="00CA3DF4"/>
    <w:rsid w:val="00CA4AD6"/>
    <w:rsid w:val="00CA576F"/>
    <w:rsid w:val="00CA57AC"/>
    <w:rsid w:val="00CA5A3D"/>
    <w:rsid w:val="00CA5B91"/>
    <w:rsid w:val="00CA5FF4"/>
    <w:rsid w:val="00CA6286"/>
    <w:rsid w:val="00CA6871"/>
    <w:rsid w:val="00CA68FE"/>
    <w:rsid w:val="00CA70CC"/>
    <w:rsid w:val="00CA7170"/>
    <w:rsid w:val="00CA7524"/>
    <w:rsid w:val="00CA755D"/>
    <w:rsid w:val="00CA7659"/>
    <w:rsid w:val="00CA7E61"/>
    <w:rsid w:val="00CA7E99"/>
    <w:rsid w:val="00CA7EC3"/>
    <w:rsid w:val="00CB00AB"/>
    <w:rsid w:val="00CB0277"/>
    <w:rsid w:val="00CB0409"/>
    <w:rsid w:val="00CB0556"/>
    <w:rsid w:val="00CB0AEF"/>
    <w:rsid w:val="00CB0B1F"/>
    <w:rsid w:val="00CB0C45"/>
    <w:rsid w:val="00CB0DBC"/>
    <w:rsid w:val="00CB0E4B"/>
    <w:rsid w:val="00CB0F89"/>
    <w:rsid w:val="00CB1284"/>
    <w:rsid w:val="00CB1DA7"/>
    <w:rsid w:val="00CB1FDB"/>
    <w:rsid w:val="00CB1FEE"/>
    <w:rsid w:val="00CB2037"/>
    <w:rsid w:val="00CB206B"/>
    <w:rsid w:val="00CB217B"/>
    <w:rsid w:val="00CB276E"/>
    <w:rsid w:val="00CB2813"/>
    <w:rsid w:val="00CB29A8"/>
    <w:rsid w:val="00CB29AE"/>
    <w:rsid w:val="00CB33CE"/>
    <w:rsid w:val="00CB3450"/>
    <w:rsid w:val="00CB3779"/>
    <w:rsid w:val="00CB38B2"/>
    <w:rsid w:val="00CB46B4"/>
    <w:rsid w:val="00CB499B"/>
    <w:rsid w:val="00CB4D59"/>
    <w:rsid w:val="00CB53D9"/>
    <w:rsid w:val="00CB5600"/>
    <w:rsid w:val="00CB5C51"/>
    <w:rsid w:val="00CB6405"/>
    <w:rsid w:val="00CB7133"/>
    <w:rsid w:val="00CC0050"/>
    <w:rsid w:val="00CC0627"/>
    <w:rsid w:val="00CC097C"/>
    <w:rsid w:val="00CC1B5C"/>
    <w:rsid w:val="00CC21E6"/>
    <w:rsid w:val="00CC232E"/>
    <w:rsid w:val="00CC2445"/>
    <w:rsid w:val="00CC2925"/>
    <w:rsid w:val="00CC293F"/>
    <w:rsid w:val="00CC2BA7"/>
    <w:rsid w:val="00CC304F"/>
    <w:rsid w:val="00CC35D2"/>
    <w:rsid w:val="00CC3805"/>
    <w:rsid w:val="00CC3B02"/>
    <w:rsid w:val="00CC3CF9"/>
    <w:rsid w:val="00CC4686"/>
    <w:rsid w:val="00CC4E4B"/>
    <w:rsid w:val="00CC52A2"/>
    <w:rsid w:val="00CC538B"/>
    <w:rsid w:val="00CC5401"/>
    <w:rsid w:val="00CC5615"/>
    <w:rsid w:val="00CC58B6"/>
    <w:rsid w:val="00CC599E"/>
    <w:rsid w:val="00CC5B97"/>
    <w:rsid w:val="00CC5C3A"/>
    <w:rsid w:val="00CC6303"/>
    <w:rsid w:val="00CC649B"/>
    <w:rsid w:val="00CC6D07"/>
    <w:rsid w:val="00CC702A"/>
    <w:rsid w:val="00CC71F7"/>
    <w:rsid w:val="00CC74CE"/>
    <w:rsid w:val="00CC7533"/>
    <w:rsid w:val="00CC78D5"/>
    <w:rsid w:val="00CC7AC6"/>
    <w:rsid w:val="00CD037F"/>
    <w:rsid w:val="00CD0C7B"/>
    <w:rsid w:val="00CD13F5"/>
    <w:rsid w:val="00CD1466"/>
    <w:rsid w:val="00CD14FF"/>
    <w:rsid w:val="00CD15C1"/>
    <w:rsid w:val="00CD1935"/>
    <w:rsid w:val="00CD282B"/>
    <w:rsid w:val="00CD2ABB"/>
    <w:rsid w:val="00CD2AC0"/>
    <w:rsid w:val="00CD2DAD"/>
    <w:rsid w:val="00CD2E65"/>
    <w:rsid w:val="00CD3DFA"/>
    <w:rsid w:val="00CD3F3C"/>
    <w:rsid w:val="00CD42A6"/>
    <w:rsid w:val="00CD48B0"/>
    <w:rsid w:val="00CD4BC2"/>
    <w:rsid w:val="00CD51B9"/>
    <w:rsid w:val="00CD522C"/>
    <w:rsid w:val="00CD527C"/>
    <w:rsid w:val="00CD550B"/>
    <w:rsid w:val="00CD5830"/>
    <w:rsid w:val="00CD5E61"/>
    <w:rsid w:val="00CD609E"/>
    <w:rsid w:val="00CD61C3"/>
    <w:rsid w:val="00CD6201"/>
    <w:rsid w:val="00CD6379"/>
    <w:rsid w:val="00CD660A"/>
    <w:rsid w:val="00CD6B37"/>
    <w:rsid w:val="00CD722D"/>
    <w:rsid w:val="00CD748D"/>
    <w:rsid w:val="00CD764E"/>
    <w:rsid w:val="00CD792E"/>
    <w:rsid w:val="00CD7941"/>
    <w:rsid w:val="00CD7BD8"/>
    <w:rsid w:val="00CD7C94"/>
    <w:rsid w:val="00CD7EFE"/>
    <w:rsid w:val="00CD7F15"/>
    <w:rsid w:val="00CE080A"/>
    <w:rsid w:val="00CE130B"/>
    <w:rsid w:val="00CE16FF"/>
    <w:rsid w:val="00CE1BFC"/>
    <w:rsid w:val="00CE2048"/>
    <w:rsid w:val="00CE2105"/>
    <w:rsid w:val="00CE22D1"/>
    <w:rsid w:val="00CE2990"/>
    <w:rsid w:val="00CE2BA0"/>
    <w:rsid w:val="00CE2DFF"/>
    <w:rsid w:val="00CE32C0"/>
    <w:rsid w:val="00CE35E0"/>
    <w:rsid w:val="00CE3617"/>
    <w:rsid w:val="00CE3D37"/>
    <w:rsid w:val="00CE45C2"/>
    <w:rsid w:val="00CE474D"/>
    <w:rsid w:val="00CE4A71"/>
    <w:rsid w:val="00CE4AFA"/>
    <w:rsid w:val="00CE4B9E"/>
    <w:rsid w:val="00CE4F74"/>
    <w:rsid w:val="00CE528F"/>
    <w:rsid w:val="00CE52C0"/>
    <w:rsid w:val="00CE57E4"/>
    <w:rsid w:val="00CE58FC"/>
    <w:rsid w:val="00CE5F72"/>
    <w:rsid w:val="00CE6121"/>
    <w:rsid w:val="00CE6331"/>
    <w:rsid w:val="00CE650E"/>
    <w:rsid w:val="00CE67CC"/>
    <w:rsid w:val="00CE6A1A"/>
    <w:rsid w:val="00CE6BA6"/>
    <w:rsid w:val="00CE6BBA"/>
    <w:rsid w:val="00CE7040"/>
    <w:rsid w:val="00CE711F"/>
    <w:rsid w:val="00CE762F"/>
    <w:rsid w:val="00CE76D4"/>
    <w:rsid w:val="00CE7836"/>
    <w:rsid w:val="00CE7993"/>
    <w:rsid w:val="00CE7A28"/>
    <w:rsid w:val="00CE7C0E"/>
    <w:rsid w:val="00CE7F4F"/>
    <w:rsid w:val="00CF06BE"/>
    <w:rsid w:val="00CF0CFA"/>
    <w:rsid w:val="00CF11C2"/>
    <w:rsid w:val="00CF120D"/>
    <w:rsid w:val="00CF1F0D"/>
    <w:rsid w:val="00CF29C0"/>
    <w:rsid w:val="00CF34F2"/>
    <w:rsid w:val="00CF38BA"/>
    <w:rsid w:val="00CF3A3E"/>
    <w:rsid w:val="00CF3A4D"/>
    <w:rsid w:val="00CF3ACA"/>
    <w:rsid w:val="00CF3D7A"/>
    <w:rsid w:val="00CF3DEE"/>
    <w:rsid w:val="00CF4B4E"/>
    <w:rsid w:val="00CF4CD9"/>
    <w:rsid w:val="00CF4F54"/>
    <w:rsid w:val="00CF50D0"/>
    <w:rsid w:val="00CF549C"/>
    <w:rsid w:val="00CF54EE"/>
    <w:rsid w:val="00CF5662"/>
    <w:rsid w:val="00CF5AD2"/>
    <w:rsid w:val="00CF5F80"/>
    <w:rsid w:val="00CF6125"/>
    <w:rsid w:val="00CF613F"/>
    <w:rsid w:val="00CF63B7"/>
    <w:rsid w:val="00CF651D"/>
    <w:rsid w:val="00CF6ADF"/>
    <w:rsid w:val="00CF6B63"/>
    <w:rsid w:val="00CF6C5B"/>
    <w:rsid w:val="00CF6ED4"/>
    <w:rsid w:val="00CF6FF7"/>
    <w:rsid w:val="00CF716A"/>
    <w:rsid w:val="00CF750E"/>
    <w:rsid w:val="00CF75EB"/>
    <w:rsid w:val="00CF7622"/>
    <w:rsid w:val="00CF7BB8"/>
    <w:rsid w:val="00CF7C84"/>
    <w:rsid w:val="00CF7EFF"/>
    <w:rsid w:val="00D00792"/>
    <w:rsid w:val="00D007B1"/>
    <w:rsid w:val="00D007CD"/>
    <w:rsid w:val="00D00B18"/>
    <w:rsid w:val="00D010B1"/>
    <w:rsid w:val="00D013CA"/>
    <w:rsid w:val="00D0153D"/>
    <w:rsid w:val="00D01F2A"/>
    <w:rsid w:val="00D025F5"/>
    <w:rsid w:val="00D02A13"/>
    <w:rsid w:val="00D02EE7"/>
    <w:rsid w:val="00D03063"/>
    <w:rsid w:val="00D03273"/>
    <w:rsid w:val="00D0334C"/>
    <w:rsid w:val="00D03613"/>
    <w:rsid w:val="00D03836"/>
    <w:rsid w:val="00D03A92"/>
    <w:rsid w:val="00D03D4B"/>
    <w:rsid w:val="00D03E97"/>
    <w:rsid w:val="00D04C51"/>
    <w:rsid w:val="00D04D56"/>
    <w:rsid w:val="00D04FC5"/>
    <w:rsid w:val="00D04FEC"/>
    <w:rsid w:val="00D05289"/>
    <w:rsid w:val="00D05939"/>
    <w:rsid w:val="00D05AEE"/>
    <w:rsid w:val="00D05E10"/>
    <w:rsid w:val="00D06355"/>
    <w:rsid w:val="00D06C30"/>
    <w:rsid w:val="00D06D1D"/>
    <w:rsid w:val="00D06D3C"/>
    <w:rsid w:val="00D0717D"/>
    <w:rsid w:val="00D0719F"/>
    <w:rsid w:val="00D076ED"/>
    <w:rsid w:val="00D07994"/>
    <w:rsid w:val="00D079C3"/>
    <w:rsid w:val="00D10004"/>
    <w:rsid w:val="00D101B5"/>
    <w:rsid w:val="00D10563"/>
    <w:rsid w:val="00D10950"/>
    <w:rsid w:val="00D10AC1"/>
    <w:rsid w:val="00D10D5F"/>
    <w:rsid w:val="00D11069"/>
    <w:rsid w:val="00D111EF"/>
    <w:rsid w:val="00D11243"/>
    <w:rsid w:val="00D118A7"/>
    <w:rsid w:val="00D12334"/>
    <w:rsid w:val="00D12472"/>
    <w:rsid w:val="00D1256F"/>
    <w:rsid w:val="00D127D0"/>
    <w:rsid w:val="00D127FD"/>
    <w:rsid w:val="00D12D13"/>
    <w:rsid w:val="00D12F83"/>
    <w:rsid w:val="00D132CD"/>
    <w:rsid w:val="00D132D6"/>
    <w:rsid w:val="00D13561"/>
    <w:rsid w:val="00D138B0"/>
    <w:rsid w:val="00D13B9F"/>
    <w:rsid w:val="00D13F91"/>
    <w:rsid w:val="00D13FB0"/>
    <w:rsid w:val="00D14272"/>
    <w:rsid w:val="00D143D5"/>
    <w:rsid w:val="00D14A36"/>
    <w:rsid w:val="00D14BBC"/>
    <w:rsid w:val="00D14C44"/>
    <w:rsid w:val="00D14E55"/>
    <w:rsid w:val="00D14ED8"/>
    <w:rsid w:val="00D15059"/>
    <w:rsid w:val="00D150DC"/>
    <w:rsid w:val="00D1560D"/>
    <w:rsid w:val="00D15A2C"/>
    <w:rsid w:val="00D15AD7"/>
    <w:rsid w:val="00D15E97"/>
    <w:rsid w:val="00D16235"/>
    <w:rsid w:val="00D1650B"/>
    <w:rsid w:val="00D168BF"/>
    <w:rsid w:val="00D16B3D"/>
    <w:rsid w:val="00D16F88"/>
    <w:rsid w:val="00D1718B"/>
    <w:rsid w:val="00D175C5"/>
    <w:rsid w:val="00D176F5"/>
    <w:rsid w:val="00D17A6C"/>
    <w:rsid w:val="00D17BDF"/>
    <w:rsid w:val="00D17C1D"/>
    <w:rsid w:val="00D17D21"/>
    <w:rsid w:val="00D17D98"/>
    <w:rsid w:val="00D17F2D"/>
    <w:rsid w:val="00D17F41"/>
    <w:rsid w:val="00D2035D"/>
    <w:rsid w:val="00D204D1"/>
    <w:rsid w:val="00D20849"/>
    <w:rsid w:val="00D208FF"/>
    <w:rsid w:val="00D20A10"/>
    <w:rsid w:val="00D20DAE"/>
    <w:rsid w:val="00D21222"/>
    <w:rsid w:val="00D21270"/>
    <w:rsid w:val="00D212B7"/>
    <w:rsid w:val="00D21B7E"/>
    <w:rsid w:val="00D21BD2"/>
    <w:rsid w:val="00D21C0E"/>
    <w:rsid w:val="00D22150"/>
    <w:rsid w:val="00D22519"/>
    <w:rsid w:val="00D22899"/>
    <w:rsid w:val="00D22A8C"/>
    <w:rsid w:val="00D22CF1"/>
    <w:rsid w:val="00D23055"/>
    <w:rsid w:val="00D2340F"/>
    <w:rsid w:val="00D24794"/>
    <w:rsid w:val="00D24953"/>
    <w:rsid w:val="00D24C5E"/>
    <w:rsid w:val="00D25020"/>
    <w:rsid w:val="00D252D5"/>
    <w:rsid w:val="00D255AC"/>
    <w:rsid w:val="00D25AC2"/>
    <w:rsid w:val="00D267FB"/>
    <w:rsid w:val="00D26B2E"/>
    <w:rsid w:val="00D26C7F"/>
    <w:rsid w:val="00D2711C"/>
    <w:rsid w:val="00D27515"/>
    <w:rsid w:val="00D302C7"/>
    <w:rsid w:val="00D3047C"/>
    <w:rsid w:val="00D30817"/>
    <w:rsid w:val="00D30A5C"/>
    <w:rsid w:val="00D30E08"/>
    <w:rsid w:val="00D30ECE"/>
    <w:rsid w:val="00D30F04"/>
    <w:rsid w:val="00D30F9B"/>
    <w:rsid w:val="00D313AD"/>
    <w:rsid w:val="00D31421"/>
    <w:rsid w:val="00D314B6"/>
    <w:rsid w:val="00D3156D"/>
    <w:rsid w:val="00D31666"/>
    <w:rsid w:val="00D31F11"/>
    <w:rsid w:val="00D31F75"/>
    <w:rsid w:val="00D3201A"/>
    <w:rsid w:val="00D324EB"/>
    <w:rsid w:val="00D324ED"/>
    <w:rsid w:val="00D32644"/>
    <w:rsid w:val="00D33081"/>
    <w:rsid w:val="00D33158"/>
    <w:rsid w:val="00D3339B"/>
    <w:rsid w:val="00D333B1"/>
    <w:rsid w:val="00D33523"/>
    <w:rsid w:val="00D3376B"/>
    <w:rsid w:val="00D33D7B"/>
    <w:rsid w:val="00D33E21"/>
    <w:rsid w:val="00D3441F"/>
    <w:rsid w:val="00D348C9"/>
    <w:rsid w:val="00D34AD4"/>
    <w:rsid w:val="00D34FA8"/>
    <w:rsid w:val="00D35043"/>
    <w:rsid w:val="00D35115"/>
    <w:rsid w:val="00D354A8"/>
    <w:rsid w:val="00D35A51"/>
    <w:rsid w:val="00D35C5F"/>
    <w:rsid w:val="00D365B8"/>
    <w:rsid w:val="00D36908"/>
    <w:rsid w:val="00D370C2"/>
    <w:rsid w:val="00D37229"/>
    <w:rsid w:val="00D37275"/>
    <w:rsid w:val="00D3740F"/>
    <w:rsid w:val="00D378D6"/>
    <w:rsid w:val="00D3797B"/>
    <w:rsid w:val="00D37F0F"/>
    <w:rsid w:val="00D40124"/>
    <w:rsid w:val="00D4132F"/>
    <w:rsid w:val="00D414C2"/>
    <w:rsid w:val="00D417CA"/>
    <w:rsid w:val="00D417DF"/>
    <w:rsid w:val="00D417EF"/>
    <w:rsid w:val="00D41DBA"/>
    <w:rsid w:val="00D41ECD"/>
    <w:rsid w:val="00D41F99"/>
    <w:rsid w:val="00D42015"/>
    <w:rsid w:val="00D4201B"/>
    <w:rsid w:val="00D42678"/>
    <w:rsid w:val="00D429CF"/>
    <w:rsid w:val="00D429F3"/>
    <w:rsid w:val="00D42EAF"/>
    <w:rsid w:val="00D43456"/>
    <w:rsid w:val="00D4392B"/>
    <w:rsid w:val="00D440BB"/>
    <w:rsid w:val="00D44792"/>
    <w:rsid w:val="00D44A34"/>
    <w:rsid w:val="00D44B9E"/>
    <w:rsid w:val="00D44C27"/>
    <w:rsid w:val="00D44D40"/>
    <w:rsid w:val="00D44DBC"/>
    <w:rsid w:val="00D44E34"/>
    <w:rsid w:val="00D44EC5"/>
    <w:rsid w:val="00D45426"/>
    <w:rsid w:val="00D45579"/>
    <w:rsid w:val="00D45700"/>
    <w:rsid w:val="00D45C18"/>
    <w:rsid w:val="00D46142"/>
    <w:rsid w:val="00D4680B"/>
    <w:rsid w:val="00D4722D"/>
    <w:rsid w:val="00D47524"/>
    <w:rsid w:val="00D47FEA"/>
    <w:rsid w:val="00D501AD"/>
    <w:rsid w:val="00D503B5"/>
    <w:rsid w:val="00D506BF"/>
    <w:rsid w:val="00D50D0A"/>
    <w:rsid w:val="00D5132F"/>
    <w:rsid w:val="00D517B7"/>
    <w:rsid w:val="00D51858"/>
    <w:rsid w:val="00D51A0E"/>
    <w:rsid w:val="00D51C25"/>
    <w:rsid w:val="00D51D63"/>
    <w:rsid w:val="00D5215F"/>
    <w:rsid w:val="00D5220A"/>
    <w:rsid w:val="00D52512"/>
    <w:rsid w:val="00D529C8"/>
    <w:rsid w:val="00D52BB0"/>
    <w:rsid w:val="00D52CF8"/>
    <w:rsid w:val="00D52D59"/>
    <w:rsid w:val="00D530E9"/>
    <w:rsid w:val="00D53855"/>
    <w:rsid w:val="00D54A7E"/>
    <w:rsid w:val="00D54B8D"/>
    <w:rsid w:val="00D54C80"/>
    <w:rsid w:val="00D550D4"/>
    <w:rsid w:val="00D5524B"/>
    <w:rsid w:val="00D556E8"/>
    <w:rsid w:val="00D557EF"/>
    <w:rsid w:val="00D55D13"/>
    <w:rsid w:val="00D55E58"/>
    <w:rsid w:val="00D5640F"/>
    <w:rsid w:val="00D56584"/>
    <w:rsid w:val="00D5671B"/>
    <w:rsid w:val="00D56A26"/>
    <w:rsid w:val="00D57724"/>
    <w:rsid w:val="00D600DE"/>
    <w:rsid w:val="00D60152"/>
    <w:rsid w:val="00D6056E"/>
    <w:rsid w:val="00D60A96"/>
    <w:rsid w:val="00D60D6F"/>
    <w:rsid w:val="00D613D6"/>
    <w:rsid w:val="00D615C0"/>
    <w:rsid w:val="00D615C4"/>
    <w:rsid w:val="00D617B0"/>
    <w:rsid w:val="00D61B33"/>
    <w:rsid w:val="00D61E73"/>
    <w:rsid w:val="00D62DB3"/>
    <w:rsid w:val="00D62E1E"/>
    <w:rsid w:val="00D62FC5"/>
    <w:rsid w:val="00D63415"/>
    <w:rsid w:val="00D635BD"/>
    <w:rsid w:val="00D6370B"/>
    <w:rsid w:val="00D637F6"/>
    <w:rsid w:val="00D63B5E"/>
    <w:rsid w:val="00D63BB0"/>
    <w:rsid w:val="00D63EE8"/>
    <w:rsid w:val="00D64D70"/>
    <w:rsid w:val="00D64F12"/>
    <w:rsid w:val="00D6505B"/>
    <w:rsid w:val="00D6561B"/>
    <w:rsid w:val="00D65738"/>
    <w:rsid w:val="00D66351"/>
    <w:rsid w:val="00D66875"/>
    <w:rsid w:val="00D66DC0"/>
    <w:rsid w:val="00D66E39"/>
    <w:rsid w:val="00D66F58"/>
    <w:rsid w:val="00D67060"/>
    <w:rsid w:val="00D67598"/>
    <w:rsid w:val="00D675FB"/>
    <w:rsid w:val="00D67F87"/>
    <w:rsid w:val="00D702A5"/>
    <w:rsid w:val="00D702F8"/>
    <w:rsid w:val="00D7040F"/>
    <w:rsid w:val="00D70A6E"/>
    <w:rsid w:val="00D70E31"/>
    <w:rsid w:val="00D70EA1"/>
    <w:rsid w:val="00D71001"/>
    <w:rsid w:val="00D71533"/>
    <w:rsid w:val="00D71A90"/>
    <w:rsid w:val="00D71D4C"/>
    <w:rsid w:val="00D7223D"/>
    <w:rsid w:val="00D72301"/>
    <w:rsid w:val="00D7241A"/>
    <w:rsid w:val="00D7246F"/>
    <w:rsid w:val="00D7292B"/>
    <w:rsid w:val="00D72C5F"/>
    <w:rsid w:val="00D72EF1"/>
    <w:rsid w:val="00D72FFC"/>
    <w:rsid w:val="00D73405"/>
    <w:rsid w:val="00D73522"/>
    <w:rsid w:val="00D73830"/>
    <w:rsid w:val="00D74528"/>
    <w:rsid w:val="00D74900"/>
    <w:rsid w:val="00D74953"/>
    <w:rsid w:val="00D74AC9"/>
    <w:rsid w:val="00D74B93"/>
    <w:rsid w:val="00D74CBC"/>
    <w:rsid w:val="00D753BF"/>
    <w:rsid w:val="00D754DE"/>
    <w:rsid w:val="00D7668B"/>
    <w:rsid w:val="00D76A45"/>
    <w:rsid w:val="00D76B16"/>
    <w:rsid w:val="00D76BEB"/>
    <w:rsid w:val="00D76C73"/>
    <w:rsid w:val="00D77218"/>
    <w:rsid w:val="00D777E6"/>
    <w:rsid w:val="00D77B21"/>
    <w:rsid w:val="00D77C5B"/>
    <w:rsid w:val="00D801B5"/>
    <w:rsid w:val="00D801FE"/>
    <w:rsid w:val="00D80455"/>
    <w:rsid w:val="00D8111A"/>
    <w:rsid w:val="00D81723"/>
    <w:rsid w:val="00D81BE1"/>
    <w:rsid w:val="00D81FDF"/>
    <w:rsid w:val="00D82218"/>
    <w:rsid w:val="00D831C8"/>
    <w:rsid w:val="00D8329E"/>
    <w:rsid w:val="00D832CE"/>
    <w:rsid w:val="00D832D2"/>
    <w:rsid w:val="00D837EC"/>
    <w:rsid w:val="00D83A03"/>
    <w:rsid w:val="00D83B10"/>
    <w:rsid w:val="00D841EC"/>
    <w:rsid w:val="00D84329"/>
    <w:rsid w:val="00D84495"/>
    <w:rsid w:val="00D847E3"/>
    <w:rsid w:val="00D84C6A"/>
    <w:rsid w:val="00D84E9C"/>
    <w:rsid w:val="00D858B4"/>
    <w:rsid w:val="00D859F4"/>
    <w:rsid w:val="00D85DC2"/>
    <w:rsid w:val="00D85E7B"/>
    <w:rsid w:val="00D86633"/>
    <w:rsid w:val="00D86846"/>
    <w:rsid w:val="00D869DB"/>
    <w:rsid w:val="00D86FA3"/>
    <w:rsid w:val="00D86FA6"/>
    <w:rsid w:val="00D87544"/>
    <w:rsid w:val="00D877D1"/>
    <w:rsid w:val="00D87BFB"/>
    <w:rsid w:val="00D90082"/>
    <w:rsid w:val="00D90320"/>
    <w:rsid w:val="00D9034B"/>
    <w:rsid w:val="00D90390"/>
    <w:rsid w:val="00D903B7"/>
    <w:rsid w:val="00D905DC"/>
    <w:rsid w:val="00D90C98"/>
    <w:rsid w:val="00D90E33"/>
    <w:rsid w:val="00D91743"/>
    <w:rsid w:val="00D917F7"/>
    <w:rsid w:val="00D9180E"/>
    <w:rsid w:val="00D91AE3"/>
    <w:rsid w:val="00D91DDC"/>
    <w:rsid w:val="00D91EFD"/>
    <w:rsid w:val="00D91F00"/>
    <w:rsid w:val="00D91FE0"/>
    <w:rsid w:val="00D92641"/>
    <w:rsid w:val="00D92830"/>
    <w:rsid w:val="00D92AB3"/>
    <w:rsid w:val="00D92B6C"/>
    <w:rsid w:val="00D92ECA"/>
    <w:rsid w:val="00D93A63"/>
    <w:rsid w:val="00D93B19"/>
    <w:rsid w:val="00D946F1"/>
    <w:rsid w:val="00D948D3"/>
    <w:rsid w:val="00D94909"/>
    <w:rsid w:val="00D94B76"/>
    <w:rsid w:val="00D950D6"/>
    <w:rsid w:val="00D95440"/>
    <w:rsid w:val="00D9588A"/>
    <w:rsid w:val="00D9591C"/>
    <w:rsid w:val="00D959FE"/>
    <w:rsid w:val="00D95A2D"/>
    <w:rsid w:val="00D963A0"/>
    <w:rsid w:val="00D96B0A"/>
    <w:rsid w:val="00D96BF2"/>
    <w:rsid w:val="00D96C41"/>
    <w:rsid w:val="00D974EC"/>
    <w:rsid w:val="00DA0222"/>
    <w:rsid w:val="00DA0315"/>
    <w:rsid w:val="00DA0895"/>
    <w:rsid w:val="00DA0C02"/>
    <w:rsid w:val="00DA0C24"/>
    <w:rsid w:val="00DA0DAB"/>
    <w:rsid w:val="00DA0F6D"/>
    <w:rsid w:val="00DA135A"/>
    <w:rsid w:val="00DA1363"/>
    <w:rsid w:val="00DA181B"/>
    <w:rsid w:val="00DA19A4"/>
    <w:rsid w:val="00DA1C25"/>
    <w:rsid w:val="00DA1F87"/>
    <w:rsid w:val="00DA2281"/>
    <w:rsid w:val="00DA25B8"/>
    <w:rsid w:val="00DA2603"/>
    <w:rsid w:val="00DA27EF"/>
    <w:rsid w:val="00DA2B16"/>
    <w:rsid w:val="00DA2F5F"/>
    <w:rsid w:val="00DA2FBA"/>
    <w:rsid w:val="00DA31AD"/>
    <w:rsid w:val="00DA36F0"/>
    <w:rsid w:val="00DA3A5A"/>
    <w:rsid w:val="00DA3B7E"/>
    <w:rsid w:val="00DA3BC4"/>
    <w:rsid w:val="00DA3C44"/>
    <w:rsid w:val="00DA3F52"/>
    <w:rsid w:val="00DA406D"/>
    <w:rsid w:val="00DA4154"/>
    <w:rsid w:val="00DA457E"/>
    <w:rsid w:val="00DA46FD"/>
    <w:rsid w:val="00DA4A42"/>
    <w:rsid w:val="00DA512F"/>
    <w:rsid w:val="00DA553E"/>
    <w:rsid w:val="00DA578B"/>
    <w:rsid w:val="00DA57D3"/>
    <w:rsid w:val="00DA5852"/>
    <w:rsid w:val="00DA5CB7"/>
    <w:rsid w:val="00DA6448"/>
    <w:rsid w:val="00DA6731"/>
    <w:rsid w:val="00DA6B85"/>
    <w:rsid w:val="00DA76B3"/>
    <w:rsid w:val="00DA795A"/>
    <w:rsid w:val="00DA7B40"/>
    <w:rsid w:val="00DB0577"/>
    <w:rsid w:val="00DB0856"/>
    <w:rsid w:val="00DB0896"/>
    <w:rsid w:val="00DB09E5"/>
    <w:rsid w:val="00DB09E7"/>
    <w:rsid w:val="00DB0D43"/>
    <w:rsid w:val="00DB0D4E"/>
    <w:rsid w:val="00DB108F"/>
    <w:rsid w:val="00DB10F8"/>
    <w:rsid w:val="00DB1273"/>
    <w:rsid w:val="00DB17B3"/>
    <w:rsid w:val="00DB1E44"/>
    <w:rsid w:val="00DB204F"/>
    <w:rsid w:val="00DB2234"/>
    <w:rsid w:val="00DB229B"/>
    <w:rsid w:val="00DB26BE"/>
    <w:rsid w:val="00DB294D"/>
    <w:rsid w:val="00DB2A3C"/>
    <w:rsid w:val="00DB3007"/>
    <w:rsid w:val="00DB30E1"/>
    <w:rsid w:val="00DB35E9"/>
    <w:rsid w:val="00DB40B5"/>
    <w:rsid w:val="00DB40E7"/>
    <w:rsid w:val="00DB42BD"/>
    <w:rsid w:val="00DB4457"/>
    <w:rsid w:val="00DB4B16"/>
    <w:rsid w:val="00DB4CD1"/>
    <w:rsid w:val="00DB560A"/>
    <w:rsid w:val="00DB5868"/>
    <w:rsid w:val="00DB5869"/>
    <w:rsid w:val="00DB5CF3"/>
    <w:rsid w:val="00DB5E2F"/>
    <w:rsid w:val="00DB5E31"/>
    <w:rsid w:val="00DB6324"/>
    <w:rsid w:val="00DB6740"/>
    <w:rsid w:val="00DB6DB8"/>
    <w:rsid w:val="00DB7989"/>
    <w:rsid w:val="00DB7D50"/>
    <w:rsid w:val="00DC03A3"/>
    <w:rsid w:val="00DC0429"/>
    <w:rsid w:val="00DC043E"/>
    <w:rsid w:val="00DC0620"/>
    <w:rsid w:val="00DC0AE4"/>
    <w:rsid w:val="00DC0CB1"/>
    <w:rsid w:val="00DC0FDF"/>
    <w:rsid w:val="00DC1110"/>
    <w:rsid w:val="00DC171B"/>
    <w:rsid w:val="00DC1796"/>
    <w:rsid w:val="00DC1A1A"/>
    <w:rsid w:val="00DC1AE0"/>
    <w:rsid w:val="00DC1CD1"/>
    <w:rsid w:val="00DC23A1"/>
    <w:rsid w:val="00DC24F7"/>
    <w:rsid w:val="00DC26E9"/>
    <w:rsid w:val="00DC2851"/>
    <w:rsid w:val="00DC2CC9"/>
    <w:rsid w:val="00DC2CE7"/>
    <w:rsid w:val="00DC3131"/>
    <w:rsid w:val="00DC36FE"/>
    <w:rsid w:val="00DC3914"/>
    <w:rsid w:val="00DC3B36"/>
    <w:rsid w:val="00DC3FB4"/>
    <w:rsid w:val="00DC48AF"/>
    <w:rsid w:val="00DC4909"/>
    <w:rsid w:val="00DC4C20"/>
    <w:rsid w:val="00DC4EB8"/>
    <w:rsid w:val="00DC4F19"/>
    <w:rsid w:val="00DC5111"/>
    <w:rsid w:val="00DC520C"/>
    <w:rsid w:val="00DC5793"/>
    <w:rsid w:val="00DC5A66"/>
    <w:rsid w:val="00DC5B49"/>
    <w:rsid w:val="00DC5CF8"/>
    <w:rsid w:val="00DC5E21"/>
    <w:rsid w:val="00DC6157"/>
    <w:rsid w:val="00DC6238"/>
    <w:rsid w:val="00DC653F"/>
    <w:rsid w:val="00DC65A5"/>
    <w:rsid w:val="00DC6945"/>
    <w:rsid w:val="00DC6F59"/>
    <w:rsid w:val="00DC703C"/>
    <w:rsid w:val="00DC70C6"/>
    <w:rsid w:val="00DC763A"/>
    <w:rsid w:val="00DC7A58"/>
    <w:rsid w:val="00DC7AE1"/>
    <w:rsid w:val="00DC7BB4"/>
    <w:rsid w:val="00DC7BB9"/>
    <w:rsid w:val="00DC7D3C"/>
    <w:rsid w:val="00DC7D7A"/>
    <w:rsid w:val="00DD02E0"/>
    <w:rsid w:val="00DD03F0"/>
    <w:rsid w:val="00DD050C"/>
    <w:rsid w:val="00DD0880"/>
    <w:rsid w:val="00DD0924"/>
    <w:rsid w:val="00DD0D6D"/>
    <w:rsid w:val="00DD10DA"/>
    <w:rsid w:val="00DD1AB3"/>
    <w:rsid w:val="00DD1E10"/>
    <w:rsid w:val="00DD2119"/>
    <w:rsid w:val="00DD250D"/>
    <w:rsid w:val="00DD2A4C"/>
    <w:rsid w:val="00DD2C5C"/>
    <w:rsid w:val="00DD2DC6"/>
    <w:rsid w:val="00DD3236"/>
    <w:rsid w:val="00DD33E1"/>
    <w:rsid w:val="00DD396C"/>
    <w:rsid w:val="00DD3A55"/>
    <w:rsid w:val="00DD3B2A"/>
    <w:rsid w:val="00DD4398"/>
    <w:rsid w:val="00DD4633"/>
    <w:rsid w:val="00DD4750"/>
    <w:rsid w:val="00DD4C0C"/>
    <w:rsid w:val="00DD4D2F"/>
    <w:rsid w:val="00DD4FE0"/>
    <w:rsid w:val="00DD5636"/>
    <w:rsid w:val="00DD5E57"/>
    <w:rsid w:val="00DD5EE4"/>
    <w:rsid w:val="00DD5FE7"/>
    <w:rsid w:val="00DD611C"/>
    <w:rsid w:val="00DD620B"/>
    <w:rsid w:val="00DD6301"/>
    <w:rsid w:val="00DD65BB"/>
    <w:rsid w:val="00DD6A1C"/>
    <w:rsid w:val="00DD6B22"/>
    <w:rsid w:val="00DD6FBA"/>
    <w:rsid w:val="00DD7141"/>
    <w:rsid w:val="00DD716A"/>
    <w:rsid w:val="00DD755D"/>
    <w:rsid w:val="00DD75BF"/>
    <w:rsid w:val="00DD75C6"/>
    <w:rsid w:val="00DD799B"/>
    <w:rsid w:val="00DD7A64"/>
    <w:rsid w:val="00DE0632"/>
    <w:rsid w:val="00DE07D6"/>
    <w:rsid w:val="00DE0A67"/>
    <w:rsid w:val="00DE0BBF"/>
    <w:rsid w:val="00DE0CED"/>
    <w:rsid w:val="00DE0F49"/>
    <w:rsid w:val="00DE0FAF"/>
    <w:rsid w:val="00DE0FBF"/>
    <w:rsid w:val="00DE1299"/>
    <w:rsid w:val="00DE16F0"/>
    <w:rsid w:val="00DE1B15"/>
    <w:rsid w:val="00DE2074"/>
    <w:rsid w:val="00DE24CE"/>
    <w:rsid w:val="00DE29D2"/>
    <w:rsid w:val="00DE2A68"/>
    <w:rsid w:val="00DE2A76"/>
    <w:rsid w:val="00DE2A96"/>
    <w:rsid w:val="00DE30B8"/>
    <w:rsid w:val="00DE3199"/>
    <w:rsid w:val="00DE31EE"/>
    <w:rsid w:val="00DE346A"/>
    <w:rsid w:val="00DE3980"/>
    <w:rsid w:val="00DE3F19"/>
    <w:rsid w:val="00DE414D"/>
    <w:rsid w:val="00DE4624"/>
    <w:rsid w:val="00DE4857"/>
    <w:rsid w:val="00DE4A48"/>
    <w:rsid w:val="00DE4AE3"/>
    <w:rsid w:val="00DE4AE5"/>
    <w:rsid w:val="00DE4BA2"/>
    <w:rsid w:val="00DE571C"/>
    <w:rsid w:val="00DE57B3"/>
    <w:rsid w:val="00DE57EB"/>
    <w:rsid w:val="00DE5BBC"/>
    <w:rsid w:val="00DE6448"/>
    <w:rsid w:val="00DE6689"/>
    <w:rsid w:val="00DE6AC0"/>
    <w:rsid w:val="00DE6BF9"/>
    <w:rsid w:val="00DE71CB"/>
    <w:rsid w:val="00DE738C"/>
    <w:rsid w:val="00DE774B"/>
    <w:rsid w:val="00DE789D"/>
    <w:rsid w:val="00DE78DD"/>
    <w:rsid w:val="00DF03C9"/>
    <w:rsid w:val="00DF03E3"/>
    <w:rsid w:val="00DF06E2"/>
    <w:rsid w:val="00DF06EC"/>
    <w:rsid w:val="00DF0814"/>
    <w:rsid w:val="00DF0845"/>
    <w:rsid w:val="00DF09EE"/>
    <w:rsid w:val="00DF0D02"/>
    <w:rsid w:val="00DF0D0C"/>
    <w:rsid w:val="00DF10B8"/>
    <w:rsid w:val="00DF15CA"/>
    <w:rsid w:val="00DF1692"/>
    <w:rsid w:val="00DF1875"/>
    <w:rsid w:val="00DF1B2E"/>
    <w:rsid w:val="00DF1C29"/>
    <w:rsid w:val="00DF1DA8"/>
    <w:rsid w:val="00DF1E0A"/>
    <w:rsid w:val="00DF1F43"/>
    <w:rsid w:val="00DF23B7"/>
    <w:rsid w:val="00DF26EC"/>
    <w:rsid w:val="00DF26F7"/>
    <w:rsid w:val="00DF27C2"/>
    <w:rsid w:val="00DF28D4"/>
    <w:rsid w:val="00DF2A45"/>
    <w:rsid w:val="00DF2B32"/>
    <w:rsid w:val="00DF3059"/>
    <w:rsid w:val="00DF31CA"/>
    <w:rsid w:val="00DF33CC"/>
    <w:rsid w:val="00DF3A5C"/>
    <w:rsid w:val="00DF3C1C"/>
    <w:rsid w:val="00DF3C61"/>
    <w:rsid w:val="00DF45A1"/>
    <w:rsid w:val="00DF48D2"/>
    <w:rsid w:val="00DF4A51"/>
    <w:rsid w:val="00DF4E9B"/>
    <w:rsid w:val="00DF4F6F"/>
    <w:rsid w:val="00DF565E"/>
    <w:rsid w:val="00DF5F4D"/>
    <w:rsid w:val="00DF64AD"/>
    <w:rsid w:val="00DF650D"/>
    <w:rsid w:val="00DF660C"/>
    <w:rsid w:val="00DF6983"/>
    <w:rsid w:val="00DF698F"/>
    <w:rsid w:val="00DF6E26"/>
    <w:rsid w:val="00DF6F2C"/>
    <w:rsid w:val="00DF7023"/>
    <w:rsid w:val="00DF7025"/>
    <w:rsid w:val="00DF71AA"/>
    <w:rsid w:val="00DF7663"/>
    <w:rsid w:val="00DF7BA1"/>
    <w:rsid w:val="00DF7EB1"/>
    <w:rsid w:val="00DF7F71"/>
    <w:rsid w:val="00DF7FA9"/>
    <w:rsid w:val="00E0061C"/>
    <w:rsid w:val="00E0063D"/>
    <w:rsid w:val="00E006C9"/>
    <w:rsid w:val="00E007F5"/>
    <w:rsid w:val="00E00A51"/>
    <w:rsid w:val="00E01098"/>
    <w:rsid w:val="00E01918"/>
    <w:rsid w:val="00E01A69"/>
    <w:rsid w:val="00E01B61"/>
    <w:rsid w:val="00E01E39"/>
    <w:rsid w:val="00E01EB5"/>
    <w:rsid w:val="00E01EB8"/>
    <w:rsid w:val="00E031EC"/>
    <w:rsid w:val="00E03654"/>
    <w:rsid w:val="00E036B5"/>
    <w:rsid w:val="00E0374C"/>
    <w:rsid w:val="00E03885"/>
    <w:rsid w:val="00E03AC5"/>
    <w:rsid w:val="00E03BCD"/>
    <w:rsid w:val="00E043C3"/>
    <w:rsid w:val="00E046FB"/>
    <w:rsid w:val="00E0470B"/>
    <w:rsid w:val="00E047BC"/>
    <w:rsid w:val="00E048A9"/>
    <w:rsid w:val="00E04911"/>
    <w:rsid w:val="00E0495E"/>
    <w:rsid w:val="00E04C42"/>
    <w:rsid w:val="00E04D1C"/>
    <w:rsid w:val="00E04EB0"/>
    <w:rsid w:val="00E05172"/>
    <w:rsid w:val="00E0519E"/>
    <w:rsid w:val="00E05362"/>
    <w:rsid w:val="00E05438"/>
    <w:rsid w:val="00E054C3"/>
    <w:rsid w:val="00E05500"/>
    <w:rsid w:val="00E057D2"/>
    <w:rsid w:val="00E059B8"/>
    <w:rsid w:val="00E05C5A"/>
    <w:rsid w:val="00E0652D"/>
    <w:rsid w:val="00E06532"/>
    <w:rsid w:val="00E06A05"/>
    <w:rsid w:val="00E06FDE"/>
    <w:rsid w:val="00E07A86"/>
    <w:rsid w:val="00E07BB5"/>
    <w:rsid w:val="00E07C3A"/>
    <w:rsid w:val="00E07FAB"/>
    <w:rsid w:val="00E1079B"/>
    <w:rsid w:val="00E10956"/>
    <w:rsid w:val="00E10FA2"/>
    <w:rsid w:val="00E114BC"/>
    <w:rsid w:val="00E1180A"/>
    <w:rsid w:val="00E11925"/>
    <w:rsid w:val="00E120FD"/>
    <w:rsid w:val="00E1225C"/>
    <w:rsid w:val="00E12468"/>
    <w:rsid w:val="00E124C2"/>
    <w:rsid w:val="00E12608"/>
    <w:rsid w:val="00E126AB"/>
    <w:rsid w:val="00E12BAB"/>
    <w:rsid w:val="00E140D5"/>
    <w:rsid w:val="00E1451E"/>
    <w:rsid w:val="00E14B1C"/>
    <w:rsid w:val="00E157E9"/>
    <w:rsid w:val="00E15997"/>
    <w:rsid w:val="00E15EF2"/>
    <w:rsid w:val="00E160E8"/>
    <w:rsid w:val="00E16414"/>
    <w:rsid w:val="00E16FDF"/>
    <w:rsid w:val="00E16FEB"/>
    <w:rsid w:val="00E1731F"/>
    <w:rsid w:val="00E17456"/>
    <w:rsid w:val="00E20183"/>
    <w:rsid w:val="00E202CA"/>
    <w:rsid w:val="00E2088E"/>
    <w:rsid w:val="00E210DA"/>
    <w:rsid w:val="00E21217"/>
    <w:rsid w:val="00E215EC"/>
    <w:rsid w:val="00E21830"/>
    <w:rsid w:val="00E21969"/>
    <w:rsid w:val="00E219B3"/>
    <w:rsid w:val="00E220ED"/>
    <w:rsid w:val="00E22248"/>
    <w:rsid w:val="00E22D84"/>
    <w:rsid w:val="00E22EBF"/>
    <w:rsid w:val="00E23153"/>
    <w:rsid w:val="00E236B3"/>
    <w:rsid w:val="00E237E8"/>
    <w:rsid w:val="00E23C67"/>
    <w:rsid w:val="00E23DA4"/>
    <w:rsid w:val="00E24078"/>
    <w:rsid w:val="00E24220"/>
    <w:rsid w:val="00E24A5B"/>
    <w:rsid w:val="00E24EFD"/>
    <w:rsid w:val="00E251BB"/>
    <w:rsid w:val="00E252E0"/>
    <w:rsid w:val="00E2539C"/>
    <w:rsid w:val="00E2563D"/>
    <w:rsid w:val="00E25B5E"/>
    <w:rsid w:val="00E25CE3"/>
    <w:rsid w:val="00E25DBC"/>
    <w:rsid w:val="00E25F42"/>
    <w:rsid w:val="00E2603C"/>
    <w:rsid w:val="00E260BD"/>
    <w:rsid w:val="00E2619D"/>
    <w:rsid w:val="00E2643D"/>
    <w:rsid w:val="00E26529"/>
    <w:rsid w:val="00E26FE1"/>
    <w:rsid w:val="00E271C4"/>
    <w:rsid w:val="00E273A1"/>
    <w:rsid w:val="00E302DB"/>
    <w:rsid w:val="00E30702"/>
    <w:rsid w:val="00E30811"/>
    <w:rsid w:val="00E314FC"/>
    <w:rsid w:val="00E31593"/>
    <w:rsid w:val="00E31CD9"/>
    <w:rsid w:val="00E31DB1"/>
    <w:rsid w:val="00E31E43"/>
    <w:rsid w:val="00E32157"/>
    <w:rsid w:val="00E3216B"/>
    <w:rsid w:val="00E3243C"/>
    <w:rsid w:val="00E32495"/>
    <w:rsid w:val="00E32530"/>
    <w:rsid w:val="00E32E3B"/>
    <w:rsid w:val="00E33087"/>
    <w:rsid w:val="00E331DD"/>
    <w:rsid w:val="00E3328D"/>
    <w:rsid w:val="00E339D0"/>
    <w:rsid w:val="00E33FC7"/>
    <w:rsid w:val="00E3430B"/>
    <w:rsid w:val="00E34409"/>
    <w:rsid w:val="00E34992"/>
    <w:rsid w:val="00E349C3"/>
    <w:rsid w:val="00E34A21"/>
    <w:rsid w:val="00E34E55"/>
    <w:rsid w:val="00E35C01"/>
    <w:rsid w:val="00E35DA5"/>
    <w:rsid w:val="00E35DA9"/>
    <w:rsid w:val="00E35FBF"/>
    <w:rsid w:val="00E3631F"/>
    <w:rsid w:val="00E3638C"/>
    <w:rsid w:val="00E367BF"/>
    <w:rsid w:val="00E368EA"/>
    <w:rsid w:val="00E369AE"/>
    <w:rsid w:val="00E36B34"/>
    <w:rsid w:val="00E36EC0"/>
    <w:rsid w:val="00E370FD"/>
    <w:rsid w:val="00E37134"/>
    <w:rsid w:val="00E3749F"/>
    <w:rsid w:val="00E37703"/>
    <w:rsid w:val="00E4021C"/>
    <w:rsid w:val="00E40393"/>
    <w:rsid w:val="00E403D6"/>
    <w:rsid w:val="00E40442"/>
    <w:rsid w:val="00E40555"/>
    <w:rsid w:val="00E407DA"/>
    <w:rsid w:val="00E40B0B"/>
    <w:rsid w:val="00E4145C"/>
    <w:rsid w:val="00E41975"/>
    <w:rsid w:val="00E41986"/>
    <w:rsid w:val="00E41A00"/>
    <w:rsid w:val="00E41CB9"/>
    <w:rsid w:val="00E41CC3"/>
    <w:rsid w:val="00E41E10"/>
    <w:rsid w:val="00E41F67"/>
    <w:rsid w:val="00E4247D"/>
    <w:rsid w:val="00E42F5D"/>
    <w:rsid w:val="00E43345"/>
    <w:rsid w:val="00E438CE"/>
    <w:rsid w:val="00E43922"/>
    <w:rsid w:val="00E43B65"/>
    <w:rsid w:val="00E43CB6"/>
    <w:rsid w:val="00E43E21"/>
    <w:rsid w:val="00E443BE"/>
    <w:rsid w:val="00E44657"/>
    <w:rsid w:val="00E44829"/>
    <w:rsid w:val="00E4498A"/>
    <w:rsid w:val="00E44BC1"/>
    <w:rsid w:val="00E44D25"/>
    <w:rsid w:val="00E44D36"/>
    <w:rsid w:val="00E45900"/>
    <w:rsid w:val="00E45B33"/>
    <w:rsid w:val="00E45BB8"/>
    <w:rsid w:val="00E45D8A"/>
    <w:rsid w:val="00E46001"/>
    <w:rsid w:val="00E46113"/>
    <w:rsid w:val="00E47768"/>
    <w:rsid w:val="00E478F0"/>
    <w:rsid w:val="00E47AAD"/>
    <w:rsid w:val="00E50110"/>
    <w:rsid w:val="00E502F1"/>
    <w:rsid w:val="00E50CD8"/>
    <w:rsid w:val="00E50E48"/>
    <w:rsid w:val="00E50F34"/>
    <w:rsid w:val="00E50F5B"/>
    <w:rsid w:val="00E51255"/>
    <w:rsid w:val="00E514C5"/>
    <w:rsid w:val="00E51811"/>
    <w:rsid w:val="00E51F37"/>
    <w:rsid w:val="00E52196"/>
    <w:rsid w:val="00E524AA"/>
    <w:rsid w:val="00E5252E"/>
    <w:rsid w:val="00E52C2F"/>
    <w:rsid w:val="00E52CDB"/>
    <w:rsid w:val="00E52F4C"/>
    <w:rsid w:val="00E52F5C"/>
    <w:rsid w:val="00E52F8D"/>
    <w:rsid w:val="00E534C9"/>
    <w:rsid w:val="00E53E83"/>
    <w:rsid w:val="00E53ECF"/>
    <w:rsid w:val="00E543E0"/>
    <w:rsid w:val="00E5469D"/>
    <w:rsid w:val="00E54B09"/>
    <w:rsid w:val="00E552F3"/>
    <w:rsid w:val="00E55614"/>
    <w:rsid w:val="00E558CB"/>
    <w:rsid w:val="00E55903"/>
    <w:rsid w:val="00E560EC"/>
    <w:rsid w:val="00E5659F"/>
    <w:rsid w:val="00E567BB"/>
    <w:rsid w:val="00E56BAB"/>
    <w:rsid w:val="00E56C39"/>
    <w:rsid w:val="00E56D02"/>
    <w:rsid w:val="00E57411"/>
    <w:rsid w:val="00E577E2"/>
    <w:rsid w:val="00E57B46"/>
    <w:rsid w:val="00E57C43"/>
    <w:rsid w:val="00E57E3F"/>
    <w:rsid w:val="00E600DC"/>
    <w:rsid w:val="00E600E7"/>
    <w:rsid w:val="00E601E7"/>
    <w:rsid w:val="00E604BB"/>
    <w:rsid w:val="00E60720"/>
    <w:rsid w:val="00E60745"/>
    <w:rsid w:val="00E60874"/>
    <w:rsid w:val="00E608CD"/>
    <w:rsid w:val="00E6092C"/>
    <w:rsid w:val="00E60979"/>
    <w:rsid w:val="00E60B7A"/>
    <w:rsid w:val="00E60BF7"/>
    <w:rsid w:val="00E60D3D"/>
    <w:rsid w:val="00E60D9A"/>
    <w:rsid w:val="00E60E61"/>
    <w:rsid w:val="00E61433"/>
    <w:rsid w:val="00E61B7F"/>
    <w:rsid w:val="00E61D2A"/>
    <w:rsid w:val="00E61DB4"/>
    <w:rsid w:val="00E623EE"/>
    <w:rsid w:val="00E628E6"/>
    <w:rsid w:val="00E62915"/>
    <w:rsid w:val="00E62954"/>
    <w:rsid w:val="00E629F5"/>
    <w:rsid w:val="00E62B39"/>
    <w:rsid w:val="00E62F15"/>
    <w:rsid w:val="00E63251"/>
    <w:rsid w:val="00E635C2"/>
    <w:rsid w:val="00E63858"/>
    <w:rsid w:val="00E6399A"/>
    <w:rsid w:val="00E63A76"/>
    <w:rsid w:val="00E63D4F"/>
    <w:rsid w:val="00E6444F"/>
    <w:rsid w:val="00E644BF"/>
    <w:rsid w:val="00E64801"/>
    <w:rsid w:val="00E64E75"/>
    <w:rsid w:val="00E64ED2"/>
    <w:rsid w:val="00E65324"/>
    <w:rsid w:val="00E65528"/>
    <w:rsid w:val="00E655FA"/>
    <w:rsid w:val="00E65C5F"/>
    <w:rsid w:val="00E662CA"/>
    <w:rsid w:val="00E6633D"/>
    <w:rsid w:val="00E66550"/>
    <w:rsid w:val="00E66B08"/>
    <w:rsid w:val="00E66F30"/>
    <w:rsid w:val="00E6749D"/>
    <w:rsid w:val="00E674BA"/>
    <w:rsid w:val="00E6756C"/>
    <w:rsid w:val="00E67808"/>
    <w:rsid w:val="00E67A27"/>
    <w:rsid w:val="00E67C50"/>
    <w:rsid w:val="00E67D4F"/>
    <w:rsid w:val="00E67E4B"/>
    <w:rsid w:val="00E67EBD"/>
    <w:rsid w:val="00E700F3"/>
    <w:rsid w:val="00E7020E"/>
    <w:rsid w:val="00E7040C"/>
    <w:rsid w:val="00E70D9C"/>
    <w:rsid w:val="00E70DE5"/>
    <w:rsid w:val="00E7104E"/>
    <w:rsid w:val="00E711F6"/>
    <w:rsid w:val="00E71664"/>
    <w:rsid w:val="00E718E0"/>
    <w:rsid w:val="00E71B57"/>
    <w:rsid w:val="00E71B68"/>
    <w:rsid w:val="00E71D39"/>
    <w:rsid w:val="00E71F16"/>
    <w:rsid w:val="00E723FE"/>
    <w:rsid w:val="00E725A1"/>
    <w:rsid w:val="00E725D4"/>
    <w:rsid w:val="00E7265F"/>
    <w:rsid w:val="00E72BC7"/>
    <w:rsid w:val="00E7314E"/>
    <w:rsid w:val="00E7361F"/>
    <w:rsid w:val="00E7378A"/>
    <w:rsid w:val="00E73A62"/>
    <w:rsid w:val="00E74246"/>
    <w:rsid w:val="00E74AAF"/>
    <w:rsid w:val="00E74F3F"/>
    <w:rsid w:val="00E7509E"/>
    <w:rsid w:val="00E755D2"/>
    <w:rsid w:val="00E75D7F"/>
    <w:rsid w:val="00E763A4"/>
    <w:rsid w:val="00E7650A"/>
    <w:rsid w:val="00E76627"/>
    <w:rsid w:val="00E76639"/>
    <w:rsid w:val="00E769C8"/>
    <w:rsid w:val="00E76A0B"/>
    <w:rsid w:val="00E77204"/>
    <w:rsid w:val="00E7726D"/>
    <w:rsid w:val="00E77453"/>
    <w:rsid w:val="00E7753C"/>
    <w:rsid w:val="00E7790C"/>
    <w:rsid w:val="00E77E16"/>
    <w:rsid w:val="00E80061"/>
    <w:rsid w:val="00E80A5E"/>
    <w:rsid w:val="00E80BE9"/>
    <w:rsid w:val="00E80C18"/>
    <w:rsid w:val="00E80E9A"/>
    <w:rsid w:val="00E8144C"/>
    <w:rsid w:val="00E816B4"/>
    <w:rsid w:val="00E818E8"/>
    <w:rsid w:val="00E81AB7"/>
    <w:rsid w:val="00E81AC0"/>
    <w:rsid w:val="00E820A1"/>
    <w:rsid w:val="00E82214"/>
    <w:rsid w:val="00E827FE"/>
    <w:rsid w:val="00E82A09"/>
    <w:rsid w:val="00E82B7C"/>
    <w:rsid w:val="00E82C9B"/>
    <w:rsid w:val="00E82FB9"/>
    <w:rsid w:val="00E834BA"/>
    <w:rsid w:val="00E83973"/>
    <w:rsid w:val="00E83FBF"/>
    <w:rsid w:val="00E841A6"/>
    <w:rsid w:val="00E841FF"/>
    <w:rsid w:val="00E84581"/>
    <w:rsid w:val="00E84DA0"/>
    <w:rsid w:val="00E84DB7"/>
    <w:rsid w:val="00E8564C"/>
    <w:rsid w:val="00E85B46"/>
    <w:rsid w:val="00E85C18"/>
    <w:rsid w:val="00E85E6F"/>
    <w:rsid w:val="00E85EE9"/>
    <w:rsid w:val="00E86310"/>
    <w:rsid w:val="00E86839"/>
    <w:rsid w:val="00E87392"/>
    <w:rsid w:val="00E8748E"/>
    <w:rsid w:val="00E876D1"/>
    <w:rsid w:val="00E8774E"/>
    <w:rsid w:val="00E87D26"/>
    <w:rsid w:val="00E87F9B"/>
    <w:rsid w:val="00E901AD"/>
    <w:rsid w:val="00E903F6"/>
    <w:rsid w:val="00E904D3"/>
    <w:rsid w:val="00E90533"/>
    <w:rsid w:val="00E907C2"/>
    <w:rsid w:val="00E90A84"/>
    <w:rsid w:val="00E913D8"/>
    <w:rsid w:val="00E91492"/>
    <w:rsid w:val="00E91524"/>
    <w:rsid w:val="00E91A50"/>
    <w:rsid w:val="00E91E4B"/>
    <w:rsid w:val="00E927FE"/>
    <w:rsid w:val="00E92860"/>
    <w:rsid w:val="00E92AF2"/>
    <w:rsid w:val="00E92C95"/>
    <w:rsid w:val="00E92CDD"/>
    <w:rsid w:val="00E9312B"/>
    <w:rsid w:val="00E9375B"/>
    <w:rsid w:val="00E9381F"/>
    <w:rsid w:val="00E93B47"/>
    <w:rsid w:val="00E93DDD"/>
    <w:rsid w:val="00E945BE"/>
    <w:rsid w:val="00E94A6D"/>
    <w:rsid w:val="00E94C42"/>
    <w:rsid w:val="00E951A4"/>
    <w:rsid w:val="00E95323"/>
    <w:rsid w:val="00E95373"/>
    <w:rsid w:val="00E957F1"/>
    <w:rsid w:val="00E95D9F"/>
    <w:rsid w:val="00E96142"/>
    <w:rsid w:val="00E964AB"/>
    <w:rsid w:val="00E965FD"/>
    <w:rsid w:val="00E96B4E"/>
    <w:rsid w:val="00E96DB9"/>
    <w:rsid w:val="00E97081"/>
    <w:rsid w:val="00E97806"/>
    <w:rsid w:val="00E9787B"/>
    <w:rsid w:val="00E979AF"/>
    <w:rsid w:val="00E97DAF"/>
    <w:rsid w:val="00EA00A7"/>
    <w:rsid w:val="00EA0245"/>
    <w:rsid w:val="00EA03D6"/>
    <w:rsid w:val="00EA046C"/>
    <w:rsid w:val="00EA07C3"/>
    <w:rsid w:val="00EA0E03"/>
    <w:rsid w:val="00EA0E0A"/>
    <w:rsid w:val="00EA0EED"/>
    <w:rsid w:val="00EA0FA2"/>
    <w:rsid w:val="00EA1008"/>
    <w:rsid w:val="00EA12AB"/>
    <w:rsid w:val="00EA1599"/>
    <w:rsid w:val="00EA15D5"/>
    <w:rsid w:val="00EA1905"/>
    <w:rsid w:val="00EA1EF1"/>
    <w:rsid w:val="00EA22E0"/>
    <w:rsid w:val="00EA2338"/>
    <w:rsid w:val="00EA23F0"/>
    <w:rsid w:val="00EA2520"/>
    <w:rsid w:val="00EA2543"/>
    <w:rsid w:val="00EA2632"/>
    <w:rsid w:val="00EA3693"/>
    <w:rsid w:val="00EA3B45"/>
    <w:rsid w:val="00EA4157"/>
    <w:rsid w:val="00EA462A"/>
    <w:rsid w:val="00EA4689"/>
    <w:rsid w:val="00EA4696"/>
    <w:rsid w:val="00EA46C1"/>
    <w:rsid w:val="00EA5123"/>
    <w:rsid w:val="00EA58FD"/>
    <w:rsid w:val="00EA5BA5"/>
    <w:rsid w:val="00EA5E94"/>
    <w:rsid w:val="00EA6598"/>
    <w:rsid w:val="00EA670D"/>
    <w:rsid w:val="00EA685A"/>
    <w:rsid w:val="00EA6AF5"/>
    <w:rsid w:val="00EA6E57"/>
    <w:rsid w:val="00EA7659"/>
    <w:rsid w:val="00EA76A3"/>
    <w:rsid w:val="00EA774D"/>
    <w:rsid w:val="00EA7B04"/>
    <w:rsid w:val="00EA7B0C"/>
    <w:rsid w:val="00EA7E22"/>
    <w:rsid w:val="00EA7E6F"/>
    <w:rsid w:val="00EA7FCC"/>
    <w:rsid w:val="00EB006B"/>
    <w:rsid w:val="00EB01C3"/>
    <w:rsid w:val="00EB0248"/>
    <w:rsid w:val="00EB0513"/>
    <w:rsid w:val="00EB0766"/>
    <w:rsid w:val="00EB0B15"/>
    <w:rsid w:val="00EB0BC4"/>
    <w:rsid w:val="00EB0CA7"/>
    <w:rsid w:val="00EB1ABD"/>
    <w:rsid w:val="00EB1DDA"/>
    <w:rsid w:val="00EB1F45"/>
    <w:rsid w:val="00EB2B2E"/>
    <w:rsid w:val="00EB2DBC"/>
    <w:rsid w:val="00EB366D"/>
    <w:rsid w:val="00EB36FB"/>
    <w:rsid w:val="00EB3A1A"/>
    <w:rsid w:val="00EB3AAC"/>
    <w:rsid w:val="00EB3D77"/>
    <w:rsid w:val="00EB3F37"/>
    <w:rsid w:val="00EB45FE"/>
    <w:rsid w:val="00EB47C0"/>
    <w:rsid w:val="00EB4843"/>
    <w:rsid w:val="00EB48F5"/>
    <w:rsid w:val="00EB4D55"/>
    <w:rsid w:val="00EB4F97"/>
    <w:rsid w:val="00EB53E9"/>
    <w:rsid w:val="00EB5884"/>
    <w:rsid w:val="00EB5E70"/>
    <w:rsid w:val="00EB62AC"/>
    <w:rsid w:val="00EB630B"/>
    <w:rsid w:val="00EB6BB2"/>
    <w:rsid w:val="00EB7405"/>
    <w:rsid w:val="00EB7462"/>
    <w:rsid w:val="00EB769F"/>
    <w:rsid w:val="00EB77C5"/>
    <w:rsid w:val="00EC0526"/>
    <w:rsid w:val="00EC0D3B"/>
    <w:rsid w:val="00EC0EEC"/>
    <w:rsid w:val="00EC12F8"/>
    <w:rsid w:val="00EC1427"/>
    <w:rsid w:val="00EC144C"/>
    <w:rsid w:val="00EC154F"/>
    <w:rsid w:val="00EC1860"/>
    <w:rsid w:val="00EC1931"/>
    <w:rsid w:val="00EC1B94"/>
    <w:rsid w:val="00EC1C0D"/>
    <w:rsid w:val="00EC20E1"/>
    <w:rsid w:val="00EC2261"/>
    <w:rsid w:val="00EC24AC"/>
    <w:rsid w:val="00EC257F"/>
    <w:rsid w:val="00EC30AB"/>
    <w:rsid w:val="00EC3160"/>
    <w:rsid w:val="00EC356F"/>
    <w:rsid w:val="00EC39C3"/>
    <w:rsid w:val="00EC39E4"/>
    <w:rsid w:val="00EC3BA0"/>
    <w:rsid w:val="00EC4225"/>
    <w:rsid w:val="00EC42ED"/>
    <w:rsid w:val="00EC4352"/>
    <w:rsid w:val="00EC46D6"/>
    <w:rsid w:val="00EC48C8"/>
    <w:rsid w:val="00EC49F5"/>
    <w:rsid w:val="00EC4A43"/>
    <w:rsid w:val="00EC4C53"/>
    <w:rsid w:val="00EC4CB9"/>
    <w:rsid w:val="00EC58D5"/>
    <w:rsid w:val="00EC6668"/>
    <w:rsid w:val="00EC6883"/>
    <w:rsid w:val="00EC6D20"/>
    <w:rsid w:val="00EC70ED"/>
    <w:rsid w:val="00EC72A6"/>
    <w:rsid w:val="00EC730E"/>
    <w:rsid w:val="00EC7A51"/>
    <w:rsid w:val="00EC7D29"/>
    <w:rsid w:val="00EC7F79"/>
    <w:rsid w:val="00ED0317"/>
    <w:rsid w:val="00ED03EE"/>
    <w:rsid w:val="00ED0523"/>
    <w:rsid w:val="00ED06BE"/>
    <w:rsid w:val="00ED0721"/>
    <w:rsid w:val="00ED0979"/>
    <w:rsid w:val="00ED0A35"/>
    <w:rsid w:val="00ED1041"/>
    <w:rsid w:val="00ED106F"/>
    <w:rsid w:val="00ED1559"/>
    <w:rsid w:val="00ED1734"/>
    <w:rsid w:val="00ED1853"/>
    <w:rsid w:val="00ED2348"/>
    <w:rsid w:val="00ED2524"/>
    <w:rsid w:val="00ED2D76"/>
    <w:rsid w:val="00ED30C1"/>
    <w:rsid w:val="00ED3A7F"/>
    <w:rsid w:val="00ED4074"/>
    <w:rsid w:val="00ED4181"/>
    <w:rsid w:val="00ED4438"/>
    <w:rsid w:val="00ED47BD"/>
    <w:rsid w:val="00ED4BB4"/>
    <w:rsid w:val="00ED4C8D"/>
    <w:rsid w:val="00ED4D3C"/>
    <w:rsid w:val="00ED4E79"/>
    <w:rsid w:val="00ED5077"/>
    <w:rsid w:val="00ED530D"/>
    <w:rsid w:val="00ED5484"/>
    <w:rsid w:val="00ED551E"/>
    <w:rsid w:val="00ED572E"/>
    <w:rsid w:val="00ED5897"/>
    <w:rsid w:val="00ED589C"/>
    <w:rsid w:val="00ED58FE"/>
    <w:rsid w:val="00ED5AFA"/>
    <w:rsid w:val="00ED6327"/>
    <w:rsid w:val="00ED6766"/>
    <w:rsid w:val="00ED67C8"/>
    <w:rsid w:val="00ED6DFB"/>
    <w:rsid w:val="00ED7294"/>
    <w:rsid w:val="00ED760E"/>
    <w:rsid w:val="00ED7612"/>
    <w:rsid w:val="00ED76EA"/>
    <w:rsid w:val="00ED782F"/>
    <w:rsid w:val="00ED7993"/>
    <w:rsid w:val="00EE00CF"/>
    <w:rsid w:val="00EE03FB"/>
    <w:rsid w:val="00EE0770"/>
    <w:rsid w:val="00EE0BC4"/>
    <w:rsid w:val="00EE0F01"/>
    <w:rsid w:val="00EE1837"/>
    <w:rsid w:val="00EE18A6"/>
    <w:rsid w:val="00EE2100"/>
    <w:rsid w:val="00EE2218"/>
    <w:rsid w:val="00EE2533"/>
    <w:rsid w:val="00EE2936"/>
    <w:rsid w:val="00EE2A54"/>
    <w:rsid w:val="00EE2AF0"/>
    <w:rsid w:val="00EE2DD5"/>
    <w:rsid w:val="00EE2F9C"/>
    <w:rsid w:val="00EE308C"/>
    <w:rsid w:val="00EE35DF"/>
    <w:rsid w:val="00EE36F3"/>
    <w:rsid w:val="00EE3AF3"/>
    <w:rsid w:val="00EE3B6C"/>
    <w:rsid w:val="00EE3BF0"/>
    <w:rsid w:val="00EE4323"/>
    <w:rsid w:val="00EE4733"/>
    <w:rsid w:val="00EE47CE"/>
    <w:rsid w:val="00EE47CF"/>
    <w:rsid w:val="00EE4C73"/>
    <w:rsid w:val="00EE50D6"/>
    <w:rsid w:val="00EE5282"/>
    <w:rsid w:val="00EE5405"/>
    <w:rsid w:val="00EE543D"/>
    <w:rsid w:val="00EE623D"/>
    <w:rsid w:val="00EE6573"/>
    <w:rsid w:val="00EE674A"/>
    <w:rsid w:val="00EE67A5"/>
    <w:rsid w:val="00EE68F4"/>
    <w:rsid w:val="00EE6D35"/>
    <w:rsid w:val="00EE6FBD"/>
    <w:rsid w:val="00EE7025"/>
    <w:rsid w:val="00EE7834"/>
    <w:rsid w:val="00EE79D0"/>
    <w:rsid w:val="00EE7A5E"/>
    <w:rsid w:val="00EE7B4A"/>
    <w:rsid w:val="00EF065A"/>
    <w:rsid w:val="00EF0BB1"/>
    <w:rsid w:val="00EF0BE7"/>
    <w:rsid w:val="00EF0CBE"/>
    <w:rsid w:val="00EF0CEE"/>
    <w:rsid w:val="00EF0D89"/>
    <w:rsid w:val="00EF1045"/>
    <w:rsid w:val="00EF17B3"/>
    <w:rsid w:val="00EF1ED3"/>
    <w:rsid w:val="00EF2621"/>
    <w:rsid w:val="00EF28EE"/>
    <w:rsid w:val="00EF298C"/>
    <w:rsid w:val="00EF2E9A"/>
    <w:rsid w:val="00EF3331"/>
    <w:rsid w:val="00EF3A15"/>
    <w:rsid w:val="00EF3AA7"/>
    <w:rsid w:val="00EF3B09"/>
    <w:rsid w:val="00EF3C89"/>
    <w:rsid w:val="00EF421E"/>
    <w:rsid w:val="00EF43E5"/>
    <w:rsid w:val="00EF496D"/>
    <w:rsid w:val="00EF4FF3"/>
    <w:rsid w:val="00EF5039"/>
    <w:rsid w:val="00EF54DB"/>
    <w:rsid w:val="00EF57CD"/>
    <w:rsid w:val="00EF5868"/>
    <w:rsid w:val="00EF58B9"/>
    <w:rsid w:val="00EF59B7"/>
    <w:rsid w:val="00EF5A30"/>
    <w:rsid w:val="00EF5FD4"/>
    <w:rsid w:val="00EF6095"/>
    <w:rsid w:val="00EF6357"/>
    <w:rsid w:val="00EF63E1"/>
    <w:rsid w:val="00EF6458"/>
    <w:rsid w:val="00EF66F1"/>
    <w:rsid w:val="00EF6728"/>
    <w:rsid w:val="00EF68F1"/>
    <w:rsid w:val="00EF6ACC"/>
    <w:rsid w:val="00EF6E6C"/>
    <w:rsid w:val="00EF6EED"/>
    <w:rsid w:val="00EF725C"/>
    <w:rsid w:val="00EF7305"/>
    <w:rsid w:val="00EF73E2"/>
    <w:rsid w:val="00EF762E"/>
    <w:rsid w:val="00EF7A7A"/>
    <w:rsid w:val="00F001A7"/>
    <w:rsid w:val="00F00862"/>
    <w:rsid w:val="00F008AF"/>
    <w:rsid w:val="00F00D42"/>
    <w:rsid w:val="00F01251"/>
    <w:rsid w:val="00F012B0"/>
    <w:rsid w:val="00F012D9"/>
    <w:rsid w:val="00F014E6"/>
    <w:rsid w:val="00F015BA"/>
    <w:rsid w:val="00F01934"/>
    <w:rsid w:val="00F0255A"/>
    <w:rsid w:val="00F0311E"/>
    <w:rsid w:val="00F037BB"/>
    <w:rsid w:val="00F037CA"/>
    <w:rsid w:val="00F03ACC"/>
    <w:rsid w:val="00F03B0E"/>
    <w:rsid w:val="00F03BE4"/>
    <w:rsid w:val="00F04A46"/>
    <w:rsid w:val="00F04D37"/>
    <w:rsid w:val="00F04F05"/>
    <w:rsid w:val="00F04F61"/>
    <w:rsid w:val="00F0508F"/>
    <w:rsid w:val="00F050BE"/>
    <w:rsid w:val="00F05E30"/>
    <w:rsid w:val="00F05F8C"/>
    <w:rsid w:val="00F05FBF"/>
    <w:rsid w:val="00F06989"/>
    <w:rsid w:val="00F06ACD"/>
    <w:rsid w:val="00F06F7A"/>
    <w:rsid w:val="00F06F93"/>
    <w:rsid w:val="00F06FDF"/>
    <w:rsid w:val="00F06FE2"/>
    <w:rsid w:val="00F0725A"/>
    <w:rsid w:val="00F07507"/>
    <w:rsid w:val="00F07E62"/>
    <w:rsid w:val="00F10179"/>
    <w:rsid w:val="00F1044E"/>
    <w:rsid w:val="00F107B2"/>
    <w:rsid w:val="00F108AB"/>
    <w:rsid w:val="00F10BD4"/>
    <w:rsid w:val="00F10F8F"/>
    <w:rsid w:val="00F10FE8"/>
    <w:rsid w:val="00F1107E"/>
    <w:rsid w:val="00F11313"/>
    <w:rsid w:val="00F118E7"/>
    <w:rsid w:val="00F11921"/>
    <w:rsid w:val="00F11965"/>
    <w:rsid w:val="00F11B76"/>
    <w:rsid w:val="00F11FA6"/>
    <w:rsid w:val="00F1219F"/>
    <w:rsid w:val="00F12397"/>
    <w:rsid w:val="00F123B0"/>
    <w:rsid w:val="00F125F8"/>
    <w:rsid w:val="00F12600"/>
    <w:rsid w:val="00F1276A"/>
    <w:rsid w:val="00F12A41"/>
    <w:rsid w:val="00F12C30"/>
    <w:rsid w:val="00F13033"/>
    <w:rsid w:val="00F1345B"/>
    <w:rsid w:val="00F13503"/>
    <w:rsid w:val="00F1362F"/>
    <w:rsid w:val="00F1366A"/>
    <w:rsid w:val="00F13927"/>
    <w:rsid w:val="00F13A02"/>
    <w:rsid w:val="00F13BB6"/>
    <w:rsid w:val="00F14328"/>
    <w:rsid w:val="00F14373"/>
    <w:rsid w:val="00F147E1"/>
    <w:rsid w:val="00F14B7F"/>
    <w:rsid w:val="00F14CFF"/>
    <w:rsid w:val="00F14D09"/>
    <w:rsid w:val="00F14D48"/>
    <w:rsid w:val="00F15012"/>
    <w:rsid w:val="00F150E5"/>
    <w:rsid w:val="00F1540A"/>
    <w:rsid w:val="00F15B55"/>
    <w:rsid w:val="00F16A3B"/>
    <w:rsid w:val="00F17095"/>
    <w:rsid w:val="00F170BA"/>
    <w:rsid w:val="00F1733E"/>
    <w:rsid w:val="00F175D1"/>
    <w:rsid w:val="00F1761F"/>
    <w:rsid w:val="00F1798C"/>
    <w:rsid w:val="00F17D58"/>
    <w:rsid w:val="00F2031E"/>
    <w:rsid w:val="00F204B0"/>
    <w:rsid w:val="00F204D2"/>
    <w:rsid w:val="00F206CC"/>
    <w:rsid w:val="00F209D8"/>
    <w:rsid w:val="00F20CF6"/>
    <w:rsid w:val="00F20F5B"/>
    <w:rsid w:val="00F2191C"/>
    <w:rsid w:val="00F226D9"/>
    <w:rsid w:val="00F22ADF"/>
    <w:rsid w:val="00F22DD5"/>
    <w:rsid w:val="00F22E5B"/>
    <w:rsid w:val="00F22F52"/>
    <w:rsid w:val="00F22FA2"/>
    <w:rsid w:val="00F2382C"/>
    <w:rsid w:val="00F23959"/>
    <w:rsid w:val="00F23B48"/>
    <w:rsid w:val="00F23D9B"/>
    <w:rsid w:val="00F23EA8"/>
    <w:rsid w:val="00F24045"/>
    <w:rsid w:val="00F24378"/>
    <w:rsid w:val="00F244DE"/>
    <w:rsid w:val="00F248CD"/>
    <w:rsid w:val="00F24F00"/>
    <w:rsid w:val="00F25118"/>
    <w:rsid w:val="00F257BD"/>
    <w:rsid w:val="00F25904"/>
    <w:rsid w:val="00F25F30"/>
    <w:rsid w:val="00F2612F"/>
    <w:rsid w:val="00F26443"/>
    <w:rsid w:val="00F26981"/>
    <w:rsid w:val="00F26CF2"/>
    <w:rsid w:val="00F26D8B"/>
    <w:rsid w:val="00F26DA1"/>
    <w:rsid w:val="00F276B0"/>
    <w:rsid w:val="00F27775"/>
    <w:rsid w:val="00F2793D"/>
    <w:rsid w:val="00F27A2E"/>
    <w:rsid w:val="00F27B8D"/>
    <w:rsid w:val="00F307AE"/>
    <w:rsid w:val="00F307B6"/>
    <w:rsid w:val="00F30A51"/>
    <w:rsid w:val="00F30EE9"/>
    <w:rsid w:val="00F31595"/>
    <w:rsid w:val="00F316E8"/>
    <w:rsid w:val="00F317AD"/>
    <w:rsid w:val="00F31954"/>
    <w:rsid w:val="00F31C11"/>
    <w:rsid w:val="00F324E4"/>
    <w:rsid w:val="00F3255B"/>
    <w:rsid w:val="00F3273F"/>
    <w:rsid w:val="00F3276D"/>
    <w:rsid w:val="00F327B4"/>
    <w:rsid w:val="00F32A4E"/>
    <w:rsid w:val="00F32FDF"/>
    <w:rsid w:val="00F330AC"/>
    <w:rsid w:val="00F33484"/>
    <w:rsid w:val="00F334E9"/>
    <w:rsid w:val="00F33608"/>
    <w:rsid w:val="00F336D8"/>
    <w:rsid w:val="00F33AA6"/>
    <w:rsid w:val="00F33BF8"/>
    <w:rsid w:val="00F33EE0"/>
    <w:rsid w:val="00F33F88"/>
    <w:rsid w:val="00F34344"/>
    <w:rsid w:val="00F34370"/>
    <w:rsid w:val="00F343FB"/>
    <w:rsid w:val="00F3472D"/>
    <w:rsid w:val="00F34D68"/>
    <w:rsid w:val="00F34F7D"/>
    <w:rsid w:val="00F3549D"/>
    <w:rsid w:val="00F35620"/>
    <w:rsid w:val="00F35D2D"/>
    <w:rsid w:val="00F35DA4"/>
    <w:rsid w:val="00F3612C"/>
    <w:rsid w:val="00F3655C"/>
    <w:rsid w:val="00F3655D"/>
    <w:rsid w:val="00F3676F"/>
    <w:rsid w:val="00F36E24"/>
    <w:rsid w:val="00F3739B"/>
    <w:rsid w:val="00F37498"/>
    <w:rsid w:val="00F374E2"/>
    <w:rsid w:val="00F37D91"/>
    <w:rsid w:val="00F37F17"/>
    <w:rsid w:val="00F40108"/>
    <w:rsid w:val="00F404BC"/>
    <w:rsid w:val="00F407CF"/>
    <w:rsid w:val="00F40CD0"/>
    <w:rsid w:val="00F40D28"/>
    <w:rsid w:val="00F41500"/>
    <w:rsid w:val="00F41783"/>
    <w:rsid w:val="00F41B7F"/>
    <w:rsid w:val="00F41EDE"/>
    <w:rsid w:val="00F42161"/>
    <w:rsid w:val="00F421AB"/>
    <w:rsid w:val="00F424EA"/>
    <w:rsid w:val="00F426FB"/>
    <w:rsid w:val="00F4282C"/>
    <w:rsid w:val="00F4285D"/>
    <w:rsid w:val="00F42D10"/>
    <w:rsid w:val="00F42E5E"/>
    <w:rsid w:val="00F42F9B"/>
    <w:rsid w:val="00F43149"/>
    <w:rsid w:val="00F43579"/>
    <w:rsid w:val="00F43952"/>
    <w:rsid w:val="00F43979"/>
    <w:rsid w:val="00F43B19"/>
    <w:rsid w:val="00F43B6E"/>
    <w:rsid w:val="00F43D49"/>
    <w:rsid w:val="00F43E00"/>
    <w:rsid w:val="00F43E64"/>
    <w:rsid w:val="00F4416F"/>
    <w:rsid w:val="00F445DC"/>
    <w:rsid w:val="00F44847"/>
    <w:rsid w:val="00F448C3"/>
    <w:rsid w:val="00F44D5B"/>
    <w:rsid w:val="00F44EB6"/>
    <w:rsid w:val="00F450D9"/>
    <w:rsid w:val="00F453B3"/>
    <w:rsid w:val="00F45933"/>
    <w:rsid w:val="00F45A12"/>
    <w:rsid w:val="00F45F46"/>
    <w:rsid w:val="00F46206"/>
    <w:rsid w:val="00F46315"/>
    <w:rsid w:val="00F46563"/>
    <w:rsid w:val="00F466B5"/>
    <w:rsid w:val="00F4689D"/>
    <w:rsid w:val="00F46972"/>
    <w:rsid w:val="00F469D7"/>
    <w:rsid w:val="00F46DC1"/>
    <w:rsid w:val="00F473F9"/>
    <w:rsid w:val="00F4741D"/>
    <w:rsid w:val="00F47D05"/>
    <w:rsid w:val="00F47FDC"/>
    <w:rsid w:val="00F5038E"/>
    <w:rsid w:val="00F5084C"/>
    <w:rsid w:val="00F50862"/>
    <w:rsid w:val="00F50CBB"/>
    <w:rsid w:val="00F50D0D"/>
    <w:rsid w:val="00F51370"/>
    <w:rsid w:val="00F5178A"/>
    <w:rsid w:val="00F51B4D"/>
    <w:rsid w:val="00F51E15"/>
    <w:rsid w:val="00F51E57"/>
    <w:rsid w:val="00F51E70"/>
    <w:rsid w:val="00F520EE"/>
    <w:rsid w:val="00F524B2"/>
    <w:rsid w:val="00F52604"/>
    <w:rsid w:val="00F52728"/>
    <w:rsid w:val="00F52952"/>
    <w:rsid w:val="00F529E3"/>
    <w:rsid w:val="00F52CAE"/>
    <w:rsid w:val="00F52D9D"/>
    <w:rsid w:val="00F5305B"/>
    <w:rsid w:val="00F53179"/>
    <w:rsid w:val="00F5345A"/>
    <w:rsid w:val="00F534E5"/>
    <w:rsid w:val="00F53604"/>
    <w:rsid w:val="00F53625"/>
    <w:rsid w:val="00F53647"/>
    <w:rsid w:val="00F53739"/>
    <w:rsid w:val="00F5393C"/>
    <w:rsid w:val="00F53C70"/>
    <w:rsid w:val="00F53FF9"/>
    <w:rsid w:val="00F5427E"/>
    <w:rsid w:val="00F54419"/>
    <w:rsid w:val="00F544F0"/>
    <w:rsid w:val="00F5459C"/>
    <w:rsid w:val="00F54897"/>
    <w:rsid w:val="00F548FB"/>
    <w:rsid w:val="00F55035"/>
    <w:rsid w:val="00F556C7"/>
    <w:rsid w:val="00F55725"/>
    <w:rsid w:val="00F55B77"/>
    <w:rsid w:val="00F56835"/>
    <w:rsid w:val="00F56C1A"/>
    <w:rsid w:val="00F56C63"/>
    <w:rsid w:val="00F56CE4"/>
    <w:rsid w:val="00F57104"/>
    <w:rsid w:val="00F57558"/>
    <w:rsid w:val="00F57952"/>
    <w:rsid w:val="00F57BAE"/>
    <w:rsid w:val="00F57C9F"/>
    <w:rsid w:val="00F57D81"/>
    <w:rsid w:val="00F606F3"/>
    <w:rsid w:val="00F6071D"/>
    <w:rsid w:val="00F60F6B"/>
    <w:rsid w:val="00F60FB5"/>
    <w:rsid w:val="00F60FBF"/>
    <w:rsid w:val="00F613E7"/>
    <w:rsid w:val="00F6159E"/>
    <w:rsid w:val="00F616AA"/>
    <w:rsid w:val="00F6185C"/>
    <w:rsid w:val="00F61874"/>
    <w:rsid w:val="00F6197F"/>
    <w:rsid w:val="00F61A67"/>
    <w:rsid w:val="00F6211E"/>
    <w:rsid w:val="00F628C9"/>
    <w:rsid w:val="00F628D0"/>
    <w:rsid w:val="00F62A7D"/>
    <w:rsid w:val="00F62D1E"/>
    <w:rsid w:val="00F63184"/>
    <w:rsid w:val="00F631F7"/>
    <w:rsid w:val="00F63247"/>
    <w:rsid w:val="00F6342E"/>
    <w:rsid w:val="00F63499"/>
    <w:rsid w:val="00F63A3C"/>
    <w:rsid w:val="00F63AF7"/>
    <w:rsid w:val="00F64437"/>
    <w:rsid w:val="00F64B98"/>
    <w:rsid w:val="00F64BBC"/>
    <w:rsid w:val="00F65359"/>
    <w:rsid w:val="00F6553D"/>
    <w:rsid w:val="00F655C3"/>
    <w:rsid w:val="00F655DC"/>
    <w:rsid w:val="00F655EE"/>
    <w:rsid w:val="00F65796"/>
    <w:rsid w:val="00F657D3"/>
    <w:rsid w:val="00F658D9"/>
    <w:rsid w:val="00F65974"/>
    <w:rsid w:val="00F659DE"/>
    <w:rsid w:val="00F65B53"/>
    <w:rsid w:val="00F65E50"/>
    <w:rsid w:val="00F66545"/>
    <w:rsid w:val="00F66958"/>
    <w:rsid w:val="00F6705B"/>
    <w:rsid w:val="00F6742A"/>
    <w:rsid w:val="00F6752D"/>
    <w:rsid w:val="00F678AD"/>
    <w:rsid w:val="00F67BBD"/>
    <w:rsid w:val="00F70545"/>
    <w:rsid w:val="00F70665"/>
    <w:rsid w:val="00F7071E"/>
    <w:rsid w:val="00F70D12"/>
    <w:rsid w:val="00F713EA"/>
    <w:rsid w:val="00F71709"/>
    <w:rsid w:val="00F71887"/>
    <w:rsid w:val="00F71926"/>
    <w:rsid w:val="00F71B4E"/>
    <w:rsid w:val="00F71D6E"/>
    <w:rsid w:val="00F721C2"/>
    <w:rsid w:val="00F7239F"/>
    <w:rsid w:val="00F72846"/>
    <w:rsid w:val="00F72C0A"/>
    <w:rsid w:val="00F735EF"/>
    <w:rsid w:val="00F73684"/>
    <w:rsid w:val="00F73CF3"/>
    <w:rsid w:val="00F73E00"/>
    <w:rsid w:val="00F73E6B"/>
    <w:rsid w:val="00F75603"/>
    <w:rsid w:val="00F756A5"/>
    <w:rsid w:val="00F75718"/>
    <w:rsid w:val="00F75813"/>
    <w:rsid w:val="00F75DDA"/>
    <w:rsid w:val="00F76428"/>
    <w:rsid w:val="00F76914"/>
    <w:rsid w:val="00F769C0"/>
    <w:rsid w:val="00F76CD4"/>
    <w:rsid w:val="00F76CE3"/>
    <w:rsid w:val="00F76DDE"/>
    <w:rsid w:val="00F76F56"/>
    <w:rsid w:val="00F770B0"/>
    <w:rsid w:val="00F773E4"/>
    <w:rsid w:val="00F77463"/>
    <w:rsid w:val="00F77855"/>
    <w:rsid w:val="00F77B8F"/>
    <w:rsid w:val="00F77D0E"/>
    <w:rsid w:val="00F77E04"/>
    <w:rsid w:val="00F77EE7"/>
    <w:rsid w:val="00F77FB9"/>
    <w:rsid w:val="00F801E1"/>
    <w:rsid w:val="00F801E6"/>
    <w:rsid w:val="00F80C65"/>
    <w:rsid w:val="00F81004"/>
    <w:rsid w:val="00F814AB"/>
    <w:rsid w:val="00F81771"/>
    <w:rsid w:val="00F81852"/>
    <w:rsid w:val="00F81936"/>
    <w:rsid w:val="00F82078"/>
    <w:rsid w:val="00F82BDC"/>
    <w:rsid w:val="00F82FE4"/>
    <w:rsid w:val="00F8311D"/>
    <w:rsid w:val="00F83581"/>
    <w:rsid w:val="00F8368E"/>
    <w:rsid w:val="00F83724"/>
    <w:rsid w:val="00F83CDF"/>
    <w:rsid w:val="00F83CE7"/>
    <w:rsid w:val="00F84153"/>
    <w:rsid w:val="00F84569"/>
    <w:rsid w:val="00F84670"/>
    <w:rsid w:val="00F8486F"/>
    <w:rsid w:val="00F84899"/>
    <w:rsid w:val="00F84BFF"/>
    <w:rsid w:val="00F84FB0"/>
    <w:rsid w:val="00F850E1"/>
    <w:rsid w:val="00F85155"/>
    <w:rsid w:val="00F856B9"/>
    <w:rsid w:val="00F860B4"/>
    <w:rsid w:val="00F860F4"/>
    <w:rsid w:val="00F862BF"/>
    <w:rsid w:val="00F8636E"/>
    <w:rsid w:val="00F864D6"/>
    <w:rsid w:val="00F867B0"/>
    <w:rsid w:val="00F86B85"/>
    <w:rsid w:val="00F86CA8"/>
    <w:rsid w:val="00F8748A"/>
    <w:rsid w:val="00F87877"/>
    <w:rsid w:val="00F878B9"/>
    <w:rsid w:val="00F87F47"/>
    <w:rsid w:val="00F9028C"/>
    <w:rsid w:val="00F904C7"/>
    <w:rsid w:val="00F908B4"/>
    <w:rsid w:val="00F9098D"/>
    <w:rsid w:val="00F90B7B"/>
    <w:rsid w:val="00F90BB8"/>
    <w:rsid w:val="00F90F35"/>
    <w:rsid w:val="00F9187E"/>
    <w:rsid w:val="00F91BB3"/>
    <w:rsid w:val="00F91CF2"/>
    <w:rsid w:val="00F91E7C"/>
    <w:rsid w:val="00F92630"/>
    <w:rsid w:val="00F92A8B"/>
    <w:rsid w:val="00F92B04"/>
    <w:rsid w:val="00F92B5D"/>
    <w:rsid w:val="00F92E29"/>
    <w:rsid w:val="00F92FC0"/>
    <w:rsid w:val="00F93093"/>
    <w:rsid w:val="00F931D1"/>
    <w:rsid w:val="00F93445"/>
    <w:rsid w:val="00F939E6"/>
    <w:rsid w:val="00F93B9A"/>
    <w:rsid w:val="00F93D39"/>
    <w:rsid w:val="00F94033"/>
    <w:rsid w:val="00F940F0"/>
    <w:rsid w:val="00F94245"/>
    <w:rsid w:val="00F94679"/>
    <w:rsid w:val="00F94C76"/>
    <w:rsid w:val="00F95789"/>
    <w:rsid w:val="00F95BA4"/>
    <w:rsid w:val="00F95C66"/>
    <w:rsid w:val="00F95D82"/>
    <w:rsid w:val="00F95F14"/>
    <w:rsid w:val="00F96109"/>
    <w:rsid w:val="00F96245"/>
    <w:rsid w:val="00F965B9"/>
    <w:rsid w:val="00F96713"/>
    <w:rsid w:val="00F967E9"/>
    <w:rsid w:val="00F96939"/>
    <w:rsid w:val="00F9704B"/>
    <w:rsid w:val="00F97235"/>
    <w:rsid w:val="00F97613"/>
    <w:rsid w:val="00FA03CA"/>
    <w:rsid w:val="00FA042D"/>
    <w:rsid w:val="00FA061D"/>
    <w:rsid w:val="00FA08BF"/>
    <w:rsid w:val="00FA0C62"/>
    <w:rsid w:val="00FA18FE"/>
    <w:rsid w:val="00FA1B9E"/>
    <w:rsid w:val="00FA1E7B"/>
    <w:rsid w:val="00FA1ECB"/>
    <w:rsid w:val="00FA2120"/>
    <w:rsid w:val="00FA21D7"/>
    <w:rsid w:val="00FA2732"/>
    <w:rsid w:val="00FA30C1"/>
    <w:rsid w:val="00FA3160"/>
    <w:rsid w:val="00FA3164"/>
    <w:rsid w:val="00FA39A4"/>
    <w:rsid w:val="00FA39AF"/>
    <w:rsid w:val="00FA3E20"/>
    <w:rsid w:val="00FA4368"/>
    <w:rsid w:val="00FA4BEF"/>
    <w:rsid w:val="00FA4D22"/>
    <w:rsid w:val="00FA4E91"/>
    <w:rsid w:val="00FA5103"/>
    <w:rsid w:val="00FA538A"/>
    <w:rsid w:val="00FA539B"/>
    <w:rsid w:val="00FA5A6C"/>
    <w:rsid w:val="00FA5B20"/>
    <w:rsid w:val="00FA5D31"/>
    <w:rsid w:val="00FA6242"/>
    <w:rsid w:val="00FA6697"/>
    <w:rsid w:val="00FA67AC"/>
    <w:rsid w:val="00FA67F7"/>
    <w:rsid w:val="00FA6B34"/>
    <w:rsid w:val="00FA6E91"/>
    <w:rsid w:val="00FA7080"/>
    <w:rsid w:val="00FA7AB9"/>
    <w:rsid w:val="00FA7D3B"/>
    <w:rsid w:val="00FA7F9E"/>
    <w:rsid w:val="00FB0137"/>
    <w:rsid w:val="00FB01D7"/>
    <w:rsid w:val="00FB03E8"/>
    <w:rsid w:val="00FB041C"/>
    <w:rsid w:val="00FB05C6"/>
    <w:rsid w:val="00FB0BDC"/>
    <w:rsid w:val="00FB0F3C"/>
    <w:rsid w:val="00FB10BB"/>
    <w:rsid w:val="00FB10F2"/>
    <w:rsid w:val="00FB1402"/>
    <w:rsid w:val="00FB1890"/>
    <w:rsid w:val="00FB25EF"/>
    <w:rsid w:val="00FB2B8C"/>
    <w:rsid w:val="00FB2D9E"/>
    <w:rsid w:val="00FB338D"/>
    <w:rsid w:val="00FB34A8"/>
    <w:rsid w:val="00FB362B"/>
    <w:rsid w:val="00FB3A44"/>
    <w:rsid w:val="00FB4186"/>
    <w:rsid w:val="00FB41C9"/>
    <w:rsid w:val="00FB422C"/>
    <w:rsid w:val="00FB4338"/>
    <w:rsid w:val="00FB4800"/>
    <w:rsid w:val="00FB4C5F"/>
    <w:rsid w:val="00FB4FCD"/>
    <w:rsid w:val="00FB52F8"/>
    <w:rsid w:val="00FB5374"/>
    <w:rsid w:val="00FB551E"/>
    <w:rsid w:val="00FB5667"/>
    <w:rsid w:val="00FB59A9"/>
    <w:rsid w:val="00FB5C63"/>
    <w:rsid w:val="00FB5CEA"/>
    <w:rsid w:val="00FB6B54"/>
    <w:rsid w:val="00FB7566"/>
    <w:rsid w:val="00FB772E"/>
    <w:rsid w:val="00FB7B82"/>
    <w:rsid w:val="00FB7C7B"/>
    <w:rsid w:val="00FB7FB0"/>
    <w:rsid w:val="00FB7FC9"/>
    <w:rsid w:val="00FC05BA"/>
    <w:rsid w:val="00FC0932"/>
    <w:rsid w:val="00FC096E"/>
    <w:rsid w:val="00FC1B9C"/>
    <w:rsid w:val="00FC1BD2"/>
    <w:rsid w:val="00FC2198"/>
    <w:rsid w:val="00FC2686"/>
    <w:rsid w:val="00FC26C9"/>
    <w:rsid w:val="00FC2A9A"/>
    <w:rsid w:val="00FC2D52"/>
    <w:rsid w:val="00FC2E63"/>
    <w:rsid w:val="00FC31E9"/>
    <w:rsid w:val="00FC34A0"/>
    <w:rsid w:val="00FC3652"/>
    <w:rsid w:val="00FC3A6D"/>
    <w:rsid w:val="00FC3AA2"/>
    <w:rsid w:val="00FC3D05"/>
    <w:rsid w:val="00FC4209"/>
    <w:rsid w:val="00FC4397"/>
    <w:rsid w:val="00FC441E"/>
    <w:rsid w:val="00FC4C79"/>
    <w:rsid w:val="00FC54D4"/>
    <w:rsid w:val="00FC577F"/>
    <w:rsid w:val="00FC5E20"/>
    <w:rsid w:val="00FC5FCF"/>
    <w:rsid w:val="00FC605F"/>
    <w:rsid w:val="00FC653D"/>
    <w:rsid w:val="00FC65E5"/>
    <w:rsid w:val="00FC6798"/>
    <w:rsid w:val="00FC67F0"/>
    <w:rsid w:val="00FC6A8C"/>
    <w:rsid w:val="00FC6F92"/>
    <w:rsid w:val="00FC7081"/>
    <w:rsid w:val="00FC7273"/>
    <w:rsid w:val="00FC72C5"/>
    <w:rsid w:val="00FC7345"/>
    <w:rsid w:val="00FC7771"/>
    <w:rsid w:val="00FC7867"/>
    <w:rsid w:val="00FC7C66"/>
    <w:rsid w:val="00FD002E"/>
    <w:rsid w:val="00FD066C"/>
    <w:rsid w:val="00FD066F"/>
    <w:rsid w:val="00FD068C"/>
    <w:rsid w:val="00FD069F"/>
    <w:rsid w:val="00FD0BD3"/>
    <w:rsid w:val="00FD1279"/>
    <w:rsid w:val="00FD13C2"/>
    <w:rsid w:val="00FD18AB"/>
    <w:rsid w:val="00FD1972"/>
    <w:rsid w:val="00FD1A8B"/>
    <w:rsid w:val="00FD1CD0"/>
    <w:rsid w:val="00FD1E4C"/>
    <w:rsid w:val="00FD23FF"/>
    <w:rsid w:val="00FD25D9"/>
    <w:rsid w:val="00FD2619"/>
    <w:rsid w:val="00FD27A1"/>
    <w:rsid w:val="00FD2D3A"/>
    <w:rsid w:val="00FD2E65"/>
    <w:rsid w:val="00FD2EE8"/>
    <w:rsid w:val="00FD318C"/>
    <w:rsid w:val="00FD36C7"/>
    <w:rsid w:val="00FD4011"/>
    <w:rsid w:val="00FD4141"/>
    <w:rsid w:val="00FD418D"/>
    <w:rsid w:val="00FD4563"/>
    <w:rsid w:val="00FD4647"/>
    <w:rsid w:val="00FD4663"/>
    <w:rsid w:val="00FD46FA"/>
    <w:rsid w:val="00FD4825"/>
    <w:rsid w:val="00FD4B1A"/>
    <w:rsid w:val="00FD4DF7"/>
    <w:rsid w:val="00FD50B2"/>
    <w:rsid w:val="00FD51D2"/>
    <w:rsid w:val="00FD5281"/>
    <w:rsid w:val="00FD5296"/>
    <w:rsid w:val="00FD5427"/>
    <w:rsid w:val="00FD57FF"/>
    <w:rsid w:val="00FD5B07"/>
    <w:rsid w:val="00FD5B38"/>
    <w:rsid w:val="00FD5ED1"/>
    <w:rsid w:val="00FD5F93"/>
    <w:rsid w:val="00FD6EA6"/>
    <w:rsid w:val="00FD724B"/>
    <w:rsid w:val="00FD7708"/>
    <w:rsid w:val="00FD770B"/>
    <w:rsid w:val="00FD7C3A"/>
    <w:rsid w:val="00FD7F7A"/>
    <w:rsid w:val="00FE0281"/>
    <w:rsid w:val="00FE02A2"/>
    <w:rsid w:val="00FE042D"/>
    <w:rsid w:val="00FE042E"/>
    <w:rsid w:val="00FE04D1"/>
    <w:rsid w:val="00FE0707"/>
    <w:rsid w:val="00FE0766"/>
    <w:rsid w:val="00FE08ED"/>
    <w:rsid w:val="00FE0E40"/>
    <w:rsid w:val="00FE1572"/>
    <w:rsid w:val="00FE1B5D"/>
    <w:rsid w:val="00FE1BB1"/>
    <w:rsid w:val="00FE2817"/>
    <w:rsid w:val="00FE29A5"/>
    <w:rsid w:val="00FE2A84"/>
    <w:rsid w:val="00FE2BD6"/>
    <w:rsid w:val="00FE3655"/>
    <w:rsid w:val="00FE4336"/>
    <w:rsid w:val="00FE43B8"/>
    <w:rsid w:val="00FE4531"/>
    <w:rsid w:val="00FE467B"/>
    <w:rsid w:val="00FE4B40"/>
    <w:rsid w:val="00FE4DC9"/>
    <w:rsid w:val="00FE4EBD"/>
    <w:rsid w:val="00FE5042"/>
    <w:rsid w:val="00FE50AD"/>
    <w:rsid w:val="00FE5169"/>
    <w:rsid w:val="00FE563A"/>
    <w:rsid w:val="00FE5871"/>
    <w:rsid w:val="00FE5BD5"/>
    <w:rsid w:val="00FE5C12"/>
    <w:rsid w:val="00FE5FE7"/>
    <w:rsid w:val="00FE6055"/>
    <w:rsid w:val="00FE74DF"/>
    <w:rsid w:val="00FE7677"/>
    <w:rsid w:val="00FE7BCE"/>
    <w:rsid w:val="00FE7D58"/>
    <w:rsid w:val="00FE7EF4"/>
    <w:rsid w:val="00FF01C7"/>
    <w:rsid w:val="00FF0453"/>
    <w:rsid w:val="00FF072E"/>
    <w:rsid w:val="00FF0C56"/>
    <w:rsid w:val="00FF0C71"/>
    <w:rsid w:val="00FF0CA5"/>
    <w:rsid w:val="00FF148A"/>
    <w:rsid w:val="00FF20BE"/>
    <w:rsid w:val="00FF2573"/>
    <w:rsid w:val="00FF2611"/>
    <w:rsid w:val="00FF26F0"/>
    <w:rsid w:val="00FF36B8"/>
    <w:rsid w:val="00FF3CF4"/>
    <w:rsid w:val="00FF4095"/>
    <w:rsid w:val="00FF40A9"/>
    <w:rsid w:val="00FF4100"/>
    <w:rsid w:val="00FF42C1"/>
    <w:rsid w:val="00FF4A84"/>
    <w:rsid w:val="00FF4C73"/>
    <w:rsid w:val="00FF5AEB"/>
    <w:rsid w:val="00FF5C60"/>
    <w:rsid w:val="00FF5E1C"/>
    <w:rsid w:val="00FF6C48"/>
    <w:rsid w:val="00FF6D1C"/>
    <w:rsid w:val="00FF6D79"/>
    <w:rsid w:val="00FF6DBF"/>
    <w:rsid w:val="00FF756C"/>
    <w:rsid w:val="00FF783E"/>
    <w:rsid w:val="00FF7A06"/>
    <w:rsid w:val="00FF7C23"/>
    <w:rsid w:val="00FF7D38"/>
    <w:rsid w:val="00FF7EDD"/>
    <w:rsid w:val="00FF7F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8D9E7"/>
  <w15:docId w15:val="{0C216B64-E791-4499-B397-B378B9F29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289"/>
    <w:pPr>
      <w:spacing w:before="120" w:after="120" w:line="360" w:lineRule="auto"/>
      <w:jc w:val="both"/>
    </w:pPr>
    <w:rPr>
      <w:rFonts w:ascii="Arial" w:hAnsi="Arial"/>
      <w:lang w:val="en-GB"/>
    </w:rPr>
  </w:style>
  <w:style w:type="paragraph" w:styleId="Heading1">
    <w:name w:val="heading 1"/>
    <w:basedOn w:val="Normal"/>
    <w:next w:val="Normal"/>
    <w:link w:val="Heading1Char"/>
    <w:uiPriority w:val="9"/>
    <w:qFormat/>
    <w:rsid w:val="00DC26E9"/>
    <w:pPr>
      <w:keepNext/>
      <w:keepLines/>
      <w:spacing w:before="240" w:after="0"/>
      <w:jc w:val="center"/>
      <w:outlineLvl w:val="0"/>
    </w:pPr>
    <w:rPr>
      <w:rFonts w:eastAsiaTheme="majorEastAsia" w:cstheme="majorBidi"/>
      <w:b/>
      <w:sz w:val="44"/>
      <w:szCs w:val="32"/>
    </w:rPr>
  </w:style>
  <w:style w:type="paragraph" w:styleId="Heading2">
    <w:name w:val="heading 2"/>
    <w:basedOn w:val="Normal"/>
    <w:next w:val="Normal"/>
    <w:link w:val="Heading2Char"/>
    <w:uiPriority w:val="9"/>
    <w:unhideWhenUsed/>
    <w:qFormat/>
    <w:rsid w:val="00D557E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474E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52C52"/>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0EE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0125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6E9"/>
    <w:rPr>
      <w:rFonts w:eastAsiaTheme="majorEastAsia" w:cstheme="majorBidi"/>
      <w:b/>
      <w:sz w:val="44"/>
      <w:szCs w:val="32"/>
      <w:lang w:val="en-GB"/>
    </w:rPr>
  </w:style>
  <w:style w:type="character" w:customStyle="1" w:styleId="Heading2Char">
    <w:name w:val="Heading 2 Char"/>
    <w:basedOn w:val="DefaultParagraphFont"/>
    <w:link w:val="Heading2"/>
    <w:uiPriority w:val="9"/>
    <w:rsid w:val="00D557EF"/>
    <w:rPr>
      <w:rFonts w:ascii="Arial" w:eastAsiaTheme="majorEastAsia" w:hAnsi="Arial" w:cstheme="majorBidi"/>
      <w:b/>
      <w:sz w:val="28"/>
      <w:szCs w:val="26"/>
      <w:lang w:val="en-GB"/>
    </w:rPr>
  </w:style>
  <w:style w:type="table" w:styleId="TableGrid">
    <w:name w:val="Table Grid"/>
    <w:basedOn w:val="TableNormal"/>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5474E5"/>
    <w:rPr>
      <w:rFonts w:ascii="Arial" w:eastAsiaTheme="majorEastAsia" w:hAnsi="Arial" w:cstheme="majorBidi"/>
      <w:b/>
      <w:sz w:val="22"/>
      <w:szCs w:val="24"/>
      <w:lang w:val="en-GB"/>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452C5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semiHidden/>
    <w:unhideWhenUsed/>
    <w:rsid w:val="001F7C28"/>
    <w:rPr>
      <w:color w:val="605E5C"/>
      <w:shd w:val="clear" w:color="auto" w:fill="E1DFDD"/>
    </w:rPr>
  </w:style>
  <w:style w:type="table" w:styleId="GridTable5Dark-Accent2">
    <w:name w:val="Grid Table 5 Dark Accent 2"/>
    <w:basedOn w:val="TableNormal"/>
    <w:uiPriority w:val="50"/>
    <w:rsid w:val="00C34D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12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2">
    <w:name w:val="Table Grid2"/>
    <w:basedOn w:val="TableNormal"/>
    <w:next w:val="TableGrid"/>
    <w:uiPriority w:val="39"/>
    <w:rsid w:val="00891F23"/>
    <w:pPr>
      <w:spacing w:after="0" w:line="240" w:lineRule="auto"/>
    </w:pPr>
    <w:rPr>
      <w:rFonts w:eastAsia="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F66"/>
    <w:rPr>
      <w:color w:val="808080"/>
    </w:rPr>
  </w:style>
  <w:style w:type="character" w:customStyle="1" w:styleId="wknlkopnr">
    <w:name w:val="wknl_kopnr"/>
    <w:basedOn w:val="DefaultParagraphFont"/>
    <w:rsid w:val="00584988"/>
  </w:style>
  <w:style w:type="character" w:styleId="Emphasis">
    <w:name w:val="Emphasis"/>
    <w:basedOn w:val="DefaultParagraphFont"/>
    <w:uiPriority w:val="20"/>
    <w:qFormat/>
    <w:rsid w:val="00127446"/>
    <w:rPr>
      <w:i/>
      <w:iCs/>
    </w:rPr>
  </w:style>
  <w:style w:type="paragraph" w:customStyle="1" w:styleId="hl">
    <w:name w:val="hl"/>
    <w:basedOn w:val="Normal"/>
    <w:rsid w:val="001C0158"/>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2D3976"/>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rsid w:val="002D3976"/>
  </w:style>
  <w:style w:type="paragraph" w:customStyle="1" w:styleId="trt0xe">
    <w:name w:val="trt0xe"/>
    <w:basedOn w:val="Normal"/>
    <w:rsid w:val="00F71709"/>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rsid w:val="0028505A"/>
    <w:pPr>
      <w:spacing w:before="100" w:beforeAutospacing="1" w:after="100" w:afterAutospacing="1" w:line="240" w:lineRule="auto"/>
      <w:jc w:val="left"/>
    </w:pPr>
    <w:rPr>
      <w:rFonts w:eastAsia="Times New Roman" w:cs="Times New Roman"/>
      <w:szCs w:val="24"/>
      <w:lang w:val="en-US"/>
    </w:rPr>
  </w:style>
  <w:style w:type="table" w:styleId="GridTable4-Accent6">
    <w:name w:val="Grid Table 4 Accent 6"/>
    <w:basedOn w:val="TableNormal"/>
    <w:uiPriority w:val="49"/>
    <w:rsid w:val="000700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hrv-styled-list-item">
    <w:name w:val="thrv-styled-list-item"/>
    <w:basedOn w:val="Normal"/>
    <w:rsid w:val="0021553D"/>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rsid w:val="0021553D"/>
  </w:style>
  <w:style w:type="paragraph" w:customStyle="1" w:styleId="iu">
    <w:name w:val="iu"/>
    <w:basedOn w:val="Normal"/>
    <w:rsid w:val="00846591"/>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rsid w:val="00CD1466"/>
  </w:style>
  <w:style w:type="character" w:customStyle="1" w:styleId="Heading7Char">
    <w:name w:val="Heading 7 Char"/>
    <w:basedOn w:val="DefaultParagraphFont"/>
    <w:link w:val="Heading7"/>
    <w:uiPriority w:val="9"/>
    <w:semiHidden/>
    <w:rsid w:val="00F01251"/>
    <w:rPr>
      <w:rFonts w:asciiTheme="majorHAnsi" w:eastAsiaTheme="majorEastAsia" w:hAnsiTheme="majorHAnsi" w:cstheme="majorBidi"/>
      <w:i/>
      <w:iCs/>
      <w:color w:val="1F3763" w:themeColor="accent1" w:themeShade="7F"/>
      <w:lang w:val="en-GB"/>
    </w:rPr>
  </w:style>
  <w:style w:type="character" w:customStyle="1" w:styleId="websearch-marked">
    <w:name w:val="web_search-marked"/>
    <w:basedOn w:val="DefaultParagraphFont"/>
    <w:rsid w:val="00CB276E"/>
  </w:style>
  <w:style w:type="paragraph" w:customStyle="1" w:styleId="phrase">
    <w:name w:val="phrase"/>
    <w:basedOn w:val="Normal"/>
    <w:rsid w:val="0063442E"/>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rsid w:val="00F54897"/>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rsid w:val="00F54897"/>
  </w:style>
  <w:style w:type="character" w:customStyle="1" w:styleId="blast">
    <w:name w:val="blast"/>
    <w:basedOn w:val="DefaultParagraphFont"/>
    <w:rsid w:val="00C5455B"/>
  </w:style>
  <w:style w:type="paragraph" w:customStyle="1" w:styleId="mmthere">
    <w:name w:val="mmthere"/>
    <w:basedOn w:val="Normal"/>
    <w:rsid w:val="00233F08"/>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64ED"/>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10D99"/>
    <w:pPr>
      <w:spacing w:after="0"/>
    </w:pPr>
  </w:style>
  <w:style w:type="paragraph" w:customStyle="1" w:styleId="dcr-1wj398p">
    <w:name w:val="dcr-1wj398p"/>
    <w:basedOn w:val="Normal"/>
    <w:rsid w:val="00755CA4"/>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EE35DF"/>
  </w:style>
  <w:style w:type="character" w:customStyle="1" w:styleId="w8qarf">
    <w:name w:val="w8qarf"/>
    <w:basedOn w:val="DefaultParagraphFont"/>
    <w:rsid w:val="00EE35DF"/>
  </w:style>
  <w:style w:type="character" w:customStyle="1" w:styleId="lrzxr">
    <w:name w:val="lrzxr"/>
    <w:basedOn w:val="DefaultParagraphFont"/>
    <w:rsid w:val="00EE35DF"/>
  </w:style>
  <w:style w:type="character" w:customStyle="1" w:styleId="hs-cta-node">
    <w:name w:val="hs-cta-node"/>
    <w:basedOn w:val="DefaultParagraphFont"/>
    <w:rsid w:val="00547CAC"/>
  </w:style>
  <w:style w:type="character" w:customStyle="1" w:styleId="Heading6Char">
    <w:name w:val="Heading 6 Char"/>
    <w:basedOn w:val="DefaultParagraphFont"/>
    <w:link w:val="Heading6"/>
    <w:uiPriority w:val="9"/>
    <w:semiHidden/>
    <w:rsid w:val="00490EEF"/>
    <w:rPr>
      <w:rFonts w:asciiTheme="majorHAnsi" w:eastAsiaTheme="majorEastAsia" w:hAnsiTheme="majorHAnsi" w:cstheme="majorBidi"/>
      <w:color w:val="1F3763" w:themeColor="accent1" w:themeShade="7F"/>
      <w:lang w:val="en-GB"/>
    </w:rPr>
  </w:style>
  <w:style w:type="character" w:customStyle="1" w:styleId="author">
    <w:name w:val="author"/>
    <w:basedOn w:val="DefaultParagraphFont"/>
    <w:rsid w:val="00490EEF"/>
  </w:style>
  <w:style w:type="character" w:customStyle="1" w:styleId="hentry-date">
    <w:name w:val="hentry-date"/>
    <w:basedOn w:val="DefaultParagraphFont"/>
    <w:rsid w:val="00490EEF"/>
  </w:style>
  <w:style w:type="paragraph" w:customStyle="1" w:styleId="twitter">
    <w:name w:val="twitter&quot;"/>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rsid w:val="00DD3A55"/>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rsid w:val="00423506"/>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rsid w:val="00423506"/>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rsid w:val="00F83CDF"/>
  </w:style>
  <w:style w:type="character" w:customStyle="1" w:styleId="label">
    <w:name w:val="label"/>
    <w:basedOn w:val="DefaultParagraphFont"/>
    <w:rsid w:val="00F83CDF"/>
  </w:style>
  <w:style w:type="character" w:customStyle="1" w:styleId="ez-video-ez-stuck-title">
    <w:name w:val="ez-video-ez-stuck-title"/>
    <w:basedOn w:val="DefaultParagraphFont"/>
    <w:rsid w:val="00F83CDF"/>
  </w:style>
  <w:style w:type="character" w:customStyle="1" w:styleId="ez-video-ez-stuck-close">
    <w:name w:val="ez-video-ez-stuck-close"/>
    <w:basedOn w:val="DefaultParagraphFont"/>
    <w:rsid w:val="00F83CDF"/>
  </w:style>
  <w:style w:type="character" w:customStyle="1" w:styleId="vjs-control-text">
    <w:name w:val="vjs-control-text"/>
    <w:basedOn w:val="DefaultParagraphFont"/>
    <w:rsid w:val="00F83CDF"/>
  </w:style>
  <w:style w:type="character" w:customStyle="1" w:styleId="vjs-control-text-loaded-percentage">
    <w:name w:val="vjs-control-text-loaded-percentage"/>
    <w:basedOn w:val="DefaultParagraphFont"/>
    <w:rsid w:val="00F83CDF"/>
  </w:style>
  <w:style w:type="character" w:customStyle="1" w:styleId="vjs-remaining-time-display">
    <w:name w:val="vjs-remaining-time-display"/>
    <w:basedOn w:val="DefaultParagraphFont"/>
    <w:rsid w:val="00F83CDF"/>
  </w:style>
  <w:style w:type="character" w:styleId="UnresolvedMention">
    <w:name w:val="Unresolved Mention"/>
    <w:basedOn w:val="DefaultParagraphFont"/>
    <w:uiPriority w:val="99"/>
    <w:semiHidden/>
    <w:unhideWhenUsed/>
    <w:rsid w:val="00CE32C0"/>
    <w:rPr>
      <w:color w:val="605E5C"/>
      <w:shd w:val="clear" w:color="auto" w:fill="E1DFDD"/>
    </w:rPr>
  </w:style>
  <w:style w:type="table" w:styleId="GridTable1Light">
    <w:name w:val="Grid Table 1 Light"/>
    <w:basedOn w:val="TableNormal"/>
    <w:uiPriority w:val="46"/>
    <w:rsid w:val="004E52C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59"/>
    <w:rsid w:val="002E641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1">
    <w:name w:val="ms-1"/>
    <w:basedOn w:val="DefaultParagraphFont"/>
    <w:rsid w:val="007F585F"/>
  </w:style>
  <w:style w:type="character" w:customStyle="1" w:styleId="max-w-15ch">
    <w:name w:val="max-w-[15ch]"/>
    <w:basedOn w:val="DefaultParagraphFont"/>
    <w:rsid w:val="007F585F"/>
  </w:style>
  <w:style w:type="table" w:styleId="GridTable5Dark-Accent5">
    <w:name w:val="Grid Table 5 Dark Accent 5"/>
    <w:basedOn w:val="TableNormal"/>
    <w:uiPriority w:val="50"/>
    <w:rsid w:val="00327C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me-1">
    <w:name w:val="-me-1"/>
    <w:basedOn w:val="DefaultParagraphFont"/>
    <w:rsid w:val="00EB366D"/>
  </w:style>
  <w:style w:type="table" w:styleId="GridTable4-Accent3">
    <w:name w:val="Grid Table 4 Accent 3"/>
    <w:basedOn w:val="TableNormal"/>
    <w:uiPriority w:val="49"/>
    <w:rsid w:val="00776AE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1">
    <w:name w:val="Grid Table 5 Dark Accent 1"/>
    <w:basedOn w:val="TableNormal"/>
    <w:uiPriority w:val="50"/>
    <w:rsid w:val="0043559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981C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
    <w:name w:val="Grid Table 4"/>
    <w:basedOn w:val="TableNormal"/>
    <w:uiPriority w:val="49"/>
    <w:rsid w:val="008F0A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0A55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6">
    <w:name w:val="Grid Table 3 Accent 6"/>
    <w:basedOn w:val="TableNormal"/>
    <w:uiPriority w:val="48"/>
    <w:rsid w:val="009714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2">
    <w:name w:val="Grid Table 3 Accent 2"/>
    <w:basedOn w:val="TableNormal"/>
    <w:uiPriority w:val="48"/>
    <w:rsid w:val="009714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9714F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2780360">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14238887">
      <w:bodyDiv w:val="1"/>
      <w:marLeft w:val="0"/>
      <w:marRight w:val="0"/>
      <w:marTop w:val="0"/>
      <w:marBottom w:val="0"/>
      <w:divBdr>
        <w:top w:val="none" w:sz="0" w:space="0" w:color="auto"/>
        <w:left w:val="none" w:sz="0" w:space="0" w:color="auto"/>
        <w:bottom w:val="none" w:sz="0" w:space="0" w:color="auto"/>
        <w:right w:val="none" w:sz="0" w:space="0" w:color="auto"/>
      </w:divBdr>
    </w:div>
    <w:div w:id="23755310">
      <w:bodyDiv w:val="1"/>
      <w:marLeft w:val="0"/>
      <w:marRight w:val="0"/>
      <w:marTop w:val="0"/>
      <w:marBottom w:val="0"/>
      <w:divBdr>
        <w:top w:val="none" w:sz="0" w:space="0" w:color="auto"/>
        <w:left w:val="none" w:sz="0" w:space="0" w:color="auto"/>
        <w:bottom w:val="none" w:sz="0" w:space="0" w:color="auto"/>
        <w:right w:val="none" w:sz="0" w:space="0" w:color="auto"/>
      </w:divBdr>
    </w:div>
    <w:div w:id="29114198">
      <w:bodyDiv w:val="1"/>
      <w:marLeft w:val="0"/>
      <w:marRight w:val="0"/>
      <w:marTop w:val="0"/>
      <w:marBottom w:val="0"/>
      <w:divBdr>
        <w:top w:val="none" w:sz="0" w:space="0" w:color="auto"/>
        <w:left w:val="none" w:sz="0" w:space="0" w:color="auto"/>
        <w:bottom w:val="none" w:sz="0" w:space="0" w:color="auto"/>
        <w:right w:val="none" w:sz="0" w:space="0" w:color="auto"/>
      </w:divBdr>
    </w:div>
    <w:div w:id="29572454">
      <w:bodyDiv w:val="1"/>
      <w:marLeft w:val="0"/>
      <w:marRight w:val="0"/>
      <w:marTop w:val="0"/>
      <w:marBottom w:val="0"/>
      <w:divBdr>
        <w:top w:val="none" w:sz="0" w:space="0" w:color="auto"/>
        <w:left w:val="none" w:sz="0" w:space="0" w:color="auto"/>
        <w:bottom w:val="none" w:sz="0" w:space="0" w:color="auto"/>
        <w:right w:val="none" w:sz="0" w:space="0" w:color="auto"/>
      </w:divBdr>
    </w:div>
    <w:div w:id="30081951">
      <w:bodyDiv w:val="1"/>
      <w:marLeft w:val="0"/>
      <w:marRight w:val="0"/>
      <w:marTop w:val="0"/>
      <w:marBottom w:val="0"/>
      <w:divBdr>
        <w:top w:val="none" w:sz="0" w:space="0" w:color="auto"/>
        <w:left w:val="none" w:sz="0" w:space="0" w:color="auto"/>
        <w:bottom w:val="none" w:sz="0" w:space="0" w:color="auto"/>
        <w:right w:val="none" w:sz="0" w:space="0" w:color="auto"/>
      </w:divBdr>
    </w:div>
    <w:div w:id="30888388">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1082653">
      <w:bodyDiv w:val="1"/>
      <w:marLeft w:val="0"/>
      <w:marRight w:val="0"/>
      <w:marTop w:val="0"/>
      <w:marBottom w:val="0"/>
      <w:divBdr>
        <w:top w:val="none" w:sz="0" w:space="0" w:color="auto"/>
        <w:left w:val="none" w:sz="0" w:space="0" w:color="auto"/>
        <w:bottom w:val="none" w:sz="0" w:space="0" w:color="auto"/>
        <w:right w:val="none" w:sz="0" w:space="0" w:color="auto"/>
      </w:divBdr>
    </w:div>
    <w:div w:id="33626848">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0325548">
      <w:bodyDiv w:val="1"/>
      <w:marLeft w:val="0"/>
      <w:marRight w:val="0"/>
      <w:marTop w:val="0"/>
      <w:marBottom w:val="0"/>
      <w:divBdr>
        <w:top w:val="none" w:sz="0" w:space="0" w:color="auto"/>
        <w:left w:val="none" w:sz="0" w:space="0" w:color="auto"/>
        <w:bottom w:val="none" w:sz="0" w:space="0" w:color="auto"/>
        <w:right w:val="none" w:sz="0" w:space="0" w:color="auto"/>
      </w:divBdr>
    </w:div>
    <w:div w:id="41566282">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51582516">
      <w:bodyDiv w:val="1"/>
      <w:marLeft w:val="0"/>
      <w:marRight w:val="0"/>
      <w:marTop w:val="0"/>
      <w:marBottom w:val="0"/>
      <w:divBdr>
        <w:top w:val="none" w:sz="0" w:space="0" w:color="auto"/>
        <w:left w:val="none" w:sz="0" w:space="0" w:color="auto"/>
        <w:bottom w:val="none" w:sz="0" w:space="0" w:color="auto"/>
        <w:right w:val="none" w:sz="0" w:space="0" w:color="auto"/>
      </w:divBdr>
    </w:div>
    <w:div w:id="52508620">
      <w:bodyDiv w:val="1"/>
      <w:marLeft w:val="0"/>
      <w:marRight w:val="0"/>
      <w:marTop w:val="0"/>
      <w:marBottom w:val="0"/>
      <w:divBdr>
        <w:top w:val="none" w:sz="0" w:space="0" w:color="auto"/>
        <w:left w:val="none" w:sz="0" w:space="0" w:color="auto"/>
        <w:bottom w:val="none" w:sz="0" w:space="0" w:color="auto"/>
        <w:right w:val="none" w:sz="0" w:space="0" w:color="auto"/>
      </w:divBdr>
    </w:div>
    <w:div w:id="53084564">
      <w:bodyDiv w:val="1"/>
      <w:marLeft w:val="0"/>
      <w:marRight w:val="0"/>
      <w:marTop w:val="0"/>
      <w:marBottom w:val="0"/>
      <w:divBdr>
        <w:top w:val="none" w:sz="0" w:space="0" w:color="auto"/>
        <w:left w:val="none" w:sz="0" w:space="0" w:color="auto"/>
        <w:bottom w:val="none" w:sz="0" w:space="0" w:color="auto"/>
        <w:right w:val="none" w:sz="0" w:space="0" w:color="auto"/>
      </w:divBdr>
    </w:div>
    <w:div w:id="58134626">
      <w:bodyDiv w:val="1"/>
      <w:marLeft w:val="0"/>
      <w:marRight w:val="0"/>
      <w:marTop w:val="0"/>
      <w:marBottom w:val="0"/>
      <w:divBdr>
        <w:top w:val="none" w:sz="0" w:space="0" w:color="auto"/>
        <w:left w:val="none" w:sz="0" w:space="0" w:color="auto"/>
        <w:bottom w:val="none" w:sz="0" w:space="0" w:color="auto"/>
        <w:right w:val="none" w:sz="0" w:space="0" w:color="auto"/>
      </w:divBdr>
    </w:div>
    <w:div w:id="59596762">
      <w:bodyDiv w:val="1"/>
      <w:marLeft w:val="0"/>
      <w:marRight w:val="0"/>
      <w:marTop w:val="0"/>
      <w:marBottom w:val="0"/>
      <w:divBdr>
        <w:top w:val="none" w:sz="0" w:space="0" w:color="auto"/>
        <w:left w:val="none" w:sz="0" w:space="0" w:color="auto"/>
        <w:bottom w:val="none" w:sz="0" w:space="0" w:color="auto"/>
        <w:right w:val="none" w:sz="0" w:space="0" w:color="auto"/>
      </w:divBdr>
    </w:div>
    <w:div w:id="59640334">
      <w:bodyDiv w:val="1"/>
      <w:marLeft w:val="0"/>
      <w:marRight w:val="0"/>
      <w:marTop w:val="0"/>
      <w:marBottom w:val="0"/>
      <w:divBdr>
        <w:top w:val="none" w:sz="0" w:space="0" w:color="auto"/>
        <w:left w:val="none" w:sz="0" w:space="0" w:color="auto"/>
        <w:bottom w:val="none" w:sz="0" w:space="0" w:color="auto"/>
        <w:right w:val="none" w:sz="0" w:space="0" w:color="auto"/>
      </w:divBdr>
    </w:div>
    <w:div w:id="62487127">
      <w:bodyDiv w:val="1"/>
      <w:marLeft w:val="0"/>
      <w:marRight w:val="0"/>
      <w:marTop w:val="0"/>
      <w:marBottom w:val="0"/>
      <w:divBdr>
        <w:top w:val="none" w:sz="0" w:space="0" w:color="auto"/>
        <w:left w:val="none" w:sz="0" w:space="0" w:color="auto"/>
        <w:bottom w:val="none" w:sz="0" w:space="0" w:color="auto"/>
        <w:right w:val="none" w:sz="0" w:space="0" w:color="auto"/>
      </w:divBdr>
    </w:div>
    <w:div w:id="62875719">
      <w:bodyDiv w:val="1"/>
      <w:marLeft w:val="0"/>
      <w:marRight w:val="0"/>
      <w:marTop w:val="0"/>
      <w:marBottom w:val="0"/>
      <w:divBdr>
        <w:top w:val="none" w:sz="0" w:space="0" w:color="auto"/>
        <w:left w:val="none" w:sz="0" w:space="0" w:color="auto"/>
        <w:bottom w:val="none" w:sz="0" w:space="0" w:color="auto"/>
        <w:right w:val="none" w:sz="0" w:space="0" w:color="auto"/>
      </w:divBdr>
    </w:div>
    <w:div w:id="65152409">
      <w:bodyDiv w:val="1"/>
      <w:marLeft w:val="0"/>
      <w:marRight w:val="0"/>
      <w:marTop w:val="0"/>
      <w:marBottom w:val="0"/>
      <w:divBdr>
        <w:top w:val="none" w:sz="0" w:space="0" w:color="auto"/>
        <w:left w:val="none" w:sz="0" w:space="0" w:color="auto"/>
        <w:bottom w:val="none" w:sz="0" w:space="0" w:color="auto"/>
        <w:right w:val="none" w:sz="0" w:space="0" w:color="auto"/>
      </w:divBdr>
    </w:div>
    <w:div w:id="66734642">
      <w:bodyDiv w:val="1"/>
      <w:marLeft w:val="0"/>
      <w:marRight w:val="0"/>
      <w:marTop w:val="0"/>
      <w:marBottom w:val="0"/>
      <w:divBdr>
        <w:top w:val="none" w:sz="0" w:space="0" w:color="auto"/>
        <w:left w:val="none" w:sz="0" w:space="0" w:color="auto"/>
        <w:bottom w:val="none" w:sz="0" w:space="0" w:color="auto"/>
        <w:right w:val="none" w:sz="0" w:space="0" w:color="auto"/>
      </w:divBdr>
    </w:div>
    <w:div w:id="68844839">
      <w:bodyDiv w:val="1"/>
      <w:marLeft w:val="0"/>
      <w:marRight w:val="0"/>
      <w:marTop w:val="0"/>
      <w:marBottom w:val="0"/>
      <w:divBdr>
        <w:top w:val="none" w:sz="0" w:space="0" w:color="auto"/>
        <w:left w:val="none" w:sz="0" w:space="0" w:color="auto"/>
        <w:bottom w:val="none" w:sz="0" w:space="0" w:color="auto"/>
        <w:right w:val="none" w:sz="0" w:space="0" w:color="auto"/>
      </w:divBdr>
    </w:div>
    <w:div w:id="69155422">
      <w:bodyDiv w:val="1"/>
      <w:marLeft w:val="0"/>
      <w:marRight w:val="0"/>
      <w:marTop w:val="0"/>
      <w:marBottom w:val="0"/>
      <w:divBdr>
        <w:top w:val="none" w:sz="0" w:space="0" w:color="auto"/>
        <w:left w:val="none" w:sz="0" w:space="0" w:color="auto"/>
        <w:bottom w:val="none" w:sz="0" w:space="0" w:color="auto"/>
        <w:right w:val="none" w:sz="0" w:space="0" w:color="auto"/>
      </w:divBdr>
      <w:divsChild>
        <w:div w:id="494106899">
          <w:marLeft w:val="0"/>
          <w:marRight w:val="0"/>
          <w:marTop w:val="0"/>
          <w:marBottom w:val="0"/>
          <w:divBdr>
            <w:top w:val="none" w:sz="0" w:space="0" w:color="auto"/>
            <w:left w:val="none" w:sz="0" w:space="0" w:color="auto"/>
            <w:bottom w:val="none" w:sz="0" w:space="0" w:color="auto"/>
            <w:right w:val="none" w:sz="0" w:space="0" w:color="auto"/>
          </w:divBdr>
        </w:div>
      </w:divsChild>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3361954">
      <w:bodyDiv w:val="1"/>
      <w:marLeft w:val="0"/>
      <w:marRight w:val="0"/>
      <w:marTop w:val="0"/>
      <w:marBottom w:val="0"/>
      <w:divBdr>
        <w:top w:val="none" w:sz="0" w:space="0" w:color="auto"/>
        <w:left w:val="none" w:sz="0" w:space="0" w:color="auto"/>
        <w:bottom w:val="none" w:sz="0" w:space="0" w:color="auto"/>
        <w:right w:val="none" w:sz="0" w:space="0" w:color="auto"/>
      </w:divBdr>
    </w:div>
    <w:div w:id="76291602">
      <w:bodyDiv w:val="1"/>
      <w:marLeft w:val="0"/>
      <w:marRight w:val="0"/>
      <w:marTop w:val="0"/>
      <w:marBottom w:val="0"/>
      <w:divBdr>
        <w:top w:val="none" w:sz="0" w:space="0" w:color="auto"/>
        <w:left w:val="none" w:sz="0" w:space="0" w:color="auto"/>
        <w:bottom w:val="none" w:sz="0" w:space="0" w:color="auto"/>
        <w:right w:val="none" w:sz="0" w:space="0" w:color="auto"/>
      </w:divBdr>
    </w:div>
    <w:div w:id="79645449">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95756663">
      <w:bodyDiv w:val="1"/>
      <w:marLeft w:val="0"/>
      <w:marRight w:val="0"/>
      <w:marTop w:val="0"/>
      <w:marBottom w:val="0"/>
      <w:divBdr>
        <w:top w:val="none" w:sz="0" w:space="0" w:color="auto"/>
        <w:left w:val="none" w:sz="0" w:space="0" w:color="auto"/>
        <w:bottom w:val="none" w:sz="0" w:space="0" w:color="auto"/>
        <w:right w:val="none" w:sz="0" w:space="0" w:color="auto"/>
      </w:divBdr>
    </w:div>
    <w:div w:id="99763634">
      <w:bodyDiv w:val="1"/>
      <w:marLeft w:val="0"/>
      <w:marRight w:val="0"/>
      <w:marTop w:val="0"/>
      <w:marBottom w:val="0"/>
      <w:divBdr>
        <w:top w:val="none" w:sz="0" w:space="0" w:color="auto"/>
        <w:left w:val="none" w:sz="0" w:space="0" w:color="auto"/>
        <w:bottom w:val="none" w:sz="0" w:space="0" w:color="auto"/>
        <w:right w:val="none" w:sz="0" w:space="0" w:color="auto"/>
      </w:divBdr>
    </w:div>
    <w:div w:id="102001820">
      <w:bodyDiv w:val="1"/>
      <w:marLeft w:val="0"/>
      <w:marRight w:val="0"/>
      <w:marTop w:val="0"/>
      <w:marBottom w:val="0"/>
      <w:divBdr>
        <w:top w:val="none" w:sz="0" w:space="0" w:color="auto"/>
        <w:left w:val="none" w:sz="0" w:space="0" w:color="auto"/>
        <w:bottom w:val="none" w:sz="0" w:space="0" w:color="auto"/>
        <w:right w:val="none" w:sz="0" w:space="0" w:color="auto"/>
      </w:divBdr>
    </w:div>
    <w:div w:id="108205135">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3868192">
      <w:bodyDiv w:val="1"/>
      <w:marLeft w:val="0"/>
      <w:marRight w:val="0"/>
      <w:marTop w:val="0"/>
      <w:marBottom w:val="0"/>
      <w:divBdr>
        <w:top w:val="none" w:sz="0" w:space="0" w:color="auto"/>
        <w:left w:val="none" w:sz="0" w:space="0" w:color="auto"/>
        <w:bottom w:val="none" w:sz="0" w:space="0" w:color="auto"/>
        <w:right w:val="none" w:sz="0" w:space="0" w:color="auto"/>
      </w:divBdr>
    </w:div>
    <w:div w:id="116484937">
      <w:bodyDiv w:val="1"/>
      <w:marLeft w:val="0"/>
      <w:marRight w:val="0"/>
      <w:marTop w:val="0"/>
      <w:marBottom w:val="0"/>
      <w:divBdr>
        <w:top w:val="none" w:sz="0" w:space="0" w:color="auto"/>
        <w:left w:val="none" w:sz="0" w:space="0" w:color="auto"/>
        <w:bottom w:val="none" w:sz="0" w:space="0" w:color="auto"/>
        <w:right w:val="none" w:sz="0" w:space="0" w:color="auto"/>
      </w:divBdr>
    </w:div>
    <w:div w:id="116723453">
      <w:bodyDiv w:val="1"/>
      <w:marLeft w:val="0"/>
      <w:marRight w:val="0"/>
      <w:marTop w:val="0"/>
      <w:marBottom w:val="0"/>
      <w:divBdr>
        <w:top w:val="none" w:sz="0" w:space="0" w:color="auto"/>
        <w:left w:val="none" w:sz="0" w:space="0" w:color="auto"/>
        <w:bottom w:val="none" w:sz="0" w:space="0" w:color="auto"/>
        <w:right w:val="none" w:sz="0" w:space="0" w:color="auto"/>
      </w:divBdr>
    </w:div>
    <w:div w:id="116917720">
      <w:bodyDiv w:val="1"/>
      <w:marLeft w:val="0"/>
      <w:marRight w:val="0"/>
      <w:marTop w:val="0"/>
      <w:marBottom w:val="0"/>
      <w:divBdr>
        <w:top w:val="none" w:sz="0" w:space="0" w:color="auto"/>
        <w:left w:val="none" w:sz="0" w:space="0" w:color="auto"/>
        <w:bottom w:val="none" w:sz="0" w:space="0" w:color="auto"/>
        <w:right w:val="none" w:sz="0" w:space="0" w:color="auto"/>
      </w:divBdr>
    </w:div>
    <w:div w:id="121852250">
      <w:bodyDiv w:val="1"/>
      <w:marLeft w:val="0"/>
      <w:marRight w:val="0"/>
      <w:marTop w:val="0"/>
      <w:marBottom w:val="0"/>
      <w:divBdr>
        <w:top w:val="none" w:sz="0" w:space="0" w:color="auto"/>
        <w:left w:val="none" w:sz="0" w:space="0" w:color="auto"/>
        <w:bottom w:val="none" w:sz="0" w:space="0" w:color="auto"/>
        <w:right w:val="none" w:sz="0" w:space="0" w:color="auto"/>
      </w:divBdr>
    </w:div>
    <w:div w:id="122239181">
      <w:bodyDiv w:val="1"/>
      <w:marLeft w:val="0"/>
      <w:marRight w:val="0"/>
      <w:marTop w:val="0"/>
      <w:marBottom w:val="0"/>
      <w:divBdr>
        <w:top w:val="none" w:sz="0" w:space="0" w:color="auto"/>
        <w:left w:val="none" w:sz="0" w:space="0" w:color="auto"/>
        <w:bottom w:val="none" w:sz="0" w:space="0" w:color="auto"/>
        <w:right w:val="none" w:sz="0" w:space="0" w:color="auto"/>
      </w:divBdr>
    </w:div>
    <w:div w:id="132916996">
      <w:bodyDiv w:val="1"/>
      <w:marLeft w:val="0"/>
      <w:marRight w:val="0"/>
      <w:marTop w:val="0"/>
      <w:marBottom w:val="0"/>
      <w:divBdr>
        <w:top w:val="none" w:sz="0" w:space="0" w:color="auto"/>
        <w:left w:val="none" w:sz="0" w:space="0" w:color="auto"/>
        <w:bottom w:val="none" w:sz="0" w:space="0" w:color="auto"/>
        <w:right w:val="none" w:sz="0" w:space="0" w:color="auto"/>
      </w:divBdr>
    </w:div>
    <w:div w:id="134417971">
      <w:bodyDiv w:val="1"/>
      <w:marLeft w:val="0"/>
      <w:marRight w:val="0"/>
      <w:marTop w:val="0"/>
      <w:marBottom w:val="0"/>
      <w:divBdr>
        <w:top w:val="none" w:sz="0" w:space="0" w:color="auto"/>
        <w:left w:val="none" w:sz="0" w:space="0" w:color="auto"/>
        <w:bottom w:val="none" w:sz="0" w:space="0" w:color="auto"/>
        <w:right w:val="none" w:sz="0" w:space="0" w:color="auto"/>
      </w:divBdr>
    </w:div>
    <w:div w:id="139731590">
      <w:bodyDiv w:val="1"/>
      <w:marLeft w:val="0"/>
      <w:marRight w:val="0"/>
      <w:marTop w:val="0"/>
      <w:marBottom w:val="0"/>
      <w:divBdr>
        <w:top w:val="none" w:sz="0" w:space="0" w:color="auto"/>
        <w:left w:val="none" w:sz="0" w:space="0" w:color="auto"/>
        <w:bottom w:val="none" w:sz="0" w:space="0" w:color="auto"/>
        <w:right w:val="none" w:sz="0" w:space="0" w:color="auto"/>
      </w:divBdr>
    </w:div>
    <w:div w:id="140580827">
      <w:bodyDiv w:val="1"/>
      <w:marLeft w:val="0"/>
      <w:marRight w:val="0"/>
      <w:marTop w:val="0"/>
      <w:marBottom w:val="0"/>
      <w:divBdr>
        <w:top w:val="none" w:sz="0" w:space="0" w:color="auto"/>
        <w:left w:val="none" w:sz="0" w:space="0" w:color="auto"/>
        <w:bottom w:val="none" w:sz="0" w:space="0" w:color="auto"/>
        <w:right w:val="none" w:sz="0" w:space="0" w:color="auto"/>
      </w:divBdr>
      <w:divsChild>
        <w:div w:id="1645744409">
          <w:marLeft w:val="0"/>
          <w:marRight w:val="0"/>
          <w:marTop w:val="0"/>
          <w:marBottom w:val="0"/>
          <w:divBdr>
            <w:top w:val="none" w:sz="0" w:space="0" w:color="auto"/>
            <w:left w:val="none" w:sz="0" w:space="0" w:color="auto"/>
            <w:bottom w:val="none" w:sz="0" w:space="0" w:color="auto"/>
            <w:right w:val="none" w:sz="0" w:space="0" w:color="auto"/>
          </w:divBdr>
        </w:div>
      </w:divsChild>
    </w:div>
    <w:div w:id="141235507">
      <w:bodyDiv w:val="1"/>
      <w:marLeft w:val="0"/>
      <w:marRight w:val="0"/>
      <w:marTop w:val="0"/>
      <w:marBottom w:val="0"/>
      <w:divBdr>
        <w:top w:val="none" w:sz="0" w:space="0" w:color="auto"/>
        <w:left w:val="none" w:sz="0" w:space="0" w:color="auto"/>
        <w:bottom w:val="none" w:sz="0" w:space="0" w:color="auto"/>
        <w:right w:val="none" w:sz="0" w:space="0" w:color="auto"/>
      </w:divBdr>
    </w:div>
    <w:div w:id="141965648">
      <w:bodyDiv w:val="1"/>
      <w:marLeft w:val="0"/>
      <w:marRight w:val="0"/>
      <w:marTop w:val="0"/>
      <w:marBottom w:val="0"/>
      <w:divBdr>
        <w:top w:val="none" w:sz="0" w:space="0" w:color="auto"/>
        <w:left w:val="none" w:sz="0" w:space="0" w:color="auto"/>
        <w:bottom w:val="none" w:sz="0" w:space="0" w:color="auto"/>
        <w:right w:val="none" w:sz="0" w:space="0" w:color="auto"/>
      </w:divBdr>
      <w:divsChild>
        <w:div w:id="855995317">
          <w:marLeft w:val="0"/>
          <w:marRight w:val="0"/>
          <w:marTop w:val="0"/>
          <w:marBottom w:val="0"/>
          <w:divBdr>
            <w:top w:val="none" w:sz="0" w:space="0" w:color="auto"/>
            <w:left w:val="none" w:sz="0" w:space="0" w:color="auto"/>
            <w:bottom w:val="none" w:sz="0" w:space="0" w:color="auto"/>
            <w:right w:val="none" w:sz="0" w:space="0" w:color="auto"/>
          </w:divBdr>
        </w:div>
      </w:divsChild>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60433141">
      <w:bodyDiv w:val="1"/>
      <w:marLeft w:val="0"/>
      <w:marRight w:val="0"/>
      <w:marTop w:val="0"/>
      <w:marBottom w:val="0"/>
      <w:divBdr>
        <w:top w:val="none" w:sz="0" w:space="0" w:color="auto"/>
        <w:left w:val="none" w:sz="0" w:space="0" w:color="auto"/>
        <w:bottom w:val="none" w:sz="0" w:space="0" w:color="auto"/>
        <w:right w:val="none" w:sz="0" w:space="0" w:color="auto"/>
      </w:divBdr>
    </w:div>
    <w:div w:id="160507189">
      <w:bodyDiv w:val="1"/>
      <w:marLeft w:val="0"/>
      <w:marRight w:val="0"/>
      <w:marTop w:val="0"/>
      <w:marBottom w:val="0"/>
      <w:divBdr>
        <w:top w:val="none" w:sz="0" w:space="0" w:color="auto"/>
        <w:left w:val="none" w:sz="0" w:space="0" w:color="auto"/>
        <w:bottom w:val="none" w:sz="0" w:space="0" w:color="auto"/>
        <w:right w:val="none" w:sz="0" w:space="0" w:color="auto"/>
      </w:divBdr>
      <w:divsChild>
        <w:div w:id="1182747578">
          <w:marLeft w:val="0"/>
          <w:marRight w:val="0"/>
          <w:marTop w:val="0"/>
          <w:marBottom w:val="300"/>
          <w:divBdr>
            <w:top w:val="single" w:sz="6" w:space="18" w:color="E3E3E3"/>
            <w:left w:val="single" w:sz="6" w:space="18" w:color="E3E3E3"/>
            <w:bottom w:val="single" w:sz="6" w:space="18" w:color="E3E3E3"/>
            <w:right w:val="single" w:sz="6" w:space="18" w:color="E3E3E3"/>
          </w:divBdr>
        </w:div>
        <w:div w:id="1955675026">
          <w:marLeft w:val="0"/>
          <w:marRight w:val="0"/>
          <w:marTop w:val="0"/>
          <w:marBottom w:val="0"/>
          <w:divBdr>
            <w:top w:val="none" w:sz="0" w:space="0" w:color="auto"/>
            <w:left w:val="none" w:sz="0" w:space="0" w:color="auto"/>
            <w:bottom w:val="none" w:sz="0" w:space="0" w:color="auto"/>
            <w:right w:val="none" w:sz="0" w:space="0" w:color="auto"/>
          </w:divBdr>
          <w:divsChild>
            <w:div w:id="1000962667">
              <w:marLeft w:val="0"/>
              <w:marRight w:val="0"/>
              <w:marTop w:val="0"/>
              <w:marBottom w:val="0"/>
              <w:divBdr>
                <w:top w:val="none" w:sz="0" w:space="0" w:color="auto"/>
                <w:left w:val="none" w:sz="0" w:space="0" w:color="auto"/>
                <w:bottom w:val="none" w:sz="0" w:space="0" w:color="auto"/>
                <w:right w:val="none" w:sz="0" w:space="0" w:color="auto"/>
              </w:divBdr>
            </w:div>
          </w:divsChild>
        </w:div>
        <w:div w:id="1761825526">
          <w:blockQuote w:val="1"/>
          <w:marLeft w:val="0"/>
          <w:marRight w:val="0"/>
          <w:marTop w:val="0"/>
          <w:marBottom w:val="330"/>
          <w:divBdr>
            <w:top w:val="none" w:sz="0" w:space="0" w:color="auto"/>
            <w:left w:val="single" w:sz="36" w:space="17" w:color="EEEEEE"/>
            <w:bottom w:val="none" w:sz="0" w:space="0" w:color="auto"/>
            <w:right w:val="none" w:sz="0" w:space="0" w:color="auto"/>
          </w:divBdr>
        </w:div>
        <w:div w:id="1378554611">
          <w:blockQuote w:val="1"/>
          <w:marLeft w:val="0"/>
          <w:marRight w:val="0"/>
          <w:marTop w:val="0"/>
          <w:marBottom w:val="330"/>
          <w:divBdr>
            <w:top w:val="none" w:sz="0" w:space="0" w:color="auto"/>
            <w:left w:val="single" w:sz="36" w:space="17" w:color="EEEEEE"/>
            <w:bottom w:val="none" w:sz="0" w:space="0" w:color="auto"/>
            <w:right w:val="none" w:sz="0" w:space="0" w:color="auto"/>
          </w:divBdr>
        </w:div>
        <w:div w:id="473573092">
          <w:marLeft w:val="0"/>
          <w:marRight w:val="0"/>
          <w:marTop w:val="0"/>
          <w:marBottom w:val="0"/>
          <w:divBdr>
            <w:top w:val="none" w:sz="0" w:space="0" w:color="auto"/>
            <w:left w:val="none" w:sz="0" w:space="0" w:color="auto"/>
            <w:bottom w:val="none" w:sz="0" w:space="0" w:color="auto"/>
            <w:right w:val="none" w:sz="0" w:space="0" w:color="auto"/>
          </w:divBdr>
          <w:divsChild>
            <w:div w:id="2042852357">
              <w:marLeft w:val="0"/>
              <w:marRight w:val="0"/>
              <w:marTop w:val="0"/>
              <w:marBottom w:val="0"/>
              <w:divBdr>
                <w:top w:val="none" w:sz="0" w:space="0" w:color="auto"/>
                <w:left w:val="none" w:sz="0" w:space="0" w:color="auto"/>
                <w:bottom w:val="none" w:sz="0" w:space="0" w:color="auto"/>
                <w:right w:val="none" w:sz="0" w:space="0" w:color="auto"/>
              </w:divBdr>
            </w:div>
            <w:div w:id="1125074766">
              <w:marLeft w:val="0"/>
              <w:marRight w:val="0"/>
              <w:marTop w:val="0"/>
              <w:marBottom w:val="0"/>
              <w:divBdr>
                <w:top w:val="none" w:sz="0" w:space="0" w:color="auto"/>
                <w:left w:val="none" w:sz="0" w:space="0" w:color="auto"/>
                <w:bottom w:val="none" w:sz="0" w:space="0" w:color="auto"/>
                <w:right w:val="none" w:sz="0" w:space="0" w:color="auto"/>
              </w:divBdr>
              <w:divsChild>
                <w:div w:id="583491459">
                  <w:marLeft w:val="0"/>
                  <w:marRight w:val="0"/>
                  <w:marTop w:val="0"/>
                  <w:marBottom w:val="0"/>
                  <w:divBdr>
                    <w:top w:val="none" w:sz="0" w:space="0" w:color="auto"/>
                    <w:left w:val="none" w:sz="0" w:space="0" w:color="auto"/>
                    <w:bottom w:val="none" w:sz="0" w:space="0" w:color="auto"/>
                    <w:right w:val="none" w:sz="0" w:space="0" w:color="auto"/>
                  </w:divBdr>
                  <w:divsChild>
                    <w:div w:id="1830095777">
                      <w:marLeft w:val="68"/>
                      <w:marRight w:val="68"/>
                      <w:marTop w:val="68"/>
                      <w:marBottom w:val="68"/>
                      <w:divBdr>
                        <w:top w:val="none" w:sz="0" w:space="0" w:color="auto"/>
                        <w:left w:val="none" w:sz="0" w:space="0" w:color="auto"/>
                        <w:bottom w:val="none" w:sz="0" w:space="0" w:color="auto"/>
                        <w:right w:val="none" w:sz="0" w:space="0" w:color="auto"/>
                      </w:divBdr>
                      <w:divsChild>
                        <w:div w:id="23366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6724">
                  <w:marLeft w:val="0"/>
                  <w:marRight w:val="0"/>
                  <w:marTop w:val="0"/>
                  <w:marBottom w:val="0"/>
                  <w:divBdr>
                    <w:top w:val="none" w:sz="0" w:space="0" w:color="auto"/>
                    <w:left w:val="none" w:sz="0" w:space="0" w:color="auto"/>
                    <w:bottom w:val="none" w:sz="0" w:space="0" w:color="auto"/>
                    <w:right w:val="none" w:sz="0" w:space="0" w:color="auto"/>
                  </w:divBdr>
                  <w:divsChild>
                    <w:div w:id="1505634658">
                      <w:marLeft w:val="150"/>
                      <w:marRight w:val="150"/>
                      <w:marTop w:val="0"/>
                      <w:marBottom w:val="0"/>
                      <w:divBdr>
                        <w:top w:val="none" w:sz="0" w:space="0" w:color="auto"/>
                        <w:left w:val="none" w:sz="0" w:space="0" w:color="auto"/>
                        <w:bottom w:val="none" w:sz="0" w:space="0" w:color="auto"/>
                        <w:right w:val="none" w:sz="0" w:space="0" w:color="auto"/>
                      </w:divBdr>
                      <w:divsChild>
                        <w:div w:id="13926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72055">
          <w:blockQuote w:val="1"/>
          <w:marLeft w:val="0"/>
          <w:marRight w:val="0"/>
          <w:marTop w:val="0"/>
          <w:marBottom w:val="330"/>
          <w:divBdr>
            <w:top w:val="none" w:sz="0" w:space="0" w:color="auto"/>
            <w:left w:val="single" w:sz="36" w:space="17" w:color="EEEEEE"/>
            <w:bottom w:val="none" w:sz="0" w:space="0" w:color="auto"/>
            <w:right w:val="none" w:sz="0" w:space="0" w:color="auto"/>
          </w:divBdr>
        </w:div>
        <w:div w:id="1335110122">
          <w:blockQuote w:val="1"/>
          <w:marLeft w:val="0"/>
          <w:marRight w:val="0"/>
          <w:marTop w:val="0"/>
          <w:marBottom w:val="330"/>
          <w:divBdr>
            <w:top w:val="none" w:sz="0" w:space="0" w:color="auto"/>
            <w:left w:val="single" w:sz="36" w:space="17" w:color="EEEEEE"/>
            <w:bottom w:val="none" w:sz="0" w:space="0" w:color="auto"/>
            <w:right w:val="none" w:sz="0" w:space="0" w:color="auto"/>
          </w:divBdr>
        </w:div>
        <w:div w:id="346638760">
          <w:blockQuote w:val="1"/>
          <w:marLeft w:val="0"/>
          <w:marRight w:val="0"/>
          <w:marTop w:val="0"/>
          <w:marBottom w:val="330"/>
          <w:divBdr>
            <w:top w:val="none" w:sz="0" w:space="0" w:color="auto"/>
            <w:left w:val="single" w:sz="36" w:space="17" w:color="EEEEEE"/>
            <w:bottom w:val="none" w:sz="0" w:space="0" w:color="auto"/>
            <w:right w:val="none" w:sz="0" w:space="0" w:color="auto"/>
          </w:divBdr>
        </w:div>
        <w:div w:id="1261569683">
          <w:blockQuote w:val="1"/>
          <w:marLeft w:val="0"/>
          <w:marRight w:val="0"/>
          <w:marTop w:val="0"/>
          <w:marBottom w:val="330"/>
          <w:divBdr>
            <w:top w:val="none" w:sz="0" w:space="0" w:color="auto"/>
            <w:left w:val="single" w:sz="36" w:space="17" w:color="EEEEEE"/>
            <w:bottom w:val="none" w:sz="0" w:space="0" w:color="auto"/>
            <w:right w:val="none" w:sz="0" w:space="0" w:color="auto"/>
          </w:divBdr>
        </w:div>
        <w:div w:id="1145662607">
          <w:blockQuote w:val="1"/>
          <w:marLeft w:val="0"/>
          <w:marRight w:val="0"/>
          <w:marTop w:val="0"/>
          <w:marBottom w:val="330"/>
          <w:divBdr>
            <w:top w:val="none" w:sz="0" w:space="0" w:color="auto"/>
            <w:left w:val="single" w:sz="36" w:space="17" w:color="EEEEEE"/>
            <w:bottom w:val="none" w:sz="0" w:space="0" w:color="auto"/>
            <w:right w:val="none" w:sz="0" w:space="0" w:color="auto"/>
          </w:divBdr>
        </w:div>
        <w:div w:id="1359811584">
          <w:blockQuote w:val="1"/>
          <w:marLeft w:val="0"/>
          <w:marRight w:val="0"/>
          <w:marTop w:val="0"/>
          <w:marBottom w:val="330"/>
          <w:divBdr>
            <w:top w:val="none" w:sz="0" w:space="0" w:color="auto"/>
            <w:left w:val="single" w:sz="36" w:space="17" w:color="EEEEEE"/>
            <w:bottom w:val="none" w:sz="0" w:space="0" w:color="auto"/>
            <w:right w:val="none" w:sz="0" w:space="0" w:color="auto"/>
          </w:divBdr>
        </w:div>
        <w:div w:id="14547860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6213885">
      <w:bodyDiv w:val="1"/>
      <w:marLeft w:val="0"/>
      <w:marRight w:val="0"/>
      <w:marTop w:val="0"/>
      <w:marBottom w:val="0"/>
      <w:divBdr>
        <w:top w:val="none" w:sz="0" w:space="0" w:color="auto"/>
        <w:left w:val="none" w:sz="0" w:space="0" w:color="auto"/>
        <w:bottom w:val="none" w:sz="0" w:space="0" w:color="auto"/>
        <w:right w:val="none" w:sz="0" w:space="0" w:color="auto"/>
      </w:divBdr>
    </w:div>
    <w:div w:id="166672181">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175004077">
      <w:bodyDiv w:val="1"/>
      <w:marLeft w:val="0"/>
      <w:marRight w:val="0"/>
      <w:marTop w:val="0"/>
      <w:marBottom w:val="0"/>
      <w:divBdr>
        <w:top w:val="none" w:sz="0" w:space="0" w:color="auto"/>
        <w:left w:val="none" w:sz="0" w:space="0" w:color="auto"/>
        <w:bottom w:val="none" w:sz="0" w:space="0" w:color="auto"/>
        <w:right w:val="none" w:sz="0" w:space="0" w:color="auto"/>
      </w:divBdr>
    </w:div>
    <w:div w:id="176699783">
      <w:bodyDiv w:val="1"/>
      <w:marLeft w:val="0"/>
      <w:marRight w:val="0"/>
      <w:marTop w:val="0"/>
      <w:marBottom w:val="0"/>
      <w:divBdr>
        <w:top w:val="none" w:sz="0" w:space="0" w:color="auto"/>
        <w:left w:val="none" w:sz="0" w:space="0" w:color="auto"/>
        <w:bottom w:val="none" w:sz="0" w:space="0" w:color="auto"/>
        <w:right w:val="none" w:sz="0" w:space="0" w:color="auto"/>
      </w:divBdr>
    </w:div>
    <w:div w:id="179660174">
      <w:bodyDiv w:val="1"/>
      <w:marLeft w:val="0"/>
      <w:marRight w:val="0"/>
      <w:marTop w:val="0"/>
      <w:marBottom w:val="0"/>
      <w:divBdr>
        <w:top w:val="none" w:sz="0" w:space="0" w:color="auto"/>
        <w:left w:val="none" w:sz="0" w:space="0" w:color="auto"/>
        <w:bottom w:val="none" w:sz="0" w:space="0" w:color="auto"/>
        <w:right w:val="none" w:sz="0" w:space="0" w:color="auto"/>
      </w:divBdr>
    </w:div>
    <w:div w:id="187184944">
      <w:bodyDiv w:val="1"/>
      <w:marLeft w:val="0"/>
      <w:marRight w:val="0"/>
      <w:marTop w:val="0"/>
      <w:marBottom w:val="0"/>
      <w:divBdr>
        <w:top w:val="none" w:sz="0" w:space="0" w:color="auto"/>
        <w:left w:val="none" w:sz="0" w:space="0" w:color="auto"/>
        <w:bottom w:val="none" w:sz="0" w:space="0" w:color="auto"/>
        <w:right w:val="none" w:sz="0" w:space="0" w:color="auto"/>
      </w:divBdr>
    </w:div>
    <w:div w:id="190338934">
      <w:bodyDiv w:val="1"/>
      <w:marLeft w:val="0"/>
      <w:marRight w:val="0"/>
      <w:marTop w:val="0"/>
      <w:marBottom w:val="0"/>
      <w:divBdr>
        <w:top w:val="none" w:sz="0" w:space="0" w:color="auto"/>
        <w:left w:val="none" w:sz="0" w:space="0" w:color="auto"/>
        <w:bottom w:val="none" w:sz="0" w:space="0" w:color="auto"/>
        <w:right w:val="none" w:sz="0" w:space="0" w:color="auto"/>
      </w:divBdr>
    </w:div>
    <w:div w:id="198052464">
      <w:bodyDiv w:val="1"/>
      <w:marLeft w:val="0"/>
      <w:marRight w:val="0"/>
      <w:marTop w:val="0"/>
      <w:marBottom w:val="0"/>
      <w:divBdr>
        <w:top w:val="none" w:sz="0" w:space="0" w:color="auto"/>
        <w:left w:val="none" w:sz="0" w:space="0" w:color="auto"/>
        <w:bottom w:val="none" w:sz="0" w:space="0" w:color="auto"/>
        <w:right w:val="none" w:sz="0" w:space="0" w:color="auto"/>
      </w:divBdr>
      <w:divsChild>
        <w:div w:id="1442334081">
          <w:marLeft w:val="0"/>
          <w:marRight w:val="0"/>
          <w:marTop w:val="0"/>
          <w:marBottom w:val="75"/>
          <w:divBdr>
            <w:top w:val="none" w:sz="0" w:space="0" w:color="auto"/>
            <w:left w:val="none" w:sz="0" w:space="0" w:color="auto"/>
            <w:bottom w:val="none" w:sz="0" w:space="0" w:color="auto"/>
            <w:right w:val="none" w:sz="0" w:space="0" w:color="auto"/>
          </w:divBdr>
        </w:div>
      </w:divsChild>
    </w:div>
    <w:div w:id="202594508">
      <w:bodyDiv w:val="1"/>
      <w:marLeft w:val="0"/>
      <w:marRight w:val="0"/>
      <w:marTop w:val="0"/>
      <w:marBottom w:val="0"/>
      <w:divBdr>
        <w:top w:val="none" w:sz="0" w:space="0" w:color="auto"/>
        <w:left w:val="none" w:sz="0" w:space="0" w:color="auto"/>
        <w:bottom w:val="none" w:sz="0" w:space="0" w:color="auto"/>
        <w:right w:val="none" w:sz="0" w:space="0" w:color="auto"/>
      </w:divBdr>
    </w:div>
    <w:div w:id="204369692">
      <w:bodyDiv w:val="1"/>
      <w:marLeft w:val="0"/>
      <w:marRight w:val="0"/>
      <w:marTop w:val="0"/>
      <w:marBottom w:val="0"/>
      <w:divBdr>
        <w:top w:val="none" w:sz="0" w:space="0" w:color="auto"/>
        <w:left w:val="none" w:sz="0" w:space="0" w:color="auto"/>
        <w:bottom w:val="none" w:sz="0" w:space="0" w:color="auto"/>
        <w:right w:val="none" w:sz="0" w:space="0" w:color="auto"/>
      </w:divBdr>
    </w:div>
    <w:div w:id="205340630">
      <w:bodyDiv w:val="1"/>
      <w:marLeft w:val="0"/>
      <w:marRight w:val="0"/>
      <w:marTop w:val="0"/>
      <w:marBottom w:val="0"/>
      <w:divBdr>
        <w:top w:val="none" w:sz="0" w:space="0" w:color="auto"/>
        <w:left w:val="none" w:sz="0" w:space="0" w:color="auto"/>
        <w:bottom w:val="none" w:sz="0" w:space="0" w:color="auto"/>
        <w:right w:val="none" w:sz="0" w:space="0" w:color="auto"/>
      </w:divBdr>
      <w:divsChild>
        <w:div w:id="295990532">
          <w:marLeft w:val="0"/>
          <w:marRight w:val="0"/>
          <w:marTop w:val="0"/>
          <w:marBottom w:val="0"/>
          <w:divBdr>
            <w:top w:val="none" w:sz="0" w:space="0" w:color="auto"/>
            <w:left w:val="none" w:sz="0" w:space="0" w:color="auto"/>
            <w:bottom w:val="none" w:sz="0" w:space="0" w:color="auto"/>
            <w:right w:val="none" w:sz="0" w:space="0" w:color="auto"/>
          </w:divBdr>
          <w:divsChild>
            <w:div w:id="1868910147">
              <w:marLeft w:val="0"/>
              <w:marRight w:val="0"/>
              <w:marTop w:val="0"/>
              <w:marBottom w:val="0"/>
              <w:divBdr>
                <w:top w:val="none" w:sz="0" w:space="0" w:color="auto"/>
                <w:left w:val="none" w:sz="0" w:space="0" w:color="auto"/>
                <w:bottom w:val="none" w:sz="0" w:space="0" w:color="auto"/>
                <w:right w:val="none" w:sz="0" w:space="0" w:color="auto"/>
              </w:divBdr>
            </w:div>
          </w:divsChild>
        </w:div>
        <w:div w:id="598759231">
          <w:marLeft w:val="0"/>
          <w:marRight w:val="0"/>
          <w:marTop w:val="0"/>
          <w:marBottom w:val="0"/>
          <w:divBdr>
            <w:top w:val="none" w:sz="0" w:space="0" w:color="auto"/>
            <w:left w:val="none" w:sz="0" w:space="0" w:color="auto"/>
            <w:bottom w:val="none" w:sz="0" w:space="0" w:color="auto"/>
            <w:right w:val="none" w:sz="0" w:space="0" w:color="auto"/>
          </w:divBdr>
          <w:divsChild>
            <w:div w:id="1188064468">
              <w:marLeft w:val="0"/>
              <w:marRight w:val="0"/>
              <w:marTop w:val="0"/>
              <w:marBottom w:val="0"/>
              <w:divBdr>
                <w:top w:val="none" w:sz="0" w:space="0" w:color="auto"/>
                <w:left w:val="none" w:sz="0" w:space="0" w:color="auto"/>
                <w:bottom w:val="none" w:sz="0" w:space="0" w:color="auto"/>
                <w:right w:val="none" w:sz="0" w:space="0" w:color="auto"/>
              </w:divBdr>
            </w:div>
          </w:divsChild>
        </w:div>
        <w:div w:id="473714467">
          <w:marLeft w:val="0"/>
          <w:marRight w:val="0"/>
          <w:marTop w:val="0"/>
          <w:marBottom w:val="0"/>
          <w:divBdr>
            <w:top w:val="none" w:sz="0" w:space="0" w:color="auto"/>
            <w:left w:val="none" w:sz="0" w:space="0" w:color="auto"/>
            <w:bottom w:val="none" w:sz="0" w:space="0" w:color="auto"/>
            <w:right w:val="none" w:sz="0" w:space="0" w:color="auto"/>
          </w:divBdr>
          <w:divsChild>
            <w:div w:id="10684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3268">
      <w:bodyDiv w:val="1"/>
      <w:marLeft w:val="0"/>
      <w:marRight w:val="0"/>
      <w:marTop w:val="0"/>
      <w:marBottom w:val="0"/>
      <w:divBdr>
        <w:top w:val="none" w:sz="0" w:space="0" w:color="auto"/>
        <w:left w:val="none" w:sz="0" w:space="0" w:color="auto"/>
        <w:bottom w:val="none" w:sz="0" w:space="0" w:color="auto"/>
        <w:right w:val="none" w:sz="0" w:space="0" w:color="auto"/>
      </w:divBdr>
      <w:divsChild>
        <w:div w:id="568728438">
          <w:marLeft w:val="0"/>
          <w:marRight w:val="0"/>
          <w:marTop w:val="0"/>
          <w:marBottom w:val="0"/>
          <w:divBdr>
            <w:top w:val="none" w:sz="0" w:space="0" w:color="auto"/>
            <w:left w:val="none" w:sz="0" w:space="0" w:color="auto"/>
            <w:bottom w:val="none" w:sz="0" w:space="0" w:color="auto"/>
            <w:right w:val="none" w:sz="0" w:space="0" w:color="auto"/>
          </w:divBdr>
        </w:div>
      </w:divsChild>
    </w:div>
    <w:div w:id="212080884">
      <w:bodyDiv w:val="1"/>
      <w:marLeft w:val="0"/>
      <w:marRight w:val="0"/>
      <w:marTop w:val="0"/>
      <w:marBottom w:val="0"/>
      <w:divBdr>
        <w:top w:val="none" w:sz="0" w:space="0" w:color="auto"/>
        <w:left w:val="none" w:sz="0" w:space="0" w:color="auto"/>
        <w:bottom w:val="none" w:sz="0" w:space="0" w:color="auto"/>
        <w:right w:val="none" w:sz="0" w:space="0" w:color="auto"/>
      </w:divBdr>
      <w:divsChild>
        <w:div w:id="530807253">
          <w:marLeft w:val="0"/>
          <w:marRight w:val="0"/>
          <w:marTop w:val="0"/>
          <w:marBottom w:val="0"/>
          <w:divBdr>
            <w:top w:val="none" w:sz="0" w:space="0" w:color="auto"/>
            <w:left w:val="none" w:sz="0" w:space="0" w:color="auto"/>
            <w:bottom w:val="none" w:sz="0" w:space="0" w:color="auto"/>
            <w:right w:val="none" w:sz="0" w:space="0" w:color="auto"/>
          </w:divBdr>
        </w:div>
      </w:divsChild>
    </w:div>
    <w:div w:id="213155120">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20484796">
      <w:bodyDiv w:val="1"/>
      <w:marLeft w:val="0"/>
      <w:marRight w:val="0"/>
      <w:marTop w:val="0"/>
      <w:marBottom w:val="0"/>
      <w:divBdr>
        <w:top w:val="none" w:sz="0" w:space="0" w:color="auto"/>
        <w:left w:val="none" w:sz="0" w:space="0" w:color="auto"/>
        <w:bottom w:val="none" w:sz="0" w:space="0" w:color="auto"/>
        <w:right w:val="none" w:sz="0" w:space="0" w:color="auto"/>
      </w:divBdr>
    </w:div>
    <w:div w:id="221059307">
      <w:bodyDiv w:val="1"/>
      <w:marLeft w:val="0"/>
      <w:marRight w:val="0"/>
      <w:marTop w:val="0"/>
      <w:marBottom w:val="0"/>
      <w:divBdr>
        <w:top w:val="none" w:sz="0" w:space="0" w:color="auto"/>
        <w:left w:val="none" w:sz="0" w:space="0" w:color="auto"/>
        <w:bottom w:val="none" w:sz="0" w:space="0" w:color="auto"/>
        <w:right w:val="none" w:sz="0" w:space="0" w:color="auto"/>
      </w:divBdr>
    </w:div>
    <w:div w:id="221907333">
      <w:bodyDiv w:val="1"/>
      <w:marLeft w:val="0"/>
      <w:marRight w:val="0"/>
      <w:marTop w:val="0"/>
      <w:marBottom w:val="0"/>
      <w:divBdr>
        <w:top w:val="none" w:sz="0" w:space="0" w:color="auto"/>
        <w:left w:val="none" w:sz="0" w:space="0" w:color="auto"/>
        <w:bottom w:val="none" w:sz="0" w:space="0" w:color="auto"/>
        <w:right w:val="none" w:sz="0" w:space="0" w:color="auto"/>
      </w:divBdr>
    </w:div>
    <w:div w:id="224144858">
      <w:bodyDiv w:val="1"/>
      <w:marLeft w:val="0"/>
      <w:marRight w:val="0"/>
      <w:marTop w:val="0"/>
      <w:marBottom w:val="0"/>
      <w:divBdr>
        <w:top w:val="none" w:sz="0" w:space="0" w:color="auto"/>
        <w:left w:val="none" w:sz="0" w:space="0" w:color="auto"/>
        <w:bottom w:val="none" w:sz="0" w:space="0" w:color="auto"/>
        <w:right w:val="none" w:sz="0" w:space="0" w:color="auto"/>
      </w:divBdr>
    </w:div>
    <w:div w:id="226300884">
      <w:bodyDiv w:val="1"/>
      <w:marLeft w:val="0"/>
      <w:marRight w:val="0"/>
      <w:marTop w:val="0"/>
      <w:marBottom w:val="0"/>
      <w:divBdr>
        <w:top w:val="none" w:sz="0" w:space="0" w:color="auto"/>
        <w:left w:val="none" w:sz="0" w:space="0" w:color="auto"/>
        <w:bottom w:val="none" w:sz="0" w:space="0" w:color="auto"/>
        <w:right w:val="none" w:sz="0" w:space="0" w:color="auto"/>
      </w:divBdr>
      <w:divsChild>
        <w:div w:id="1914924760">
          <w:marLeft w:val="0"/>
          <w:marRight w:val="0"/>
          <w:marTop w:val="0"/>
          <w:marBottom w:val="0"/>
          <w:divBdr>
            <w:top w:val="none" w:sz="0" w:space="0" w:color="auto"/>
            <w:left w:val="none" w:sz="0" w:space="0" w:color="auto"/>
            <w:bottom w:val="none" w:sz="0" w:space="0" w:color="auto"/>
            <w:right w:val="none" w:sz="0" w:space="0" w:color="auto"/>
          </w:divBdr>
        </w:div>
      </w:divsChild>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7058908">
      <w:bodyDiv w:val="1"/>
      <w:marLeft w:val="0"/>
      <w:marRight w:val="0"/>
      <w:marTop w:val="0"/>
      <w:marBottom w:val="0"/>
      <w:divBdr>
        <w:top w:val="none" w:sz="0" w:space="0" w:color="auto"/>
        <w:left w:val="none" w:sz="0" w:space="0" w:color="auto"/>
        <w:bottom w:val="none" w:sz="0" w:space="0" w:color="auto"/>
        <w:right w:val="none" w:sz="0" w:space="0" w:color="auto"/>
      </w:divBdr>
    </w:div>
    <w:div w:id="238441609">
      <w:bodyDiv w:val="1"/>
      <w:marLeft w:val="0"/>
      <w:marRight w:val="0"/>
      <w:marTop w:val="0"/>
      <w:marBottom w:val="0"/>
      <w:divBdr>
        <w:top w:val="none" w:sz="0" w:space="0" w:color="auto"/>
        <w:left w:val="none" w:sz="0" w:space="0" w:color="auto"/>
        <w:bottom w:val="none" w:sz="0" w:space="0" w:color="auto"/>
        <w:right w:val="none" w:sz="0" w:space="0" w:color="auto"/>
      </w:divBdr>
      <w:divsChild>
        <w:div w:id="843782623">
          <w:marLeft w:val="0"/>
          <w:marRight w:val="0"/>
          <w:marTop w:val="0"/>
          <w:marBottom w:val="0"/>
          <w:divBdr>
            <w:top w:val="none" w:sz="0" w:space="0" w:color="auto"/>
            <w:left w:val="none" w:sz="0" w:space="0" w:color="auto"/>
            <w:bottom w:val="none" w:sz="0" w:space="0" w:color="auto"/>
            <w:right w:val="none" w:sz="0" w:space="0" w:color="auto"/>
          </w:divBdr>
        </w:div>
      </w:divsChild>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51474517">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9726135">
      <w:bodyDiv w:val="1"/>
      <w:marLeft w:val="0"/>
      <w:marRight w:val="0"/>
      <w:marTop w:val="0"/>
      <w:marBottom w:val="0"/>
      <w:divBdr>
        <w:top w:val="none" w:sz="0" w:space="0" w:color="auto"/>
        <w:left w:val="none" w:sz="0" w:space="0" w:color="auto"/>
        <w:bottom w:val="none" w:sz="0" w:space="0" w:color="auto"/>
        <w:right w:val="none" w:sz="0" w:space="0" w:color="auto"/>
      </w:divBdr>
    </w:div>
    <w:div w:id="264654233">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71940468">
      <w:bodyDiv w:val="1"/>
      <w:marLeft w:val="0"/>
      <w:marRight w:val="0"/>
      <w:marTop w:val="0"/>
      <w:marBottom w:val="0"/>
      <w:divBdr>
        <w:top w:val="none" w:sz="0" w:space="0" w:color="auto"/>
        <w:left w:val="none" w:sz="0" w:space="0" w:color="auto"/>
        <w:bottom w:val="none" w:sz="0" w:space="0" w:color="auto"/>
        <w:right w:val="none" w:sz="0" w:space="0" w:color="auto"/>
      </w:divBdr>
    </w:div>
    <w:div w:id="275715798">
      <w:bodyDiv w:val="1"/>
      <w:marLeft w:val="0"/>
      <w:marRight w:val="0"/>
      <w:marTop w:val="0"/>
      <w:marBottom w:val="0"/>
      <w:divBdr>
        <w:top w:val="none" w:sz="0" w:space="0" w:color="auto"/>
        <w:left w:val="none" w:sz="0" w:space="0" w:color="auto"/>
        <w:bottom w:val="none" w:sz="0" w:space="0" w:color="auto"/>
        <w:right w:val="none" w:sz="0" w:space="0" w:color="auto"/>
      </w:divBdr>
    </w:div>
    <w:div w:id="276178553">
      <w:bodyDiv w:val="1"/>
      <w:marLeft w:val="0"/>
      <w:marRight w:val="0"/>
      <w:marTop w:val="0"/>
      <w:marBottom w:val="0"/>
      <w:divBdr>
        <w:top w:val="none" w:sz="0" w:space="0" w:color="auto"/>
        <w:left w:val="none" w:sz="0" w:space="0" w:color="auto"/>
        <w:bottom w:val="none" w:sz="0" w:space="0" w:color="auto"/>
        <w:right w:val="none" w:sz="0" w:space="0" w:color="auto"/>
      </w:divBdr>
    </w:div>
    <w:div w:id="277759169">
      <w:bodyDiv w:val="1"/>
      <w:marLeft w:val="0"/>
      <w:marRight w:val="0"/>
      <w:marTop w:val="0"/>
      <w:marBottom w:val="0"/>
      <w:divBdr>
        <w:top w:val="none" w:sz="0" w:space="0" w:color="auto"/>
        <w:left w:val="none" w:sz="0" w:space="0" w:color="auto"/>
        <w:bottom w:val="none" w:sz="0" w:space="0" w:color="auto"/>
        <w:right w:val="none" w:sz="0" w:space="0" w:color="auto"/>
      </w:divBdr>
    </w:div>
    <w:div w:id="279655901">
      <w:bodyDiv w:val="1"/>
      <w:marLeft w:val="0"/>
      <w:marRight w:val="0"/>
      <w:marTop w:val="0"/>
      <w:marBottom w:val="0"/>
      <w:divBdr>
        <w:top w:val="none" w:sz="0" w:space="0" w:color="auto"/>
        <w:left w:val="none" w:sz="0" w:space="0" w:color="auto"/>
        <w:bottom w:val="none" w:sz="0" w:space="0" w:color="auto"/>
        <w:right w:val="none" w:sz="0" w:space="0" w:color="auto"/>
      </w:divBdr>
    </w:div>
    <w:div w:id="280695389">
      <w:bodyDiv w:val="1"/>
      <w:marLeft w:val="0"/>
      <w:marRight w:val="0"/>
      <w:marTop w:val="0"/>
      <w:marBottom w:val="0"/>
      <w:divBdr>
        <w:top w:val="none" w:sz="0" w:space="0" w:color="auto"/>
        <w:left w:val="none" w:sz="0" w:space="0" w:color="auto"/>
        <w:bottom w:val="none" w:sz="0" w:space="0" w:color="auto"/>
        <w:right w:val="none" w:sz="0" w:space="0" w:color="auto"/>
      </w:divBdr>
      <w:divsChild>
        <w:div w:id="224414756">
          <w:marLeft w:val="0"/>
          <w:marRight w:val="0"/>
          <w:marTop w:val="0"/>
          <w:marBottom w:val="0"/>
          <w:divBdr>
            <w:top w:val="none" w:sz="0" w:space="0" w:color="auto"/>
            <w:left w:val="none" w:sz="0" w:space="0" w:color="auto"/>
            <w:bottom w:val="none" w:sz="0" w:space="0" w:color="auto"/>
            <w:right w:val="none" w:sz="0" w:space="0" w:color="auto"/>
          </w:divBdr>
        </w:div>
      </w:divsChild>
    </w:div>
    <w:div w:id="283999881">
      <w:bodyDiv w:val="1"/>
      <w:marLeft w:val="0"/>
      <w:marRight w:val="0"/>
      <w:marTop w:val="0"/>
      <w:marBottom w:val="0"/>
      <w:divBdr>
        <w:top w:val="none" w:sz="0" w:space="0" w:color="auto"/>
        <w:left w:val="none" w:sz="0" w:space="0" w:color="auto"/>
        <w:bottom w:val="none" w:sz="0" w:space="0" w:color="auto"/>
        <w:right w:val="none" w:sz="0" w:space="0" w:color="auto"/>
      </w:divBdr>
    </w:div>
    <w:div w:id="286203283">
      <w:bodyDiv w:val="1"/>
      <w:marLeft w:val="0"/>
      <w:marRight w:val="0"/>
      <w:marTop w:val="0"/>
      <w:marBottom w:val="0"/>
      <w:divBdr>
        <w:top w:val="none" w:sz="0" w:space="0" w:color="auto"/>
        <w:left w:val="none" w:sz="0" w:space="0" w:color="auto"/>
        <w:bottom w:val="none" w:sz="0" w:space="0" w:color="auto"/>
        <w:right w:val="none" w:sz="0" w:space="0" w:color="auto"/>
      </w:divBdr>
    </w:div>
    <w:div w:id="286468260">
      <w:bodyDiv w:val="1"/>
      <w:marLeft w:val="0"/>
      <w:marRight w:val="0"/>
      <w:marTop w:val="0"/>
      <w:marBottom w:val="0"/>
      <w:divBdr>
        <w:top w:val="none" w:sz="0" w:space="0" w:color="auto"/>
        <w:left w:val="none" w:sz="0" w:space="0" w:color="auto"/>
        <w:bottom w:val="none" w:sz="0" w:space="0" w:color="auto"/>
        <w:right w:val="none" w:sz="0" w:space="0" w:color="auto"/>
      </w:divBdr>
      <w:divsChild>
        <w:div w:id="491915349">
          <w:marLeft w:val="0"/>
          <w:marRight w:val="0"/>
          <w:marTop w:val="0"/>
          <w:marBottom w:val="300"/>
          <w:divBdr>
            <w:top w:val="none" w:sz="0" w:space="0" w:color="auto"/>
            <w:left w:val="none" w:sz="0" w:space="0" w:color="auto"/>
            <w:bottom w:val="none" w:sz="0" w:space="0" w:color="auto"/>
            <w:right w:val="none" w:sz="0" w:space="0" w:color="auto"/>
          </w:divBdr>
        </w:div>
        <w:div w:id="725564646">
          <w:marLeft w:val="0"/>
          <w:marRight w:val="0"/>
          <w:marTop w:val="0"/>
          <w:marBottom w:val="0"/>
          <w:divBdr>
            <w:top w:val="none" w:sz="0" w:space="0" w:color="auto"/>
            <w:left w:val="none" w:sz="0" w:space="0" w:color="auto"/>
            <w:bottom w:val="none" w:sz="0" w:space="0" w:color="auto"/>
            <w:right w:val="none" w:sz="0" w:space="0" w:color="auto"/>
          </w:divBdr>
        </w:div>
        <w:div w:id="1776485403">
          <w:marLeft w:val="0"/>
          <w:marRight w:val="0"/>
          <w:marTop w:val="0"/>
          <w:marBottom w:val="300"/>
          <w:divBdr>
            <w:top w:val="none" w:sz="0" w:space="0" w:color="auto"/>
            <w:left w:val="none" w:sz="0" w:space="0" w:color="auto"/>
            <w:bottom w:val="none" w:sz="0" w:space="0" w:color="auto"/>
            <w:right w:val="none" w:sz="0" w:space="0" w:color="auto"/>
          </w:divBdr>
        </w:div>
        <w:div w:id="2004237058">
          <w:marLeft w:val="0"/>
          <w:marRight w:val="0"/>
          <w:marTop w:val="0"/>
          <w:marBottom w:val="0"/>
          <w:divBdr>
            <w:top w:val="none" w:sz="0" w:space="0" w:color="auto"/>
            <w:left w:val="none" w:sz="0" w:space="0" w:color="auto"/>
            <w:bottom w:val="none" w:sz="0" w:space="0" w:color="auto"/>
            <w:right w:val="none" w:sz="0" w:space="0" w:color="auto"/>
          </w:divBdr>
        </w:div>
      </w:divsChild>
    </w:div>
    <w:div w:id="291446643">
      <w:bodyDiv w:val="1"/>
      <w:marLeft w:val="0"/>
      <w:marRight w:val="0"/>
      <w:marTop w:val="0"/>
      <w:marBottom w:val="0"/>
      <w:divBdr>
        <w:top w:val="none" w:sz="0" w:space="0" w:color="auto"/>
        <w:left w:val="none" w:sz="0" w:space="0" w:color="auto"/>
        <w:bottom w:val="none" w:sz="0" w:space="0" w:color="auto"/>
        <w:right w:val="none" w:sz="0" w:space="0" w:color="auto"/>
      </w:divBdr>
    </w:div>
    <w:div w:id="292903663">
      <w:bodyDiv w:val="1"/>
      <w:marLeft w:val="0"/>
      <w:marRight w:val="0"/>
      <w:marTop w:val="0"/>
      <w:marBottom w:val="0"/>
      <w:divBdr>
        <w:top w:val="none" w:sz="0" w:space="0" w:color="auto"/>
        <w:left w:val="none" w:sz="0" w:space="0" w:color="auto"/>
        <w:bottom w:val="none" w:sz="0" w:space="0" w:color="auto"/>
        <w:right w:val="none" w:sz="0" w:space="0" w:color="auto"/>
      </w:divBdr>
    </w:div>
    <w:div w:id="293869465">
      <w:bodyDiv w:val="1"/>
      <w:marLeft w:val="0"/>
      <w:marRight w:val="0"/>
      <w:marTop w:val="0"/>
      <w:marBottom w:val="0"/>
      <w:divBdr>
        <w:top w:val="none" w:sz="0" w:space="0" w:color="auto"/>
        <w:left w:val="none" w:sz="0" w:space="0" w:color="auto"/>
        <w:bottom w:val="none" w:sz="0" w:space="0" w:color="auto"/>
        <w:right w:val="none" w:sz="0" w:space="0" w:color="auto"/>
      </w:divBdr>
      <w:divsChild>
        <w:div w:id="1518930024">
          <w:marLeft w:val="0"/>
          <w:marRight w:val="0"/>
          <w:marTop w:val="0"/>
          <w:marBottom w:val="0"/>
          <w:divBdr>
            <w:top w:val="none" w:sz="0" w:space="0" w:color="auto"/>
            <w:left w:val="none" w:sz="0" w:space="0" w:color="auto"/>
            <w:bottom w:val="none" w:sz="0" w:space="0" w:color="auto"/>
            <w:right w:val="none" w:sz="0" w:space="0" w:color="auto"/>
          </w:divBdr>
        </w:div>
      </w:divsChild>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297884341">
      <w:bodyDiv w:val="1"/>
      <w:marLeft w:val="0"/>
      <w:marRight w:val="0"/>
      <w:marTop w:val="0"/>
      <w:marBottom w:val="0"/>
      <w:divBdr>
        <w:top w:val="none" w:sz="0" w:space="0" w:color="auto"/>
        <w:left w:val="none" w:sz="0" w:space="0" w:color="auto"/>
        <w:bottom w:val="none" w:sz="0" w:space="0" w:color="auto"/>
        <w:right w:val="none" w:sz="0" w:space="0" w:color="auto"/>
      </w:divBdr>
      <w:divsChild>
        <w:div w:id="1774546568">
          <w:marLeft w:val="0"/>
          <w:marRight w:val="0"/>
          <w:marTop w:val="0"/>
          <w:marBottom w:val="0"/>
          <w:divBdr>
            <w:top w:val="none" w:sz="0" w:space="0" w:color="auto"/>
            <w:left w:val="none" w:sz="0" w:space="0" w:color="auto"/>
            <w:bottom w:val="none" w:sz="0" w:space="0" w:color="auto"/>
            <w:right w:val="none" w:sz="0" w:space="0" w:color="auto"/>
          </w:divBdr>
        </w:div>
      </w:divsChild>
    </w:div>
    <w:div w:id="301227740">
      <w:bodyDiv w:val="1"/>
      <w:marLeft w:val="0"/>
      <w:marRight w:val="0"/>
      <w:marTop w:val="0"/>
      <w:marBottom w:val="0"/>
      <w:divBdr>
        <w:top w:val="none" w:sz="0" w:space="0" w:color="auto"/>
        <w:left w:val="none" w:sz="0" w:space="0" w:color="auto"/>
        <w:bottom w:val="none" w:sz="0" w:space="0" w:color="auto"/>
        <w:right w:val="none" w:sz="0" w:space="0" w:color="auto"/>
      </w:divBdr>
    </w:div>
    <w:div w:id="303506070">
      <w:bodyDiv w:val="1"/>
      <w:marLeft w:val="0"/>
      <w:marRight w:val="0"/>
      <w:marTop w:val="0"/>
      <w:marBottom w:val="0"/>
      <w:divBdr>
        <w:top w:val="none" w:sz="0" w:space="0" w:color="auto"/>
        <w:left w:val="none" w:sz="0" w:space="0" w:color="auto"/>
        <w:bottom w:val="none" w:sz="0" w:space="0" w:color="auto"/>
        <w:right w:val="none" w:sz="0" w:space="0" w:color="auto"/>
      </w:divBdr>
    </w:div>
    <w:div w:id="305090368">
      <w:bodyDiv w:val="1"/>
      <w:marLeft w:val="0"/>
      <w:marRight w:val="0"/>
      <w:marTop w:val="0"/>
      <w:marBottom w:val="0"/>
      <w:divBdr>
        <w:top w:val="none" w:sz="0" w:space="0" w:color="auto"/>
        <w:left w:val="none" w:sz="0" w:space="0" w:color="auto"/>
        <w:bottom w:val="none" w:sz="0" w:space="0" w:color="auto"/>
        <w:right w:val="none" w:sz="0" w:space="0" w:color="auto"/>
      </w:divBdr>
      <w:divsChild>
        <w:div w:id="648441888">
          <w:marLeft w:val="0"/>
          <w:marRight w:val="0"/>
          <w:marTop w:val="0"/>
          <w:marBottom w:val="0"/>
          <w:divBdr>
            <w:top w:val="none" w:sz="0" w:space="0" w:color="auto"/>
            <w:left w:val="none" w:sz="0" w:space="0" w:color="auto"/>
            <w:bottom w:val="none" w:sz="0" w:space="0" w:color="auto"/>
            <w:right w:val="none" w:sz="0" w:space="0" w:color="auto"/>
          </w:divBdr>
        </w:div>
      </w:divsChild>
    </w:div>
    <w:div w:id="308633107">
      <w:bodyDiv w:val="1"/>
      <w:marLeft w:val="0"/>
      <w:marRight w:val="0"/>
      <w:marTop w:val="0"/>
      <w:marBottom w:val="0"/>
      <w:divBdr>
        <w:top w:val="none" w:sz="0" w:space="0" w:color="auto"/>
        <w:left w:val="none" w:sz="0" w:space="0" w:color="auto"/>
        <w:bottom w:val="none" w:sz="0" w:space="0" w:color="auto"/>
        <w:right w:val="none" w:sz="0" w:space="0" w:color="auto"/>
      </w:divBdr>
    </w:div>
    <w:div w:id="310644820">
      <w:bodyDiv w:val="1"/>
      <w:marLeft w:val="0"/>
      <w:marRight w:val="0"/>
      <w:marTop w:val="0"/>
      <w:marBottom w:val="0"/>
      <w:divBdr>
        <w:top w:val="none" w:sz="0" w:space="0" w:color="auto"/>
        <w:left w:val="none" w:sz="0" w:space="0" w:color="auto"/>
        <w:bottom w:val="none" w:sz="0" w:space="0" w:color="auto"/>
        <w:right w:val="none" w:sz="0" w:space="0" w:color="auto"/>
      </w:divBdr>
    </w:div>
    <w:div w:id="311178265">
      <w:bodyDiv w:val="1"/>
      <w:marLeft w:val="0"/>
      <w:marRight w:val="0"/>
      <w:marTop w:val="0"/>
      <w:marBottom w:val="0"/>
      <w:divBdr>
        <w:top w:val="none" w:sz="0" w:space="0" w:color="auto"/>
        <w:left w:val="none" w:sz="0" w:space="0" w:color="auto"/>
        <w:bottom w:val="none" w:sz="0" w:space="0" w:color="auto"/>
        <w:right w:val="none" w:sz="0" w:space="0" w:color="auto"/>
      </w:divBdr>
    </w:div>
    <w:div w:id="314381980">
      <w:bodyDiv w:val="1"/>
      <w:marLeft w:val="0"/>
      <w:marRight w:val="0"/>
      <w:marTop w:val="0"/>
      <w:marBottom w:val="0"/>
      <w:divBdr>
        <w:top w:val="none" w:sz="0" w:space="0" w:color="auto"/>
        <w:left w:val="none" w:sz="0" w:space="0" w:color="auto"/>
        <w:bottom w:val="none" w:sz="0" w:space="0" w:color="auto"/>
        <w:right w:val="none" w:sz="0" w:space="0" w:color="auto"/>
      </w:divBdr>
      <w:divsChild>
        <w:div w:id="140847921">
          <w:marLeft w:val="0"/>
          <w:marRight w:val="0"/>
          <w:marTop w:val="0"/>
          <w:marBottom w:val="0"/>
          <w:divBdr>
            <w:top w:val="none" w:sz="0" w:space="0" w:color="auto"/>
            <w:left w:val="none" w:sz="0" w:space="0" w:color="auto"/>
            <w:bottom w:val="none" w:sz="0" w:space="0" w:color="auto"/>
            <w:right w:val="none" w:sz="0" w:space="0" w:color="auto"/>
          </w:divBdr>
          <w:divsChild>
            <w:div w:id="655885996">
              <w:marLeft w:val="0"/>
              <w:marRight w:val="0"/>
              <w:marTop w:val="0"/>
              <w:marBottom w:val="0"/>
              <w:divBdr>
                <w:top w:val="none" w:sz="0" w:space="0" w:color="auto"/>
                <w:left w:val="none" w:sz="0" w:space="0" w:color="auto"/>
                <w:bottom w:val="none" w:sz="0" w:space="0" w:color="auto"/>
                <w:right w:val="none" w:sz="0" w:space="0" w:color="auto"/>
              </w:divBdr>
              <w:divsChild>
                <w:div w:id="1397167473">
                  <w:marLeft w:val="0"/>
                  <w:marRight w:val="0"/>
                  <w:marTop w:val="0"/>
                  <w:marBottom w:val="0"/>
                  <w:divBdr>
                    <w:top w:val="none" w:sz="0" w:space="0" w:color="auto"/>
                    <w:left w:val="none" w:sz="0" w:space="0" w:color="auto"/>
                    <w:bottom w:val="none" w:sz="0" w:space="0" w:color="auto"/>
                    <w:right w:val="none" w:sz="0" w:space="0" w:color="auto"/>
                  </w:divBdr>
                  <w:divsChild>
                    <w:div w:id="1333921211">
                      <w:marLeft w:val="0"/>
                      <w:marRight w:val="0"/>
                      <w:marTop w:val="0"/>
                      <w:marBottom w:val="0"/>
                      <w:divBdr>
                        <w:top w:val="none" w:sz="0" w:space="0" w:color="auto"/>
                        <w:left w:val="none" w:sz="0" w:space="0" w:color="auto"/>
                        <w:bottom w:val="none" w:sz="0" w:space="0" w:color="auto"/>
                        <w:right w:val="none" w:sz="0" w:space="0" w:color="auto"/>
                      </w:divBdr>
                      <w:divsChild>
                        <w:div w:id="592318627">
                          <w:marLeft w:val="0"/>
                          <w:marRight w:val="0"/>
                          <w:marTop w:val="0"/>
                          <w:marBottom w:val="0"/>
                          <w:divBdr>
                            <w:top w:val="none" w:sz="0" w:space="0" w:color="auto"/>
                            <w:left w:val="none" w:sz="0" w:space="0" w:color="auto"/>
                            <w:bottom w:val="none" w:sz="0" w:space="0" w:color="auto"/>
                            <w:right w:val="none" w:sz="0" w:space="0" w:color="auto"/>
                          </w:divBdr>
                          <w:divsChild>
                            <w:div w:id="427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906443">
          <w:marLeft w:val="0"/>
          <w:marRight w:val="0"/>
          <w:marTop w:val="0"/>
          <w:marBottom w:val="0"/>
          <w:divBdr>
            <w:top w:val="none" w:sz="0" w:space="0" w:color="auto"/>
            <w:left w:val="none" w:sz="0" w:space="0" w:color="auto"/>
            <w:bottom w:val="none" w:sz="0" w:space="0" w:color="auto"/>
            <w:right w:val="none" w:sz="0" w:space="0" w:color="auto"/>
          </w:divBdr>
          <w:divsChild>
            <w:div w:id="290282935">
              <w:marLeft w:val="0"/>
              <w:marRight w:val="0"/>
              <w:marTop w:val="0"/>
              <w:marBottom w:val="0"/>
              <w:divBdr>
                <w:top w:val="none" w:sz="0" w:space="0" w:color="auto"/>
                <w:left w:val="none" w:sz="0" w:space="0" w:color="auto"/>
                <w:bottom w:val="none" w:sz="0" w:space="0" w:color="auto"/>
                <w:right w:val="none" w:sz="0" w:space="0" w:color="auto"/>
              </w:divBdr>
              <w:divsChild>
                <w:div w:id="514152361">
                  <w:marLeft w:val="0"/>
                  <w:marRight w:val="0"/>
                  <w:marTop w:val="0"/>
                  <w:marBottom w:val="0"/>
                  <w:divBdr>
                    <w:top w:val="none" w:sz="0" w:space="0" w:color="auto"/>
                    <w:left w:val="none" w:sz="0" w:space="0" w:color="auto"/>
                    <w:bottom w:val="none" w:sz="0" w:space="0" w:color="auto"/>
                    <w:right w:val="none" w:sz="0" w:space="0" w:color="auto"/>
                  </w:divBdr>
                  <w:divsChild>
                    <w:div w:id="2119060396">
                      <w:marLeft w:val="0"/>
                      <w:marRight w:val="0"/>
                      <w:marTop w:val="0"/>
                      <w:marBottom w:val="0"/>
                      <w:divBdr>
                        <w:top w:val="none" w:sz="0" w:space="0" w:color="auto"/>
                        <w:left w:val="none" w:sz="0" w:space="0" w:color="auto"/>
                        <w:bottom w:val="none" w:sz="0" w:space="0" w:color="auto"/>
                        <w:right w:val="none" w:sz="0" w:space="0" w:color="auto"/>
                      </w:divBdr>
                      <w:divsChild>
                        <w:div w:id="1567229889">
                          <w:marLeft w:val="0"/>
                          <w:marRight w:val="0"/>
                          <w:marTop w:val="0"/>
                          <w:marBottom w:val="0"/>
                          <w:divBdr>
                            <w:top w:val="none" w:sz="0" w:space="0" w:color="auto"/>
                            <w:left w:val="none" w:sz="0" w:space="0" w:color="auto"/>
                            <w:bottom w:val="none" w:sz="0" w:space="0" w:color="auto"/>
                            <w:right w:val="none" w:sz="0" w:space="0" w:color="auto"/>
                          </w:divBdr>
                          <w:divsChild>
                            <w:div w:id="203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78749">
          <w:marLeft w:val="0"/>
          <w:marRight w:val="0"/>
          <w:marTop w:val="0"/>
          <w:marBottom w:val="0"/>
          <w:divBdr>
            <w:top w:val="none" w:sz="0" w:space="0" w:color="auto"/>
            <w:left w:val="none" w:sz="0" w:space="0" w:color="auto"/>
            <w:bottom w:val="none" w:sz="0" w:space="0" w:color="auto"/>
            <w:right w:val="none" w:sz="0" w:space="0" w:color="auto"/>
          </w:divBdr>
          <w:divsChild>
            <w:div w:id="2112045427">
              <w:marLeft w:val="0"/>
              <w:marRight w:val="0"/>
              <w:marTop w:val="0"/>
              <w:marBottom w:val="0"/>
              <w:divBdr>
                <w:top w:val="none" w:sz="0" w:space="0" w:color="auto"/>
                <w:left w:val="none" w:sz="0" w:space="0" w:color="auto"/>
                <w:bottom w:val="none" w:sz="0" w:space="0" w:color="auto"/>
                <w:right w:val="none" w:sz="0" w:space="0" w:color="auto"/>
              </w:divBdr>
              <w:divsChild>
                <w:div w:id="2014067122">
                  <w:marLeft w:val="0"/>
                  <w:marRight w:val="0"/>
                  <w:marTop w:val="0"/>
                  <w:marBottom w:val="0"/>
                  <w:divBdr>
                    <w:top w:val="none" w:sz="0" w:space="0" w:color="auto"/>
                    <w:left w:val="none" w:sz="0" w:space="0" w:color="auto"/>
                    <w:bottom w:val="none" w:sz="0" w:space="0" w:color="auto"/>
                    <w:right w:val="none" w:sz="0" w:space="0" w:color="auto"/>
                  </w:divBdr>
                  <w:divsChild>
                    <w:div w:id="362825606">
                      <w:marLeft w:val="0"/>
                      <w:marRight w:val="0"/>
                      <w:marTop w:val="0"/>
                      <w:marBottom w:val="0"/>
                      <w:divBdr>
                        <w:top w:val="none" w:sz="0" w:space="0" w:color="auto"/>
                        <w:left w:val="none" w:sz="0" w:space="0" w:color="auto"/>
                        <w:bottom w:val="none" w:sz="0" w:space="0" w:color="auto"/>
                        <w:right w:val="none" w:sz="0" w:space="0" w:color="auto"/>
                      </w:divBdr>
                      <w:divsChild>
                        <w:div w:id="1320615973">
                          <w:marLeft w:val="0"/>
                          <w:marRight w:val="0"/>
                          <w:marTop w:val="0"/>
                          <w:marBottom w:val="0"/>
                          <w:divBdr>
                            <w:top w:val="none" w:sz="0" w:space="0" w:color="auto"/>
                            <w:left w:val="none" w:sz="0" w:space="0" w:color="auto"/>
                            <w:bottom w:val="none" w:sz="0" w:space="0" w:color="auto"/>
                            <w:right w:val="none" w:sz="0" w:space="0" w:color="auto"/>
                          </w:divBdr>
                          <w:divsChild>
                            <w:div w:id="677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616400">
          <w:marLeft w:val="0"/>
          <w:marRight w:val="0"/>
          <w:marTop w:val="0"/>
          <w:marBottom w:val="0"/>
          <w:divBdr>
            <w:top w:val="none" w:sz="0" w:space="0" w:color="auto"/>
            <w:left w:val="none" w:sz="0" w:space="0" w:color="auto"/>
            <w:bottom w:val="none" w:sz="0" w:space="0" w:color="auto"/>
            <w:right w:val="none" w:sz="0" w:space="0" w:color="auto"/>
          </w:divBdr>
          <w:divsChild>
            <w:div w:id="181821183">
              <w:marLeft w:val="0"/>
              <w:marRight w:val="0"/>
              <w:marTop w:val="0"/>
              <w:marBottom w:val="0"/>
              <w:divBdr>
                <w:top w:val="none" w:sz="0" w:space="0" w:color="auto"/>
                <w:left w:val="none" w:sz="0" w:space="0" w:color="auto"/>
                <w:bottom w:val="none" w:sz="0" w:space="0" w:color="auto"/>
                <w:right w:val="none" w:sz="0" w:space="0" w:color="auto"/>
              </w:divBdr>
              <w:divsChild>
                <w:div w:id="434639997">
                  <w:marLeft w:val="0"/>
                  <w:marRight w:val="0"/>
                  <w:marTop w:val="0"/>
                  <w:marBottom w:val="0"/>
                  <w:divBdr>
                    <w:top w:val="none" w:sz="0" w:space="0" w:color="auto"/>
                    <w:left w:val="none" w:sz="0" w:space="0" w:color="auto"/>
                    <w:bottom w:val="none" w:sz="0" w:space="0" w:color="auto"/>
                    <w:right w:val="none" w:sz="0" w:space="0" w:color="auto"/>
                  </w:divBdr>
                  <w:divsChild>
                    <w:div w:id="1075323757">
                      <w:marLeft w:val="0"/>
                      <w:marRight w:val="0"/>
                      <w:marTop w:val="0"/>
                      <w:marBottom w:val="0"/>
                      <w:divBdr>
                        <w:top w:val="none" w:sz="0" w:space="0" w:color="auto"/>
                        <w:left w:val="none" w:sz="0" w:space="0" w:color="auto"/>
                        <w:bottom w:val="none" w:sz="0" w:space="0" w:color="auto"/>
                        <w:right w:val="none" w:sz="0" w:space="0" w:color="auto"/>
                      </w:divBdr>
                      <w:divsChild>
                        <w:div w:id="55858090">
                          <w:marLeft w:val="0"/>
                          <w:marRight w:val="0"/>
                          <w:marTop w:val="0"/>
                          <w:marBottom w:val="0"/>
                          <w:divBdr>
                            <w:top w:val="none" w:sz="0" w:space="0" w:color="auto"/>
                            <w:left w:val="none" w:sz="0" w:space="0" w:color="auto"/>
                            <w:bottom w:val="none" w:sz="0" w:space="0" w:color="auto"/>
                            <w:right w:val="none" w:sz="0" w:space="0" w:color="auto"/>
                          </w:divBdr>
                          <w:divsChild>
                            <w:div w:id="7529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021156">
          <w:marLeft w:val="0"/>
          <w:marRight w:val="0"/>
          <w:marTop w:val="0"/>
          <w:marBottom w:val="0"/>
          <w:divBdr>
            <w:top w:val="none" w:sz="0" w:space="0" w:color="auto"/>
            <w:left w:val="none" w:sz="0" w:space="0" w:color="auto"/>
            <w:bottom w:val="none" w:sz="0" w:space="0" w:color="auto"/>
            <w:right w:val="none" w:sz="0" w:space="0" w:color="auto"/>
          </w:divBdr>
          <w:divsChild>
            <w:div w:id="1915237407">
              <w:marLeft w:val="0"/>
              <w:marRight w:val="0"/>
              <w:marTop w:val="0"/>
              <w:marBottom w:val="0"/>
              <w:divBdr>
                <w:top w:val="none" w:sz="0" w:space="0" w:color="auto"/>
                <w:left w:val="none" w:sz="0" w:space="0" w:color="auto"/>
                <w:bottom w:val="none" w:sz="0" w:space="0" w:color="auto"/>
                <w:right w:val="none" w:sz="0" w:space="0" w:color="auto"/>
              </w:divBdr>
              <w:divsChild>
                <w:div w:id="273369486">
                  <w:marLeft w:val="0"/>
                  <w:marRight w:val="0"/>
                  <w:marTop w:val="0"/>
                  <w:marBottom w:val="0"/>
                  <w:divBdr>
                    <w:top w:val="none" w:sz="0" w:space="0" w:color="auto"/>
                    <w:left w:val="none" w:sz="0" w:space="0" w:color="auto"/>
                    <w:bottom w:val="none" w:sz="0" w:space="0" w:color="auto"/>
                    <w:right w:val="none" w:sz="0" w:space="0" w:color="auto"/>
                  </w:divBdr>
                  <w:divsChild>
                    <w:div w:id="1182159958">
                      <w:marLeft w:val="0"/>
                      <w:marRight w:val="0"/>
                      <w:marTop w:val="0"/>
                      <w:marBottom w:val="0"/>
                      <w:divBdr>
                        <w:top w:val="none" w:sz="0" w:space="0" w:color="auto"/>
                        <w:left w:val="none" w:sz="0" w:space="0" w:color="auto"/>
                        <w:bottom w:val="none" w:sz="0" w:space="0" w:color="auto"/>
                        <w:right w:val="none" w:sz="0" w:space="0" w:color="auto"/>
                      </w:divBdr>
                      <w:divsChild>
                        <w:div w:id="645092440">
                          <w:marLeft w:val="0"/>
                          <w:marRight w:val="0"/>
                          <w:marTop w:val="0"/>
                          <w:marBottom w:val="0"/>
                          <w:divBdr>
                            <w:top w:val="none" w:sz="0" w:space="0" w:color="auto"/>
                            <w:left w:val="none" w:sz="0" w:space="0" w:color="auto"/>
                            <w:bottom w:val="none" w:sz="0" w:space="0" w:color="auto"/>
                            <w:right w:val="none" w:sz="0" w:space="0" w:color="auto"/>
                          </w:divBdr>
                          <w:divsChild>
                            <w:div w:id="1991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569038">
      <w:bodyDiv w:val="1"/>
      <w:marLeft w:val="0"/>
      <w:marRight w:val="0"/>
      <w:marTop w:val="0"/>
      <w:marBottom w:val="0"/>
      <w:divBdr>
        <w:top w:val="none" w:sz="0" w:space="0" w:color="auto"/>
        <w:left w:val="none" w:sz="0" w:space="0" w:color="auto"/>
        <w:bottom w:val="none" w:sz="0" w:space="0" w:color="auto"/>
        <w:right w:val="none" w:sz="0" w:space="0" w:color="auto"/>
      </w:divBdr>
    </w:div>
    <w:div w:id="315574012">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8003431">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2297291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2606477">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35693125">
      <w:bodyDiv w:val="1"/>
      <w:marLeft w:val="0"/>
      <w:marRight w:val="0"/>
      <w:marTop w:val="0"/>
      <w:marBottom w:val="0"/>
      <w:divBdr>
        <w:top w:val="none" w:sz="0" w:space="0" w:color="auto"/>
        <w:left w:val="none" w:sz="0" w:space="0" w:color="auto"/>
        <w:bottom w:val="none" w:sz="0" w:space="0" w:color="auto"/>
        <w:right w:val="none" w:sz="0" w:space="0" w:color="auto"/>
      </w:divBdr>
    </w:div>
    <w:div w:id="336345183">
      <w:bodyDiv w:val="1"/>
      <w:marLeft w:val="0"/>
      <w:marRight w:val="0"/>
      <w:marTop w:val="0"/>
      <w:marBottom w:val="0"/>
      <w:divBdr>
        <w:top w:val="none" w:sz="0" w:space="0" w:color="auto"/>
        <w:left w:val="none" w:sz="0" w:space="0" w:color="auto"/>
        <w:bottom w:val="none" w:sz="0" w:space="0" w:color="auto"/>
        <w:right w:val="none" w:sz="0" w:space="0" w:color="auto"/>
      </w:divBdr>
    </w:div>
    <w:div w:id="344747094">
      <w:bodyDiv w:val="1"/>
      <w:marLeft w:val="0"/>
      <w:marRight w:val="0"/>
      <w:marTop w:val="0"/>
      <w:marBottom w:val="0"/>
      <w:divBdr>
        <w:top w:val="none" w:sz="0" w:space="0" w:color="auto"/>
        <w:left w:val="none" w:sz="0" w:space="0" w:color="auto"/>
        <w:bottom w:val="none" w:sz="0" w:space="0" w:color="auto"/>
        <w:right w:val="none" w:sz="0" w:space="0" w:color="auto"/>
      </w:divBdr>
    </w:div>
    <w:div w:id="358626020">
      <w:bodyDiv w:val="1"/>
      <w:marLeft w:val="0"/>
      <w:marRight w:val="0"/>
      <w:marTop w:val="0"/>
      <w:marBottom w:val="0"/>
      <w:divBdr>
        <w:top w:val="none" w:sz="0" w:space="0" w:color="auto"/>
        <w:left w:val="none" w:sz="0" w:space="0" w:color="auto"/>
        <w:bottom w:val="none" w:sz="0" w:space="0" w:color="auto"/>
        <w:right w:val="none" w:sz="0" w:space="0" w:color="auto"/>
      </w:divBdr>
      <w:divsChild>
        <w:div w:id="63382958">
          <w:marLeft w:val="0"/>
          <w:marRight w:val="0"/>
          <w:marTop w:val="0"/>
          <w:marBottom w:val="0"/>
          <w:divBdr>
            <w:top w:val="none" w:sz="0" w:space="0" w:color="auto"/>
            <w:left w:val="none" w:sz="0" w:space="0" w:color="auto"/>
            <w:bottom w:val="none" w:sz="0" w:space="0" w:color="auto"/>
            <w:right w:val="none" w:sz="0" w:space="0" w:color="auto"/>
          </w:divBdr>
        </w:div>
        <w:div w:id="144008486">
          <w:marLeft w:val="0"/>
          <w:marRight w:val="0"/>
          <w:marTop w:val="0"/>
          <w:marBottom w:val="0"/>
          <w:divBdr>
            <w:top w:val="none" w:sz="0" w:space="0" w:color="auto"/>
            <w:left w:val="none" w:sz="0" w:space="0" w:color="auto"/>
            <w:bottom w:val="none" w:sz="0" w:space="0" w:color="auto"/>
            <w:right w:val="none" w:sz="0" w:space="0" w:color="auto"/>
          </w:divBdr>
        </w:div>
      </w:divsChild>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379329333">
      <w:bodyDiv w:val="1"/>
      <w:marLeft w:val="0"/>
      <w:marRight w:val="0"/>
      <w:marTop w:val="0"/>
      <w:marBottom w:val="0"/>
      <w:divBdr>
        <w:top w:val="none" w:sz="0" w:space="0" w:color="auto"/>
        <w:left w:val="none" w:sz="0" w:space="0" w:color="auto"/>
        <w:bottom w:val="none" w:sz="0" w:space="0" w:color="auto"/>
        <w:right w:val="none" w:sz="0" w:space="0" w:color="auto"/>
      </w:divBdr>
    </w:div>
    <w:div w:id="379784752">
      <w:bodyDiv w:val="1"/>
      <w:marLeft w:val="0"/>
      <w:marRight w:val="0"/>
      <w:marTop w:val="0"/>
      <w:marBottom w:val="0"/>
      <w:divBdr>
        <w:top w:val="none" w:sz="0" w:space="0" w:color="auto"/>
        <w:left w:val="none" w:sz="0" w:space="0" w:color="auto"/>
        <w:bottom w:val="none" w:sz="0" w:space="0" w:color="auto"/>
        <w:right w:val="none" w:sz="0" w:space="0" w:color="auto"/>
      </w:divBdr>
    </w:div>
    <w:div w:id="385882624">
      <w:bodyDiv w:val="1"/>
      <w:marLeft w:val="0"/>
      <w:marRight w:val="0"/>
      <w:marTop w:val="0"/>
      <w:marBottom w:val="0"/>
      <w:divBdr>
        <w:top w:val="none" w:sz="0" w:space="0" w:color="auto"/>
        <w:left w:val="none" w:sz="0" w:space="0" w:color="auto"/>
        <w:bottom w:val="none" w:sz="0" w:space="0" w:color="auto"/>
        <w:right w:val="none" w:sz="0" w:space="0" w:color="auto"/>
      </w:divBdr>
    </w:div>
    <w:div w:id="387800934">
      <w:bodyDiv w:val="1"/>
      <w:marLeft w:val="0"/>
      <w:marRight w:val="0"/>
      <w:marTop w:val="0"/>
      <w:marBottom w:val="0"/>
      <w:divBdr>
        <w:top w:val="none" w:sz="0" w:space="0" w:color="auto"/>
        <w:left w:val="none" w:sz="0" w:space="0" w:color="auto"/>
        <w:bottom w:val="none" w:sz="0" w:space="0" w:color="auto"/>
        <w:right w:val="none" w:sz="0" w:space="0" w:color="auto"/>
      </w:divBdr>
    </w:div>
    <w:div w:id="387843542">
      <w:bodyDiv w:val="1"/>
      <w:marLeft w:val="0"/>
      <w:marRight w:val="0"/>
      <w:marTop w:val="0"/>
      <w:marBottom w:val="0"/>
      <w:divBdr>
        <w:top w:val="none" w:sz="0" w:space="0" w:color="auto"/>
        <w:left w:val="none" w:sz="0" w:space="0" w:color="auto"/>
        <w:bottom w:val="none" w:sz="0" w:space="0" w:color="auto"/>
        <w:right w:val="none" w:sz="0" w:space="0" w:color="auto"/>
      </w:divBdr>
      <w:divsChild>
        <w:div w:id="1562473314">
          <w:marLeft w:val="0"/>
          <w:marRight w:val="0"/>
          <w:marTop w:val="0"/>
          <w:marBottom w:val="0"/>
          <w:divBdr>
            <w:top w:val="none" w:sz="0" w:space="0" w:color="auto"/>
            <w:left w:val="none" w:sz="0" w:space="0" w:color="auto"/>
            <w:bottom w:val="none" w:sz="0" w:space="0" w:color="auto"/>
            <w:right w:val="none" w:sz="0" w:space="0" w:color="auto"/>
          </w:divBdr>
        </w:div>
      </w:divsChild>
    </w:div>
    <w:div w:id="391196458">
      <w:bodyDiv w:val="1"/>
      <w:marLeft w:val="0"/>
      <w:marRight w:val="0"/>
      <w:marTop w:val="0"/>
      <w:marBottom w:val="0"/>
      <w:divBdr>
        <w:top w:val="none" w:sz="0" w:space="0" w:color="auto"/>
        <w:left w:val="none" w:sz="0" w:space="0" w:color="auto"/>
        <w:bottom w:val="none" w:sz="0" w:space="0" w:color="auto"/>
        <w:right w:val="none" w:sz="0" w:space="0" w:color="auto"/>
      </w:divBdr>
    </w:div>
    <w:div w:id="396365598">
      <w:bodyDiv w:val="1"/>
      <w:marLeft w:val="0"/>
      <w:marRight w:val="0"/>
      <w:marTop w:val="0"/>
      <w:marBottom w:val="0"/>
      <w:divBdr>
        <w:top w:val="none" w:sz="0" w:space="0" w:color="auto"/>
        <w:left w:val="none" w:sz="0" w:space="0" w:color="auto"/>
        <w:bottom w:val="none" w:sz="0" w:space="0" w:color="auto"/>
        <w:right w:val="none" w:sz="0" w:space="0" w:color="auto"/>
      </w:divBdr>
    </w:div>
    <w:div w:id="397366637">
      <w:bodyDiv w:val="1"/>
      <w:marLeft w:val="0"/>
      <w:marRight w:val="0"/>
      <w:marTop w:val="0"/>
      <w:marBottom w:val="0"/>
      <w:divBdr>
        <w:top w:val="none" w:sz="0" w:space="0" w:color="auto"/>
        <w:left w:val="none" w:sz="0" w:space="0" w:color="auto"/>
        <w:bottom w:val="none" w:sz="0" w:space="0" w:color="auto"/>
        <w:right w:val="none" w:sz="0" w:space="0" w:color="auto"/>
      </w:divBdr>
      <w:divsChild>
        <w:div w:id="81147278">
          <w:marLeft w:val="0"/>
          <w:marRight w:val="0"/>
          <w:marTop w:val="0"/>
          <w:marBottom w:val="0"/>
          <w:divBdr>
            <w:top w:val="none" w:sz="0" w:space="0" w:color="auto"/>
            <w:left w:val="none" w:sz="0" w:space="0" w:color="auto"/>
            <w:bottom w:val="none" w:sz="0" w:space="0" w:color="auto"/>
            <w:right w:val="none" w:sz="0" w:space="0" w:color="auto"/>
          </w:divBdr>
        </w:div>
      </w:divsChild>
    </w:div>
    <w:div w:id="398791334">
      <w:bodyDiv w:val="1"/>
      <w:marLeft w:val="0"/>
      <w:marRight w:val="0"/>
      <w:marTop w:val="0"/>
      <w:marBottom w:val="0"/>
      <w:divBdr>
        <w:top w:val="none" w:sz="0" w:space="0" w:color="auto"/>
        <w:left w:val="none" w:sz="0" w:space="0" w:color="auto"/>
        <w:bottom w:val="none" w:sz="0" w:space="0" w:color="auto"/>
        <w:right w:val="none" w:sz="0" w:space="0" w:color="auto"/>
      </w:divBdr>
    </w:div>
    <w:div w:id="409933746">
      <w:bodyDiv w:val="1"/>
      <w:marLeft w:val="0"/>
      <w:marRight w:val="0"/>
      <w:marTop w:val="0"/>
      <w:marBottom w:val="0"/>
      <w:divBdr>
        <w:top w:val="none" w:sz="0" w:space="0" w:color="auto"/>
        <w:left w:val="none" w:sz="0" w:space="0" w:color="auto"/>
        <w:bottom w:val="none" w:sz="0" w:space="0" w:color="auto"/>
        <w:right w:val="none" w:sz="0" w:space="0" w:color="auto"/>
      </w:divBdr>
    </w:div>
    <w:div w:id="410389795">
      <w:bodyDiv w:val="1"/>
      <w:marLeft w:val="0"/>
      <w:marRight w:val="0"/>
      <w:marTop w:val="0"/>
      <w:marBottom w:val="0"/>
      <w:divBdr>
        <w:top w:val="none" w:sz="0" w:space="0" w:color="auto"/>
        <w:left w:val="none" w:sz="0" w:space="0" w:color="auto"/>
        <w:bottom w:val="none" w:sz="0" w:space="0" w:color="auto"/>
        <w:right w:val="none" w:sz="0" w:space="0" w:color="auto"/>
      </w:divBdr>
    </w:div>
    <w:div w:id="420372975">
      <w:bodyDiv w:val="1"/>
      <w:marLeft w:val="0"/>
      <w:marRight w:val="0"/>
      <w:marTop w:val="0"/>
      <w:marBottom w:val="0"/>
      <w:divBdr>
        <w:top w:val="none" w:sz="0" w:space="0" w:color="auto"/>
        <w:left w:val="none" w:sz="0" w:space="0" w:color="auto"/>
        <w:bottom w:val="none" w:sz="0" w:space="0" w:color="auto"/>
        <w:right w:val="none" w:sz="0" w:space="0" w:color="auto"/>
      </w:divBdr>
    </w:div>
    <w:div w:id="420873682">
      <w:bodyDiv w:val="1"/>
      <w:marLeft w:val="0"/>
      <w:marRight w:val="0"/>
      <w:marTop w:val="0"/>
      <w:marBottom w:val="0"/>
      <w:divBdr>
        <w:top w:val="none" w:sz="0" w:space="0" w:color="auto"/>
        <w:left w:val="none" w:sz="0" w:space="0" w:color="auto"/>
        <w:bottom w:val="none" w:sz="0" w:space="0" w:color="auto"/>
        <w:right w:val="none" w:sz="0" w:space="0" w:color="auto"/>
      </w:divBdr>
    </w:div>
    <w:div w:id="425729356">
      <w:bodyDiv w:val="1"/>
      <w:marLeft w:val="0"/>
      <w:marRight w:val="0"/>
      <w:marTop w:val="0"/>
      <w:marBottom w:val="0"/>
      <w:divBdr>
        <w:top w:val="none" w:sz="0" w:space="0" w:color="auto"/>
        <w:left w:val="none" w:sz="0" w:space="0" w:color="auto"/>
        <w:bottom w:val="none" w:sz="0" w:space="0" w:color="auto"/>
        <w:right w:val="none" w:sz="0" w:space="0" w:color="auto"/>
      </w:divBdr>
    </w:div>
    <w:div w:id="428045906">
      <w:bodyDiv w:val="1"/>
      <w:marLeft w:val="0"/>
      <w:marRight w:val="0"/>
      <w:marTop w:val="0"/>
      <w:marBottom w:val="0"/>
      <w:divBdr>
        <w:top w:val="none" w:sz="0" w:space="0" w:color="auto"/>
        <w:left w:val="none" w:sz="0" w:space="0" w:color="auto"/>
        <w:bottom w:val="none" w:sz="0" w:space="0" w:color="auto"/>
        <w:right w:val="none" w:sz="0" w:space="0" w:color="auto"/>
      </w:divBdr>
    </w:div>
    <w:div w:id="433137694">
      <w:bodyDiv w:val="1"/>
      <w:marLeft w:val="0"/>
      <w:marRight w:val="0"/>
      <w:marTop w:val="0"/>
      <w:marBottom w:val="0"/>
      <w:divBdr>
        <w:top w:val="none" w:sz="0" w:space="0" w:color="auto"/>
        <w:left w:val="none" w:sz="0" w:space="0" w:color="auto"/>
        <w:bottom w:val="none" w:sz="0" w:space="0" w:color="auto"/>
        <w:right w:val="none" w:sz="0" w:space="0" w:color="auto"/>
      </w:divBdr>
    </w:div>
    <w:div w:id="43845479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41800895">
      <w:bodyDiv w:val="1"/>
      <w:marLeft w:val="0"/>
      <w:marRight w:val="0"/>
      <w:marTop w:val="0"/>
      <w:marBottom w:val="0"/>
      <w:divBdr>
        <w:top w:val="none" w:sz="0" w:space="0" w:color="auto"/>
        <w:left w:val="none" w:sz="0" w:space="0" w:color="auto"/>
        <w:bottom w:val="none" w:sz="0" w:space="0" w:color="auto"/>
        <w:right w:val="none" w:sz="0" w:space="0" w:color="auto"/>
      </w:divBdr>
    </w:div>
    <w:div w:id="446193154">
      <w:bodyDiv w:val="1"/>
      <w:marLeft w:val="0"/>
      <w:marRight w:val="0"/>
      <w:marTop w:val="0"/>
      <w:marBottom w:val="0"/>
      <w:divBdr>
        <w:top w:val="none" w:sz="0" w:space="0" w:color="auto"/>
        <w:left w:val="none" w:sz="0" w:space="0" w:color="auto"/>
        <w:bottom w:val="none" w:sz="0" w:space="0" w:color="auto"/>
        <w:right w:val="none" w:sz="0" w:space="0" w:color="auto"/>
      </w:divBdr>
    </w:div>
    <w:div w:id="450169356">
      <w:bodyDiv w:val="1"/>
      <w:marLeft w:val="0"/>
      <w:marRight w:val="0"/>
      <w:marTop w:val="0"/>
      <w:marBottom w:val="0"/>
      <w:divBdr>
        <w:top w:val="none" w:sz="0" w:space="0" w:color="auto"/>
        <w:left w:val="none" w:sz="0" w:space="0" w:color="auto"/>
        <w:bottom w:val="none" w:sz="0" w:space="0" w:color="auto"/>
        <w:right w:val="none" w:sz="0" w:space="0" w:color="auto"/>
      </w:divBdr>
    </w:div>
    <w:div w:id="454758818">
      <w:bodyDiv w:val="1"/>
      <w:marLeft w:val="0"/>
      <w:marRight w:val="0"/>
      <w:marTop w:val="0"/>
      <w:marBottom w:val="0"/>
      <w:divBdr>
        <w:top w:val="none" w:sz="0" w:space="0" w:color="auto"/>
        <w:left w:val="none" w:sz="0" w:space="0" w:color="auto"/>
        <w:bottom w:val="none" w:sz="0" w:space="0" w:color="auto"/>
        <w:right w:val="none" w:sz="0" w:space="0" w:color="auto"/>
      </w:divBdr>
    </w:div>
    <w:div w:id="459956507">
      <w:bodyDiv w:val="1"/>
      <w:marLeft w:val="0"/>
      <w:marRight w:val="0"/>
      <w:marTop w:val="0"/>
      <w:marBottom w:val="0"/>
      <w:divBdr>
        <w:top w:val="none" w:sz="0" w:space="0" w:color="auto"/>
        <w:left w:val="none" w:sz="0" w:space="0" w:color="auto"/>
        <w:bottom w:val="none" w:sz="0" w:space="0" w:color="auto"/>
        <w:right w:val="none" w:sz="0" w:space="0" w:color="auto"/>
      </w:divBdr>
    </w:div>
    <w:div w:id="460150004">
      <w:bodyDiv w:val="1"/>
      <w:marLeft w:val="0"/>
      <w:marRight w:val="0"/>
      <w:marTop w:val="0"/>
      <w:marBottom w:val="0"/>
      <w:divBdr>
        <w:top w:val="none" w:sz="0" w:space="0" w:color="auto"/>
        <w:left w:val="none" w:sz="0" w:space="0" w:color="auto"/>
        <w:bottom w:val="none" w:sz="0" w:space="0" w:color="auto"/>
        <w:right w:val="none" w:sz="0" w:space="0" w:color="auto"/>
      </w:divBdr>
      <w:divsChild>
        <w:div w:id="291255019">
          <w:marLeft w:val="0"/>
          <w:marRight w:val="0"/>
          <w:marTop w:val="0"/>
          <w:marBottom w:val="0"/>
          <w:divBdr>
            <w:top w:val="none" w:sz="0" w:space="0" w:color="auto"/>
            <w:left w:val="none" w:sz="0" w:space="0" w:color="auto"/>
            <w:bottom w:val="none" w:sz="0" w:space="0" w:color="auto"/>
            <w:right w:val="none" w:sz="0" w:space="0" w:color="auto"/>
          </w:divBdr>
        </w:div>
        <w:div w:id="354967326">
          <w:marLeft w:val="0"/>
          <w:marRight w:val="0"/>
          <w:marTop w:val="0"/>
          <w:marBottom w:val="0"/>
          <w:divBdr>
            <w:top w:val="none" w:sz="0" w:space="0" w:color="auto"/>
            <w:left w:val="none" w:sz="0" w:space="0" w:color="auto"/>
            <w:bottom w:val="none" w:sz="0" w:space="0" w:color="auto"/>
            <w:right w:val="none" w:sz="0" w:space="0" w:color="auto"/>
          </w:divBdr>
          <w:divsChild>
            <w:div w:id="2101566020">
              <w:marLeft w:val="0"/>
              <w:marRight w:val="0"/>
              <w:marTop w:val="150"/>
              <w:marBottom w:val="150"/>
              <w:divBdr>
                <w:top w:val="none" w:sz="0" w:space="0" w:color="auto"/>
                <w:left w:val="none" w:sz="0" w:space="0" w:color="auto"/>
                <w:bottom w:val="none" w:sz="0" w:space="0" w:color="auto"/>
                <w:right w:val="none" w:sz="0" w:space="0" w:color="auto"/>
              </w:divBdr>
            </w:div>
          </w:divsChild>
        </w:div>
        <w:div w:id="1295020066">
          <w:marLeft w:val="0"/>
          <w:marRight w:val="0"/>
          <w:marTop w:val="0"/>
          <w:marBottom w:val="0"/>
          <w:divBdr>
            <w:top w:val="none" w:sz="0" w:space="0" w:color="auto"/>
            <w:left w:val="none" w:sz="0" w:space="0" w:color="auto"/>
            <w:bottom w:val="none" w:sz="0" w:space="0" w:color="auto"/>
            <w:right w:val="none" w:sz="0" w:space="0" w:color="auto"/>
          </w:divBdr>
        </w:div>
        <w:div w:id="626397846">
          <w:marLeft w:val="0"/>
          <w:marRight w:val="0"/>
          <w:marTop w:val="0"/>
          <w:marBottom w:val="0"/>
          <w:divBdr>
            <w:top w:val="none" w:sz="0" w:space="0" w:color="auto"/>
            <w:left w:val="none" w:sz="0" w:space="0" w:color="auto"/>
            <w:bottom w:val="none" w:sz="0" w:space="0" w:color="auto"/>
            <w:right w:val="none" w:sz="0" w:space="0" w:color="auto"/>
          </w:divBdr>
          <w:divsChild>
            <w:div w:id="13919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69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4197751">
      <w:bodyDiv w:val="1"/>
      <w:marLeft w:val="0"/>
      <w:marRight w:val="0"/>
      <w:marTop w:val="0"/>
      <w:marBottom w:val="0"/>
      <w:divBdr>
        <w:top w:val="none" w:sz="0" w:space="0" w:color="auto"/>
        <w:left w:val="none" w:sz="0" w:space="0" w:color="auto"/>
        <w:bottom w:val="none" w:sz="0" w:space="0" w:color="auto"/>
        <w:right w:val="none" w:sz="0" w:space="0" w:color="auto"/>
      </w:divBdr>
    </w:div>
    <w:div w:id="465437977">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69324780">
      <w:bodyDiv w:val="1"/>
      <w:marLeft w:val="0"/>
      <w:marRight w:val="0"/>
      <w:marTop w:val="0"/>
      <w:marBottom w:val="0"/>
      <w:divBdr>
        <w:top w:val="none" w:sz="0" w:space="0" w:color="auto"/>
        <w:left w:val="none" w:sz="0" w:space="0" w:color="auto"/>
        <w:bottom w:val="none" w:sz="0" w:space="0" w:color="auto"/>
        <w:right w:val="none" w:sz="0" w:space="0" w:color="auto"/>
      </w:divBdr>
    </w:div>
    <w:div w:id="473909237">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76721994">
      <w:bodyDiv w:val="1"/>
      <w:marLeft w:val="0"/>
      <w:marRight w:val="0"/>
      <w:marTop w:val="0"/>
      <w:marBottom w:val="0"/>
      <w:divBdr>
        <w:top w:val="none" w:sz="0" w:space="0" w:color="auto"/>
        <w:left w:val="none" w:sz="0" w:space="0" w:color="auto"/>
        <w:bottom w:val="none" w:sz="0" w:space="0" w:color="auto"/>
        <w:right w:val="none" w:sz="0" w:space="0" w:color="auto"/>
      </w:divBdr>
      <w:divsChild>
        <w:div w:id="1371224185">
          <w:blockQuote w:val="1"/>
          <w:marLeft w:val="-750"/>
          <w:marRight w:val="0"/>
          <w:marTop w:val="720"/>
          <w:marBottom w:val="870"/>
          <w:divBdr>
            <w:top w:val="single" w:sz="6" w:space="30" w:color="1276DC"/>
            <w:left w:val="none" w:sz="0" w:space="31" w:color="auto"/>
            <w:bottom w:val="none" w:sz="0" w:space="30" w:color="auto"/>
            <w:right w:val="none" w:sz="0" w:space="31" w:color="auto"/>
          </w:divBdr>
        </w:div>
      </w:divsChild>
    </w:div>
    <w:div w:id="477498940">
      <w:bodyDiv w:val="1"/>
      <w:marLeft w:val="0"/>
      <w:marRight w:val="0"/>
      <w:marTop w:val="0"/>
      <w:marBottom w:val="0"/>
      <w:divBdr>
        <w:top w:val="none" w:sz="0" w:space="0" w:color="auto"/>
        <w:left w:val="none" w:sz="0" w:space="0" w:color="auto"/>
        <w:bottom w:val="none" w:sz="0" w:space="0" w:color="auto"/>
        <w:right w:val="none" w:sz="0" w:space="0" w:color="auto"/>
      </w:divBdr>
    </w:div>
    <w:div w:id="481312550">
      <w:bodyDiv w:val="1"/>
      <w:marLeft w:val="0"/>
      <w:marRight w:val="0"/>
      <w:marTop w:val="0"/>
      <w:marBottom w:val="0"/>
      <w:divBdr>
        <w:top w:val="none" w:sz="0" w:space="0" w:color="auto"/>
        <w:left w:val="none" w:sz="0" w:space="0" w:color="auto"/>
        <w:bottom w:val="none" w:sz="0" w:space="0" w:color="auto"/>
        <w:right w:val="none" w:sz="0" w:space="0" w:color="auto"/>
      </w:divBdr>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3350217">
      <w:bodyDiv w:val="1"/>
      <w:marLeft w:val="0"/>
      <w:marRight w:val="0"/>
      <w:marTop w:val="0"/>
      <w:marBottom w:val="0"/>
      <w:divBdr>
        <w:top w:val="none" w:sz="0" w:space="0" w:color="auto"/>
        <w:left w:val="none" w:sz="0" w:space="0" w:color="auto"/>
        <w:bottom w:val="none" w:sz="0" w:space="0" w:color="auto"/>
        <w:right w:val="none" w:sz="0" w:space="0" w:color="auto"/>
      </w:divBdr>
    </w:div>
    <w:div w:id="484276678">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484931094">
      <w:bodyDiv w:val="1"/>
      <w:marLeft w:val="0"/>
      <w:marRight w:val="0"/>
      <w:marTop w:val="0"/>
      <w:marBottom w:val="0"/>
      <w:divBdr>
        <w:top w:val="none" w:sz="0" w:space="0" w:color="auto"/>
        <w:left w:val="none" w:sz="0" w:space="0" w:color="auto"/>
        <w:bottom w:val="none" w:sz="0" w:space="0" w:color="auto"/>
        <w:right w:val="none" w:sz="0" w:space="0" w:color="auto"/>
      </w:divBdr>
    </w:div>
    <w:div w:id="488713421">
      <w:bodyDiv w:val="1"/>
      <w:marLeft w:val="0"/>
      <w:marRight w:val="0"/>
      <w:marTop w:val="0"/>
      <w:marBottom w:val="0"/>
      <w:divBdr>
        <w:top w:val="none" w:sz="0" w:space="0" w:color="auto"/>
        <w:left w:val="none" w:sz="0" w:space="0" w:color="auto"/>
        <w:bottom w:val="none" w:sz="0" w:space="0" w:color="auto"/>
        <w:right w:val="none" w:sz="0" w:space="0" w:color="auto"/>
      </w:divBdr>
    </w:div>
    <w:div w:id="494152398">
      <w:bodyDiv w:val="1"/>
      <w:marLeft w:val="0"/>
      <w:marRight w:val="0"/>
      <w:marTop w:val="0"/>
      <w:marBottom w:val="0"/>
      <w:divBdr>
        <w:top w:val="none" w:sz="0" w:space="0" w:color="auto"/>
        <w:left w:val="none" w:sz="0" w:space="0" w:color="auto"/>
        <w:bottom w:val="none" w:sz="0" w:space="0" w:color="auto"/>
        <w:right w:val="none" w:sz="0" w:space="0" w:color="auto"/>
      </w:divBdr>
    </w:div>
    <w:div w:id="496769724">
      <w:bodyDiv w:val="1"/>
      <w:marLeft w:val="0"/>
      <w:marRight w:val="0"/>
      <w:marTop w:val="0"/>
      <w:marBottom w:val="0"/>
      <w:divBdr>
        <w:top w:val="none" w:sz="0" w:space="0" w:color="auto"/>
        <w:left w:val="none" w:sz="0" w:space="0" w:color="auto"/>
        <w:bottom w:val="none" w:sz="0" w:space="0" w:color="auto"/>
        <w:right w:val="none" w:sz="0" w:space="0" w:color="auto"/>
      </w:divBdr>
    </w:div>
    <w:div w:id="500268790">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11067942">
      <w:bodyDiv w:val="1"/>
      <w:marLeft w:val="0"/>
      <w:marRight w:val="0"/>
      <w:marTop w:val="0"/>
      <w:marBottom w:val="0"/>
      <w:divBdr>
        <w:top w:val="none" w:sz="0" w:space="0" w:color="auto"/>
        <w:left w:val="none" w:sz="0" w:space="0" w:color="auto"/>
        <w:bottom w:val="none" w:sz="0" w:space="0" w:color="auto"/>
        <w:right w:val="none" w:sz="0" w:space="0" w:color="auto"/>
      </w:divBdr>
    </w:div>
    <w:div w:id="516121065">
      <w:bodyDiv w:val="1"/>
      <w:marLeft w:val="0"/>
      <w:marRight w:val="0"/>
      <w:marTop w:val="0"/>
      <w:marBottom w:val="0"/>
      <w:divBdr>
        <w:top w:val="none" w:sz="0" w:space="0" w:color="auto"/>
        <w:left w:val="none" w:sz="0" w:space="0" w:color="auto"/>
        <w:bottom w:val="none" w:sz="0" w:space="0" w:color="auto"/>
        <w:right w:val="none" w:sz="0" w:space="0" w:color="auto"/>
      </w:divBdr>
    </w:div>
    <w:div w:id="519122767">
      <w:bodyDiv w:val="1"/>
      <w:marLeft w:val="0"/>
      <w:marRight w:val="0"/>
      <w:marTop w:val="0"/>
      <w:marBottom w:val="0"/>
      <w:divBdr>
        <w:top w:val="none" w:sz="0" w:space="0" w:color="auto"/>
        <w:left w:val="none" w:sz="0" w:space="0" w:color="auto"/>
        <w:bottom w:val="none" w:sz="0" w:space="0" w:color="auto"/>
        <w:right w:val="none" w:sz="0" w:space="0" w:color="auto"/>
      </w:divBdr>
    </w:div>
    <w:div w:id="530725208">
      <w:bodyDiv w:val="1"/>
      <w:marLeft w:val="0"/>
      <w:marRight w:val="0"/>
      <w:marTop w:val="0"/>
      <w:marBottom w:val="0"/>
      <w:divBdr>
        <w:top w:val="none" w:sz="0" w:space="0" w:color="auto"/>
        <w:left w:val="none" w:sz="0" w:space="0" w:color="auto"/>
        <w:bottom w:val="none" w:sz="0" w:space="0" w:color="auto"/>
        <w:right w:val="none" w:sz="0" w:space="0" w:color="auto"/>
      </w:divBdr>
    </w:div>
    <w:div w:id="532812322">
      <w:bodyDiv w:val="1"/>
      <w:marLeft w:val="0"/>
      <w:marRight w:val="0"/>
      <w:marTop w:val="0"/>
      <w:marBottom w:val="0"/>
      <w:divBdr>
        <w:top w:val="none" w:sz="0" w:space="0" w:color="auto"/>
        <w:left w:val="none" w:sz="0" w:space="0" w:color="auto"/>
        <w:bottom w:val="none" w:sz="0" w:space="0" w:color="auto"/>
        <w:right w:val="none" w:sz="0" w:space="0" w:color="auto"/>
      </w:divBdr>
    </w:div>
    <w:div w:id="537622429">
      <w:bodyDiv w:val="1"/>
      <w:marLeft w:val="0"/>
      <w:marRight w:val="0"/>
      <w:marTop w:val="0"/>
      <w:marBottom w:val="0"/>
      <w:divBdr>
        <w:top w:val="none" w:sz="0" w:space="0" w:color="auto"/>
        <w:left w:val="none" w:sz="0" w:space="0" w:color="auto"/>
        <w:bottom w:val="none" w:sz="0" w:space="0" w:color="auto"/>
        <w:right w:val="none" w:sz="0" w:space="0" w:color="auto"/>
      </w:divBdr>
    </w:div>
    <w:div w:id="541669606">
      <w:bodyDiv w:val="1"/>
      <w:marLeft w:val="0"/>
      <w:marRight w:val="0"/>
      <w:marTop w:val="0"/>
      <w:marBottom w:val="0"/>
      <w:divBdr>
        <w:top w:val="none" w:sz="0" w:space="0" w:color="auto"/>
        <w:left w:val="none" w:sz="0" w:space="0" w:color="auto"/>
        <w:bottom w:val="none" w:sz="0" w:space="0" w:color="auto"/>
        <w:right w:val="none" w:sz="0" w:space="0" w:color="auto"/>
      </w:divBdr>
    </w:div>
    <w:div w:id="542791889">
      <w:bodyDiv w:val="1"/>
      <w:marLeft w:val="0"/>
      <w:marRight w:val="0"/>
      <w:marTop w:val="0"/>
      <w:marBottom w:val="0"/>
      <w:divBdr>
        <w:top w:val="none" w:sz="0" w:space="0" w:color="auto"/>
        <w:left w:val="none" w:sz="0" w:space="0" w:color="auto"/>
        <w:bottom w:val="none" w:sz="0" w:space="0" w:color="auto"/>
        <w:right w:val="none" w:sz="0" w:space="0" w:color="auto"/>
      </w:divBdr>
    </w:div>
    <w:div w:id="545484189">
      <w:bodyDiv w:val="1"/>
      <w:marLeft w:val="0"/>
      <w:marRight w:val="0"/>
      <w:marTop w:val="0"/>
      <w:marBottom w:val="0"/>
      <w:divBdr>
        <w:top w:val="none" w:sz="0" w:space="0" w:color="auto"/>
        <w:left w:val="none" w:sz="0" w:space="0" w:color="auto"/>
        <w:bottom w:val="none" w:sz="0" w:space="0" w:color="auto"/>
        <w:right w:val="none" w:sz="0" w:space="0" w:color="auto"/>
      </w:divBdr>
    </w:div>
    <w:div w:id="545876220">
      <w:bodyDiv w:val="1"/>
      <w:marLeft w:val="0"/>
      <w:marRight w:val="0"/>
      <w:marTop w:val="0"/>
      <w:marBottom w:val="0"/>
      <w:divBdr>
        <w:top w:val="none" w:sz="0" w:space="0" w:color="auto"/>
        <w:left w:val="none" w:sz="0" w:space="0" w:color="auto"/>
        <w:bottom w:val="none" w:sz="0" w:space="0" w:color="auto"/>
        <w:right w:val="none" w:sz="0" w:space="0" w:color="auto"/>
      </w:divBdr>
    </w:div>
    <w:div w:id="552959016">
      <w:bodyDiv w:val="1"/>
      <w:marLeft w:val="0"/>
      <w:marRight w:val="0"/>
      <w:marTop w:val="0"/>
      <w:marBottom w:val="0"/>
      <w:divBdr>
        <w:top w:val="none" w:sz="0" w:space="0" w:color="auto"/>
        <w:left w:val="none" w:sz="0" w:space="0" w:color="auto"/>
        <w:bottom w:val="none" w:sz="0" w:space="0" w:color="auto"/>
        <w:right w:val="none" w:sz="0" w:space="0" w:color="auto"/>
      </w:divBdr>
    </w:div>
    <w:div w:id="553275303">
      <w:bodyDiv w:val="1"/>
      <w:marLeft w:val="0"/>
      <w:marRight w:val="0"/>
      <w:marTop w:val="0"/>
      <w:marBottom w:val="0"/>
      <w:divBdr>
        <w:top w:val="none" w:sz="0" w:space="0" w:color="auto"/>
        <w:left w:val="none" w:sz="0" w:space="0" w:color="auto"/>
        <w:bottom w:val="none" w:sz="0" w:space="0" w:color="auto"/>
        <w:right w:val="none" w:sz="0" w:space="0" w:color="auto"/>
      </w:divBdr>
      <w:divsChild>
        <w:div w:id="1539901351">
          <w:marLeft w:val="0"/>
          <w:marRight w:val="0"/>
          <w:marTop w:val="0"/>
          <w:marBottom w:val="0"/>
          <w:divBdr>
            <w:top w:val="none" w:sz="0" w:space="0" w:color="auto"/>
            <w:left w:val="none" w:sz="0" w:space="0" w:color="auto"/>
            <w:bottom w:val="none" w:sz="0" w:space="0" w:color="auto"/>
            <w:right w:val="none" w:sz="0" w:space="0" w:color="auto"/>
          </w:divBdr>
        </w:div>
      </w:divsChild>
    </w:div>
    <w:div w:id="560211201">
      <w:bodyDiv w:val="1"/>
      <w:marLeft w:val="0"/>
      <w:marRight w:val="0"/>
      <w:marTop w:val="0"/>
      <w:marBottom w:val="0"/>
      <w:divBdr>
        <w:top w:val="none" w:sz="0" w:space="0" w:color="auto"/>
        <w:left w:val="none" w:sz="0" w:space="0" w:color="auto"/>
        <w:bottom w:val="none" w:sz="0" w:space="0" w:color="auto"/>
        <w:right w:val="none" w:sz="0" w:space="0" w:color="auto"/>
      </w:divBdr>
    </w:div>
    <w:div w:id="561209417">
      <w:bodyDiv w:val="1"/>
      <w:marLeft w:val="0"/>
      <w:marRight w:val="0"/>
      <w:marTop w:val="0"/>
      <w:marBottom w:val="0"/>
      <w:divBdr>
        <w:top w:val="none" w:sz="0" w:space="0" w:color="auto"/>
        <w:left w:val="none" w:sz="0" w:space="0" w:color="auto"/>
        <w:bottom w:val="none" w:sz="0" w:space="0" w:color="auto"/>
        <w:right w:val="none" w:sz="0" w:space="0" w:color="auto"/>
      </w:divBdr>
      <w:divsChild>
        <w:div w:id="85098929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569199408">
      <w:bodyDiv w:val="1"/>
      <w:marLeft w:val="0"/>
      <w:marRight w:val="0"/>
      <w:marTop w:val="0"/>
      <w:marBottom w:val="0"/>
      <w:divBdr>
        <w:top w:val="none" w:sz="0" w:space="0" w:color="auto"/>
        <w:left w:val="none" w:sz="0" w:space="0" w:color="auto"/>
        <w:bottom w:val="none" w:sz="0" w:space="0" w:color="auto"/>
        <w:right w:val="none" w:sz="0" w:space="0" w:color="auto"/>
      </w:divBdr>
    </w:div>
    <w:div w:id="570122605">
      <w:bodyDiv w:val="1"/>
      <w:marLeft w:val="0"/>
      <w:marRight w:val="0"/>
      <w:marTop w:val="0"/>
      <w:marBottom w:val="0"/>
      <w:divBdr>
        <w:top w:val="none" w:sz="0" w:space="0" w:color="auto"/>
        <w:left w:val="none" w:sz="0" w:space="0" w:color="auto"/>
        <w:bottom w:val="none" w:sz="0" w:space="0" w:color="auto"/>
        <w:right w:val="none" w:sz="0" w:space="0" w:color="auto"/>
      </w:divBdr>
    </w:div>
    <w:div w:id="571355276">
      <w:bodyDiv w:val="1"/>
      <w:marLeft w:val="0"/>
      <w:marRight w:val="0"/>
      <w:marTop w:val="0"/>
      <w:marBottom w:val="0"/>
      <w:divBdr>
        <w:top w:val="none" w:sz="0" w:space="0" w:color="auto"/>
        <w:left w:val="none" w:sz="0" w:space="0" w:color="auto"/>
        <w:bottom w:val="none" w:sz="0" w:space="0" w:color="auto"/>
        <w:right w:val="none" w:sz="0" w:space="0" w:color="auto"/>
      </w:divBdr>
    </w:div>
    <w:div w:id="574782214">
      <w:bodyDiv w:val="1"/>
      <w:marLeft w:val="0"/>
      <w:marRight w:val="0"/>
      <w:marTop w:val="0"/>
      <w:marBottom w:val="0"/>
      <w:divBdr>
        <w:top w:val="none" w:sz="0" w:space="0" w:color="auto"/>
        <w:left w:val="none" w:sz="0" w:space="0" w:color="auto"/>
        <w:bottom w:val="none" w:sz="0" w:space="0" w:color="auto"/>
        <w:right w:val="none" w:sz="0" w:space="0" w:color="auto"/>
      </w:divBdr>
    </w:div>
    <w:div w:id="576523608">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052728066">
          <w:marLeft w:val="0"/>
          <w:marRight w:val="0"/>
          <w:marTop w:val="0"/>
          <w:marBottom w:val="600"/>
          <w:divBdr>
            <w:top w:val="none" w:sz="0" w:space="0" w:color="auto"/>
            <w:left w:val="none" w:sz="0" w:space="0" w:color="auto"/>
            <w:bottom w:val="none" w:sz="0" w:space="0" w:color="auto"/>
            <w:right w:val="none" w:sz="0" w:space="0" w:color="auto"/>
          </w:divBdr>
        </w:div>
      </w:divsChild>
    </w:div>
    <w:div w:id="582645962">
      <w:bodyDiv w:val="1"/>
      <w:marLeft w:val="0"/>
      <w:marRight w:val="0"/>
      <w:marTop w:val="0"/>
      <w:marBottom w:val="0"/>
      <w:divBdr>
        <w:top w:val="none" w:sz="0" w:space="0" w:color="auto"/>
        <w:left w:val="none" w:sz="0" w:space="0" w:color="auto"/>
        <w:bottom w:val="none" w:sz="0" w:space="0" w:color="auto"/>
        <w:right w:val="none" w:sz="0" w:space="0" w:color="auto"/>
      </w:divBdr>
    </w:div>
    <w:div w:id="592711031">
      <w:bodyDiv w:val="1"/>
      <w:marLeft w:val="0"/>
      <w:marRight w:val="0"/>
      <w:marTop w:val="0"/>
      <w:marBottom w:val="0"/>
      <w:divBdr>
        <w:top w:val="none" w:sz="0" w:space="0" w:color="auto"/>
        <w:left w:val="none" w:sz="0" w:space="0" w:color="auto"/>
        <w:bottom w:val="none" w:sz="0" w:space="0" w:color="auto"/>
        <w:right w:val="none" w:sz="0" w:space="0" w:color="auto"/>
      </w:divBdr>
    </w:div>
    <w:div w:id="595793463">
      <w:bodyDiv w:val="1"/>
      <w:marLeft w:val="0"/>
      <w:marRight w:val="0"/>
      <w:marTop w:val="0"/>
      <w:marBottom w:val="0"/>
      <w:divBdr>
        <w:top w:val="none" w:sz="0" w:space="0" w:color="auto"/>
        <w:left w:val="none" w:sz="0" w:space="0" w:color="auto"/>
        <w:bottom w:val="none" w:sz="0" w:space="0" w:color="auto"/>
        <w:right w:val="none" w:sz="0" w:space="0" w:color="auto"/>
      </w:divBdr>
    </w:div>
    <w:div w:id="604967070">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1131401">
      <w:bodyDiv w:val="1"/>
      <w:marLeft w:val="0"/>
      <w:marRight w:val="0"/>
      <w:marTop w:val="0"/>
      <w:marBottom w:val="0"/>
      <w:divBdr>
        <w:top w:val="none" w:sz="0" w:space="0" w:color="auto"/>
        <w:left w:val="none" w:sz="0" w:space="0" w:color="auto"/>
        <w:bottom w:val="none" w:sz="0" w:space="0" w:color="auto"/>
        <w:right w:val="none" w:sz="0" w:space="0" w:color="auto"/>
      </w:divBdr>
    </w:div>
    <w:div w:id="616911123">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19805654">
      <w:bodyDiv w:val="1"/>
      <w:marLeft w:val="0"/>
      <w:marRight w:val="0"/>
      <w:marTop w:val="0"/>
      <w:marBottom w:val="0"/>
      <w:divBdr>
        <w:top w:val="none" w:sz="0" w:space="0" w:color="auto"/>
        <w:left w:val="none" w:sz="0" w:space="0" w:color="auto"/>
        <w:bottom w:val="none" w:sz="0" w:space="0" w:color="auto"/>
        <w:right w:val="none" w:sz="0" w:space="0" w:color="auto"/>
      </w:divBdr>
    </w:div>
    <w:div w:id="619805896">
      <w:bodyDiv w:val="1"/>
      <w:marLeft w:val="0"/>
      <w:marRight w:val="0"/>
      <w:marTop w:val="0"/>
      <w:marBottom w:val="0"/>
      <w:divBdr>
        <w:top w:val="none" w:sz="0" w:space="0" w:color="auto"/>
        <w:left w:val="none" w:sz="0" w:space="0" w:color="auto"/>
        <w:bottom w:val="none" w:sz="0" w:space="0" w:color="auto"/>
        <w:right w:val="none" w:sz="0" w:space="0" w:color="auto"/>
      </w:divBdr>
    </w:div>
    <w:div w:id="623006625">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32977404">
      <w:bodyDiv w:val="1"/>
      <w:marLeft w:val="0"/>
      <w:marRight w:val="0"/>
      <w:marTop w:val="0"/>
      <w:marBottom w:val="0"/>
      <w:divBdr>
        <w:top w:val="none" w:sz="0" w:space="0" w:color="auto"/>
        <w:left w:val="none" w:sz="0" w:space="0" w:color="auto"/>
        <w:bottom w:val="none" w:sz="0" w:space="0" w:color="auto"/>
        <w:right w:val="none" w:sz="0" w:space="0" w:color="auto"/>
      </w:divBdr>
    </w:div>
    <w:div w:id="634719205">
      <w:bodyDiv w:val="1"/>
      <w:marLeft w:val="0"/>
      <w:marRight w:val="0"/>
      <w:marTop w:val="0"/>
      <w:marBottom w:val="0"/>
      <w:divBdr>
        <w:top w:val="none" w:sz="0" w:space="0" w:color="auto"/>
        <w:left w:val="none" w:sz="0" w:space="0" w:color="auto"/>
        <w:bottom w:val="none" w:sz="0" w:space="0" w:color="auto"/>
        <w:right w:val="none" w:sz="0" w:space="0" w:color="auto"/>
      </w:divBdr>
      <w:divsChild>
        <w:div w:id="174226932">
          <w:marLeft w:val="0"/>
          <w:marRight w:val="0"/>
          <w:marTop w:val="0"/>
          <w:marBottom w:val="0"/>
          <w:divBdr>
            <w:top w:val="none" w:sz="0" w:space="0" w:color="auto"/>
            <w:left w:val="none" w:sz="0" w:space="0" w:color="auto"/>
            <w:bottom w:val="none" w:sz="0" w:space="0" w:color="auto"/>
            <w:right w:val="none" w:sz="0" w:space="0" w:color="auto"/>
          </w:divBdr>
        </w:div>
      </w:divsChild>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38386593">
      <w:bodyDiv w:val="1"/>
      <w:marLeft w:val="0"/>
      <w:marRight w:val="0"/>
      <w:marTop w:val="0"/>
      <w:marBottom w:val="0"/>
      <w:divBdr>
        <w:top w:val="none" w:sz="0" w:space="0" w:color="auto"/>
        <w:left w:val="none" w:sz="0" w:space="0" w:color="auto"/>
        <w:bottom w:val="none" w:sz="0" w:space="0" w:color="auto"/>
        <w:right w:val="none" w:sz="0" w:space="0" w:color="auto"/>
      </w:divBdr>
    </w:div>
    <w:div w:id="641540635">
      <w:bodyDiv w:val="1"/>
      <w:marLeft w:val="0"/>
      <w:marRight w:val="0"/>
      <w:marTop w:val="0"/>
      <w:marBottom w:val="0"/>
      <w:divBdr>
        <w:top w:val="none" w:sz="0" w:space="0" w:color="auto"/>
        <w:left w:val="none" w:sz="0" w:space="0" w:color="auto"/>
        <w:bottom w:val="none" w:sz="0" w:space="0" w:color="auto"/>
        <w:right w:val="none" w:sz="0" w:space="0" w:color="auto"/>
      </w:divBdr>
    </w:div>
    <w:div w:id="642349625">
      <w:bodyDiv w:val="1"/>
      <w:marLeft w:val="0"/>
      <w:marRight w:val="0"/>
      <w:marTop w:val="0"/>
      <w:marBottom w:val="0"/>
      <w:divBdr>
        <w:top w:val="none" w:sz="0" w:space="0" w:color="auto"/>
        <w:left w:val="none" w:sz="0" w:space="0" w:color="auto"/>
        <w:bottom w:val="none" w:sz="0" w:space="0" w:color="auto"/>
        <w:right w:val="none" w:sz="0" w:space="0" w:color="auto"/>
      </w:divBdr>
    </w:div>
    <w:div w:id="655887371">
      <w:bodyDiv w:val="1"/>
      <w:marLeft w:val="0"/>
      <w:marRight w:val="0"/>
      <w:marTop w:val="0"/>
      <w:marBottom w:val="0"/>
      <w:divBdr>
        <w:top w:val="none" w:sz="0" w:space="0" w:color="auto"/>
        <w:left w:val="none" w:sz="0" w:space="0" w:color="auto"/>
        <w:bottom w:val="none" w:sz="0" w:space="0" w:color="auto"/>
        <w:right w:val="none" w:sz="0" w:space="0" w:color="auto"/>
      </w:divBdr>
    </w:div>
    <w:div w:id="657001048">
      <w:bodyDiv w:val="1"/>
      <w:marLeft w:val="0"/>
      <w:marRight w:val="0"/>
      <w:marTop w:val="0"/>
      <w:marBottom w:val="0"/>
      <w:divBdr>
        <w:top w:val="none" w:sz="0" w:space="0" w:color="auto"/>
        <w:left w:val="none" w:sz="0" w:space="0" w:color="auto"/>
        <w:bottom w:val="none" w:sz="0" w:space="0" w:color="auto"/>
        <w:right w:val="none" w:sz="0" w:space="0" w:color="auto"/>
      </w:divBdr>
    </w:div>
    <w:div w:id="658078029">
      <w:bodyDiv w:val="1"/>
      <w:marLeft w:val="0"/>
      <w:marRight w:val="0"/>
      <w:marTop w:val="0"/>
      <w:marBottom w:val="0"/>
      <w:divBdr>
        <w:top w:val="none" w:sz="0" w:space="0" w:color="auto"/>
        <w:left w:val="none" w:sz="0" w:space="0" w:color="auto"/>
        <w:bottom w:val="none" w:sz="0" w:space="0" w:color="auto"/>
        <w:right w:val="none" w:sz="0" w:space="0" w:color="auto"/>
      </w:divBdr>
    </w:div>
    <w:div w:id="661662284">
      <w:bodyDiv w:val="1"/>
      <w:marLeft w:val="0"/>
      <w:marRight w:val="0"/>
      <w:marTop w:val="0"/>
      <w:marBottom w:val="0"/>
      <w:divBdr>
        <w:top w:val="none" w:sz="0" w:space="0" w:color="auto"/>
        <w:left w:val="none" w:sz="0" w:space="0" w:color="auto"/>
        <w:bottom w:val="none" w:sz="0" w:space="0" w:color="auto"/>
        <w:right w:val="none" w:sz="0" w:space="0" w:color="auto"/>
      </w:divBdr>
    </w:div>
    <w:div w:id="667752804">
      <w:bodyDiv w:val="1"/>
      <w:marLeft w:val="0"/>
      <w:marRight w:val="0"/>
      <w:marTop w:val="0"/>
      <w:marBottom w:val="0"/>
      <w:divBdr>
        <w:top w:val="none" w:sz="0" w:space="0" w:color="auto"/>
        <w:left w:val="none" w:sz="0" w:space="0" w:color="auto"/>
        <w:bottom w:val="none" w:sz="0" w:space="0" w:color="auto"/>
        <w:right w:val="none" w:sz="0" w:space="0" w:color="auto"/>
      </w:divBdr>
    </w:div>
    <w:div w:id="669910693">
      <w:bodyDiv w:val="1"/>
      <w:marLeft w:val="0"/>
      <w:marRight w:val="0"/>
      <w:marTop w:val="0"/>
      <w:marBottom w:val="0"/>
      <w:divBdr>
        <w:top w:val="none" w:sz="0" w:space="0" w:color="auto"/>
        <w:left w:val="none" w:sz="0" w:space="0" w:color="auto"/>
        <w:bottom w:val="none" w:sz="0" w:space="0" w:color="auto"/>
        <w:right w:val="none" w:sz="0" w:space="0" w:color="auto"/>
      </w:divBdr>
    </w:div>
    <w:div w:id="670184545">
      <w:bodyDiv w:val="1"/>
      <w:marLeft w:val="0"/>
      <w:marRight w:val="0"/>
      <w:marTop w:val="0"/>
      <w:marBottom w:val="0"/>
      <w:divBdr>
        <w:top w:val="none" w:sz="0" w:space="0" w:color="auto"/>
        <w:left w:val="none" w:sz="0" w:space="0" w:color="auto"/>
        <w:bottom w:val="none" w:sz="0" w:space="0" w:color="auto"/>
        <w:right w:val="none" w:sz="0" w:space="0" w:color="auto"/>
      </w:divBdr>
      <w:divsChild>
        <w:div w:id="1490974673">
          <w:marLeft w:val="0"/>
          <w:marRight w:val="0"/>
          <w:marTop w:val="0"/>
          <w:marBottom w:val="240"/>
          <w:divBdr>
            <w:top w:val="none" w:sz="0" w:space="0" w:color="auto"/>
            <w:left w:val="none" w:sz="0" w:space="0" w:color="auto"/>
            <w:bottom w:val="none" w:sz="0" w:space="0" w:color="auto"/>
            <w:right w:val="none" w:sz="0" w:space="0" w:color="auto"/>
          </w:divBdr>
          <w:divsChild>
            <w:div w:id="6733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2635">
      <w:bodyDiv w:val="1"/>
      <w:marLeft w:val="0"/>
      <w:marRight w:val="0"/>
      <w:marTop w:val="0"/>
      <w:marBottom w:val="0"/>
      <w:divBdr>
        <w:top w:val="none" w:sz="0" w:space="0" w:color="auto"/>
        <w:left w:val="none" w:sz="0" w:space="0" w:color="auto"/>
        <w:bottom w:val="none" w:sz="0" w:space="0" w:color="auto"/>
        <w:right w:val="none" w:sz="0" w:space="0" w:color="auto"/>
      </w:divBdr>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74964281">
      <w:bodyDiv w:val="1"/>
      <w:marLeft w:val="0"/>
      <w:marRight w:val="0"/>
      <w:marTop w:val="0"/>
      <w:marBottom w:val="0"/>
      <w:divBdr>
        <w:top w:val="none" w:sz="0" w:space="0" w:color="auto"/>
        <w:left w:val="none" w:sz="0" w:space="0" w:color="auto"/>
        <w:bottom w:val="none" w:sz="0" w:space="0" w:color="auto"/>
        <w:right w:val="none" w:sz="0" w:space="0" w:color="auto"/>
      </w:divBdr>
    </w:div>
    <w:div w:id="691342566">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1801276">
      <w:bodyDiv w:val="1"/>
      <w:marLeft w:val="0"/>
      <w:marRight w:val="0"/>
      <w:marTop w:val="0"/>
      <w:marBottom w:val="0"/>
      <w:divBdr>
        <w:top w:val="none" w:sz="0" w:space="0" w:color="auto"/>
        <w:left w:val="none" w:sz="0" w:space="0" w:color="auto"/>
        <w:bottom w:val="none" w:sz="0" w:space="0" w:color="auto"/>
        <w:right w:val="none" w:sz="0" w:space="0" w:color="auto"/>
      </w:divBdr>
    </w:div>
    <w:div w:id="695928827">
      <w:bodyDiv w:val="1"/>
      <w:marLeft w:val="0"/>
      <w:marRight w:val="0"/>
      <w:marTop w:val="0"/>
      <w:marBottom w:val="0"/>
      <w:divBdr>
        <w:top w:val="none" w:sz="0" w:space="0" w:color="auto"/>
        <w:left w:val="none" w:sz="0" w:space="0" w:color="auto"/>
        <w:bottom w:val="none" w:sz="0" w:space="0" w:color="auto"/>
        <w:right w:val="none" w:sz="0" w:space="0" w:color="auto"/>
      </w:divBdr>
    </w:div>
    <w:div w:id="703480039">
      <w:bodyDiv w:val="1"/>
      <w:marLeft w:val="0"/>
      <w:marRight w:val="0"/>
      <w:marTop w:val="0"/>
      <w:marBottom w:val="0"/>
      <w:divBdr>
        <w:top w:val="none" w:sz="0" w:space="0" w:color="auto"/>
        <w:left w:val="none" w:sz="0" w:space="0" w:color="auto"/>
        <w:bottom w:val="none" w:sz="0" w:space="0" w:color="auto"/>
        <w:right w:val="none" w:sz="0" w:space="0" w:color="auto"/>
      </w:divBdr>
    </w:div>
    <w:div w:id="706610821">
      <w:bodyDiv w:val="1"/>
      <w:marLeft w:val="0"/>
      <w:marRight w:val="0"/>
      <w:marTop w:val="0"/>
      <w:marBottom w:val="0"/>
      <w:divBdr>
        <w:top w:val="none" w:sz="0" w:space="0" w:color="auto"/>
        <w:left w:val="none" w:sz="0" w:space="0" w:color="auto"/>
        <w:bottom w:val="none" w:sz="0" w:space="0" w:color="auto"/>
        <w:right w:val="none" w:sz="0" w:space="0" w:color="auto"/>
      </w:divBdr>
      <w:divsChild>
        <w:div w:id="640503071">
          <w:marLeft w:val="0"/>
          <w:marRight w:val="0"/>
          <w:marTop w:val="0"/>
          <w:marBottom w:val="0"/>
          <w:divBdr>
            <w:top w:val="none" w:sz="0" w:space="0" w:color="auto"/>
            <w:left w:val="none" w:sz="0" w:space="0" w:color="auto"/>
            <w:bottom w:val="none" w:sz="0" w:space="0" w:color="auto"/>
            <w:right w:val="none" w:sz="0" w:space="0" w:color="auto"/>
          </w:divBdr>
        </w:div>
      </w:divsChild>
    </w:div>
    <w:div w:id="717241768">
      <w:bodyDiv w:val="1"/>
      <w:marLeft w:val="0"/>
      <w:marRight w:val="0"/>
      <w:marTop w:val="0"/>
      <w:marBottom w:val="0"/>
      <w:divBdr>
        <w:top w:val="none" w:sz="0" w:space="0" w:color="auto"/>
        <w:left w:val="none" w:sz="0" w:space="0" w:color="auto"/>
        <w:bottom w:val="none" w:sz="0" w:space="0" w:color="auto"/>
        <w:right w:val="none" w:sz="0" w:space="0" w:color="auto"/>
      </w:divBdr>
      <w:divsChild>
        <w:div w:id="553006311">
          <w:marLeft w:val="0"/>
          <w:marRight w:val="0"/>
          <w:marTop w:val="0"/>
          <w:marBottom w:val="0"/>
          <w:divBdr>
            <w:top w:val="none" w:sz="0" w:space="0" w:color="auto"/>
            <w:left w:val="none" w:sz="0" w:space="0" w:color="auto"/>
            <w:bottom w:val="none" w:sz="0" w:space="0" w:color="auto"/>
            <w:right w:val="none" w:sz="0" w:space="0" w:color="auto"/>
          </w:divBdr>
        </w:div>
      </w:divsChild>
    </w:div>
    <w:div w:id="717703050">
      <w:bodyDiv w:val="1"/>
      <w:marLeft w:val="0"/>
      <w:marRight w:val="0"/>
      <w:marTop w:val="0"/>
      <w:marBottom w:val="0"/>
      <w:divBdr>
        <w:top w:val="none" w:sz="0" w:space="0" w:color="auto"/>
        <w:left w:val="none" w:sz="0" w:space="0" w:color="auto"/>
        <w:bottom w:val="none" w:sz="0" w:space="0" w:color="auto"/>
        <w:right w:val="none" w:sz="0" w:space="0" w:color="auto"/>
      </w:divBdr>
      <w:divsChild>
        <w:div w:id="636762475">
          <w:marLeft w:val="0"/>
          <w:marRight w:val="0"/>
          <w:marTop w:val="120"/>
          <w:marBottom w:val="120"/>
          <w:divBdr>
            <w:top w:val="none" w:sz="0" w:space="0" w:color="auto"/>
            <w:left w:val="none" w:sz="0" w:space="0" w:color="auto"/>
            <w:bottom w:val="none" w:sz="0" w:space="0" w:color="auto"/>
            <w:right w:val="none" w:sz="0" w:space="0" w:color="auto"/>
          </w:divBdr>
        </w:div>
        <w:div w:id="1240411394">
          <w:marLeft w:val="0"/>
          <w:marRight w:val="0"/>
          <w:marTop w:val="120"/>
          <w:marBottom w:val="120"/>
          <w:divBdr>
            <w:top w:val="none" w:sz="0" w:space="0" w:color="auto"/>
            <w:left w:val="none" w:sz="0" w:space="0" w:color="auto"/>
            <w:bottom w:val="none" w:sz="0" w:space="0" w:color="auto"/>
            <w:right w:val="none" w:sz="0" w:space="0" w:color="auto"/>
          </w:divBdr>
        </w:div>
      </w:divsChild>
    </w:div>
    <w:div w:id="719133518">
      <w:bodyDiv w:val="1"/>
      <w:marLeft w:val="0"/>
      <w:marRight w:val="0"/>
      <w:marTop w:val="0"/>
      <w:marBottom w:val="0"/>
      <w:divBdr>
        <w:top w:val="none" w:sz="0" w:space="0" w:color="auto"/>
        <w:left w:val="none" w:sz="0" w:space="0" w:color="auto"/>
        <w:bottom w:val="none" w:sz="0" w:space="0" w:color="auto"/>
        <w:right w:val="none" w:sz="0" w:space="0" w:color="auto"/>
      </w:divBdr>
    </w:div>
    <w:div w:id="719136785">
      <w:bodyDiv w:val="1"/>
      <w:marLeft w:val="0"/>
      <w:marRight w:val="0"/>
      <w:marTop w:val="0"/>
      <w:marBottom w:val="0"/>
      <w:divBdr>
        <w:top w:val="none" w:sz="0" w:space="0" w:color="auto"/>
        <w:left w:val="none" w:sz="0" w:space="0" w:color="auto"/>
        <w:bottom w:val="none" w:sz="0" w:space="0" w:color="auto"/>
        <w:right w:val="none" w:sz="0" w:space="0" w:color="auto"/>
      </w:divBdr>
    </w:div>
    <w:div w:id="720909079">
      <w:bodyDiv w:val="1"/>
      <w:marLeft w:val="0"/>
      <w:marRight w:val="0"/>
      <w:marTop w:val="0"/>
      <w:marBottom w:val="0"/>
      <w:divBdr>
        <w:top w:val="none" w:sz="0" w:space="0" w:color="auto"/>
        <w:left w:val="none" w:sz="0" w:space="0" w:color="auto"/>
        <w:bottom w:val="none" w:sz="0" w:space="0" w:color="auto"/>
        <w:right w:val="none" w:sz="0" w:space="0" w:color="auto"/>
      </w:divBdr>
    </w:div>
    <w:div w:id="732966316">
      <w:bodyDiv w:val="1"/>
      <w:marLeft w:val="0"/>
      <w:marRight w:val="0"/>
      <w:marTop w:val="0"/>
      <w:marBottom w:val="0"/>
      <w:divBdr>
        <w:top w:val="none" w:sz="0" w:space="0" w:color="auto"/>
        <w:left w:val="none" w:sz="0" w:space="0" w:color="auto"/>
        <w:bottom w:val="none" w:sz="0" w:space="0" w:color="auto"/>
        <w:right w:val="none" w:sz="0" w:space="0" w:color="auto"/>
      </w:divBdr>
    </w:div>
    <w:div w:id="735007564">
      <w:bodyDiv w:val="1"/>
      <w:marLeft w:val="0"/>
      <w:marRight w:val="0"/>
      <w:marTop w:val="0"/>
      <w:marBottom w:val="0"/>
      <w:divBdr>
        <w:top w:val="none" w:sz="0" w:space="0" w:color="auto"/>
        <w:left w:val="none" w:sz="0" w:space="0" w:color="auto"/>
        <w:bottom w:val="none" w:sz="0" w:space="0" w:color="auto"/>
        <w:right w:val="none" w:sz="0" w:space="0" w:color="auto"/>
      </w:divBdr>
    </w:div>
    <w:div w:id="741299008">
      <w:bodyDiv w:val="1"/>
      <w:marLeft w:val="0"/>
      <w:marRight w:val="0"/>
      <w:marTop w:val="0"/>
      <w:marBottom w:val="0"/>
      <w:divBdr>
        <w:top w:val="none" w:sz="0" w:space="0" w:color="auto"/>
        <w:left w:val="none" w:sz="0" w:space="0" w:color="auto"/>
        <w:bottom w:val="none" w:sz="0" w:space="0" w:color="auto"/>
        <w:right w:val="none" w:sz="0" w:space="0" w:color="auto"/>
      </w:divBdr>
    </w:div>
    <w:div w:id="744113624">
      <w:bodyDiv w:val="1"/>
      <w:marLeft w:val="0"/>
      <w:marRight w:val="0"/>
      <w:marTop w:val="0"/>
      <w:marBottom w:val="0"/>
      <w:divBdr>
        <w:top w:val="none" w:sz="0" w:space="0" w:color="auto"/>
        <w:left w:val="none" w:sz="0" w:space="0" w:color="auto"/>
        <w:bottom w:val="none" w:sz="0" w:space="0" w:color="auto"/>
        <w:right w:val="none" w:sz="0" w:space="0" w:color="auto"/>
      </w:divBdr>
    </w:div>
    <w:div w:id="745152263">
      <w:bodyDiv w:val="1"/>
      <w:marLeft w:val="0"/>
      <w:marRight w:val="0"/>
      <w:marTop w:val="0"/>
      <w:marBottom w:val="0"/>
      <w:divBdr>
        <w:top w:val="none" w:sz="0" w:space="0" w:color="auto"/>
        <w:left w:val="none" w:sz="0" w:space="0" w:color="auto"/>
        <w:bottom w:val="none" w:sz="0" w:space="0" w:color="auto"/>
        <w:right w:val="none" w:sz="0" w:space="0" w:color="auto"/>
      </w:divBdr>
      <w:divsChild>
        <w:div w:id="1599632477">
          <w:marLeft w:val="0"/>
          <w:marRight w:val="0"/>
          <w:marTop w:val="0"/>
          <w:marBottom w:val="0"/>
          <w:divBdr>
            <w:top w:val="none" w:sz="0" w:space="0" w:color="auto"/>
            <w:left w:val="none" w:sz="0" w:space="0" w:color="auto"/>
            <w:bottom w:val="none" w:sz="0" w:space="0" w:color="auto"/>
            <w:right w:val="none" w:sz="0" w:space="0" w:color="auto"/>
          </w:divBdr>
        </w:div>
      </w:divsChild>
    </w:div>
    <w:div w:id="749355818">
      <w:bodyDiv w:val="1"/>
      <w:marLeft w:val="0"/>
      <w:marRight w:val="0"/>
      <w:marTop w:val="0"/>
      <w:marBottom w:val="0"/>
      <w:divBdr>
        <w:top w:val="none" w:sz="0" w:space="0" w:color="auto"/>
        <w:left w:val="none" w:sz="0" w:space="0" w:color="auto"/>
        <w:bottom w:val="none" w:sz="0" w:space="0" w:color="auto"/>
        <w:right w:val="none" w:sz="0" w:space="0" w:color="auto"/>
      </w:divBdr>
    </w:div>
    <w:div w:id="751589617">
      <w:bodyDiv w:val="1"/>
      <w:marLeft w:val="0"/>
      <w:marRight w:val="0"/>
      <w:marTop w:val="0"/>
      <w:marBottom w:val="0"/>
      <w:divBdr>
        <w:top w:val="none" w:sz="0" w:space="0" w:color="auto"/>
        <w:left w:val="none" w:sz="0" w:space="0" w:color="auto"/>
        <w:bottom w:val="none" w:sz="0" w:space="0" w:color="auto"/>
        <w:right w:val="none" w:sz="0" w:space="0" w:color="auto"/>
      </w:divBdr>
    </w:div>
    <w:div w:id="754474329">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66730044">
      <w:bodyDiv w:val="1"/>
      <w:marLeft w:val="0"/>
      <w:marRight w:val="0"/>
      <w:marTop w:val="0"/>
      <w:marBottom w:val="0"/>
      <w:divBdr>
        <w:top w:val="none" w:sz="0" w:space="0" w:color="auto"/>
        <w:left w:val="none" w:sz="0" w:space="0" w:color="auto"/>
        <w:bottom w:val="none" w:sz="0" w:space="0" w:color="auto"/>
        <w:right w:val="none" w:sz="0" w:space="0" w:color="auto"/>
      </w:divBdr>
    </w:div>
    <w:div w:id="767386379">
      <w:bodyDiv w:val="1"/>
      <w:marLeft w:val="0"/>
      <w:marRight w:val="0"/>
      <w:marTop w:val="0"/>
      <w:marBottom w:val="0"/>
      <w:divBdr>
        <w:top w:val="none" w:sz="0" w:space="0" w:color="auto"/>
        <w:left w:val="none" w:sz="0" w:space="0" w:color="auto"/>
        <w:bottom w:val="none" w:sz="0" w:space="0" w:color="auto"/>
        <w:right w:val="none" w:sz="0" w:space="0" w:color="auto"/>
      </w:divBdr>
    </w:div>
    <w:div w:id="768507795">
      <w:bodyDiv w:val="1"/>
      <w:marLeft w:val="0"/>
      <w:marRight w:val="0"/>
      <w:marTop w:val="0"/>
      <w:marBottom w:val="0"/>
      <w:divBdr>
        <w:top w:val="none" w:sz="0" w:space="0" w:color="auto"/>
        <w:left w:val="none" w:sz="0" w:space="0" w:color="auto"/>
        <w:bottom w:val="none" w:sz="0" w:space="0" w:color="auto"/>
        <w:right w:val="none" w:sz="0" w:space="0" w:color="auto"/>
      </w:divBdr>
    </w:div>
    <w:div w:id="773212360">
      <w:bodyDiv w:val="1"/>
      <w:marLeft w:val="0"/>
      <w:marRight w:val="0"/>
      <w:marTop w:val="0"/>
      <w:marBottom w:val="0"/>
      <w:divBdr>
        <w:top w:val="none" w:sz="0" w:space="0" w:color="auto"/>
        <w:left w:val="none" w:sz="0" w:space="0" w:color="auto"/>
        <w:bottom w:val="none" w:sz="0" w:space="0" w:color="auto"/>
        <w:right w:val="none" w:sz="0" w:space="0" w:color="auto"/>
      </w:divBdr>
      <w:divsChild>
        <w:div w:id="603346839">
          <w:marLeft w:val="504"/>
          <w:marRight w:val="0"/>
          <w:marTop w:val="186"/>
          <w:marBottom w:val="0"/>
          <w:divBdr>
            <w:top w:val="none" w:sz="0" w:space="0" w:color="auto"/>
            <w:left w:val="none" w:sz="0" w:space="0" w:color="auto"/>
            <w:bottom w:val="none" w:sz="0" w:space="0" w:color="auto"/>
            <w:right w:val="none" w:sz="0" w:space="0" w:color="auto"/>
          </w:divBdr>
        </w:div>
        <w:div w:id="1499998330">
          <w:marLeft w:val="504"/>
          <w:marRight w:val="0"/>
          <w:marTop w:val="186"/>
          <w:marBottom w:val="0"/>
          <w:divBdr>
            <w:top w:val="none" w:sz="0" w:space="0" w:color="auto"/>
            <w:left w:val="none" w:sz="0" w:space="0" w:color="auto"/>
            <w:bottom w:val="none" w:sz="0" w:space="0" w:color="auto"/>
            <w:right w:val="none" w:sz="0" w:space="0" w:color="auto"/>
          </w:divBdr>
        </w:div>
        <w:div w:id="1588340994">
          <w:marLeft w:val="504"/>
          <w:marRight w:val="0"/>
          <w:marTop w:val="186"/>
          <w:marBottom w:val="0"/>
          <w:divBdr>
            <w:top w:val="none" w:sz="0" w:space="0" w:color="auto"/>
            <w:left w:val="none" w:sz="0" w:space="0" w:color="auto"/>
            <w:bottom w:val="none" w:sz="0" w:space="0" w:color="auto"/>
            <w:right w:val="none" w:sz="0" w:space="0" w:color="auto"/>
          </w:divBdr>
        </w:div>
        <w:div w:id="1940025413">
          <w:marLeft w:val="504"/>
          <w:marRight w:val="0"/>
          <w:marTop w:val="186"/>
          <w:marBottom w:val="0"/>
          <w:divBdr>
            <w:top w:val="none" w:sz="0" w:space="0" w:color="auto"/>
            <w:left w:val="none" w:sz="0" w:space="0" w:color="auto"/>
            <w:bottom w:val="none" w:sz="0" w:space="0" w:color="auto"/>
            <w:right w:val="none" w:sz="0" w:space="0" w:color="auto"/>
          </w:divBdr>
        </w:div>
        <w:div w:id="2049909807">
          <w:marLeft w:val="504"/>
          <w:marRight w:val="0"/>
          <w:marTop w:val="186"/>
          <w:marBottom w:val="0"/>
          <w:divBdr>
            <w:top w:val="none" w:sz="0" w:space="0" w:color="auto"/>
            <w:left w:val="none" w:sz="0" w:space="0" w:color="auto"/>
            <w:bottom w:val="none" w:sz="0" w:space="0" w:color="auto"/>
            <w:right w:val="none" w:sz="0" w:space="0" w:color="auto"/>
          </w:divBdr>
        </w:div>
      </w:divsChild>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8809038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796022472">
      <w:bodyDiv w:val="1"/>
      <w:marLeft w:val="0"/>
      <w:marRight w:val="0"/>
      <w:marTop w:val="0"/>
      <w:marBottom w:val="0"/>
      <w:divBdr>
        <w:top w:val="none" w:sz="0" w:space="0" w:color="auto"/>
        <w:left w:val="none" w:sz="0" w:space="0" w:color="auto"/>
        <w:bottom w:val="none" w:sz="0" w:space="0" w:color="auto"/>
        <w:right w:val="none" w:sz="0" w:space="0" w:color="auto"/>
      </w:divBdr>
    </w:div>
    <w:div w:id="798912397">
      <w:bodyDiv w:val="1"/>
      <w:marLeft w:val="0"/>
      <w:marRight w:val="0"/>
      <w:marTop w:val="0"/>
      <w:marBottom w:val="0"/>
      <w:divBdr>
        <w:top w:val="none" w:sz="0" w:space="0" w:color="auto"/>
        <w:left w:val="none" w:sz="0" w:space="0" w:color="auto"/>
        <w:bottom w:val="none" w:sz="0" w:space="0" w:color="auto"/>
        <w:right w:val="none" w:sz="0" w:space="0" w:color="auto"/>
      </w:divBdr>
      <w:divsChild>
        <w:div w:id="1392922681">
          <w:marLeft w:val="0"/>
          <w:marRight w:val="0"/>
          <w:marTop w:val="0"/>
          <w:marBottom w:val="0"/>
          <w:divBdr>
            <w:top w:val="none" w:sz="0" w:space="0" w:color="auto"/>
            <w:left w:val="none" w:sz="0" w:space="0" w:color="auto"/>
            <w:bottom w:val="none" w:sz="0" w:space="0" w:color="auto"/>
            <w:right w:val="none" w:sz="0" w:space="0" w:color="auto"/>
          </w:divBdr>
        </w:div>
      </w:divsChild>
    </w:div>
    <w:div w:id="806245246">
      <w:bodyDiv w:val="1"/>
      <w:marLeft w:val="0"/>
      <w:marRight w:val="0"/>
      <w:marTop w:val="0"/>
      <w:marBottom w:val="0"/>
      <w:divBdr>
        <w:top w:val="none" w:sz="0" w:space="0" w:color="auto"/>
        <w:left w:val="none" w:sz="0" w:space="0" w:color="auto"/>
        <w:bottom w:val="none" w:sz="0" w:space="0" w:color="auto"/>
        <w:right w:val="none" w:sz="0" w:space="0" w:color="auto"/>
      </w:divBdr>
    </w:div>
    <w:div w:id="807018808">
      <w:bodyDiv w:val="1"/>
      <w:marLeft w:val="0"/>
      <w:marRight w:val="0"/>
      <w:marTop w:val="0"/>
      <w:marBottom w:val="0"/>
      <w:divBdr>
        <w:top w:val="none" w:sz="0" w:space="0" w:color="auto"/>
        <w:left w:val="none" w:sz="0" w:space="0" w:color="auto"/>
        <w:bottom w:val="none" w:sz="0" w:space="0" w:color="auto"/>
        <w:right w:val="none" w:sz="0" w:space="0" w:color="auto"/>
      </w:divBdr>
      <w:divsChild>
        <w:div w:id="1691447115">
          <w:marLeft w:val="0"/>
          <w:marRight w:val="0"/>
          <w:marTop w:val="0"/>
          <w:marBottom w:val="0"/>
          <w:divBdr>
            <w:top w:val="none" w:sz="0" w:space="0" w:color="auto"/>
            <w:left w:val="none" w:sz="0" w:space="0" w:color="auto"/>
            <w:bottom w:val="none" w:sz="0" w:space="0" w:color="auto"/>
            <w:right w:val="none" w:sz="0" w:space="0" w:color="auto"/>
          </w:divBdr>
        </w:div>
      </w:divsChild>
    </w:div>
    <w:div w:id="809900359">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20773303">
      <w:bodyDiv w:val="1"/>
      <w:marLeft w:val="0"/>
      <w:marRight w:val="0"/>
      <w:marTop w:val="0"/>
      <w:marBottom w:val="0"/>
      <w:divBdr>
        <w:top w:val="none" w:sz="0" w:space="0" w:color="auto"/>
        <w:left w:val="none" w:sz="0" w:space="0" w:color="auto"/>
        <w:bottom w:val="none" w:sz="0" w:space="0" w:color="auto"/>
        <w:right w:val="none" w:sz="0" w:space="0" w:color="auto"/>
      </w:divBdr>
    </w:div>
    <w:div w:id="821117713">
      <w:bodyDiv w:val="1"/>
      <w:marLeft w:val="0"/>
      <w:marRight w:val="0"/>
      <w:marTop w:val="0"/>
      <w:marBottom w:val="0"/>
      <w:divBdr>
        <w:top w:val="none" w:sz="0" w:space="0" w:color="auto"/>
        <w:left w:val="none" w:sz="0" w:space="0" w:color="auto"/>
        <w:bottom w:val="none" w:sz="0" w:space="0" w:color="auto"/>
        <w:right w:val="none" w:sz="0" w:space="0" w:color="auto"/>
      </w:divBdr>
    </w:div>
    <w:div w:id="826869910">
      <w:bodyDiv w:val="1"/>
      <w:marLeft w:val="0"/>
      <w:marRight w:val="0"/>
      <w:marTop w:val="0"/>
      <w:marBottom w:val="0"/>
      <w:divBdr>
        <w:top w:val="none" w:sz="0" w:space="0" w:color="auto"/>
        <w:left w:val="none" w:sz="0" w:space="0" w:color="auto"/>
        <w:bottom w:val="none" w:sz="0" w:space="0" w:color="auto"/>
        <w:right w:val="none" w:sz="0" w:space="0" w:color="auto"/>
      </w:divBdr>
      <w:divsChild>
        <w:div w:id="1949965212">
          <w:marLeft w:val="0"/>
          <w:marRight w:val="0"/>
          <w:marTop w:val="0"/>
          <w:marBottom w:val="0"/>
          <w:divBdr>
            <w:top w:val="none" w:sz="0" w:space="0" w:color="auto"/>
            <w:left w:val="none" w:sz="0" w:space="0" w:color="auto"/>
            <w:bottom w:val="none" w:sz="0" w:space="0" w:color="auto"/>
            <w:right w:val="none" w:sz="0" w:space="0" w:color="auto"/>
          </w:divBdr>
        </w:div>
      </w:divsChild>
    </w:div>
    <w:div w:id="830869703">
      <w:bodyDiv w:val="1"/>
      <w:marLeft w:val="0"/>
      <w:marRight w:val="0"/>
      <w:marTop w:val="0"/>
      <w:marBottom w:val="0"/>
      <w:divBdr>
        <w:top w:val="none" w:sz="0" w:space="0" w:color="auto"/>
        <w:left w:val="none" w:sz="0" w:space="0" w:color="auto"/>
        <w:bottom w:val="none" w:sz="0" w:space="0" w:color="auto"/>
        <w:right w:val="none" w:sz="0" w:space="0" w:color="auto"/>
      </w:divBdr>
    </w:div>
    <w:div w:id="838422107">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49641091">
      <w:bodyDiv w:val="1"/>
      <w:marLeft w:val="0"/>
      <w:marRight w:val="0"/>
      <w:marTop w:val="0"/>
      <w:marBottom w:val="0"/>
      <w:divBdr>
        <w:top w:val="none" w:sz="0" w:space="0" w:color="auto"/>
        <w:left w:val="none" w:sz="0" w:space="0" w:color="auto"/>
        <w:bottom w:val="none" w:sz="0" w:space="0" w:color="auto"/>
        <w:right w:val="none" w:sz="0" w:space="0" w:color="auto"/>
      </w:divBdr>
    </w:div>
    <w:div w:id="850409707">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62784817">
      <w:bodyDiv w:val="1"/>
      <w:marLeft w:val="0"/>
      <w:marRight w:val="0"/>
      <w:marTop w:val="0"/>
      <w:marBottom w:val="0"/>
      <w:divBdr>
        <w:top w:val="none" w:sz="0" w:space="0" w:color="auto"/>
        <w:left w:val="none" w:sz="0" w:space="0" w:color="auto"/>
        <w:bottom w:val="none" w:sz="0" w:space="0" w:color="auto"/>
        <w:right w:val="none" w:sz="0" w:space="0" w:color="auto"/>
      </w:divBdr>
    </w:div>
    <w:div w:id="865600105">
      <w:bodyDiv w:val="1"/>
      <w:marLeft w:val="0"/>
      <w:marRight w:val="0"/>
      <w:marTop w:val="0"/>
      <w:marBottom w:val="0"/>
      <w:divBdr>
        <w:top w:val="none" w:sz="0" w:space="0" w:color="auto"/>
        <w:left w:val="none" w:sz="0" w:space="0" w:color="auto"/>
        <w:bottom w:val="none" w:sz="0" w:space="0" w:color="auto"/>
        <w:right w:val="none" w:sz="0" w:space="0" w:color="auto"/>
      </w:divBdr>
      <w:divsChild>
        <w:div w:id="746272801">
          <w:marLeft w:val="0"/>
          <w:marRight w:val="0"/>
          <w:marTop w:val="0"/>
          <w:marBottom w:val="0"/>
          <w:divBdr>
            <w:top w:val="none" w:sz="0" w:space="0" w:color="auto"/>
            <w:left w:val="none" w:sz="0" w:space="0" w:color="auto"/>
            <w:bottom w:val="none" w:sz="0" w:space="0" w:color="auto"/>
            <w:right w:val="none" w:sz="0" w:space="0" w:color="auto"/>
          </w:divBdr>
        </w:div>
        <w:div w:id="1600989773">
          <w:marLeft w:val="0"/>
          <w:marRight w:val="0"/>
          <w:marTop w:val="0"/>
          <w:marBottom w:val="0"/>
          <w:divBdr>
            <w:top w:val="none" w:sz="0" w:space="0" w:color="auto"/>
            <w:left w:val="none" w:sz="0" w:space="0" w:color="auto"/>
            <w:bottom w:val="none" w:sz="0" w:space="0" w:color="auto"/>
            <w:right w:val="none" w:sz="0" w:space="0" w:color="auto"/>
          </w:divBdr>
        </w:div>
        <w:div w:id="1830901860">
          <w:marLeft w:val="0"/>
          <w:marRight w:val="0"/>
          <w:marTop w:val="0"/>
          <w:marBottom w:val="0"/>
          <w:divBdr>
            <w:top w:val="none" w:sz="0" w:space="0" w:color="auto"/>
            <w:left w:val="none" w:sz="0" w:space="0" w:color="auto"/>
            <w:bottom w:val="none" w:sz="0" w:space="0" w:color="auto"/>
            <w:right w:val="none" w:sz="0" w:space="0" w:color="auto"/>
          </w:divBdr>
        </w:div>
        <w:div w:id="333187972">
          <w:marLeft w:val="0"/>
          <w:marRight w:val="0"/>
          <w:marTop w:val="0"/>
          <w:marBottom w:val="0"/>
          <w:divBdr>
            <w:top w:val="none" w:sz="0" w:space="0" w:color="auto"/>
            <w:left w:val="none" w:sz="0" w:space="0" w:color="auto"/>
            <w:bottom w:val="none" w:sz="0" w:space="0" w:color="auto"/>
            <w:right w:val="none" w:sz="0" w:space="0" w:color="auto"/>
          </w:divBdr>
        </w:div>
        <w:div w:id="1069502621">
          <w:marLeft w:val="0"/>
          <w:marRight w:val="0"/>
          <w:marTop w:val="0"/>
          <w:marBottom w:val="0"/>
          <w:divBdr>
            <w:top w:val="none" w:sz="0" w:space="0" w:color="auto"/>
            <w:left w:val="none" w:sz="0" w:space="0" w:color="auto"/>
            <w:bottom w:val="none" w:sz="0" w:space="0" w:color="auto"/>
            <w:right w:val="none" w:sz="0" w:space="0" w:color="auto"/>
          </w:divBdr>
        </w:div>
      </w:divsChild>
    </w:div>
    <w:div w:id="868492335">
      <w:bodyDiv w:val="1"/>
      <w:marLeft w:val="0"/>
      <w:marRight w:val="0"/>
      <w:marTop w:val="0"/>
      <w:marBottom w:val="0"/>
      <w:divBdr>
        <w:top w:val="none" w:sz="0" w:space="0" w:color="auto"/>
        <w:left w:val="none" w:sz="0" w:space="0" w:color="auto"/>
        <w:bottom w:val="none" w:sz="0" w:space="0" w:color="auto"/>
        <w:right w:val="none" w:sz="0" w:space="0" w:color="auto"/>
      </w:divBdr>
    </w:div>
    <w:div w:id="869608081">
      <w:bodyDiv w:val="1"/>
      <w:marLeft w:val="0"/>
      <w:marRight w:val="0"/>
      <w:marTop w:val="0"/>
      <w:marBottom w:val="0"/>
      <w:divBdr>
        <w:top w:val="none" w:sz="0" w:space="0" w:color="auto"/>
        <w:left w:val="none" w:sz="0" w:space="0" w:color="auto"/>
        <w:bottom w:val="none" w:sz="0" w:space="0" w:color="auto"/>
        <w:right w:val="none" w:sz="0" w:space="0" w:color="auto"/>
      </w:divBdr>
    </w:div>
    <w:div w:id="871111642">
      <w:bodyDiv w:val="1"/>
      <w:marLeft w:val="0"/>
      <w:marRight w:val="0"/>
      <w:marTop w:val="0"/>
      <w:marBottom w:val="0"/>
      <w:divBdr>
        <w:top w:val="none" w:sz="0" w:space="0" w:color="auto"/>
        <w:left w:val="none" w:sz="0" w:space="0" w:color="auto"/>
        <w:bottom w:val="none" w:sz="0" w:space="0" w:color="auto"/>
        <w:right w:val="none" w:sz="0" w:space="0" w:color="auto"/>
      </w:divBdr>
    </w:div>
    <w:div w:id="871698092">
      <w:bodyDiv w:val="1"/>
      <w:marLeft w:val="0"/>
      <w:marRight w:val="0"/>
      <w:marTop w:val="0"/>
      <w:marBottom w:val="0"/>
      <w:divBdr>
        <w:top w:val="none" w:sz="0" w:space="0" w:color="auto"/>
        <w:left w:val="none" w:sz="0" w:space="0" w:color="auto"/>
        <w:bottom w:val="none" w:sz="0" w:space="0" w:color="auto"/>
        <w:right w:val="none" w:sz="0" w:space="0" w:color="auto"/>
      </w:divBdr>
    </w:div>
    <w:div w:id="872886442">
      <w:bodyDiv w:val="1"/>
      <w:marLeft w:val="0"/>
      <w:marRight w:val="0"/>
      <w:marTop w:val="0"/>
      <w:marBottom w:val="0"/>
      <w:divBdr>
        <w:top w:val="none" w:sz="0" w:space="0" w:color="auto"/>
        <w:left w:val="none" w:sz="0" w:space="0" w:color="auto"/>
        <w:bottom w:val="none" w:sz="0" w:space="0" w:color="auto"/>
        <w:right w:val="none" w:sz="0" w:space="0" w:color="auto"/>
      </w:divBdr>
      <w:divsChild>
        <w:div w:id="289895845">
          <w:marLeft w:val="0"/>
          <w:marRight w:val="0"/>
          <w:marTop w:val="0"/>
          <w:marBottom w:val="0"/>
          <w:divBdr>
            <w:top w:val="none" w:sz="0" w:space="0" w:color="auto"/>
            <w:left w:val="none" w:sz="0" w:space="0" w:color="auto"/>
            <w:bottom w:val="none" w:sz="0" w:space="0" w:color="auto"/>
            <w:right w:val="none" w:sz="0" w:space="0" w:color="auto"/>
          </w:divBdr>
        </w:div>
        <w:div w:id="448473749">
          <w:marLeft w:val="0"/>
          <w:marRight w:val="0"/>
          <w:marTop w:val="0"/>
          <w:marBottom w:val="0"/>
          <w:divBdr>
            <w:top w:val="none" w:sz="0" w:space="0" w:color="auto"/>
            <w:left w:val="none" w:sz="0" w:space="0" w:color="auto"/>
            <w:bottom w:val="none" w:sz="0" w:space="0" w:color="auto"/>
            <w:right w:val="none" w:sz="0" w:space="0" w:color="auto"/>
          </w:divBdr>
        </w:div>
        <w:div w:id="715474276">
          <w:marLeft w:val="0"/>
          <w:marRight w:val="0"/>
          <w:marTop w:val="0"/>
          <w:marBottom w:val="300"/>
          <w:divBdr>
            <w:top w:val="none" w:sz="0" w:space="0" w:color="auto"/>
            <w:left w:val="none" w:sz="0" w:space="0" w:color="auto"/>
            <w:bottom w:val="none" w:sz="0" w:space="0" w:color="auto"/>
            <w:right w:val="none" w:sz="0" w:space="0" w:color="auto"/>
          </w:divBdr>
        </w:div>
        <w:div w:id="1502353357">
          <w:marLeft w:val="0"/>
          <w:marRight w:val="0"/>
          <w:marTop w:val="0"/>
          <w:marBottom w:val="300"/>
          <w:divBdr>
            <w:top w:val="none" w:sz="0" w:space="0" w:color="auto"/>
            <w:left w:val="none" w:sz="0" w:space="0" w:color="auto"/>
            <w:bottom w:val="none" w:sz="0" w:space="0" w:color="auto"/>
            <w:right w:val="none" w:sz="0" w:space="0" w:color="auto"/>
          </w:divBdr>
        </w:div>
      </w:divsChild>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83568153">
      <w:bodyDiv w:val="1"/>
      <w:marLeft w:val="0"/>
      <w:marRight w:val="0"/>
      <w:marTop w:val="0"/>
      <w:marBottom w:val="0"/>
      <w:divBdr>
        <w:top w:val="none" w:sz="0" w:space="0" w:color="auto"/>
        <w:left w:val="none" w:sz="0" w:space="0" w:color="auto"/>
        <w:bottom w:val="none" w:sz="0" w:space="0" w:color="auto"/>
        <w:right w:val="none" w:sz="0" w:space="0" w:color="auto"/>
      </w:divBdr>
    </w:div>
    <w:div w:id="883829630">
      <w:bodyDiv w:val="1"/>
      <w:marLeft w:val="0"/>
      <w:marRight w:val="0"/>
      <w:marTop w:val="0"/>
      <w:marBottom w:val="0"/>
      <w:divBdr>
        <w:top w:val="none" w:sz="0" w:space="0" w:color="auto"/>
        <w:left w:val="none" w:sz="0" w:space="0" w:color="auto"/>
        <w:bottom w:val="none" w:sz="0" w:space="0" w:color="auto"/>
        <w:right w:val="none" w:sz="0" w:space="0" w:color="auto"/>
      </w:divBdr>
    </w:div>
    <w:div w:id="884826627">
      <w:bodyDiv w:val="1"/>
      <w:marLeft w:val="0"/>
      <w:marRight w:val="0"/>
      <w:marTop w:val="0"/>
      <w:marBottom w:val="0"/>
      <w:divBdr>
        <w:top w:val="none" w:sz="0" w:space="0" w:color="auto"/>
        <w:left w:val="none" w:sz="0" w:space="0" w:color="auto"/>
        <w:bottom w:val="none" w:sz="0" w:space="0" w:color="auto"/>
        <w:right w:val="none" w:sz="0" w:space="0" w:color="auto"/>
      </w:divBdr>
      <w:divsChild>
        <w:div w:id="1170565389">
          <w:marLeft w:val="0"/>
          <w:marRight w:val="0"/>
          <w:marTop w:val="0"/>
          <w:marBottom w:val="0"/>
          <w:divBdr>
            <w:top w:val="none" w:sz="0" w:space="0" w:color="auto"/>
            <w:left w:val="none" w:sz="0" w:space="0" w:color="auto"/>
            <w:bottom w:val="none" w:sz="0" w:space="0" w:color="auto"/>
            <w:right w:val="none" w:sz="0" w:space="0" w:color="auto"/>
          </w:divBdr>
        </w:div>
      </w:divsChild>
    </w:div>
    <w:div w:id="895093848">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899749484">
      <w:bodyDiv w:val="1"/>
      <w:marLeft w:val="0"/>
      <w:marRight w:val="0"/>
      <w:marTop w:val="0"/>
      <w:marBottom w:val="0"/>
      <w:divBdr>
        <w:top w:val="none" w:sz="0" w:space="0" w:color="auto"/>
        <w:left w:val="none" w:sz="0" w:space="0" w:color="auto"/>
        <w:bottom w:val="none" w:sz="0" w:space="0" w:color="auto"/>
        <w:right w:val="none" w:sz="0" w:space="0" w:color="auto"/>
      </w:divBdr>
    </w:div>
    <w:div w:id="908492438">
      <w:bodyDiv w:val="1"/>
      <w:marLeft w:val="0"/>
      <w:marRight w:val="0"/>
      <w:marTop w:val="0"/>
      <w:marBottom w:val="0"/>
      <w:divBdr>
        <w:top w:val="none" w:sz="0" w:space="0" w:color="auto"/>
        <w:left w:val="none" w:sz="0" w:space="0" w:color="auto"/>
        <w:bottom w:val="none" w:sz="0" w:space="0" w:color="auto"/>
        <w:right w:val="none" w:sz="0" w:space="0" w:color="auto"/>
      </w:divBdr>
    </w:div>
    <w:div w:id="926503445">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31619843">
      <w:bodyDiv w:val="1"/>
      <w:marLeft w:val="0"/>
      <w:marRight w:val="0"/>
      <w:marTop w:val="0"/>
      <w:marBottom w:val="0"/>
      <w:divBdr>
        <w:top w:val="none" w:sz="0" w:space="0" w:color="auto"/>
        <w:left w:val="none" w:sz="0" w:space="0" w:color="auto"/>
        <w:bottom w:val="none" w:sz="0" w:space="0" w:color="auto"/>
        <w:right w:val="none" w:sz="0" w:space="0" w:color="auto"/>
      </w:divBdr>
    </w:div>
    <w:div w:id="932709448">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34947296">
      <w:bodyDiv w:val="1"/>
      <w:marLeft w:val="0"/>
      <w:marRight w:val="0"/>
      <w:marTop w:val="0"/>
      <w:marBottom w:val="0"/>
      <w:divBdr>
        <w:top w:val="none" w:sz="0" w:space="0" w:color="auto"/>
        <w:left w:val="none" w:sz="0" w:space="0" w:color="auto"/>
        <w:bottom w:val="none" w:sz="0" w:space="0" w:color="auto"/>
        <w:right w:val="none" w:sz="0" w:space="0" w:color="auto"/>
      </w:divBdr>
    </w:div>
    <w:div w:id="936907959">
      <w:bodyDiv w:val="1"/>
      <w:marLeft w:val="0"/>
      <w:marRight w:val="0"/>
      <w:marTop w:val="0"/>
      <w:marBottom w:val="0"/>
      <w:divBdr>
        <w:top w:val="none" w:sz="0" w:space="0" w:color="auto"/>
        <w:left w:val="none" w:sz="0" w:space="0" w:color="auto"/>
        <w:bottom w:val="none" w:sz="0" w:space="0" w:color="auto"/>
        <w:right w:val="none" w:sz="0" w:space="0" w:color="auto"/>
      </w:divBdr>
    </w:div>
    <w:div w:id="937367710">
      <w:bodyDiv w:val="1"/>
      <w:marLeft w:val="0"/>
      <w:marRight w:val="0"/>
      <w:marTop w:val="0"/>
      <w:marBottom w:val="0"/>
      <w:divBdr>
        <w:top w:val="none" w:sz="0" w:space="0" w:color="auto"/>
        <w:left w:val="none" w:sz="0" w:space="0" w:color="auto"/>
        <w:bottom w:val="none" w:sz="0" w:space="0" w:color="auto"/>
        <w:right w:val="none" w:sz="0" w:space="0" w:color="auto"/>
      </w:divBdr>
    </w:div>
    <w:div w:id="937521432">
      <w:bodyDiv w:val="1"/>
      <w:marLeft w:val="0"/>
      <w:marRight w:val="0"/>
      <w:marTop w:val="0"/>
      <w:marBottom w:val="0"/>
      <w:divBdr>
        <w:top w:val="none" w:sz="0" w:space="0" w:color="auto"/>
        <w:left w:val="none" w:sz="0" w:space="0" w:color="auto"/>
        <w:bottom w:val="none" w:sz="0" w:space="0" w:color="auto"/>
        <w:right w:val="none" w:sz="0" w:space="0" w:color="auto"/>
      </w:divBdr>
    </w:div>
    <w:div w:id="939096180">
      <w:bodyDiv w:val="1"/>
      <w:marLeft w:val="0"/>
      <w:marRight w:val="0"/>
      <w:marTop w:val="0"/>
      <w:marBottom w:val="0"/>
      <w:divBdr>
        <w:top w:val="none" w:sz="0" w:space="0" w:color="auto"/>
        <w:left w:val="none" w:sz="0" w:space="0" w:color="auto"/>
        <w:bottom w:val="none" w:sz="0" w:space="0" w:color="auto"/>
        <w:right w:val="none" w:sz="0" w:space="0" w:color="auto"/>
      </w:divBdr>
    </w:div>
    <w:div w:id="939290154">
      <w:bodyDiv w:val="1"/>
      <w:marLeft w:val="0"/>
      <w:marRight w:val="0"/>
      <w:marTop w:val="0"/>
      <w:marBottom w:val="0"/>
      <w:divBdr>
        <w:top w:val="none" w:sz="0" w:space="0" w:color="auto"/>
        <w:left w:val="none" w:sz="0" w:space="0" w:color="auto"/>
        <w:bottom w:val="none" w:sz="0" w:space="0" w:color="auto"/>
        <w:right w:val="none" w:sz="0" w:space="0" w:color="auto"/>
      </w:divBdr>
    </w:div>
    <w:div w:id="939727814">
      <w:bodyDiv w:val="1"/>
      <w:marLeft w:val="0"/>
      <w:marRight w:val="0"/>
      <w:marTop w:val="0"/>
      <w:marBottom w:val="0"/>
      <w:divBdr>
        <w:top w:val="none" w:sz="0" w:space="0" w:color="auto"/>
        <w:left w:val="none" w:sz="0" w:space="0" w:color="auto"/>
        <w:bottom w:val="none" w:sz="0" w:space="0" w:color="auto"/>
        <w:right w:val="none" w:sz="0" w:space="0" w:color="auto"/>
      </w:divBdr>
      <w:divsChild>
        <w:div w:id="338119350">
          <w:marLeft w:val="0"/>
          <w:marRight w:val="0"/>
          <w:marTop w:val="0"/>
          <w:marBottom w:val="0"/>
          <w:divBdr>
            <w:top w:val="none" w:sz="0" w:space="0" w:color="auto"/>
            <w:left w:val="none" w:sz="0" w:space="0" w:color="auto"/>
            <w:bottom w:val="none" w:sz="0" w:space="0" w:color="auto"/>
            <w:right w:val="none" w:sz="0" w:space="0" w:color="auto"/>
          </w:divBdr>
        </w:div>
      </w:divsChild>
    </w:div>
    <w:div w:id="942149099">
      <w:bodyDiv w:val="1"/>
      <w:marLeft w:val="0"/>
      <w:marRight w:val="0"/>
      <w:marTop w:val="0"/>
      <w:marBottom w:val="0"/>
      <w:divBdr>
        <w:top w:val="none" w:sz="0" w:space="0" w:color="auto"/>
        <w:left w:val="none" w:sz="0" w:space="0" w:color="auto"/>
        <w:bottom w:val="none" w:sz="0" w:space="0" w:color="auto"/>
        <w:right w:val="none" w:sz="0" w:space="0" w:color="auto"/>
      </w:divBdr>
    </w:div>
    <w:div w:id="951134030">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54825915">
      <w:bodyDiv w:val="1"/>
      <w:marLeft w:val="0"/>
      <w:marRight w:val="0"/>
      <w:marTop w:val="0"/>
      <w:marBottom w:val="0"/>
      <w:divBdr>
        <w:top w:val="none" w:sz="0" w:space="0" w:color="auto"/>
        <w:left w:val="none" w:sz="0" w:space="0" w:color="auto"/>
        <w:bottom w:val="none" w:sz="0" w:space="0" w:color="auto"/>
        <w:right w:val="none" w:sz="0" w:space="0" w:color="auto"/>
      </w:divBdr>
    </w:div>
    <w:div w:id="954946122">
      <w:bodyDiv w:val="1"/>
      <w:marLeft w:val="0"/>
      <w:marRight w:val="0"/>
      <w:marTop w:val="0"/>
      <w:marBottom w:val="0"/>
      <w:divBdr>
        <w:top w:val="none" w:sz="0" w:space="0" w:color="auto"/>
        <w:left w:val="none" w:sz="0" w:space="0" w:color="auto"/>
        <w:bottom w:val="none" w:sz="0" w:space="0" w:color="auto"/>
        <w:right w:val="none" w:sz="0" w:space="0" w:color="auto"/>
      </w:divBdr>
    </w:div>
    <w:div w:id="956981524">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962464973">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67780805">
      <w:bodyDiv w:val="1"/>
      <w:marLeft w:val="0"/>
      <w:marRight w:val="0"/>
      <w:marTop w:val="0"/>
      <w:marBottom w:val="0"/>
      <w:divBdr>
        <w:top w:val="none" w:sz="0" w:space="0" w:color="auto"/>
        <w:left w:val="none" w:sz="0" w:space="0" w:color="auto"/>
        <w:bottom w:val="none" w:sz="0" w:space="0" w:color="auto"/>
        <w:right w:val="none" w:sz="0" w:space="0" w:color="auto"/>
      </w:divBdr>
    </w:div>
    <w:div w:id="974067434">
      <w:bodyDiv w:val="1"/>
      <w:marLeft w:val="0"/>
      <w:marRight w:val="0"/>
      <w:marTop w:val="0"/>
      <w:marBottom w:val="0"/>
      <w:divBdr>
        <w:top w:val="none" w:sz="0" w:space="0" w:color="auto"/>
        <w:left w:val="none" w:sz="0" w:space="0" w:color="auto"/>
        <w:bottom w:val="none" w:sz="0" w:space="0" w:color="auto"/>
        <w:right w:val="none" w:sz="0" w:space="0" w:color="auto"/>
      </w:divBdr>
    </w:div>
    <w:div w:id="975111448">
      <w:bodyDiv w:val="1"/>
      <w:marLeft w:val="0"/>
      <w:marRight w:val="0"/>
      <w:marTop w:val="0"/>
      <w:marBottom w:val="0"/>
      <w:divBdr>
        <w:top w:val="none" w:sz="0" w:space="0" w:color="auto"/>
        <w:left w:val="none" w:sz="0" w:space="0" w:color="auto"/>
        <w:bottom w:val="none" w:sz="0" w:space="0" w:color="auto"/>
        <w:right w:val="none" w:sz="0" w:space="0" w:color="auto"/>
      </w:divBdr>
      <w:divsChild>
        <w:div w:id="170999023">
          <w:marLeft w:val="0"/>
          <w:marRight w:val="0"/>
          <w:marTop w:val="0"/>
          <w:marBottom w:val="0"/>
          <w:divBdr>
            <w:top w:val="none" w:sz="0" w:space="0" w:color="auto"/>
            <w:left w:val="none" w:sz="0" w:space="0" w:color="auto"/>
            <w:bottom w:val="none" w:sz="0" w:space="0" w:color="auto"/>
            <w:right w:val="none" w:sz="0" w:space="0" w:color="auto"/>
          </w:divBdr>
        </w:div>
      </w:divsChild>
    </w:div>
    <w:div w:id="978651114">
      <w:bodyDiv w:val="1"/>
      <w:marLeft w:val="0"/>
      <w:marRight w:val="0"/>
      <w:marTop w:val="0"/>
      <w:marBottom w:val="0"/>
      <w:divBdr>
        <w:top w:val="none" w:sz="0" w:space="0" w:color="auto"/>
        <w:left w:val="none" w:sz="0" w:space="0" w:color="auto"/>
        <w:bottom w:val="none" w:sz="0" w:space="0" w:color="auto"/>
        <w:right w:val="none" w:sz="0" w:space="0" w:color="auto"/>
      </w:divBdr>
      <w:divsChild>
        <w:div w:id="2126995894">
          <w:marLeft w:val="0"/>
          <w:marRight w:val="0"/>
          <w:marTop w:val="0"/>
          <w:marBottom w:val="0"/>
          <w:divBdr>
            <w:top w:val="none" w:sz="0" w:space="0" w:color="auto"/>
            <w:left w:val="none" w:sz="0" w:space="0" w:color="auto"/>
            <w:bottom w:val="none" w:sz="0" w:space="0" w:color="auto"/>
            <w:right w:val="none" w:sz="0" w:space="0" w:color="auto"/>
          </w:divBdr>
        </w:div>
      </w:divsChild>
    </w:div>
    <w:div w:id="979532499">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981302440">
      <w:bodyDiv w:val="1"/>
      <w:marLeft w:val="0"/>
      <w:marRight w:val="0"/>
      <w:marTop w:val="0"/>
      <w:marBottom w:val="0"/>
      <w:divBdr>
        <w:top w:val="none" w:sz="0" w:space="0" w:color="auto"/>
        <w:left w:val="none" w:sz="0" w:space="0" w:color="auto"/>
        <w:bottom w:val="none" w:sz="0" w:space="0" w:color="auto"/>
        <w:right w:val="none" w:sz="0" w:space="0" w:color="auto"/>
      </w:divBdr>
    </w:div>
    <w:div w:id="982738468">
      <w:bodyDiv w:val="1"/>
      <w:marLeft w:val="0"/>
      <w:marRight w:val="0"/>
      <w:marTop w:val="0"/>
      <w:marBottom w:val="0"/>
      <w:divBdr>
        <w:top w:val="none" w:sz="0" w:space="0" w:color="auto"/>
        <w:left w:val="none" w:sz="0" w:space="0" w:color="auto"/>
        <w:bottom w:val="none" w:sz="0" w:space="0" w:color="auto"/>
        <w:right w:val="none" w:sz="0" w:space="0" w:color="auto"/>
      </w:divBdr>
    </w:div>
    <w:div w:id="987787574">
      <w:bodyDiv w:val="1"/>
      <w:marLeft w:val="0"/>
      <w:marRight w:val="0"/>
      <w:marTop w:val="0"/>
      <w:marBottom w:val="0"/>
      <w:divBdr>
        <w:top w:val="none" w:sz="0" w:space="0" w:color="auto"/>
        <w:left w:val="none" w:sz="0" w:space="0" w:color="auto"/>
        <w:bottom w:val="none" w:sz="0" w:space="0" w:color="auto"/>
        <w:right w:val="none" w:sz="0" w:space="0" w:color="auto"/>
      </w:divBdr>
    </w:div>
    <w:div w:id="990792491">
      <w:bodyDiv w:val="1"/>
      <w:marLeft w:val="0"/>
      <w:marRight w:val="0"/>
      <w:marTop w:val="0"/>
      <w:marBottom w:val="0"/>
      <w:divBdr>
        <w:top w:val="none" w:sz="0" w:space="0" w:color="auto"/>
        <w:left w:val="none" w:sz="0" w:space="0" w:color="auto"/>
        <w:bottom w:val="none" w:sz="0" w:space="0" w:color="auto"/>
        <w:right w:val="none" w:sz="0" w:space="0" w:color="auto"/>
      </w:divBdr>
      <w:divsChild>
        <w:div w:id="21712786">
          <w:marLeft w:val="504"/>
          <w:marRight w:val="0"/>
          <w:marTop w:val="186"/>
          <w:marBottom w:val="0"/>
          <w:divBdr>
            <w:top w:val="none" w:sz="0" w:space="0" w:color="auto"/>
            <w:left w:val="none" w:sz="0" w:space="0" w:color="auto"/>
            <w:bottom w:val="none" w:sz="0" w:space="0" w:color="auto"/>
            <w:right w:val="none" w:sz="0" w:space="0" w:color="auto"/>
          </w:divBdr>
        </w:div>
        <w:div w:id="43797116">
          <w:marLeft w:val="504"/>
          <w:marRight w:val="0"/>
          <w:marTop w:val="186"/>
          <w:marBottom w:val="0"/>
          <w:divBdr>
            <w:top w:val="none" w:sz="0" w:space="0" w:color="auto"/>
            <w:left w:val="none" w:sz="0" w:space="0" w:color="auto"/>
            <w:bottom w:val="none" w:sz="0" w:space="0" w:color="auto"/>
            <w:right w:val="none" w:sz="0" w:space="0" w:color="auto"/>
          </w:divBdr>
        </w:div>
        <w:div w:id="841433764">
          <w:marLeft w:val="504"/>
          <w:marRight w:val="0"/>
          <w:marTop w:val="186"/>
          <w:marBottom w:val="0"/>
          <w:divBdr>
            <w:top w:val="none" w:sz="0" w:space="0" w:color="auto"/>
            <w:left w:val="none" w:sz="0" w:space="0" w:color="auto"/>
            <w:bottom w:val="none" w:sz="0" w:space="0" w:color="auto"/>
            <w:right w:val="none" w:sz="0" w:space="0" w:color="auto"/>
          </w:divBdr>
        </w:div>
        <w:div w:id="1003236918">
          <w:marLeft w:val="504"/>
          <w:marRight w:val="0"/>
          <w:marTop w:val="186"/>
          <w:marBottom w:val="0"/>
          <w:divBdr>
            <w:top w:val="none" w:sz="0" w:space="0" w:color="auto"/>
            <w:left w:val="none" w:sz="0" w:space="0" w:color="auto"/>
            <w:bottom w:val="none" w:sz="0" w:space="0" w:color="auto"/>
            <w:right w:val="none" w:sz="0" w:space="0" w:color="auto"/>
          </w:divBdr>
        </w:div>
        <w:div w:id="1457022005">
          <w:marLeft w:val="504"/>
          <w:marRight w:val="0"/>
          <w:marTop w:val="186"/>
          <w:marBottom w:val="0"/>
          <w:divBdr>
            <w:top w:val="none" w:sz="0" w:space="0" w:color="auto"/>
            <w:left w:val="none" w:sz="0" w:space="0" w:color="auto"/>
            <w:bottom w:val="none" w:sz="0" w:space="0" w:color="auto"/>
            <w:right w:val="none" w:sz="0" w:space="0" w:color="auto"/>
          </w:divBdr>
        </w:div>
      </w:divsChild>
    </w:div>
    <w:div w:id="993997173">
      <w:bodyDiv w:val="1"/>
      <w:marLeft w:val="0"/>
      <w:marRight w:val="0"/>
      <w:marTop w:val="0"/>
      <w:marBottom w:val="0"/>
      <w:divBdr>
        <w:top w:val="none" w:sz="0" w:space="0" w:color="auto"/>
        <w:left w:val="none" w:sz="0" w:space="0" w:color="auto"/>
        <w:bottom w:val="none" w:sz="0" w:space="0" w:color="auto"/>
        <w:right w:val="none" w:sz="0" w:space="0" w:color="auto"/>
      </w:divBdr>
    </w:div>
    <w:div w:id="1000229935">
      <w:bodyDiv w:val="1"/>
      <w:marLeft w:val="0"/>
      <w:marRight w:val="0"/>
      <w:marTop w:val="0"/>
      <w:marBottom w:val="0"/>
      <w:divBdr>
        <w:top w:val="none" w:sz="0" w:space="0" w:color="auto"/>
        <w:left w:val="none" w:sz="0" w:space="0" w:color="auto"/>
        <w:bottom w:val="none" w:sz="0" w:space="0" w:color="auto"/>
        <w:right w:val="none" w:sz="0" w:space="0" w:color="auto"/>
      </w:divBdr>
      <w:divsChild>
        <w:div w:id="1580169946">
          <w:marLeft w:val="0"/>
          <w:marRight w:val="0"/>
          <w:marTop w:val="0"/>
          <w:marBottom w:val="0"/>
          <w:divBdr>
            <w:top w:val="none" w:sz="0" w:space="0" w:color="auto"/>
            <w:left w:val="none" w:sz="0" w:space="0" w:color="auto"/>
            <w:bottom w:val="none" w:sz="0" w:space="0" w:color="auto"/>
            <w:right w:val="none" w:sz="0" w:space="0" w:color="auto"/>
          </w:divBdr>
        </w:div>
      </w:divsChild>
    </w:div>
    <w:div w:id="1001735156">
      <w:bodyDiv w:val="1"/>
      <w:marLeft w:val="0"/>
      <w:marRight w:val="0"/>
      <w:marTop w:val="0"/>
      <w:marBottom w:val="0"/>
      <w:divBdr>
        <w:top w:val="none" w:sz="0" w:space="0" w:color="auto"/>
        <w:left w:val="none" w:sz="0" w:space="0" w:color="auto"/>
        <w:bottom w:val="none" w:sz="0" w:space="0" w:color="auto"/>
        <w:right w:val="none" w:sz="0" w:space="0" w:color="auto"/>
      </w:divBdr>
    </w:div>
    <w:div w:id="1004358153">
      <w:bodyDiv w:val="1"/>
      <w:marLeft w:val="0"/>
      <w:marRight w:val="0"/>
      <w:marTop w:val="0"/>
      <w:marBottom w:val="0"/>
      <w:divBdr>
        <w:top w:val="none" w:sz="0" w:space="0" w:color="auto"/>
        <w:left w:val="none" w:sz="0" w:space="0" w:color="auto"/>
        <w:bottom w:val="none" w:sz="0" w:space="0" w:color="auto"/>
        <w:right w:val="none" w:sz="0" w:space="0" w:color="auto"/>
      </w:divBdr>
    </w:div>
    <w:div w:id="1005594514">
      <w:bodyDiv w:val="1"/>
      <w:marLeft w:val="0"/>
      <w:marRight w:val="0"/>
      <w:marTop w:val="0"/>
      <w:marBottom w:val="0"/>
      <w:divBdr>
        <w:top w:val="none" w:sz="0" w:space="0" w:color="auto"/>
        <w:left w:val="none" w:sz="0" w:space="0" w:color="auto"/>
        <w:bottom w:val="none" w:sz="0" w:space="0" w:color="auto"/>
        <w:right w:val="none" w:sz="0" w:space="0" w:color="auto"/>
      </w:divBdr>
    </w:div>
    <w:div w:id="1015612718">
      <w:bodyDiv w:val="1"/>
      <w:marLeft w:val="0"/>
      <w:marRight w:val="0"/>
      <w:marTop w:val="0"/>
      <w:marBottom w:val="0"/>
      <w:divBdr>
        <w:top w:val="none" w:sz="0" w:space="0" w:color="auto"/>
        <w:left w:val="none" w:sz="0" w:space="0" w:color="auto"/>
        <w:bottom w:val="none" w:sz="0" w:space="0" w:color="auto"/>
        <w:right w:val="none" w:sz="0" w:space="0" w:color="auto"/>
      </w:divBdr>
    </w:div>
    <w:div w:id="1015887474">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16618280">
      <w:bodyDiv w:val="1"/>
      <w:marLeft w:val="0"/>
      <w:marRight w:val="0"/>
      <w:marTop w:val="0"/>
      <w:marBottom w:val="0"/>
      <w:divBdr>
        <w:top w:val="none" w:sz="0" w:space="0" w:color="auto"/>
        <w:left w:val="none" w:sz="0" w:space="0" w:color="auto"/>
        <w:bottom w:val="none" w:sz="0" w:space="0" w:color="auto"/>
        <w:right w:val="none" w:sz="0" w:space="0" w:color="auto"/>
      </w:divBdr>
    </w:div>
    <w:div w:id="1017586831">
      <w:bodyDiv w:val="1"/>
      <w:marLeft w:val="0"/>
      <w:marRight w:val="0"/>
      <w:marTop w:val="0"/>
      <w:marBottom w:val="0"/>
      <w:divBdr>
        <w:top w:val="none" w:sz="0" w:space="0" w:color="auto"/>
        <w:left w:val="none" w:sz="0" w:space="0" w:color="auto"/>
        <w:bottom w:val="none" w:sz="0" w:space="0" w:color="auto"/>
        <w:right w:val="none" w:sz="0" w:space="0" w:color="auto"/>
      </w:divBdr>
    </w:div>
    <w:div w:id="1026181002">
      <w:bodyDiv w:val="1"/>
      <w:marLeft w:val="0"/>
      <w:marRight w:val="0"/>
      <w:marTop w:val="0"/>
      <w:marBottom w:val="0"/>
      <w:divBdr>
        <w:top w:val="none" w:sz="0" w:space="0" w:color="auto"/>
        <w:left w:val="none" w:sz="0" w:space="0" w:color="auto"/>
        <w:bottom w:val="none" w:sz="0" w:space="0" w:color="auto"/>
        <w:right w:val="none" w:sz="0" w:space="0" w:color="auto"/>
      </w:divBdr>
      <w:divsChild>
        <w:div w:id="712387704">
          <w:marLeft w:val="0"/>
          <w:marRight w:val="0"/>
          <w:marTop w:val="0"/>
          <w:marBottom w:val="0"/>
          <w:divBdr>
            <w:top w:val="none" w:sz="0" w:space="0" w:color="auto"/>
            <w:left w:val="none" w:sz="0" w:space="0" w:color="auto"/>
            <w:bottom w:val="none" w:sz="0" w:space="0" w:color="auto"/>
            <w:right w:val="none" w:sz="0" w:space="0" w:color="auto"/>
          </w:divBdr>
        </w:div>
        <w:div w:id="2075859409">
          <w:marLeft w:val="0"/>
          <w:marRight w:val="0"/>
          <w:marTop w:val="0"/>
          <w:marBottom w:val="0"/>
          <w:divBdr>
            <w:top w:val="none" w:sz="0" w:space="0" w:color="auto"/>
            <w:left w:val="none" w:sz="0" w:space="0" w:color="auto"/>
            <w:bottom w:val="none" w:sz="0" w:space="0" w:color="auto"/>
            <w:right w:val="none" w:sz="0" w:space="0" w:color="auto"/>
          </w:divBdr>
        </w:div>
        <w:div w:id="1926181099">
          <w:marLeft w:val="0"/>
          <w:marRight w:val="0"/>
          <w:marTop w:val="0"/>
          <w:marBottom w:val="0"/>
          <w:divBdr>
            <w:top w:val="none" w:sz="0" w:space="0" w:color="auto"/>
            <w:left w:val="none" w:sz="0" w:space="0" w:color="auto"/>
            <w:bottom w:val="none" w:sz="0" w:space="0" w:color="auto"/>
            <w:right w:val="none" w:sz="0" w:space="0" w:color="auto"/>
          </w:divBdr>
        </w:div>
        <w:div w:id="1219239871">
          <w:marLeft w:val="0"/>
          <w:marRight w:val="0"/>
          <w:marTop w:val="0"/>
          <w:marBottom w:val="0"/>
          <w:divBdr>
            <w:top w:val="none" w:sz="0" w:space="0" w:color="auto"/>
            <w:left w:val="none" w:sz="0" w:space="0" w:color="auto"/>
            <w:bottom w:val="none" w:sz="0" w:space="0" w:color="auto"/>
            <w:right w:val="none" w:sz="0" w:space="0" w:color="auto"/>
          </w:divBdr>
        </w:div>
        <w:div w:id="2118015311">
          <w:marLeft w:val="0"/>
          <w:marRight w:val="0"/>
          <w:marTop w:val="0"/>
          <w:marBottom w:val="0"/>
          <w:divBdr>
            <w:top w:val="none" w:sz="0" w:space="0" w:color="auto"/>
            <w:left w:val="none" w:sz="0" w:space="0" w:color="auto"/>
            <w:bottom w:val="none" w:sz="0" w:space="0" w:color="auto"/>
            <w:right w:val="none" w:sz="0" w:space="0" w:color="auto"/>
          </w:divBdr>
        </w:div>
      </w:divsChild>
    </w:div>
    <w:div w:id="1036544973">
      <w:bodyDiv w:val="1"/>
      <w:marLeft w:val="0"/>
      <w:marRight w:val="0"/>
      <w:marTop w:val="0"/>
      <w:marBottom w:val="0"/>
      <w:divBdr>
        <w:top w:val="none" w:sz="0" w:space="0" w:color="auto"/>
        <w:left w:val="none" w:sz="0" w:space="0" w:color="auto"/>
        <w:bottom w:val="none" w:sz="0" w:space="0" w:color="auto"/>
        <w:right w:val="none" w:sz="0" w:space="0" w:color="auto"/>
      </w:divBdr>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52079621">
      <w:bodyDiv w:val="1"/>
      <w:marLeft w:val="0"/>
      <w:marRight w:val="0"/>
      <w:marTop w:val="0"/>
      <w:marBottom w:val="0"/>
      <w:divBdr>
        <w:top w:val="none" w:sz="0" w:space="0" w:color="auto"/>
        <w:left w:val="none" w:sz="0" w:space="0" w:color="auto"/>
        <w:bottom w:val="none" w:sz="0" w:space="0" w:color="auto"/>
        <w:right w:val="none" w:sz="0" w:space="0" w:color="auto"/>
      </w:divBdr>
    </w:div>
    <w:div w:id="1055276178">
      <w:bodyDiv w:val="1"/>
      <w:marLeft w:val="0"/>
      <w:marRight w:val="0"/>
      <w:marTop w:val="0"/>
      <w:marBottom w:val="0"/>
      <w:divBdr>
        <w:top w:val="none" w:sz="0" w:space="0" w:color="auto"/>
        <w:left w:val="none" w:sz="0" w:space="0" w:color="auto"/>
        <w:bottom w:val="none" w:sz="0" w:space="0" w:color="auto"/>
        <w:right w:val="none" w:sz="0" w:space="0" w:color="auto"/>
      </w:divBdr>
    </w:div>
    <w:div w:id="1058433649">
      <w:bodyDiv w:val="1"/>
      <w:marLeft w:val="0"/>
      <w:marRight w:val="0"/>
      <w:marTop w:val="0"/>
      <w:marBottom w:val="0"/>
      <w:divBdr>
        <w:top w:val="none" w:sz="0" w:space="0" w:color="auto"/>
        <w:left w:val="none" w:sz="0" w:space="0" w:color="auto"/>
        <w:bottom w:val="none" w:sz="0" w:space="0" w:color="auto"/>
        <w:right w:val="none" w:sz="0" w:space="0" w:color="auto"/>
      </w:divBdr>
    </w:div>
    <w:div w:id="1061557641">
      <w:bodyDiv w:val="1"/>
      <w:marLeft w:val="0"/>
      <w:marRight w:val="0"/>
      <w:marTop w:val="0"/>
      <w:marBottom w:val="0"/>
      <w:divBdr>
        <w:top w:val="none" w:sz="0" w:space="0" w:color="auto"/>
        <w:left w:val="none" w:sz="0" w:space="0" w:color="auto"/>
        <w:bottom w:val="none" w:sz="0" w:space="0" w:color="auto"/>
        <w:right w:val="none" w:sz="0" w:space="0" w:color="auto"/>
      </w:divBdr>
      <w:divsChild>
        <w:div w:id="1368989403">
          <w:marLeft w:val="0"/>
          <w:marRight w:val="0"/>
          <w:marTop w:val="0"/>
          <w:marBottom w:val="0"/>
          <w:divBdr>
            <w:top w:val="none" w:sz="0" w:space="0" w:color="auto"/>
            <w:left w:val="none" w:sz="0" w:space="0" w:color="auto"/>
            <w:bottom w:val="none" w:sz="0" w:space="0" w:color="auto"/>
            <w:right w:val="none" w:sz="0" w:space="0" w:color="auto"/>
          </w:divBdr>
        </w:div>
      </w:divsChild>
    </w:div>
    <w:div w:id="1063409677">
      <w:bodyDiv w:val="1"/>
      <w:marLeft w:val="0"/>
      <w:marRight w:val="0"/>
      <w:marTop w:val="0"/>
      <w:marBottom w:val="0"/>
      <w:divBdr>
        <w:top w:val="none" w:sz="0" w:space="0" w:color="auto"/>
        <w:left w:val="none" w:sz="0" w:space="0" w:color="auto"/>
        <w:bottom w:val="none" w:sz="0" w:space="0" w:color="auto"/>
        <w:right w:val="none" w:sz="0" w:space="0" w:color="auto"/>
      </w:divBdr>
    </w:div>
    <w:div w:id="1066681719">
      <w:bodyDiv w:val="1"/>
      <w:marLeft w:val="0"/>
      <w:marRight w:val="0"/>
      <w:marTop w:val="0"/>
      <w:marBottom w:val="0"/>
      <w:divBdr>
        <w:top w:val="none" w:sz="0" w:space="0" w:color="auto"/>
        <w:left w:val="none" w:sz="0" w:space="0" w:color="auto"/>
        <w:bottom w:val="none" w:sz="0" w:space="0" w:color="auto"/>
        <w:right w:val="none" w:sz="0" w:space="0" w:color="auto"/>
      </w:divBdr>
    </w:div>
    <w:div w:id="1066950749">
      <w:bodyDiv w:val="1"/>
      <w:marLeft w:val="0"/>
      <w:marRight w:val="0"/>
      <w:marTop w:val="0"/>
      <w:marBottom w:val="0"/>
      <w:divBdr>
        <w:top w:val="none" w:sz="0" w:space="0" w:color="auto"/>
        <w:left w:val="none" w:sz="0" w:space="0" w:color="auto"/>
        <w:bottom w:val="none" w:sz="0" w:space="0" w:color="auto"/>
        <w:right w:val="none" w:sz="0" w:space="0" w:color="auto"/>
      </w:divBdr>
    </w:div>
    <w:div w:id="1070812879">
      <w:bodyDiv w:val="1"/>
      <w:marLeft w:val="0"/>
      <w:marRight w:val="0"/>
      <w:marTop w:val="0"/>
      <w:marBottom w:val="0"/>
      <w:divBdr>
        <w:top w:val="none" w:sz="0" w:space="0" w:color="auto"/>
        <w:left w:val="none" w:sz="0" w:space="0" w:color="auto"/>
        <w:bottom w:val="none" w:sz="0" w:space="0" w:color="auto"/>
        <w:right w:val="none" w:sz="0" w:space="0" w:color="auto"/>
      </w:divBdr>
    </w:div>
    <w:div w:id="1074281819">
      <w:bodyDiv w:val="1"/>
      <w:marLeft w:val="0"/>
      <w:marRight w:val="0"/>
      <w:marTop w:val="0"/>
      <w:marBottom w:val="0"/>
      <w:divBdr>
        <w:top w:val="none" w:sz="0" w:space="0" w:color="auto"/>
        <w:left w:val="none" w:sz="0" w:space="0" w:color="auto"/>
        <w:bottom w:val="none" w:sz="0" w:space="0" w:color="auto"/>
        <w:right w:val="none" w:sz="0" w:space="0" w:color="auto"/>
      </w:divBdr>
      <w:divsChild>
        <w:div w:id="450974114">
          <w:marLeft w:val="504"/>
          <w:marRight w:val="0"/>
          <w:marTop w:val="186"/>
          <w:marBottom w:val="0"/>
          <w:divBdr>
            <w:top w:val="none" w:sz="0" w:space="0" w:color="auto"/>
            <w:left w:val="none" w:sz="0" w:space="0" w:color="auto"/>
            <w:bottom w:val="none" w:sz="0" w:space="0" w:color="auto"/>
            <w:right w:val="none" w:sz="0" w:space="0" w:color="auto"/>
          </w:divBdr>
        </w:div>
        <w:div w:id="709577221">
          <w:marLeft w:val="504"/>
          <w:marRight w:val="0"/>
          <w:marTop w:val="186"/>
          <w:marBottom w:val="0"/>
          <w:divBdr>
            <w:top w:val="none" w:sz="0" w:space="0" w:color="auto"/>
            <w:left w:val="none" w:sz="0" w:space="0" w:color="auto"/>
            <w:bottom w:val="none" w:sz="0" w:space="0" w:color="auto"/>
            <w:right w:val="none" w:sz="0" w:space="0" w:color="auto"/>
          </w:divBdr>
        </w:div>
        <w:div w:id="1578785000">
          <w:marLeft w:val="504"/>
          <w:marRight w:val="0"/>
          <w:marTop w:val="186"/>
          <w:marBottom w:val="0"/>
          <w:divBdr>
            <w:top w:val="none" w:sz="0" w:space="0" w:color="auto"/>
            <w:left w:val="none" w:sz="0" w:space="0" w:color="auto"/>
            <w:bottom w:val="none" w:sz="0" w:space="0" w:color="auto"/>
            <w:right w:val="none" w:sz="0" w:space="0" w:color="auto"/>
          </w:divBdr>
        </w:div>
        <w:div w:id="1834905961">
          <w:marLeft w:val="504"/>
          <w:marRight w:val="0"/>
          <w:marTop w:val="186"/>
          <w:marBottom w:val="0"/>
          <w:divBdr>
            <w:top w:val="none" w:sz="0" w:space="0" w:color="auto"/>
            <w:left w:val="none" w:sz="0" w:space="0" w:color="auto"/>
            <w:bottom w:val="none" w:sz="0" w:space="0" w:color="auto"/>
            <w:right w:val="none" w:sz="0" w:space="0" w:color="auto"/>
          </w:divBdr>
        </w:div>
        <w:div w:id="1934510500">
          <w:marLeft w:val="504"/>
          <w:marRight w:val="0"/>
          <w:marTop w:val="186"/>
          <w:marBottom w:val="0"/>
          <w:divBdr>
            <w:top w:val="none" w:sz="0" w:space="0" w:color="auto"/>
            <w:left w:val="none" w:sz="0" w:space="0" w:color="auto"/>
            <w:bottom w:val="none" w:sz="0" w:space="0" w:color="auto"/>
            <w:right w:val="none" w:sz="0" w:space="0" w:color="auto"/>
          </w:divBdr>
        </w:div>
      </w:divsChild>
    </w:div>
    <w:div w:id="1078863323">
      <w:bodyDiv w:val="1"/>
      <w:marLeft w:val="0"/>
      <w:marRight w:val="0"/>
      <w:marTop w:val="0"/>
      <w:marBottom w:val="0"/>
      <w:divBdr>
        <w:top w:val="none" w:sz="0" w:space="0" w:color="auto"/>
        <w:left w:val="none" w:sz="0" w:space="0" w:color="auto"/>
        <w:bottom w:val="none" w:sz="0" w:space="0" w:color="auto"/>
        <w:right w:val="none" w:sz="0" w:space="0" w:color="auto"/>
      </w:divBdr>
    </w:div>
    <w:div w:id="1081950068">
      <w:bodyDiv w:val="1"/>
      <w:marLeft w:val="0"/>
      <w:marRight w:val="0"/>
      <w:marTop w:val="0"/>
      <w:marBottom w:val="0"/>
      <w:divBdr>
        <w:top w:val="none" w:sz="0" w:space="0" w:color="auto"/>
        <w:left w:val="none" w:sz="0" w:space="0" w:color="auto"/>
        <w:bottom w:val="none" w:sz="0" w:space="0" w:color="auto"/>
        <w:right w:val="none" w:sz="0" w:space="0" w:color="auto"/>
      </w:divBdr>
    </w:div>
    <w:div w:id="1082525094">
      <w:bodyDiv w:val="1"/>
      <w:marLeft w:val="0"/>
      <w:marRight w:val="0"/>
      <w:marTop w:val="0"/>
      <w:marBottom w:val="0"/>
      <w:divBdr>
        <w:top w:val="none" w:sz="0" w:space="0" w:color="auto"/>
        <w:left w:val="none" w:sz="0" w:space="0" w:color="auto"/>
        <w:bottom w:val="none" w:sz="0" w:space="0" w:color="auto"/>
        <w:right w:val="none" w:sz="0" w:space="0" w:color="auto"/>
      </w:divBdr>
    </w:div>
    <w:div w:id="1084961248">
      <w:bodyDiv w:val="1"/>
      <w:marLeft w:val="0"/>
      <w:marRight w:val="0"/>
      <w:marTop w:val="0"/>
      <w:marBottom w:val="0"/>
      <w:divBdr>
        <w:top w:val="none" w:sz="0" w:space="0" w:color="auto"/>
        <w:left w:val="none" w:sz="0" w:space="0" w:color="auto"/>
        <w:bottom w:val="none" w:sz="0" w:space="0" w:color="auto"/>
        <w:right w:val="none" w:sz="0" w:space="0" w:color="auto"/>
      </w:divBdr>
    </w:div>
    <w:div w:id="1095437620">
      <w:bodyDiv w:val="1"/>
      <w:marLeft w:val="0"/>
      <w:marRight w:val="0"/>
      <w:marTop w:val="0"/>
      <w:marBottom w:val="0"/>
      <w:divBdr>
        <w:top w:val="none" w:sz="0" w:space="0" w:color="auto"/>
        <w:left w:val="none" w:sz="0" w:space="0" w:color="auto"/>
        <w:bottom w:val="none" w:sz="0" w:space="0" w:color="auto"/>
        <w:right w:val="none" w:sz="0" w:space="0" w:color="auto"/>
      </w:divBdr>
    </w:div>
    <w:div w:id="1101415226">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05493572">
      <w:bodyDiv w:val="1"/>
      <w:marLeft w:val="0"/>
      <w:marRight w:val="0"/>
      <w:marTop w:val="0"/>
      <w:marBottom w:val="0"/>
      <w:divBdr>
        <w:top w:val="none" w:sz="0" w:space="0" w:color="auto"/>
        <w:left w:val="none" w:sz="0" w:space="0" w:color="auto"/>
        <w:bottom w:val="none" w:sz="0" w:space="0" w:color="auto"/>
        <w:right w:val="none" w:sz="0" w:space="0" w:color="auto"/>
      </w:divBdr>
    </w:div>
    <w:div w:id="1107314505">
      <w:bodyDiv w:val="1"/>
      <w:marLeft w:val="0"/>
      <w:marRight w:val="0"/>
      <w:marTop w:val="0"/>
      <w:marBottom w:val="0"/>
      <w:divBdr>
        <w:top w:val="none" w:sz="0" w:space="0" w:color="auto"/>
        <w:left w:val="none" w:sz="0" w:space="0" w:color="auto"/>
        <w:bottom w:val="none" w:sz="0" w:space="0" w:color="auto"/>
        <w:right w:val="none" w:sz="0" w:space="0" w:color="auto"/>
      </w:divBdr>
    </w:div>
    <w:div w:id="1109862140">
      <w:bodyDiv w:val="1"/>
      <w:marLeft w:val="0"/>
      <w:marRight w:val="0"/>
      <w:marTop w:val="0"/>
      <w:marBottom w:val="0"/>
      <w:divBdr>
        <w:top w:val="none" w:sz="0" w:space="0" w:color="auto"/>
        <w:left w:val="none" w:sz="0" w:space="0" w:color="auto"/>
        <w:bottom w:val="none" w:sz="0" w:space="0" w:color="auto"/>
        <w:right w:val="none" w:sz="0" w:space="0" w:color="auto"/>
      </w:divBdr>
    </w:div>
    <w:div w:id="1114440026">
      <w:bodyDiv w:val="1"/>
      <w:marLeft w:val="0"/>
      <w:marRight w:val="0"/>
      <w:marTop w:val="0"/>
      <w:marBottom w:val="0"/>
      <w:divBdr>
        <w:top w:val="none" w:sz="0" w:space="0" w:color="auto"/>
        <w:left w:val="none" w:sz="0" w:space="0" w:color="auto"/>
        <w:bottom w:val="none" w:sz="0" w:space="0" w:color="auto"/>
        <w:right w:val="none" w:sz="0" w:space="0" w:color="auto"/>
      </w:divBdr>
    </w:div>
    <w:div w:id="1116948767">
      <w:bodyDiv w:val="1"/>
      <w:marLeft w:val="0"/>
      <w:marRight w:val="0"/>
      <w:marTop w:val="0"/>
      <w:marBottom w:val="0"/>
      <w:divBdr>
        <w:top w:val="none" w:sz="0" w:space="0" w:color="auto"/>
        <w:left w:val="none" w:sz="0" w:space="0" w:color="auto"/>
        <w:bottom w:val="none" w:sz="0" w:space="0" w:color="auto"/>
        <w:right w:val="none" w:sz="0" w:space="0" w:color="auto"/>
      </w:divBdr>
    </w:div>
    <w:div w:id="1117799294">
      <w:bodyDiv w:val="1"/>
      <w:marLeft w:val="0"/>
      <w:marRight w:val="0"/>
      <w:marTop w:val="0"/>
      <w:marBottom w:val="0"/>
      <w:divBdr>
        <w:top w:val="none" w:sz="0" w:space="0" w:color="auto"/>
        <w:left w:val="none" w:sz="0" w:space="0" w:color="auto"/>
        <w:bottom w:val="none" w:sz="0" w:space="0" w:color="auto"/>
        <w:right w:val="none" w:sz="0" w:space="0" w:color="auto"/>
      </w:divBdr>
    </w:div>
    <w:div w:id="1119378613">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24546162">
      <w:bodyDiv w:val="1"/>
      <w:marLeft w:val="0"/>
      <w:marRight w:val="0"/>
      <w:marTop w:val="0"/>
      <w:marBottom w:val="0"/>
      <w:divBdr>
        <w:top w:val="none" w:sz="0" w:space="0" w:color="auto"/>
        <w:left w:val="none" w:sz="0" w:space="0" w:color="auto"/>
        <w:bottom w:val="none" w:sz="0" w:space="0" w:color="auto"/>
        <w:right w:val="none" w:sz="0" w:space="0" w:color="auto"/>
      </w:divBdr>
    </w:div>
    <w:div w:id="1125730721">
      <w:bodyDiv w:val="1"/>
      <w:marLeft w:val="0"/>
      <w:marRight w:val="0"/>
      <w:marTop w:val="0"/>
      <w:marBottom w:val="0"/>
      <w:divBdr>
        <w:top w:val="none" w:sz="0" w:space="0" w:color="auto"/>
        <w:left w:val="none" w:sz="0" w:space="0" w:color="auto"/>
        <w:bottom w:val="none" w:sz="0" w:space="0" w:color="auto"/>
        <w:right w:val="none" w:sz="0" w:space="0" w:color="auto"/>
      </w:divBdr>
    </w:div>
    <w:div w:id="1130781343">
      <w:bodyDiv w:val="1"/>
      <w:marLeft w:val="0"/>
      <w:marRight w:val="0"/>
      <w:marTop w:val="0"/>
      <w:marBottom w:val="0"/>
      <w:divBdr>
        <w:top w:val="none" w:sz="0" w:space="0" w:color="auto"/>
        <w:left w:val="none" w:sz="0" w:space="0" w:color="auto"/>
        <w:bottom w:val="none" w:sz="0" w:space="0" w:color="auto"/>
        <w:right w:val="none" w:sz="0" w:space="0" w:color="auto"/>
      </w:divBdr>
    </w:div>
    <w:div w:id="1136678300">
      <w:bodyDiv w:val="1"/>
      <w:marLeft w:val="0"/>
      <w:marRight w:val="0"/>
      <w:marTop w:val="0"/>
      <w:marBottom w:val="0"/>
      <w:divBdr>
        <w:top w:val="none" w:sz="0" w:space="0" w:color="auto"/>
        <w:left w:val="none" w:sz="0" w:space="0" w:color="auto"/>
        <w:bottom w:val="none" w:sz="0" w:space="0" w:color="auto"/>
        <w:right w:val="none" w:sz="0" w:space="0" w:color="auto"/>
      </w:divBdr>
    </w:div>
    <w:div w:id="1137070847">
      <w:bodyDiv w:val="1"/>
      <w:marLeft w:val="0"/>
      <w:marRight w:val="0"/>
      <w:marTop w:val="0"/>
      <w:marBottom w:val="0"/>
      <w:divBdr>
        <w:top w:val="none" w:sz="0" w:space="0" w:color="auto"/>
        <w:left w:val="none" w:sz="0" w:space="0" w:color="auto"/>
        <w:bottom w:val="none" w:sz="0" w:space="0" w:color="auto"/>
        <w:right w:val="none" w:sz="0" w:space="0" w:color="auto"/>
      </w:divBdr>
    </w:div>
    <w:div w:id="1137794822">
      <w:bodyDiv w:val="1"/>
      <w:marLeft w:val="0"/>
      <w:marRight w:val="0"/>
      <w:marTop w:val="0"/>
      <w:marBottom w:val="0"/>
      <w:divBdr>
        <w:top w:val="none" w:sz="0" w:space="0" w:color="auto"/>
        <w:left w:val="none" w:sz="0" w:space="0" w:color="auto"/>
        <w:bottom w:val="none" w:sz="0" w:space="0" w:color="auto"/>
        <w:right w:val="none" w:sz="0" w:space="0" w:color="auto"/>
      </w:divBdr>
    </w:div>
    <w:div w:id="1144389642">
      <w:bodyDiv w:val="1"/>
      <w:marLeft w:val="0"/>
      <w:marRight w:val="0"/>
      <w:marTop w:val="0"/>
      <w:marBottom w:val="0"/>
      <w:divBdr>
        <w:top w:val="none" w:sz="0" w:space="0" w:color="auto"/>
        <w:left w:val="none" w:sz="0" w:space="0" w:color="auto"/>
        <w:bottom w:val="none" w:sz="0" w:space="0" w:color="auto"/>
        <w:right w:val="none" w:sz="0" w:space="0" w:color="auto"/>
      </w:divBdr>
    </w:div>
    <w:div w:id="1148134958">
      <w:bodyDiv w:val="1"/>
      <w:marLeft w:val="0"/>
      <w:marRight w:val="0"/>
      <w:marTop w:val="0"/>
      <w:marBottom w:val="0"/>
      <w:divBdr>
        <w:top w:val="none" w:sz="0" w:space="0" w:color="auto"/>
        <w:left w:val="none" w:sz="0" w:space="0" w:color="auto"/>
        <w:bottom w:val="none" w:sz="0" w:space="0" w:color="auto"/>
        <w:right w:val="none" w:sz="0" w:space="0" w:color="auto"/>
      </w:divBdr>
    </w:div>
    <w:div w:id="1148402415">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52451891">
      <w:bodyDiv w:val="1"/>
      <w:marLeft w:val="0"/>
      <w:marRight w:val="0"/>
      <w:marTop w:val="0"/>
      <w:marBottom w:val="0"/>
      <w:divBdr>
        <w:top w:val="none" w:sz="0" w:space="0" w:color="auto"/>
        <w:left w:val="none" w:sz="0" w:space="0" w:color="auto"/>
        <w:bottom w:val="none" w:sz="0" w:space="0" w:color="auto"/>
        <w:right w:val="none" w:sz="0" w:space="0" w:color="auto"/>
      </w:divBdr>
    </w:div>
    <w:div w:id="1155103813">
      <w:bodyDiv w:val="1"/>
      <w:marLeft w:val="0"/>
      <w:marRight w:val="0"/>
      <w:marTop w:val="0"/>
      <w:marBottom w:val="0"/>
      <w:divBdr>
        <w:top w:val="none" w:sz="0" w:space="0" w:color="auto"/>
        <w:left w:val="none" w:sz="0" w:space="0" w:color="auto"/>
        <w:bottom w:val="none" w:sz="0" w:space="0" w:color="auto"/>
        <w:right w:val="none" w:sz="0" w:space="0" w:color="auto"/>
      </w:divBdr>
    </w:div>
    <w:div w:id="1156724215">
      <w:bodyDiv w:val="1"/>
      <w:marLeft w:val="0"/>
      <w:marRight w:val="0"/>
      <w:marTop w:val="0"/>
      <w:marBottom w:val="0"/>
      <w:divBdr>
        <w:top w:val="none" w:sz="0" w:space="0" w:color="auto"/>
        <w:left w:val="none" w:sz="0" w:space="0" w:color="auto"/>
        <w:bottom w:val="none" w:sz="0" w:space="0" w:color="auto"/>
        <w:right w:val="none" w:sz="0" w:space="0" w:color="auto"/>
      </w:divBdr>
    </w:div>
    <w:div w:id="1160730848">
      <w:bodyDiv w:val="1"/>
      <w:marLeft w:val="0"/>
      <w:marRight w:val="0"/>
      <w:marTop w:val="0"/>
      <w:marBottom w:val="0"/>
      <w:divBdr>
        <w:top w:val="none" w:sz="0" w:space="0" w:color="auto"/>
        <w:left w:val="none" w:sz="0" w:space="0" w:color="auto"/>
        <w:bottom w:val="none" w:sz="0" w:space="0" w:color="auto"/>
        <w:right w:val="none" w:sz="0" w:space="0" w:color="auto"/>
      </w:divBdr>
    </w:div>
    <w:div w:id="1164012615">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69948742">
      <w:bodyDiv w:val="1"/>
      <w:marLeft w:val="0"/>
      <w:marRight w:val="0"/>
      <w:marTop w:val="0"/>
      <w:marBottom w:val="0"/>
      <w:divBdr>
        <w:top w:val="none" w:sz="0" w:space="0" w:color="auto"/>
        <w:left w:val="none" w:sz="0" w:space="0" w:color="auto"/>
        <w:bottom w:val="none" w:sz="0" w:space="0" w:color="auto"/>
        <w:right w:val="none" w:sz="0" w:space="0" w:color="auto"/>
      </w:divBdr>
      <w:divsChild>
        <w:div w:id="728840064">
          <w:marLeft w:val="0"/>
          <w:marRight w:val="0"/>
          <w:marTop w:val="0"/>
          <w:marBottom w:val="0"/>
          <w:divBdr>
            <w:top w:val="none" w:sz="0" w:space="0" w:color="auto"/>
            <w:left w:val="none" w:sz="0" w:space="0" w:color="auto"/>
            <w:bottom w:val="none" w:sz="0" w:space="0" w:color="auto"/>
            <w:right w:val="none" w:sz="0" w:space="0" w:color="auto"/>
          </w:divBdr>
        </w:div>
      </w:divsChild>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74995638">
      <w:bodyDiv w:val="1"/>
      <w:marLeft w:val="0"/>
      <w:marRight w:val="0"/>
      <w:marTop w:val="0"/>
      <w:marBottom w:val="0"/>
      <w:divBdr>
        <w:top w:val="none" w:sz="0" w:space="0" w:color="auto"/>
        <w:left w:val="none" w:sz="0" w:space="0" w:color="auto"/>
        <w:bottom w:val="none" w:sz="0" w:space="0" w:color="auto"/>
        <w:right w:val="none" w:sz="0" w:space="0" w:color="auto"/>
      </w:divBdr>
    </w:div>
    <w:div w:id="1177886170">
      <w:bodyDiv w:val="1"/>
      <w:marLeft w:val="0"/>
      <w:marRight w:val="0"/>
      <w:marTop w:val="0"/>
      <w:marBottom w:val="0"/>
      <w:divBdr>
        <w:top w:val="none" w:sz="0" w:space="0" w:color="auto"/>
        <w:left w:val="none" w:sz="0" w:space="0" w:color="auto"/>
        <w:bottom w:val="none" w:sz="0" w:space="0" w:color="auto"/>
        <w:right w:val="none" w:sz="0" w:space="0" w:color="auto"/>
      </w:divBdr>
    </w:div>
    <w:div w:id="1188058270">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00975749">
      <w:bodyDiv w:val="1"/>
      <w:marLeft w:val="0"/>
      <w:marRight w:val="0"/>
      <w:marTop w:val="0"/>
      <w:marBottom w:val="0"/>
      <w:divBdr>
        <w:top w:val="none" w:sz="0" w:space="0" w:color="auto"/>
        <w:left w:val="none" w:sz="0" w:space="0" w:color="auto"/>
        <w:bottom w:val="none" w:sz="0" w:space="0" w:color="auto"/>
        <w:right w:val="none" w:sz="0" w:space="0" w:color="auto"/>
      </w:divBdr>
    </w:div>
    <w:div w:id="1207990746">
      <w:bodyDiv w:val="1"/>
      <w:marLeft w:val="0"/>
      <w:marRight w:val="0"/>
      <w:marTop w:val="0"/>
      <w:marBottom w:val="0"/>
      <w:divBdr>
        <w:top w:val="none" w:sz="0" w:space="0" w:color="auto"/>
        <w:left w:val="none" w:sz="0" w:space="0" w:color="auto"/>
        <w:bottom w:val="none" w:sz="0" w:space="0" w:color="auto"/>
        <w:right w:val="none" w:sz="0" w:space="0" w:color="auto"/>
      </w:divBdr>
    </w:div>
    <w:div w:id="1212186406">
      <w:bodyDiv w:val="1"/>
      <w:marLeft w:val="0"/>
      <w:marRight w:val="0"/>
      <w:marTop w:val="0"/>
      <w:marBottom w:val="0"/>
      <w:divBdr>
        <w:top w:val="none" w:sz="0" w:space="0" w:color="auto"/>
        <w:left w:val="none" w:sz="0" w:space="0" w:color="auto"/>
        <w:bottom w:val="none" w:sz="0" w:space="0" w:color="auto"/>
        <w:right w:val="none" w:sz="0" w:space="0" w:color="auto"/>
      </w:divBdr>
    </w:div>
    <w:div w:id="1212885491">
      <w:bodyDiv w:val="1"/>
      <w:marLeft w:val="0"/>
      <w:marRight w:val="0"/>
      <w:marTop w:val="0"/>
      <w:marBottom w:val="0"/>
      <w:divBdr>
        <w:top w:val="none" w:sz="0" w:space="0" w:color="auto"/>
        <w:left w:val="none" w:sz="0" w:space="0" w:color="auto"/>
        <w:bottom w:val="none" w:sz="0" w:space="0" w:color="auto"/>
        <w:right w:val="none" w:sz="0" w:space="0" w:color="auto"/>
      </w:divBdr>
    </w:div>
    <w:div w:id="1216815330">
      <w:bodyDiv w:val="1"/>
      <w:marLeft w:val="0"/>
      <w:marRight w:val="0"/>
      <w:marTop w:val="0"/>
      <w:marBottom w:val="0"/>
      <w:divBdr>
        <w:top w:val="none" w:sz="0" w:space="0" w:color="auto"/>
        <w:left w:val="none" w:sz="0" w:space="0" w:color="auto"/>
        <w:bottom w:val="none" w:sz="0" w:space="0" w:color="auto"/>
        <w:right w:val="none" w:sz="0" w:space="0" w:color="auto"/>
      </w:divBdr>
      <w:divsChild>
        <w:div w:id="1477647510">
          <w:marLeft w:val="0"/>
          <w:marRight w:val="0"/>
          <w:marTop w:val="0"/>
          <w:marBottom w:val="0"/>
          <w:divBdr>
            <w:top w:val="none" w:sz="0" w:space="0" w:color="auto"/>
            <w:left w:val="none" w:sz="0" w:space="0" w:color="auto"/>
            <w:bottom w:val="none" w:sz="0" w:space="0" w:color="auto"/>
            <w:right w:val="none" w:sz="0" w:space="0" w:color="auto"/>
          </w:divBdr>
        </w:div>
      </w:divsChild>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20938924">
      <w:bodyDiv w:val="1"/>
      <w:marLeft w:val="0"/>
      <w:marRight w:val="0"/>
      <w:marTop w:val="0"/>
      <w:marBottom w:val="0"/>
      <w:divBdr>
        <w:top w:val="none" w:sz="0" w:space="0" w:color="auto"/>
        <w:left w:val="none" w:sz="0" w:space="0" w:color="auto"/>
        <w:bottom w:val="none" w:sz="0" w:space="0" w:color="auto"/>
        <w:right w:val="none" w:sz="0" w:space="0" w:color="auto"/>
      </w:divBdr>
    </w:div>
    <w:div w:id="1227303638">
      <w:bodyDiv w:val="1"/>
      <w:marLeft w:val="0"/>
      <w:marRight w:val="0"/>
      <w:marTop w:val="0"/>
      <w:marBottom w:val="0"/>
      <w:divBdr>
        <w:top w:val="none" w:sz="0" w:space="0" w:color="auto"/>
        <w:left w:val="none" w:sz="0" w:space="0" w:color="auto"/>
        <w:bottom w:val="none" w:sz="0" w:space="0" w:color="auto"/>
        <w:right w:val="none" w:sz="0" w:space="0" w:color="auto"/>
      </w:divBdr>
    </w:div>
    <w:div w:id="1235164052">
      <w:bodyDiv w:val="1"/>
      <w:marLeft w:val="0"/>
      <w:marRight w:val="0"/>
      <w:marTop w:val="0"/>
      <w:marBottom w:val="0"/>
      <w:divBdr>
        <w:top w:val="none" w:sz="0" w:space="0" w:color="auto"/>
        <w:left w:val="none" w:sz="0" w:space="0" w:color="auto"/>
        <w:bottom w:val="none" w:sz="0" w:space="0" w:color="auto"/>
        <w:right w:val="none" w:sz="0" w:space="0" w:color="auto"/>
      </w:divBdr>
    </w:div>
    <w:div w:id="1239251364">
      <w:bodyDiv w:val="1"/>
      <w:marLeft w:val="0"/>
      <w:marRight w:val="0"/>
      <w:marTop w:val="0"/>
      <w:marBottom w:val="0"/>
      <w:divBdr>
        <w:top w:val="none" w:sz="0" w:space="0" w:color="auto"/>
        <w:left w:val="none" w:sz="0" w:space="0" w:color="auto"/>
        <w:bottom w:val="none" w:sz="0" w:space="0" w:color="auto"/>
        <w:right w:val="none" w:sz="0" w:space="0" w:color="auto"/>
      </w:divBdr>
    </w:div>
    <w:div w:id="1250459587">
      <w:bodyDiv w:val="1"/>
      <w:marLeft w:val="0"/>
      <w:marRight w:val="0"/>
      <w:marTop w:val="0"/>
      <w:marBottom w:val="0"/>
      <w:divBdr>
        <w:top w:val="none" w:sz="0" w:space="0" w:color="auto"/>
        <w:left w:val="none" w:sz="0" w:space="0" w:color="auto"/>
        <w:bottom w:val="none" w:sz="0" w:space="0" w:color="auto"/>
        <w:right w:val="none" w:sz="0" w:space="0" w:color="auto"/>
      </w:divBdr>
    </w:div>
    <w:div w:id="1253661854">
      <w:bodyDiv w:val="1"/>
      <w:marLeft w:val="0"/>
      <w:marRight w:val="0"/>
      <w:marTop w:val="0"/>
      <w:marBottom w:val="0"/>
      <w:divBdr>
        <w:top w:val="none" w:sz="0" w:space="0" w:color="auto"/>
        <w:left w:val="none" w:sz="0" w:space="0" w:color="auto"/>
        <w:bottom w:val="none" w:sz="0" w:space="0" w:color="auto"/>
        <w:right w:val="none" w:sz="0" w:space="0" w:color="auto"/>
      </w:divBdr>
    </w:div>
    <w:div w:id="1254973806">
      <w:bodyDiv w:val="1"/>
      <w:marLeft w:val="0"/>
      <w:marRight w:val="0"/>
      <w:marTop w:val="0"/>
      <w:marBottom w:val="0"/>
      <w:divBdr>
        <w:top w:val="none" w:sz="0" w:space="0" w:color="auto"/>
        <w:left w:val="none" w:sz="0" w:space="0" w:color="auto"/>
        <w:bottom w:val="none" w:sz="0" w:space="0" w:color="auto"/>
        <w:right w:val="none" w:sz="0" w:space="0" w:color="auto"/>
      </w:divBdr>
    </w:div>
    <w:div w:id="1255895265">
      <w:bodyDiv w:val="1"/>
      <w:marLeft w:val="0"/>
      <w:marRight w:val="0"/>
      <w:marTop w:val="0"/>
      <w:marBottom w:val="0"/>
      <w:divBdr>
        <w:top w:val="none" w:sz="0" w:space="0" w:color="auto"/>
        <w:left w:val="none" w:sz="0" w:space="0" w:color="auto"/>
        <w:bottom w:val="none" w:sz="0" w:space="0" w:color="auto"/>
        <w:right w:val="none" w:sz="0" w:space="0" w:color="auto"/>
      </w:divBdr>
    </w:div>
    <w:div w:id="1256330121">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6121">
      <w:bodyDiv w:val="1"/>
      <w:marLeft w:val="0"/>
      <w:marRight w:val="0"/>
      <w:marTop w:val="0"/>
      <w:marBottom w:val="0"/>
      <w:divBdr>
        <w:top w:val="none" w:sz="0" w:space="0" w:color="auto"/>
        <w:left w:val="none" w:sz="0" w:space="0" w:color="auto"/>
        <w:bottom w:val="none" w:sz="0" w:space="0" w:color="auto"/>
        <w:right w:val="none" w:sz="0" w:space="0" w:color="auto"/>
      </w:divBdr>
    </w:div>
    <w:div w:id="1266696351">
      <w:bodyDiv w:val="1"/>
      <w:marLeft w:val="0"/>
      <w:marRight w:val="0"/>
      <w:marTop w:val="0"/>
      <w:marBottom w:val="0"/>
      <w:divBdr>
        <w:top w:val="none" w:sz="0" w:space="0" w:color="auto"/>
        <w:left w:val="none" w:sz="0" w:space="0" w:color="auto"/>
        <w:bottom w:val="none" w:sz="0" w:space="0" w:color="auto"/>
        <w:right w:val="none" w:sz="0" w:space="0" w:color="auto"/>
      </w:divBdr>
      <w:divsChild>
        <w:div w:id="1710647168">
          <w:marLeft w:val="0"/>
          <w:marRight w:val="0"/>
          <w:marTop w:val="0"/>
          <w:marBottom w:val="0"/>
          <w:divBdr>
            <w:top w:val="none" w:sz="0" w:space="0" w:color="auto"/>
            <w:left w:val="none" w:sz="0" w:space="0" w:color="auto"/>
            <w:bottom w:val="none" w:sz="0" w:space="0" w:color="auto"/>
            <w:right w:val="none" w:sz="0" w:space="0" w:color="auto"/>
          </w:divBdr>
        </w:div>
      </w:divsChild>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7882971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5869991">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05351424">
      <w:bodyDiv w:val="1"/>
      <w:marLeft w:val="0"/>
      <w:marRight w:val="0"/>
      <w:marTop w:val="0"/>
      <w:marBottom w:val="0"/>
      <w:divBdr>
        <w:top w:val="none" w:sz="0" w:space="0" w:color="auto"/>
        <w:left w:val="none" w:sz="0" w:space="0" w:color="auto"/>
        <w:bottom w:val="none" w:sz="0" w:space="0" w:color="auto"/>
        <w:right w:val="none" w:sz="0" w:space="0" w:color="auto"/>
      </w:divBdr>
    </w:div>
    <w:div w:id="1306274281">
      <w:bodyDiv w:val="1"/>
      <w:marLeft w:val="0"/>
      <w:marRight w:val="0"/>
      <w:marTop w:val="0"/>
      <w:marBottom w:val="0"/>
      <w:divBdr>
        <w:top w:val="none" w:sz="0" w:space="0" w:color="auto"/>
        <w:left w:val="none" w:sz="0" w:space="0" w:color="auto"/>
        <w:bottom w:val="none" w:sz="0" w:space="0" w:color="auto"/>
        <w:right w:val="none" w:sz="0" w:space="0" w:color="auto"/>
      </w:divBdr>
    </w:div>
    <w:div w:id="1310861505">
      <w:bodyDiv w:val="1"/>
      <w:marLeft w:val="0"/>
      <w:marRight w:val="0"/>
      <w:marTop w:val="0"/>
      <w:marBottom w:val="0"/>
      <w:divBdr>
        <w:top w:val="none" w:sz="0" w:space="0" w:color="auto"/>
        <w:left w:val="none" w:sz="0" w:space="0" w:color="auto"/>
        <w:bottom w:val="none" w:sz="0" w:space="0" w:color="auto"/>
        <w:right w:val="none" w:sz="0" w:space="0" w:color="auto"/>
      </w:divBdr>
    </w:div>
    <w:div w:id="1312253737">
      <w:bodyDiv w:val="1"/>
      <w:marLeft w:val="0"/>
      <w:marRight w:val="0"/>
      <w:marTop w:val="0"/>
      <w:marBottom w:val="0"/>
      <w:divBdr>
        <w:top w:val="none" w:sz="0" w:space="0" w:color="auto"/>
        <w:left w:val="none" w:sz="0" w:space="0" w:color="auto"/>
        <w:bottom w:val="none" w:sz="0" w:space="0" w:color="auto"/>
        <w:right w:val="none" w:sz="0" w:space="0" w:color="auto"/>
      </w:divBdr>
    </w:div>
    <w:div w:id="1313408274">
      <w:bodyDiv w:val="1"/>
      <w:marLeft w:val="0"/>
      <w:marRight w:val="0"/>
      <w:marTop w:val="0"/>
      <w:marBottom w:val="0"/>
      <w:divBdr>
        <w:top w:val="none" w:sz="0" w:space="0" w:color="auto"/>
        <w:left w:val="none" w:sz="0" w:space="0" w:color="auto"/>
        <w:bottom w:val="none" w:sz="0" w:space="0" w:color="auto"/>
        <w:right w:val="none" w:sz="0" w:space="0" w:color="auto"/>
      </w:divBdr>
    </w:div>
    <w:div w:id="1313947606">
      <w:bodyDiv w:val="1"/>
      <w:marLeft w:val="0"/>
      <w:marRight w:val="0"/>
      <w:marTop w:val="0"/>
      <w:marBottom w:val="0"/>
      <w:divBdr>
        <w:top w:val="none" w:sz="0" w:space="0" w:color="auto"/>
        <w:left w:val="none" w:sz="0" w:space="0" w:color="auto"/>
        <w:bottom w:val="none" w:sz="0" w:space="0" w:color="auto"/>
        <w:right w:val="none" w:sz="0" w:space="0" w:color="auto"/>
      </w:divBdr>
    </w:div>
    <w:div w:id="1314600722">
      <w:bodyDiv w:val="1"/>
      <w:marLeft w:val="0"/>
      <w:marRight w:val="0"/>
      <w:marTop w:val="0"/>
      <w:marBottom w:val="0"/>
      <w:divBdr>
        <w:top w:val="none" w:sz="0" w:space="0" w:color="auto"/>
        <w:left w:val="none" w:sz="0" w:space="0" w:color="auto"/>
        <w:bottom w:val="none" w:sz="0" w:space="0" w:color="auto"/>
        <w:right w:val="none" w:sz="0" w:space="0" w:color="auto"/>
      </w:divBdr>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136051">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29866676">
      <w:bodyDiv w:val="1"/>
      <w:marLeft w:val="0"/>
      <w:marRight w:val="0"/>
      <w:marTop w:val="0"/>
      <w:marBottom w:val="0"/>
      <w:divBdr>
        <w:top w:val="none" w:sz="0" w:space="0" w:color="auto"/>
        <w:left w:val="none" w:sz="0" w:space="0" w:color="auto"/>
        <w:bottom w:val="none" w:sz="0" w:space="0" w:color="auto"/>
        <w:right w:val="none" w:sz="0" w:space="0" w:color="auto"/>
      </w:divBdr>
      <w:divsChild>
        <w:div w:id="895162245">
          <w:marLeft w:val="0"/>
          <w:marRight w:val="0"/>
          <w:marTop w:val="0"/>
          <w:marBottom w:val="0"/>
          <w:divBdr>
            <w:top w:val="none" w:sz="0" w:space="0" w:color="auto"/>
            <w:left w:val="none" w:sz="0" w:space="0" w:color="auto"/>
            <w:bottom w:val="none" w:sz="0" w:space="0" w:color="auto"/>
            <w:right w:val="none" w:sz="0" w:space="0" w:color="auto"/>
          </w:divBdr>
        </w:div>
      </w:divsChild>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45089384">
      <w:bodyDiv w:val="1"/>
      <w:marLeft w:val="0"/>
      <w:marRight w:val="0"/>
      <w:marTop w:val="0"/>
      <w:marBottom w:val="0"/>
      <w:divBdr>
        <w:top w:val="none" w:sz="0" w:space="0" w:color="auto"/>
        <w:left w:val="none" w:sz="0" w:space="0" w:color="auto"/>
        <w:bottom w:val="none" w:sz="0" w:space="0" w:color="auto"/>
        <w:right w:val="none" w:sz="0" w:space="0" w:color="auto"/>
      </w:divBdr>
    </w:div>
    <w:div w:id="1358655572">
      <w:bodyDiv w:val="1"/>
      <w:marLeft w:val="0"/>
      <w:marRight w:val="0"/>
      <w:marTop w:val="0"/>
      <w:marBottom w:val="0"/>
      <w:divBdr>
        <w:top w:val="none" w:sz="0" w:space="0" w:color="auto"/>
        <w:left w:val="none" w:sz="0" w:space="0" w:color="auto"/>
        <w:bottom w:val="none" w:sz="0" w:space="0" w:color="auto"/>
        <w:right w:val="none" w:sz="0" w:space="0" w:color="auto"/>
      </w:divBdr>
    </w:div>
    <w:div w:id="1359047863">
      <w:bodyDiv w:val="1"/>
      <w:marLeft w:val="0"/>
      <w:marRight w:val="0"/>
      <w:marTop w:val="0"/>
      <w:marBottom w:val="0"/>
      <w:divBdr>
        <w:top w:val="none" w:sz="0" w:space="0" w:color="auto"/>
        <w:left w:val="none" w:sz="0" w:space="0" w:color="auto"/>
        <w:bottom w:val="none" w:sz="0" w:space="0" w:color="auto"/>
        <w:right w:val="none" w:sz="0" w:space="0" w:color="auto"/>
      </w:divBdr>
      <w:divsChild>
        <w:div w:id="237326917">
          <w:marLeft w:val="0"/>
          <w:marRight w:val="0"/>
          <w:marTop w:val="0"/>
          <w:marBottom w:val="0"/>
          <w:divBdr>
            <w:top w:val="none" w:sz="0" w:space="0" w:color="auto"/>
            <w:left w:val="none" w:sz="0" w:space="0" w:color="auto"/>
            <w:bottom w:val="none" w:sz="0" w:space="0" w:color="auto"/>
            <w:right w:val="none" w:sz="0" w:space="0" w:color="auto"/>
          </w:divBdr>
          <w:divsChild>
            <w:div w:id="632752499">
              <w:marLeft w:val="75"/>
              <w:marRight w:val="0"/>
              <w:marTop w:val="0"/>
              <w:marBottom w:val="0"/>
              <w:divBdr>
                <w:top w:val="none" w:sz="0" w:space="0" w:color="auto"/>
                <w:left w:val="none" w:sz="0" w:space="0" w:color="auto"/>
                <w:bottom w:val="none" w:sz="0" w:space="0" w:color="auto"/>
                <w:right w:val="none" w:sz="0" w:space="0" w:color="auto"/>
              </w:divBdr>
              <w:divsChild>
                <w:div w:id="525293058">
                  <w:marLeft w:val="0"/>
                  <w:marRight w:val="0"/>
                  <w:marTop w:val="150"/>
                  <w:marBottom w:val="150"/>
                  <w:divBdr>
                    <w:top w:val="none" w:sz="0" w:space="0" w:color="auto"/>
                    <w:left w:val="none" w:sz="0" w:space="0" w:color="auto"/>
                    <w:bottom w:val="none" w:sz="0" w:space="0" w:color="auto"/>
                    <w:right w:val="none" w:sz="0" w:space="0" w:color="auto"/>
                  </w:divBdr>
                </w:div>
                <w:div w:id="7095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3124">
          <w:marLeft w:val="0"/>
          <w:marRight w:val="0"/>
          <w:marTop w:val="0"/>
          <w:marBottom w:val="0"/>
          <w:divBdr>
            <w:top w:val="none" w:sz="0" w:space="0" w:color="auto"/>
            <w:left w:val="none" w:sz="0" w:space="0" w:color="auto"/>
            <w:bottom w:val="none" w:sz="0" w:space="0" w:color="auto"/>
            <w:right w:val="none" w:sz="0" w:space="0" w:color="auto"/>
          </w:divBdr>
          <w:divsChild>
            <w:div w:id="162086373">
              <w:marLeft w:val="0"/>
              <w:marRight w:val="0"/>
              <w:marTop w:val="0"/>
              <w:marBottom w:val="0"/>
              <w:divBdr>
                <w:top w:val="none" w:sz="0" w:space="0" w:color="auto"/>
                <w:left w:val="none" w:sz="0" w:space="0" w:color="auto"/>
                <w:bottom w:val="none" w:sz="0" w:space="0" w:color="auto"/>
                <w:right w:val="none" w:sz="0" w:space="0" w:color="auto"/>
              </w:divBdr>
              <w:divsChild>
                <w:div w:id="2040743294">
                  <w:marLeft w:val="0"/>
                  <w:marRight w:val="0"/>
                  <w:marTop w:val="0"/>
                  <w:marBottom w:val="0"/>
                  <w:divBdr>
                    <w:top w:val="none" w:sz="0" w:space="0" w:color="auto"/>
                    <w:left w:val="none" w:sz="0" w:space="0" w:color="auto"/>
                    <w:bottom w:val="none" w:sz="0" w:space="0" w:color="auto"/>
                    <w:right w:val="none" w:sz="0" w:space="0" w:color="auto"/>
                  </w:divBdr>
                  <w:divsChild>
                    <w:div w:id="1808353675">
                      <w:marLeft w:val="0"/>
                      <w:marRight w:val="0"/>
                      <w:marTop w:val="0"/>
                      <w:marBottom w:val="0"/>
                      <w:divBdr>
                        <w:top w:val="none" w:sz="0" w:space="0" w:color="auto"/>
                        <w:left w:val="none" w:sz="0" w:space="0" w:color="auto"/>
                        <w:bottom w:val="none" w:sz="0" w:space="0" w:color="auto"/>
                        <w:right w:val="none" w:sz="0" w:space="0" w:color="auto"/>
                      </w:divBdr>
                      <w:divsChild>
                        <w:div w:id="2079667213">
                          <w:marLeft w:val="0"/>
                          <w:marRight w:val="0"/>
                          <w:marTop w:val="0"/>
                          <w:marBottom w:val="0"/>
                          <w:divBdr>
                            <w:top w:val="none" w:sz="0" w:space="0" w:color="auto"/>
                            <w:left w:val="none" w:sz="0" w:space="0" w:color="auto"/>
                            <w:bottom w:val="none" w:sz="0" w:space="0" w:color="auto"/>
                            <w:right w:val="none" w:sz="0" w:space="0" w:color="auto"/>
                          </w:divBdr>
                          <w:divsChild>
                            <w:div w:id="1412897390">
                              <w:marLeft w:val="0"/>
                              <w:marRight w:val="0"/>
                              <w:marTop w:val="0"/>
                              <w:marBottom w:val="0"/>
                              <w:divBdr>
                                <w:top w:val="none" w:sz="0" w:space="0" w:color="auto"/>
                                <w:left w:val="none" w:sz="0" w:space="0" w:color="auto"/>
                                <w:bottom w:val="none" w:sz="0" w:space="0" w:color="auto"/>
                                <w:right w:val="none" w:sz="0" w:space="0" w:color="auto"/>
                              </w:divBdr>
                              <w:divsChild>
                                <w:div w:id="551229944">
                                  <w:marLeft w:val="-360"/>
                                  <w:marRight w:val="-360"/>
                                  <w:marTop w:val="0"/>
                                  <w:marBottom w:val="0"/>
                                  <w:divBdr>
                                    <w:top w:val="none" w:sz="0" w:space="0" w:color="auto"/>
                                    <w:left w:val="none" w:sz="0" w:space="0" w:color="auto"/>
                                    <w:bottom w:val="none" w:sz="0" w:space="0" w:color="auto"/>
                                    <w:right w:val="none" w:sz="0" w:space="0" w:color="auto"/>
                                  </w:divBdr>
                                  <w:divsChild>
                                    <w:div w:id="2021615193">
                                      <w:marLeft w:val="0"/>
                                      <w:marRight w:val="0"/>
                                      <w:marTop w:val="0"/>
                                      <w:marBottom w:val="0"/>
                                      <w:divBdr>
                                        <w:top w:val="none" w:sz="0" w:space="0" w:color="auto"/>
                                        <w:left w:val="none" w:sz="0" w:space="0" w:color="auto"/>
                                        <w:bottom w:val="none" w:sz="0" w:space="0" w:color="auto"/>
                                        <w:right w:val="none" w:sz="0" w:space="0" w:color="auto"/>
                                      </w:divBdr>
                                      <w:divsChild>
                                        <w:div w:id="981233531">
                                          <w:marLeft w:val="0"/>
                                          <w:marRight w:val="0"/>
                                          <w:marTop w:val="0"/>
                                          <w:marBottom w:val="0"/>
                                          <w:divBdr>
                                            <w:top w:val="none" w:sz="0" w:space="0" w:color="auto"/>
                                            <w:left w:val="none" w:sz="0" w:space="0" w:color="auto"/>
                                            <w:bottom w:val="none" w:sz="0" w:space="0" w:color="auto"/>
                                            <w:right w:val="none" w:sz="0" w:space="0" w:color="auto"/>
                                          </w:divBdr>
                                          <w:divsChild>
                                            <w:div w:id="152572893">
                                              <w:marLeft w:val="-360"/>
                                              <w:marRight w:val="-360"/>
                                              <w:marTop w:val="0"/>
                                              <w:marBottom w:val="0"/>
                                              <w:divBdr>
                                                <w:top w:val="none" w:sz="0" w:space="0" w:color="auto"/>
                                                <w:left w:val="none" w:sz="0" w:space="0" w:color="auto"/>
                                                <w:bottom w:val="none" w:sz="0" w:space="0" w:color="auto"/>
                                                <w:right w:val="none" w:sz="0" w:space="0" w:color="auto"/>
                                              </w:divBdr>
                                              <w:divsChild>
                                                <w:div w:id="839808542">
                                                  <w:marLeft w:val="0"/>
                                                  <w:marRight w:val="0"/>
                                                  <w:marTop w:val="0"/>
                                                  <w:marBottom w:val="0"/>
                                                  <w:divBdr>
                                                    <w:top w:val="none" w:sz="0" w:space="0" w:color="auto"/>
                                                    <w:left w:val="none" w:sz="0" w:space="0" w:color="auto"/>
                                                    <w:bottom w:val="none" w:sz="0" w:space="0" w:color="auto"/>
                                                    <w:right w:val="none" w:sz="0" w:space="0" w:color="auto"/>
                                                  </w:divBdr>
                                                  <w:divsChild>
                                                    <w:div w:id="1527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8931">
                                              <w:marLeft w:val="0"/>
                                              <w:marRight w:val="0"/>
                                              <w:marTop w:val="0"/>
                                              <w:marBottom w:val="420"/>
                                              <w:divBdr>
                                                <w:top w:val="none" w:sz="0" w:space="0" w:color="auto"/>
                                                <w:left w:val="none" w:sz="0" w:space="0" w:color="auto"/>
                                                <w:bottom w:val="none" w:sz="0" w:space="0" w:color="auto"/>
                                                <w:right w:val="none" w:sz="0" w:space="0" w:color="auto"/>
                                              </w:divBdr>
                                              <w:divsChild>
                                                <w:div w:id="1291325534">
                                                  <w:marLeft w:val="-300"/>
                                                  <w:marRight w:val="-300"/>
                                                  <w:marTop w:val="0"/>
                                                  <w:marBottom w:val="0"/>
                                                  <w:divBdr>
                                                    <w:top w:val="none" w:sz="0" w:space="0" w:color="auto"/>
                                                    <w:left w:val="none" w:sz="0" w:space="0" w:color="auto"/>
                                                    <w:bottom w:val="none" w:sz="0" w:space="0" w:color="auto"/>
                                                    <w:right w:val="none" w:sz="0" w:space="0" w:color="auto"/>
                                                  </w:divBdr>
                                                  <w:divsChild>
                                                    <w:div w:id="689643444">
                                                      <w:marLeft w:val="0"/>
                                                      <w:marRight w:val="0"/>
                                                      <w:marTop w:val="0"/>
                                                      <w:marBottom w:val="195"/>
                                                      <w:divBdr>
                                                        <w:top w:val="none" w:sz="0" w:space="0" w:color="auto"/>
                                                        <w:left w:val="none" w:sz="0" w:space="0" w:color="auto"/>
                                                        <w:bottom w:val="none" w:sz="0" w:space="0" w:color="auto"/>
                                                        <w:right w:val="none" w:sz="0" w:space="0" w:color="auto"/>
                                                      </w:divBdr>
                                                      <w:divsChild>
                                                        <w:div w:id="1851413738">
                                                          <w:marLeft w:val="0"/>
                                                          <w:marRight w:val="0"/>
                                                          <w:marTop w:val="0"/>
                                                          <w:marBottom w:val="0"/>
                                                          <w:divBdr>
                                                            <w:top w:val="none" w:sz="0" w:space="0" w:color="EAEAEA"/>
                                                            <w:left w:val="none" w:sz="0" w:space="0" w:color="EAEAEA"/>
                                                            <w:bottom w:val="none" w:sz="0" w:space="0" w:color="EAEAEA"/>
                                                            <w:right w:val="none" w:sz="0" w:space="0" w:color="EAEAEA"/>
                                                          </w:divBdr>
                                                          <w:divsChild>
                                                            <w:div w:id="2074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1462069961">
                                                      <w:marLeft w:val="0"/>
                                                      <w:marRight w:val="0"/>
                                                      <w:marTop w:val="0"/>
                                                      <w:marBottom w:val="0"/>
                                                      <w:divBdr>
                                                        <w:top w:val="none" w:sz="0" w:space="0" w:color="auto"/>
                                                        <w:left w:val="none" w:sz="0" w:space="0" w:color="auto"/>
                                                        <w:bottom w:val="none" w:sz="0" w:space="0" w:color="auto"/>
                                                        <w:right w:val="none" w:sz="0" w:space="0" w:color="auto"/>
                                                      </w:divBdr>
                                                      <w:divsChild>
                                                        <w:div w:id="827861474">
                                                          <w:marLeft w:val="0"/>
                                                          <w:marRight w:val="0"/>
                                                          <w:marTop w:val="0"/>
                                                          <w:marBottom w:val="0"/>
                                                          <w:divBdr>
                                                            <w:top w:val="none" w:sz="0" w:space="0" w:color="EAEAEA"/>
                                                            <w:left w:val="none" w:sz="0" w:space="0" w:color="EAEAEA"/>
                                                            <w:bottom w:val="none" w:sz="0" w:space="0" w:color="EAEAEA"/>
                                                            <w:right w:val="none" w:sz="0" w:space="0" w:color="EAEAEA"/>
                                                          </w:divBdr>
                                                          <w:divsChild>
                                                            <w:div w:id="14616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2141805992">
                                                      <w:marLeft w:val="0"/>
                                                      <w:marRight w:val="0"/>
                                                      <w:marTop w:val="0"/>
                                                      <w:marBottom w:val="195"/>
                                                      <w:divBdr>
                                                        <w:top w:val="none" w:sz="0" w:space="0" w:color="auto"/>
                                                        <w:left w:val="none" w:sz="0" w:space="0" w:color="auto"/>
                                                        <w:bottom w:val="none" w:sz="0" w:space="0" w:color="auto"/>
                                                        <w:right w:val="none" w:sz="0" w:space="0" w:color="auto"/>
                                                      </w:divBdr>
                                                      <w:divsChild>
                                                        <w:div w:id="1282952638">
                                                          <w:marLeft w:val="0"/>
                                                          <w:marRight w:val="0"/>
                                                          <w:marTop w:val="0"/>
                                                          <w:marBottom w:val="0"/>
                                                          <w:divBdr>
                                                            <w:top w:val="none" w:sz="0" w:space="0" w:color="EAEAEA"/>
                                                            <w:left w:val="none" w:sz="0" w:space="0" w:color="EAEAEA"/>
                                                            <w:bottom w:val="none" w:sz="0" w:space="0" w:color="EAEAEA"/>
                                                            <w:right w:val="none" w:sz="0" w:space="0" w:color="EAEAEA"/>
                                                          </w:divBdr>
                                                          <w:divsChild>
                                                            <w:div w:id="140584614">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sChild>
                                        </w:div>
                                      </w:divsChild>
                                    </w:div>
                                    <w:div w:id="2039119641">
                                      <w:marLeft w:val="0"/>
                                      <w:marRight w:val="0"/>
                                      <w:marTop w:val="0"/>
                                      <w:marBottom w:val="0"/>
                                      <w:divBdr>
                                        <w:top w:val="none" w:sz="0" w:space="0" w:color="auto"/>
                                        <w:left w:val="none" w:sz="0" w:space="0" w:color="auto"/>
                                        <w:bottom w:val="none" w:sz="0" w:space="0" w:color="auto"/>
                                        <w:right w:val="none" w:sz="0" w:space="0" w:color="auto"/>
                                      </w:divBdr>
                                      <w:divsChild>
                                        <w:div w:id="803350023">
                                          <w:marLeft w:val="0"/>
                                          <w:marRight w:val="0"/>
                                          <w:marTop w:val="0"/>
                                          <w:marBottom w:val="0"/>
                                          <w:divBdr>
                                            <w:top w:val="none" w:sz="0" w:space="0" w:color="auto"/>
                                            <w:left w:val="none" w:sz="0" w:space="0" w:color="auto"/>
                                            <w:bottom w:val="none" w:sz="0" w:space="0" w:color="auto"/>
                                            <w:right w:val="none" w:sz="0" w:space="0" w:color="auto"/>
                                          </w:divBdr>
                                          <w:divsChild>
                                            <w:div w:id="175194785">
                                              <w:marLeft w:val="0"/>
                                              <w:marRight w:val="0"/>
                                              <w:marTop w:val="315"/>
                                              <w:marBottom w:val="0"/>
                                              <w:divBdr>
                                                <w:top w:val="none" w:sz="0" w:space="0" w:color="auto"/>
                                                <w:left w:val="none" w:sz="0" w:space="0" w:color="auto"/>
                                                <w:bottom w:val="none" w:sz="0" w:space="0" w:color="auto"/>
                                                <w:right w:val="none" w:sz="0" w:space="0" w:color="auto"/>
                                              </w:divBdr>
                                            </w:div>
                                            <w:div w:id="786385523">
                                              <w:marLeft w:val="-360"/>
                                              <w:marRight w:val="-360"/>
                                              <w:marTop w:val="0"/>
                                              <w:marBottom w:val="0"/>
                                              <w:divBdr>
                                                <w:top w:val="none" w:sz="0" w:space="0" w:color="auto"/>
                                                <w:left w:val="none" w:sz="0" w:space="0" w:color="auto"/>
                                                <w:bottom w:val="none" w:sz="0" w:space="0" w:color="auto"/>
                                                <w:right w:val="none" w:sz="0" w:space="0" w:color="auto"/>
                                              </w:divBdr>
                                              <w:divsChild>
                                                <w:div w:id="1683127286">
                                                  <w:marLeft w:val="0"/>
                                                  <w:marRight w:val="0"/>
                                                  <w:marTop w:val="0"/>
                                                  <w:marBottom w:val="0"/>
                                                  <w:divBdr>
                                                    <w:top w:val="none" w:sz="0" w:space="0" w:color="auto"/>
                                                    <w:left w:val="none" w:sz="0" w:space="0" w:color="auto"/>
                                                    <w:bottom w:val="none" w:sz="0" w:space="0" w:color="auto"/>
                                                    <w:right w:val="none" w:sz="0" w:space="0" w:color="auto"/>
                                                  </w:divBdr>
                                                  <w:divsChild>
                                                    <w:div w:id="1969630103">
                                                      <w:marLeft w:val="0"/>
                                                      <w:marRight w:val="0"/>
                                                      <w:marTop w:val="0"/>
                                                      <w:marBottom w:val="0"/>
                                                      <w:divBdr>
                                                        <w:top w:val="none" w:sz="0" w:space="0" w:color="auto"/>
                                                        <w:left w:val="none" w:sz="0" w:space="0" w:color="auto"/>
                                                        <w:bottom w:val="none" w:sz="0" w:space="0" w:color="auto"/>
                                                        <w:right w:val="none" w:sz="0" w:space="0" w:color="auto"/>
                                                      </w:divBdr>
                                                      <w:divsChild>
                                                        <w:div w:id="414908833">
                                                          <w:marLeft w:val="0"/>
                                                          <w:marRight w:val="0"/>
                                                          <w:marTop w:val="0"/>
                                                          <w:marBottom w:val="0"/>
                                                          <w:divBdr>
                                                            <w:top w:val="none" w:sz="0" w:space="0" w:color="auto"/>
                                                            <w:left w:val="none" w:sz="0" w:space="0" w:color="auto"/>
                                                            <w:bottom w:val="none" w:sz="0" w:space="0" w:color="auto"/>
                                                            <w:right w:val="none" w:sz="0" w:space="0" w:color="auto"/>
                                                          </w:divBdr>
                                                          <w:divsChild>
                                                            <w:div w:id="1911428248">
                                                              <w:marLeft w:val="0"/>
                                                              <w:marRight w:val="0"/>
                                                              <w:marTop w:val="0"/>
                                                              <w:marBottom w:val="705"/>
                                                              <w:divBdr>
                                                                <w:top w:val="none" w:sz="0" w:space="0" w:color="auto"/>
                                                                <w:left w:val="none" w:sz="0" w:space="0" w:color="auto"/>
                                                                <w:bottom w:val="none" w:sz="0" w:space="0" w:color="auto"/>
                                                                <w:right w:val="none" w:sz="0" w:space="0" w:color="auto"/>
                                                              </w:divBdr>
                                                              <w:divsChild>
                                                                <w:div w:id="719867262">
                                                                  <w:marLeft w:val="0"/>
                                                                  <w:marRight w:val="0"/>
                                                                  <w:marTop w:val="0"/>
                                                                  <w:marBottom w:val="0"/>
                                                                  <w:divBdr>
                                                                    <w:top w:val="none" w:sz="0" w:space="0" w:color="auto"/>
                                                                    <w:left w:val="none" w:sz="0" w:space="0" w:color="auto"/>
                                                                    <w:bottom w:val="none" w:sz="0" w:space="0" w:color="auto"/>
                                                                    <w:right w:val="none" w:sz="0" w:space="0" w:color="auto"/>
                                                                  </w:divBdr>
                                                                </w:div>
                                                                <w:div w:id="1118328574">
                                                                  <w:marLeft w:val="0"/>
                                                                  <w:marRight w:val="0"/>
                                                                  <w:marTop w:val="0"/>
                                                                  <w:marBottom w:val="0"/>
                                                                  <w:divBdr>
                                                                    <w:top w:val="none" w:sz="0" w:space="0" w:color="auto"/>
                                                                    <w:left w:val="none" w:sz="0" w:space="0" w:color="auto"/>
                                                                    <w:bottom w:val="none" w:sz="0" w:space="0" w:color="auto"/>
                                                                    <w:right w:val="none" w:sz="0" w:space="0" w:color="auto"/>
                                                                  </w:divBdr>
                                                                  <w:divsChild>
                                                                    <w:div w:id="1144615385">
                                                                      <w:marLeft w:val="0"/>
                                                                      <w:marRight w:val="0"/>
                                                                      <w:marTop w:val="0"/>
                                                                      <w:marBottom w:val="0"/>
                                                                      <w:divBdr>
                                                                        <w:top w:val="none" w:sz="0" w:space="0" w:color="auto"/>
                                                                        <w:left w:val="none" w:sz="0" w:space="0" w:color="auto"/>
                                                                        <w:bottom w:val="none" w:sz="0" w:space="0" w:color="auto"/>
                                                                        <w:right w:val="none" w:sz="0" w:space="0" w:color="auto"/>
                                                                      </w:divBdr>
                                                                      <w:divsChild>
                                                                        <w:div w:id="18385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9190">
                                      <w:marLeft w:val="0"/>
                                      <w:marRight w:val="0"/>
                                      <w:marTop w:val="0"/>
                                      <w:marBottom w:val="0"/>
                                      <w:divBdr>
                                        <w:top w:val="none" w:sz="0" w:space="0" w:color="auto"/>
                                        <w:left w:val="none" w:sz="0" w:space="0" w:color="auto"/>
                                        <w:bottom w:val="none" w:sz="0" w:space="0" w:color="auto"/>
                                        <w:right w:val="none" w:sz="0" w:space="0" w:color="auto"/>
                                      </w:divBdr>
                                      <w:divsChild>
                                        <w:div w:id="2107578446">
                                          <w:marLeft w:val="0"/>
                                          <w:marRight w:val="0"/>
                                          <w:marTop w:val="0"/>
                                          <w:marBottom w:val="0"/>
                                          <w:divBdr>
                                            <w:top w:val="none" w:sz="0" w:space="0" w:color="auto"/>
                                            <w:left w:val="none" w:sz="0" w:space="0" w:color="auto"/>
                                            <w:bottom w:val="none" w:sz="0" w:space="0" w:color="auto"/>
                                            <w:right w:val="none" w:sz="0" w:space="0" w:color="auto"/>
                                          </w:divBdr>
                                          <w:divsChild>
                                            <w:div w:id="752122655">
                                              <w:marLeft w:val="0"/>
                                              <w:marRight w:val="0"/>
                                              <w:marTop w:val="0"/>
                                              <w:marBottom w:val="420"/>
                                              <w:divBdr>
                                                <w:top w:val="none" w:sz="0" w:space="0" w:color="auto"/>
                                                <w:left w:val="none" w:sz="0" w:space="0" w:color="auto"/>
                                                <w:bottom w:val="none" w:sz="0" w:space="0" w:color="auto"/>
                                                <w:right w:val="none" w:sz="0" w:space="0" w:color="auto"/>
                                              </w:divBdr>
                                              <w:divsChild>
                                                <w:div w:id="1384327542">
                                                  <w:marLeft w:val="-300"/>
                                                  <w:marRight w:val="-300"/>
                                                  <w:marTop w:val="0"/>
                                                  <w:marBottom w:val="0"/>
                                                  <w:divBdr>
                                                    <w:top w:val="none" w:sz="0" w:space="0" w:color="auto"/>
                                                    <w:left w:val="none" w:sz="0" w:space="0" w:color="auto"/>
                                                    <w:bottom w:val="none" w:sz="0" w:space="0" w:color="auto"/>
                                                    <w:right w:val="none" w:sz="0" w:space="0" w:color="auto"/>
                                                  </w:divBdr>
                                                  <w:divsChild>
                                                    <w:div w:id="325792835">
                                                      <w:marLeft w:val="0"/>
                                                      <w:marRight w:val="0"/>
                                                      <w:marTop w:val="0"/>
                                                      <w:marBottom w:val="195"/>
                                                      <w:divBdr>
                                                        <w:top w:val="none" w:sz="0" w:space="0" w:color="auto"/>
                                                        <w:left w:val="none" w:sz="0" w:space="0" w:color="auto"/>
                                                        <w:bottom w:val="none" w:sz="0" w:space="0" w:color="auto"/>
                                                        <w:right w:val="none" w:sz="0" w:space="0" w:color="auto"/>
                                                      </w:divBdr>
                                                      <w:divsChild>
                                                        <w:div w:id="718476380">
                                                          <w:marLeft w:val="0"/>
                                                          <w:marRight w:val="0"/>
                                                          <w:marTop w:val="0"/>
                                                          <w:marBottom w:val="0"/>
                                                          <w:divBdr>
                                                            <w:top w:val="none" w:sz="0" w:space="0" w:color="EAEAEA"/>
                                                            <w:left w:val="none" w:sz="0" w:space="0" w:color="EAEAEA"/>
                                                            <w:bottom w:val="none" w:sz="0" w:space="0" w:color="EAEAEA"/>
                                                            <w:right w:val="none" w:sz="0" w:space="0" w:color="EAEAEA"/>
                                                          </w:divBdr>
                                                          <w:divsChild>
                                                            <w:div w:id="1700164597">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474109428">
                                                      <w:marLeft w:val="0"/>
                                                      <w:marRight w:val="0"/>
                                                      <w:marTop w:val="0"/>
                                                      <w:marBottom w:val="195"/>
                                                      <w:divBdr>
                                                        <w:top w:val="none" w:sz="0" w:space="0" w:color="auto"/>
                                                        <w:left w:val="none" w:sz="0" w:space="0" w:color="auto"/>
                                                        <w:bottom w:val="none" w:sz="0" w:space="0" w:color="auto"/>
                                                        <w:right w:val="none" w:sz="0" w:space="0" w:color="auto"/>
                                                      </w:divBdr>
                                                      <w:divsChild>
                                                        <w:div w:id="1433281973">
                                                          <w:marLeft w:val="0"/>
                                                          <w:marRight w:val="0"/>
                                                          <w:marTop w:val="0"/>
                                                          <w:marBottom w:val="0"/>
                                                          <w:divBdr>
                                                            <w:top w:val="none" w:sz="0" w:space="0" w:color="EAEAEA"/>
                                                            <w:left w:val="none" w:sz="0" w:space="0" w:color="EAEAEA"/>
                                                            <w:bottom w:val="none" w:sz="0" w:space="0" w:color="EAEAEA"/>
                                                            <w:right w:val="none" w:sz="0" w:space="0" w:color="EAEAEA"/>
                                                          </w:divBdr>
                                                          <w:divsChild>
                                                            <w:div w:id="1978560005">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897201955">
                                                      <w:marLeft w:val="0"/>
                                                      <w:marRight w:val="0"/>
                                                      <w:marTop w:val="0"/>
                                                      <w:marBottom w:val="0"/>
                                                      <w:divBdr>
                                                        <w:top w:val="none" w:sz="0" w:space="0" w:color="auto"/>
                                                        <w:left w:val="none" w:sz="0" w:space="0" w:color="auto"/>
                                                        <w:bottom w:val="none" w:sz="0" w:space="0" w:color="auto"/>
                                                        <w:right w:val="none" w:sz="0" w:space="0" w:color="auto"/>
                                                      </w:divBdr>
                                                      <w:divsChild>
                                                        <w:div w:id="2014724469">
                                                          <w:marLeft w:val="0"/>
                                                          <w:marRight w:val="0"/>
                                                          <w:marTop w:val="0"/>
                                                          <w:marBottom w:val="0"/>
                                                          <w:divBdr>
                                                            <w:top w:val="none" w:sz="0" w:space="0" w:color="EAEAEA"/>
                                                            <w:left w:val="none" w:sz="0" w:space="0" w:color="EAEAEA"/>
                                                            <w:bottom w:val="none" w:sz="0" w:space="0" w:color="EAEAEA"/>
                                                            <w:right w:val="none" w:sz="0" w:space="0" w:color="EAEAEA"/>
                                                          </w:divBdr>
                                                          <w:divsChild>
                                                            <w:div w:id="385373169">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 w:id="1492598891">
                                              <w:marLeft w:val="-360"/>
                                              <w:marRight w:val="-360"/>
                                              <w:marTop w:val="0"/>
                                              <w:marBottom w:val="0"/>
                                              <w:divBdr>
                                                <w:top w:val="none" w:sz="0" w:space="0" w:color="auto"/>
                                                <w:left w:val="none" w:sz="0" w:space="0" w:color="auto"/>
                                                <w:bottom w:val="none" w:sz="0" w:space="0" w:color="auto"/>
                                                <w:right w:val="none" w:sz="0" w:space="0" w:color="auto"/>
                                              </w:divBdr>
                                              <w:divsChild>
                                                <w:div w:id="1972514818">
                                                  <w:marLeft w:val="0"/>
                                                  <w:marRight w:val="0"/>
                                                  <w:marTop w:val="0"/>
                                                  <w:marBottom w:val="0"/>
                                                  <w:divBdr>
                                                    <w:top w:val="none" w:sz="0" w:space="0" w:color="auto"/>
                                                    <w:left w:val="none" w:sz="0" w:space="0" w:color="auto"/>
                                                    <w:bottom w:val="none" w:sz="0" w:space="0" w:color="auto"/>
                                                    <w:right w:val="none" w:sz="0" w:space="0" w:color="auto"/>
                                                  </w:divBdr>
                                                  <w:divsChild>
                                                    <w:div w:id="325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066004">
                              <w:marLeft w:val="0"/>
                              <w:marRight w:val="0"/>
                              <w:marTop w:val="0"/>
                              <w:marBottom w:val="0"/>
                              <w:divBdr>
                                <w:top w:val="none" w:sz="0" w:space="0" w:color="auto"/>
                                <w:left w:val="none" w:sz="0" w:space="0" w:color="auto"/>
                                <w:bottom w:val="none" w:sz="0" w:space="0" w:color="auto"/>
                                <w:right w:val="none" w:sz="0" w:space="0" w:color="auto"/>
                              </w:divBdr>
                              <w:divsChild>
                                <w:div w:id="23141911">
                                  <w:marLeft w:val="-360"/>
                                  <w:marRight w:val="-360"/>
                                  <w:marTop w:val="0"/>
                                  <w:marBottom w:val="0"/>
                                  <w:divBdr>
                                    <w:top w:val="none" w:sz="0" w:space="0" w:color="auto"/>
                                    <w:left w:val="none" w:sz="0" w:space="0" w:color="auto"/>
                                    <w:bottom w:val="none" w:sz="0" w:space="0" w:color="auto"/>
                                    <w:right w:val="none" w:sz="0" w:space="0" w:color="auto"/>
                                  </w:divBdr>
                                  <w:divsChild>
                                    <w:div w:id="75252967">
                                      <w:marLeft w:val="0"/>
                                      <w:marRight w:val="0"/>
                                      <w:marTop w:val="0"/>
                                      <w:marBottom w:val="0"/>
                                      <w:divBdr>
                                        <w:top w:val="none" w:sz="0" w:space="0" w:color="auto"/>
                                        <w:left w:val="none" w:sz="0" w:space="0" w:color="auto"/>
                                        <w:bottom w:val="none" w:sz="0" w:space="0" w:color="auto"/>
                                        <w:right w:val="none" w:sz="0" w:space="0" w:color="auto"/>
                                      </w:divBdr>
                                      <w:divsChild>
                                        <w:div w:id="839582323">
                                          <w:marLeft w:val="0"/>
                                          <w:marRight w:val="0"/>
                                          <w:marTop w:val="15"/>
                                          <w:marBottom w:val="0"/>
                                          <w:divBdr>
                                            <w:top w:val="none" w:sz="0" w:space="0" w:color="auto"/>
                                            <w:left w:val="none" w:sz="0" w:space="0" w:color="auto"/>
                                            <w:bottom w:val="none" w:sz="0" w:space="0" w:color="auto"/>
                                            <w:right w:val="none" w:sz="0" w:space="0" w:color="auto"/>
                                          </w:divBdr>
                                        </w:div>
                                      </w:divsChild>
                                    </w:div>
                                    <w:div w:id="536355810">
                                      <w:marLeft w:val="0"/>
                                      <w:marRight w:val="0"/>
                                      <w:marTop w:val="0"/>
                                      <w:marBottom w:val="0"/>
                                      <w:divBdr>
                                        <w:top w:val="none" w:sz="0" w:space="0" w:color="auto"/>
                                        <w:left w:val="none" w:sz="0" w:space="0" w:color="auto"/>
                                        <w:bottom w:val="none" w:sz="0" w:space="0" w:color="auto"/>
                                        <w:right w:val="none" w:sz="0" w:space="0" w:color="auto"/>
                                      </w:divBdr>
                                      <w:divsChild>
                                        <w:div w:id="845899127">
                                          <w:marLeft w:val="0"/>
                                          <w:marRight w:val="0"/>
                                          <w:marTop w:val="0"/>
                                          <w:marBottom w:val="0"/>
                                          <w:divBdr>
                                            <w:top w:val="none" w:sz="0" w:space="0" w:color="auto"/>
                                            <w:left w:val="none" w:sz="0" w:space="0" w:color="auto"/>
                                            <w:bottom w:val="none" w:sz="0" w:space="0" w:color="auto"/>
                                            <w:right w:val="none" w:sz="0" w:space="0" w:color="auto"/>
                                          </w:divBdr>
                                          <w:divsChild>
                                            <w:div w:id="208070956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367856">
              <w:marLeft w:val="0"/>
              <w:marRight w:val="0"/>
              <w:marTop w:val="0"/>
              <w:marBottom w:val="0"/>
              <w:divBdr>
                <w:top w:val="none" w:sz="0" w:space="0" w:color="auto"/>
                <w:left w:val="none" w:sz="0" w:space="0" w:color="auto"/>
                <w:bottom w:val="none" w:sz="0" w:space="0" w:color="auto"/>
                <w:right w:val="none" w:sz="0" w:space="0" w:color="auto"/>
              </w:divBdr>
              <w:divsChild>
                <w:div w:id="1953004259">
                  <w:marLeft w:val="0"/>
                  <w:marRight w:val="0"/>
                  <w:marTop w:val="0"/>
                  <w:marBottom w:val="0"/>
                  <w:divBdr>
                    <w:top w:val="none" w:sz="0" w:space="0" w:color="auto"/>
                    <w:left w:val="none" w:sz="0" w:space="0" w:color="auto"/>
                    <w:bottom w:val="none" w:sz="0" w:space="0" w:color="auto"/>
                    <w:right w:val="none" w:sz="0" w:space="0" w:color="auto"/>
                  </w:divBdr>
                  <w:divsChild>
                    <w:div w:id="1797873170">
                      <w:marLeft w:val="-360"/>
                      <w:marRight w:val="-360"/>
                      <w:marTop w:val="0"/>
                      <w:marBottom w:val="0"/>
                      <w:divBdr>
                        <w:top w:val="none" w:sz="0" w:space="0" w:color="auto"/>
                        <w:left w:val="none" w:sz="0" w:space="0" w:color="auto"/>
                        <w:bottom w:val="none" w:sz="0" w:space="0" w:color="auto"/>
                        <w:right w:val="none" w:sz="0" w:space="0" w:color="auto"/>
                      </w:divBdr>
                      <w:divsChild>
                        <w:div w:id="294218178">
                          <w:marLeft w:val="0"/>
                          <w:marRight w:val="0"/>
                          <w:marTop w:val="0"/>
                          <w:marBottom w:val="0"/>
                          <w:divBdr>
                            <w:top w:val="none" w:sz="0" w:space="0" w:color="auto"/>
                            <w:left w:val="none" w:sz="0" w:space="0" w:color="auto"/>
                            <w:bottom w:val="none" w:sz="0" w:space="0" w:color="auto"/>
                            <w:right w:val="none" w:sz="0" w:space="0" w:color="auto"/>
                          </w:divBdr>
                          <w:divsChild>
                            <w:div w:id="35200212">
                              <w:marLeft w:val="0"/>
                              <w:marRight w:val="0"/>
                              <w:marTop w:val="0"/>
                              <w:marBottom w:val="0"/>
                              <w:divBdr>
                                <w:top w:val="none" w:sz="0" w:space="0" w:color="auto"/>
                                <w:left w:val="none" w:sz="0" w:space="0" w:color="auto"/>
                                <w:bottom w:val="none" w:sz="0" w:space="0" w:color="auto"/>
                                <w:right w:val="none" w:sz="0" w:space="0" w:color="auto"/>
                              </w:divBdr>
                              <w:divsChild>
                                <w:div w:id="73287788">
                                  <w:marLeft w:val="0"/>
                                  <w:marRight w:val="0"/>
                                  <w:marTop w:val="0"/>
                                  <w:marBottom w:val="0"/>
                                  <w:divBdr>
                                    <w:top w:val="none" w:sz="0" w:space="0" w:color="auto"/>
                                    <w:left w:val="none" w:sz="0" w:space="0" w:color="auto"/>
                                    <w:bottom w:val="none" w:sz="0" w:space="0" w:color="auto"/>
                                    <w:right w:val="none" w:sz="0" w:space="0" w:color="auto"/>
                                  </w:divBdr>
                                  <w:divsChild>
                                    <w:div w:id="665475125">
                                      <w:marLeft w:val="0"/>
                                      <w:marRight w:val="0"/>
                                      <w:marTop w:val="0"/>
                                      <w:marBottom w:val="720"/>
                                      <w:divBdr>
                                        <w:top w:val="single" w:sz="6" w:space="16" w:color="EDEDED"/>
                                        <w:left w:val="single" w:sz="6" w:space="16" w:color="EDEDED"/>
                                        <w:bottom w:val="single" w:sz="6" w:space="16" w:color="EDEDED"/>
                                        <w:right w:val="single" w:sz="6" w:space="16" w:color="EDEDED"/>
                                      </w:divBdr>
                                      <w:divsChild>
                                        <w:div w:id="2036609909">
                                          <w:marLeft w:val="1755"/>
                                          <w:marRight w:val="0"/>
                                          <w:marTop w:val="0"/>
                                          <w:marBottom w:val="0"/>
                                          <w:divBdr>
                                            <w:top w:val="none" w:sz="0" w:space="0" w:color="auto"/>
                                            <w:left w:val="none" w:sz="0" w:space="0" w:color="auto"/>
                                            <w:bottom w:val="none" w:sz="0" w:space="0" w:color="auto"/>
                                            <w:right w:val="none" w:sz="0" w:space="0" w:color="auto"/>
                                          </w:divBdr>
                                          <w:divsChild>
                                            <w:div w:id="633877210">
                                              <w:marLeft w:val="0"/>
                                              <w:marRight w:val="0"/>
                                              <w:marTop w:val="0"/>
                                              <w:marBottom w:val="90"/>
                                              <w:divBdr>
                                                <w:top w:val="none" w:sz="0" w:space="0" w:color="auto"/>
                                                <w:left w:val="none" w:sz="0" w:space="0" w:color="auto"/>
                                                <w:bottom w:val="none" w:sz="0" w:space="0" w:color="auto"/>
                                                <w:right w:val="none" w:sz="0" w:space="0" w:color="auto"/>
                                              </w:divBdr>
                                            </w:div>
                                            <w:div w:id="881668324">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20871136">
                                      <w:marLeft w:val="-360"/>
                                      <w:marRight w:val="-360"/>
                                      <w:marTop w:val="0"/>
                                      <w:marBottom w:val="0"/>
                                      <w:divBdr>
                                        <w:top w:val="none" w:sz="0" w:space="0" w:color="auto"/>
                                        <w:left w:val="none" w:sz="0" w:space="0" w:color="auto"/>
                                        <w:bottom w:val="none" w:sz="0" w:space="0" w:color="auto"/>
                                        <w:right w:val="none" w:sz="0" w:space="0" w:color="auto"/>
                                      </w:divBdr>
                                      <w:divsChild>
                                        <w:div w:id="491028133">
                                          <w:marLeft w:val="0"/>
                                          <w:marRight w:val="0"/>
                                          <w:marTop w:val="0"/>
                                          <w:marBottom w:val="0"/>
                                          <w:divBdr>
                                            <w:top w:val="none" w:sz="0" w:space="0" w:color="auto"/>
                                            <w:left w:val="none" w:sz="0" w:space="0" w:color="auto"/>
                                            <w:bottom w:val="none" w:sz="0" w:space="0" w:color="auto"/>
                                            <w:right w:val="none" w:sz="0" w:space="0" w:color="auto"/>
                                          </w:divBdr>
                                          <w:divsChild>
                                            <w:div w:id="582375467">
                                              <w:marLeft w:val="0"/>
                                              <w:marRight w:val="0"/>
                                              <w:marTop w:val="0"/>
                                              <w:marBottom w:val="0"/>
                                              <w:divBdr>
                                                <w:top w:val="none" w:sz="0" w:space="0" w:color="auto"/>
                                                <w:left w:val="none" w:sz="0" w:space="0" w:color="auto"/>
                                                <w:bottom w:val="none" w:sz="0" w:space="0" w:color="auto"/>
                                                <w:right w:val="none" w:sz="0" w:space="0" w:color="auto"/>
                                              </w:divBdr>
                                            </w:div>
                                          </w:divsChild>
                                        </w:div>
                                        <w:div w:id="685594125">
                                          <w:marLeft w:val="0"/>
                                          <w:marRight w:val="0"/>
                                          <w:marTop w:val="0"/>
                                          <w:marBottom w:val="0"/>
                                          <w:divBdr>
                                            <w:top w:val="none" w:sz="0" w:space="0" w:color="auto"/>
                                            <w:left w:val="none" w:sz="0" w:space="0" w:color="auto"/>
                                            <w:bottom w:val="none" w:sz="0" w:space="0" w:color="auto"/>
                                            <w:right w:val="none" w:sz="0" w:space="0" w:color="auto"/>
                                          </w:divBdr>
                                        </w:div>
                                      </w:divsChild>
                                    </w:div>
                                    <w:div w:id="1938826754">
                                      <w:marLeft w:val="0"/>
                                      <w:marRight w:val="0"/>
                                      <w:marTop w:val="315"/>
                                      <w:marBottom w:val="0"/>
                                      <w:divBdr>
                                        <w:top w:val="none" w:sz="0" w:space="0" w:color="auto"/>
                                        <w:left w:val="none" w:sz="0" w:space="0" w:color="auto"/>
                                        <w:bottom w:val="none" w:sz="0" w:space="0" w:color="auto"/>
                                        <w:right w:val="none" w:sz="0" w:space="0" w:color="auto"/>
                                      </w:divBdr>
                                      <w:divsChild>
                                        <w:div w:id="90511121">
                                          <w:marLeft w:val="0"/>
                                          <w:marRight w:val="0"/>
                                          <w:marTop w:val="0"/>
                                          <w:marBottom w:val="0"/>
                                          <w:divBdr>
                                            <w:top w:val="none" w:sz="0" w:space="0" w:color="auto"/>
                                            <w:left w:val="none" w:sz="0" w:space="0" w:color="auto"/>
                                            <w:bottom w:val="none" w:sz="0" w:space="0" w:color="auto"/>
                                            <w:right w:val="none" w:sz="0" w:space="0" w:color="auto"/>
                                          </w:divBdr>
                                        </w:div>
                                        <w:div w:id="179854348">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sChild>
                                            <w:div w:id="1820227661">
                                              <w:marLeft w:val="0"/>
                                              <w:marRight w:val="0"/>
                                              <w:marTop w:val="300"/>
                                              <w:marBottom w:val="0"/>
                                              <w:divBdr>
                                                <w:top w:val="none" w:sz="0" w:space="0" w:color="auto"/>
                                                <w:left w:val="none" w:sz="0" w:space="0" w:color="auto"/>
                                                <w:bottom w:val="none" w:sz="0" w:space="0" w:color="auto"/>
                                                <w:right w:val="none" w:sz="0" w:space="0" w:color="auto"/>
                                              </w:divBdr>
                                            </w:div>
                                          </w:divsChild>
                                        </w:div>
                                        <w:div w:id="238029410">
                                          <w:marLeft w:val="0"/>
                                          <w:marRight w:val="0"/>
                                          <w:marTop w:val="0"/>
                                          <w:marBottom w:val="0"/>
                                          <w:divBdr>
                                            <w:top w:val="none" w:sz="0" w:space="0" w:color="auto"/>
                                            <w:left w:val="none" w:sz="0" w:space="0" w:color="auto"/>
                                            <w:bottom w:val="none" w:sz="0" w:space="0" w:color="auto"/>
                                            <w:right w:val="none" w:sz="0" w:space="0" w:color="auto"/>
                                          </w:divBdr>
                                          <w:divsChild>
                                            <w:div w:id="2022271221">
                                              <w:marLeft w:val="0"/>
                                              <w:marRight w:val="0"/>
                                              <w:marTop w:val="300"/>
                                              <w:marBottom w:val="0"/>
                                              <w:divBdr>
                                                <w:top w:val="none" w:sz="0" w:space="0" w:color="auto"/>
                                                <w:left w:val="none" w:sz="0" w:space="0" w:color="auto"/>
                                                <w:bottom w:val="none" w:sz="0" w:space="0" w:color="auto"/>
                                                <w:right w:val="none" w:sz="0" w:space="0" w:color="auto"/>
                                              </w:divBdr>
                                            </w:div>
                                          </w:divsChild>
                                        </w:div>
                                        <w:div w:id="1004937346">
                                          <w:marLeft w:val="0"/>
                                          <w:marRight w:val="0"/>
                                          <w:marTop w:val="0"/>
                                          <w:marBottom w:val="0"/>
                                          <w:divBdr>
                                            <w:top w:val="none" w:sz="0" w:space="0" w:color="auto"/>
                                            <w:left w:val="none" w:sz="0" w:space="0" w:color="auto"/>
                                            <w:bottom w:val="none" w:sz="0" w:space="0" w:color="auto"/>
                                            <w:right w:val="none" w:sz="0" w:space="0" w:color="auto"/>
                                          </w:divBdr>
                                          <w:divsChild>
                                            <w:div w:id="1755399468">
                                              <w:marLeft w:val="0"/>
                                              <w:marRight w:val="0"/>
                                              <w:marTop w:val="0"/>
                                              <w:marBottom w:val="0"/>
                                              <w:divBdr>
                                                <w:top w:val="none" w:sz="0" w:space="0" w:color="auto"/>
                                                <w:left w:val="none" w:sz="0" w:space="0" w:color="auto"/>
                                                <w:bottom w:val="none" w:sz="0" w:space="0" w:color="auto"/>
                                                <w:right w:val="none" w:sz="0" w:space="0" w:color="auto"/>
                                              </w:divBdr>
                                            </w:div>
                                          </w:divsChild>
                                        </w:div>
                                        <w:div w:id="1638801841">
                                          <w:marLeft w:val="0"/>
                                          <w:marRight w:val="0"/>
                                          <w:marTop w:val="0"/>
                                          <w:marBottom w:val="0"/>
                                          <w:divBdr>
                                            <w:top w:val="none" w:sz="0" w:space="0" w:color="auto"/>
                                            <w:left w:val="none" w:sz="0" w:space="0" w:color="auto"/>
                                            <w:bottom w:val="none" w:sz="0" w:space="0" w:color="auto"/>
                                            <w:right w:val="none" w:sz="0" w:space="0" w:color="auto"/>
                                          </w:divBdr>
                                          <w:divsChild>
                                            <w:div w:id="12227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0005379">
      <w:bodyDiv w:val="1"/>
      <w:marLeft w:val="0"/>
      <w:marRight w:val="0"/>
      <w:marTop w:val="0"/>
      <w:marBottom w:val="0"/>
      <w:divBdr>
        <w:top w:val="none" w:sz="0" w:space="0" w:color="auto"/>
        <w:left w:val="none" w:sz="0" w:space="0" w:color="auto"/>
        <w:bottom w:val="none" w:sz="0" w:space="0" w:color="auto"/>
        <w:right w:val="none" w:sz="0" w:space="0" w:color="auto"/>
      </w:divBdr>
      <w:divsChild>
        <w:div w:id="741412953">
          <w:marLeft w:val="0"/>
          <w:marRight w:val="0"/>
          <w:marTop w:val="0"/>
          <w:marBottom w:val="0"/>
          <w:divBdr>
            <w:top w:val="none" w:sz="0" w:space="0" w:color="auto"/>
            <w:left w:val="none" w:sz="0" w:space="0" w:color="auto"/>
            <w:bottom w:val="none" w:sz="0" w:space="0" w:color="auto"/>
            <w:right w:val="none" w:sz="0" w:space="0" w:color="auto"/>
          </w:divBdr>
        </w:div>
        <w:div w:id="984774306">
          <w:marLeft w:val="0"/>
          <w:marRight w:val="0"/>
          <w:marTop w:val="0"/>
          <w:marBottom w:val="0"/>
          <w:divBdr>
            <w:top w:val="none" w:sz="0" w:space="0" w:color="auto"/>
            <w:left w:val="none" w:sz="0" w:space="0" w:color="auto"/>
            <w:bottom w:val="none" w:sz="0" w:space="0" w:color="auto"/>
            <w:right w:val="none" w:sz="0" w:space="0" w:color="auto"/>
          </w:divBdr>
        </w:div>
        <w:div w:id="1130513580">
          <w:marLeft w:val="0"/>
          <w:marRight w:val="0"/>
          <w:marTop w:val="0"/>
          <w:marBottom w:val="0"/>
          <w:divBdr>
            <w:top w:val="none" w:sz="0" w:space="0" w:color="auto"/>
            <w:left w:val="none" w:sz="0" w:space="0" w:color="auto"/>
            <w:bottom w:val="none" w:sz="0" w:space="0" w:color="auto"/>
            <w:right w:val="none" w:sz="0" w:space="0" w:color="auto"/>
          </w:divBdr>
        </w:div>
        <w:div w:id="233247951">
          <w:marLeft w:val="0"/>
          <w:marRight w:val="0"/>
          <w:marTop w:val="0"/>
          <w:marBottom w:val="0"/>
          <w:divBdr>
            <w:top w:val="none" w:sz="0" w:space="0" w:color="auto"/>
            <w:left w:val="none" w:sz="0" w:space="0" w:color="auto"/>
            <w:bottom w:val="none" w:sz="0" w:space="0" w:color="auto"/>
            <w:right w:val="none" w:sz="0" w:space="0" w:color="auto"/>
          </w:divBdr>
        </w:div>
        <w:div w:id="1530797921">
          <w:marLeft w:val="0"/>
          <w:marRight w:val="0"/>
          <w:marTop w:val="0"/>
          <w:marBottom w:val="0"/>
          <w:divBdr>
            <w:top w:val="none" w:sz="0" w:space="0" w:color="auto"/>
            <w:left w:val="none" w:sz="0" w:space="0" w:color="auto"/>
            <w:bottom w:val="none" w:sz="0" w:space="0" w:color="auto"/>
            <w:right w:val="none" w:sz="0" w:space="0" w:color="auto"/>
          </w:divBdr>
        </w:div>
        <w:div w:id="1544445919">
          <w:marLeft w:val="0"/>
          <w:marRight w:val="0"/>
          <w:marTop w:val="0"/>
          <w:marBottom w:val="0"/>
          <w:divBdr>
            <w:top w:val="none" w:sz="0" w:space="0" w:color="auto"/>
            <w:left w:val="none" w:sz="0" w:space="0" w:color="auto"/>
            <w:bottom w:val="none" w:sz="0" w:space="0" w:color="auto"/>
            <w:right w:val="none" w:sz="0" w:space="0" w:color="auto"/>
          </w:divBdr>
        </w:div>
        <w:div w:id="366295205">
          <w:marLeft w:val="0"/>
          <w:marRight w:val="0"/>
          <w:marTop w:val="0"/>
          <w:marBottom w:val="0"/>
          <w:divBdr>
            <w:top w:val="none" w:sz="0" w:space="0" w:color="auto"/>
            <w:left w:val="none" w:sz="0" w:space="0" w:color="auto"/>
            <w:bottom w:val="none" w:sz="0" w:space="0" w:color="auto"/>
            <w:right w:val="none" w:sz="0" w:space="0" w:color="auto"/>
          </w:divBdr>
        </w:div>
        <w:div w:id="712773483">
          <w:marLeft w:val="0"/>
          <w:marRight w:val="0"/>
          <w:marTop w:val="0"/>
          <w:marBottom w:val="0"/>
          <w:divBdr>
            <w:top w:val="none" w:sz="0" w:space="0" w:color="auto"/>
            <w:left w:val="none" w:sz="0" w:space="0" w:color="auto"/>
            <w:bottom w:val="none" w:sz="0" w:space="0" w:color="auto"/>
            <w:right w:val="none" w:sz="0" w:space="0" w:color="auto"/>
          </w:divBdr>
        </w:div>
        <w:div w:id="67771829">
          <w:marLeft w:val="0"/>
          <w:marRight w:val="0"/>
          <w:marTop w:val="0"/>
          <w:marBottom w:val="0"/>
          <w:divBdr>
            <w:top w:val="none" w:sz="0" w:space="0" w:color="auto"/>
            <w:left w:val="none" w:sz="0" w:space="0" w:color="auto"/>
            <w:bottom w:val="none" w:sz="0" w:space="0" w:color="auto"/>
            <w:right w:val="none" w:sz="0" w:space="0" w:color="auto"/>
          </w:divBdr>
        </w:div>
        <w:div w:id="669911793">
          <w:marLeft w:val="0"/>
          <w:marRight w:val="0"/>
          <w:marTop w:val="0"/>
          <w:marBottom w:val="0"/>
          <w:divBdr>
            <w:top w:val="none" w:sz="0" w:space="0" w:color="auto"/>
            <w:left w:val="none" w:sz="0" w:space="0" w:color="auto"/>
            <w:bottom w:val="none" w:sz="0" w:space="0" w:color="auto"/>
            <w:right w:val="none" w:sz="0" w:space="0" w:color="auto"/>
          </w:divBdr>
        </w:div>
      </w:divsChild>
    </w:div>
    <w:div w:id="1362441336">
      <w:bodyDiv w:val="1"/>
      <w:marLeft w:val="0"/>
      <w:marRight w:val="0"/>
      <w:marTop w:val="0"/>
      <w:marBottom w:val="0"/>
      <w:divBdr>
        <w:top w:val="none" w:sz="0" w:space="0" w:color="auto"/>
        <w:left w:val="none" w:sz="0" w:space="0" w:color="auto"/>
        <w:bottom w:val="none" w:sz="0" w:space="0" w:color="auto"/>
        <w:right w:val="none" w:sz="0" w:space="0" w:color="auto"/>
      </w:divBdr>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1807359">
      <w:bodyDiv w:val="1"/>
      <w:marLeft w:val="0"/>
      <w:marRight w:val="0"/>
      <w:marTop w:val="0"/>
      <w:marBottom w:val="0"/>
      <w:divBdr>
        <w:top w:val="none" w:sz="0" w:space="0" w:color="auto"/>
        <w:left w:val="none" w:sz="0" w:space="0" w:color="auto"/>
        <w:bottom w:val="none" w:sz="0" w:space="0" w:color="auto"/>
        <w:right w:val="none" w:sz="0" w:space="0" w:color="auto"/>
      </w:divBdr>
    </w:div>
    <w:div w:id="1372999647">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83866823">
      <w:bodyDiv w:val="1"/>
      <w:marLeft w:val="0"/>
      <w:marRight w:val="0"/>
      <w:marTop w:val="0"/>
      <w:marBottom w:val="0"/>
      <w:divBdr>
        <w:top w:val="none" w:sz="0" w:space="0" w:color="auto"/>
        <w:left w:val="none" w:sz="0" w:space="0" w:color="auto"/>
        <w:bottom w:val="none" w:sz="0" w:space="0" w:color="auto"/>
        <w:right w:val="none" w:sz="0" w:space="0" w:color="auto"/>
      </w:divBdr>
    </w:div>
    <w:div w:id="1391879947">
      <w:bodyDiv w:val="1"/>
      <w:marLeft w:val="0"/>
      <w:marRight w:val="0"/>
      <w:marTop w:val="0"/>
      <w:marBottom w:val="0"/>
      <w:divBdr>
        <w:top w:val="none" w:sz="0" w:space="0" w:color="auto"/>
        <w:left w:val="none" w:sz="0" w:space="0" w:color="auto"/>
        <w:bottom w:val="none" w:sz="0" w:space="0" w:color="auto"/>
        <w:right w:val="none" w:sz="0" w:space="0" w:color="auto"/>
      </w:divBdr>
    </w:div>
    <w:div w:id="1394620291">
      <w:bodyDiv w:val="1"/>
      <w:marLeft w:val="0"/>
      <w:marRight w:val="0"/>
      <w:marTop w:val="0"/>
      <w:marBottom w:val="0"/>
      <w:divBdr>
        <w:top w:val="none" w:sz="0" w:space="0" w:color="auto"/>
        <w:left w:val="none" w:sz="0" w:space="0" w:color="auto"/>
        <w:bottom w:val="none" w:sz="0" w:space="0" w:color="auto"/>
        <w:right w:val="none" w:sz="0" w:space="0" w:color="auto"/>
      </w:divBdr>
    </w:div>
    <w:div w:id="1401826755">
      <w:bodyDiv w:val="1"/>
      <w:marLeft w:val="0"/>
      <w:marRight w:val="0"/>
      <w:marTop w:val="0"/>
      <w:marBottom w:val="0"/>
      <w:divBdr>
        <w:top w:val="none" w:sz="0" w:space="0" w:color="auto"/>
        <w:left w:val="none" w:sz="0" w:space="0" w:color="auto"/>
        <w:bottom w:val="none" w:sz="0" w:space="0" w:color="auto"/>
        <w:right w:val="none" w:sz="0" w:space="0" w:color="auto"/>
      </w:divBdr>
    </w:div>
    <w:div w:id="1403603580">
      <w:bodyDiv w:val="1"/>
      <w:marLeft w:val="0"/>
      <w:marRight w:val="0"/>
      <w:marTop w:val="0"/>
      <w:marBottom w:val="0"/>
      <w:divBdr>
        <w:top w:val="none" w:sz="0" w:space="0" w:color="auto"/>
        <w:left w:val="none" w:sz="0" w:space="0" w:color="auto"/>
        <w:bottom w:val="none" w:sz="0" w:space="0" w:color="auto"/>
        <w:right w:val="none" w:sz="0" w:space="0" w:color="auto"/>
      </w:divBdr>
    </w:div>
    <w:div w:id="1416396684">
      <w:bodyDiv w:val="1"/>
      <w:marLeft w:val="0"/>
      <w:marRight w:val="0"/>
      <w:marTop w:val="0"/>
      <w:marBottom w:val="0"/>
      <w:divBdr>
        <w:top w:val="none" w:sz="0" w:space="0" w:color="auto"/>
        <w:left w:val="none" w:sz="0" w:space="0" w:color="auto"/>
        <w:bottom w:val="none" w:sz="0" w:space="0" w:color="auto"/>
        <w:right w:val="none" w:sz="0" w:space="0" w:color="auto"/>
      </w:divBdr>
    </w:div>
    <w:div w:id="1421639667">
      <w:bodyDiv w:val="1"/>
      <w:marLeft w:val="0"/>
      <w:marRight w:val="0"/>
      <w:marTop w:val="0"/>
      <w:marBottom w:val="0"/>
      <w:divBdr>
        <w:top w:val="none" w:sz="0" w:space="0" w:color="auto"/>
        <w:left w:val="none" w:sz="0" w:space="0" w:color="auto"/>
        <w:bottom w:val="none" w:sz="0" w:space="0" w:color="auto"/>
        <w:right w:val="none" w:sz="0" w:space="0" w:color="auto"/>
      </w:divBdr>
    </w:div>
    <w:div w:id="1425421597">
      <w:bodyDiv w:val="1"/>
      <w:marLeft w:val="0"/>
      <w:marRight w:val="0"/>
      <w:marTop w:val="0"/>
      <w:marBottom w:val="0"/>
      <w:divBdr>
        <w:top w:val="none" w:sz="0" w:space="0" w:color="auto"/>
        <w:left w:val="none" w:sz="0" w:space="0" w:color="auto"/>
        <w:bottom w:val="none" w:sz="0" w:space="0" w:color="auto"/>
        <w:right w:val="none" w:sz="0" w:space="0" w:color="auto"/>
      </w:divBdr>
    </w:div>
    <w:div w:id="1433435335">
      <w:bodyDiv w:val="1"/>
      <w:marLeft w:val="0"/>
      <w:marRight w:val="0"/>
      <w:marTop w:val="0"/>
      <w:marBottom w:val="0"/>
      <w:divBdr>
        <w:top w:val="none" w:sz="0" w:space="0" w:color="auto"/>
        <w:left w:val="none" w:sz="0" w:space="0" w:color="auto"/>
        <w:bottom w:val="none" w:sz="0" w:space="0" w:color="auto"/>
        <w:right w:val="none" w:sz="0" w:space="0" w:color="auto"/>
      </w:divBdr>
      <w:divsChild>
        <w:div w:id="1105079588">
          <w:marLeft w:val="0"/>
          <w:marRight w:val="0"/>
          <w:marTop w:val="0"/>
          <w:marBottom w:val="0"/>
          <w:divBdr>
            <w:top w:val="none" w:sz="0" w:space="0" w:color="auto"/>
            <w:left w:val="none" w:sz="0" w:space="0" w:color="auto"/>
            <w:bottom w:val="none" w:sz="0" w:space="0" w:color="auto"/>
            <w:right w:val="none" w:sz="0" w:space="0" w:color="auto"/>
          </w:divBdr>
        </w:div>
      </w:divsChild>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39133035">
      <w:bodyDiv w:val="1"/>
      <w:marLeft w:val="0"/>
      <w:marRight w:val="0"/>
      <w:marTop w:val="0"/>
      <w:marBottom w:val="0"/>
      <w:divBdr>
        <w:top w:val="none" w:sz="0" w:space="0" w:color="auto"/>
        <w:left w:val="none" w:sz="0" w:space="0" w:color="auto"/>
        <w:bottom w:val="none" w:sz="0" w:space="0" w:color="auto"/>
        <w:right w:val="none" w:sz="0" w:space="0" w:color="auto"/>
      </w:divBdr>
    </w:div>
    <w:div w:id="1443259691">
      <w:bodyDiv w:val="1"/>
      <w:marLeft w:val="0"/>
      <w:marRight w:val="0"/>
      <w:marTop w:val="0"/>
      <w:marBottom w:val="0"/>
      <w:divBdr>
        <w:top w:val="none" w:sz="0" w:space="0" w:color="auto"/>
        <w:left w:val="none" w:sz="0" w:space="0" w:color="auto"/>
        <w:bottom w:val="none" w:sz="0" w:space="0" w:color="auto"/>
        <w:right w:val="none" w:sz="0" w:space="0" w:color="auto"/>
      </w:divBdr>
    </w:div>
    <w:div w:id="1444422828">
      <w:bodyDiv w:val="1"/>
      <w:marLeft w:val="0"/>
      <w:marRight w:val="0"/>
      <w:marTop w:val="0"/>
      <w:marBottom w:val="0"/>
      <w:divBdr>
        <w:top w:val="none" w:sz="0" w:space="0" w:color="auto"/>
        <w:left w:val="none" w:sz="0" w:space="0" w:color="auto"/>
        <w:bottom w:val="none" w:sz="0" w:space="0" w:color="auto"/>
        <w:right w:val="none" w:sz="0" w:space="0" w:color="auto"/>
      </w:divBdr>
    </w:div>
    <w:div w:id="1449425436">
      <w:bodyDiv w:val="1"/>
      <w:marLeft w:val="0"/>
      <w:marRight w:val="0"/>
      <w:marTop w:val="0"/>
      <w:marBottom w:val="0"/>
      <w:divBdr>
        <w:top w:val="none" w:sz="0" w:space="0" w:color="auto"/>
        <w:left w:val="none" w:sz="0" w:space="0" w:color="auto"/>
        <w:bottom w:val="none" w:sz="0" w:space="0" w:color="auto"/>
        <w:right w:val="none" w:sz="0" w:space="0" w:color="auto"/>
      </w:divBdr>
      <w:divsChild>
        <w:div w:id="559556858">
          <w:marLeft w:val="0"/>
          <w:marRight w:val="0"/>
          <w:marTop w:val="0"/>
          <w:marBottom w:val="0"/>
          <w:divBdr>
            <w:top w:val="none" w:sz="0" w:space="0" w:color="auto"/>
            <w:left w:val="none" w:sz="0" w:space="0" w:color="auto"/>
            <w:bottom w:val="none" w:sz="0" w:space="0" w:color="auto"/>
            <w:right w:val="none" w:sz="0" w:space="0" w:color="auto"/>
          </w:divBdr>
        </w:div>
        <w:div w:id="1112672898">
          <w:marLeft w:val="0"/>
          <w:marRight w:val="0"/>
          <w:marTop w:val="0"/>
          <w:marBottom w:val="0"/>
          <w:divBdr>
            <w:top w:val="none" w:sz="0" w:space="0" w:color="auto"/>
            <w:left w:val="none" w:sz="0" w:space="0" w:color="auto"/>
            <w:bottom w:val="none" w:sz="0" w:space="0" w:color="auto"/>
            <w:right w:val="none" w:sz="0" w:space="0" w:color="auto"/>
          </w:divBdr>
          <w:divsChild>
            <w:div w:id="120076474">
              <w:marLeft w:val="0"/>
              <w:marRight w:val="0"/>
              <w:marTop w:val="0"/>
              <w:marBottom w:val="240"/>
              <w:divBdr>
                <w:top w:val="none" w:sz="0" w:space="0" w:color="auto"/>
                <w:left w:val="none" w:sz="0" w:space="0" w:color="auto"/>
                <w:bottom w:val="none" w:sz="0" w:space="0" w:color="auto"/>
                <w:right w:val="none" w:sz="0" w:space="0" w:color="auto"/>
              </w:divBdr>
            </w:div>
          </w:divsChild>
        </w:div>
        <w:div w:id="1454639830">
          <w:marLeft w:val="0"/>
          <w:marRight w:val="0"/>
          <w:marTop w:val="0"/>
          <w:marBottom w:val="0"/>
          <w:divBdr>
            <w:top w:val="none" w:sz="0" w:space="0" w:color="auto"/>
            <w:left w:val="none" w:sz="0" w:space="0" w:color="auto"/>
            <w:bottom w:val="none" w:sz="0" w:space="0" w:color="auto"/>
            <w:right w:val="none" w:sz="0" w:space="0" w:color="auto"/>
          </w:divBdr>
          <w:divsChild>
            <w:div w:id="687832105">
              <w:marLeft w:val="0"/>
              <w:marRight w:val="0"/>
              <w:marTop w:val="0"/>
              <w:marBottom w:val="240"/>
              <w:divBdr>
                <w:top w:val="none" w:sz="0" w:space="0" w:color="auto"/>
                <w:left w:val="none" w:sz="0" w:space="0" w:color="auto"/>
                <w:bottom w:val="none" w:sz="0" w:space="0" w:color="auto"/>
                <w:right w:val="none" w:sz="0" w:space="0" w:color="auto"/>
              </w:divBdr>
            </w:div>
          </w:divsChild>
        </w:div>
        <w:div w:id="405372926">
          <w:marLeft w:val="0"/>
          <w:marRight w:val="0"/>
          <w:marTop w:val="0"/>
          <w:marBottom w:val="0"/>
          <w:divBdr>
            <w:top w:val="none" w:sz="0" w:space="0" w:color="auto"/>
            <w:left w:val="none" w:sz="0" w:space="0" w:color="auto"/>
            <w:bottom w:val="none" w:sz="0" w:space="0" w:color="auto"/>
            <w:right w:val="none" w:sz="0" w:space="0" w:color="auto"/>
          </w:divBdr>
          <w:divsChild>
            <w:div w:id="1038434933">
              <w:marLeft w:val="0"/>
              <w:marRight w:val="0"/>
              <w:marTop w:val="0"/>
              <w:marBottom w:val="240"/>
              <w:divBdr>
                <w:top w:val="none" w:sz="0" w:space="0" w:color="auto"/>
                <w:left w:val="none" w:sz="0" w:space="0" w:color="auto"/>
                <w:bottom w:val="none" w:sz="0" w:space="0" w:color="auto"/>
                <w:right w:val="none" w:sz="0" w:space="0" w:color="auto"/>
              </w:divBdr>
            </w:div>
          </w:divsChild>
        </w:div>
        <w:div w:id="933516408">
          <w:marLeft w:val="0"/>
          <w:marRight w:val="0"/>
          <w:marTop w:val="0"/>
          <w:marBottom w:val="0"/>
          <w:divBdr>
            <w:top w:val="none" w:sz="0" w:space="0" w:color="auto"/>
            <w:left w:val="none" w:sz="0" w:space="0" w:color="auto"/>
            <w:bottom w:val="none" w:sz="0" w:space="0" w:color="auto"/>
            <w:right w:val="none" w:sz="0" w:space="0" w:color="auto"/>
          </w:divBdr>
          <w:divsChild>
            <w:div w:id="14590304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971753">
      <w:bodyDiv w:val="1"/>
      <w:marLeft w:val="0"/>
      <w:marRight w:val="0"/>
      <w:marTop w:val="0"/>
      <w:marBottom w:val="0"/>
      <w:divBdr>
        <w:top w:val="none" w:sz="0" w:space="0" w:color="auto"/>
        <w:left w:val="none" w:sz="0" w:space="0" w:color="auto"/>
        <w:bottom w:val="none" w:sz="0" w:space="0" w:color="auto"/>
        <w:right w:val="none" w:sz="0" w:space="0" w:color="auto"/>
      </w:divBdr>
    </w:div>
    <w:div w:id="1454514354">
      <w:bodyDiv w:val="1"/>
      <w:marLeft w:val="0"/>
      <w:marRight w:val="0"/>
      <w:marTop w:val="0"/>
      <w:marBottom w:val="0"/>
      <w:divBdr>
        <w:top w:val="none" w:sz="0" w:space="0" w:color="auto"/>
        <w:left w:val="none" w:sz="0" w:space="0" w:color="auto"/>
        <w:bottom w:val="none" w:sz="0" w:space="0" w:color="auto"/>
        <w:right w:val="none" w:sz="0" w:space="0" w:color="auto"/>
      </w:divBdr>
    </w:div>
    <w:div w:id="1460298963">
      <w:bodyDiv w:val="1"/>
      <w:marLeft w:val="0"/>
      <w:marRight w:val="0"/>
      <w:marTop w:val="0"/>
      <w:marBottom w:val="0"/>
      <w:divBdr>
        <w:top w:val="none" w:sz="0" w:space="0" w:color="auto"/>
        <w:left w:val="none" w:sz="0" w:space="0" w:color="auto"/>
        <w:bottom w:val="none" w:sz="0" w:space="0" w:color="auto"/>
        <w:right w:val="none" w:sz="0" w:space="0" w:color="auto"/>
      </w:divBdr>
    </w:div>
    <w:div w:id="1464887926">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73254458">
      <w:bodyDiv w:val="1"/>
      <w:marLeft w:val="0"/>
      <w:marRight w:val="0"/>
      <w:marTop w:val="0"/>
      <w:marBottom w:val="0"/>
      <w:divBdr>
        <w:top w:val="none" w:sz="0" w:space="0" w:color="auto"/>
        <w:left w:val="none" w:sz="0" w:space="0" w:color="auto"/>
        <w:bottom w:val="none" w:sz="0" w:space="0" w:color="auto"/>
        <w:right w:val="none" w:sz="0" w:space="0" w:color="auto"/>
      </w:divBdr>
    </w:div>
    <w:div w:id="1477604440">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488858635">
      <w:bodyDiv w:val="1"/>
      <w:marLeft w:val="0"/>
      <w:marRight w:val="0"/>
      <w:marTop w:val="0"/>
      <w:marBottom w:val="0"/>
      <w:divBdr>
        <w:top w:val="none" w:sz="0" w:space="0" w:color="auto"/>
        <w:left w:val="none" w:sz="0" w:space="0" w:color="auto"/>
        <w:bottom w:val="none" w:sz="0" w:space="0" w:color="auto"/>
        <w:right w:val="none" w:sz="0" w:space="0" w:color="auto"/>
      </w:divBdr>
    </w:div>
    <w:div w:id="1495802612">
      <w:bodyDiv w:val="1"/>
      <w:marLeft w:val="0"/>
      <w:marRight w:val="0"/>
      <w:marTop w:val="0"/>
      <w:marBottom w:val="0"/>
      <w:divBdr>
        <w:top w:val="none" w:sz="0" w:space="0" w:color="auto"/>
        <w:left w:val="none" w:sz="0" w:space="0" w:color="auto"/>
        <w:bottom w:val="none" w:sz="0" w:space="0" w:color="auto"/>
        <w:right w:val="none" w:sz="0" w:space="0" w:color="auto"/>
      </w:divBdr>
    </w:div>
    <w:div w:id="1500996228">
      <w:bodyDiv w:val="1"/>
      <w:marLeft w:val="0"/>
      <w:marRight w:val="0"/>
      <w:marTop w:val="0"/>
      <w:marBottom w:val="0"/>
      <w:divBdr>
        <w:top w:val="none" w:sz="0" w:space="0" w:color="auto"/>
        <w:left w:val="none" w:sz="0" w:space="0" w:color="auto"/>
        <w:bottom w:val="none" w:sz="0" w:space="0" w:color="auto"/>
        <w:right w:val="none" w:sz="0" w:space="0" w:color="auto"/>
      </w:divBdr>
    </w:div>
    <w:div w:id="1502969456">
      <w:bodyDiv w:val="1"/>
      <w:marLeft w:val="0"/>
      <w:marRight w:val="0"/>
      <w:marTop w:val="0"/>
      <w:marBottom w:val="0"/>
      <w:divBdr>
        <w:top w:val="none" w:sz="0" w:space="0" w:color="auto"/>
        <w:left w:val="none" w:sz="0" w:space="0" w:color="auto"/>
        <w:bottom w:val="none" w:sz="0" w:space="0" w:color="auto"/>
        <w:right w:val="none" w:sz="0" w:space="0" w:color="auto"/>
      </w:divBdr>
    </w:div>
    <w:div w:id="1508668499">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20854950">
      <w:bodyDiv w:val="1"/>
      <w:marLeft w:val="0"/>
      <w:marRight w:val="0"/>
      <w:marTop w:val="0"/>
      <w:marBottom w:val="0"/>
      <w:divBdr>
        <w:top w:val="none" w:sz="0" w:space="0" w:color="auto"/>
        <w:left w:val="none" w:sz="0" w:space="0" w:color="auto"/>
        <w:bottom w:val="none" w:sz="0" w:space="0" w:color="auto"/>
        <w:right w:val="none" w:sz="0" w:space="0" w:color="auto"/>
      </w:divBdr>
    </w:div>
    <w:div w:id="1523863967">
      <w:bodyDiv w:val="1"/>
      <w:marLeft w:val="0"/>
      <w:marRight w:val="0"/>
      <w:marTop w:val="0"/>
      <w:marBottom w:val="0"/>
      <w:divBdr>
        <w:top w:val="none" w:sz="0" w:space="0" w:color="auto"/>
        <w:left w:val="none" w:sz="0" w:space="0" w:color="auto"/>
        <w:bottom w:val="none" w:sz="0" w:space="0" w:color="auto"/>
        <w:right w:val="none" w:sz="0" w:space="0" w:color="auto"/>
      </w:divBdr>
      <w:divsChild>
        <w:div w:id="1649016846">
          <w:marLeft w:val="274"/>
          <w:marRight w:val="0"/>
          <w:marTop w:val="0"/>
          <w:marBottom w:val="0"/>
          <w:divBdr>
            <w:top w:val="none" w:sz="0" w:space="0" w:color="auto"/>
            <w:left w:val="none" w:sz="0" w:space="0" w:color="auto"/>
            <w:bottom w:val="none" w:sz="0" w:space="0" w:color="auto"/>
            <w:right w:val="none" w:sz="0" w:space="0" w:color="auto"/>
          </w:divBdr>
        </w:div>
        <w:div w:id="955138767">
          <w:marLeft w:val="274"/>
          <w:marRight w:val="0"/>
          <w:marTop w:val="0"/>
          <w:marBottom w:val="0"/>
          <w:divBdr>
            <w:top w:val="none" w:sz="0" w:space="0" w:color="auto"/>
            <w:left w:val="none" w:sz="0" w:space="0" w:color="auto"/>
            <w:bottom w:val="none" w:sz="0" w:space="0" w:color="auto"/>
            <w:right w:val="none" w:sz="0" w:space="0" w:color="auto"/>
          </w:divBdr>
        </w:div>
        <w:div w:id="582682628">
          <w:marLeft w:val="274"/>
          <w:marRight w:val="0"/>
          <w:marTop w:val="0"/>
          <w:marBottom w:val="0"/>
          <w:divBdr>
            <w:top w:val="none" w:sz="0" w:space="0" w:color="auto"/>
            <w:left w:val="none" w:sz="0" w:space="0" w:color="auto"/>
            <w:bottom w:val="none" w:sz="0" w:space="0" w:color="auto"/>
            <w:right w:val="none" w:sz="0" w:space="0" w:color="auto"/>
          </w:divBdr>
        </w:div>
        <w:div w:id="1965038263">
          <w:marLeft w:val="274"/>
          <w:marRight w:val="0"/>
          <w:marTop w:val="0"/>
          <w:marBottom w:val="0"/>
          <w:divBdr>
            <w:top w:val="none" w:sz="0" w:space="0" w:color="auto"/>
            <w:left w:val="none" w:sz="0" w:space="0" w:color="auto"/>
            <w:bottom w:val="none" w:sz="0" w:space="0" w:color="auto"/>
            <w:right w:val="none" w:sz="0" w:space="0" w:color="auto"/>
          </w:divBdr>
        </w:div>
        <w:div w:id="1925648770">
          <w:marLeft w:val="274"/>
          <w:marRight w:val="0"/>
          <w:marTop w:val="0"/>
          <w:marBottom w:val="0"/>
          <w:divBdr>
            <w:top w:val="none" w:sz="0" w:space="0" w:color="auto"/>
            <w:left w:val="none" w:sz="0" w:space="0" w:color="auto"/>
            <w:bottom w:val="none" w:sz="0" w:space="0" w:color="auto"/>
            <w:right w:val="none" w:sz="0" w:space="0" w:color="auto"/>
          </w:divBdr>
        </w:div>
        <w:div w:id="1179083199">
          <w:marLeft w:val="274"/>
          <w:marRight w:val="0"/>
          <w:marTop w:val="0"/>
          <w:marBottom w:val="0"/>
          <w:divBdr>
            <w:top w:val="none" w:sz="0" w:space="0" w:color="auto"/>
            <w:left w:val="none" w:sz="0" w:space="0" w:color="auto"/>
            <w:bottom w:val="none" w:sz="0" w:space="0" w:color="auto"/>
            <w:right w:val="none" w:sz="0" w:space="0" w:color="auto"/>
          </w:divBdr>
        </w:div>
        <w:div w:id="150098833">
          <w:marLeft w:val="274"/>
          <w:marRight w:val="0"/>
          <w:marTop w:val="0"/>
          <w:marBottom w:val="0"/>
          <w:divBdr>
            <w:top w:val="none" w:sz="0" w:space="0" w:color="auto"/>
            <w:left w:val="none" w:sz="0" w:space="0" w:color="auto"/>
            <w:bottom w:val="none" w:sz="0" w:space="0" w:color="auto"/>
            <w:right w:val="none" w:sz="0" w:space="0" w:color="auto"/>
          </w:divBdr>
        </w:div>
        <w:div w:id="1595285629">
          <w:marLeft w:val="274"/>
          <w:marRight w:val="0"/>
          <w:marTop w:val="0"/>
          <w:marBottom w:val="0"/>
          <w:divBdr>
            <w:top w:val="none" w:sz="0" w:space="0" w:color="auto"/>
            <w:left w:val="none" w:sz="0" w:space="0" w:color="auto"/>
            <w:bottom w:val="none" w:sz="0" w:space="0" w:color="auto"/>
            <w:right w:val="none" w:sz="0" w:space="0" w:color="auto"/>
          </w:divBdr>
        </w:div>
        <w:div w:id="901985566">
          <w:marLeft w:val="274"/>
          <w:marRight w:val="0"/>
          <w:marTop w:val="0"/>
          <w:marBottom w:val="0"/>
          <w:divBdr>
            <w:top w:val="none" w:sz="0" w:space="0" w:color="auto"/>
            <w:left w:val="none" w:sz="0" w:space="0" w:color="auto"/>
            <w:bottom w:val="none" w:sz="0" w:space="0" w:color="auto"/>
            <w:right w:val="none" w:sz="0" w:space="0" w:color="auto"/>
          </w:divBdr>
        </w:div>
      </w:divsChild>
    </w:div>
    <w:div w:id="1525287836">
      <w:bodyDiv w:val="1"/>
      <w:marLeft w:val="0"/>
      <w:marRight w:val="0"/>
      <w:marTop w:val="0"/>
      <w:marBottom w:val="0"/>
      <w:divBdr>
        <w:top w:val="none" w:sz="0" w:space="0" w:color="auto"/>
        <w:left w:val="none" w:sz="0" w:space="0" w:color="auto"/>
        <w:bottom w:val="none" w:sz="0" w:space="0" w:color="auto"/>
        <w:right w:val="none" w:sz="0" w:space="0" w:color="auto"/>
      </w:divBdr>
    </w:div>
    <w:div w:id="1525942038">
      <w:bodyDiv w:val="1"/>
      <w:marLeft w:val="0"/>
      <w:marRight w:val="0"/>
      <w:marTop w:val="0"/>
      <w:marBottom w:val="0"/>
      <w:divBdr>
        <w:top w:val="none" w:sz="0" w:space="0" w:color="auto"/>
        <w:left w:val="none" w:sz="0" w:space="0" w:color="auto"/>
        <w:bottom w:val="none" w:sz="0" w:space="0" w:color="auto"/>
        <w:right w:val="none" w:sz="0" w:space="0" w:color="auto"/>
      </w:divBdr>
    </w:div>
    <w:div w:id="1527864608">
      <w:bodyDiv w:val="1"/>
      <w:marLeft w:val="0"/>
      <w:marRight w:val="0"/>
      <w:marTop w:val="0"/>
      <w:marBottom w:val="0"/>
      <w:divBdr>
        <w:top w:val="none" w:sz="0" w:space="0" w:color="auto"/>
        <w:left w:val="none" w:sz="0" w:space="0" w:color="auto"/>
        <w:bottom w:val="none" w:sz="0" w:space="0" w:color="auto"/>
        <w:right w:val="none" w:sz="0" w:space="0" w:color="auto"/>
      </w:divBdr>
    </w:div>
    <w:div w:id="1528105575">
      <w:bodyDiv w:val="1"/>
      <w:marLeft w:val="0"/>
      <w:marRight w:val="0"/>
      <w:marTop w:val="0"/>
      <w:marBottom w:val="0"/>
      <w:divBdr>
        <w:top w:val="none" w:sz="0" w:space="0" w:color="auto"/>
        <w:left w:val="none" w:sz="0" w:space="0" w:color="auto"/>
        <w:bottom w:val="none" w:sz="0" w:space="0" w:color="auto"/>
        <w:right w:val="none" w:sz="0" w:space="0" w:color="auto"/>
      </w:divBdr>
    </w:div>
    <w:div w:id="1532377241">
      <w:bodyDiv w:val="1"/>
      <w:marLeft w:val="0"/>
      <w:marRight w:val="0"/>
      <w:marTop w:val="0"/>
      <w:marBottom w:val="0"/>
      <w:divBdr>
        <w:top w:val="none" w:sz="0" w:space="0" w:color="auto"/>
        <w:left w:val="none" w:sz="0" w:space="0" w:color="auto"/>
        <w:bottom w:val="none" w:sz="0" w:space="0" w:color="auto"/>
        <w:right w:val="none" w:sz="0" w:space="0" w:color="auto"/>
      </w:divBdr>
    </w:div>
    <w:div w:id="1535078473">
      <w:bodyDiv w:val="1"/>
      <w:marLeft w:val="0"/>
      <w:marRight w:val="0"/>
      <w:marTop w:val="0"/>
      <w:marBottom w:val="0"/>
      <w:divBdr>
        <w:top w:val="none" w:sz="0" w:space="0" w:color="auto"/>
        <w:left w:val="none" w:sz="0" w:space="0" w:color="auto"/>
        <w:bottom w:val="none" w:sz="0" w:space="0" w:color="auto"/>
        <w:right w:val="none" w:sz="0" w:space="0" w:color="auto"/>
      </w:divBdr>
    </w:div>
    <w:div w:id="1535463951">
      <w:bodyDiv w:val="1"/>
      <w:marLeft w:val="0"/>
      <w:marRight w:val="0"/>
      <w:marTop w:val="0"/>
      <w:marBottom w:val="0"/>
      <w:divBdr>
        <w:top w:val="none" w:sz="0" w:space="0" w:color="auto"/>
        <w:left w:val="none" w:sz="0" w:space="0" w:color="auto"/>
        <w:bottom w:val="none" w:sz="0" w:space="0" w:color="auto"/>
        <w:right w:val="none" w:sz="0" w:space="0" w:color="auto"/>
      </w:divBdr>
    </w:div>
    <w:div w:id="1536043115">
      <w:bodyDiv w:val="1"/>
      <w:marLeft w:val="0"/>
      <w:marRight w:val="0"/>
      <w:marTop w:val="0"/>
      <w:marBottom w:val="0"/>
      <w:divBdr>
        <w:top w:val="none" w:sz="0" w:space="0" w:color="auto"/>
        <w:left w:val="none" w:sz="0" w:space="0" w:color="auto"/>
        <w:bottom w:val="none" w:sz="0" w:space="0" w:color="auto"/>
        <w:right w:val="none" w:sz="0" w:space="0" w:color="auto"/>
      </w:divBdr>
      <w:divsChild>
        <w:div w:id="29963617">
          <w:marLeft w:val="0"/>
          <w:marRight w:val="0"/>
          <w:marTop w:val="0"/>
          <w:marBottom w:val="0"/>
          <w:divBdr>
            <w:top w:val="none" w:sz="0" w:space="0" w:color="auto"/>
            <w:left w:val="none" w:sz="0" w:space="0" w:color="auto"/>
            <w:bottom w:val="none" w:sz="0" w:space="0" w:color="auto"/>
            <w:right w:val="none" w:sz="0" w:space="0" w:color="auto"/>
          </w:divBdr>
        </w:div>
      </w:divsChild>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36506855">
      <w:bodyDiv w:val="1"/>
      <w:marLeft w:val="0"/>
      <w:marRight w:val="0"/>
      <w:marTop w:val="0"/>
      <w:marBottom w:val="0"/>
      <w:divBdr>
        <w:top w:val="none" w:sz="0" w:space="0" w:color="auto"/>
        <w:left w:val="none" w:sz="0" w:space="0" w:color="auto"/>
        <w:bottom w:val="none" w:sz="0" w:space="0" w:color="auto"/>
        <w:right w:val="none" w:sz="0" w:space="0" w:color="auto"/>
      </w:divBdr>
    </w:div>
    <w:div w:id="1538465815">
      <w:bodyDiv w:val="1"/>
      <w:marLeft w:val="0"/>
      <w:marRight w:val="0"/>
      <w:marTop w:val="0"/>
      <w:marBottom w:val="0"/>
      <w:divBdr>
        <w:top w:val="none" w:sz="0" w:space="0" w:color="auto"/>
        <w:left w:val="none" w:sz="0" w:space="0" w:color="auto"/>
        <w:bottom w:val="none" w:sz="0" w:space="0" w:color="auto"/>
        <w:right w:val="none" w:sz="0" w:space="0" w:color="auto"/>
      </w:divBdr>
    </w:div>
    <w:div w:id="1547255724">
      <w:bodyDiv w:val="1"/>
      <w:marLeft w:val="0"/>
      <w:marRight w:val="0"/>
      <w:marTop w:val="0"/>
      <w:marBottom w:val="0"/>
      <w:divBdr>
        <w:top w:val="none" w:sz="0" w:space="0" w:color="auto"/>
        <w:left w:val="none" w:sz="0" w:space="0" w:color="auto"/>
        <w:bottom w:val="none" w:sz="0" w:space="0" w:color="auto"/>
        <w:right w:val="none" w:sz="0" w:space="0" w:color="auto"/>
      </w:divBdr>
    </w:div>
    <w:div w:id="1557937563">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68539588">
      <w:bodyDiv w:val="1"/>
      <w:marLeft w:val="0"/>
      <w:marRight w:val="0"/>
      <w:marTop w:val="0"/>
      <w:marBottom w:val="0"/>
      <w:divBdr>
        <w:top w:val="none" w:sz="0" w:space="0" w:color="auto"/>
        <w:left w:val="none" w:sz="0" w:space="0" w:color="auto"/>
        <w:bottom w:val="none" w:sz="0" w:space="0" w:color="auto"/>
        <w:right w:val="none" w:sz="0" w:space="0" w:color="auto"/>
      </w:divBdr>
    </w:div>
    <w:div w:id="1569414763">
      <w:bodyDiv w:val="1"/>
      <w:marLeft w:val="0"/>
      <w:marRight w:val="0"/>
      <w:marTop w:val="0"/>
      <w:marBottom w:val="0"/>
      <w:divBdr>
        <w:top w:val="none" w:sz="0" w:space="0" w:color="auto"/>
        <w:left w:val="none" w:sz="0" w:space="0" w:color="auto"/>
        <w:bottom w:val="none" w:sz="0" w:space="0" w:color="auto"/>
        <w:right w:val="none" w:sz="0" w:space="0" w:color="auto"/>
      </w:divBdr>
    </w:div>
    <w:div w:id="1569994108">
      <w:bodyDiv w:val="1"/>
      <w:marLeft w:val="0"/>
      <w:marRight w:val="0"/>
      <w:marTop w:val="0"/>
      <w:marBottom w:val="0"/>
      <w:divBdr>
        <w:top w:val="none" w:sz="0" w:space="0" w:color="auto"/>
        <w:left w:val="none" w:sz="0" w:space="0" w:color="auto"/>
        <w:bottom w:val="none" w:sz="0" w:space="0" w:color="auto"/>
        <w:right w:val="none" w:sz="0" w:space="0" w:color="auto"/>
      </w:divBdr>
    </w:div>
    <w:div w:id="1576354171">
      <w:bodyDiv w:val="1"/>
      <w:marLeft w:val="0"/>
      <w:marRight w:val="0"/>
      <w:marTop w:val="0"/>
      <w:marBottom w:val="0"/>
      <w:divBdr>
        <w:top w:val="none" w:sz="0" w:space="0" w:color="auto"/>
        <w:left w:val="none" w:sz="0" w:space="0" w:color="auto"/>
        <w:bottom w:val="none" w:sz="0" w:space="0" w:color="auto"/>
        <w:right w:val="none" w:sz="0" w:space="0" w:color="auto"/>
      </w:divBdr>
    </w:div>
    <w:div w:id="1585141013">
      <w:bodyDiv w:val="1"/>
      <w:marLeft w:val="0"/>
      <w:marRight w:val="0"/>
      <w:marTop w:val="0"/>
      <w:marBottom w:val="0"/>
      <w:divBdr>
        <w:top w:val="none" w:sz="0" w:space="0" w:color="auto"/>
        <w:left w:val="none" w:sz="0" w:space="0" w:color="auto"/>
        <w:bottom w:val="none" w:sz="0" w:space="0" w:color="auto"/>
        <w:right w:val="none" w:sz="0" w:space="0" w:color="auto"/>
      </w:divBdr>
      <w:divsChild>
        <w:div w:id="981469300">
          <w:marLeft w:val="0"/>
          <w:marRight w:val="0"/>
          <w:marTop w:val="0"/>
          <w:marBottom w:val="0"/>
          <w:divBdr>
            <w:top w:val="none" w:sz="0" w:space="0" w:color="auto"/>
            <w:left w:val="none" w:sz="0" w:space="0" w:color="auto"/>
            <w:bottom w:val="none" w:sz="0" w:space="0" w:color="auto"/>
            <w:right w:val="none" w:sz="0" w:space="0" w:color="auto"/>
          </w:divBdr>
        </w:div>
      </w:divsChild>
    </w:div>
    <w:div w:id="1589733743">
      <w:bodyDiv w:val="1"/>
      <w:marLeft w:val="0"/>
      <w:marRight w:val="0"/>
      <w:marTop w:val="0"/>
      <w:marBottom w:val="0"/>
      <w:divBdr>
        <w:top w:val="none" w:sz="0" w:space="0" w:color="auto"/>
        <w:left w:val="none" w:sz="0" w:space="0" w:color="auto"/>
        <w:bottom w:val="none" w:sz="0" w:space="0" w:color="auto"/>
        <w:right w:val="none" w:sz="0" w:space="0" w:color="auto"/>
      </w:divBdr>
    </w:div>
    <w:div w:id="1591810374">
      <w:bodyDiv w:val="1"/>
      <w:marLeft w:val="0"/>
      <w:marRight w:val="0"/>
      <w:marTop w:val="0"/>
      <w:marBottom w:val="0"/>
      <w:divBdr>
        <w:top w:val="none" w:sz="0" w:space="0" w:color="auto"/>
        <w:left w:val="none" w:sz="0" w:space="0" w:color="auto"/>
        <w:bottom w:val="none" w:sz="0" w:space="0" w:color="auto"/>
        <w:right w:val="none" w:sz="0" w:space="0" w:color="auto"/>
      </w:divBdr>
    </w:div>
    <w:div w:id="1592007380">
      <w:bodyDiv w:val="1"/>
      <w:marLeft w:val="0"/>
      <w:marRight w:val="0"/>
      <w:marTop w:val="0"/>
      <w:marBottom w:val="0"/>
      <w:divBdr>
        <w:top w:val="none" w:sz="0" w:space="0" w:color="auto"/>
        <w:left w:val="none" w:sz="0" w:space="0" w:color="auto"/>
        <w:bottom w:val="none" w:sz="0" w:space="0" w:color="auto"/>
        <w:right w:val="none" w:sz="0" w:space="0" w:color="auto"/>
      </w:divBdr>
      <w:divsChild>
        <w:div w:id="928075670">
          <w:marLeft w:val="0"/>
          <w:marRight w:val="0"/>
          <w:marTop w:val="0"/>
          <w:marBottom w:val="0"/>
          <w:divBdr>
            <w:top w:val="none" w:sz="0" w:space="0" w:color="auto"/>
            <w:left w:val="none" w:sz="0" w:space="0" w:color="auto"/>
            <w:bottom w:val="none" w:sz="0" w:space="0" w:color="auto"/>
            <w:right w:val="none" w:sz="0" w:space="0" w:color="auto"/>
          </w:divBdr>
        </w:div>
      </w:divsChild>
    </w:div>
    <w:div w:id="1593778424">
      <w:bodyDiv w:val="1"/>
      <w:marLeft w:val="0"/>
      <w:marRight w:val="0"/>
      <w:marTop w:val="0"/>
      <w:marBottom w:val="0"/>
      <w:divBdr>
        <w:top w:val="none" w:sz="0" w:space="0" w:color="auto"/>
        <w:left w:val="none" w:sz="0" w:space="0" w:color="auto"/>
        <w:bottom w:val="none" w:sz="0" w:space="0" w:color="auto"/>
        <w:right w:val="none" w:sz="0" w:space="0" w:color="auto"/>
      </w:divBdr>
    </w:div>
    <w:div w:id="1594972205">
      <w:bodyDiv w:val="1"/>
      <w:marLeft w:val="0"/>
      <w:marRight w:val="0"/>
      <w:marTop w:val="0"/>
      <w:marBottom w:val="0"/>
      <w:divBdr>
        <w:top w:val="none" w:sz="0" w:space="0" w:color="auto"/>
        <w:left w:val="none" w:sz="0" w:space="0" w:color="auto"/>
        <w:bottom w:val="none" w:sz="0" w:space="0" w:color="auto"/>
        <w:right w:val="none" w:sz="0" w:space="0" w:color="auto"/>
      </w:divBdr>
    </w:div>
    <w:div w:id="1595362566">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06883726">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23918189">
      <w:bodyDiv w:val="1"/>
      <w:marLeft w:val="0"/>
      <w:marRight w:val="0"/>
      <w:marTop w:val="0"/>
      <w:marBottom w:val="0"/>
      <w:divBdr>
        <w:top w:val="none" w:sz="0" w:space="0" w:color="auto"/>
        <w:left w:val="none" w:sz="0" w:space="0" w:color="auto"/>
        <w:bottom w:val="none" w:sz="0" w:space="0" w:color="auto"/>
        <w:right w:val="none" w:sz="0" w:space="0" w:color="auto"/>
      </w:divBdr>
    </w:div>
    <w:div w:id="1624920614">
      <w:bodyDiv w:val="1"/>
      <w:marLeft w:val="0"/>
      <w:marRight w:val="0"/>
      <w:marTop w:val="0"/>
      <w:marBottom w:val="0"/>
      <w:divBdr>
        <w:top w:val="none" w:sz="0" w:space="0" w:color="auto"/>
        <w:left w:val="none" w:sz="0" w:space="0" w:color="auto"/>
        <w:bottom w:val="none" w:sz="0" w:space="0" w:color="auto"/>
        <w:right w:val="none" w:sz="0" w:space="0" w:color="auto"/>
      </w:divBdr>
    </w:div>
    <w:div w:id="1625886292">
      <w:bodyDiv w:val="1"/>
      <w:marLeft w:val="0"/>
      <w:marRight w:val="0"/>
      <w:marTop w:val="0"/>
      <w:marBottom w:val="0"/>
      <w:divBdr>
        <w:top w:val="none" w:sz="0" w:space="0" w:color="auto"/>
        <w:left w:val="none" w:sz="0" w:space="0" w:color="auto"/>
        <w:bottom w:val="none" w:sz="0" w:space="0" w:color="auto"/>
        <w:right w:val="none" w:sz="0" w:space="0" w:color="auto"/>
      </w:divBdr>
    </w:div>
    <w:div w:id="1629311813">
      <w:bodyDiv w:val="1"/>
      <w:marLeft w:val="0"/>
      <w:marRight w:val="0"/>
      <w:marTop w:val="0"/>
      <w:marBottom w:val="0"/>
      <w:divBdr>
        <w:top w:val="none" w:sz="0" w:space="0" w:color="auto"/>
        <w:left w:val="none" w:sz="0" w:space="0" w:color="auto"/>
        <w:bottom w:val="none" w:sz="0" w:space="0" w:color="auto"/>
        <w:right w:val="none" w:sz="0" w:space="0" w:color="auto"/>
      </w:divBdr>
    </w:div>
    <w:div w:id="1629313570">
      <w:bodyDiv w:val="1"/>
      <w:marLeft w:val="0"/>
      <w:marRight w:val="0"/>
      <w:marTop w:val="0"/>
      <w:marBottom w:val="0"/>
      <w:divBdr>
        <w:top w:val="none" w:sz="0" w:space="0" w:color="auto"/>
        <w:left w:val="none" w:sz="0" w:space="0" w:color="auto"/>
        <w:bottom w:val="none" w:sz="0" w:space="0" w:color="auto"/>
        <w:right w:val="none" w:sz="0" w:space="0" w:color="auto"/>
      </w:divBdr>
    </w:div>
    <w:div w:id="1630236552">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30895574">
      <w:bodyDiv w:val="1"/>
      <w:marLeft w:val="0"/>
      <w:marRight w:val="0"/>
      <w:marTop w:val="0"/>
      <w:marBottom w:val="0"/>
      <w:divBdr>
        <w:top w:val="none" w:sz="0" w:space="0" w:color="auto"/>
        <w:left w:val="none" w:sz="0" w:space="0" w:color="auto"/>
        <w:bottom w:val="none" w:sz="0" w:space="0" w:color="auto"/>
        <w:right w:val="none" w:sz="0" w:space="0" w:color="auto"/>
      </w:divBdr>
    </w:div>
    <w:div w:id="1632785257">
      <w:bodyDiv w:val="1"/>
      <w:marLeft w:val="0"/>
      <w:marRight w:val="0"/>
      <w:marTop w:val="0"/>
      <w:marBottom w:val="0"/>
      <w:divBdr>
        <w:top w:val="none" w:sz="0" w:space="0" w:color="auto"/>
        <w:left w:val="none" w:sz="0" w:space="0" w:color="auto"/>
        <w:bottom w:val="none" w:sz="0" w:space="0" w:color="auto"/>
        <w:right w:val="none" w:sz="0" w:space="0" w:color="auto"/>
      </w:divBdr>
    </w:div>
    <w:div w:id="1634747200">
      <w:bodyDiv w:val="1"/>
      <w:marLeft w:val="0"/>
      <w:marRight w:val="0"/>
      <w:marTop w:val="0"/>
      <w:marBottom w:val="0"/>
      <w:divBdr>
        <w:top w:val="none" w:sz="0" w:space="0" w:color="auto"/>
        <w:left w:val="none" w:sz="0" w:space="0" w:color="auto"/>
        <w:bottom w:val="none" w:sz="0" w:space="0" w:color="auto"/>
        <w:right w:val="none" w:sz="0" w:space="0" w:color="auto"/>
      </w:divBdr>
    </w:div>
    <w:div w:id="1636134816">
      <w:bodyDiv w:val="1"/>
      <w:marLeft w:val="0"/>
      <w:marRight w:val="0"/>
      <w:marTop w:val="0"/>
      <w:marBottom w:val="0"/>
      <w:divBdr>
        <w:top w:val="none" w:sz="0" w:space="0" w:color="auto"/>
        <w:left w:val="none" w:sz="0" w:space="0" w:color="auto"/>
        <w:bottom w:val="none" w:sz="0" w:space="0" w:color="auto"/>
        <w:right w:val="none" w:sz="0" w:space="0" w:color="auto"/>
      </w:divBdr>
    </w:div>
    <w:div w:id="1658921809">
      <w:bodyDiv w:val="1"/>
      <w:marLeft w:val="0"/>
      <w:marRight w:val="0"/>
      <w:marTop w:val="0"/>
      <w:marBottom w:val="0"/>
      <w:divBdr>
        <w:top w:val="none" w:sz="0" w:space="0" w:color="auto"/>
        <w:left w:val="none" w:sz="0" w:space="0" w:color="auto"/>
        <w:bottom w:val="none" w:sz="0" w:space="0" w:color="auto"/>
        <w:right w:val="none" w:sz="0" w:space="0" w:color="auto"/>
      </w:divBdr>
      <w:divsChild>
        <w:div w:id="1113750339">
          <w:marLeft w:val="0"/>
          <w:marRight w:val="0"/>
          <w:marTop w:val="0"/>
          <w:marBottom w:val="0"/>
          <w:divBdr>
            <w:top w:val="none" w:sz="0" w:space="0" w:color="auto"/>
            <w:left w:val="none" w:sz="0" w:space="0" w:color="auto"/>
            <w:bottom w:val="none" w:sz="0" w:space="0" w:color="auto"/>
            <w:right w:val="none" w:sz="0" w:space="0" w:color="auto"/>
          </w:divBdr>
        </w:div>
      </w:divsChild>
    </w:div>
    <w:div w:id="1659184205">
      <w:bodyDiv w:val="1"/>
      <w:marLeft w:val="0"/>
      <w:marRight w:val="0"/>
      <w:marTop w:val="0"/>
      <w:marBottom w:val="0"/>
      <w:divBdr>
        <w:top w:val="none" w:sz="0" w:space="0" w:color="auto"/>
        <w:left w:val="none" w:sz="0" w:space="0" w:color="auto"/>
        <w:bottom w:val="none" w:sz="0" w:space="0" w:color="auto"/>
        <w:right w:val="none" w:sz="0" w:space="0" w:color="auto"/>
      </w:divBdr>
    </w:div>
    <w:div w:id="1664317997">
      <w:bodyDiv w:val="1"/>
      <w:marLeft w:val="0"/>
      <w:marRight w:val="0"/>
      <w:marTop w:val="0"/>
      <w:marBottom w:val="0"/>
      <w:divBdr>
        <w:top w:val="none" w:sz="0" w:space="0" w:color="auto"/>
        <w:left w:val="none" w:sz="0" w:space="0" w:color="auto"/>
        <w:bottom w:val="none" w:sz="0" w:space="0" w:color="auto"/>
        <w:right w:val="none" w:sz="0" w:space="0" w:color="auto"/>
      </w:divBdr>
    </w:div>
    <w:div w:id="1666935642">
      <w:bodyDiv w:val="1"/>
      <w:marLeft w:val="0"/>
      <w:marRight w:val="0"/>
      <w:marTop w:val="0"/>
      <w:marBottom w:val="0"/>
      <w:divBdr>
        <w:top w:val="none" w:sz="0" w:space="0" w:color="auto"/>
        <w:left w:val="none" w:sz="0" w:space="0" w:color="auto"/>
        <w:bottom w:val="none" w:sz="0" w:space="0" w:color="auto"/>
        <w:right w:val="none" w:sz="0" w:space="0" w:color="auto"/>
      </w:divBdr>
      <w:divsChild>
        <w:div w:id="1155992823">
          <w:marLeft w:val="0"/>
          <w:marRight w:val="0"/>
          <w:marTop w:val="0"/>
          <w:marBottom w:val="0"/>
          <w:divBdr>
            <w:top w:val="none" w:sz="0" w:space="0" w:color="auto"/>
            <w:left w:val="none" w:sz="0" w:space="0" w:color="auto"/>
            <w:bottom w:val="none" w:sz="0" w:space="0" w:color="auto"/>
            <w:right w:val="none" w:sz="0" w:space="0" w:color="auto"/>
          </w:divBdr>
        </w:div>
      </w:divsChild>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674840725">
      <w:bodyDiv w:val="1"/>
      <w:marLeft w:val="0"/>
      <w:marRight w:val="0"/>
      <w:marTop w:val="0"/>
      <w:marBottom w:val="0"/>
      <w:divBdr>
        <w:top w:val="none" w:sz="0" w:space="0" w:color="auto"/>
        <w:left w:val="none" w:sz="0" w:space="0" w:color="auto"/>
        <w:bottom w:val="none" w:sz="0" w:space="0" w:color="auto"/>
        <w:right w:val="none" w:sz="0" w:space="0" w:color="auto"/>
      </w:divBdr>
    </w:div>
    <w:div w:id="1675111153">
      <w:bodyDiv w:val="1"/>
      <w:marLeft w:val="0"/>
      <w:marRight w:val="0"/>
      <w:marTop w:val="0"/>
      <w:marBottom w:val="0"/>
      <w:divBdr>
        <w:top w:val="none" w:sz="0" w:space="0" w:color="auto"/>
        <w:left w:val="none" w:sz="0" w:space="0" w:color="auto"/>
        <w:bottom w:val="none" w:sz="0" w:space="0" w:color="auto"/>
        <w:right w:val="none" w:sz="0" w:space="0" w:color="auto"/>
      </w:divBdr>
    </w:div>
    <w:div w:id="1686588614">
      <w:bodyDiv w:val="1"/>
      <w:marLeft w:val="0"/>
      <w:marRight w:val="0"/>
      <w:marTop w:val="0"/>
      <w:marBottom w:val="0"/>
      <w:divBdr>
        <w:top w:val="none" w:sz="0" w:space="0" w:color="auto"/>
        <w:left w:val="none" w:sz="0" w:space="0" w:color="auto"/>
        <w:bottom w:val="none" w:sz="0" w:space="0" w:color="auto"/>
        <w:right w:val="none" w:sz="0" w:space="0" w:color="auto"/>
      </w:divBdr>
    </w:div>
    <w:div w:id="1687437072">
      <w:bodyDiv w:val="1"/>
      <w:marLeft w:val="0"/>
      <w:marRight w:val="0"/>
      <w:marTop w:val="0"/>
      <w:marBottom w:val="0"/>
      <w:divBdr>
        <w:top w:val="none" w:sz="0" w:space="0" w:color="auto"/>
        <w:left w:val="none" w:sz="0" w:space="0" w:color="auto"/>
        <w:bottom w:val="none" w:sz="0" w:space="0" w:color="auto"/>
        <w:right w:val="none" w:sz="0" w:space="0" w:color="auto"/>
      </w:divBdr>
    </w:div>
    <w:div w:id="1687637144">
      <w:bodyDiv w:val="1"/>
      <w:marLeft w:val="0"/>
      <w:marRight w:val="0"/>
      <w:marTop w:val="0"/>
      <w:marBottom w:val="0"/>
      <w:divBdr>
        <w:top w:val="none" w:sz="0" w:space="0" w:color="auto"/>
        <w:left w:val="none" w:sz="0" w:space="0" w:color="auto"/>
        <w:bottom w:val="none" w:sz="0" w:space="0" w:color="auto"/>
        <w:right w:val="none" w:sz="0" w:space="0" w:color="auto"/>
      </w:divBdr>
    </w:div>
    <w:div w:id="1687714068">
      <w:bodyDiv w:val="1"/>
      <w:marLeft w:val="0"/>
      <w:marRight w:val="0"/>
      <w:marTop w:val="0"/>
      <w:marBottom w:val="0"/>
      <w:divBdr>
        <w:top w:val="none" w:sz="0" w:space="0" w:color="auto"/>
        <w:left w:val="none" w:sz="0" w:space="0" w:color="auto"/>
        <w:bottom w:val="none" w:sz="0" w:space="0" w:color="auto"/>
        <w:right w:val="none" w:sz="0" w:space="0" w:color="auto"/>
      </w:divBdr>
    </w:div>
    <w:div w:id="1691447266">
      <w:bodyDiv w:val="1"/>
      <w:marLeft w:val="0"/>
      <w:marRight w:val="0"/>
      <w:marTop w:val="0"/>
      <w:marBottom w:val="0"/>
      <w:divBdr>
        <w:top w:val="none" w:sz="0" w:space="0" w:color="auto"/>
        <w:left w:val="none" w:sz="0" w:space="0" w:color="auto"/>
        <w:bottom w:val="none" w:sz="0" w:space="0" w:color="auto"/>
        <w:right w:val="none" w:sz="0" w:space="0" w:color="auto"/>
      </w:divBdr>
    </w:div>
    <w:div w:id="1695644644">
      <w:bodyDiv w:val="1"/>
      <w:marLeft w:val="0"/>
      <w:marRight w:val="0"/>
      <w:marTop w:val="0"/>
      <w:marBottom w:val="0"/>
      <w:divBdr>
        <w:top w:val="none" w:sz="0" w:space="0" w:color="auto"/>
        <w:left w:val="none" w:sz="0" w:space="0" w:color="auto"/>
        <w:bottom w:val="none" w:sz="0" w:space="0" w:color="auto"/>
        <w:right w:val="none" w:sz="0" w:space="0" w:color="auto"/>
      </w:divBdr>
    </w:div>
    <w:div w:id="1697271957">
      <w:bodyDiv w:val="1"/>
      <w:marLeft w:val="0"/>
      <w:marRight w:val="0"/>
      <w:marTop w:val="0"/>
      <w:marBottom w:val="0"/>
      <w:divBdr>
        <w:top w:val="none" w:sz="0" w:space="0" w:color="auto"/>
        <w:left w:val="none" w:sz="0" w:space="0" w:color="auto"/>
        <w:bottom w:val="none" w:sz="0" w:space="0" w:color="auto"/>
        <w:right w:val="none" w:sz="0" w:space="0" w:color="auto"/>
      </w:divBdr>
    </w:div>
    <w:div w:id="1698314818">
      <w:bodyDiv w:val="1"/>
      <w:marLeft w:val="0"/>
      <w:marRight w:val="0"/>
      <w:marTop w:val="0"/>
      <w:marBottom w:val="0"/>
      <w:divBdr>
        <w:top w:val="none" w:sz="0" w:space="0" w:color="auto"/>
        <w:left w:val="none" w:sz="0" w:space="0" w:color="auto"/>
        <w:bottom w:val="none" w:sz="0" w:space="0" w:color="auto"/>
        <w:right w:val="none" w:sz="0" w:space="0" w:color="auto"/>
      </w:divBdr>
    </w:div>
    <w:div w:id="1711223814">
      <w:bodyDiv w:val="1"/>
      <w:marLeft w:val="0"/>
      <w:marRight w:val="0"/>
      <w:marTop w:val="0"/>
      <w:marBottom w:val="0"/>
      <w:divBdr>
        <w:top w:val="none" w:sz="0" w:space="0" w:color="auto"/>
        <w:left w:val="none" w:sz="0" w:space="0" w:color="auto"/>
        <w:bottom w:val="none" w:sz="0" w:space="0" w:color="auto"/>
        <w:right w:val="none" w:sz="0" w:space="0" w:color="auto"/>
      </w:divBdr>
    </w:div>
    <w:div w:id="1727483201">
      <w:bodyDiv w:val="1"/>
      <w:marLeft w:val="0"/>
      <w:marRight w:val="0"/>
      <w:marTop w:val="0"/>
      <w:marBottom w:val="0"/>
      <w:divBdr>
        <w:top w:val="none" w:sz="0" w:space="0" w:color="auto"/>
        <w:left w:val="none" w:sz="0" w:space="0" w:color="auto"/>
        <w:bottom w:val="none" w:sz="0" w:space="0" w:color="auto"/>
        <w:right w:val="none" w:sz="0" w:space="0" w:color="auto"/>
      </w:divBdr>
    </w:div>
    <w:div w:id="1728334931">
      <w:bodyDiv w:val="1"/>
      <w:marLeft w:val="0"/>
      <w:marRight w:val="0"/>
      <w:marTop w:val="0"/>
      <w:marBottom w:val="0"/>
      <w:divBdr>
        <w:top w:val="none" w:sz="0" w:space="0" w:color="auto"/>
        <w:left w:val="none" w:sz="0" w:space="0" w:color="auto"/>
        <w:bottom w:val="none" w:sz="0" w:space="0" w:color="auto"/>
        <w:right w:val="none" w:sz="0" w:space="0" w:color="auto"/>
      </w:divBdr>
    </w:div>
    <w:div w:id="1730613645">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119960">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42676489">
      <w:bodyDiv w:val="1"/>
      <w:marLeft w:val="0"/>
      <w:marRight w:val="0"/>
      <w:marTop w:val="0"/>
      <w:marBottom w:val="0"/>
      <w:divBdr>
        <w:top w:val="none" w:sz="0" w:space="0" w:color="auto"/>
        <w:left w:val="none" w:sz="0" w:space="0" w:color="auto"/>
        <w:bottom w:val="none" w:sz="0" w:space="0" w:color="auto"/>
        <w:right w:val="none" w:sz="0" w:space="0" w:color="auto"/>
      </w:divBdr>
    </w:div>
    <w:div w:id="1744596979">
      <w:bodyDiv w:val="1"/>
      <w:marLeft w:val="0"/>
      <w:marRight w:val="0"/>
      <w:marTop w:val="0"/>
      <w:marBottom w:val="0"/>
      <w:divBdr>
        <w:top w:val="none" w:sz="0" w:space="0" w:color="auto"/>
        <w:left w:val="none" w:sz="0" w:space="0" w:color="auto"/>
        <w:bottom w:val="none" w:sz="0" w:space="0" w:color="auto"/>
        <w:right w:val="none" w:sz="0" w:space="0" w:color="auto"/>
      </w:divBdr>
    </w:div>
    <w:div w:id="1745689054">
      <w:bodyDiv w:val="1"/>
      <w:marLeft w:val="0"/>
      <w:marRight w:val="0"/>
      <w:marTop w:val="0"/>
      <w:marBottom w:val="0"/>
      <w:divBdr>
        <w:top w:val="none" w:sz="0" w:space="0" w:color="auto"/>
        <w:left w:val="none" w:sz="0" w:space="0" w:color="auto"/>
        <w:bottom w:val="none" w:sz="0" w:space="0" w:color="auto"/>
        <w:right w:val="none" w:sz="0" w:space="0" w:color="auto"/>
      </w:divBdr>
      <w:divsChild>
        <w:div w:id="628366377">
          <w:marLeft w:val="0"/>
          <w:marRight w:val="0"/>
          <w:marTop w:val="0"/>
          <w:marBottom w:val="0"/>
          <w:divBdr>
            <w:top w:val="none" w:sz="0" w:space="0" w:color="auto"/>
            <w:left w:val="none" w:sz="0" w:space="0" w:color="auto"/>
            <w:bottom w:val="none" w:sz="0" w:space="0" w:color="auto"/>
            <w:right w:val="none" w:sz="0" w:space="0" w:color="auto"/>
          </w:divBdr>
        </w:div>
      </w:divsChild>
    </w:div>
    <w:div w:id="1745758980">
      <w:bodyDiv w:val="1"/>
      <w:marLeft w:val="0"/>
      <w:marRight w:val="0"/>
      <w:marTop w:val="0"/>
      <w:marBottom w:val="0"/>
      <w:divBdr>
        <w:top w:val="none" w:sz="0" w:space="0" w:color="auto"/>
        <w:left w:val="none" w:sz="0" w:space="0" w:color="auto"/>
        <w:bottom w:val="none" w:sz="0" w:space="0" w:color="auto"/>
        <w:right w:val="none" w:sz="0" w:space="0" w:color="auto"/>
      </w:divBdr>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758019252">
      <w:bodyDiv w:val="1"/>
      <w:marLeft w:val="0"/>
      <w:marRight w:val="0"/>
      <w:marTop w:val="0"/>
      <w:marBottom w:val="0"/>
      <w:divBdr>
        <w:top w:val="none" w:sz="0" w:space="0" w:color="auto"/>
        <w:left w:val="none" w:sz="0" w:space="0" w:color="auto"/>
        <w:bottom w:val="none" w:sz="0" w:space="0" w:color="auto"/>
        <w:right w:val="none" w:sz="0" w:space="0" w:color="auto"/>
      </w:divBdr>
    </w:div>
    <w:div w:id="1758593302">
      <w:bodyDiv w:val="1"/>
      <w:marLeft w:val="0"/>
      <w:marRight w:val="0"/>
      <w:marTop w:val="0"/>
      <w:marBottom w:val="0"/>
      <w:divBdr>
        <w:top w:val="none" w:sz="0" w:space="0" w:color="auto"/>
        <w:left w:val="none" w:sz="0" w:space="0" w:color="auto"/>
        <w:bottom w:val="none" w:sz="0" w:space="0" w:color="auto"/>
        <w:right w:val="none" w:sz="0" w:space="0" w:color="auto"/>
      </w:divBdr>
    </w:div>
    <w:div w:id="1760638151">
      <w:bodyDiv w:val="1"/>
      <w:marLeft w:val="0"/>
      <w:marRight w:val="0"/>
      <w:marTop w:val="0"/>
      <w:marBottom w:val="0"/>
      <w:divBdr>
        <w:top w:val="none" w:sz="0" w:space="0" w:color="auto"/>
        <w:left w:val="none" w:sz="0" w:space="0" w:color="auto"/>
        <w:bottom w:val="none" w:sz="0" w:space="0" w:color="auto"/>
        <w:right w:val="none" w:sz="0" w:space="0" w:color="auto"/>
      </w:divBdr>
    </w:div>
    <w:div w:id="1768384612">
      <w:bodyDiv w:val="1"/>
      <w:marLeft w:val="0"/>
      <w:marRight w:val="0"/>
      <w:marTop w:val="0"/>
      <w:marBottom w:val="0"/>
      <w:divBdr>
        <w:top w:val="none" w:sz="0" w:space="0" w:color="auto"/>
        <w:left w:val="none" w:sz="0" w:space="0" w:color="auto"/>
        <w:bottom w:val="none" w:sz="0" w:space="0" w:color="auto"/>
        <w:right w:val="none" w:sz="0" w:space="0" w:color="auto"/>
      </w:divBdr>
    </w:div>
    <w:div w:id="1770393493">
      <w:bodyDiv w:val="1"/>
      <w:marLeft w:val="0"/>
      <w:marRight w:val="0"/>
      <w:marTop w:val="0"/>
      <w:marBottom w:val="0"/>
      <w:divBdr>
        <w:top w:val="none" w:sz="0" w:space="0" w:color="auto"/>
        <w:left w:val="none" w:sz="0" w:space="0" w:color="auto"/>
        <w:bottom w:val="none" w:sz="0" w:space="0" w:color="auto"/>
        <w:right w:val="none" w:sz="0" w:space="0" w:color="auto"/>
      </w:divBdr>
    </w:div>
    <w:div w:id="1774013207">
      <w:bodyDiv w:val="1"/>
      <w:marLeft w:val="0"/>
      <w:marRight w:val="0"/>
      <w:marTop w:val="0"/>
      <w:marBottom w:val="0"/>
      <w:divBdr>
        <w:top w:val="none" w:sz="0" w:space="0" w:color="auto"/>
        <w:left w:val="none" w:sz="0" w:space="0" w:color="auto"/>
        <w:bottom w:val="none" w:sz="0" w:space="0" w:color="auto"/>
        <w:right w:val="none" w:sz="0" w:space="0" w:color="auto"/>
      </w:divBdr>
    </w:div>
    <w:div w:id="1777676374">
      <w:bodyDiv w:val="1"/>
      <w:marLeft w:val="0"/>
      <w:marRight w:val="0"/>
      <w:marTop w:val="0"/>
      <w:marBottom w:val="0"/>
      <w:divBdr>
        <w:top w:val="none" w:sz="0" w:space="0" w:color="auto"/>
        <w:left w:val="none" w:sz="0" w:space="0" w:color="auto"/>
        <w:bottom w:val="none" w:sz="0" w:space="0" w:color="auto"/>
        <w:right w:val="none" w:sz="0" w:space="0" w:color="auto"/>
      </w:divBdr>
    </w:div>
    <w:div w:id="1780644550">
      <w:bodyDiv w:val="1"/>
      <w:marLeft w:val="0"/>
      <w:marRight w:val="0"/>
      <w:marTop w:val="0"/>
      <w:marBottom w:val="0"/>
      <w:divBdr>
        <w:top w:val="none" w:sz="0" w:space="0" w:color="auto"/>
        <w:left w:val="none" w:sz="0" w:space="0" w:color="auto"/>
        <w:bottom w:val="none" w:sz="0" w:space="0" w:color="auto"/>
        <w:right w:val="none" w:sz="0" w:space="0" w:color="auto"/>
      </w:divBdr>
    </w:div>
    <w:div w:id="1782340749">
      <w:bodyDiv w:val="1"/>
      <w:marLeft w:val="0"/>
      <w:marRight w:val="0"/>
      <w:marTop w:val="0"/>
      <w:marBottom w:val="0"/>
      <w:divBdr>
        <w:top w:val="none" w:sz="0" w:space="0" w:color="auto"/>
        <w:left w:val="none" w:sz="0" w:space="0" w:color="auto"/>
        <w:bottom w:val="none" w:sz="0" w:space="0" w:color="auto"/>
        <w:right w:val="none" w:sz="0" w:space="0" w:color="auto"/>
      </w:divBdr>
    </w:div>
    <w:div w:id="1783763056">
      <w:bodyDiv w:val="1"/>
      <w:marLeft w:val="0"/>
      <w:marRight w:val="0"/>
      <w:marTop w:val="0"/>
      <w:marBottom w:val="0"/>
      <w:divBdr>
        <w:top w:val="none" w:sz="0" w:space="0" w:color="auto"/>
        <w:left w:val="none" w:sz="0" w:space="0" w:color="auto"/>
        <w:bottom w:val="none" w:sz="0" w:space="0" w:color="auto"/>
        <w:right w:val="none" w:sz="0" w:space="0" w:color="auto"/>
      </w:divBdr>
    </w:div>
    <w:div w:id="1798183417">
      <w:bodyDiv w:val="1"/>
      <w:marLeft w:val="0"/>
      <w:marRight w:val="0"/>
      <w:marTop w:val="0"/>
      <w:marBottom w:val="0"/>
      <w:divBdr>
        <w:top w:val="none" w:sz="0" w:space="0" w:color="auto"/>
        <w:left w:val="none" w:sz="0" w:space="0" w:color="auto"/>
        <w:bottom w:val="none" w:sz="0" w:space="0" w:color="auto"/>
        <w:right w:val="none" w:sz="0" w:space="0" w:color="auto"/>
      </w:divBdr>
    </w:div>
    <w:div w:id="1798640338">
      <w:bodyDiv w:val="1"/>
      <w:marLeft w:val="0"/>
      <w:marRight w:val="0"/>
      <w:marTop w:val="0"/>
      <w:marBottom w:val="0"/>
      <w:divBdr>
        <w:top w:val="none" w:sz="0" w:space="0" w:color="auto"/>
        <w:left w:val="none" w:sz="0" w:space="0" w:color="auto"/>
        <w:bottom w:val="none" w:sz="0" w:space="0" w:color="auto"/>
        <w:right w:val="none" w:sz="0" w:space="0" w:color="auto"/>
      </w:divBdr>
    </w:div>
    <w:div w:id="1810391270">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7453415">
      <w:bodyDiv w:val="1"/>
      <w:marLeft w:val="0"/>
      <w:marRight w:val="0"/>
      <w:marTop w:val="0"/>
      <w:marBottom w:val="0"/>
      <w:divBdr>
        <w:top w:val="none" w:sz="0" w:space="0" w:color="auto"/>
        <w:left w:val="none" w:sz="0" w:space="0" w:color="auto"/>
        <w:bottom w:val="none" w:sz="0" w:space="0" w:color="auto"/>
        <w:right w:val="none" w:sz="0" w:space="0" w:color="auto"/>
      </w:divBdr>
    </w:div>
    <w:div w:id="1818954618">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28091324">
      <w:bodyDiv w:val="1"/>
      <w:marLeft w:val="0"/>
      <w:marRight w:val="0"/>
      <w:marTop w:val="0"/>
      <w:marBottom w:val="0"/>
      <w:divBdr>
        <w:top w:val="none" w:sz="0" w:space="0" w:color="auto"/>
        <w:left w:val="none" w:sz="0" w:space="0" w:color="auto"/>
        <w:bottom w:val="none" w:sz="0" w:space="0" w:color="auto"/>
        <w:right w:val="none" w:sz="0" w:space="0" w:color="auto"/>
      </w:divBdr>
    </w:div>
    <w:div w:id="1831873201">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259341">
      <w:bodyDiv w:val="1"/>
      <w:marLeft w:val="0"/>
      <w:marRight w:val="0"/>
      <w:marTop w:val="0"/>
      <w:marBottom w:val="0"/>
      <w:divBdr>
        <w:top w:val="none" w:sz="0" w:space="0" w:color="auto"/>
        <w:left w:val="none" w:sz="0" w:space="0" w:color="auto"/>
        <w:bottom w:val="none" w:sz="0" w:space="0" w:color="auto"/>
        <w:right w:val="none" w:sz="0" w:space="0" w:color="auto"/>
      </w:divBdr>
    </w:div>
    <w:div w:id="1836413854">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37726280">
      <w:bodyDiv w:val="1"/>
      <w:marLeft w:val="0"/>
      <w:marRight w:val="0"/>
      <w:marTop w:val="0"/>
      <w:marBottom w:val="0"/>
      <w:divBdr>
        <w:top w:val="none" w:sz="0" w:space="0" w:color="auto"/>
        <w:left w:val="none" w:sz="0" w:space="0" w:color="auto"/>
        <w:bottom w:val="none" w:sz="0" w:space="0" w:color="auto"/>
        <w:right w:val="none" w:sz="0" w:space="0" w:color="auto"/>
      </w:divBdr>
    </w:div>
    <w:div w:id="1852985053">
      <w:bodyDiv w:val="1"/>
      <w:marLeft w:val="0"/>
      <w:marRight w:val="0"/>
      <w:marTop w:val="0"/>
      <w:marBottom w:val="0"/>
      <w:divBdr>
        <w:top w:val="none" w:sz="0" w:space="0" w:color="auto"/>
        <w:left w:val="none" w:sz="0" w:space="0" w:color="auto"/>
        <w:bottom w:val="none" w:sz="0" w:space="0" w:color="auto"/>
        <w:right w:val="none" w:sz="0" w:space="0" w:color="auto"/>
      </w:divBdr>
    </w:div>
    <w:div w:id="1856262116">
      <w:bodyDiv w:val="1"/>
      <w:marLeft w:val="0"/>
      <w:marRight w:val="0"/>
      <w:marTop w:val="0"/>
      <w:marBottom w:val="0"/>
      <w:divBdr>
        <w:top w:val="none" w:sz="0" w:space="0" w:color="auto"/>
        <w:left w:val="none" w:sz="0" w:space="0" w:color="auto"/>
        <w:bottom w:val="none" w:sz="0" w:space="0" w:color="auto"/>
        <w:right w:val="none" w:sz="0" w:space="0" w:color="auto"/>
      </w:divBdr>
    </w:div>
    <w:div w:id="1857697236">
      <w:bodyDiv w:val="1"/>
      <w:marLeft w:val="0"/>
      <w:marRight w:val="0"/>
      <w:marTop w:val="0"/>
      <w:marBottom w:val="0"/>
      <w:divBdr>
        <w:top w:val="none" w:sz="0" w:space="0" w:color="auto"/>
        <w:left w:val="none" w:sz="0" w:space="0" w:color="auto"/>
        <w:bottom w:val="none" w:sz="0" w:space="0" w:color="auto"/>
        <w:right w:val="none" w:sz="0" w:space="0" w:color="auto"/>
      </w:divBdr>
      <w:divsChild>
        <w:div w:id="642009671">
          <w:marLeft w:val="0"/>
          <w:marRight w:val="0"/>
          <w:marTop w:val="0"/>
          <w:marBottom w:val="0"/>
          <w:divBdr>
            <w:top w:val="none" w:sz="0" w:space="0" w:color="auto"/>
            <w:left w:val="none" w:sz="0" w:space="0" w:color="auto"/>
            <w:bottom w:val="none" w:sz="0" w:space="0" w:color="auto"/>
            <w:right w:val="none" w:sz="0" w:space="0" w:color="auto"/>
          </w:divBdr>
          <w:divsChild>
            <w:div w:id="583800301">
              <w:marLeft w:val="0"/>
              <w:marRight w:val="0"/>
              <w:marTop w:val="0"/>
              <w:marBottom w:val="0"/>
              <w:divBdr>
                <w:top w:val="none" w:sz="0" w:space="0" w:color="auto"/>
                <w:left w:val="none" w:sz="0" w:space="0" w:color="auto"/>
                <w:bottom w:val="none" w:sz="0" w:space="0" w:color="auto"/>
                <w:right w:val="none" w:sz="0" w:space="0" w:color="auto"/>
              </w:divBdr>
              <w:divsChild>
                <w:div w:id="5157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727720">
          <w:marLeft w:val="0"/>
          <w:marRight w:val="0"/>
          <w:marTop w:val="0"/>
          <w:marBottom w:val="0"/>
          <w:divBdr>
            <w:top w:val="none" w:sz="0" w:space="0" w:color="auto"/>
            <w:left w:val="none" w:sz="0" w:space="0" w:color="auto"/>
            <w:bottom w:val="none" w:sz="0" w:space="0" w:color="auto"/>
            <w:right w:val="none" w:sz="0" w:space="0" w:color="auto"/>
          </w:divBdr>
        </w:div>
        <w:div w:id="765808972">
          <w:marLeft w:val="0"/>
          <w:marRight w:val="0"/>
          <w:marTop w:val="0"/>
          <w:marBottom w:val="0"/>
          <w:divBdr>
            <w:top w:val="none" w:sz="0" w:space="0" w:color="auto"/>
            <w:left w:val="none" w:sz="0" w:space="0" w:color="auto"/>
            <w:bottom w:val="none" w:sz="0" w:space="0" w:color="auto"/>
            <w:right w:val="none" w:sz="0" w:space="0" w:color="auto"/>
          </w:divBdr>
          <w:divsChild>
            <w:div w:id="1224677128">
              <w:marLeft w:val="0"/>
              <w:marRight w:val="0"/>
              <w:marTop w:val="0"/>
              <w:marBottom w:val="0"/>
              <w:divBdr>
                <w:top w:val="none" w:sz="0" w:space="0" w:color="auto"/>
                <w:left w:val="none" w:sz="0" w:space="0" w:color="auto"/>
                <w:bottom w:val="none" w:sz="0" w:space="0" w:color="auto"/>
                <w:right w:val="none" w:sz="0" w:space="0" w:color="auto"/>
              </w:divBdr>
              <w:divsChild>
                <w:div w:id="436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4717">
          <w:marLeft w:val="0"/>
          <w:marRight w:val="0"/>
          <w:marTop w:val="0"/>
          <w:marBottom w:val="0"/>
          <w:divBdr>
            <w:top w:val="none" w:sz="0" w:space="0" w:color="auto"/>
            <w:left w:val="none" w:sz="0" w:space="0" w:color="auto"/>
            <w:bottom w:val="none" w:sz="0" w:space="0" w:color="auto"/>
            <w:right w:val="none" w:sz="0" w:space="0" w:color="auto"/>
          </w:divBdr>
          <w:divsChild>
            <w:div w:id="108939924">
              <w:marLeft w:val="0"/>
              <w:marRight w:val="0"/>
              <w:marTop w:val="0"/>
              <w:marBottom w:val="0"/>
              <w:divBdr>
                <w:top w:val="none" w:sz="0" w:space="0" w:color="auto"/>
                <w:left w:val="none" w:sz="0" w:space="0" w:color="auto"/>
                <w:bottom w:val="none" w:sz="0" w:space="0" w:color="auto"/>
                <w:right w:val="none" w:sz="0" w:space="0" w:color="auto"/>
              </w:divBdr>
              <w:divsChild>
                <w:div w:id="5599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782">
          <w:marLeft w:val="0"/>
          <w:marRight w:val="0"/>
          <w:marTop w:val="0"/>
          <w:marBottom w:val="0"/>
          <w:divBdr>
            <w:top w:val="none" w:sz="0" w:space="0" w:color="auto"/>
            <w:left w:val="none" w:sz="0" w:space="0" w:color="auto"/>
            <w:bottom w:val="none" w:sz="0" w:space="0" w:color="auto"/>
            <w:right w:val="none" w:sz="0" w:space="0" w:color="auto"/>
          </w:divBdr>
        </w:div>
        <w:div w:id="1921327534">
          <w:marLeft w:val="0"/>
          <w:marRight w:val="0"/>
          <w:marTop w:val="0"/>
          <w:marBottom w:val="0"/>
          <w:divBdr>
            <w:top w:val="none" w:sz="0" w:space="0" w:color="auto"/>
            <w:left w:val="none" w:sz="0" w:space="0" w:color="auto"/>
            <w:bottom w:val="none" w:sz="0" w:space="0" w:color="auto"/>
            <w:right w:val="none" w:sz="0" w:space="0" w:color="auto"/>
          </w:divBdr>
        </w:div>
        <w:div w:id="2001762485">
          <w:marLeft w:val="0"/>
          <w:marRight w:val="0"/>
          <w:marTop w:val="0"/>
          <w:marBottom w:val="0"/>
          <w:divBdr>
            <w:top w:val="none" w:sz="0" w:space="0" w:color="auto"/>
            <w:left w:val="none" w:sz="0" w:space="0" w:color="auto"/>
            <w:bottom w:val="none" w:sz="0" w:space="0" w:color="auto"/>
            <w:right w:val="none" w:sz="0" w:space="0" w:color="auto"/>
          </w:divBdr>
          <w:divsChild>
            <w:div w:id="1180392311">
              <w:marLeft w:val="0"/>
              <w:marRight w:val="0"/>
              <w:marTop w:val="0"/>
              <w:marBottom w:val="0"/>
              <w:divBdr>
                <w:top w:val="none" w:sz="0" w:space="0" w:color="auto"/>
                <w:left w:val="none" w:sz="0" w:space="0" w:color="auto"/>
                <w:bottom w:val="none" w:sz="0" w:space="0" w:color="auto"/>
                <w:right w:val="none" w:sz="0" w:space="0" w:color="auto"/>
              </w:divBdr>
              <w:divsChild>
                <w:div w:id="112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14911">
      <w:bodyDiv w:val="1"/>
      <w:marLeft w:val="0"/>
      <w:marRight w:val="0"/>
      <w:marTop w:val="0"/>
      <w:marBottom w:val="0"/>
      <w:divBdr>
        <w:top w:val="none" w:sz="0" w:space="0" w:color="auto"/>
        <w:left w:val="none" w:sz="0" w:space="0" w:color="auto"/>
        <w:bottom w:val="none" w:sz="0" w:space="0" w:color="auto"/>
        <w:right w:val="none" w:sz="0" w:space="0" w:color="auto"/>
      </w:divBdr>
    </w:div>
    <w:div w:id="1863202838">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0704619">
      <w:bodyDiv w:val="1"/>
      <w:marLeft w:val="0"/>
      <w:marRight w:val="0"/>
      <w:marTop w:val="0"/>
      <w:marBottom w:val="0"/>
      <w:divBdr>
        <w:top w:val="none" w:sz="0" w:space="0" w:color="auto"/>
        <w:left w:val="none" w:sz="0" w:space="0" w:color="auto"/>
        <w:bottom w:val="none" w:sz="0" w:space="0" w:color="auto"/>
        <w:right w:val="none" w:sz="0" w:space="0" w:color="auto"/>
      </w:divBdr>
    </w:div>
    <w:div w:id="1881084775">
      <w:bodyDiv w:val="1"/>
      <w:marLeft w:val="0"/>
      <w:marRight w:val="0"/>
      <w:marTop w:val="0"/>
      <w:marBottom w:val="0"/>
      <w:divBdr>
        <w:top w:val="none" w:sz="0" w:space="0" w:color="auto"/>
        <w:left w:val="none" w:sz="0" w:space="0" w:color="auto"/>
        <w:bottom w:val="none" w:sz="0" w:space="0" w:color="auto"/>
        <w:right w:val="none" w:sz="0" w:space="0" w:color="auto"/>
      </w:divBdr>
    </w:div>
    <w:div w:id="1884058378">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3467098">
      <w:bodyDiv w:val="1"/>
      <w:marLeft w:val="0"/>
      <w:marRight w:val="0"/>
      <w:marTop w:val="0"/>
      <w:marBottom w:val="0"/>
      <w:divBdr>
        <w:top w:val="none" w:sz="0" w:space="0" w:color="auto"/>
        <w:left w:val="none" w:sz="0" w:space="0" w:color="auto"/>
        <w:bottom w:val="none" w:sz="0" w:space="0" w:color="auto"/>
        <w:right w:val="none" w:sz="0" w:space="0" w:color="auto"/>
      </w:divBdr>
      <w:divsChild>
        <w:div w:id="464393554">
          <w:marLeft w:val="0"/>
          <w:marRight w:val="0"/>
          <w:marTop w:val="0"/>
          <w:marBottom w:val="300"/>
          <w:divBdr>
            <w:top w:val="none" w:sz="0" w:space="0" w:color="auto"/>
            <w:left w:val="none" w:sz="0" w:space="0" w:color="auto"/>
            <w:bottom w:val="none" w:sz="0" w:space="0" w:color="auto"/>
            <w:right w:val="none" w:sz="0" w:space="0" w:color="auto"/>
          </w:divBdr>
        </w:div>
        <w:div w:id="1133673741">
          <w:marLeft w:val="0"/>
          <w:marRight w:val="0"/>
          <w:marTop w:val="0"/>
          <w:marBottom w:val="0"/>
          <w:divBdr>
            <w:top w:val="none" w:sz="0" w:space="0" w:color="auto"/>
            <w:left w:val="none" w:sz="0" w:space="0" w:color="auto"/>
            <w:bottom w:val="none" w:sz="0" w:space="0" w:color="auto"/>
            <w:right w:val="none" w:sz="0" w:space="0" w:color="auto"/>
          </w:divBdr>
        </w:div>
        <w:div w:id="1584758365">
          <w:marLeft w:val="0"/>
          <w:marRight w:val="0"/>
          <w:marTop w:val="0"/>
          <w:marBottom w:val="300"/>
          <w:divBdr>
            <w:top w:val="none" w:sz="0" w:space="0" w:color="auto"/>
            <w:left w:val="none" w:sz="0" w:space="0" w:color="auto"/>
            <w:bottom w:val="none" w:sz="0" w:space="0" w:color="auto"/>
            <w:right w:val="none" w:sz="0" w:space="0" w:color="auto"/>
          </w:divBdr>
        </w:div>
        <w:div w:id="1766343983">
          <w:marLeft w:val="0"/>
          <w:marRight w:val="0"/>
          <w:marTop w:val="0"/>
          <w:marBottom w:val="0"/>
          <w:divBdr>
            <w:top w:val="none" w:sz="0" w:space="0" w:color="auto"/>
            <w:left w:val="none" w:sz="0" w:space="0" w:color="auto"/>
            <w:bottom w:val="none" w:sz="0" w:space="0" w:color="auto"/>
            <w:right w:val="none" w:sz="0" w:space="0" w:color="auto"/>
          </w:divBdr>
        </w:div>
      </w:divsChild>
    </w:div>
    <w:div w:id="1893468023">
      <w:bodyDiv w:val="1"/>
      <w:marLeft w:val="0"/>
      <w:marRight w:val="0"/>
      <w:marTop w:val="0"/>
      <w:marBottom w:val="0"/>
      <w:divBdr>
        <w:top w:val="none" w:sz="0" w:space="0" w:color="auto"/>
        <w:left w:val="none" w:sz="0" w:space="0" w:color="auto"/>
        <w:bottom w:val="none" w:sz="0" w:space="0" w:color="auto"/>
        <w:right w:val="none" w:sz="0" w:space="0" w:color="auto"/>
      </w:divBdr>
    </w:div>
    <w:div w:id="1894612251">
      <w:bodyDiv w:val="1"/>
      <w:marLeft w:val="0"/>
      <w:marRight w:val="0"/>
      <w:marTop w:val="0"/>
      <w:marBottom w:val="0"/>
      <w:divBdr>
        <w:top w:val="none" w:sz="0" w:space="0" w:color="auto"/>
        <w:left w:val="none" w:sz="0" w:space="0" w:color="auto"/>
        <w:bottom w:val="none" w:sz="0" w:space="0" w:color="auto"/>
        <w:right w:val="none" w:sz="0" w:space="0" w:color="auto"/>
      </w:divBdr>
    </w:div>
    <w:div w:id="1895895917">
      <w:bodyDiv w:val="1"/>
      <w:marLeft w:val="0"/>
      <w:marRight w:val="0"/>
      <w:marTop w:val="0"/>
      <w:marBottom w:val="0"/>
      <w:divBdr>
        <w:top w:val="none" w:sz="0" w:space="0" w:color="auto"/>
        <w:left w:val="none" w:sz="0" w:space="0" w:color="auto"/>
        <w:bottom w:val="none" w:sz="0" w:space="0" w:color="auto"/>
        <w:right w:val="none" w:sz="0" w:space="0" w:color="auto"/>
      </w:divBdr>
    </w:div>
    <w:div w:id="1896160094">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00046439">
      <w:bodyDiv w:val="1"/>
      <w:marLeft w:val="0"/>
      <w:marRight w:val="0"/>
      <w:marTop w:val="0"/>
      <w:marBottom w:val="0"/>
      <w:divBdr>
        <w:top w:val="none" w:sz="0" w:space="0" w:color="auto"/>
        <w:left w:val="none" w:sz="0" w:space="0" w:color="auto"/>
        <w:bottom w:val="none" w:sz="0" w:space="0" w:color="auto"/>
        <w:right w:val="none" w:sz="0" w:space="0" w:color="auto"/>
      </w:divBdr>
    </w:div>
    <w:div w:id="1903250050">
      <w:bodyDiv w:val="1"/>
      <w:marLeft w:val="0"/>
      <w:marRight w:val="0"/>
      <w:marTop w:val="0"/>
      <w:marBottom w:val="0"/>
      <w:divBdr>
        <w:top w:val="none" w:sz="0" w:space="0" w:color="auto"/>
        <w:left w:val="none" w:sz="0" w:space="0" w:color="auto"/>
        <w:bottom w:val="none" w:sz="0" w:space="0" w:color="auto"/>
        <w:right w:val="none" w:sz="0" w:space="0" w:color="auto"/>
      </w:divBdr>
    </w:div>
    <w:div w:id="1904368105">
      <w:bodyDiv w:val="1"/>
      <w:marLeft w:val="0"/>
      <w:marRight w:val="0"/>
      <w:marTop w:val="0"/>
      <w:marBottom w:val="0"/>
      <w:divBdr>
        <w:top w:val="none" w:sz="0" w:space="0" w:color="auto"/>
        <w:left w:val="none" w:sz="0" w:space="0" w:color="auto"/>
        <w:bottom w:val="none" w:sz="0" w:space="0" w:color="auto"/>
        <w:right w:val="none" w:sz="0" w:space="0" w:color="auto"/>
      </w:divBdr>
    </w:div>
    <w:div w:id="1907261329">
      <w:bodyDiv w:val="1"/>
      <w:marLeft w:val="0"/>
      <w:marRight w:val="0"/>
      <w:marTop w:val="0"/>
      <w:marBottom w:val="0"/>
      <w:divBdr>
        <w:top w:val="none" w:sz="0" w:space="0" w:color="auto"/>
        <w:left w:val="none" w:sz="0" w:space="0" w:color="auto"/>
        <w:bottom w:val="none" w:sz="0" w:space="0" w:color="auto"/>
        <w:right w:val="none" w:sz="0" w:space="0" w:color="auto"/>
      </w:divBdr>
    </w:div>
    <w:div w:id="1910993879">
      <w:bodyDiv w:val="1"/>
      <w:marLeft w:val="0"/>
      <w:marRight w:val="0"/>
      <w:marTop w:val="0"/>
      <w:marBottom w:val="0"/>
      <w:divBdr>
        <w:top w:val="none" w:sz="0" w:space="0" w:color="auto"/>
        <w:left w:val="none" w:sz="0" w:space="0" w:color="auto"/>
        <w:bottom w:val="none" w:sz="0" w:space="0" w:color="auto"/>
        <w:right w:val="none" w:sz="0" w:space="0" w:color="auto"/>
      </w:divBdr>
      <w:divsChild>
        <w:div w:id="396632856">
          <w:marLeft w:val="0"/>
          <w:marRight w:val="0"/>
          <w:marTop w:val="0"/>
          <w:marBottom w:val="0"/>
          <w:divBdr>
            <w:top w:val="none" w:sz="0" w:space="0" w:color="auto"/>
            <w:left w:val="none" w:sz="0" w:space="0" w:color="auto"/>
            <w:bottom w:val="none" w:sz="0" w:space="0" w:color="auto"/>
            <w:right w:val="none" w:sz="0" w:space="0" w:color="auto"/>
          </w:divBdr>
          <w:divsChild>
            <w:div w:id="424351569">
              <w:marLeft w:val="0"/>
              <w:marRight w:val="0"/>
              <w:marTop w:val="0"/>
              <w:marBottom w:val="0"/>
              <w:divBdr>
                <w:top w:val="none" w:sz="0" w:space="0" w:color="auto"/>
                <w:left w:val="none" w:sz="0" w:space="0" w:color="auto"/>
                <w:bottom w:val="none" w:sz="0" w:space="0" w:color="auto"/>
                <w:right w:val="none" w:sz="0" w:space="0" w:color="auto"/>
              </w:divBdr>
              <w:divsChild>
                <w:div w:id="1394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64996">
          <w:marLeft w:val="0"/>
          <w:marRight w:val="0"/>
          <w:marTop w:val="0"/>
          <w:marBottom w:val="0"/>
          <w:divBdr>
            <w:top w:val="none" w:sz="0" w:space="0" w:color="auto"/>
            <w:left w:val="none" w:sz="0" w:space="0" w:color="auto"/>
            <w:bottom w:val="none" w:sz="0" w:space="0" w:color="auto"/>
            <w:right w:val="none" w:sz="0" w:space="0" w:color="auto"/>
          </w:divBdr>
          <w:divsChild>
            <w:div w:id="787627437">
              <w:marLeft w:val="0"/>
              <w:marRight w:val="0"/>
              <w:marTop w:val="0"/>
              <w:marBottom w:val="0"/>
              <w:divBdr>
                <w:top w:val="none" w:sz="0" w:space="0" w:color="auto"/>
                <w:left w:val="none" w:sz="0" w:space="0" w:color="auto"/>
                <w:bottom w:val="none" w:sz="0" w:space="0" w:color="auto"/>
                <w:right w:val="none" w:sz="0" w:space="0" w:color="auto"/>
              </w:divBdr>
              <w:divsChild>
                <w:div w:id="624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99684">
          <w:marLeft w:val="0"/>
          <w:marRight w:val="0"/>
          <w:marTop w:val="0"/>
          <w:marBottom w:val="0"/>
          <w:divBdr>
            <w:top w:val="none" w:sz="0" w:space="0" w:color="auto"/>
            <w:left w:val="none" w:sz="0" w:space="0" w:color="auto"/>
            <w:bottom w:val="none" w:sz="0" w:space="0" w:color="auto"/>
            <w:right w:val="none" w:sz="0" w:space="0" w:color="auto"/>
          </w:divBdr>
          <w:divsChild>
            <w:div w:id="1592010372">
              <w:marLeft w:val="0"/>
              <w:marRight w:val="0"/>
              <w:marTop w:val="0"/>
              <w:marBottom w:val="0"/>
              <w:divBdr>
                <w:top w:val="none" w:sz="0" w:space="0" w:color="auto"/>
                <w:left w:val="none" w:sz="0" w:space="0" w:color="auto"/>
                <w:bottom w:val="none" w:sz="0" w:space="0" w:color="auto"/>
                <w:right w:val="none" w:sz="0" w:space="0" w:color="auto"/>
              </w:divBdr>
              <w:divsChild>
                <w:div w:id="8757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2216">
          <w:marLeft w:val="0"/>
          <w:marRight w:val="0"/>
          <w:marTop w:val="0"/>
          <w:marBottom w:val="0"/>
          <w:divBdr>
            <w:top w:val="none" w:sz="0" w:space="0" w:color="auto"/>
            <w:left w:val="none" w:sz="0" w:space="0" w:color="auto"/>
            <w:bottom w:val="none" w:sz="0" w:space="0" w:color="auto"/>
            <w:right w:val="none" w:sz="0" w:space="0" w:color="auto"/>
          </w:divBdr>
        </w:div>
        <w:div w:id="1668944161">
          <w:marLeft w:val="0"/>
          <w:marRight w:val="0"/>
          <w:marTop w:val="0"/>
          <w:marBottom w:val="0"/>
          <w:divBdr>
            <w:top w:val="none" w:sz="0" w:space="0" w:color="auto"/>
            <w:left w:val="none" w:sz="0" w:space="0" w:color="auto"/>
            <w:bottom w:val="none" w:sz="0" w:space="0" w:color="auto"/>
            <w:right w:val="none" w:sz="0" w:space="0" w:color="auto"/>
          </w:divBdr>
        </w:div>
        <w:div w:id="1898126933">
          <w:marLeft w:val="0"/>
          <w:marRight w:val="0"/>
          <w:marTop w:val="0"/>
          <w:marBottom w:val="0"/>
          <w:divBdr>
            <w:top w:val="none" w:sz="0" w:space="0" w:color="auto"/>
            <w:left w:val="none" w:sz="0" w:space="0" w:color="auto"/>
            <w:bottom w:val="none" w:sz="0" w:space="0" w:color="auto"/>
            <w:right w:val="none" w:sz="0" w:space="0" w:color="auto"/>
          </w:divBdr>
        </w:div>
        <w:div w:id="1899050458">
          <w:marLeft w:val="0"/>
          <w:marRight w:val="0"/>
          <w:marTop w:val="0"/>
          <w:marBottom w:val="0"/>
          <w:divBdr>
            <w:top w:val="none" w:sz="0" w:space="0" w:color="auto"/>
            <w:left w:val="none" w:sz="0" w:space="0" w:color="auto"/>
            <w:bottom w:val="none" w:sz="0" w:space="0" w:color="auto"/>
            <w:right w:val="none" w:sz="0" w:space="0" w:color="auto"/>
          </w:divBdr>
          <w:divsChild>
            <w:div w:id="1302031711">
              <w:marLeft w:val="0"/>
              <w:marRight w:val="0"/>
              <w:marTop w:val="0"/>
              <w:marBottom w:val="0"/>
              <w:divBdr>
                <w:top w:val="none" w:sz="0" w:space="0" w:color="auto"/>
                <w:left w:val="none" w:sz="0" w:space="0" w:color="auto"/>
                <w:bottom w:val="none" w:sz="0" w:space="0" w:color="auto"/>
                <w:right w:val="none" w:sz="0" w:space="0" w:color="auto"/>
              </w:divBdr>
              <w:divsChild>
                <w:div w:id="10023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6087">
      <w:bodyDiv w:val="1"/>
      <w:marLeft w:val="0"/>
      <w:marRight w:val="0"/>
      <w:marTop w:val="0"/>
      <w:marBottom w:val="0"/>
      <w:divBdr>
        <w:top w:val="none" w:sz="0" w:space="0" w:color="auto"/>
        <w:left w:val="none" w:sz="0" w:space="0" w:color="auto"/>
        <w:bottom w:val="none" w:sz="0" w:space="0" w:color="auto"/>
        <w:right w:val="none" w:sz="0" w:space="0" w:color="auto"/>
      </w:divBdr>
    </w:div>
    <w:div w:id="1917201369">
      <w:bodyDiv w:val="1"/>
      <w:marLeft w:val="0"/>
      <w:marRight w:val="0"/>
      <w:marTop w:val="0"/>
      <w:marBottom w:val="0"/>
      <w:divBdr>
        <w:top w:val="none" w:sz="0" w:space="0" w:color="auto"/>
        <w:left w:val="none" w:sz="0" w:space="0" w:color="auto"/>
        <w:bottom w:val="none" w:sz="0" w:space="0" w:color="auto"/>
        <w:right w:val="none" w:sz="0" w:space="0" w:color="auto"/>
      </w:divBdr>
    </w:div>
    <w:div w:id="1918247492">
      <w:bodyDiv w:val="1"/>
      <w:marLeft w:val="0"/>
      <w:marRight w:val="0"/>
      <w:marTop w:val="0"/>
      <w:marBottom w:val="0"/>
      <w:divBdr>
        <w:top w:val="none" w:sz="0" w:space="0" w:color="auto"/>
        <w:left w:val="none" w:sz="0" w:space="0" w:color="auto"/>
        <w:bottom w:val="none" w:sz="0" w:space="0" w:color="auto"/>
        <w:right w:val="none" w:sz="0" w:space="0" w:color="auto"/>
      </w:divBdr>
    </w:div>
    <w:div w:id="1920021561">
      <w:bodyDiv w:val="1"/>
      <w:marLeft w:val="0"/>
      <w:marRight w:val="0"/>
      <w:marTop w:val="0"/>
      <w:marBottom w:val="0"/>
      <w:divBdr>
        <w:top w:val="none" w:sz="0" w:space="0" w:color="auto"/>
        <w:left w:val="none" w:sz="0" w:space="0" w:color="auto"/>
        <w:bottom w:val="none" w:sz="0" w:space="0" w:color="auto"/>
        <w:right w:val="none" w:sz="0" w:space="0" w:color="auto"/>
      </w:divBdr>
    </w:div>
    <w:div w:id="1933196398">
      <w:bodyDiv w:val="1"/>
      <w:marLeft w:val="0"/>
      <w:marRight w:val="0"/>
      <w:marTop w:val="0"/>
      <w:marBottom w:val="0"/>
      <w:divBdr>
        <w:top w:val="none" w:sz="0" w:space="0" w:color="auto"/>
        <w:left w:val="none" w:sz="0" w:space="0" w:color="auto"/>
        <w:bottom w:val="none" w:sz="0" w:space="0" w:color="auto"/>
        <w:right w:val="none" w:sz="0" w:space="0" w:color="auto"/>
      </w:divBdr>
    </w:div>
    <w:div w:id="1940676451">
      <w:bodyDiv w:val="1"/>
      <w:marLeft w:val="0"/>
      <w:marRight w:val="0"/>
      <w:marTop w:val="0"/>
      <w:marBottom w:val="0"/>
      <w:divBdr>
        <w:top w:val="none" w:sz="0" w:space="0" w:color="auto"/>
        <w:left w:val="none" w:sz="0" w:space="0" w:color="auto"/>
        <w:bottom w:val="none" w:sz="0" w:space="0" w:color="auto"/>
        <w:right w:val="none" w:sz="0" w:space="0" w:color="auto"/>
      </w:divBdr>
    </w:div>
    <w:div w:id="1942179310">
      <w:bodyDiv w:val="1"/>
      <w:marLeft w:val="0"/>
      <w:marRight w:val="0"/>
      <w:marTop w:val="0"/>
      <w:marBottom w:val="0"/>
      <w:divBdr>
        <w:top w:val="none" w:sz="0" w:space="0" w:color="auto"/>
        <w:left w:val="none" w:sz="0" w:space="0" w:color="auto"/>
        <w:bottom w:val="none" w:sz="0" w:space="0" w:color="auto"/>
        <w:right w:val="none" w:sz="0" w:space="0" w:color="auto"/>
      </w:divBdr>
    </w:div>
    <w:div w:id="1946695426">
      <w:bodyDiv w:val="1"/>
      <w:marLeft w:val="0"/>
      <w:marRight w:val="0"/>
      <w:marTop w:val="0"/>
      <w:marBottom w:val="0"/>
      <w:divBdr>
        <w:top w:val="none" w:sz="0" w:space="0" w:color="auto"/>
        <w:left w:val="none" w:sz="0" w:space="0" w:color="auto"/>
        <w:bottom w:val="none" w:sz="0" w:space="0" w:color="auto"/>
        <w:right w:val="none" w:sz="0" w:space="0" w:color="auto"/>
      </w:divBdr>
    </w:div>
    <w:div w:id="1947957429">
      <w:bodyDiv w:val="1"/>
      <w:marLeft w:val="0"/>
      <w:marRight w:val="0"/>
      <w:marTop w:val="0"/>
      <w:marBottom w:val="0"/>
      <w:divBdr>
        <w:top w:val="none" w:sz="0" w:space="0" w:color="auto"/>
        <w:left w:val="none" w:sz="0" w:space="0" w:color="auto"/>
        <w:bottom w:val="none" w:sz="0" w:space="0" w:color="auto"/>
        <w:right w:val="none" w:sz="0" w:space="0" w:color="auto"/>
      </w:divBdr>
    </w:div>
    <w:div w:id="1955364124">
      <w:bodyDiv w:val="1"/>
      <w:marLeft w:val="0"/>
      <w:marRight w:val="0"/>
      <w:marTop w:val="0"/>
      <w:marBottom w:val="0"/>
      <w:divBdr>
        <w:top w:val="none" w:sz="0" w:space="0" w:color="auto"/>
        <w:left w:val="none" w:sz="0" w:space="0" w:color="auto"/>
        <w:bottom w:val="none" w:sz="0" w:space="0" w:color="auto"/>
        <w:right w:val="none" w:sz="0" w:space="0" w:color="auto"/>
      </w:divBdr>
    </w:div>
    <w:div w:id="1957834205">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
    <w:div w:id="1962110980">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75482045">
      <w:bodyDiv w:val="1"/>
      <w:marLeft w:val="0"/>
      <w:marRight w:val="0"/>
      <w:marTop w:val="0"/>
      <w:marBottom w:val="0"/>
      <w:divBdr>
        <w:top w:val="none" w:sz="0" w:space="0" w:color="auto"/>
        <w:left w:val="none" w:sz="0" w:space="0" w:color="auto"/>
        <w:bottom w:val="none" w:sz="0" w:space="0" w:color="auto"/>
        <w:right w:val="none" w:sz="0" w:space="0" w:color="auto"/>
      </w:divBdr>
    </w:div>
    <w:div w:id="1976446852">
      <w:bodyDiv w:val="1"/>
      <w:marLeft w:val="0"/>
      <w:marRight w:val="0"/>
      <w:marTop w:val="0"/>
      <w:marBottom w:val="0"/>
      <w:divBdr>
        <w:top w:val="none" w:sz="0" w:space="0" w:color="auto"/>
        <w:left w:val="none" w:sz="0" w:space="0" w:color="auto"/>
        <w:bottom w:val="none" w:sz="0" w:space="0" w:color="auto"/>
        <w:right w:val="none" w:sz="0" w:space="0" w:color="auto"/>
      </w:divBdr>
    </w:div>
    <w:div w:id="1980844191">
      <w:bodyDiv w:val="1"/>
      <w:marLeft w:val="0"/>
      <w:marRight w:val="0"/>
      <w:marTop w:val="0"/>
      <w:marBottom w:val="0"/>
      <w:divBdr>
        <w:top w:val="none" w:sz="0" w:space="0" w:color="auto"/>
        <w:left w:val="none" w:sz="0" w:space="0" w:color="auto"/>
        <w:bottom w:val="none" w:sz="0" w:space="0" w:color="auto"/>
        <w:right w:val="none" w:sz="0" w:space="0" w:color="auto"/>
      </w:divBdr>
    </w:div>
    <w:div w:id="1982609428">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282401">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3046968">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04894176">
      <w:bodyDiv w:val="1"/>
      <w:marLeft w:val="0"/>
      <w:marRight w:val="0"/>
      <w:marTop w:val="0"/>
      <w:marBottom w:val="0"/>
      <w:divBdr>
        <w:top w:val="none" w:sz="0" w:space="0" w:color="auto"/>
        <w:left w:val="none" w:sz="0" w:space="0" w:color="auto"/>
        <w:bottom w:val="none" w:sz="0" w:space="0" w:color="auto"/>
        <w:right w:val="none" w:sz="0" w:space="0" w:color="auto"/>
      </w:divBdr>
    </w:div>
    <w:div w:id="2007592719">
      <w:bodyDiv w:val="1"/>
      <w:marLeft w:val="0"/>
      <w:marRight w:val="0"/>
      <w:marTop w:val="0"/>
      <w:marBottom w:val="0"/>
      <w:divBdr>
        <w:top w:val="none" w:sz="0" w:space="0" w:color="auto"/>
        <w:left w:val="none" w:sz="0" w:space="0" w:color="auto"/>
        <w:bottom w:val="none" w:sz="0" w:space="0" w:color="auto"/>
        <w:right w:val="none" w:sz="0" w:space="0" w:color="auto"/>
      </w:divBdr>
    </w:div>
    <w:div w:id="2008315674">
      <w:bodyDiv w:val="1"/>
      <w:marLeft w:val="0"/>
      <w:marRight w:val="0"/>
      <w:marTop w:val="0"/>
      <w:marBottom w:val="0"/>
      <w:divBdr>
        <w:top w:val="none" w:sz="0" w:space="0" w:color="auto"/>
        <w:left w:val="none" w:sz="0" w:space="0" w:color="auto"/>
        <w:bottom w:val="none" w:sz="0" w:space="0" w:color="auto"/>
        <w:right w:val="none" w:sz="0" w:space="0" w:color="auto"/>
      </w:divBdr>
    </w:div>
    <w:div w:id="2010450316">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18724809">
      <w:bodyDiv w:val="1"/>
      <w:marLeft w:val="0"/>
      <w:marRight w:val="0"/>
      <w:marTop w:val="0"/>
      <w:marBottom w:val="0"/>
      <w:divBdr>
        <w:top w:val="none" w:sz="0" w:space="0" w:color="auto"/>
        <w:left w:val="none" w:sz="0" w:space="0" w:color="auto"/>
        <w:bottom w:val="none" w:sz="0" w:space="0" w:color="auto"/>
        <w:right w:val="none" w:sz="0" w:space="0" w:color="auto"/>
      </w:divBdr>
    </w:div>
    <w:div w:id="2020505102">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21159530">
      <w:bodyDiv w:val="1"/>
      <w:marLeft w:val="0"/>
      <w:marRight w:val="0"/>
      <w:marTop w:val="0"/>
      <w:marBottom w:val="0"/>
      <w:divBdr>
        <w:top w:val="none" w:sz="0" w:space="0" w:color="auto"/>
        <w:left w:val="none" w:sz="0" w:space="0" w:color="auto"/>
        <w:bottom w:val="none" w:sz="0" w:space="0" w:color="auto"/>
        <w:right w:val="none" w:sz="0" w:space="0" w:color="auto"/>
      </w:divBdr>
    </w:div>
    <w:div w:id="2030905725">
      <w:bodyDiv w:val="1"/>
      <w:marLeft w:val="0"/>
      <w:marRight w:val="0"/>
      <w:marTop w:val="0"/>
      <w:marBottom w:val="0"/>
      <w:divBdr>
        <w:top w:val="none" w:sz="0" w:space="0" w:color="auto"/>
        <w:left w:val="none" w:sz="0" w:space="0" w:color="auto"/>
        <w:bottom w:val="none" w:sz="0" w:space="0" w:color="auto"/>
        <w:right w:val="none" w:sz="0" w:space="0" w:color="auto"/>
      </w:divBdr>
    </w:div>
    <w:div w:id="2031947841">
      <w:bodyDiv w:val="1"/>
      <w:marLeft w:val="0"/>
      <w:marRight w:val="0"/>
      <w:marTop w:val="0"/>
      <w:marBottom w:val="0"/>
      <w:divBdr>
        <w:top w:val="none" w:sz="0" w:space="0" w:color="auto"/>
        <w:left w:val="none" w:sz="0" w:space="0" w:color="auto"/>
        <w:bottom w:val="none" w:sz="0" w:space="0" w:color="auto"/>
        <w:right w:val="none" w:sz="0" w:space="0" w:color="auto"/>
      </w:divBdr>
    </w:div>
    <w:div w:id="2039306817">
      <w:bodyDiv w:val="1"/>
      <w:marLeft w:val="0"/>
      <w:marRight w:val="0"/>
      <w:marTop w:val="0"/>
      <w:marBottom w:val="0"/>
      <w:divBdr>
        <w:top w:val="none" w:sz="0" w:space="0" w:color="auto"/>
        <w:left w:val="none" w:sz="0" w:space="0" w:color="auto"/>
        <w:bottom w:val="none" w:sz="0" w:space="0" w:color="auto"/>
        <w:right w:val="none" w:sz="0" w:space="0" w:color="auto"/>
      </w:divBdr>
    </w:div>
    <w:div w:id="2040203543">
      <w:bodyDiv w:val="1"/>
      <w:marLeft w:val="0"/>
      <w:marRight w:val="0"/>
      <w:marTop w:val="0"/>
      <w:marBottom w:val="0"/>
      <w:divBdr>
        <w:top w:val="none" w:sz="0" w:space="0" w:color="auto"/>
        <w:left w:val="none" w:sz="0" w:space="0" w:color="auto"/>
        <w:bottom w:val="none" w:sz="0" w:space="0" w:color="auto"/>
        <w:right w:val="none" w:sz="0" w:space="0" w:color="auto"/>
      </w:divBdr>
    </w:div>
    <w:div w:id="2042901363">
      <w:bodyDiv w:val="1"/>
      <w:marLeft w:val="0"/>
      <w:marRight w:val="0"/>
      <w:marTop w:val="0"/>
      <w:marBottom w:val="0"/>
      <w:divBdr>
        <w:top w:val="none" w:sz="0" w:space="0" w:color="auto"/>
        <w:left w:val="none" w:sz="0" w:space="0" w:color="auto"/>
        <w:bottom w:val="none" w:sz="0" w:space="0" w:color="auto"/>
        <w:right w:val="none" w:sz="0" w:space="0" w:color="auto"/>
      </w:divBdr>
    </w:div>
    <w:div w:id="2043438412">
      <w:bodyDiv w:val="1"/>
      <w:marLeft w:val="0"/>
      <w:marRight w:val="0"/>
      <w:marTop w:val="0"/>
      <w:marBottom w:val="0"/>
      <w:divBdr>
        <w:top w:val="none" w:sz="0" w:space="0" w:color="auto"/>
        <w:left w:val="none" w:sz="0" w:space="0" w:color="auto"/>
        <w:bottom w:val="none" w:sz="0" w:space="0" w:color="auto"/>
        <w:right w:val="none" w:sz="0" w:space="0" w:color="auto"/>
      </w:divBdr>
    </w:div>
    <w:div w:id="2044624803">
      <w:bodyDiv w:val="1"/>
      <w:marLeft w:val="0"/>
      <w:marRight w:val="0"/>
      <w:marTop w:val="0"/>
      <w:marBottom w:val="0"/>
      <w:divBdr>
        <w:top w:val="none" w:sz="0" w:space="0" w:color="auto"/>
        <w:left w:val="none" w:sz="0" w:space="0" w:color="auto"/>
        <w:bottom w:val="none" w:sz="0" w:space="0" w:color="auto"/>
        <w:right w:val="none" w:sz="0" w:space="0" w:color="auto"/>
      </w:divBdr>
    </w:div>
    <w:div w:id="2046833166">
      <w:bodyDiv w:val="1"/>
      <w:marLeft w:val="0"/>
      <w:marRight w:val="0"/>
      <w:marTop w:val="0"/>
      <w:marBottom w:val="0"/>
      <w:divBdr>
        <w:top w:val="none" w:sz="0" w:space="0" w:color="auto"/>
        <w:left w:val="none" w:sz="0" w:space="0" w:color="auto"/>
        <w:bottom w:val="none" w:sz="0" w:space="0" w:color="auto"/>
        <w:right w:val="none" w:sz="0" w:space="0" w:color="auto"/>
      </w:divBdr>
    </w:div>
    <w:div w:id="2071226158">
      <w:bodyDiv w:val="1"/>
      <w:marLeft w:val="0"/>
      <w:marRight w:val="0"/>
      <w:marTop w:val="0"/>
      <w:marBottom w:val="0"/>
      <w:divBdr>
        <w:top w:val="none" w:sz="0" w:space="0" w:color="auto"/>
        <w:left w:val="none" w:sz="0" w:space="0" w:color="auto"/>
        <w:bottom w:val="none" w:sz="0" w:space="0" w:color="auto"/>
        <w:right w:val="none" w:sz="0" w:space="0" w:color="auto"/>
      </w:divBdr>
    </w:div>
    <w:div w:id="2075856986">
      <w:bodyDiv w:val="1"/>
      <w:marLeft w:val="0"/>
      <w:marRight w:val="0"/>
      <w:marTop w:val="0"/>
      <w:marBottom w:val="0"/>
      <w:divBdr>
        <w:top w:val="none" w:sz="0" w:space="0" w:color="auto"/>
        <w:left w:val="none" w:sz="0" w:space="0" w:color="auto"/>
        <w:bottom w:val="none" w:sz="0" w:space="0" w:color="auto"/>
        <w:right w:val="none" w:sz="0" w:space="0" w:color="auto"/>
      </w:divBdr>
    </w:div>
    <w:div w:id="2080899137">
      <w:bodyDiv w:val="1"/>
      <w:marLeft w:val="0"/>
      <w:marRight w:val="0"/>
      <w:marTop w:val="0"/>
      <w:marBottom w:val="0"/>
      <w:divBdr>
        <w:top w:val="none" w:sz="0" w:space="0" w:color="auto"/>
        <w:left w:val="none" w:sz="0" w:space="0" w:color="auto"/>
        <w:bottom w:val="none" w:sz="0" w:space="0" w:color="auto"/>
        <w:right w:val="none" w:sz="0" w:space="0" w:color="auto"/>
      </w:divBdr>
    </w:div>
    <w:div w:id="2081169443">
      <w:bodyDiv w:val="1"/>
      <w:marLeft w:val="0"/>
      <w:marRight w:val="0"/>
      <w:marTop w:val="0"/>
      <w:marBottom w:val="0"/>
      <w:divBdr>
        <w:top w:val="none" w:sz="0" w:space="0" w:color="auto"/>
        <w:left w:val="none" w:sz="0" w:space="0" w:color="auto"/>
        <w:bottom w:val="none" w:sz="0" w:space="0" w:color="auto"/>
        <w:right w:val="none" w:sz="0" w:space="0" w:color="auto"/>
      </w:divBdr>
    </w:div>
    <w:div w:id="2083522020">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096898649">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06799948">
      <w:bodyDiv w:val="1"/>
      <w:marLeft w:val="0"/>
      <w:marRight w:val="0"/>
      <w:marTop w:val="0"/>
      <w:marBottom w:val="0"/>
      <w:divBdr>
        <w:top w:val="none" w:sz="0" w:space="0" w:color="auto"/>
        <w:left w:val="none" w:sz="0" w:space="0" w:color="auto"/>
        <w:bottom w:val="none" w:sz="0" w:space="0" w:color="auto"/>
        <w:right w:val="none" w:sz="0" w:space="0" w:color="auto"/>
      </w:divBdr>
    </w:div>
    <w:div w:id="2112313963">
      <w:bodyDiv w:val="1"/>
      <w:marLeft w:val="0"/>
      <w:marRight w:val="0"/>
      <w:marTop w:val="0"/>
      <w:marBottom w:val="0"/>
      <w:divBdr>
        <w:top w:val="none" w:sz="0" w:space="0" w:color="auto"/>
        <w:left w:val="none" w:sz="0" w:space="0" w:color="auto"/>
        <w:bottom w:val="none" w:sz="0" w:space="0" w:color="auto"/>
        <w:right w:val="none" w:sz="0" w:space="0" w:color="auto"/>
      </w:divBdr>
    </w:div>
    <w:div w:id="2112895824">
      <w:bodyDiv w:val="1"/>
      <w:marLeft w:val="0"/>
      <w:marRight w:val="0"/>
      <w:marTop w:val="0"/>
      <w:marBottom w:val="0"/>
      <w:divBdr>
        <w:top w:val="none" w:sz="0" w:space="0" w:color="auto"/>
        <w:left w:val="none" w:sz="0" w:space="0" w:color="auto"/>
        <w:bottom w:val="none" w:sz="0" w:space="0" w:color="auto"/>
        <w:right w:val="none" w:sz="0" w:space="0" w:color="auto"/>
      </w:divBdr>
    </w:div>
    <w:div w:id="2125804567">
      <w:bodyDiv w:val="1"/>
      <w:marLeft w:val="0"/>
      <w:marRight w:val="0"/>
      <w:marTop w:val="0"/>
      <w:marBottom w:val="0"/>
      <w:divBdr>
        <w:top w:val="none" w:sz="0" w:space="0" w:color="auto"/>
        <w:left w:val="none" w:sz="0" w:space="0" w:color="auto"/>
        <w:bottom w:val="none" w:sz="0" w:space="0" w:color="auto"/>
        <w:right w:val="none" w:sz="0" w:space="0" w:color="auto"/>
      </w:divBdr>
    </w:div>
    <w:div w:id="2126607274">
      <w:bodyDiv w:val="1"/>
      <w:marLeft w:val="0"/>
      <w:marRight w:val="0"/>
      <w:marTop w:val="0"/>
      <w:marBottom w:val="0"/>
      <w:divBdr>
        <w:top w:val="none" w:sz="0" w:space="0" w:color="auto"/>
        <w:left w:val="none" w:sz="0" w:space="0" w:color="auto"/>
        <w:bottom w:val="none" w:sz="0" w:space="0" w:color="auto"/>
        <w:right w:val="none" w:sz="0" w:space="0" w:color="auto"/>
      </w:divBdr>
    </w:div>
    <w:div w:id="2129277186">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4710505">
      <w:bodyDiv w:val="1"/>
      <w:marLeft w:val="0"/>
      <w:marRight w:val="0"/>
      <w:marTop w:val="0"/>
      <w:marBottom w:val="0"/>
      <w:divBdr>
        <w:top w:val="none" w:sz="0" w:space="0" w:color="auto"/>
        <w:left w:val="none" w:sz="0" w:space="0" w:color="auto"/>
        <w:bottom w:val="none" w:sz="0" w:space="0" w:color="auto"/>
        <w:right w:val="none" w:sz="0" w:space="0" w:color="auto"/>
      </w:divBdr>
    </w:div>
    <w:div w:id="2134979990">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40831542">
      <w:bodyDiv w:val="1"/>
      <w:marLeft w:val="0"/>
      <w:marRight w:val="0"/>
      <w:marTop w:val="0"/>
      <w:marBottom w:val="0"/>
      <w:divBdr>
        <w:top w:val="none" w:sz="0" w:space="0" w:color="auto"/>
        <w:left w:val="none" w:sz="0" w:space="0" w:color="auto"/>
        <w:bottom w:val="none" w:sz="0" w:space="0" w:color="auto"/>
        <w:right w:val="none" w:sz="0" w:space="0" w:color="auto"/>
      </w:divBdr>
    </w:div>
    <w:div w:id="2143227650">
      <w:bodyDiv w:val="1"/>
      <w:marLeft w:val="0"/>
      <w:marRight w:val="0"/>
      <w:marTop w:val="0"/>
      <w:marBottom w:val="0"/>
      <w:divBdr>
        <w:top w:val="none" w:sz="0" w:space="0" w:color="auto"/>
        <w:left w:val="none" w:sz="0" w:space="0" w:color="auto"/>
        <w:bottom w:val="none" w:sz="0" w:space="0" w:color="auto"/>
        <w:right w:val="none" w:sz="0" w:space="0" w:color="auto"/>
      </w:divBdr>
    </w:div>
    <w:div w:id="2144225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cjres/rsq029" TargetMode="External"/><Relationship Id="rId18" Type="http://schemas.openxmlformats.org/officeDocument/2006/relationships/hyperlink" Target="https://www.netsuite.com/portal/resource/articles/inventory-management/just-in-time-inventory.shtml" TargetMode="External"/><Relationship Id="rId26" Type="http://schemas.openxmlformats.org/officeDocument/2006/relationships/hyperlink" Target="https://doi.org/10.59188/eduvest.v5i7.51625" TargetMode="External"/><Relationship Id="rId21" Type="http://schemas.openxmlformats.org/officeDocument/2006/relationships/hyperlink" Target="https://doi.org/10.1016/j.iref.2026.104938" TargetMode="External"/><Relationship Id="rId34" Type="http://schemas.openxmlformats.org/officeDocument/2006/relationships/chart" Target="charts/chart7.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imf.org/en/Publications/WP/Issues/2017/04/26/Understanding-the-Use-of-Long-term-Finance-in-Developing-Economies-44855" TargetMode="External"/><Relationship Id="rId25" Type="http://schemas.openxmlformats.org/officeDocument/2006/relationships/hyperlink" Target="https://doi.org/10.30574/gscarr.2024.21.1.0378" TargetMode="External"/><Relationship Id="rId33"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hyperlink" Target="https://doi.org/10.1016/j.iref.2021.05.001" TargetMode="External"/><Relationship Id="rId20" Type="http://schemas.openxmlformats.org/officeDocument/2006/relationships/hyperlink" Target="https://doi.org/10.3390/electronics13081596" TargetMode="External"/><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60079/amfr.v1i2.99" TargetMode="External"/><Relationship Id="rId32" Type="http://schemas.openxmlformats.org/officeDocument/2006/relationships/chart" Target="charts/chart5.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08/mf-01-2022-0015" TargetMode="External"/><Relationship Id="rId23" Type="http://schemas.openxmlformats.org/officeDocument/2006/relationships/hyperlink" Target="https://www.paystand.com/blog/accounts-receivable-process-improvement-ideas" TargetMode="External"/><Relationship Id="rId28" Type="http://schemas.openxmlformats.org/officeDocument/2006/relationships/chart" Target="charts/chart1.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esearchonline.ljmu.ac.uk/id/eprint/19580/1/2022wormephd.pdf" TargetMode="External"/><Relationship Id="rId31"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963818042000216811" TargetMode="External"/><Relationship Id="rId22" Type="http://schemas.openxmlformats.org/officeDocument/2006/relationships/hyperlink" Target="https://www.netsuite.com/portal/resource/articles/accounting/efficiency-ratios.shtml" TargetMode="External"/><Relationship Id="rId27" Type="http://schemas.openxmlformats.org/officeDocument/2006/relationships/hyperlink" Target="https://www.volkswagen-group.com/en/financial-reports-18134" TargetMode="External"/><Relationship Id="rId30" Type="http://schemas.openxmlformats.org/officeDocument/2006/relationships/chart" Target="charts/chart3.xm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hasan1438-my.sharepoint.com/personal/ashad_hasan1438_onmicrosoft_com/Documents/Assignments/Faizullah/2026/2.%20February/Work%203/Max_LCMB.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Analysis'!$C$3</c:f>
          <c:strCache>
            <c:ptCount val="1"/>
            <c:pt idx="0">
              <c:v>Profitability Ratios</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Analysis'!$C$4</c:f>
              <c:strCache>
                <c:ptCount val="1"/>
                <c:pt idx="0">
                  <c:v>Return on Capital Employed (ROCE)</c:v>
                </c:pt>
              </c:strCache>
            </c:strRef>
          </c:tx>
          <c:spPr>
            <a:solidFill>
              <a:schemeClr val="accent1"/>
            </a:solidFill>
            <a:ln>
              <a:noFill/>
            </a:ln>
            <a:effectLst/>
          </c:spPr>
          <c:invertIfNegative val="0"/>
          <c:cat>
            <c:numRef>
              <c:f>'Ratio Analysis'!$D$3:$H$3</c:f>
              <c:numCache>
                <c:formatCode>General</c:formatCode>
                <c:ptCount val="5"/>
                <c:pt idx="0">
                  <c:v>2020</c:v>
                </c:pt>
                <c:pt idx="1">
                  <c:v>2021</c:v>
                </c:pt>
                <c:pt idx="2">
                  <c:v>2022</c:v>
                </c:pt>
                <c:pt idx="3">
                  <c:v>2023</c:v>
                </c:pt>
                <c:pt idx="4">
                  <c:v>2024</c:v>
                </c:pt>
              </c:numCache>
            </c:numRef>
          </c:cat>
          <c:val>
            <c:numRef>
              <c:f>'Ratio Analysis'!$D$4:$H$4</c:f>
              <c:numCache>
                <c:formatCode>0.00%</c:formatCode>
                <c:ptCount val="5"/>
                <c:pt idx="0">
                  <c:v>0.1174152781253109</c:v>
                </c:pt>
                <c:pt idx="1">
                  <c:v>0.12970599863817076</c:v>
                </c:pt>
                <c:pt idx="2">
                  <c:v>0.13680129917753681</c:v>
                </c:pt>
                <c:pt idx="3">
                  <c:v>0.15454381888077687</c:v>
                </c:pt>
                <c:pt idx="4">
                  <c:v>0.14300760341071403</c:v>
                </c:pt>
              </c:numCache>
            </c:numRef>
          </c:val>
          <c:extLst>
            <c:ext xmlns:c16="http://schemas.microsoft.com/office/drawing/2014/chart" uri="{C3380CC4-5D6E-409C-BE32-E72D297353CC}">
              <c16:uniqueId val="{00000000-3C88-40F6-9BB2-666B8B8320CA}"/>
            </c:ext>
          </c:extLst>
        </c:ser>
        <c:dLbls>
          <c:showLegendKey val="0"/>
          <c:showVal val="0"/>
          <c:showCatName val="0"/>
          <c:showSerName val="0"/>
          <c:showPercent val="0"/>
          <c:showBubbleSize val="0"/>
        </c:dLbls>
        <c:gapWidth val="150"/>
        <c:axId val="468109055"/>
        <c:axId val="468111935"/>
      </c:barChart>
      <c:lineChart>
        <c:grouping val="standard"/>
        <c:varyColors val="0"/>
        <c:ser>
          <c:idx val="1"/>
          <c:order val="1"/>
          <c:tx>
            <c:strRef>
              <c:f>'Ratio Analysis'!$C$5</c:f>
              <c:strCache>
                <c:ptCount val="1"/>
                <c:pt idx="0">
                  <c:v>Net Profit Margin</c:v>
                </c:pt>
              </c:strCache>
            </c:strRef>
          </c:tx>
          <c:spPr>
            <a:ln w="28575" cap="rnd">
              <a:solidFill>
                <a:schemeClr val="accent2"/>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Analysis'!$D$5:$H$5</c:f>
              <c:numCache>
                <c:formatCode>0.00%</c:formatCode>
                <c:ptCount val="5"/>
                <c:pt idx="0">
                  <c:v>3.9590100680174441E-2</c:v>
                </c:pt>
                <c:pt idx="1">
                  <c:v>6.1662669864108711E-2</c:v>
                </c:pt>
                <c:pt idx="2">
                  <c:v>5.6712697685079076E-2</c:v>
                </c:pt>
                <c:pt idx="3">
                  <c:v>5.5420064291122118E-2</c:v>
                </c:pt>
                <c:pt idx="4">
                  <c:v>3.8175792223153121E-2</c:v>
                </c:pt>
              </c:numCache>
            </c:numRef>
          </c:val>
          <c:smooth val="0"/>
          <c:extLst>
            <c:ext xmlns:c16="http://schemas.microsoft.com/office/drawing/2014/chart" uri="{C3380CC4-5D6E-409C-BE32-E72D297353CC}">
              <c16:uniqueId val="{00000001-3C88-40F6-9BB2-666B8B8320CA}"/>
            </c:ext>
          </c:extLst>
        </c:ser>
        <c:dLbls>
          <c:showLegendKey val="0"/>
          <c:showVal val="0"/>
          <c:showCatName val="0"/>
          <c:showSerName val="0"/>
          <c:showPercent val="0"/>
          <c:showBubbleSize val="0"/>
        </c:dLbls>
        <c:marker val="1"/>
        <c:smooth val="0"/>
        <c:axId val="468109055"/>
        <c:axId val="468111935"/>
      </c:lineChart>
      <c:catAx>
        <c:axId val="46810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0905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Analysis'!$C$6</c:f>
          <c:strCache>
            <c:ptCount val="1"/>
            <c:pt idx="0">
              <c:v>Liquidity Ratios</c:v>
            </c:pt>
          </c:strCache>
        </c:strRef>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1"/>
          <c:order val="1"/>
          <c:tx>
            <c:strRef>
              <c:f>'Ratio Analysis'!$C$8</c:f>
              <c:strCache>
                <c:ptCount val="1"/>
                <c:pt idx="0">
                  <c:v>Cash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Analysis'!$D$8:$H$8</c:f>
              <c:numCache>
                <c:formatCode>_(* #,##0.00_);_(* \(#,##0.00\);_(* "-"??_);_(@_)</c:formatCode>
                <c:ptCount val="5"/>
                <c:pt idx="0">
                  <c:v>0.20499845838547617</c:v>
                </c:pt>
                <c:pt idx="1">
                  <c:v>0.24163437615956884</c:v>
                </c:pt>
                <c:pt idx="2">
                  <c:v>0.15941680510623416</c:v>
                </c:pt>
                <c:pt idx="3">
                  <c:v>0.21088062280378186</c:v>
                </c:pt>
                <c:pt idx="4">
                  <c:v>0.18566248462257937</c:v>
                </c:pt>
              </c:numCache>
            </c:numRef>
          </c:val>
          <c:smooth val="0"/>
          <c:extLst>
            <c:ext xmlns:c16="http://schemas.microsoft.com/office/drawing/2014/chart" uri="{C3380CC4-5D6E-409C-BE32-E72D297353CC}">
              <c16:uniqueId val="{00000000-C1D9-4D82-AC5D-3F4E0701D99D}"/>
            </c:ext>
          </c:extLst>
        </c:ser>
        <c:dLbls>
          <c:showLegendKey val="0"/>
          <c:showVal val="0"/>
          <c:showCatName val="0"/>
          <c:showSerName val="0"/>
          <c:showPercent val="0"/>
          <c:showBubbleSize val="0"/>
        </c:dLbls>
        <c:marker val="1"/>
        <c:smooth val="0"/>
        <c:axId val="468109055"/>
        <c:axId val="468111935"/>
      </c:lineChart>
      <c:lineChart>
        <c:grouping val="standard"/>
        <c:varyColors val="0"/>
        <c:ser>
          <c:idx val="0"/>
          <c:order val="0"/>
          <c:tx>
            <c:strRef>
              <c:f>'Ratio Analysis'!$C$7</c:f>
              <c:strCache>
                <c:ptCount val="1"/>
                <c:pt idx="0">
                  <c:v>Current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Analysis'!$D$7:$H$7</c:f>
              <c:numCache>
                <c:formatCode>_(* #,##0.00_);_(* \(#,##0.00\);_(* "-"??_);_(@_)</c:formatCode>
                <c:ptCount val="5"/>
                <c:pt idx="0">
                  <c:v>1.178543144047252</c:v>
                </c:pt>
                <c:pt idx="1">
                  <c:v>1.2187076092047715</c:v>
                </c:pt>
                <c:pt idx="2">
                  <c:v>1.2257858267028068</c:v>
                </c:pt>
                <c:pt idx="3">
                  <c:v>1.1631171251625929</c:v>
                </c:pt>
                <c:pt idx="4">
                  <c:v>1.1298937057395215</c:v>
                </c:pt>
              </c:numCache>
            </c:numRef>
          </c:val>
          <c:smooth val="0"/>
          <c:extLst>
            <c:ext xmlns:c16="http://schemas.microsoft.com/office/drawing/2014/chart" uri="{C3380CC4-5D6E-409C-BE32-E72D297353CC}">
              <c16:uniqueId val="{00000001-C1D9-4D82-AC5D-3F4E0701D99D}"/>
            </c:ext>
          </c:extLst>
        </c:ser>
        <c:dLbls>
          <c:showLegendKey val="0"/>
          <c:showVal val="0"/>
          <c:showCatName val="0"/>
          <c:showSerName val="0"/>
          <c:showPercent val="0"/>
          <c:showBubbleSize val="0"/>
        </c:dLbls>
        <c:marker val="1"/>
        <c:smooth val="0"/>
        <c:axId val="1416375728"/>
        <c:axId val="1416379568"/>
      </c:lineChart>
      <c:catAx>
        <c:axId val="468109055"/>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majorGridlines>
          <c:spPr>
            <a:ln w="9525" cap="flat" cmpd="sng" algn="ctr">
              <a:solidFill>
                <a:schemeClr val="lt1">
                  <a:lumMod val="95000"/>
                  <a:alpha val="10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109055"/>
        <c:crosses val="autoZero"/>
        <c:crossBetween val="between"/>
      </c:valAx>
      <c:valAx>
        <c:axId val="1416379568"/>
        <c:scaling>
          <c:orientation val="minMax"/>
        </c:scaling>
        <c:delete val="0"/>
        <c:axPos val="r"/>
        <c:numFmt formatCode="_(* #,##0.00_);_(* \(#,##0.0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16375728"/>
        <c:crosses val="max"/>
        <c:crossBetween val="between"/>
      </c:valAx>
      <c:catAx>
        <c:axId val="1416375728"/>
        <c:scaling>
          <c:orientation val="minMax"/>
        </c:scaling>
        <c:delete val="1"/>
        <c:axPos val="b"/>
        <c:numFmt formatCode="General" sourceLinked="1"/>
        <c:majorTickMark val="out"/>
        <c:minorTickMark val="none"/>
        <c:tickLblPos val="nextTo"/>
        <c:crossAx val="14163795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Analysis'!$C$9</c:f>
          <c:strCache>
            <c:ptCount val="1"/>
            <c:pt idx="0">
              <c:v>Efficiency Ratios</c:v>
            </c:pt>
          </c:strCache>
        </c:strRef>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 Analysis'!$C$10</c:f>
              <c:strCache>
                <c:ptCount val="1"/>
                <c:pt idx="0">
                  <c:v>Asset Turnover</c:v>
                </c:pt>
              </c:strCache>
            </c:strRef>
          </c:tx>
          <c:spPr>
            <a:solidFill>
              <a:schemeClr val="accent1"/>
            </a:solidFill>
            <a:ln>
              <a:noFill/>
            </a:ln>
            <a:effectLst/>
          </c:spPr>
          <c:invertIfNegative val="0"/>
          <c:cat>
            <c:numRef>
              <c:f>'Ratio Analysis'!$D$3:$H$3</c:f>
              <c:numCache>
                <c:formatCode>General</c:formatCode>
                <c:ptCount val="5"/>
                <c:pt idx="0">
                  <c:v>2020</c:v>
                </c:pt>
                <c:pt idx="1">
                  <c:v>2021</c:v>
                </c:pt>
                <c:pt idx="2">
                  <c:v>2022</c:v>
                </c:pt>
                <c:pt idx="3">
                  <c:v>2023</c:v>
                </c:pt>
                <c:pt idx="4">
                  <c:v>2024</c:v>
                </c:pt>
              </c:numCache>
            </c:numRef>
          </c:cat>
          <c:val>
            <c:numRef>
              <c:f>'Ratio Analysis'!$D$10:$H$10</c:f>
              <c:numCache>
                <c:formatCode>_(* #,##0.00_);_(* \(#,##0.00\);_(* "-"??_);_(@_)</c:formatCode>
                <c:ptCount val="5"/>
                <c:pt idx="0">
                  <c:v>0.67193845096366323</c:v>
                </c:pt>
                <c:pt idx="1">
                  <c:v>0.68695499373997848</c:v>
                </c:pt>
                <c:pt idx="2">
                  <c:v>0.7313950442663314</c:v>
                </c:pt>
                <c:pt idx="3">
                  <c:v>0.81670902884598329</c:v>
                </c:pt>
                <c:pt idx="4">
                  <c:v>0.78067454420414273</c:v>
                </c:pt>
              </c:numCache>
            </c:numRef>
          </c:val>
          <c:extLst>
            <c:ext xmlns:c16="http://schemas.microsoft.com/office/drawing/2014/chart" uri="{C3380CC4-5D6E-409C-BE32-E72D297353CC}">
              <c16:uniqueId val="{00000000-2721-41E4-AD5D-0EA9DE63AEB4}"/>
            </c:ext>
          </c:extLst>
        </c:ser>
        <c:ser>
          <c:idx val="1"/>
          <c:order val="1"/>
          <c:tx>
            <c:strRef>
              <c:f>'Ratio Analysis'!$C$11</c:f>
              <c:strCache>
                <c:ptCount val="1"/>
                <c:pt idx="0">
                  <c:v>Inventory Turnover</c:v>
                </c:pt>
              </c:strCache>
            </c:strRef>
          </c:tx>
          <c:spPr>
            <a:solidFill>
              <a:schemeClr val="accent2"/>
            </a:solidFill>
            <a:ln>
              <a:noFill/>
            </a:ln>
            <a:effectLst/>
          </c:spPr>
          <c:invertIfNegative val="0"/>
          <c:cat>
            <c:numRef>
              <c:f>'Ratio Analysis'!$D$3:$H$3</c:f>
              <c:numCache>
                <c:formatCode>General</c:formatCode>
                <c:ptCount val="5"/>
                <c:pt idx="0">
                  <c:v>2020</c:v>
                </c:pt>
                <c:pt idx="1">
                  <c:v>2021</c:v>
                </c:pt>
                <c:pt idx="2">
                  <c:v>2022</c:v>
                </c:pt>
                <c:pt idx="3">
                  <c:v>2023</c:v>
                </c:pt>
                <c:pt idx="4">
                  <c:v>2024</c:v>
                </c:pt>
              </c:numCache>
            </c:numRef>
          </c:cat>
          <c:val>
            <c:numRef>
              <c:f>'Ratio Analysis'!$D$11:$H$11</c:f>
              <c:numCache>
                <c:formatCode>_(* #,##0.00_);_(* \(#,##0.00\);_(* "-"??_);_(@_)</c:formatCode>
                <c:ptCount val="5"/>
                <c:pt idx="0">
                  <c:v>4.1972708395134974</c:v>
                </c:pt>
                <c:pt idx="1">
                  <c:v>4.6417152658662095</c:v>
                </c:pt>
                <c:pt idx="2">
                  <c:v>4.3425986149902434</c:v>
                </c:pt>
                <c:pt idx="3">
                  <c:v>4.874890393835936</c:v>
                </c:pt>
                <c:pt idx="4">
                  <c:v>4.6753173483779973</c:v>
                </c:pt>
              </c:numCache>
            </c:numRef>
          </c:val>
          <c:extLst>
            <c:ext xmlns:c16="http://schemas.microsoft.com/office/drawing/2014/chart" uri="{C3380CC4-5D6E-409C-BE32-E72D297353CC}">
              <c16:uniqueId val="{00000001-2721-41E4-AD5D-0EA9DE63AEB4}"/>
            </c:ext>
          </c:extLst>
        </c:ser>
        <c:dLbls>
          <c:showLegendKey val="0"/>
          <c:showVal val="0"/>
          <c:showCatName val="0"/>
          <c:showSerName val="0"/>
          <c:showPercent val="0"/>
          <c:showBubbleSize val="0"/>
        </c:dLbls>
        <c:gapWidth val="150"/>
        <c:axId val="468109055"/>
        <c:axId val="468111935"/>
      </c:barChart>
      <c:catAx>
        <c:axId val="46810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09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Analysis'!$C$12</c:f>
          <c:strCache>
            <c:ptCount val="1"/>
            <c:pt idx="0">
              <c:v>Gearing Ratios</c:v>
            </c:pt>
          </c:strCache>
        </c:strRef>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1"/>
          <c:order val="1"/>
          <c:tx>
            <c:strRef>
              <c:f>'Ratio Analysis'!$C$14</c:f>
              <c:strCache>
                <c:ptCount val="1"/>
                <c:pt idx="0">
                  <c:v>Interest Coverage Ratio</c:v>
                </c:pt>
              </c:strCache>
            </c:strRef>
          </c:tx>
          <c:spPr>
            <a:ln w="15875" cap="rnd">
              <a:solidFill>
                <a:schemeClr val="accent2"/>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Analysis'!$D$14:$H$14</c:f>
              <c:numCache>
                <c:formatCode>_(* #,##0.00_);_(* \(#,##0.00\);_(* "-"??_);_(@_)</c:formatCode>
                <c:ptCount val="5"/>
                <c:pt idx="0">
                  <c:v>4.2230467044958537</c:v>
                </c:pt>
                <c:pt idx="1">
                  <c:v>10.602310231023102</c:v>
                </c:pt>
                <c:pt idx="2">
                  <c:v>50.054298642533936</c:v>
                </c:pt>
                <c:pt idx="3">
                  <c:v>6.1890109890109892</c:v>
                </c:pt>
                <c:pt idx="4">
                  <c:v>5.5310504933255951</c:v>
                </c:pt>
              </c:numCache>
            </c:numRef>
          </c:val>
          <c:smooth val="0"/>
          <c:extLst>
            <c:ext xmlns:c16="http://schemas.microsoft.com/office/drawing/2014/chart" uri="{C3380CC4-5D6E-409C-BE32-E72D297353CC}">
              <c16:uniqueId val="{00000000-728F-4E4B-B160-B7A78AC58F3A}"/>
            </c:ext>
          </c:extLst>
        </c:ser>
        <c:dLbls>
          <c:showLegendKey val="0"/>
          <c:showVal val="0"/>
          <c:showCatName val="0"/>
          <c:showSerName val="0"/>
          <c:showPercent val="0"/>
          <c:showBubbleSize val="0"/>
        </c:dLbls>
        <c:marker val="1"/>
        <c:smooth val="0"/>
        <c:axId val="468109055"/>
        <c:axId val="468111935"/>
      </c:lineChart>
      <c:lineChart>
        <c:grouping val="standard"/>
        <c:varyColors val="0"/>
        <c:ser>
          <c:idx val="0"/>
          <c:order val="0"/>
          <c:tx>
            <c:strRef>
              <c:f>'Ratio Analysis'!$C$13</c:f>
              <c:strCache>
                <c:ptCount val="1"/>
                <c:pt idx="0">
                  <c:v>Debt-to-Equity Ratio</c:v>
                </c:pt>
              </c:strCache>
            </c:strRef>
          </c:tx>
          <c:spPr>
            <a:ln w="15875" cap="rnd">
              <a:solidFill>
                <a:schemeClr val="accent1"/>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Analysis'!$D$13:$H$13</c:f>
              <c:numCache>
                <c:formatCode>_(* #,##0.00_);_(* \(#,##0.00\);_(* "-"??_);_(@_)</c:formatCode>
                <c:ptCount val="5"/>
                <c:pt idx="0">
                  <c:v>1.5756815728784079</c:v>
                </c:pt>
                <c:pt idx="1">
                  <c:v>1.49200158736675</c:v>
                </c:pt>
                <c:pt idx="2">
                  <c:v>1.1408984618145317</c:v>
                </c:pt>
                <c:pt idx="3">
                  <c:v>1.0858467328449251</c:v>
                </c:pt>
                <c:pt idx="4">
                  <c:v>1.1138763082584848</c:v>
                </c:pt>
              </c:numCache>
            </c:numRef>
          </c:val>
          <c:smooth val="0"/>
          <c:extLst>
            <c:ext xmlns:c16="http://schemas.microsoft.com/office/drawing/2014/chart" uri="{C3380CC4-5D6E-409C-BE32-E72D297353CC}">
              <c16:uniqueId val="{00000001-728F-4E4B-B160-B7A78AC58F3A}"/>
            </c:ext>
          </c:extLst>
        </c:ser>
        <c:dLbls>
          <c:showLegendKey val="0"/>
          <c:showVal val="0"/>
          <c:showCatName val="0"/>
          <c:showSerName val="0"/>
          <c:showPercent val="0"/>
          <c:showBubbleSize val="0"/>
        </c:dLbls>
        <c:marker val="1"/>
        <c:smooth val="0"/>
        <c:axId val="468071983"/>
        <c:axId val="127886463"/>
      </c:lineChart>
      <c:catAx>
        <c:axId val="46810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68109055"/>
        <c:crosses val="autoZero"/>
        <c:crossBetween val="between"/>
      </c:valAx>
      <c:valAx>
        <c:axId val="127886463"/>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68071983"/>
        <c:crosses val="autoZero"/>
        <c:crossBetween val="between"/>
      </c:valAx>
      <c:catAx>
        <c:axId val="468071983"/>
        <c:scaling>
          <c:orientation val="minMax"/>
        </c:scaling>
        <c:delete val="1"/>
        <c:axPos val="b"/>
        <c:numFmt formatCode="General" sourceLinked="1"/>
        <c:majorTickMark val="none"/>
        <c:minorTickMark val="none"/>
        <c:tickLblPos val="nextTo"/>
        <c:crossAx val="1278864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Analysis'!$C$15</c:f>
          <c:strCache>
            <c:ptCount val="1"/>
            <c:pt idx="0">
              <c:v>Investment Ratios</c:v>
            </c:pt>
          </c:strCache>
        </c:strRef>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1"/>
          <c:order val="1"/>
          <c:tx>
            <c:strRef>
              <c:f>'Ratio Analysis'!$C$17</c:f>
              <c:strCache>
                <c:ptCount val="1"/>
                <c:pt idx="0">
                  <c:v>Price/Earnings (P/E) Ratio</c:v>
                </c:pt>
              </c:strCache>
            </c:strRef>
          </c:tx>
          <c:spPr>
            <a:ln w="22225" cap="rnd">
              <a:solidFill>
                <a:schemeClr val="accent2"/>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Analysis'!$D$17:$H$17</c:f>
              <c:numCache>
                <c:formatCode>_(* #,##0.00_);_(* \(#,##0.00\);_(* "-"??_);_(@_)</c:formatCode>
                <c:ptCount val="5"/>
                <c:pt idx="0">
                  <c:v>6.0674698795180717</c:v>
                </c:pt>
                <c:pt idx="1">
                  <c:v>4.083812098681987</c:v>
                </c:pt>
                <c:pt idx="2">
                  <c:v>3.4606817414782318</c:v>
                </c:pt>
                <c:pt idx="3">
                  <c:v>3.2714690154136523</c:v>
                </c:pt>
                <c:pt idx="4">
                  <c:v>4.332397003745319</c:v>
                </c:pt>
              </c:numCache>
            </c:numRef>
          </c:val>
          <c:smooth val="0"/>
          <c:extLst>
            <c:ext xmlns:c16="http://schemas.microsoft.com/office/drawing/2014/chart" uri="{C3380CC4-5D6E-409C-BE32-E72D297353CC}">
              <c16:uniqueId val="{00000000-ED68-45D6-AE59-99DD5213F38C}"/>
            </c:ext>
          </c:extLst>
        </c:ser>
        <c:dLbls>
          <c:showLegendKey val="0"/>
          <c:showVal val="0"/>
          <c:showCatName val="0"/>
          <c:showSerName val="0"/>
          <c:showPercent val="0"/>
          <c:showBubbleSize val="0"/>
        </c:dLbls>
        <c:marker val="1"/>
        <c:smooth val="0"/>
        <c:axId val="468109055"/>
        <c:axId val="468111935"/>
      </c:lineChart>
      <c:lineChart>
        <c:grouping val="standard"/>
        <c:varyColors val="0"/>
        <c:ser>
          <c:idx val="0"/>
          <c:order val="0"/>
          <c:tx>
            <c:strRef>
              <c:f>'Ratio Analysis'!$C$16</c:f>
              <c:strCache>
                <c:ptCount val="1"/>
                <c:pt idx="0">
                  <c:v>Earnings Per Share (EPS)</c:v>
                </c:pt>
              </c:strCache>
            </c:strRef>
          </c:tx>
          <c:spPr>
            <a:ln w="22225" cap="rnd">
              <a:solidFill>
                <a:schemeClr val="accent1"/>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Analysis'!$D$16:$H$16</c:f>
              <c:numCache>
                <c:formatCode>_(* #,##0.00_);_(* \(#,##0.00\);_(* "-"??_);_(@_)</c:formatCode>
                <c:ptCount val="5"/>
                <c:pt idx="0">
                  <c:v>16.600000000000001</c:v>
                </c:pt>
                <c:pt idx="1">
                  <c:v>29.59</c:v>
                </c:pt>
                <c:pt idx="2">
                  <c:v>29.63</c:v>
                </c:pt>
                <c:pt idx="3">
                  <c:v>31.79</c:v>
                </c:pt>
                <c:pt idx="4">
                  <c:v>21.36</c:v>
                </c:pt>
              </c:numCache>
            </c:numRef>
          </c:val>
          <c:smooth val="0"/>
          <c:extLst>
            <c:ext xmlns:c16="http://schemas.microsoft.com/office/drawing/2014/chart" uri="{C3380CC4-5D6E-409C-BE32-E72D297353CC}">
              <c16:uniqueId val="{00000001-ED68-45D6-AE59-99DD5213F38C}"/>
            </c:ext>
          </c:extLst>
        </c:ser>
        <c:dLbls>
          <c:showLegendKey val="0"/>
          <c:showVal val="0"/>
          <c:showCatName val="0"/>
          <c:showSerName val="0"/>
          <c:showPercent val="0"/>
          <c:showBubbleSize val="0"/>
        </c:dLbls>
        <c:marker val="1"/>
        <c:smooth val="0"/>
        <c:axId val="468071983"/>
        <c:axId val="127886463"/>
      </c:lineChart>
      <c:catAx>
        <c:axId val="46810905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majorGridlines>
          <c:spPr>
            <a:ln w="9525" cap="flat" cmpd="sng" algn="ctr">
              <a:solidFill>
                <a:schemeClr val="dk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68109055"/>
        <c:crosses val="autoZero"/>
        <c:crossBetween val="between"/>
      </c:valAx>
      <c:valAx>
        <c:axId val="127886463"/>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68071983"/>
        <c:crosses val="autoZero"/>
        <c:crossBetween val="between"/>
      </c:valAx>
      <c:catAx>
        <c:axId val="468071983"/>
        <c:scaling>
          <c:orientation val="minMax"/>
        </c:scaling>
        <c:delete val="1"/>
        <c:axPos val="b"/>
        <c:numFmt formatCode="General" sourceLinked="1"/>
        <c:majorTickMark val="out"/>
        <c:minorTickMark val="none"/>
        <c:tickLblPos val="nextTo"/>
        <c:crossAx val="127886463"/>
        <c:crosses val="autoZero"/>
        <c:auto val="1"/>
        <c:lblAlgn val="ctr"/>
        <c:lblOffset val="100"/>
        <c:noMultiLvlLbl val="0"/>
      </c:cat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'Ratio Analysis'!$C$18</c:f>
          <c:strCache>
            <c:ptCount val="1"/>
            <c:pt idx="0">
              <c:v>Cash Flow Ratios</c:v>
            </c:pt>
          </c:strCache>
        </c:strRef>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1"/>
          <c:order val="1"/>
          <c:tx>
            <c:strRef>
              <c:f>'Ratio Analysis'!$C$20</c:f>
              <c:strCache>
                <c:ptCount val="1"/>
                <c:pt idx="0">
                  <c:v>Debt to OCF Ratio</c:v>
                </c:pt>
              </c:strCache>
            </c:strRef>
          </c:tx>
          <c:spPr>
            <a:ln w="28575" cap="rnd">
              <a:solidFill>
                <a:schemeClr val="accent2"/>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Analysis'!$D$20:$H$20</c:f>
              <c:numCache>
                <c:formatCode>_(* #,##0.00_);_(* \(#,##0.00\);_(* "-"??_);_(@_)</c:formatCode>
                <c:ptCount val="5"/>
                <c:pt idx="0">
                  <c:v>8.1491104774908631</c:v>
                </c:pt>
                <c:pt idx="1">
                  <c:v>5.6444490461522534</c:v>
                </c:pt>
                <c:pt idx="2">
                  <c:v>7.1397038180797301</c:v>
                </c:pt>
                <c:pt idx="3">
                  <c:v>10.613091547840463</c:v>
                </c:pt>
                <c:pt idx="4">
                  <c:v>12.776747711503702</c:v>
                </c:pt>
              </c:numCache>
            </c:numRef>
          </c:val>
          <c:smooth val="0"/>
          <c:extLst>
            <c:ext xmlns:c16="http://schemas.microsoft.com/office/drawing/2014/chart" uri="{C3380CC4-5D6E-409C-BE32-E72D297353CC}">
              <c16:uniqueId val="{00000000-326C-4FD7-88AB-1A8646C02E28}"/>
            </c:ext>
          </c:extLst>
        </c:ser>
        <c:dLbls>
          <c:showLegendKey val="0"/>
          <c:showVal val="0"/>
          <c:showCatName val="0"/>
          <c:showSerName val="0"/>
          <c:showPercent val="0"/>
          <c:showBubbleSize val="0"/>
        </c:dLbls>
        <c:marker val="1"/>
        <c:smooth val="0"/>
        <c:axId val="468109055"/>
        <c:axId val="468111935"/>
      </c:lineChart>
      <c:lineChart>
        <c:grouping val="standard"/>
        <c:varyColors val="0"/>
        <c:ser>
          <c:idx val="0"/>
          <c:order val="0"/>
          <c:tx>
            <c:strRef>
              <c:f>'Ratio Analysis'!$C$19</c:f>
              <c:strCache>
                <c:ptCount val="1"/>
                <c:pt idx="0">
                  <c:v>Operating Cash Flow Ratio</c:v>
                </c:pt>
              </c:strCache>
            </c:strRef>
          </c:tx>
          <c:spPr>
            <a:ln w="28575" cap="rnd">
              <a:solidFill>
                <a:schemeClr val="accent1"/>
              </a:solidFill>
              <a:round/>
            </a:ln>
            <a:effectLst/>
          </c:spPr>
          <c:marker>
            <c:symbol val="none"/>
          </c:marker>
          <c:cat>
            <c:numRef>
              <c:f>'Ratio Analysis'!$D$3:$H$3</c:f>
              <c:numCache>
                <c:formatCode>General</c:formatCode>
                <c:ptCount val="5"/>
                <c:pt idx="0">
                  <c:v>2020</c:v>
                </c:pt>
                <c:pt idx="1">
                  <c:v>2021</c:v>
                </c:pt>
                <c:pt idx="2">
                  <c:v>2022</c:v>
                </c:pt>
                <c:pt idx="3">
                  <c:v>2023</c:v>
                </c:pt>
                <c:pt idx="4">
                  <c:v>2024</c:v>
                </c:pt>
              </c:numCache>
            </c:numRef>
          </c:cat>
          <c:val>
            <c:numRef>
              <c:f>'Ratio Analysis'!$D$19:$H$19</c:f>
              <c:numCache>
                <c:formatCode>_(* #,##0.00_);_(* \(#,##0.00\);_(* "-"??_);_(@_)</c:formatCode>
                <c:ptCount val="5"/>
                <c:pt idx="0">
                  <c:v>0.15054016963805308</c:v>
                </c:pt>
                <c:pt idx="1">
                  <c:v>0.2350039235247243</c:v>
                </c:pt>
                <c:pt idx="2">
                  <c:v>0.15572265454227507</c:v>
                </c:pt>
                <c:pt idx="3">
                  <c:v>9.3944747519850894E-2</c:v>
                </c:pt>
                <c:pt idx="4">
                  <c:v>7.9022664129488246E-2</c:v>
                </c:pt>
              </c:numCache>
            </c:numRef>
          </c:val>
          <c:smooth val="0"/>
          <c:extLst>
            <c:ext xmlns:c16="http://schemas.microsoft.com/office/drawing/2014/chart" uri="{C3380CC4-5D6E-409C-BE32-E72D297353CC}">
              <c16:uniqueId val="{00000001-326C-4FD7-88AB-1A8646C02E28}"/>
            </c:ext>
          </c:extLst>
        </c:ser>
        <c:dLbls>
          <c:showLegendKey val="0"/>
          <c:showVal val="0"/>
          <c:showCatName val="0"/>
          <c:showSerName val="0"/>
          <c:showPercent val="0"/>
          <c:showBubbleSize val="0"/>
        </c:dLbls>
        <c:marker val="1"/>
        <c:smooth val="0"/>
        <c:axId val="468071983"/>
        <c:axId val="127886463"/>
      </c:lineChart>
      <c:catAx>
        <c:axId val="468109055"/>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scaling>
        <c:delete val="0"/>
        <c:axPos val="l"/>
        <c:majorGridlines>
          <c:spPr>
            <a:ln>
              <a:solidFill>
                <a:schemeClr val="tx1">
                  <a:lumMod val="15000"/>
                  <a:lumOff val="85000"/>
                </a:schemeClr>
              </a:solidFill>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109055"/>
        <c:crosses val="autoZero"/>
        <c:crossBetween val="between"/>
      </c:valAx>
      <c:valAx>
        <c:axId val="127886463"/>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071983"/>
        <c:crosses val="autoZero"/>
        <c:crossBetween val="between"/>
      </c:valAx>
      <c:catAx>
        <c:axId val="468071983"/>
        <c:scaling>
          <c:orientation val="minMax"/>
        </c:scaling>
        <c:delete val="1"/>
        <c:axPos val="b"/>
        <c:numFmt formatCode="General" sourceLinked="1"/>
        <c:majorTickMark val="none"/>
        <c:minorTickMark val="none"/>
        <c:tickLblPos val="nextTo"/>
        <c:crossAx val="1278864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'Working Capital Management'!$C$7</c:f>
          <c:strCache>
            <c:ptCount val="1"/>
            <c:pt idx="0">
              <c:v>Cash Operating Cycle</c:v>
            </c:pt>
          </c:strCache>
        </c:strRef>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'Working Capital Management'!$C$7</c:f>
              <c:strCache>
                <c:ptCount val="1"/>
                <c:pt idx="0">
                  <c:v>Cash Operating Cycle</c:v>
                </c:pt>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'Working Capital Management'!$D$3:$H$3</c:f>
              <c:numCache>
                <c:formatCode>General</c:formatCode>
                <c:ptCount val="5"/>
                <c:pt idx="0">
                  <c:v>2020</c:v>
                </c:pt>
                <c:pt idx="1">
                  <c:v>2021</c:v>
                </c:pt>
                <c:pt idx="2">
                  <c:v>2022</c:v>
                </c:pt>
                <c:pt idx="3">
                  <c:v>2023</c:v>
                </c:pt>
                <c:pt idx="4">
                  <c:v>2024</c:v>
                </c:pt>
              </c:numCache>
            </c:numRef>
          </c:cat>
          <c:val>
            <c:numRef>
              <c:f>'Working Capital Management'!$D$7:$H$7</c:f>
              <c:numCache>
                <c:formatCode>_(* #,##0.00_);_(* \(#,##0.00\);_(* "-"??_);_(@_)</c:formatCode>
                <c:ptCount val="5"/>
                <c:pt idx="0">
                  <c:v>67.622309758857853</c:v>
                </c:pt>
                <c:pt idx="1">
                  <c:v>57.986668810488396</c:v>
                </c:pt>
                <c:pt idx="2">
                  <c:v>61.264697992266065</c:v>
                </c:pt>
                <c:pt idx="3">
                  <c:v>55.680444623814012</c:v>
                </c:pt>
                <c:pt idx="4">
                  <c:v>60.013541180244005</c:v>
                </c:pt>
              </c:numCache>
            </c:numRef>
          </c:val>
          <c:smooth val="0"/>
          <c:extLst>
            <c:ext xmlns:c16="http://schemas.microsoft.com/office/drawing/2014/chart" uri="{C3380CC4-5D6E-409C-BE32-E72D297353CC}">
              <c16:uniqueId val="{00000000-7FDB-4F18-97F8-45604D5F06F6}"/>
            </c:ext>
          </c:extLst>
        </c:ser>
        <c:dLbls>
          <c:dLblPos val="t"/>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468109055"/>
        <c:axId val="468111935"/>
      </c:lineChart>
      <c:catAx>
        <c:axId val="468109055"/>
        <c:scaling>
          <c:orientation val="maxMin"/>
        </c:scaling>
        <c:delete val="0"/>
        <c:axPos val="b"/>
        <c:numFmt formatCode="General" sourceLinked="1"/>
        <c:majorTickMark val="none"/>
        <c:minorTickMark val="none"/>
        <c:tickLblPos val="low"/>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468111935"/>
        <c:crosses val="autoZero"/>
        <c:auto val="1"/>
        <c:lblAlgn val="ctr"/>
        <c:lblOffset val="100"/>
        <c:noMultiLvlLbl val="0"/>
      </c:catAx>
      <c:valAx>
        <c:axId val="468111935"/>
        <c:scaling>
          <c:orientation val="minMax"/>
          <c:min val="50"/>
        </c:scaling>
        <c:delete val="0"/>
        <c:axPos val="r"/>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681090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EB10BDA3117D04FAA88CCE7BEBD4E99" ma:contentTypeVersion="4" ma:contentTypeDescription="Create a new document." ma:contentTypeScope="" ma:versionID="c94eaa99a089b95703628c60f1c8c90c">
  <xsd:schema xmlns:xsd="http://www.w3.org/2001/XMLSchema" xmlns:xs="http://www.w3.org/2001/XMLSchema" xmlns:p="http://schemas.microsoft.com/office/2006/metadata/properties" xmlns:ns3="1787bddc-d7ba-4790-bff9-f3c701814ed6" targetNamespace="http://schemas.microsoft.com/office/2006/metadata/properties" ma:root="true" ma:fieldsID="b14b72f96b8f06b2ca8aef96d71b123a" ns3:_="">
    <xsd:import namespace="1787bddc-d7ba-4790-bff9-f3c701814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7bddc-d7ba-4790-bff9-f3c701814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8D9BC-5EBD-45C6-96D3-5EB8E779E8ED}">
  <ds:schemaRefs>
    <ds:schemaRef ds:uri="http://schemas.microsoft.com/sharepoint/v3/contenttype/forms"/>
  </ds:schemaRefs>
</ds:datastoreItem>
</file>

<file path=customXml/itemProps2.xml><?xml version="1.0" encoding="utf-8"?>
<ds:datastoreItem xmlns:ds="http://schemas.openxmlformats.org/officeDocument/2006/customXml" ds:itemID="{CB958066-D4FD-42C0-9700-C434D0EDF49A}">
  <ds:schemaRefs>
    <ds:schemaRef ds:uri="http://schemas.openxmlformats.org/officeDocument/2006/bibliography"/>
  </ds:schemaRefs>
</ds:datastoreItem>
</file>

<file path=customXml/itemProps3.xml><?xml version="1.0" encoding="utf-8"?>
<ds:datastoreItem xmlns:ds="http://schemas.openxmlformats.org/officeDocument/2006/customXml" ds:itemID="{D01ABDBE-9618-4AFE-8A44-F52AA7AA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7bddc-d7ba-4790-bff9-f3c701814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5905C0-6FE2-4A23-8D5B-BA776E7AD3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34</Pages>
  <Words>7262</Words>
  <Characters>41396</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Masoom (2223129)</cp:lastModifiedBy>
  <cp:revision>324</cp:revision>
  <dcterms:created xsi:type="dcterms:W3CDTF">2026-02-18T09:52:00Z</dcterms:created>
  <dcterms:modified xsi:type="dcterms:W3CDTF">2026-03-24T22:58:00Z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0x0101004EB10BDA3117D04FAA88CCE7BEBD4E99</vt:lpwstr>
  </property>
  <property fmtid="{D5CDD505-2E9C-101B-9397-08002B2CF9AE}" pid="3" name="GrammarlyDocumentId">
    <vt:lpwstr>3cfe5858-1dfb-405f-87d5-2780f1eee74e</vt:lpwstr>
  </property>
</Properties>
</file>