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554CF" w14:textId="77777777" w:rsidR="000C0C59" w:rsidRDefault="000C0C59" w:rsidP="003A74BF">
      <w:pPr>
        <w:pStyle w:val="Heading1"/>
      </w:pPr>
    </w:p>
    <w:p w14:paraId="4FF3661C" w14:textId="77777777" w:rsidR="000C0C59" w:rsidRDefault="000C0C59" w:rsidP="000C0C59">
      <w:r w:rsidRPr="000C0C59">
        <w:rPr>
          <w:noProof/>
          <w:lang w:val="en-US"/>
        </w:rPr>
        <w:drawing>
          <wp:inline distT="0" distB="0" distL="0" distR="0" wp14:anchorId="456E5F7D" wp14:editId="36521D0C">
            <wp:extent cx="2333951" cy="1019317"/>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333951" cy="1019317"/>
                    </a:xfrm>
                    <a:prstGeom prst="rect">
                      <a:avLst/>
                    </a:prstGeom>
                  </pic:spPr>
                </pic:pic>
              </a:graphicData>
            </a:graphic>
          </wp:inline>
        </w:drawing>
      </w:r>
      <w:r w:rsidRPr="000C0C59">
        <w:t xml:space="preserve"> </w:t>
      </w:r>
    </w:p>
    <w:p w14:paraId="47A12301" w14:textId="77777777" w:rsidR="000C0C59" w:rsidRDefault="000C0C59" w:rsidP="000C0C59">
      <w:pPr>
        <w:pStyle w:val="Default"/>
      </w:pPr>
    </w:p>
    <w:p w14:paraId="2BC4D31C" w14:textId="66F87380" w:rsidR="000C0C59" w:rsidRDefault="00B84DEB" w:rsidP="009C6939">
      <w:pPr>
        <w:jc w:val="center"/>
        <w:rPr>
          <w:sz w:val="36"/>
          <w:szCs w:val="32"/>
        </w:rPr>
      </w:pPr>
      <w:r w:rsidRPr="009C6939">
        <w:rPr>
          <w:sz w:val="36"/>
          <w:szCs w:val="32"/>
        </w:rPr>
        <w:t>Global Business Environment</w:t>
      </w:r>
    </w:p>
    <w:p w14:paraId="6473F15B" w14:textId="0A9ED584" w:rsidR="00A739E6" w:rsidRPr="009C6939" w:rsidRDefault="00A739E6" w:rsidP="009C6939">
      <w:pPr>
        <w:jc w:val="center"/>
        <w:rPr>
          <w:sz w:val="36"/>
          <w:szCs w:val="32"/>
        </w:rPr>
      </w:pPr>
      <w:r>
        <w:rPr>
          <w:sz w:val="36"/>
          <w:szCs w:val="32"/>
        </w:rPr>
        <w:t>Coursework Essay</w:t>
      </w:r>
    </w:p>
    <w:p w14:paraId="4CB165FB" w14:textId="4CA22639" w:rsidR="00B84DEB" w:rsidRDefault="00B84DEB" w:rsidP="000C0C59">
      <w:pPr>
        <w:pStyle w:val="Default"/>
        <w:rPr>
          <w:b/>
          <w:bCs/>
          <w:sz w:val="22"/>
          <w:szCs w:val="22"/>
        </w:rPr>
      </w:pPr>
    </w:p>
    <w:p w14:paraId="24E353FF" w14:textId="77777777" w:rsidR="00B84DEB" w:rsidRDefault="00B84DEB" w:rsidP="000C0C59">
      <w:pPr>
        <w:pStyle w:val="Default"/>
        <w:rPr>
          <w:b/>
          <w:bCs/>
          <w:sz w:val="22"/>
          <w:szCs w:val="22"/>
        </w:rPr>
      </w:pPr>
    </w:p>
    <w:p w14:paraId="479B82D4" w14:textId="77777777" w:rsidR="00B84DEB" w:rsidRDefault="00B84DEB" w:rsidP="000C0C59">
      <w:pPr>
        <w:pStyle w:val="Default"/>
        <w:rPr>
          <w:b/>
          <w:bCs/>
          <w:sz w:val="22"/>
          <w:szCs w:val="22"/>
        </w:rPr>
      </w:pPr>
    </w:p>
    <w:p w14:paraId="22B01B4A" w14:textId="77777777" w:rsidR="00B84DEB" w:rsidRDefault="00B84DEB" w:rsidP="009C6939"/>
    <w:p w14:paraId="03A142F6" w14:textId="33F6EB5D" w:rsidR="00B84DEB" w:rsidRDefault="00B84DEB" w:rsidP="009C6939">
      <w:r>
        <w:t>BA (Hons) Business Management</w:t>
      </w:r>
    </w:p>
    <w:p w14:paraId="5077C554" w14:textId="0050EE9E" w:rsidR="00B84DEB" w:rsidRPr="00B84DEB" w:rsidRDefault="00B84DEB" w:rsidP="009C6939">
      <w:r w:rsidRPr="00B84DEB">
        <w:t xml:space="preserve">Lecture name: Rita </w:t>
      </w:r>
      <w:proofErr w:type="spellStart"/>
      <w:r w:rsidRPr="00B84DEB">
        <w:t>Ukachi</w:t>
      </w:r>
      <w:proofErr w:type="spellEnd"/>
      <w:r w:rsidRPr="00B84DEB">
        <w:t>-Lois</w:t>
      </w:r>
    </w:p>
    <w:p w14:paraId="1DD9FB70" w14:textId="7FAF39FF" w:rsidR="00B84DEB" w:rsidRPr="00B84DEB" w:rsidRDefault="00B84DEB" w:rsidP="009C6939">
      <w:r w:rsidRPr="00B84DEB">
        <w:t xml:space="preserve">Student name: </w:t>
      </w:r>
      <w:proofErr w:type="spellStart"/>
      <w:r w:rsidRPr="00B84DEB">
        <w:t>Kostadinka</w:t>
      </w:r>
      <w:proofErr w:type="spellEnd"/>
      <w:r w:rsidRPr="00B84DEB">
        <w:t xml:space="preserve"> Stoyanova </w:t>
      </w:r>
    </w:p>
    <w:p w14:paraId="7A672ED9" w14:textId="484CD010" w:rsidR="00B84DEB" w:rsidRDefault="00B84DEB" w:rsidP="009C6939">
      <w:r w:rsidRPr="00B84DEB">
        <w:t>Student ID: 2309383</w:t>
      </w:r>
    </w:p>
    <w:p w14:paraId="34C108E8" w14:textId="77777777" w:rsidR="00B84DEB" w:rsidRPr="00B84DEB" w:rsidRDefault="00B84DEB" w:rsidP="009C6939"/>
    <w:p w14:paraId="4E06A638" w14:textId="77777777" w:rsidR="00B84DEB" w:rsidRDefault="000C0C59" w:rsidP="009C6939">
      <w:r>
        <w:t xml:space="preserve"> </w:t>
      </w:r>
      <w:bookmarkStart w:id="0" w:name="_Toc169893075"/>
    </w:p>
    <w:p w14:paraId="1E4CFE2E" w14:textId="77777777" w:rsidR="00B84DEB" w:rsidRDefault="00B84DEB">
      <w:pPr>
        <w:spacing w:line="259" w:lineRule="auto"/>
        <w:jc w:val="left"/>
      </w:pPr>
      <w:r>
        <w:br w:type="page"/>
      </w:r>
    </w:p>
    <w:p w14:paraId="4BEE18C4" w14:textId="70238908" w:rsidR="00893879" w:rsidRDefault="003A74BF" w:rsidP="00B84DEB">
      <w:pPr>
        <w:pStyle w:val="Heading1"/>
      </w:pPr>
      <w:r>
        <w:lastRenderedPageBreak/>
        <w:t>Introduction</w:t>
      </w:r>
      <w:bookmarkEnd w:id="0"/>
    </w:p>
    <w:p w14:paraId="0838F445" w14:textId="213646E8" w:rsidR="003A74BF" w:rsidRDefault="003A74BF" w:rsidP="003A74BF">
      <w:r>
        <w:t xml:space="preserve">To achieve success in the current fast global business environment, it is crucial for an </w:t>
      </w:r>
      <w:r w:rsidR="000C0C59">
        <w:t>organisation</w:t>
      </w:r>
      <w:r>
        <w:t xml:space="preserve"> to understand the drivers that affect the external environment. PESTLE, the acronym for Political, Economic, Social, Technological, Legal and Environmental issues helps in an organised manner to check out external forces that might impact corporate plans and operations. This study can help organisations in identifying potential opportunities and threats of business environment so that they could make informed decision as well as adapt </w:t>
      </w:r>
      <w:r w:rsidR="00B84DEB">
        <w:t xml:space="preserve">to </w:t>
      </w:r>
      <w:r>
        <w:t>the chances in more successful ways. This includes a breakdown of the key elements within each PESTLE factor and an explanation as to why these are significant for business, across the above factors, to keep in mind when thinking about how certain parts play a particularly important role for organisations as well as providing a brief example to tie them back.</w:t>
      </w:r>
    </w:p>
    <w:p w14:paraId="0BFF9F1C" w14:textId="77777777" w:rsidR="003A74BF" w:rsidRDefault="003A74BF" w:rsidP="003A74BF">
      <w:r>
        <w:br w:type="page"/>
      </w:r>
    </w:p>
    <w:p w14:paraId="6887B6CF" w14:textId="15EE2B7C" w:rsidR="003A74BF" w:rsidRDefault="00B84DEB" w:rsidP="003A74BF">
      <w:pPr>
        <w:pStyle w:val="Heading1"/>
        <w:rPr>
          <w:lang w:val="en-US"/>
        </w:rPr>
      </w:pPr>
      <w:r>
        <w:rPr>
          <w:lang w:val="en-US"/>
        </w:rPr>
        <w:lastRenderedPageBreak/>
        <w:t xml:space="preserve">Discussion </w:t>
      </w:r>
    </w:p>
    <w:p w14:paraId="397D0189" w14:textId="6F4557CF" w:rsidR="003A74BF" w:rsidRDefault="003A74BF" w:rsidP="003A74BF">
      <w:r>
        <w:t>The PESTEL framework is a key tool used to understand the nuances of the global corporate environment, an essential feat</w:t>
      </w:r>
      <w:r w:rsidR="000C0C59">
        <w:t>ure for analys</w:t>
      </w:r>
      <w:r>
        <w:t>ing internal and external marke</w:t>
      </w:r>
      <w:r w:rsidR="004F30D9">
        <w:t>ts. PESTEL stands for Political, Economic, Social, Technological, Environmental, Legal</w:t>
      </w:r>
      <w:r>
        <w:t xml:space="preserve"> a varied group of forces that can have a large impact on the strategi</w:t>
      </w:r>
      <w:r w:rsidR="004F30D9">
        <w:t>es or operations of corporates</w:t>
      </w:r>
      <w:r w:rsidR="00776830" w:rsidRPr="00776830">
        <w:t xml:space="preserve"> (Abdelali Bouzid, 2020)</w:t>
      </w:r>
      <w:r w:rsidR="004F30D9">
        <w:t>.</w:t>
      </w:r>
    </w:p>
    <w:p w14:paraId="706AB936" w14:textId="1F0DB81B" w:rsidR="00984E4E" w:rsidRDefault="004F30D9" w:rsidP="002A14BD">
      <w:r w:rsidRPr="004F30D9">
        <w:t>Political factors include impact of the policies, rules, regulations and stability of government that a company operates. It includes: stability of the government, political philosophy, trade policies taxation, financial expenditures, and national legislations affecting international trade</w:t>
      </w:r>
      <w:r w:rsidR="002A14BD" w:rsidRPr="002A14BD">
        <w:t xml:space="preserve"> (Romanchuk, 2018).</w:t>
      </w:r>
      <w:r w:rsidRPr="004F30D9">
        <w:t xml:space="preserve"> The general business climate, therefore, affects investment decisions, market entry strategies and operational frameworks. Taxation laws or trade agreements being modified, taxation nature of a country being altered can directly affect the profitability and market competition in case of companies to operate globally</w:t>
      </w:r>
      <w:r w:rsidR="00F027B9">
        <w:t xml:space="preserve"> </w:t>
      </w:r>
      <w:r w:rsidR="00F027B9" w:rsidRPr="00F027B9">
        <w:t>(Berry, 2017)</w:t>
      </w:r>
      <w:r w:rsidRPr="004F30D9">
        <w:t>.</w:t>
      </w:r>
      <w:r>
        <w:t xml:space="preserve"> </w:t>
      </w:r>
      <w:r w:rsidR="00984E4E">
        <w:t>Jaguar Land Rover similarly was impacted by Brexit, with increased export tariffs and disruptions in the supply chain making it difficult to make a profit, thus comp</w:t>
      </w:r>
      <w:r w:rsidR="00E06775">
        <w:t>elling strategic repositioning.</w:t>
      </w:r>
      <w:r w:rsidR="00BE0274">
        <w:t xml:space="preserve"> In addition, it is imperative for the modern business environment as international trade provides opportunities to grow and expand business globally including geopolitical risks and fluctuations in the global economy. Global trade presents multi-faceted regulatory challenges intertwined with currency risk and cultural differences. These factors affect supply chain resilience, margin progression and market entry moves. </w:t>
      </w:r>
      <w:r w:rsidR="00984E4E">
        <w:t>Problems with BA British Airways, which had been unable to operate certain routes due to regulatory constraints that had already been in place and intensified after Brexit operationally and evolutionarily as aviation policies continued to be rewritten, needed therefore a recalculation of its business model</w:t>
      </w:r>
      <w:r w:rsidR="00BC03B1">
        <w:t xml:space="preserve"> </w:t>
      </w:r>
      <w:r w:rsidR="00BC03B1" w:rsidRPr="00BC03B1">
        <w:t>(Conklin, 2018)</w:t>
      </w:r>
      <w:r w:rsidR="00984E4E">
        <w:t>.</w:t>
      </w:r>
      <w:r w:rsidR="002A14BD">
        <w:t xml:space="preserve"> </w:t>
      </w:r>
    </w:p>
    <w:p w14:paraId="6B46D94E" w14:textId="5F233860" w:rsidR="00984E4E" w:rsidRPr="002A14BD" w:rsidRDefault="003A74BF" w:rsidP="002A14BD">
      <w:r>
        <w:t xml:space="preserve">The surrounding elements over the economy functioning and its implications on business includes economic growth rates, inflation rates, interest rates, exchange rates, levels of disposable income and unemployment rates. They are important because they influence capital costs, the purchasing power of consumers and, in general, the demand for products and services. In other words, high rates of inflation can eat into purchasing power and change consumer savings </w:t>
      </w:r>
      <w:proofErr w:type="spellStart"/>
      <w:r w:rsidR="006177FA">
        <w:t>behavior</w:t>
      </w:r>
      <w:proofErr w:type="spellEnd"/>
      <w:r>
        <w:t>, reducing the price p</w:t>
      </w:r>
      <w:r w:rsidR="004F30D9">
        <w:t xml:space="preserve">ricing strategies of </w:t>
      </w:r>
      <w:r w:rsidR="002A14BD">
        <w:lastRenderedPageBreak/>
        <w:t xml:space="preserve">companies. There is scope to learn with reference to examples, and interpretation on place value such as inflation, market structures and dynamics of international trade. First of all, between the biggest economic elements, inflation seems to be a global factor which affects firms everywhere. Inflation is the name given to the continuous increase in average prices and it can have an effect on company businesses in various ways. Here is a clear outcome of that decrease in consumer buying power. Most consumers will change their </w:t>
      </w:r>
      <w:proofErr w:type="spellStart"/>
      <w:r w:rsidR="002A14BD">
        <w:t>behavior</w:t>
      </w:r>
      <w:proofErr w:type="spellEnd"/>
      <w:r w:rsidR="002A14BD">
        <w:t xml:space="preserve"> and spend more on necessities, spending less on discretionary items as prices increase. Changing consumer behaviours may affect businesses that rely on non-essential consumer spending, lead to a decrease in the demand for non-essential goods and service</w:t>
      </w:r>
      <w:r w:rsidR="00BC03B1">
        <w:t xml:space="preserve"> </w:t>
      </w:r>
      <w:r w:rsidR="00BC03B1" w:rsidRPr="00BC03B1">
        <w:t>(Nelson, 2016)</w:t>
      </w:r>
      <w:r w:rsidR="00E06775">
        <w:t>.</w:t>
      </w:r>
      <w:r w:rsidR="002A14BD">
        <w:t xml:space="preserve"> </w:t>
      </w:r>
      <w:r w:rsidR="00BE0274" w:rsidRPr="002A14BD">
        <w:t>The learning curve at times prove to be very expensive and profitable and competitive plants suffer in the process of a change is not adapted which could particularly be true for industries facing increased price rivalry or inelastic demand. Understanding market structures, besides inflation can effectively produce commercial tactics. Marketplaces vary in their competitive intensity from perfectly competitive with lots of small businesses to oligopolies where a small number of major players dominate (Razzak, 2023).</w:t>
      </w:r>
      <w:r w:rsidR="00BE0274">
        <w:t xml:space="preserve"> </w:t>
      </w:r>
      <w:r w:rsidR="002A14BD">
        <w:t>For instance, consider a UK based luxury retail brand</w:t>
      </w:r>
      <w:r w:rsidR="002A14BD" w:rsidRPr="004F30D9">
        <w:t xml:space="preserve"> Burberry</w:t>
      </w:r>
      <w:r w:rsidR="002A14BD">
        <w:t>. Usually, when inflation is high, as it has been, the higher costs of production and exchange rate fluctuations increase the prices of luxury imports</w:t>
      </w:r>
      <w:r w:rsidR="002A14BD" w:rsidRPr="00776830">
        <w:t xml:space="preserve"> (Berry, 2017)</w:t>
      </w:r>
      <w:r w:rsidR="002A14BD">
        <w:t xml:space="preserve">. This may shrink </w:t>
      </w:r>
      <w:r w:rsidR="002A14BD" w:rsidRPr="004F30D9">
        <w:t>Burberry</w:t>
      </w:r>
      <w:r w:rsidR="002A14BD">
        <w:t>’s customer base and lead to decreased sales by the luxury goods manufacturers. On top of all this, smaller companies with small profit margins cannot simply increase prices in line with rising costs to customers for fear of going out of business or retrenching operations</w:t>
      </w:r>
      <w:r w:rsidR="00F027B9">
        <w:t xml:space="preserve"> </w:t>
      </w:r>
      <w:r w:rsidR="00F027B9" w:rsidRPr="00F027B9">
        <w:t>(Charlesworth, 2016)</w:t>
      </w:r>
      <w:r w:rsidR="002A14BD">
        <w:t xml:space="preserve">. </w:t>
      </w:r>
    </w:p>
    <w:p w14:paraId="719B5E84" w14:textId="3C430611" w:rsidR="00984E4E" w:rsidRDefault="003A74BF" w:rsidP="00E06775">
      <w:r>
        <w:t>The societal environment pressures buyer decisions and what they want in the open market. Key variables include age distributions, population growth rates, social attitudes and norms, educational levels, health consciousness and cultural preferences. Businesses need to understand these in order to tailor their products, services and marketing strategies to meet the needs and tastes of different consumer</w:t>
      </w:r>
      <w:r w:rsidR="004F30D9">
        <w:t xml:space="preserve"> segments in different </w:t>
      </w:r>
      <w:r w:rsidR="000C0C59">
        <w:t>markets</w:t>
      </w:r>
      <w:r w:rsidR="00F027B9" w:rsidRPr="00F027B9">
        <w:t xml:space="preserve"> (</w:t>
      </w:r>
      <w:proofErr w:type="spellStart"/>
      <w:r w:rsidR="00F027B9" w:rsidRPr="00F027B9">
        <w:t>Ingulli</w:t>
      </w:r>
      <w:proofErr w:type="spellEnd"/>
      <w:r w:rsidR="00F027B9" w:rsidRPr="00F027B9">
        <w:t xml:space="preserve"> et al., 2018)</w:t>
      </w:r>
      <w:r w:rsidR="000C0C59">
        <w:t>.</w:t>
      </w:r>
      <w:r w:rsidR="00E06775">
        <w:t xml:space="preserve"> In addition to the EVFTA, Unilever Joe </w:t>
      </w:r>
      <w:proofErr w:type="spellStart"/>
      <w:r w:rsidR="00E06775">
        <w:t>Comtrade</w:t>
      </w:r>
      <w:proofErr w:type="spellEnd"/>
      <w:r w:rsidR="00E06775">
        <w:t xml:space="preserve"> program has also been implemented in response to strengthen consumer demand for sustainability by committing to reduce emissions along their entire product line. Reaching beyond demographic shifts in an anything-but-sleepy retail environment, Marks &amp; </w:t>
      </w:r>
      <w:r w:rsidR="00E06775">
        <w:lastRenderedPageBreak/>
        <w:t>Spencer began to broaden their product offerings to appeal more thoroughly to broad range of consumer lifestyles and brand appeal /customer engagement</w:t>
      </w:r>
      <w:r w:rsidR="00BC03B1">
        <w:t xml:space="preserve"> </w:t>
      </w:r>
      <w:r w:rsidR="00BC03B1" w:rsidRPr="00BC03B1">
        <w:t>(Perera, 2017)</w:t>
      </w:r>
      <w:r w:rsidR="00BC03B1">
        <w:t>.</w:t>
      </w:r>
    </w:p>
    <w:p w14:paraId="5B93BF98" w14:textId="1569E15F" w:rsidR="00984E4E" w:rsidRDefault="000C0C59" w:rsidP="00E06775">
      <w:r>
        <w:t>Technological</w:t>
      </w:r>
      <w:r w:rsidR="004F30D9">
        <w:t xml:space="preserve"> e</w:t>
      </w:r>
      <w:r w:rsidR="003A74BF">
        <w:t>nvironment relates to the impact of new developments in technology on business operations and focus on the production of goods and services. In this direction, research and development efforts, automation, "innovation cycles", technology infrastructure, and intellectual property rights have which are also made super high when they are to manufacture a product</w:t>
      </w:r>
      <w:r w:rsidR="00F027B9" w:rsidRPr="00F027B9">
        <w:t xml:space="preserve"> (Marcus, 2015)</w:t>
      </w:r>
      <w:r w:rsidR="003A74BF">
        <w:t xml:space="preserve">. To remain competitive, businesses must continually incorporate new technology into their products and services and keep up-to-date with new market trends. A case in point being the rapid maturation of digital technology, transforming how customers interact with </w:t>
      </w:r>
      <w:r>
        <w:t>organisation</w:t>
      </w:r>
      <w:r w:rsidR="003A74BF">
        <w:t>s and the way supply chain and marketing is being approached globally.</w:t>
      </w:r>
      <w:r w:rsidR="004F30D9">
        <w:t xml:space="preserve"> </w:t>
      </w:r>
      <w:r w:rsidR="002A14BD">
        <w:t xml:space="preserve">Businesses not only have to respond to an outside world, but they also have to proactively create the world they want through good decisions and innovative ideas </w:t>
      </w:r>
      <w:r w:rsidR="002A14BD" w:rsidRPr="00776830">
        <w:t xml:space="preserve">(Cook, Macaulay and </w:t>
      </w:r>
      <w:proofErr w:type="spellStart"/>
      <w:r w:rsidR="002A14BD" w:rsidRPr="00776830">
        <w:t>Coldicott</w:t>
      </w:r>
      <w:proofErr w:type="spellEnd"/>
      <w:r w:rsidR="002A14BD" w:rsidRPr="00776830">
        <w:t>, 2014)</w:t>
      </w:r>
      <w:r w:rsidR="002A14BD">
        <w:t xml:space="preserve">. </w:t>
      </w:r>
      <w:r w:rsidR="00E06775">
        <w:t>BT Group, a pioneering telecommunications company known for investing in 5G infrastructure development to enhance network performance and support digitally-enabled change. Ocado instance in the UK On-demand processing, with take-to-cart times of 5 mins, increased from $18.00 Incurred investment cost to bring on-line robotic automation into already existing warehouses to meet an immediate need for more online groceries in the UK market- improved warehousing operations and order accuracy</w:t>
      </w:r>
      <w:r w:rsidR="00BC03B1">
        <w:t xml:space="preserve"> </w:t>
      </w:r>
      <w:r w:rsidR="00BC03B1" w:rsidRPr="00BC03B1">
        <w:t>(</w:t>
      </w:r>
      <w:proofErr w:type="spellStart"/>
      <w:r w:rsidR="00BC03B1" w:rsidRPr="00BC03B1">
        <w:t>Courvisanos</w:t>
      </w:r>
      <w:proofErr w:type="spellEnd"/>
      <w:r w:rsidR="00BC03B1" w:rsidRPr="00BC03B1">
        <w:t>, 2017)</w:t>
      </w:r>
      <w:r w:rsidR="00BC03B1">
        <w:t>.</w:t>
      </w:r>
      <w:r w:rsidR="002A14BD">
        <w:t xml:space="preserve"> </w:t>
      </w:r>
    </w:p>
    <w:p w14:paraId="56A471B0" w14:textId="4A91992D" w:rsidR="00E06775" w:rsidRDefault="003A74BF" w:rsidP="00E06775">
      <w:r>
        <w:t xml:space="preserve">Environmental </w:t>
      </w:r>
      <w:r w:rsidR="004F30D9">
        <w:t>factors</w:t>
      </w:r>
      <w:r>
        <w:t xml:space="preserve"> </w:t>
      </w:r>
      <w:r w:rsidR="004F30D9">
        <w:t>refer</w:t>
      </w:r>
      <w:r>
        <w:t xml:space="preserve"> to the ecological and environmental component of the corporate operations influence on sustainability initiatives. For context </w:t>
      </w:r>
      <w:r w:rsidR="004F30D9">
        <w:t>ultra-boom</w:t>
      </w:r>
      <w:r>
        <w:t xml:space="preserve"> describes the future as shaped by natural disasters, resource depletion, energy consumption trends, climate change, and environmental legislation as </w:t>
      </w:r>
      <w:proofErr w:type="gramStart"/>
      <w:r>
        <w:t>variables</w:t>
      </w:r>
      <w:r w:rsidR="00F027B9">
        <w:t xml:space="preserve"> </w:t>
      </w:r>
      <w:r w:rsidR="00F027B9" w:rsidRPr="00F027B9">
        <w:t xml:space="preserve"> (</w:t>
      </w:r>
      <w:proofErr w:type="gramEnd"/>
      <w:r w:rsidR="00F027B9" w:rsidRPr="00F027B9">
        <w:t>Campbell and Craig, 2015)</w:t>
      </w:r>
      <w:r>
        <w:t xml:space="preserve">. Sustainable practices are being pushed through to companies on any level resulting in new ways of setting up partnerships inherently raising the expectation that corporates promote responsible corporate behaviour; reduce the potential risk of environmentally damaging incidents e. g. oil-spills; and improve CSR programmes </w:t>
      </w:r>
      <w:r w:rsidR="004F30D9">
        <w:t>as a combined effort to lessen c</w:t>
      </w:r>
      <w:r>
        <w:t>arbon footprints some corporates make due against environmental regulation sa</w:t>
      </w:r>
      <w:r w:rsidR="004F30D9">
        <w:t>nctions or financial penalties.</w:t>
      </w:r>
      <w:r w:rsidR="00E06775">
        <w:t xml:space="preserve"> </w:t>
      </w:r>
      <w:r w:rsidR="002A14BD">
        <w:t xml:space="preserve">The market environment directly impacts the pricing power, innovation incentives, and strategic </w:t>
      </w:r>
      <w:r w:rsidR="002A14BD">
        <w:lastRenderedPageBreak/>
        <w:t>priorities of enterprises</w:t>
      </w:r>
      <w:r w:rsidR="00F027B9">
        <w:t xml:space="preserve"> </w:t>
      </w:r>
      <w:r w:rsidR="00F027B9" w:rsidRPr="00F027B9">
        <w:t>(Crane et al., 2019)</w:t>
      </w:r>
      <w:r w:rsidR="002A14BD">
        <w:t xml:space="preserve">. Think about the UK grocery sector as an example. Pricing and competition strategies are impacted by this oligopolistic market structure, wherein only a handful of large companies Tesco, Sainsbury' and Asda [now Walmart] control the bulk of the sector. </w:t>
      </w:r>
      <w:r w:rsidR="00E06775">
        <w:t>Legislation concerning the employment status of drivers significantly impacted Uber's business model and operating costs in the UK. GlaxoSmithKline evaluated both market exclusivity and researching and development expenditures to maintain its competitive advantage as well as to comply with legal standards</w:t>
      </w:r>
      <w:r w:rsidR="00BC03B1">
        <w:t xml:space="preserve"> </w:t>
      </w:r>
      <w:r w:rsidR="00BC03B1" w:rsidRPr="00776830">
        <w:t>(Idowu, 2016)</w:t>
      </w:r>
      <w:r w:rsidR="00E06775">
        <w:t>.</w:t>
      </w:r>
      <w:r w:rsidR="002A14BD">
        <w:t xml:space="preserve"> </w:t>
      </w:r>
    </w:p>
    <w:p w14:paraId="0BB0B28C" w14:textId="5245F15C" w:rsidR="003A74BF" w:rsidRDefault="004F30D9" w:rsidP="00E06775">
      <w:r w:rsidRPr="004F30D9">
        <w:t xml:space="preserve">All laws, legislation and legal measures that define how the country or world business is organized are considered as a proper environment. These are contract laws, intellectual property rights, employment laws, consumer protection laws and competition law. For businesses, being compliant with the law is necessary not just to avoid legal trouble, fines and a damaged reputation. Since changes in regulatory framework can bring a marked difference to the plans of corporate, </w:t>
      </w:r>
      <w:r w:rsidR="006177FA" w:rsidRPr="004F30D9">
        <w:t>it</w:t>
      </w:r>
      <w:r w:rsidRPr="004F30D9">
        <w:t xml:space="preserve"> is always better to be proactive in adapting to the same and support for that from legal side would be crucial for </w:t>
      </w:r>
      <w:r w:rsidR="000C0C59">
        <w:t>organisation</w:t>
      </w:r>
      <w:r w:rsidRPr="004F30D9">
        <w:t>al continuity and risk management</w:t>
      </w:r>
      <w:r w:rsidR="00776830" w:rsidRPr="00776830">
        <w:t xml:space="preserve"> (Marmol, 2021)</w:t>
      </w:r>
      <w:r w:rsidRPr="004F30D9">
        <w:t>.</w:t>
      </w:r>
      <w:r w:rsidR="00E06775" w:rsidRPr="00E06775">
        <w:t xml:space="preserve"> </w:t>
      </w:r>
      <w:r w:rsidR="00E06775">
        <w:t>To meet climate legislation targets and the public's requirements for clean energy solutions, BP has focused on creating renewable energy and carbon reduction projects in Britain. While this was to minimize its environmental impact and up its game with the eco-friendly shopper in the British market, Tesco greened its packaging and sourcing through groundbreaking methods</w:t>
      </w:r>
      <w:r w:rsidR="00BC03B1">
        <w:t xml:space="preserve"> </w:t>
      </w:r>
      <w:r w:rsidR="00BC03B1" w:rsidRPr="00BC03B1">
        <w:t>(Abbott, Pendlebury and Wardman, 2017)</w:t>
      </w:r>
      <w:r w:rsidR="00E06775">
        <w:t>.</w:t>
      </w:r>
    </w:p>
    <w:p w14:paraId="5EA93DA6" w14:textId="49EBE665" w:rsidR="000C0C59" w:rsidRDefault="004F30D9" w:rsidP="004F30D9">
      <w:r>
        <w:t>Though unprepared firms could be lambasted with higher operating costs and shaky markets, companies who successfully navigate these roadblocks could expose themselves to new market opportunities and diversify their revenue streams. In addition to that, features of the market structures and inflation to global trade dynamics as well as geopolitical events impact the business environment</w:t>
      </w:r>
      <w:r w:rsidR="00776830" w:rsidRPr="00776830">
        <w:t xml:space="preserve"> (</w:t>
      </w:r>
      <w:proofErr w:type="spellStart"/>
      <w:r w:rsidR="00776830" w:rsidRPr="00776830">
        <w:t>Tse</w:t>
      </w:r>
      <w:proofErr w:type="spellEnd"/>
      <w:r w:rsidR="00776830" w:rsidRPr="00776830">
        <w:t>, 2017)</w:t>
      </w:r>
      <w:r>
        <w:t xml:space="preserve">. </w:t>
      </w:r>
    </w:p>
    <w:p w14:paraId="1DAEE7A4" w14:textId="77777777" w:rsidR="000C0C59" w:rsidRDefault="000C0C59" w:rsidP="000C0C59">
      <w:r>
        <w:br w:type="page"/>
      </w:r>
    </w:p>
    <w:p w14:paraId="59F94C5A" w14:textId="77777777" w:rsidR="000C0C59" w:rsidRDefault="000C0C59" w:rsidP="000C0C59">
      <w:pPr>
        <w:pStyle w:val="Heading1"/>
      </w:pPr>
      <w:bookmarkStart w:id="1" w:name="_Toc169893077"/>
      <w:r>
        <w:lastRenderedPageBreak/>
        <w:t>Conclusion</w:t>
      </w:r>
      <w:bookmarkEnd w:id="1"/>
    </w:p>
    <w:p w14:paraId="4BF3075D" w14:textId="77777777" w:rsidR="004F30D9" w:rsidRDefault="000C0C59" w:rsidP="004F30D9">
      <w:r>
        <w:t>In conclusion, t</w:t>
      </w:r>
      <w:r w:rsidRPr="000C0C59">
        <w:t xml:space="preserve">he PESTLE facets can only become a good tool for businesses if they understand these elements that shape everything in the complex global environment. Although economic factors, such as inflation and interest rates, have a bearing on financial success of the </w:t>
      </w:r>
      <w:r>
        <w:t>organisation</w:t>
      </w:r>
      <w:r w:rsidRPr="000C0C59">
        <w:t>, political stability and regulatory rules have an influence on operational decisions. The starting point is not the consumer behaviour but social changes and technological breakthroughs driving competitive dynamics. Suggested evaluation strategies are dictated by legal and environmental enforcement. By examining these variables, businesses can identify opportunities, minimize risk and make decisions that are congruent with external conditions to help maintain long-term performance and sustainability.</w:t>
      </w:r>
    </w:p>
    <w:p w14:paraId="7538D50B" w14:textId="0DB8053C" w:rsidR="006177FA" w:rsidRDefault="006177FA" w:rsidP="004F30D9"/>
    <w:p w14:paraId="67AD7AA1" w14:textId="77777777" w:rsidR="006177FA" w:rsidRDefault="006177FA">
      <w:pPr>
        <w:spacing w:line="259" w:lineRule="auto"/>
        <w:jc w:val="left"/>
      </w:pPr>
      <w:r>
        <w:br w:type="page"/>
      </w:r>
    </w:p>
    <w:p w14:paraId="074F713E" w14:textId="0135B598" w:rsidR="006177FA" w:rsidRDefault="006177FA" w:rsidP="006177FA">
      <w:pPr>
        <w:pStyle w:val="Heading1"/>
      </w:pPr>
      <w:bookmarkStart w:id="2" w:name="_Toc169893078"/>
      <w:r>
        <w:lastRenderedPageBreak/>
        <w:t>References</w:t>
      </w:r>
      <w:bookmarkEnd w:id="2"/>
      <w:r>
        <w:t xml:space="preserve"> </w:t>
      </w:r>
    </w:p>
    <w:p w14:paraId="47891F08" w14:textId="77777777" w:rsidR="00E2213B" w:rsidRPr="00F027B9" w:rsidRDefault="00E2213B" w:rsidP="00E2213B">
      <w:pPr>
        <w:rPr>
          <w:lang w:val="en-US"/>
        </w:rPr>
      </w:pPr>
      <w:r w:rsidRPr="00F027B9">
        <w:rPr>
          <w:lang w:val="en-US"/>
        </w:rPr>
        <w:t xml:space="preserve">Abbott, K., Pendlebury, N. and Wardman, K. (2017). </w:t>
      </w:r>
      <w:r w:rsidRPr="00F027B9">
        <w:rPr>
          <w:i/>
          <w:iCs/>
          <w:lang w:val="en-US"/>
        </w:rPr>
        <w:t>Business law</w:t>
      </w:r>
      <w:r w:rsidRPr="00F027B9">
        <w:rPr>
          <w:lang w:val="en-US"/>
        </w:rPr>
        <w:t>. London: Thomson.</w:t>
      </w:r>
    </w:p>
    <w:p w14:paraId="727841BB" w14:textId="77777777" w:rsidR="00E2213B" w:rsidRPr="00F027B9" w:rsidRDefault="00E2213B" w:rsidP="00E2213B">
      <w:pPr>
        <w:rPr>
          <w:lang w:val="en-US"/>
        </w:rPr>
      </w:pPr>
      <w:r w:rsidRPr="00F027B9">
        <w:rPr>
          <w:lang w:val="en-US"/>
        </w:rPr>
        <w:t xml:space="preserve">Abdelali Bouzid (2020). </w:t>
      </w:r>
      <w:r w:rsidRPr="00F027B9">
        <w:rPr>
          <w:i/>
          <w:iCs/>
          <w:lang w:val="en-US"/>
        </w:rPr>
        <w:t>The PESTLE Model &amp; The CAGE Framework</w:t>
      </w:r>
      <w:r w:rsidRPr="00F027B9">
        <w:rPr>
          <w:lang w:val="en-US"/>
        </w:rPr>
        <w:t>. Independently Published.</w:t>
      </w:r>
    </w:p>
    <w:p w14:paraId="0A7E9C3F" w14:textId="77777777" w:rsidR="00E2213B" w:rsidRPr="00F027B9" w:rsidRDefault="00E2213B" w:rsidP="00E2213B">
      <w:pPr>
        <w:rPr>
          <w:lang w:val="en-US"/>
        </w:rPr>
      </w:pPr>
      <w:r w:rsidRPr="00F027B9">
        <w:rPr>
          <w:lang w:val="en-US"/>
        </w:rPr>
        <w:t xml:space="preserve">Berry, E. (2017). </w:t>
      </w:r>
      <w:r w:rsidRPr="00F027B9">
        <w:rPr>
          <w:i/>
          <w:iCs/>
          <w:lang w:val="en-US"/>
        </w:rPr>
        <w:t xml:space="preserve">Pestle Analysis </w:t>
      </w:r>
      <w:proofErr w:type="spellStart"/>
      <w:r w:rsidRPr="00F027B9">
        <w:rPr>
          <w:i/>
          <w:iCs/>
          <w:lang w:val="en-US"/>
        </w:rPr>
        <w:t>Essntials</w:t>
      </w:r>
      <w:proofErr w:type="spellEnd"/>
      <w:r w:rsidRPr="00F027B9">
        <w:rPr>
          <w:lang w:val="en-US"/>
        </w:rPr>
        <w:t xml:space="preserve">. </w:t>
      </w:r>
      <w:proofErr w:type="spellStart"/>
      <w:r w:rsidRPr="00F027B9">
        <w:rPr>
          <w:lang w:val="en-US"/>
        </w:rPr>
        <w:t>Createspace</w:t>
      </w:r>
      <w:proofErr w:type="spellEnd"/>
      <w:r w:rsidRPr="00F027B9">
        <w:rPr>
          <w:lang w:val="en-US"/>
        </w:rPr>
        <w:t xml:space="preserve"> Independent Publishing Platform.</w:t>
      </w:r>
    </w:p>
    <w:p w14:paraId="363CD35C" w14:textId="77777777" w:rsidR="00E2213B" w:rsidRPr="00F027B9" w:rsidRDefault="00E2213B" w:rsidP="00E2213B">
      <w:pPr>
        <w:rPr>
          <w:lang w:val="en-US"/>
        </w:rPr>
      </w:pPr>
      <w:r w:rsidRPr="00F027B9">
        <w:rPr>
          <w:lang w:val="en-US"/>
        </w:rPr>
        <w:t xml:space="preserve">Campbell, D.J. and Craig, T. (2015). </w:t>
      </w:r>
      <w:r w:rsidRPr="00F027B9">
        <w:rPr>
          <w:i/>
          <w:iCs/>
          <w:lang w:val="en-US"/>
        </w:rPr>
        <w:t>Organisations and the business environment</w:t>
      </w:r>
      <w:r w:rsidRPr="00F027B9">
        <w:rPr>
          <w:lang w:val="en-US"/>
        </w:rPr>
        <w:t xml:space="preserve">. </w:t>
      </w:r>
      <w:proofErr w:type="gramStart"/>
      <w:r w:rsidRPr="00F027B9">
        <w:rPr>
          <w:lang w:val="en-US"/>
        </w:rPr>
        <w:t>Amsterdam ;</w:t>
      </w:r>
      <w:proofErr w:type="gramEnd"/>
      <w:r w:rsidRPr="00F027B9">
        <w:rPr>
          <w:lang w:val="en-US"/>
        </w:rPr>
        <w:t xml:space="preserve"> London: Elsevier Butterworth-Heinemann, Cop.</w:t>
      </w:r>
    </w:p>
    <w:p w14:paraId="56854C48" w14:textId="77777777" w:rsidR="00E2213B" w:rsidRPr="00F027B9" w:rsidRDefault="00E2213B" w:rsidP="00E2213B">
      <w:pPr>
        <w:rPr>
          <w:lang w:val="en-US"/>
        </w:rPr>
      </w:pPr>
      <w:r w:rsidRPr="00F027B9">
        <w:rPr>
          <w:lang w:val="en-US"/>
        </w:rPr>
        <w:t xml:space="preserve">Charlesworth, H.K. (2016). </w:t>
      </w:r>
      <w:r w:rsidRPr="00F027B9">
        <w:rPr>
          <w:i/>
          <w:iCs/>
          <w:lang w:val="en-US"/>
        </w:rPr>
        <w:t>The Economics of Repressed Inflation</w:t>
      </w:r>
      <w:r w:rsidRPr="00F027B9">
        <w:rPr>
          <w:lang w:val="en-US"/>
        </w:rPr>
        <w:t>. Routledge.</w:t>
      </w:r>
    </w:p>
    <w:p w14:paraId="52CC5A85" w14:textId="77777777" w:rsidR="00E2213B" w:rsidRPr="00F027B9" w:rsidRDefault="00E2213B" w:rsidP="00E2213B">
      <w:pPr>
        <w:rPr>
          <w:lang w:val="en-US"/>
        </w:rPr>
      </w:pPr>
      <w:r w:rsidRPr="00F027B9">
        <w:rPr>
          <w:lang w:val="en-US"/>
        </w:rPr>
        <w:t xml:space="preserve">Conklin, D.W. (2018). </w:t>
      </w:r>
      <w:r w:rsidRPr="00F027B9">
        <w:rPr>
          <w:i/>
          <w:iCs/>
          <w:lang w:val="en-US"/>
        </w:rPr>
        <w:t xml:space="preserve">The global environment of </w:t>
      </w:r>
      <w:proofErr w:type="gramStart"/>
      <w:r w:rsidRPr="00F027B9">
        <w:rPr>
          <w:i/>
          <w:iCs/>
          <w:lang w:val="en-US"/>
        </w:rPr>
        <w:t>business :</w:t>
      </w:r>
      <w:proofErr w:type="gramEnd"/>
      <w:r w:rsidRPr="00F027B9">
        <w:rPr>
          <w:i/>
          <w:iCs/>
          <w:lang w:val="en-US"/>
        </w:rPr>
        <w:t xml:space="preserve"> new paradigms for international management</w:t>
      </w:r>
      <w:r w:rsidRPr="00F027B9">
        <w:rPr>
          <w:lang w:val="en-US"/>
        </w:rPr>
        <w:t>. Los Angeles: Sage.</w:t>
      </w:r>
    </w:p>
    <w:p w14:paraId="04B97D88" w14:textId="77777777" w:rsidR="00E2213B" w:rsidRPr="00F027B9" w:rsidRDefault="00E2213B" w:rsidP="00E2213B">
      <w:pPr>
        <w:rPr>
          <w:lang w:val="en-US"/>
        </w:rPr>
      </w:pPr>
      <w:r w:rsidRPr="00F027B9">
        <w:rPr>
          <w:lang w:val="en-US"/>
        </w:rPr>
        <w:t xml:space="preserve">Cook, S., Macaulay, S. and </w:t>
      </w:r>
      <w:proofErr w:type="spellStart"/>
      <w:r w:rsidRPr="00F027B9">
        <w:rPr>
          <w:lang w:val="en-US"/>
        </w:rPr>
        <w:t>Coldicott</w:t>
      </w:r>
      <w:proofErr w:type="spellEnd"/>
      <w:r w:rsidRPr="00F027B9">
        <w:rPr>
          <w:lang w:val="en-US"/>
        </w:rPr>
        <w:t xml:space="preserve">, H. (2014). </w:t>
      </w:r>
      <w:r w:rsidRPr="00F027B9">
        <w:rPr>
          <w:i/>
          <w:iCs/>
          <w:lang w:val="en-US"/>
        </w:rPr>
        <w:t xml:space="preserve">Change management </w:t>
      </w:r>
      <w:proofErr w:type="gramStart"/>
      <w:r w:rsidRPr="00F027B9">
        <w:rPr>
          <w:i/>
          <w:iCs/>
          <w:lang w:val="en-US"/>
        </w:rPr>
        <w:t>excellence :</w:t>
      </w:r>
      <w:proofErr w:type="gramEnd"/>
      <w:r w:rsidRPr="00F027B9">
        <w:rPr>
          <w:i/>
          <w:iCs/>
          <w:lang w:val="en-US"/>
        </w:rPr>
        <w:t xml:space="preserve"> using the four intelligences for successful organizational change</w:t>
      </w:r>
      <w:r w:rsidRPr="00F027B9">
        <w:rPr>
          <w:lang w:val="en-US"/>
        </w:rPr>
        <w:t xml:space="preserve">. </w:t>
      </w:r>
      <w:proofErr w:type="gramStart"/>
      <w:r w:rsidRPr="00F027B9">
        <w:rPr>
          <w:lang w:val="en-US"/>
        </w:rPr>
        <w:t>London ;</w:t>
      </w:r>
      <w:proofErr w:type="gramEnd"/>
      <w:r w:rsidRPr="00F027B9">
        <w:rPr>
          <w:lang w:val="en-US"/>
        </w:rPr>
        <w:t xml:space="preserve"> Sterling, Va: Kogan Page.</w:t>
      </w:r>
    </w:p>
    <w:p w14:paraId="5B117C62" w14:textId="77777777" w:rsidR="00E2213B" w:rsidRPr="00F027B9" w:rsidRDefault="00E2213B" w:rsidP="00E2213B">
      <w:pPr>
        <w:rPr>
          <w:lang w:val="en-US"/>
        </w:rPr>
      </w:pPr>
      <w:proofErr w:type="spellStart"/>
      <w:r w:rsidRPr="00F027B9">
        <w:rPr>
          <w:lang w:val="en-US"/>
        </w:rPr>
        <w:t>Courvisanos</w:t>
      </w:r>
      <w:proofErr w:type="spellEnd"/>
      <w:r w:rsidRPr="00F027B9">
        <w:rPr>
          <w:lang w:val="en-US"/>
        </w:rPr>
        <w:t xml:space="preserve">, J. (2017). </w:t>
      </w:r>
      <w:r w:rsidRPr="00F027B9">
        <w:rPr>
          <w:i/>
          <w:iCs/>
          <w:lang w:val="en-US"/>
        </w:rPr>
        <w:t>Cycles, Crises, Innovation</w:t>
      </w:r>
      <w:r w:rsidRPr="00F027B9">
        <w:rPr>
          <w:lang w:val="en-US"/>
        </w:rPr>
        <w:t>. Edward Elgar Publishing.</w:t>
      </w:r>
    </w:p>
    <w:p w14:paraId="48DD9B5C" w14:textId="77777777" w:rsidR="00E2213B" w:rsidRPr="00F027B9" w:rsidRDefault="00E2213B" w:rsidP="00E2213B">
      <w:pPr>
        <w:rPr>
          <w:lang w:val="en-US"/>
        </w:rPr>
      </w:pPr>
      <w:r w:rsidRPr="00F027B9">
        <w:rPr>
          <w:lang w:val="en-US"/>
        </w:rPr>
        <w:t xml:space="preserve">Crane, A., Matten, D., Glozer, S. and Spence, L. (2019). </w:t>
      </w:r>
      <w:r w:rsidRPr="00F027B9">
        <w:rPr>
          <w:i/>
          <w:iCs/>
          <w:lang w:val="en-US"/>
        </w:rPr>
        <w:t>Business Ethics: Managing Corporate Citizenship and Sustainability in the Age of Globalization.</w:t>
      </w:r>
      <w:r w:rsidRPr="00F027B9">
        <w:rPr>
          <w:lang w:val="en-US"/>
        </w:rPr>
        <w:t xml:space="preserve"> 5th ed. Oxford: Oxford University Press.</w:t>
      </w:r>
    </w:p>
    <w:p w14:paraId="789DF781" w14:textId="77777777" w:rsidR="00E2213B" w:rsidRPr="00F027B9" w:rsidRDefault="00E2213B" w:rsidP="00E2213B">
      <w:pPr>
        <w:rPr>
          <w:lang w:val="en-US"/>
        </w:rPr>
      </w:pPr>
      <w:r w:rsidRPr="00F027B9">
        <w:rPr>
          <w:lang w:val="en-US"/>
        </w:rPr>
        <w:t xml:space="preserve">Heinrich Von Stackelberg (2015). </w:t>
      </w:r>
      <w:r w:rsidRPr="00F027B9">
        <w:rPr>
          <w:i/>
          <w:iCs/>
          <w:lang w:val="en-US"/>
        </w:rPr>
        <w:t>Market structure and equilibrium</w:t>
      </w:r>
      <w:r w:rsidRPr="00F027B9">
        <w:rPr>
          <w:lang w:val="en-US"/>
        </w:rPr>
        <w:t>. Heidelberg Springer.</w:t>
      </w:r>
    </w:p>
    <w:p w14:paraId="5F2CFCF5" w14:textId="77777777" w:rsidR="00E2213B" w:rsidRPr="00F027B9" w:rsidRDefault="00E2213B" w:rsidP="00E2213B">
      <w:pPr>
        <w:rPr>
          <w:lang w:val="en-US"/>
        </w:rPr>
      </w:pPr>
      <w:r w:rsidRPr="00F027B9">
        <w:rPr>
          <w:lang w:val="en-US"/>
        </w:rPr>
        <w:t xml:space="preserve">Idowu, S.O. (2016). </w:t>
      </w:r>
      <w:r w:rsidRPr="00F027B9">
        <w:rPr>
          <w:i/>
          <w:iCs/>
          <w:lang w:val="en-US"/>
        </w:rPr>
        <w:t xml:space="preserve">Key Initiatives in Corporate Social </w:t>
      </w:r>
      <w:proofErr w:type="gramStart"/>
      <w:r w:rsidRPr="00F027B9">
        <w:rPr>
          <w:i/>
          <w:iCs/>
          <w:lang w:val="en-US"/>
        </w:rPr>
        <w:t>Responsibility :</w:t>
      </w:r>
      <w:proofErr w:type="gramEnd"/>
      <w:r w:rsidRPr="00F027B9">
        <w:rPr>
          <w:i/>
          <w:iCs/>
          <w:lang w:val="en-US"/>
        </w:rPr>
        <w:t xml:space="preserve"> Global Dimension of CSR in Corporate Entities</w:t>
      </w:r>
      <w:r w:rsidRPr="00F027B9">
        <w:rPr>
          <w:lang w:val="en-US"/>
        </w:rPr>
        <w:t>. Cham: Springer International Publishing.</w:t>
      </w:r>
    </w:p>
    <w:p w14:paraId="5BF12ED3" w14:textId="77777777" w:rsidR="00E2213B" w:rsidRPr="00F027B9" w:rsidRDefault="00E2213B" w:rsidP="00E2213B">
      <w:pPr>
        <w:rPr>
          <w:lang w:val="en-US"/>
        </w:rPr>
      </w:pPr>
      <w:proofErr w:type="spellStart"/>
      <w:r w:rsidRPr="00F027B9">
        <w:rPr>
          <w:lang w:val="en-US"/>
        </w:rPr>
        <w:t>Ingulli</w:t>
      </w:r>
      <w:proofErr w:type="spellEnd"/>
      <w:r w:rsidRPr="00F027B9">
        <w:rPr>
          <w:lang w:val="en-US"/>
        </w:rPr>
        <w:t xml:space="preserve">, E., Roger Leroy Miller, Halbert, T., Cross, F.B. and Mays Business School. Department Of Management (2018). </w:t>
      </w:r>
      <w:r w:rsidRPr="00F027B9">
        <w:rPr>
          <w:i/>
          <w:iCs/>
          <w:lang w:val="en-US"/>
        </w:rPr>
        <w:t>The legal and social environment of business</w:t>
      </w:r>
      <w:r w:rsidRPr="00F027B9">
        <w:rPr>
          <w:lang w:val="en-US"/>
        </w:rPr>
        <w:t>. Mason, Ohio: Cengage Learning.</w:t>
      </w:r>
    </w:p>
    <w:p w14:paraId="4E9E3D1A" w14:textId="77777777" w:rsidR="00E2213B" w:rsidRPr="00F027B9" w:rsidRDefault="00E2213B" w:rsidP="00E2213B">
      <w:pPr>
        <w:rPr>
          <w:lang w:val="en-US"/>
        </w:rPr>
      </w:pPr>
      <w:r w:rsidRPr="00F027B9">
        <w:rPr>
          <w:lang w:val="en-US"/>
        </w:rPr>
        <w:t xml:space="preserve">Marcus, A.A. (2015). </w:t>
      </w:r>
      <w:r w:rsidRPr="00F027B9">
        <w:rPr>
          <w:i/>
          <w:iCs/>
          <w:lang w:val="en-US"/>
        </w:rPr>
        <w:t>The Future of Technology Management and the Business Environment</w:t>
      </w:r>
      <w:r w:rsidRPr="00F027B9">
        <w:rPr>
          <w:lang w:val="en-US"/>
        </w:rPr>
        <w:t>. FT Press.</w:t>
      </w:r>
    </w:p>
    <w:p w14:paraId="279AF03B" w14:textId="77777777" w:rsidR="00E2213B" w:rsidRPr="00F027B9" w:rsidRDefault="00E2213B" w:rsidP="00E2213B">
      <w:pPr>
        <w:rPr>
          <w:lang w:val="en-US"/>
        </w:rPr>
      </w:pPr>
      <w:r w:rsidRPr="00F027B9">
        <w:rPr>
          <w:lang w:val="en-US"/>
        </w:rPr>
        <w:lastRenderedPageBreak/>
        <w:t xml:space="preserve">Marmol, T.D. (2021). </w:t>
      </w:r>
      <w:r w:rsidRPr="00F027B9">
        <w:rPr>
          <w:i/>
          <w:iCs/>
          <w:lang w:val="en-US"/>
        </w:rPr>
        <w:t>PESTLE Analysis: Prepare the best strategies in advance</w:t>
      </w:r>
      <w:r w:rsidRPr="00F027B9">
        <w:rPr>
          <w:lang w:val="en-US"/>
        </w:rPr>
        <w:t>. 50Minutes.com.</w:t>
      </w:r>
    </w:p>
    <w:p w14:paraId="7DFEBC7B" w14:textId="77777777" w:rsidR="00E2213B" w:rsidRPr="00F027B9" w:rsidRDefault="00E2213B" w:rsidP="00E2213B">
      <w:pPr>
        <w:rPr>
          <w:lang w:val="en-US"/>
        </w:rPr>
      </w:pPr>
      <w:r w:rsidRPr="00F027B9">
        <w:rPr>
          <w:lang w:val="en-US"/>
        </w:rPr>
        <w:t xml:space="preserve">Nelson, R.L. (2016). </w:t>
      </w:r>
      <w:r w:rsidRPr="00F027B9">
        <w:rPr>
          <w:i/>
          <w:iCs/>
          <w:lang w:val="en-US"/>
        </w:rPr>
        <w:t>Economic factors in the growth of corporation giving</w:t>
      </w:r>
      <w:r w:rsidRPr="00F027B9">
        <w:rPr>
          <w:lang w:val="en-US"/>
        </w:rPr>
        <w:t xml:space="preserve">. New York, National Bureau </w:t>
      </w:r>
      <w:proofErr w:type="gramStart"/>
      <w:r w:rsidRPr="00F027B9">
        <w:rPr>
          <w:lang w:val="en-US"/>
        </w:rPr>
        <w:t>Of</w:t>
      </w:r>
      <w:proofErr w:type="gramEnd"/>
      <w:r w:rsidRPr="00F027B9">
        <w:rPr>
          <w:lang w:val="en-US"/>
        </w:rPr>
        <w:t xml:space="preserve"> Economic Research.</w:t>
      </w:r>
    </w:p>
    <w:p w14:paraId="3091AB9A" w14:textId="77777777" w:rsidR="00E2213B" w:rsidRPr="00F027B9" w:rsidRDefault="00E2213B" w:rsidP="00E2213B">
      <w:pPr>
        <w:rPr>
          <w:lang w:val="en-US"/>
        </w:rPr>
      </w:pPr>
      <w:r w:rsidRPr="00F027B9">
        <w:rPr>
          <w:lang w:val="en-US"/>
        </w:rPr>
        <w:t xml:space="preserve">Perera, R. (2017). </w:t>
      </w:r>
      <w:r w:rsidRPr="00F027B9">
        <w:rPr>
          <w:i/>
          <w:iCs/>
          <w:lang w:val="en-US"/>
        </w:rPr>
        <w:t>The PESTLE Analysis</w:t>
      </w:r>
      <w:r w:rsidRPr="00F027B9">
        <w:rPr>
          <w:lang w:val="en-US"/>
        </w:rPr>
        <w:t xml:space="preserve">. 2nd ed. Sri Lanka: </w:t>
      </w:r>
      <w:proofErr w:type="spellStart"/>
      <w:r w:rsidRPr="00F027B9">
        <w:rPr>
          <w:lang w:val="en-US"/>
        </w:rPr>
        <w:t>Nerdynaut</w:t>
      </w:r>
      <w:proofErr w:type="spellEnd"/>
      <w:r w:rsidRPr="00F027B9">
        <w:rPr>
          <w:lang w:val="en-US"/>
        </w:rPr>
        <w:t>.</w:t>
      </w:r>
    </w:p>
    <w:p w14:paraId="5F710298" w14:textId="77777777" w:rsidR="00E2213B" w:rsidRPr="00F027B9" w:rsidRDefault="00E2213B" w:rsidP="00E2213B">
      <w:pPr>
        <w:rPr>
          <w:lang w:val="en-US"/>
        </w:rPr>
      </w:pPr>
      <w:r w:rsidRPr="00F027B9">
        <w:rPr>
          <w:lang w:val="en-US"/>
        </w:rPr>
        <w:t xml:space="preserve">Razzak, W. (2023). </w:t>
      </w:r>
      <w:r w:rsidRPr="00F027B9">
        <w:rPr>
          <w:i/>
          <w:iCs/>
          <w:lang w:val="en-US"/>
        </w:rPr>
        <w:t>Inflation Dynamic</w:t>
      </w:r>
      <w:r w:rsidRPr="00F027B9">
        <w:rPr>
          <w:lang w:val="en-US"/>
        </w:rPr>
        <w:t>. Taylor &amp; Francis.</w:t>
      </w:r>
    </w:p>
    <w:p w14:paraId="0D7D5E48" w14:textId="77777777" w:rsidR="00E2213B" w:rsidRPr="00F027B9" w:rsidRDefault="00E2213B" w:rsidP="00E2213B">
      <w:pPr>
        <w:rPr>
          <w:lang w:val="en-US"/>
        </w:rPr>
      </w:pPr>
      <w:r w:rsidRPr="00F027B9">
        <w:rPr>
          <w:lang w:val="en-US"/>
        </w:rPr>
        <w:t xml:space="preserve">Romanchuk, B. (2018). </w:t>
      </w:r>
      <w:r w:rsidRPr="00F027B9">
        <w:rPr>
          <w:i/>
          <w:iCs/>
          <w:lang w:val="en-US"/>
        </w:rPr>
        <w:t>Breakeven Inflation Analysis</w:t>
      </w:r>
      <w:r w:rsidRPr="00F027B9">
        <w:rPr>
          <w:lang w:val="en-US"/>
        </w:rPr>
        <w:t xml:space="preserve">. Doyen </w:t>
      </w:r>
      <w:proofErr w:type="gramStart"/>
      <w:r w:rsidRPr="00F027B9">
        <w:rPr>
          <w:lang w:val="en-US"/>
        </w:rPr>
        <w:t>Publisher’s .</w:t>
      </w:r>
      <w:proofErr w:type="gramEnd"/>
    </w:p>
    <w:p w14:paraId="1D96BA90" w14:textId="77777777" w:rsidR="00E2213B" w:rsidRPr="00F027B9" w:rsidRDefault="00E2213B" w:rsidP="00E2213B">
      <w:pPr>
        <w:rPr>
          <w:lang w:val="en-US"/>
        </w:rPr>
      </w:pPr>
      <w:proofErr w:type="spellStart"/>
      <w:r w:rsidRPr="00F027B9">
        <w:rPr>
          <w:lang w:val="en-US"/>
        </w:rPr>
        <w:t>Tse</w:t>
      </w:r>
      <w:proofErr w:type="spellEnd"/>
      <w:r w:rsidRPr="00F027B9">
        <w:rPr>
          <w:lang w:val="en-US"/>
        </w:rPr>
        <w:t xml:space="preserve">, H. (2017). </w:t>
      </w:r>
      <w:r w:rsidRPr="00F027B9">
        <w:rPr>
          <w:i/>
          <w:iCs/>
          <w:lang w:val="en-US"/>
        </w:rPr>
        <w:t xml:space="preserve">Doing business after </w:t>
      </w:r>
      <w:proofErr w:type="gramStart"/>
      <w:r w:rsidRPr="00F027B9">
        <w:rPr>
          <w:i/>
          <w:iCs/>
          <w:lang w:val="en-US"/>
        </w:rPr>
        <w:t>Brexit :</w:t>
      </w:r>
      <w:proofErr w:type="gramEnd"/>
      <w:r w:rsidRPr="00F027B9">
        <w:rPr>
          <w:i/>
          <w:iCs/>
          <w:lang w:val="en-US"/>
        </w:rPr>
        <w:t xml:space="preserve"> a practical guide to the legal changes</w:t>
      </w:r>
      <w:r w:rsidRPr="00F027B9">
        <w:rPr>
          <w:lang w:val="en-US"/>
        </w:rPr>
        <w:t>. London: Bloomsbury Professional.</w:t>
      </w:r>
    </w:p>
    <w:p w14:paraId="5C8F9403" w14:textId="61033120" w:rsidR="00BC03B1" w:rsidRPr="00BC03B1" w:rsidRDefault="00BC03B1" w:rsidP="00BC03B1">
      <w:pPr>
        <w:spacing w:after="240"/>
        <w:jc w:val="left"/>
        <w:rPr>
          <w:rFonts w:ascii="Times New Roman" w:eastAsia="Times New Roman" w:hAnsi="Times New Roman" w:cs="Times New Roman"/>
          <w:szCs w:val="24"/>
          <w:lang w:val="en-US"/>
        </w:rPr>
      </w:pPr>
    </w:p>
    <w:p w14:paraId="5DFBE3F8" w14:textId="77777777" w:rsidR="006177FA" w:rsidRPr="006177FA" w:rsidRDefault="006177FA" w:rsidP="006177FA"/>
    <w:sectPr w:rsidR="006177FA" w:rsidRPr="006177FA">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E9C33B" w14:textId="77777777" w:rsidR="00FE2163" w:rsidRDefault="00FE2163" w:rsidP="006177FA">
      <w:pPr>
        <w:spacing w:after="0" w:line="240" w:lineRule="auto"/>
      </w:pPr>
      <w:r>
        <w:separator/>
      </w:r>
    </w:p>
  </w:endnote>
  <w:endnote w:type="continuationSeparator" w:id="0">
    <w:p w14:paraId="132FFD92" w14:textId="77777777" w:rsidR="00FE2163" w:rsidRDefault="00FE2163" w:rsidP="006177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BoldMT">
    <w:altName w:val="Arial"/>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288703"/>
      <w:docPartObj>
        <w:docPartGallery w:val="Page Numbers (Bottom of Page)"/>
        <w:docPartUnique/>
      </w:docPartObj>
    </w:sdtPr>
    <w:sdtEndPr>
      <w:rPr>
        <w:noProof/>
      </w:rPr>
    </w:sdtEndPr>
    <w:sdtContent>
      <w:p w14:paraId="7938EDE4" w14:textId="6938B4C2" w:rsidR="006177FA" w:rsidRDefault="006177FA">
        <w:pPr>
          <w:pStyle w:val="Footer"/>
          <w:jc w:val="center"/>
        </w:pPr>
        <w:r>
          <w:fldChar w:fldCharType="begin"/>
        </w:r>
        <w:r>
          <w:instrText xml:space="preserve"> PAGE   \* MERGEFORMAT </w:instrText>
        </w:r>
        <w:r>
          <w:fldChar w:fldCharType="separate"/>
        </w:r>
        <w:r w:rsidR="00BE0274">
          <w:rPr>
            <w:noProof/>
          </w:rPr>
          <w:t>3</w:t>
        </w:r>
        <w:r>
          <w:rPr>
            <w:noProof/>
          </w:rPr>
          <w:fldChar w:fldCharType="end"/>
        </w:r>
      </w:p>
    </w:sdtContent>
  </w:sdt>
  <w:p w14:paraId="5F00D65E" w14:textId="77777777" w:rsidR="006177FA" w:rsidRDefault="006177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6B5F1" w14:textId="77777777" w:rsidR="00FE2163" w:rsidRDefault="00FE2163" w:rsidP="006177FA">
      <w:pPr>
        <w:spacing w:after="0" w:line="240" w:lineRule="auto"/>
      </w:pPr>
      <w:r>
        <w:separator/>
      </w:r>
    </w:p>
  </w:footnote>
  <w:footnote w:type="continuationSeparator" w:id="0">
    <w:p w14:paraId="4E359A81" w14:textId="77777777" w:rsidR="00FE2163" w:rsidRDefault="00FE2163" w:rsidP="006177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74BF"/>
    <w:rsid w:val="000248B8"/>
    <w:rsid w:val="000C0C59"/>
    <w:rsid w:val="000C6411"/>
    <w:rsid w:val="0016303A"/>
    <w:rsid w:val="00200E13"/>
    <w:rsid w:val="002A14BD"/>
    <w:rsid w:val="003A74BF"/>
    <w:rsid w:val="00425C7C"/>
    <w:rsid w:val="00482BDE"/>
    <w:rsid w:val="00495CA9"/>
    <w:rsid w:val="004C2EE8"/>
    <w:rsid w:val="004D0ADA"/>
    <w:rsid w:val="004F30D9"/>
    <w:rsid w:val="00532E74"/>
    <w:rsid w:val="00563ABB"/>
    <w:rsid w:val="006177FA"/>
    <w:rsid w:val="006C264C"/>
    <w:rsid w:val="00776830"/>
    <w:rsid w:val="007A2B5F"/>
    <w:rsid w:val="00893879"/>
    <w:rsid w:val="008F3EE5"/>
    <w:rsid w:val="00933CB2"/>
    <w:rsid w:val="00984E4E"/>
    <w:rsid w:val="009C6939"/>
    <w:rsid w:val="009F6C67"/>
    <w:rsid w:val="00A30C2F"/>
    <w:rsid w:val="00A739E6"/>
    <w:rsid w:val="00B84DEB"/>
    <w:rsid w:val="00BC03B1"/>
    <w:rsid w:val="00BE0274"/>
    <w:rsid w:val="00C31269"/>
    <w:rsid w:val="00D63A3D"/>
    <w:rsid w:val="00D86568"/>
    <w:rsid w:val="00D97DBE"/>
    <w:rsid w:val="00DE2B7D"/>
    <w:rsid w:val="00E06775"/>
    <w:rsid w:val="00E2213B"/>
    <w:rsid w:val="00F027B9"/>
    <w:rsid w:val="00F41E06"/>
    <w:rsid w:val="00FC0F8B"/>
    <w:rsid w:val="00FE21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DC1D3"/>
  <w15:chartTrackingRefBased/>
  <w15:docId w15:val="{23EB8677-1C2B-4AE0-86E1-43E208A2E2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DEB"/>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B84DEB"/>
    <w:pPr>
      <w:keepNext/>
      <w:keepLines/>
      <w:spacing w:before="240" w:after="0"/>
      <w:outlineLvl w:val="0"/>
    </w:pPr>
    <w:rPr>
      <w:rFonts w:eastAsiaTheme="majorEastAsia" w:cstheme="majorBidi"/>
      <w:b/>
      <w:color w:val="44546A" w:themeColor="text2"/>
      <w:sz w:val="32"/>
      <w:szCs w:val="32"/>
    </w:rPr>
  </w:style>
  <w:style w:type="paragraph" w:styleId="Heading2">
    <w:name w:val="heading 2"/>
    <w:basedOn w:val="Normal"/>
    <w:next w:val="Normal"/>
    <w:link w:val="Heading2Char"/>
    <w:autoRedefine/>
    <w:uiPriority w:val="9"/>
    <w:unhideWhenUsed/>
    <w:qFormat/>
    <w:rsid w:val="00B84DEB"/>
    <w:pPr>
      <w:keepNext/>
      <w:keepLines/>
      <w:spacing w:before="40" w:after="0"/>
      <w:outlineLvl w:val="1"/>
    </w:pPr>
    <w:rPr>
      <w:rFonts w:eastAsiaTheme="majorEastAsia" w:cs="Arial-BoldMT"/>
      <w:b/>
      <w:bCs/>
      <w:sz w:val="28"/>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4DEB"/>
    <w:rPr>
      <w:rFonts w:ascii="Arial" w:eastAsiaTheme="majorEastAsia" w:hAnsi="Arial" w:cstheme="majorBidi"/>
      <w:b/>
      <w:color w:val="44546A" w:themeColor="text2"/>
      <w:sz w:val="32"/>
      <w:szCs w:val="32"/>
      <w:lang w:val="en-GB"/>
    </w:rPr>
  </w:style>
  <w:style w:type="character" w:customStyle="1" w:styleId="Heading2Char">
    <w:name w:val="Heading 2 Char"/>
    <w:basedOn w:val="DefaultParagraphFont"/>
    <w:link w:val="Heading2"/>
    <w:uiPriority w:val="9"/>
    <w:rsid w:val="00B84DEB"/>
    <w:rPr>
      <w:rFonts w:ascii="Arial" w:eastAsiaTheme="majorEastAsia" w:hAnsi="Arial" w:cs="Arial-BoldMT"/>
      <w:b/>
      <w:bCs/>
      <w:sz w:val="28"/>
      <w:szCs w:val="26"/>
    </w:rPr>
  </w:style>
  <w:style w:type="paragraph" w:styleId="NormalWeb">
    <w:name w:val="Normal (Web)"/>
    <w:basedOn w:val="Normal"/>
    <w:uiPriority w:val="99"/>
    <w:semiHidden/>
    <w:unhideWhenUsed/>
    <w:rsid w:val="003A74BF"/>
    <w:pPr>
      <w:spacing w:before="100" w:beforeAutospacing="1" w:after="100" w:afterAutospacing="1" w:line="240" w:lineRule="auto"/>
      <w:jc w:val="left"/>
    </w:pPr>
    <w:rPr>
      <w:rFonts w:eastAsia="Times New Roman" w:cs="Times New Roman"/>
      <w:szCs w:val="24"/>
      <w:lang w:val="en-US"/>
    </w:rPr>
  </w:style>
  <w:style w:type="paragraph" w:customStyle="1" w:styleId="Default">
    <w:name w:val="Default"/>
    <w:rsid w:val="000C0C59"/>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0C0C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0C0C59"/>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0C0C59"/>
    <w:pPr>
      <w:spacing w:after="100"/>
    </w:pPr>
  </w:style>
  <w:style w:type="character" w:styleId="Hyperlink">
    <w:name w:val="Hyperlink"/>
    <w:basedOn w:val="DefaultParagraphFont"/>
    <w:uiPriority w:val="99"/>
    <w:unhideWhenUsed/>
    <w:rsid w:val="000C0C59"/>
    <w:rPr>
      <w:color w:val="0563C1" w:themeColor="hyperlink"/>
      <w:u w:val="single"/>
    </w:rPr>
  </w:style>
  <w:style w:type="paragraph" w:styleId="Header">
    <w:name w:val="header"/>
    <w:basedOn w:val="Normal"/>
    <w:link w:val="HeaderChar"/>
    <w:uiPriority w:val="99"/>
    <w:unhideWhenUsed/>
    <w:rsid w:val="006177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177FA"/>
    <w:rPr>
      <w:rFonts w:ascii="Times New Roman" w:hAnsi="Times New Roman"/>
      <w:sz w:val="24"/>
      <w:lang w:val="en-GB"/>
    </w:rPr>
  </w:style>
  <w:style w:type="paragraph" w:styleId="Footer">
    <w:name w:val="footer"/>
    <w:basedOn w:val="Normal"/>
    <w:link w:val="FooterChar"/>
    <w:uiPriority w:val="99"/>
    <w:unhideWhenUsed/>
    <w:rsid w:val="006177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177FA"/>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071365">
      <w:bodyDiv w:val="1"/>
      <w:marLeft w:val="0"/>
      <w:marRight w:val="0"/>
      <w:marTop w:val="0"/>
      <w:marBottom w:val="0"/>
      <w:divBdr>
        <w:top w:val="none" w:sz="0" w:space="0" w:color="auto"/>
        <w:left w:val="none" w:sz="0" w:space="0" w:color="auto"/>
        <w:bottom w:val="none" w:sz="0" w:space="0" w:color="auto"/>
        <w:right w:val="none" w:sz="0" w:space="0" w:color="auto"/>
      </w:divBdr>
    </w:div>
    <w:div w:id="395712859">
      <w:bodyDiv w:val="1"/>
      <w:marLeft w:val="0"/>
      <w:marRight w:val="0"/>
      <w:marTop w:val="0"/>
      <w:marBottom w:val="0"/>
      <w:divBdr>
        <w:top w:val="none" w:sz="0" w:space="0" w:color="auto"/>
        <w:left w:val="none" w:sz="0" w:space="0" w:color="auto"/>
        <w:bottom w:val="none" w:sz="0" w:space="0" w:color="auto"/>
        <w:right w:val="none" w:sz="0" w:space="0" w:color="auto"/>
      </w:divBdr>
      <w:divsChild>
        <w:div w:id="334455605">
          <w:marLeft w:val="0"/>
          <w:marRight w:val="0"/>
          <w:marTop w:val="0"/>
          <w:marBottom w:val="0"/>
          <w:divBdr>
            <w:top w:val="none" w:sz="0" w:space="0" w:color="auto"/>
            <w:left w:val="none" w:sz="0" w:space="0" w:color="auto"/>
            <w:bottom w:val="none" w:sz="0" w:space="0" w:color="auto"/>
            <w:right w:val="none" w:sz="0" w:space="0" w:color="auto"/>
          </w:divBdr>
        </w:div>
      </w:divsChild>
    </w:div>
    <w:div w:id="858856925">
      <w:bodyDiv w:val="1"/>
      <w:marLeft w:val="0"/>
      <w:marRight w:val="0"/>
      <w:marTop w:val="0"/>
      <w:marBottom w:val="0"/>
      <w:divBdr>
        <w:top w:val="none" w:sz="0" w:space="0" w:color="auto"/>
        <w:left w:val="none" w:sz="0" w:space="0" w:color="auto"/>
        <w:bottom w:val="none" w:sz="0" w:space="0" w:color="auto"/>
        <w:right w:val="none" w:sz="0" w:space="0" w:color="auto"/>
      </w:divBdr>
      <w:divsChild>
        <w:div w:id="1102333768">
          <w:marLeft w:val="0"/>
          <w:marRight w:val="0"/>
          <w:marTop w:val="0"/>
          <w:marBottom w:val="0"/>
          <w:divBdr>
            <w:top w:val="none" w:sz="0" w:space="0" w:color="auto"/>
            <w:left w:val="none" w:sz="0" w:space="0" w:color="auto"/>
            <w:bottom w:val="none" w:sz="0" w:space="0" w:color="auto"/>
            <w:right w:val="none" w:sz="0" w:space="0" w:color="auto"/>
          </w:divBdr>
        </w:div>
      </w:divsChild>
    </w:div>
    <w:div w:id="941492243">
      <w:bodyDiv w:val="1"/>
      <w:marLeft w:val="0"/>
      <w:marRight w:val="0"/>
      <w:marTop w:val="0"/>
      <w:marBottom w:val="0"/>
      <w:divBdr>
        <w:top w:val="none" w:sz="0" w:space="0" w:color="auto"/>
        <w:left w:val="none" w:sz="0" w:space="0" w:color="auto"/>
        <w:bottom w:val="none" w:sz="0" w:space="0" w:color="auto"/>
        <w:right w:val="none" w:sz="0" w:space="0" w:color="auto"/>
      </w:divBdr>
      <w:divsChild>
        <w:div w:id="1373381169">
          <w:marLeft w:val="0"/>
          <w:marRight w:val="0"/>
          <w:marTop w:val="0"/>
          <w:marBottom w:val="0"/>
          <w:divBdr>
            <w:top w:val="none" w:sz="0" w:space="0" w:color="auto"/>
            <w:left w:val="none" w:sz="0" w:space="0" w:color="auto"/>
            <w:bottom w:val="none" w:sz="0" w:space="0" w:color="auto"/>
            <w:right w:val="none" w:sz="0" w:space="0" w:color="auto"/>
          </w:divBdr>
        </w:div>
      </w:divsChild>
    </w:div>
    <w:div w:id="1702782025">
      <w:bodyDiv w:val="1"/>
      <w:marLeft w:val="0"/>
      <w:marRight w:val="0"/>
      <w:marTop w:val="0"/>
      <w:marBottom w:val="0"/>
      <w:divBdr>
        <w:top w:val="none" w:sz="0" w:space="0" w:color="auto"/>
        <w:left w:val="none" w:sz="0" w:space="0" w:color="auto"/>
        <w:bottom w:val="none" w:sz="0" w:space="0" w:color="auto"/>
        <w:right w:val="none" w:sz="0" w:space="0" w:color="auto"/>
      </w:divBdr>
      <w:divsChild>
        <w:div w:id="1019545853">
          <w:marLeft w:val="0"/>
          <w:marRight w:val="0"/>
          <w:marTop w:val="0"/>
          <w:marBottom w:val="0"/>
          <w:divBdr>
            <w:top w:val="none" w:sz="0" w:space="0" w:color="auto"/>
            <w:left w:val="none" w:sz="0" w:space="0" w:color="auto"/>
            <w:bottom w:val="none" w:sz="0" w:space="0" w:color="auto"/>
            <w:right w:val="none" w:sz="0" w:space="0" w:color="auto"/>
          </w:divBdr>
        </w:div>
      </w:divsChild>
    </w:div>
    <w:div w:id="2107530274">
      <w:bodyDiv w:val="1"/>
      <w:marLeft w:val="0"/>
      <w:marRight w:val="0"/>
      <w:marTop w:val="0"/>
      <w:marBottom w:val="0"/>
      <w:divBdr>
        <w:top w:val="none" w:sz="0" w:space="0" w:color="auto"/>
        <w:left w:val="none" w:sz="0" w:space="0" w:color="auto"/>
        <w:bottom w:val="none" w:sz="0" w:space="0" w:color="auto"/>
        <w:right w:val="none" w:sz="0" w:space="0" w:color="auto"/>
      </w:divBdr>
      <w:divsChild>
        <w:div w:id="12870773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A940E-D87A-4E82-AFA0-2557BE4AF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1956</Words>
  <Characters>11814</Characters>
  <Application>Microsoft Office Word</Application>
  <DocSecurity>0</DocSecurity>
  <Lines>196</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13742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Kostadinka Stoyanova</dc:creator>
  <cp:keywords/>
  <dc:description/>
  <cp:lastModifiedBy>Kostadinka Lazarova Stoyanova (2309383)</cp:lastModifiedBy>
  <cp:revision>2</cp:revision>
  <dcterms:created xsi:type="dcterms:W3CDTF">2024-06-21T19:07:00Z</dcterms:created>
  <dcterms:modified xsi:type="dcterms:W3CDTF">2024-06-21T19:07:00Z</dcterms:modified>
  <cp:category/>
</cp:coreProperties>
</file>