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1E092" w14:textId="77777777" w:rsidR="00BA7BF9" w:rsidRPr="00132636" w:rsidRDefault="00BA7BF9" w:rsidP="00CA19A5">
      <w:pPr>
        <w:pStyle w:val="NormalWeb"/>
        <w:spacing w:line="360" w:lineRule="auto"/>
        <w:rPr>
          <w:rFonts w:ascii="Arial" w:hAnsi="Arial" w:cs="Arial"/>
          <w:color w:val="000000"/>
          <w:lang w:val="cy-GB"/>
        </w:rPr>
      </w:pPr>
      <w:r w:rsidRPr="00132636">
        <w:rPr>
          <w:rFonts w:ascii="Arial" w:hAnsi="Arial" w:cs="Arial"/>
          <w:color w:val="000000"/>
        </w:rPr>
        <w:t>Quality in early childhood education is a complex and multifaceted concept, shaped by diverse perspectives and interpretations. According to Cottle and Alexander (2012), defining quality within early years services remains a significant challenge due to its subjective nature and the cultural, social, and political influences that inform provision. However, while definitions vary, there is a general consensus that high-quality early years placements prioritize well-being, holistic development, and children's rights, while also fostering strong relationships with families (Palaiologou, 2023).</w:t>
      </w:r>
    </w:p>
    <w:p w14:paraId="6CD1060C" w14:textId="77777777" w:rsidR="00BA7BF9" w:rsidRDefault="00BA7BF9" w:rsidP="00CA19A5">
      <w:pPr>
        <w:pStyle w:val="NormalWeb"/>
        <w:spacing w:line="360" w:lineRule="auto"/>
        <w:rPr>
          <w:rFonts w:ascii="Arial" w:hAnsi="Arial" w:cs="Arial"/>
          <w:color w:val="000000"/>
          <w:lang w:val="cy-GB"/>
        </w:rPr>
      </w:pPr>
      <w:r w:rsidRPr="00BA7BF9">
        <w:rPr>
          <w:rFonts w:ascii="Arial" w:hAnsi="Arial" w:cs="Arial"/>
          <w:color w:val="000000"/>
        </w:rPr>
        <w:t xml:space="preserve">Similarly, quality in early childhood education depends on several key components, including interaction between staff and children, the learning environment, curriculum implementation, safety measures, and parental involvement (Bonetti and Brown 2018). All of these factors are critical in shaping early experiences and influence children's long-term outcomes. Research by the Education Legacy Foundation (2024) shows that access to high-quality early years provision significantly improves children's cognitive, social, emotional and physical development, contributing to higher educational achievements and future well-being. </w:t>
      </w:r>
    </w:p>
    <w:p w14:paraId="29E1DF5D" w14:textId="77777777" w:rsidR="00BA7BF9" w:rsidRDefault="00BA7BF9" w:rsidP="00CA19A5">
      <w:pPr>
        <w:pStyle w:val="NormalWeb"/>
        <w:spacing w:line="360" w:lineRule="auto"/>
        <w:rPr>
          <w:rFonts w:ascii="Arial" w:hAnsi="Arial" w:cs="Arial"/>
          <w:color w:val="000000"/>
          <w:lang w:val="cy-GB"/>
        </w:rPr>
      </w:pPr>
      <w:r w:rsidRPr="00BA7BF9">
        <w:rPr>
          <w:rFonts w:ascii="Arial" w:hAnsi="Arial" w:cs="Arial"/>
          <w:color w:val="000000"/>
        </w:rPr>
        <w:t xml:space="preserve">The importance of quality in early years education has been confirmed by studies. The Effective Provision of Pre-School Education (EPPE) project (Sylva </w:t>
      </w:r>
      <w:r w:rsidRPr="00BA7BF9">
        <w:rPr>
          <w:rFonts w:ascii="Arial" w:hAnsi="Arial" w:cs="Arial"/>
          <w:i/>
          <w:iCs/>
          <w:color w:val="000000"/>
        </w:rPr>
        <w:t>et al.,</w:t>
      </w:r>
      <w:r w:rsidRPr="00BA7BF9">
        <w:rPr>
          <w:rFonts w:ascii="Arial" w:hAnsi="Arial" w:cs="Arial"/>
          <w:color w:val="000000"/>
        </w:rPr>
        <w:t xml:space="preserve"> 1997) found that children attending high-quality early years settings showed stronger language development, better mathematical skills, and higher social competence. Similarly, the Effective Pre-School, Primary and Secondary Education (EPPSE) study (Taggart </w:t>
      </w:r>
      <w:r w:rsidRPr="00BA7BF9">
        <w:rPr>
          <w:rFonts w:ascii="Arial" w:hAnsi="Arial" w:cs="Arial"/>
          <w:i/>
          <w:iCs/>
          <w:color w:val="000000"/>
        </w:rPr>
        <w:t>et al.,</w:t>
      </w:r>
      <w:r w:rsidRPr="00BA7BF9">
        <w:rPr>
          <w:rFonts w:ascii="Arial" w:hAnsi="Arial" w:cs="Arial"/>
          <w:color w:val="000000"/>
        </w:rPr>
        <w:t xml:space="preserve"> 2015) provided evidence that the benefits of high-quality early years education are not only evident during childhood but also extend into secondary education, positively impacting academic achievement and long-term social development.</w:t>
      </w:r>
    </w:p>
    <w:p w14:paraId="28121887" w14:textId="77777777" w:rsidR="00BA7BF9" w:rsidRDefault="00BA7BF9" w:rsidP="005E2DF3">
      <w:pPr>
        <w:pStyle w:val="NormalWeb"/>
        <w:spacing w:line="360" w:lineRule="auto"/>
        <w:rPr>
          <w:rFonts w:ascii="Arial" w:hAnsi="Arial" w:cs="Arial"/>
          <w:color w:val="000000"/>
          <w:lang w:val="cy-GB"/>
        </w:rPr>
      </w:pPr>
      <w:r w:rsidRPr="00BA7BF9">
        <w:rPr>
          <w:rFonts w:ascii="Arial" w:hAnsi="Arial" w:cs="Arial"/>
          <w:color w:val="000000"/>
        </w:rPr>
        <w:t xml:space="preserve">This reflection offers a critical analysis of two of the main quality evaluation tools used in early years education: the Early Childhood Environment Rating Scale (ECERS) and the Infant/Toddler Environment Rating Scale (ITERS). By examining the strengths and limitations of these tools, this paper assesses how the approaches contribute to improving the quality of education and care for young children. In </w:t>
      </w:r>
      <w:r w:rsidRPr="00BA7BF9">
        <w:rPr>
          <w:rFonts w:ascii="Arial" w:hAnsi="Arial" w:cs="Arial"/>
          <w:color w:val="000000"/>
        </w:rPr>
        <w:lastRenderedPageBreak/>
        <w:t>addition, this review will consider how these evaluation tools fit into developmental theories, such as Vygotsky's socio-cultural theory and Bowlby's attachment theory, in order to explore their impact on practical practices in early years education.</w:t>
      </w:r>
    </w:p>
    <w:p w14:paraId="5943C9E2" w14:textId="77777777" w:rsidR="00BA7BF9" w:rsidRDefault="00BA7BF9" w:rsidP="005E2DF3">
      <w:pPr>
        <w:pStyle w:val="NormalWeb"/>
        <w:spacing w:line="360" w:lineRule="auto"/>
        <w:rPr>
          <w:rFonts w:ascii="Arial" w:hAnsi="Arial" w:cs="Arial"/>
          <w:color w:val="000000"/>
          <w:lang w:val="cy-GB"/>
        </w:rPr>
      </w:pPr>
      <w:r w:rsidRPr="00BA7BF9">
        <w:rPr>
          <w:rFonts w:ascii="Arial" w:hAnsi="Arial" w:cs="Arial"/>
          <w:color w:val="000000"/>
        </w:rPr>
        <w:t>Quality assurance in early years education involves systematic processes designed to assess, maintain and improve the quality of care and education provided in educational settings. By using these mechanisms, early years workers can identify areas of development, ensure compliance with regulatory frameworks, and implement best practices that promote positive outcomes for children (UNICEF, no date). While statutory requirements determine a basic level of provision, many early years settings seek to exceed these standards by adopting formal assessment methods. Tools such as ECERS and ITERS provide a structured approach for evaluating and improving provision, ensuring that settings maintain high quality standards and improve children's learning experiences and development (Nursery World, 2012).</w:t>
      </w:r>
    </w:p>
    <w:p w14:paraId="18A4D0F3" w14:textId="77777777" w:rsidR="00BA7BF9" w:rsidRDefault="00BA7BF9" w:rsidP="005E2DF3">
      <w:pPr>
        <w:pStyle w:val="NormalWeb"/>
        <w:spacing w:line="360" w:lineRule="auto"/>
        <w:rPr>
          <w:rFonts w:ascii="Arial" w:hAnsi="Arial" w:cs="Arial"/>
          <w:color w:val="000000"/>
          <w:lang w:val="cy-GB"/>
        </w:rPr>
      </w:pPr>
      <w:r w:rsidRPr="00BA7BF9">
        <w:rPr>
          <w:rFonts w:ascii="Arial" w:hAnsi="Arial" w:cs="Arial"/>
          <w:color w:val="000000"/>
        </w:rPr>
        <w:t xml:space="preserve">Melhuish and Gardiner (2018) explain that ECERS is a comprehensive framework for assessing the quality of education and care for children aged two and a half and five years. Developed by Harms, Clifford and Cryer, ECERS evaluates a variety of dimensions in the learning environment, including the physical organization of the setting, personal care practices, language and literacy opportunities, the nature of learning activities, the quality of social interaction, and the structure of educational programs (Harms </w:t>
      </w:r>
      <w:r w:rsidRPr="00BA7BF9">
        <w:rPr>
          <w:rFonts w:ascii="Arial" w:hAnsi="Arial" w:cs="Arial"/>
          <w:i/>
          <w:iCs/>
          <w:color w:val="000000"/>
        </w:rPr>
        <w:t>et al.,</w:t>
      </w:r>
      <w:r w:rsidRPr="00BA7BF9">
        <w:rPr>
          <w:rFonts w:ascii="Arial" w:hAnsi="Arial" w:cs="Arial"/>
          <w:color w:val="000000"/>
        </w:rPr>
        <w:t xml:space="preserve"> 2014). As a standardized and systematic assessment approach, ECERS enables early years professionals to identify strong areas and opportunities to improve provision. In addition, the framework is designed to predict children's developmental outcomes with greater accuracy and precision, reinforcing its value as a strategic resource for quality improvement in early years settings (Harms </w:t>
      </w:r>
      <w:r w:rsidRPr="00BA7BF9">
        <w:rPr>
          <w:rFonts w:ascii="Arial" w:hAnsi="Arial" w:cs="Arial"/>
          <w:i/>
          <w:iCs/>
          <w:color w:val="000000"/>
        </w:rPr>
        <w:t>et al.,</w:t>
      </w:r>
      <w:r w:rsidRPr="00BA7BF9">
        <w:rPr>
          <w:rFonts w:ascii="Arial" w:hAnsi="Arial" w:cs="Arial"/>
          <w:color w:val="000000"/>
        </w:rPr>
        <w:t xml:space="preserve"> 2014).</w:t>
      </w:r>
    </w:p>
    <w:p w14:paraId="7404BCC8" w14:textId="77777777" w:rsidR="00BA7BF9" w:rsidRPr="00A850AD" w:rsidRDefault="00BA7BF9" w:rsidP="000C025A">
      <w:pPr>
        <w:pStyle w:val="NormalWeb"/>
        <w:spacing w:line="360" w:lineRule="auto"/>
        <w:rPr>
          <w:rFonts w:ascii="Arial" w:hAnsi="Arial" w:cs="Arial"/>
          <w:color w:val="000000"/>
          <w:lang w:val="cy-GB"/>
        </w:rPr>
      </w:pPr>
      <w:r w:rsidRPr="00BA7BF9">
        <w:rPr>
          <w:rFonts w:ascii="Arial" w:hAnsi="Arial" w:cs="Arial"/>
          <w:color w:val="000000"/>
        </w:rPr>
        <w:t xml:space="preserve">Vygotsky's socio-cultural theory strongly influences ECERS, emphasizing the important role of social interaction, guided participation, and the use of scaffolding in learning (Jaramillo, 1996). According to Vygotsky, children learn more effectively when they are supported by more informed individuals, whether adults or peers, by </w:t>
      </w:r>
      <w:r w:rsidRPr="00BA7BF9">
        <w:rPr>
          <w:rFonts w:ascii="Arial" w:hAnsi="Arial" w:cs="Arial"/>
          <w:color w:val="000000"/>
        </w:rPr>
        <w:lastRenderedPageBreak/>
        <w:t>offering structured support that can be tailored to the child's needs (Gowrie NSW, no date). In line with this perspective, ECERS assesses whether settings offer opportunities for collaborative play, meaningful conversations, and problem-solving activities, ensuring that children participate in collaborative learning experiences. In addition, the scale evaluates the way educators facilitate social engagement, structured play, and teacher-led interaction, and all of these factors that support the wider developmental needs of the children (Coventry County Council, 2011).</w:t>
      </w:r>
    </w:p>
    <w:p w14:paraId="74CB3A84" w14:textId="77777777" w:rsidR="00BA7BF9" w:rsidRPr="00A850AD" w:rsidRDefault="00BA7BF9" w:rsidP="000C025A">
      <w:pPr>
        <w:pStyle w:val="NormalWeb"/>
        <w:spacing w:line="360" w:lineRule="auto"/>
        <w:rPr>
          <w:rFonts w:ascii="Arial" w:hAnsi="Arial" w:cs="Arial"/>
          <w:color w:val="000000"/>
          <w:lang w:val="cy-GB"/>
        </w:rPr>
      </w:pPr>
      <w:r w:rsidRPr="00BA7BF9">
        <w:rPr>
          <w:rFonts w:ascii="Arial" w:hAnsi="Arial" w:cs="Arial"/>
          <w:color w:val="000000"/>
        </w:rPr>
        <w:t xml:space="preserve">One of the key strengths of ECERS is its ability to provide a holistic evaluation of educational quality, ensuring that children benefit from a balanced curriculum that supports academic and social development (Callanan </w:t>
      </w:r>
      <w:r w:rsidRPr="00BA7BF9">
        <w:rPr>
          <w:rFonts w:ascii="Arial" w:hAnsi="Arial" w:cs="Arial"/>
          <w:i/>
          <w:iCs/>
          <w:color w:val="000000"/>
        </w:rPr>
        <w:t>et al.,</w:t>
      </w:r>
      <w:r w:rsidRPr="00BA7BF9">
        <w:rPr>
          <w:rFonts w:ascii="Arial" w:hAnsi="Arial" w:cs="Arial"/>
          <w:color w:val="000000"/>
        </w:rPr>
        <w:t xml:space="preserve"> 2017). In addition, ECERS recognizes the significance of parental involvement, recognizing that a strong home-school relationship plays a critical role in shaping early learning experiences for children (Melhuish </w:t>
      </w:r>
      <w:r w:rsidRPr="00BA7BF9">
        <w:rPr>
          <w:rFonts w:ascii="Arial" w:hAnsi="Arial" w:cs="Arial"/>
          <w:i/>
          <w:iCs/>
          <w:color w:val="000000"/>
        </w:rPr>
        <w:t>et al.,</w:t>
      </w:r>
      <w:r w:rsidRPr="00BA7BF9">
        <w:rPr>
          <w:rFonts w:ascii="Arial" w:hAnsi="Arial" w:cs="Arial"/>
          <w:color w:val="000000"/>
        </w:rPr>
        <w:t xml:space="preserve"> 2018). By assessing the extent to which parents are involved in their child's education, ECERS encourages early years settings to foster positive relationships with families, thereby improving the continuity between home and school environments.</w:t>
      </w:r>
    </w:p>
    <w:p w14:paraId="3390CF84" w14:textId="77777777" w:rsidR="00BA7BF9" w:rsidRPr="00A850AD" w:rsidRDefault="00BA7BF9" w:rsidP="000C025A">
      <w:pPr>
        <w:pStyle w:val="NormalWeb"/>
        <w:spacing w:line="360" w:lineRule="auto"/>
        <w:rPr>
          <w:rFonts w:ascii="Arial" w:hAnsi="Arial" w:cs="Arial"/>
          <w:color w:val="000000"/>
          <w:lang w:val="cy-GB"/>
        </w:rPr>
      </w:pPr>
      <w:r w:rsidRPr="00BA7BF9">
        <w:rPr>
          <w:rFonts w:ascii="Arial" w:hAnsi="Arial" w:cs="Arial"/>
          <w:color w:val="000000"/>
        </w:rPr>
        <w:t xml:space="preserve">However, despite its comprehensive approach, ECERS has notable limitations. One key criticism is its emphasis on structured educational experiences, which may not fully reflect cultural variations in early years education. For example, while ECERS offers valuable insights into environmental quality, the empirical evidence supporting its validity across diverse educational contexts is lacking (Gordon </w:t>
      </w:r>
      <w:r w:rsidRPr="00BA7BF9">
        <w:rPr>
          <w:rFonts w:ascii="Arial" w:hAnsi="Arial" w:cs="Arial"/>
          <w:i/>
          <w:iCs/>
          <w:color w:val="000000"/>
        </w:rPr>
        <w:t>et al.,</w:t>
      </w:r>
      <w:r w:rsidRPr="00BA7BF9">
        <w:rPr>
          <w:rFonts w:ascii="Arial" w:hAnsi="Arial" w:cs="Arial"/>
          <w:color w:val="000000"/>
        </w:rPr>
        <w:t xml:space="preserve"> 2012). In particular, only a few studies have examined ECERS-R, so its reliability is uncertain as it has not been extensively researched. As a result, this raises concerns about the extent to which it reliably measures quality in different locations.</w:t>
      </w:r>
    </w:p>
    <w:p w14:paraId="2F1B10E1" w14:textId="77777777" w:rsidR="00BA7BF9" w:rsidRPr="00A850AD" w:rsidRDefault="00BA7BF9" w:rsidP="0081300F">
      <w:pPr>
        <w:pStyle w:val="NormalWeb"/>
        <w:spacing w:line="360" w:lineRule="auto"/>
        <w:rPr>
          <w:rFonts w:ascii="Arial" w:hAnsi="Arial" w:cs="Arial"/>
          <w:color w:val="000000"/>
          <w:lang w:val="cy-GB"/>
        </w:rPr>
      </w:pPr>
      <w:r w:rsidRPr="00BA7BF9">
        <w:rPr>
          <w:rFonts w:ascii="Arial" w:hAnsi="Arial" w:cs="Arial"/>
          <w:color w:val="000000"/>
        </w:rPr>
        <w:t xml:space="preserve">Moreover, ECERS is deeply rooted in Western educational paradigms, and as a result, may ignore alternative approaches that prioritize child-led holistic learning. For example, </w:t>
      </w:r>
      <w:proofErr w:type="spellStart"/>
      <w:r w:rsidRPr="00BA7BF9">
        <w:rPr>
          <w:rFonts w:ascii="Arial" w:hAnsi="Arial" w:cs="Arial"/>
          <w:color w:val="000000"/>
        </w:rPr>
        <w:t>Te</w:t>
      </w:r>
      <w:proofErr w:type="spellEnd"/>
      <w:r w:rsidRPr="00BA7BF9">
        <w:rPr>
          <w:rFonts w:ascii="Arial" w:hAnsi="Arial" w:cs="Arial"/>
          <w:color w:val="000000"/>
        </w:rPr>
        <w:t xml:space="preserve"> </w:t>
      </w:r>
      <w:proofErr w:type="spellStart"/>
      <w:r w:rsidRPr="00BA7BF9">
        <w:rPr>
          <w:rFonts w:ascii="Arial" w:hAnsi="Arial" w:cs="Arial"/>
          <w:color w:val="000000"/>
        </w:rPr>
        <w:t>Whāriki</w:t>
      </w:r>
      <w:proofErr w:type="spellEnd"/>
      <w:r w:rsidRPr="00BA7BF9">
        <w:rPr>
          <w:rFonts w:ascii="Arial" w:hAnsi="Arial" w:cs="Arial"/>
          <w:color w:val="000000"/>
        </w:rPr>
        <w:t>, New Zealand's early years curriculum, emphasizes cultural responsiveness and flexible pedagogy based on the child's play and guidance, these elements are not fully included in the structured framework of ECERS (</w:t>
      </w:r>
      <w:proofErr w:type="spellStart"/>
      <w:r w:rsidRPr="00BA7BF9">
        <w:rPr>
          <w:rFonts w:ascii="Arial" w:hAnsi="Arial" w:cs="Arial"/>
          <w:color w:val="000000"/>
        </w:rPr>
        <w:t>Preidyte</w:t>
      </w:r>
      <w:proofErr w:type="spellEnd"/>
      <w:r w:rsidRPr="00BA7BF9">
        <w:rPr>
          <w:rFonts w:ascii="Arial" w:hAnsi="Arial" w:cs="Arial"/>
          <w:color w:val="000000"/>
        </w:rPr>
        <w:t xml:space="preserve">, 2024). Therefore, while ECERS is a valuable tool for evaluating traditional early </w:t>
      </w:r>
      <w:r w:rsidRPr="00BA7BF9">
        <w:rPr>
          <w:rFonts w:ascii="Arial" w:hAnsi="Arial" w:cs="Arial"/>
          <w:color w:val="000000"/>
        </w:rPr>
        <w:lastRenderedPageBreak/>
        <w:t>years education environments, it may not adequately address curricula that prioritize community values, indigenous knowledge, and child-led exploration.</w:t>
      </w:r>
    </w:p>
    <w:p w14:paraId="3C634C60" w14:textId="77777777" w:rsidR="00BA7BF9" w:rsidRPr="00A850AD" w:rsidRDefault="00BA7BF9" w:rsidP="0081300F">
      <w:pPr>
        <w:pStyle w:val="NormalWeb"/>
        <w:spacing w:line="360" w:lineRule="auto"/>
        <w:rPr>
          <w:rFonts w:ascii="Arial" w:hAnsi="Arial" w:cs="Arial"/>
          <w:color w:val="000000"/>
          <w:lang w:val="cy-GB"/>
        </w:rPr>
      </w:pPr>
      <w:r w:rsidRPr="00BA7BF9">
        <w:rPr>
          <w:rFonts w:ascii="Arial" w:hAnsi="Arial" w:cs="Arial"/>
          <w:color w:val="000000"/>
        </w:rPr>
        <w:t xml:space="preserve">ITERS is an observation framework used to measure the quality of childcare settings, for infants and toddlers up to thirty months of age. Similar to the ECERS, ITERS assesses a variety of dimensions related to the quality of the setting, including the quality of adult-child interactions, care practices, and developmental opportunities. Nevertheless, it focuses specifically on the developmental needs of the youngest children (Melhuish and Gardiner, 2018). As an observational measure of the overall quality of Early Childhood Education and Care (ECEC) settings for children under the age of three, ITERS covers key areas including the environment, equipment, personal care practices, activities and interaction between adults and children. By evaluating these areas, </w:t>
      </w:r>
      <w:r w:rsidRPr="00BA7BF9">
        <w:rPr>
          <w:rStyle w:val="Strong"/>
          <w:rFonts w:ascii="Arial" w:eastAsiaTheme="majorEastAsia" w:hAnsi="Arial" w:cs="Arial"/>
          <w:b w:val="0"/>
          <w:bCs w:val="0"/>
          <w:color w:val="000000"/>
        </w:rPr>
        <w:t xml:space="preserve">ITERS </w:t>
      </w:r>
      <w:r w:rsidRPr="00BA7BF9">
        <w:rPr>
          <w:rFonts w:ascii="Arial" w:hAnsi="Arial" w:cs="Arial"/>
          <w:color w:val="000000"/>
        </w:rPr>
        <w:t>provides a thorough insight into the quality of early childhood care and education, ensuring that young children's developmental needs are met. This approach emphasizes creating a supportive environment that enables children to develop emotionally, socially, and cognitively during the most formative early years (Malik, 2022).</w:t>
      </w:r>
    </w:p>
    <w:p w14:paraId="0322B79B" w14:textId="77777777" w:rsidR="00BA7BF9" w:rsidRPr="00A850AD" w:rsidRDefault="00BA7BF9" w:rsidP="00A1502C">
      <w:pPr>
        <w:pStyle w:val="NormalWeb"/>
        <w:spacing w:line="360" w:lineRule="auto"/>
        <w:rPr>
          <w:rFonts w:ascii="Arial" w:hAnsi="Arial" w:cs="Arial"/>
          <w:color w:val="000000"/>
          <w:lang w:val="cy-GB"/>
        </w:rPr>
      </w:pPr>
      <w:r w:rsidRPr="00BA7BF9">
        <w:rPr>
          <w:rFonts w:ascii="Arial" w:hAnsi="Arial" w:cs="Arial"/>
          <w:color w:val="000000"/>
        </w:rPr>
        <w:t xml:space="preserve">One of the key theories supporting ITERS is Bowlby's attachment theory (1969), which emphasizes the relationship between children and their early caregivers as a foundation for emotional and </w:t>
      </w:r>
      <w:proofErr w:type="spellStart"/>
      <w:r w:rsidRPr="00BA7BF9">
        <w:rPr>
          <w:rFonts w:ascii="Arial" w:hAnsi="Arial" w:cs="Arial"/>
          <w:color w:val="000000"/>
        </w:rPr>
        <w:t>behavioral</w:t>
      </w:r>
      <w:proofErr w:type="spellEnd"/>
      <w:r w:rsidRPr="00BA7BF9">
        <w:rPr>
          <w:rFonts w:ascii="Arial" w:hAnsi="Arial" w:cs="Arial"/>
          <w:color w:val="000000"/>
        </w:rPr>
        <w:t xml:space="preserve"> development. According to Bowlby, children form primary attachments with their primary caregivers, and the quality of these relationships has a significant impact on their long-term development. ITERS aligns this principle by emphasizing on quality of care, assessing how early years professionals provide responsive care to children. For example, the scale evaluates whether the adults provide warm engagement, comfort when the child is sad, and respond to signs that a child is uncomfortable or distressed (Melhuish and Gardiner, 2018).</w:t>
      </w:r>
    </w:p>
    <w:p w14:paraId="65EA5D9E" w14:textId="77777777" w:rsidR="00BA7BF9" w:rsidRPr="00A850AD" w:rsidRDefault="00BA7BF9" w:rsidP="00A1502C">
      <w:pPr>
        <w:pStyle w:val="NormalWeb"/>
        <w:spacing w:line="360" w:lineRule="auto"/>
        <w:rPr>
          <w:rFonts w:ascii="Arial" w:hAnsi="Arial" w:cs="Arial"/>
          <w:color w:val="000000"/>
          <w:lang w:val="cy-GB"/>
        </w:rPr>
      </w:pPr>
      <w:r w:rsidRPr="00BA7BF9">
        <w:rPr>
          <w:rFonts w:ascii="Arial" w:hAnsi="Arial" w:cs="Arial"/>
          <w:color w:val="000000"/>
        </w:rPr>
        <w:t xml:space="preserve">Unlike ECERS, which assesses environments for older children and emphasizes educational structures and academic learning opportunities, ITERS focuses primarily on the emotional and physical well-being of the child. This reflects the fact that young children learn primarily through one-to-one interaction with carers and their </w:t>
      </w:r>
      <w:r w:rsidRPr="00BA7BF9">
        <w:rPr>
          <w:rFonts w:ascii="Arial" w:hAnsi="Arial" w:cs="Arial"/>
          <w:color w:val="000000"/>
        </w:rPr>
        <w:lastRenderedPageBreak/>
        <w:t>development is not based on formal academic activities (Whitebread, 2012). This is in line with Bowlby's theory, which suggests that secure attachment creates a foundation for exploring the world and developing social and cognitive skills in the early years (Bowlby, 1969).</w:t>
      </w:r>
    </w:p>
    <w:p w14:paraId="6B166BF6" w14:textId="77777777" w:rsidR="00BA7BF9" w:rsidRPr="00A850AD" w:rsidRDefault="00BA7BF9" w:rsidP="00A1502C">
      <w:pPr>
        <w:pStyle w:val="NormalWeb"/>
        <w:spacing w:line="360" w:lineRule="auto"/>
        <w:rPr>
          <w:rFonts w:ascii="Arial" w:hAnsi="Arial" w:cs="Arial"/>
          <w:color w:val="000000"/>
          <w:lang w:val="cy-GB"/>
        </w:rPr>
      </w:pPr>
      <w:r w:rsidRPr="00BA7BF9">
        <w:rPr>
          <w:rFonts w:ascii="Arial" w:hAnsi="Arial" w:cs="Arial"/>
          <w:color w:val="000000"/>
        </w:rPr>
        <w:t xml:space="preserve">While ECERS and ITERS share the goal of improving the quality of early childhood education, there are key differences between them. ECERS focuses on elements such as structured learning opportunities, educational resources, and the quality of social interactions between children and staff (Vermeer </w:t>
      </w:r>
      <w:r w:rsidRPr="00BA7BF9">
        <w:rPr>
          <w:rFonts w:ascii="Arial" w:hAnsi="Arial" w:cs="Arial"/>
          <w:i/>
          <w:iCs/>
          <w:color w:val="000000"/>
        </w:rPr>
        <w:t>et al.,</w:t>
      </w:r>
      <w:r w:rsidRPr="00BA7BF9">
        <w:rPr>
          <w:rFonts w:ascii="Arial" w:hAnsi="Arial" w:cs="Arial"/>
          <w:color w:val="000000"/>
        </w:rPr>
        <w:t xml:space="preserve"> 2016). Unlike ITERS which focuses on how the environment and care offered protects and supports children's emotional, physical, and cognitive development (Vermeer </w:t>
      </w:r>
      <w:r w:rsidRPr="00BA7BF9">
        <w:rPr>
          <w:rFonts w:ascii="Arial" w:hAnsi="Arial" w:cs="Arial"/>
          <w:i/>
          <w:iCs/>
          <w:color w:val="000000"/>
        </w:rPr>
        <w:t xml:space="preserve">et al., </w:t>
      </w:r>
      <w:r w:rsidRPr="00BA7BF9">
        <w:rPr>
          <w:rFonts w:ascii="Arial" w:hAnsi="Arial" w:cs="Arial"/>
          <w:color w:val="000000"/>
        </w:rPr>
        <w:t>2016). ECERS aligns with Vygotsky's socio-cultural theory, which emphasizes the role of co-learning and social interaction in cognitive development (Jaramillo, 1996), while ITERS is more strongly based on Bowlby's theory, emphasizing the importance of positive relationships and secure attachment as a basis for growth and development.</w:t>
      </w:r>
    </w:p>
    <w:p w14:paraId="5638ACFC" w14:textId="77777777" w:rsidR="00BA7BF9" w:rsidRPr="00A850AD" w:rsidRDefault="00BA7BF9" w:rsidP="00A1502C">
      <w:pPr>
        <w:pStyle w:val="NormalWeb"/>
        <w:spacing w:line="360" w:lineRule="auto"/>
        <w:rPr>
          <w:rFonts w:ascii="Arial" w:hAnsi="Arial" w:cs="Arial"/>
          <w:color w:val="000000"/>
          <w:lang w:val="cy-GB"/>
        </w:rPr>
      </w:pPr>
      <w:r w:rsidRPr="00BA7BF9">
        <w:rPr>
          <w:rFonts w:ascii="Arial" w:hAnsi="Arial" w:cs="Arial"/>
          <w:color w:val="000000"/>
        </w:rPr>
        <w:t xml:space="preserve">In addition, ECERS encourages parental participation in their children's education by fostering a strong home-location relationship (early years alliance, no date), while ITERS focuses on creating a safe and supportive environment where children can feel secure in developing their attachment to caring adults (Harms </w:t>
      </w:r>
      <w:r w:rsidRPr="00BA7BF9">
        <w:rPr>
          <w:rFonts w:ascii="Arial" w:hAnsi="Arial" w:cs="Arial"/>
          <w:i/>
          <w:iCs/>
          <w:color w:val="000000"/>
        </w:rPr>
        <w:t>et al.,</w:t>
      </w:r>
      <w:r w:rsidRPr="00BA7BF9">
        <w:rPr>
          <w:rFonts w:ascii="Arial" w:hAnsi="Arial" w:cs="Arial"/>
          <w:color w:val="000000"/>
        </w:rPr>
        <w:t xml:space="preserve"> 2017). This suggests that ECERS supports home-school transition, while ITERS focuses on providing early experiences that support the establishment of secure primary relationships.</w:t>
      </w:r>
    </w:p>
    <w:p w14:paraId="2637FA8C" w14:textId="77777777" w:rsidR="00BA7BF9" w:rsidRPr="00A850AD" w:rsidRDefault="00BA7BF9" w:rsidP="00941DD1">
      <w:pPr>
        <w:pStyle w:val="NormalWeb"/>
        <w:spacing w:line="360" w:lineRule="auto"/>
        <w:rPr>
          <w:rFonts w:ascii="Arial" w:hAnsi="Arial" w:cs="Arial"/>
          <w:color w:val="000000"/>
          <w:lang w:val="cy-GB"/>
        </w:rPr>
      </w:pPr>
      <w:r w:rsidRPr="00BA7BF9">
        <w:rPr>
          <w:rFonts w:ascii="Arial" w:hAnsi="Arial" w:cs="Arial"/>
          <w:color w:val="000000"/>
        </w:rPr>
        <w:t>In conclusion, while ITERS and ECERS provide comprehensive methods for measuring and assessing quality in early years education, they differ in their focus and approach. ECERS places emphasis on children's cognitive and social development through structured learning opportunities, assessing the quality of the physical environment, educational materials and social interactions. In contrast, ITERS focuses primarily on children's emotional development and well-being through the creation of warm and safe relationships, which are essential for healthy development during the early years.</w:t>
      </w:r>
    </w:p>
    <w:p w14:paraId="4C9395D7" w14:textId="77777777" w:rsidR="00BA7BF9" w:rsidRPr="00A850AD" w:rsidRDefault="00BA7BF9" w:rsidP="00941DD1">
      <w:pPr>
        <w:pStyle w:val="NormalWeb"/>
        <w:spacing w:line="360" w:lineRule="auto"/>
        <w:rPr>
          <w:rFonts w:ascii="Arial" w:hAnsi="Arial" w:cs="Arial"/>
          <w:color w:val="000000"/>
          <w:lang w:val="cy-GB"/>
        </w:rPr>
      </w:pPr>
      <w:r w:rsidRPr="00BA7BF9">
        <w:rPr>
          <w:rFonts w:ascii="Arial" w:hAnsi="Arial" w:cs="Arial"/>
          <w:color w:val="000000"/>
        </w:rPr>
        <w:lastRenderedPageBreak/>
        <w:t>While both frameworks play a central role in assessing and improving the quality of early years education, it can be argued that ECERS is more suitable for older children who need structured learning opportunities, while ITERS is essential for infants and young children where emotional response and quality of care are crucial. Nevertheless, a lack of integration of the two frameworks can lead to incomplete assessment, as one approach alone would not be sufficient to take into account all aspects of child development. Therefore, combining key elements of ECERS and ITERS offers the most comprehensive approach, enabling professionals to create environments that support emotional well-being and cognitive development at the same time. Despite their limitations, these approaches provide essential insights to foster supportive environments that promote social, emotional, and cognitive development. Ensuring high standards in early years settings is essential to reduce inequalities and build strong foundations for future learning.</w:t>
      </w:r>
    </w:p>
    <w:p w14:paraId="31611E72" w14:textId="77777777" w:rsidR="00EF0977" w:rsidRPr="00A850AD" w:rsidRDefault="00EF0977" w:rsidP="005B349A">
      <w:pPr>
        <w:pStyle w:val="NormalWeb"/>
        <w:spacing w:line="360" w:lineRule="auto"/>
        <w:rPr>
          <w:rFonts w:ascii="Arial" w:hAnsi="Arial" w:cs="Arial"/>
          <w:color w:val="000000"/>
          <w:lang w:val="cy-GB"/>
        </w:rPr>
      </w:pPr>
    </w:p>
    <w:p w14:paraId="3C66C166" w14:textId="77777777" w:rsidR="006B7EAB" w:rsidRPr="00A850AD" w:rsidRDefault="006B7EAB">
      <w:pPr>
        <w:rPr>
          <w:rFonts w:ascii="Arial" w:hAnsi="Arial" w:cs="Arial"/>
          <w:b/>
          <w:bCs/>
          <w:lang w:val="cy-GB"/>
        </w:rPr>
      </w:pPr>
    </w:p>
    <w:p w14:paraId="497A2494" w14:textId="77777777" w:rsidR="004C6814" w:rsidRPr="00A850AD" w:rsidRDefault="004C6814" w:rsidP="00BD0743">
      <w:pPr>
        <w:rPr>
          <w:rFonts w:ascii="Arial" w:hAnsi="Arial" w:cs="Arial"/>
          <w:b/>
          <w:bCs/>
          <w:lang w:val="cy-GB"/>
        </w:rPr>
      </w:pPr>
    </w:p>
    <w:p w14:paraId="4FEDD791" w14:textId="77777777" w:rsidR="00922B2B" w:rsidRPr="00A850AD" w:rsidRDefault="00922B2B" w:rsidP="00BD0743">
      <w:pPr>
        <w:rPr>
          <w:rFonts w:ascii="Arial" w:hAnsi="Arial" w:cs="Arial"/>
          <w:b/>
          <w:bCs/>
          <w:lang w:val="cy-GB"/>
        </w:rPr>
      </w:pPr>
    </w:p>
    <w:p w14:paraId="5E740658" w14:textId="77777777" w:rsidR="00922B2B" w:rsidRPr="00A850AD" w:rsidRDefault="00922B2B" w:rsidP="00BD0743">
      <w:pPr>
        <w:rPr>
          <w:rFonts w:ascii="Arial" w:hAnsi="Arial" w:cs="Arial"/>
          <w:b/>
          <w:bCs/>
          <w:lang w:val="cy-GB"/>
        </w:rPr>
      </w:pPr>
    </w:p>
    <w:p w14:paraId="1D978533" w14:textId="77777777" w:rsidR="00922B2B" w:rsidRPr="00A850AD" w:rsidRDefault="00922B2B" w:rsidP="00BD0743">
      <w:pPr>
        <w:rPr>
          <w:rFonts w:ascii="Arial" w:hAnsi="Arial" w:cs="Arial"/>
          <w:b/>
          <w:bCs/>
          <w:lang w:val="cy-GB"/>
        </w:rPr>
      </w:pPr>
    </w:p>
    <w:p w14:paraId="30DFDBCF" w14:textId="40C6FC08" w:rsidR="0046571A" w:rsidRPr="00BA7BF9" w:rsidRDefault="00CD5AAD" w:rsidP="0046571A">
      <w:pPr>
        <w:rPr>
          <w:rFonts w:ascii="Arial" w:hAnsi="Arial" w:cs="Arial"/>
          <w:b/>
          <w:bCs/>
          <w:lang w:val="cy-GB"/>
        </w:rPr>
      </w:pPr>
      <w:r w:rsidRPr="00BA7BF9">
        <w:rPr>
          <w:rFonts w:ascii="Arial" w:hAnsi="Arial" w:cs="Arial"/>
          <w:b/>
          <w:bCs/>
          <w:lang w:val="cy-GB"/>
        </w:rPr>
        <w:t>Rhestr Cyfeirnodi</w:t>
      </w:r>
    </w:p>
    <w:p w14:paraId="4D762782" w14:textId="77777777" w:rsidR="00CD5AAD" w:rsidRPr="00BA7BF9" w:rsidRDefault="00CD5AAD" w:rsidP="0046571A">
      <w:pPr>
        <w:rPr>
          <w:rFonts w:ascii="Arial" w:hAnsi="Arial" w:cs="Arial"/>
          <w:b/>
          <w:bCs/>
          <w:lang w:val="cy-GB"/>
        </w:rPr>
      </w:pPr>
    </w:p>
    <w:p w14:paraId="7C6090E1" w14:textId="77777777" w:rsidR="00BA7BF9" w:rsidRPr="00BA7BF9" w:rsidRDefault="00BA7BF9" w:rsidP="007E198C">
      <w:pPr>
        <w:rPr>
          <w:rFonts w:ascii="Arial" w:hAnsi="Arial" w:cs="Arial"/>
          <w:lang w:val="cy-GB"/>
        </w:rPr>
      </w:pPr>
      <w:r w:rsidRPr="00BA7BF9">
        <w:rPr>
          <w:rStyle w:val="Strong"/>
          <w:rFonts w:ascii="Arial" w:hAnsi="Arial" w:cs="Arial"/>
          <w:b w:val="0"/>
          <w:bCs w:val="0"/>
          <w:color w:val="000000"/>
          <w:sz w:val="22"/>
          <w:szCs w:val="22"/>
        </w:rPr>
        <w:t xml:space="preserve">Bonetti, S. and Brown, K. (2018) </w:t>
      </w:r>
      <w:r w:rsidRPr="00BA7BF9">
        <w:rPr>
          <w:rStyle w:val="Emphasis"/>
          <w:rFonts w:ascii="Arial" w:hAnsi="Arial" w:cs="Arial"/>
          <w:color w:val="000000"/>
          <w:sz w:val="22"/>
          <w:szCs w:val="22"/>
        </w:rPr>
        <w:t>Structural elements of quality early years provision: A review of the evidence</w:t>
      </w:r>
      <w:r w:rsidRPr="00BA7BF9">
        <w:rPr>
          <w:rFonts w:ascii="Arial" w:hAnsi="Arial" w:cs="Arial"/>
          <w:color w:val="000000"/>
          <w:sz w:val="22"/>
          <w:szCs w:val="22"/>
        </w:rPr>
        <w:t>. (Accessed 14th March 2025).</w:t>
      </w:r>
    </w:p>
    <w:p w14:paraId="1FA30F10" w14:textId="77777777" w:rsidR="00BA7BF9" w:rsidRPr="00BA7BF9" w:rsidRDefault="00BA7BF9" w:rsidP="007E198C">
      <w:pPr>
        <w:pStyle w:val="NormalWeb"/>
        <w:rPr>
          <w:rFonts w:ascii="Arial" w:hAnsi="Arial" w:cs="Arial"/>
          <w:color w:val="000000"/>
          <w:sz w:val="22"/>
          <w:szCs w:val="22"/>
          <w:lang w:val="cy-GB"/>
        </w:rPr>
      </w:pPr>
      <w:r w:rsidRPr="00BA7BF9">
        <w:rPr>
          <w:rFonts w:ascii="Arial" w:hAnsi="Arial" w:cs="Arial"/>
          <w:color w:val="232323"/>
          <w:sz w:val="22"/>
          <w:szCs w:val="22"/>
        </w:rPr>
        <w:t>Bowlby, J. (1969). Attachment and Loss, Volume 1: Attachment. Attachment and loss. New York: Basic Books.</w:t>
      </w:r>
      <w:r w:rsidRPr="00BA7BF9">
        <w:rPr>
          <w:rFonts w:ascii="Arial" w:hAnsi="Arial" w:cs="Arial"/>
          <w:color w:val="000000"/>
          <w:sz w:val="22"/>
          <w:szCs w:val="22"/>
        </w:rPr>
        <w:t xml:space="preserve"> (Accessed 17th March 2025).</w:t>
      </w:r>
    </w:p>
    <w:p w14:paraId="4D858E16" w14:textId="77777777" w:rsidR="00BA7BF9" w:rsidRPr="00BA7BF9" w:rsidRDefault="00BA7BF9" w:rsidP="007E198C">
      <w:pPr>
        <w:pStyle w:val="NormalWeb"/>
        <w:rPr>
          <w:rFonts w:ascii="Arial" w:hAnsi="Arial" w:cs="Arial"/>
          <w:color w:val="000000"/>
          <w:sz w:val="22"/>
          <w:szCs w:val="22"/>
        </w:rPr>
      </w:pPr>
      <w:r w:rsidRPr="00BA7BF9">
        <w:rPr>
          <w:rFonts w:ascii="Arial" w:hAnsi="Arial" w:cs="Arial"/>
          <w:color w:val="000000"/>
          <w:sz w:val="22"/>
          <w:szCs w:val="22"/>
        </w:rPr>
        <w:t xml:space="preserve">Callanan, M. et al. (2017) </w:t>
      </w:r>
      <w:r w:rsidRPr="00BA7BF9">
        <w:rPr>
          <w:rStyle w:val="Emphasis"/>
          <w:rFonts w:ascii="Arial" w:eastAsiaTheme="majorEastAsia" w:hAnsi="Arial" w:cs="Arial"/>
          <w:color w:val="000000"/>
          <w:sz w:val="22"/>
          <w:szCs w:val="22"/>
        </w:rPr>
        <w:t xml:space="preserve">A Study of Education and Early Development: Good Practice in Early </w:t>
      </w:r>
      <w:proofErr w:type="spellStart"/>
      <w:r w:rsidRPr="00BA7BF9">
        <w:rPr>
          <w:rStyle w:val="Emphasis"/>
          <w:rFonts w:ascii="Arial" w:eastAsiaTheme="majorEastAsia" w:hAnsi="Arial" w:cs="Arial"/>
          <w:color w:val="000000"/>
          <w:sz w:val="22"/>
          <w:szCs w:val="22"/>
        </w:rPr>
        <w:t>Education.</w:t>
      </w:r>
      <w:r w:rsidRPr="00BA7BF9">
        <w:rPr>
          <w:rFonts w:ascii="Arial" w:hAnsi="Arial" w:cs="Arial"/>
          <w:color w:val="000000"/>
          <w:sz w:val="22"/>
          <w:szCs w:val="22"/>
        </w:rPr>
        <w:t>Department</w:t>
      </w:r>
      <w:proofErr w:type="spellEnd"/>
      <w:r w:rsidRPr="00BA7BF9">
        <w:rPr>
          <w:rFonts w:ascii="Arial" w:hAnsi="Arial" w:cs="Arial"/>
          <w:color w:val="000000"/>
          <w:sz w:val="22"/>
          <w:szCs w:val="22"/>
        </w:rPr>
        <w:t xml:space="preserve"> of Education. Available on: </w:t>
      </w:r>
      <w:hyperlink r:id="rId7" w:tgtFrame="_new" w:history="1">
        <w:r w:rsidRPr="00BA7BF9">
          <w:rPr>
            <w:rStyle w:val="Hyperlink"/>
            <w:rFonts w:ascii="Arial" w:eastAsiaTheme="majorEastAsia" w:hAnsi="Arial" w:cs="Arial"/>
            <w:sz w:val="22"/>
            <w:szCs w:val="22"/>
          </w:rPr>
          <w:t>https://assets.publishing.service.gov.uk/media/5a8061f4ed915d74e622e223/SEED__Good_Practice_in_Early_Education_-_RR553.pdf</w:t>
        </w:r>
      </w:hyperlink>
      <w:r w:rsidRPr="00BA7BF9">
        <w:rPr>
          <w:rFonts w:ascii="Arial" w:hAnsi="Arial" w:cs="Arial"/>
          <w:color w:val="000000"/>
          <w:sz w:val="22"/>
          <w:szCs w:val="22"/>
        </w:rPr>
        <w:t>. (Accessed 15th March 2025).</w:t>
      </w:r>
    </w:p>
    <w:p w14:paraId="17A8C174" w14:textId="77777777" w:rsidR="00BA7BF9" w:rsidRPr="00BA7BF9" w:rsidRDefault="00BA7BF9" w:rsidP="007E198C">
      <w:pPr>
        <w:pStyle w:val="NormalWeb"/>
        <w:rPr>
          <w:rFonts w:ascii="Arial" w:hAnsi="Arial" w:cs="Arial"/>
          <w:color w:val="000000"/>
          <w:sz w:val="22"/>
          <w:szCs w:val="22"/>
        </w:rPr>
      </w:pPr>
      <w:r w:rsidRPr="00BA7BF9">
        <w:rPr>
          <w:rFonts w:ascii="Arial" w:hAnsi="Arial" w:cs="Arial"/>
          <w:color w:val="000000"/>
          <w:sz w:val="22"/>
          <w:szCs w:val="22"/>
        </w:rPr>
        <w:t>Coventry City Council (2019)</w:t>
      </w:r>
      <w:r w:rsidRPr="00BA7BF9">
        <w:rPr>
          <w:rFonts w:ascii="Arial" w:hAnsi="Arial" w:cs="Arial"/>
          <w:i/>
          <w:iCs/>
          <w:color w:val="000000"/>
          <w:sz w:val="22"/>
          <w:szCs w:val="22"/>
        </w:rPr>
        <w:t xml:space="preserve"> ITTERS and ECERS are up to date! </w:t>
      </w:r>
      <w:r w:rsidRPr="00BA7BF9">
        <w:rPr>
          <w:rFonts w:ascii="Arial" w:hAnsi="Arial" w:cs="Arial"/>
          <w:color w:val="000000"/>
          <w:sz w:val="22"/>
          <w:szCs w:val="22"/>
        </w:rPr>
        <w:t>(Accessed 14th March 2025).</w:t>
      </w:r>
    </w:p>
    <w:p w14:paraId="4012425A" w14:textId="77777777" w:rsidR="00BA7BF9" w:rsidRPr="00BA7BF9" w:rsidRDefault="00BA7BF9" w:rsidP="007E198C">
      <w:pPr>
        <w:pStyle w:val="NormalWeb"/>
        <w:rPr>
          <w:rFonts w:ascii="Arial" w:hAnsi="Arial" w:cs="Arial"/>
          <w:color w:val="000000"/>
          <w:sz w:val="22"/>
          <w:szCs w:val="22"/>
        </w:rPr>
      </w:pPr>
      <w:r w:rsidRPr="00BA7BF9">
        <w:rPr>
          <w:rStyle w:val="Strong"/>
          <w:rFonts w:ascii="Arial" w:eastAsiaTheme="majorEastAsia" w:hAnsi="Arial" w:cs="Arial"/>
          <w:b w:val="0"/>
          <w:bCs w:val="0"/>
          <w:color w:val="000000"/>
          <w:sz w:val="22"/>
          <w:szCs w:val="22"/>
        </w:rPr>
        <w:t xml:space="preserve">Early Years League </w:t>
      </w:r>
      <w:r w:rsidRPr="00BA7BF9">
        <w:rPr>
          <w:rFonts w:ascii="Arial" w:hAnsi="Arial" w:cs="Arial"/>
          <w:color w:val="000000"/>
          <w:sz w:val="22"/>
          <w:szCs w:val="22"/>
        </w:rPr>
        <w:t xml:space="preserve">(2019) </w:t>
      </w:r>
      <w:r w:rsidRPr="00BA7BF9">
        <w:rPr>
          <w:rStyle w:val="Emphasis"/>
          <w:rFonts w:ascii="Arial" w:eastAsiaTheme="majorEastAsia" w:hAnsi="Arial" w:cs="Arial"/>
          <w:color w:val="000000"/>
          <w:sz w:val="22"/>
          <w:szCs w:val="22"/>
        </w:rPr>
        <w:t xml:space="preserve">Involving parents in their children's learning. </w:t>
      </w:r>
      <w:r w:rsidRPr="00BA7BF9">
        <w:rPr>
          <w:rFonts w:ascii="Arial" w:hAnsi="Arial" w:cs="Arial"/>
          <w:color w:val="000000"/>
          <w:sz w:val="22"/>
          <w:szCs w:val="22"/>
        </w:rPr>
        <w:t xml:space="preserve">Available at: </w:t>
      </w:r>
      <w:hyperlink r:id="rId8" w:tgtFrame="_new" w:history="1">
        <w:r w:rsidRPr="00BA7BF9">
          <w:rPr>
            <w:rStyle w:val="Hyperlink"/>
            <w:rFonts w:ascii="Arial" w:eastAsiaTheme="majorEastAsia" w:hAnsi="Arial" w:cs="Arial"/>
            <w:sz w:val="22"/>
            <w:szCs w:val="22"/>
          </w:rPr>
          <w:t>https://www.eyalliance.org.uk/involving-parents-their-children's-learning</w:t>
        </w:r>
      </w:hyperlink>
      <w:r w:rsidRPr="00BA7BF9">
        <w:rPr>
          <w:rStyle w:val="apple-converted-space"/>
          <w:rFonts w:ascii="Arial" w:eastAsiaTheme="majorEastAsia" w:hAnsi="Arial" w:cs="Arial"/>
          <w:color w:val="000000"/>
          <w:sz w:val="22"/>
          <w:szCs w:val="22"/>
        </w:rPr>
        <w:t> </w:t>
      </w:r>
      <w:r w:rsidRPr="00BA7BF9">
        <w:rPr>
          <w:rFonts w:ascii="Arial" w:hAnsi="Arial" w:cs="Arial"/>
          <w:color w:val="000000"/>
          <w:sz w:val="22"/>
          <w:szCs w:val="22"/>
        </w:rPr>
        <w:t>(Accessed 17th March 2025).</w:t>
      </w:r>
    </w:p>
    <w:p w14:paraId="17884DEA" w14:textId="77777777" w:rsidR="00BA7BF9" w:rsidRPr="00BA7BF9" w:rsidRDefault="00BA7BF9" w:rsidP="007E198C">
      <w:pPr>
        <w:pStyle w:val="NormalWeb"/>
        <w:rPr>
          <w:rFonts w:ascii="Arial" w:hAnsi="Arial" w:cs="Arial"/>
          <w:color w:val="000000"/>
          <w:sz w:val="22"/>
          <w:szCs w:val="22"/>
        </w:rPr>
      </w:pPr>
      <w:r w:rsidRPr="00BA7BF9">
        <w:rPr>
          <w:rStyle w:val="Strong"/>
          <w:rFonts w:ascii="Arial" w:eastAsiaTheme="majorEastAsia" w:hAnsi="Arial" w:cs="Arial"/>
          <w:b w:val="0"/>
          <w:bCs w:val="0"/>
          <w:color w:val="000000"/>
          <w:sz w:val="22"/>
          <w:szCs w:val="22"/>
        </w:rPr>
        <w:lastRenderedPageBreak/>
        <w:t xml:space="preserve">Education Legacy Foundation (EEF) (2024) </w:t>
      </w:r>
      <w:r w:rsidRPr="00BA7BF9">
        <w:rPr>
          <w:rStyle w:val="Emphasis"/>
          <w:rFonts w:ascii="Arial" w:eastAsiaTheme="majorEastAsia" w:hAnsi="Arial" w:cs="Arial"/>
          <w:color w:val="000000"/>
          <w:sz w:val="22"/>
          <w:szCs w:val="22"/>
        </w:rPr>
        <w:t>Improving early education through high-quality interactions</w:t>
      </w:r>
      <w:r w:rsidRPr="00BA7BF9">
        <w:rPr>
          <w:rFonts w:ascii="Arial" w:hAnsi="Arial" w:cs="Arial"/>
          <w:color w:val="000000"/>
          <w:sz w:val="22"/>
          <w:szCs w:val="22"/>
        </w:rPr>
        <w:t xml:space="preserve">. Available on: </w:t>
      </w:r>
      <w:hyperlink r:id="rId9" w:tgtFrame="_new" w:history="1">
        <w:r w:rsidRPr="00BA7BF9">
          <w:rPr>
            <w:rStyle w:val="Hyperlink"/>
            <w:rFonts w:ascii="Arial" w:eastAsiaTheme="majorEastAsia" w:hAnsi="Arial" w:cs="Arial"/>
            <w:sz w:val="22"/>
            <w:szCs w:val="22"/>
          </w:rPr>
          <w:t>https://educationendowmentfoundation.org.uk/early-years/high-quality-interactions</w:t>
        </w:r>
      </w:hyperlink>
      <w:r w:rsidRPr="00BA7BF9">
        <w:rPr>
          <w:rStyle w:val="apple-converted-space"/>
          <w:rFonts w:ascii="Arial" w:eastAsiaTheme="majorEastAsia" w:hAnsi="Arial" w:cs="Arial"/>
          <w:color w:val="000000"/>
          <w:sz w:val="22"/>
          <w:szCs w:val="22"/>
        </w:rPr>
        <w:t> </w:t>
      </w:r>
      <w:r w:rsidRPr="00BA7BF9">
        <w:rPr>
          <w:rFonts w:ascii="Arial" w:hAnsi="Arial" w:cs="Arial"/>
          <w:color w:val="000000"/>
          <w:sz w:val="22"/>
          <w:szCs w:val="22"/>
        </w:rPr>
        <w:t>(Accessed 14th March 2025)</w:t>
      </w:r>
    </w:p>
    <w:p w14:paraId="6321CDF7" w14:textId="77777777" w:rsidR="00BA7BF9" w:rsidRPr="00BA7BF9" w:rsidRDefault="00BA7BF9" w:rsidP="007E198C">
      <w:pPr>
        <w:pStyle w:val="NormalWeb"/>
        <w:rPr>
          <w:rFonts w:ascii="Arial" w:hAnsi="Arial" w:cs="Arial"/>
          <w:color w:val="000000"/>
          <w:sz w:val="22"/>
          <w:szCs w:val="22"/>
        </w:rPr>
      </w:pPr>
      <w:r w:rsidRPr="00BA7BF9">
        <w:rPr>
          <w:rFonts w:ascii="Arial" w:hAnsi="Arial" w:cs="Arial"/>
          <w:color w:val="000000"/>
          <w:sz w:val="22"/>
          <w:szCs w:val="22"/>
        </w:rPr>
        <w:t xml:space="preserve">Gardiner, J. (2017) </w:t>
      </w:r>
      <w:r w:rsidRPr="00BA7BF9">
        <w:rPr>
          <w:rStyle w:val="Emphasis"/>
          <w:rFonts w:ascii="Arial" w:eastAsiaTheme="majorEastAsia" w:hAnsi="Arial" w:cs="Arial"/>
          <w:color w:val="000000"/>
          <w:sz w:val="22"/>
          <w:szCs w:val="22"/>
        </w:rPr>
        <w:t xml:space="preserve">A Study of Early Years Education and Development (SEED): A Study of the Quality of Early Years Provision in England (Revised Research Report). </w:t>
      </w:r>
      <w:r w:rsidRPr="00BA7BF9">
        <w:rPr>
          <w:rFonts w:ascii="Arial" w:hAnsi="Arial" w:cs="Arial"/>
          <w:color w:val="000000"/>
          <w:sz w:val="22"/>
          <w:szCs w:val="22"/>
        </w:rPr>
        <w:t xml:space="preserve">Available on: </w:t>
      </w:r>
      <w:hyperlink r:id="rId10" w:tgtFrame="_new" w:history="1">
        <w:r w:rsidRPr="00BA7BF9">
          <w:rPr>
            <w:rStyle w:val="Hyperlink"/>
            <w:rFonts w:ascii="Arial" w:eastAsiaTheme="majorEastAsia" w:hAnsi="Arial" w:cs="Arial"/>
            <w:sz w:val="22"/>
            <w:szCs w:val="22"/>
          </w:rPr>
          <w:t>https://assets.publishing.service.gov.uk/media/5b438623e5274a376e24e115/Study_of_quality_of_early_years_provision_in_England.pdf</w:t>
        </w:r>
      </w:hyperlink>
      <w:r w:rsidRPr="00BA7BF9">
        <w:rPr>
          <w:rFonts w:ascii="Arial" w:hAnsi="Arial" w:cs="Arial"/>
          <w:color w:val="000000"/>
          <w:sz w:val="22"/>
          <w:szCs w:val="22"/>
        </w:rPr>
        <w:t>. (Accessed 15th March 2025).</w:t>
      </w:r>
    </w:p>
    <w:p w14:paraId="22E77345" w14:textId="77777777" w:rsidR="00BA7BF9" w:rsidRPr="00BA7BF9" w:rsidRDefault="00BA7BF9" w:rsidP="007E198C">
      <w:pPr>
        <w:pStyle w:val="NormalWeb"/>
        <w:rPr>
          <w:rFonts w:ascii="Arial" w:hAnsi="Arial" w:cs="Arial"/>
          <w:color w:val="000000"/>
          <w:sz w:val="22"/>
          <w:szCs w:val="22"/>
        </w:rPr>
      </w:pPr>
      <w:r w:rsidRPr="00BA7BF9">
        <w:rPr>
          <w:rFonts w:ascii="Arial" w:hAnsi="Arial" w:cs="Arial"/>
          <w:color w:val="000000"/>
          <w:sz w:val="22"/>
          <w:szCs w:val="22"/>
        </w:rPr>
        <w:t xml:space="preserve">Gordon, R.A. et al. (2013) 'An Assessment of the Validity of the ECERS-R with Implications for Child Care Quality Assessments and its Relationship to Child Development', </w:t>
      </w:r>
      <w:r w:rsidRPr="00BA7BF9">
        <w:rPr>
          <w:rStyle w:val="Emphasis"/>
          <w:rFonts w:ascii="Arial" w:eastAsiaTheme="majorEastAsia" w:hAnsi="Arial" w:cs="Arial"/>
          <w:color w:val="000000"/>
          <w:sz w:val="22"/>
          <w:szCs w:val="22"/>
        </w:rPr>
        <w:t xml:space="preserve">Developmental Psychology, </w:t>
      </w:r>
      <w:r w:rsidRPr="00BA7BF9">
        <w:rPr>
          <w:rFonts w:ascii="Arial" w:hAnsi="Arial" w:cs="Arial"/>
          <w:color w:val="000000"/>
          <w:sz w:val="22"/>
          <w:szCs w:val="22"/>
        </w:rPr>
        <w:t xml:space="preserve">49(1), pp. 146–160. Available on: </w:t>
      </w:r>
      <w:hyperlink r:id="rId11" w:tgtFrame="_new" w:history="1">
        <w:r w:rsidRPr="00BA7BF9">
          <w:rPr>
            <w:rStyle w:val="Hyperlink"/>
            <w:rFonts w:ascii="Arial" w:eastAsiaTheme="majorEastAsia" w:hAnsi="Arial" w:cs="Arial"/>
            <w:sz w:val="22"/>
            <w:szCs w:val="22"/>
          </w:rPr>
          <w:t>https://doi.org/10.1037/a0027899</w:t>
        </w:r>
      </w:hyperlink>
      <w:r w:rsidRPr="00BA7BF9">
        <w:rPr>
          <w:rFonts w:ascii="Arial" w:hAnsi="Arial" w:cs="Arial"/>
          <w:color w:val="000000"/>
          <w:sz w:val="22"/>
          <w:szCs w:val="22"/>
        </w:rPr>
        <w:t>. (Accessed 15th March 2025).</w:t>
      </w:r>
    </w:p>
    <w:p w14:paraId="3159E269" w14:textId="77777777" w:rsidR="00BA7BF9" w:rsidRPr="00BA7BF9" w:rsidRDefault="00BA7BF9" w:rsidP="00FD2866">
      <w:pPr>
        <w:pStyle w:val="NormalWeb"/>
        <w:rPr>
          <w:rFonts w:ascii="Arial" w:hAnsi="Arial" w:cs="Arial"/>
          <w:color w:val="000000"/>
          <w:sz w:val="22"/>
          <w:szCs w:val="22"/>
        </w:rPr>
      </w:pPr>
      <w:r w:rsidRPr="00BA7BF9">
        <w:rPr>
          <w:rFonts w:ascii="Arial" w:hAnsi="Arial" w:cs="Arial"/>
          <w:color w:val="000000"/>
          <w:sz w:val="22"/>
          <w:szCs w:val="22"/>
        </w:rPr>
        <w:t xml:space="preserve">Gowrie NSW (no date) </w:t>
      </w:r>
      <w:r w:rsidRPr="00BA7BF9">
        <w:rPr>
          <w:rStyle w:val="Emphasis"/>
          <w:rFonts w:ascii="Arial" w:eastAsiaTheme="majorEastAsia" w:hAnsi="Arial" w:cs="Arial"/>
          <w:color w:val="000000"/>
          <w:sz w:val="22"/>
          <w:szCs w:val="22"/>
        </w:rPr>
        <w:t xml:space="preserve">Lev Vygotsky's theory of child development. </w:t>
      </w:r>
      <w:r w:rsidRPr="00BA7BF9">
        <w:rPr>
          <w:rFonts w:ascii="Arial" w:hAnsi="Arial" w:cs="Arial"/>
          <w:color w:val="000000"/>
          <w:sz w:val="22"/>
          <w:szCs w:val="22"/>
        </w:rPr>
        <w:t xml:space="preserve">Available on: </w:t>
      </w:r>
      <w:hyperlink r:id="rId12" w:tgtFrame="_new" w:history="1">
        <w:r w:rsidRPr="00BA7BF9">
          <w:rPr>
            <w:rStyle w:val="Hyperlink"/>
            <w:rFonts w:ascii="Arial" w:eastAsiaTheme="majorEastAsia" w:hAnsi="Arial" w:cs="Arial"/>
            <w:sz w:val="22"/>
            <w:szCs w:val="22"/>
          </w:rPr>
          <w:t>https://www.gowriensw.com.au/thought-leadership/vygotsky-theory</w:t>
        </w:r>
      </w:hyperlink>
      <w:r w:rsidRPr="00BA7BF9">
        <w:rPr>
          <w:rFonts w:ascii="Arial" w:hAnsi="Arial" w:cs="Arial"/>
          <w:color w:val="000000"/>
          <w:sz w:val="22"/>
          <w:szCs w:val="22"/>
        </w:rPr>
        <w:t>. (Accessed 15th March 2025).</w:t>
      </w:r>
    </w:p>
    <w:p w14:paraId="604F9F93" w14:textId="77777777" w:rsidR="00BA7BF9" w:rsidRPr="00BA7BF9" w:rsidRDefault="00BA7BF9" w:rsidP="00FD2866">
      <w:pPr>
        <w:pStyle w:val="NormalWeb"/>
        <w:rPr>
          <w:rFonts w:ascii="Arial" w:hAnsi="Arial" w:cs="Arial"/>
          <w:color w:val="000000" w:themeColor="text1"/>
          <w:sz w:val="22"/>
          <w:szCs w:val="22"/>
          <w:shd w:val="clear" w:color="auto" w:fill="FFFFFF"/>
        </w:rPr>
      </w:pPr>
      <w:r w:rsidRPr="00BA7BF9">
        <w:rPr>
          <w:rFonts w:ascii="Arial" w:hAnsi="Arial" w:cs="Arial"/>
          <w:color w:val="000000" w:themeColor="text1"/>
          <w:sz w:val="22"/>
          <w:szCs w:val="22"/>
          <w:shd w:val="clear" w:color="auto" w:fill="FFFFFF"/>
        </w:rPr>
        <w:t>Harms, T., Clifford, R. M., &amp; Cryer, D. (2014). Early Childhood Environment Rating Scale, third edition (ECERS-3). New York, NY: Teachers College Press.</w:t>
      </w:r>
    </w:p>
    <w:p w14:paraId="69A9A48A" w14:textId="77777777" w:rsidR="00BA7BF9" w:rsidRPr="00BA7BF9" w:rsidRDefault="00BA7BF9" w:rsidP="00FD2866">
      <w:pPr>
        <w:pStyle w:val="NormalWeb"/>
        <w:rPr>
          <w:rFonts w:ascii="Arial" w:hAnsi="Arial" w:cs="Arial"/>
          <w:i/>
          <w:iCs/>
          <w:color w:val="000000" w:themeColor="text1"/>
          <w:sz w:val="22"/>
          <w:szCs w:val="22"/>
        </w:rPr>
      </w:pPr>
      <w:r w:rsidRPr="00BA7BF9">
        <w:rPr>
          <w:rFonts w:ascii="Arial" w:hAnsi="Arial" w:cs="Arial"/>
          <w:color w:val="484848"/>
          <w:sz w:val="22"/>
          <w:szCs w:val="22"/>
          <w:shd w:val="clear" w:color="auto" w:fill="FFFFFF"/>
        </w:rPr>
        <w:t xml:space="preserve">Harms, T., Cryer, D., Clifford, R. M., &amp; </w:t>
      </w:r>
      <w:proofErr w:type="spellStart"/>
      <w:r w:rsidRPr="00BA7BF9">
        <w:rPr>
          <w:rFonts w:ascii="Arial" w:hAnsi="Arial" w:cs="Arial"/>
          <w:color w:val="484848"/>
          <w:sz w:val="22"/>
          <w:szCs w:val="22"/>
          <w:shd w:val="clear" w:color="auto" w:fill="FFFFFF"/>
        </w:rPr>
        <w:t>Yazejian</w:t>
      </w:r>
      <w:proofErr w:type="spellEnd"/>
      <w:r w:rsidRPr="00BA7BF9">
        <w:rPr>
          <w:rFonts w:ascii="Arial" w:hAnsi="Arial" w:cs="Arial"/>
          <w:color w:val="484848"/>
          <w:sz w:val="22"/>
          <w:szCs w:val="22"/>
          <w:shd w:val="clear" w:color="auto" w:fill="FFFFFF"/>
        </w:rPr>
        <w:t>, N. (2017). Infant/Toddler Environment Rating Scale, third edition. New York, NY: Teachers College Press.</w:t>
      </w:r>
    </w:p>
    <w:p w14:paraId="2C1A2FAE" w14:textId="77777777" w:rsidR="00BA7BF9" w:rsidRPr="00BA7BF9" w:rsidRDefault="00BA7BF9" w:rsidP="00FD2866">
      <w:pPr>
        <w:pStyle w:val="NormalWeb"/>
        <w:rPr>
          <w:rFonts w:ascii="Arial" w:hAnsi="Arial" w:cs="Arial"/>
          <w:color w:val="000000"/>
          <w:sz w:val="22"/>
          <w:szCs w:val="22"/>
        </w:rPr>
      </w:pPr>
      <w:r w:rsidRPr="00BA7BF9">
        <w:rPr>
          <w:rFonts w:ascii="Arial" w:hAnsi="Arial" w:cs="Arial"/>
          <w:color w:val="000000" w:themeColor="text1"/>
          <w:sz w:val="22"/>
          <w:szCs w:val="22"/>
          <w:shd w:val="clear" w:color="auto" w:fill="FFFFFF"/>
        </w:rPr>
        <w:t xml:space="preserve">Jaramillo, J.A. (1996) 'Vygotsky's socio-cultural theory and contributions to the development of a constructive curriculum', </w:t>
      </w:r>
      <w:r w:rsidRPr="00BA7BF9">
        <w:rPr>
          <w:rFonts w:ascii="Arial" w:hAnsi="Arial" w:cs="Arial"/>
          <w:i/>
          <w:iCs/>
          <w:color w:val="000000" w:themeColor="text1"/>
          <w:sz w:val="22"/>
          <w:szCs w:val="22"/>
          <w:bdr w:val="none" w:sz="0" w:space="0" w:color="auto" w:frame="1"/>
        </w:rPr>
        <w:t>Education</w:t>
      </w:r>
      <w:r w:rsidRPr="00BA7BF9">
        <w:rPr>
          <w:rFonts w:ascii="Arial" w:hAnsi="Arial" w:cs="Arial"/>
          <w:color w:val="000000" w:themeColor="text1"/>
          <w:sz w:val="22"/>
          <w:szCs w:val="22"/>
          <w:shd w:val="clear" w:color="auto" w:fill="FFFFFF"/>
        </w:rPr>
        <w:t xml:space="preserve">, 117(1), 133+, Available on: </w:t>
      </w:r>
      <w:hyperlink r:id="rId13" w:history="1"/>
      <w:r w:rsidRPr="00BA7BF9">
        <w:rPr>
          <w:rStyle w:val="docurl"/>
          <w:rFonts w:ascii="Arial" w:eastAsiaTheme="majorEastAsia" w:hAnsi="Arial" w:cs="Arial"/>
          <w:color w:val="000000" w:themeColor="text1"/>
          <w:sz w:val="22"/>
          <w:szCs w:val="22"/>
        </w:rPr>
        <w:t xml:space="preserve">https://link.gale.com/apps/doc/A18960235/AONE?u=anon~a0d730b5&amp;sid=googleScholar&amp;xid=4eddbb82. </w:t>
      </w:r>
      <w:r w:rsidRPr="00BA7BF9">
        <w:rPr>
          <w:rFonts w:ascii="Arial" w:hAnsi="Arial" w:cs="Arial"/>
          <w:color w:val="000000"/>
          <w:sz w:val="22"/>
          <w:szCs w:val="22"/>
        </w:rPr>
        <w:t>(Accessed 14th March 2025).</w:t>
      </w:r>
    </w:p>
    <w:p w14:paraId="03A3EF1F" w14:textId="77777777" w:rsidR="00BA7BF9" w:rsidRPr="00BA7BF9" w:rsidRDefault="00BA7BF9" w:rsidP="00FD2866">
      <w:pPr>
        <w:pStyle w:val="NormalWeb"/>
        <w:rPr>
          <w:rFonts w:ascii="Arial" w:hAnsi="Arial" w:cs="Arial"/>
          <w:color w:val="000000"/>
          <w:sz w:val="22"/>
          <w:szCs w:val="22"/>
        </w:rPr>
      </w:pPr>
      <w:r w:rsidRPr="00BA7BF9">
        <w:rPr>
          <w:rStyle w:val="Strong"/>
          <w:rFonts w:ascii="Arial" w:eastAsiaTheme="majorEastAsia" w:hAnsi="Arial" w:cs="Arial"/>
          <w:b w:val="0"/>
          <w:bCs w:val="0"/>
          <w:color w:val="000000"/>
          <w:sz w:val="22"/>
          <w:szCs w:val="22"/>
        </w:rPr>
        <w:t xml:space="preserve">Malik, F. and Marwaha, R. </w:t>
      </w:r>
      <w:r w:rsidRPr="00BA7BF9">
        <w:rPr>
          <w:rFonts w:ascii="Arial" w:hAnsi="Arial" w:cs="Arial"/>
          <w:color w:val="000000"/>
          <w:sz w:val="22"/>
          <w:szCs w:val="22"/>
        </w:rPr>
        <w:t xml:space="preserve">(2022) 'Developmental stages of social emotional development in children', </w:t>
      </w:r>
      <w:r w:rsidRPr="00BA7BF9">
        <w:rPr>
          <w:rStyle w:val="Emphasis"/>
          <w:rFonts w:ascii="Arial" w:eastAsiaTheme="majorEastAsia" w:hAnsi="Arial" w:cs="Arial"/>
          <w:color w:val="000000"/>
          <w:sz w:val="22"/>
          <w:szCs w:val="22"/>
        </w:rPr>
        <w:t xml:space="preserve">National Library of Medicine. </w:t>
      </w:r>
      <w:proofErr w:type="spellStart"/>
      <w:r w:rsidRPr="00BA7BF9">
        <w:rPr>
          <w:rFonts w:ascii="Arial" w:hAnsi="Arial" w:cs="Arial"/>
          <w:color w:val="000000"/>
          <w:sz w:val="22"/>
          <w:szCs w:val="22"/>
        </w:rPr>
        <w:t>StatPearls</w:t>
      </w:r>
      <w:proofErr w:type="spellEnd"/>
      <w:r w:rsidRPr="00BA7BF9">
        <w:rPr>
          <w:rFonts w:ascii="Arial" w:hAnsi="Arial" w:cs="Arial"/>
          <w:color w:val="000000"/>
          <w:sz w:val="22"/>
          <w:szCs w:val="22"/>
        </w:rPr>
        <w:t xml:space="preserve"> Publishing. Available on: </w:t>
      </w:r>
      <w:hyperlink r:id="rId14" w:tgtFrame="_new" w:history="1">
        <w:r w:rsidRPr="00BA7BF9">
          <w:rPr>
            <w:rStyle w:val="Hyperlink"/>
            <w:rFonts w:ascii="Arial" w:eastAsiaTheme="majorEastAsia" w:hAnsi="Arial" w:cs="Arial"/>
            <w:sz w:val="22"/>
            <w:szCs w:val="22"/>
          </w:rPr>
          <w:t>https://www.ncbi.nlm.nih.gov/books/NBK534819/</w:t>
        </w:r>
      </w:hyperlink>
      <w:r w:rsidRPr="00BA7BF9">
        <w:rPr>
          <w:rStyle w:val="apple-converted-space"/>
          <w:rFonts w:ascii="Arial" w:eastAsiaTheme="majorEastAsia" w:hAnsi="Arial" w:cs="Arial"/>
          <w:color w:val="000000"/>
          <w:sz w:val="22"/>
          <w:szCs w:val="22"/>
        </w:rPr>
        <w:t> </w:t>
      </w:r>
      <w:r w:rsidRPr="00BA7BF9">
        <w:rPr>
          <w:rFonts w:ascii="Arial" w:hAnsi="Arial" w:cs="Arial"/>
          <w:color w:val="000000"/>
          <w:sz w:val="22"/>
          <w:szCs w:val="22"/>
        </w:rPr>
        <w:t>(Accessed 17th March 2025).</w:t>
      </w:r>
    </w:p>
    <w:p w14:paraId="4319219F" w14:textId="77777777" w:rsidR="00BA7BF9" w:rsidRPr="00BA7BF9" w:rsidRDefault="00BA7BF9" w:rsidP="00FD2866">
      <w:pPr>
        <w:pStyle w:val="NormalWeb"/>
        <w:rPr>
          <w:rFonts w:ascii="Arial" w:hAnsi="Arial" w:cs="Arial"/>
          <w:color w:val="000000"/>
          <w:sz w:val="22"/>
          <w:szCs w:val="22"/>
        </w:rPr>
      </w:pPr>
      <w:r w:rsidRPr="00BA7BF9">
        <w:rPr>
          <w:rFonts w:ascii="Arial" w:hAnsi="Arial" w:cs="Arial"/>
          <w:color w:val="000000"/>
          <w:sz w:val="22"/>
          <w:szCs w:val="22"/>
        </w:rPr>
        <w:t xml:space="preserve">Medical College of Wisconsin (2022) </w:t>
      </w:r>
      <w:r w:rsidRPr="00BA7BF9">
        <w:rPr>
          <w:rStyle w:val="Emphasis"/>
          <w:rFonts w:ascii="Arial" w:eastAsiaTheme="majorEastAsia" w:hAnsi="Arial" w:cs="Arial"/>
          <w:color w:val="000000"/>
          <w:sz w:val="22"/>
          <w:szCs w:val="22"/>
        </w:rPr>
        <w:t xml:space="preserve">The socio-cultural theory of cognitive development: A guide to Vygotsky's theory of learning. </w:t>
      </w:r>
      <w:r w:rsidRPr="00BA7BF9">
        <w:rPr>
          <w:rFonts w:ascii="Arial" w:hAnsi="Arial" w:cs="Arial"/>
          <w:color w:val="000000"/>
          <w:sz w:val="22"/>
          <w:szCs w:val="22"/>
        </w:rPr>
        <w:t>Office of Educational Improvement. Available on: https://www.mcw.edu/-/media/MCW/Education/Academic-Affairs/OEI/Faculty-Quick-Guides/Sociocultural-Theory-of-Cognitive-Development.pdf. (Accessed 15th March 2025).</w:t>
      </w:r>
      <w:hyperlink r:id="rId15" w:tgtFrame="_new" w:history="1"/>
    </w:p>
    <w:p w14:paraId="362BB4CB" w14:textId="77777777" w:rsidR="00BA7BF9" w:rsidRPr="00BA7BF9" w:rsidRDefault="00BA7BF9" w:rsidP="00FD2866">
      <w:pPr>
        <w:pStyle w:val="NormalWeb"/>
        <w:rPr>
          <w:rFonts w:ascii="Arial" w:eastAsiaTheme="majorEastAsia" w:hAnsi="Arial" w:cs="Arial"/>
          <w:color w:val="000000"/>
          <w:sz w:val="22"/>
          <w:szCs w:val="22"/>
        </w:rPr>
      </w:pPr>
      <w:r w:rsidRPr="00BA7BF9">
        <w:rPr>
          <w:rFonts w:ascii="Arial" w:hAnsi="Arial" w:cs="Arial"/>
          <w:color w:val="000000"/>
          <w:sz w:val="22"/>
          <w:szCs w:val="22"/>
        </w:rPr>
        <w:t xml:space="preserve">Melhuish, E. and Gardiner, J. (2018) </w:t>
      </w:r>
      <w:r w:rsidRPr="00BA7BF9">
        <w:rPr>
          <w:rStyle w:val="Emphasis"/>
          <w:rFonts w:ascii="Arial" w:eastAsiaTheme="majorEastAsia" w:hAnsi="Arial" w:cs="Arial"/>
          <w:color w:val="000000"/>
          <w:sz w:val="22"/>
          <w:szCs w:val="22"/>
        </w:rPr>
        <w:t xml:space="preserve">A Study of Early Education and Development (SEED): The impact of early childhood education and care on child outcomes. </w:t>
      </w:r>
      <w:r w:rsidRPr="00BA7BF9">
        <w:rPr>
          <w:rFonts w:ascii="Arial" w:hAnsi="Arial" w:cs="Arial"/>
          <w:color w:val="000000"/>
          <w:sz w:val="22"/>
          <w:szCs w:val="22"/>
        </w:rPr>
        <w:t xml:space="preserve">Available on: </w:t>
      </w:r>
      <w:hyperlink r:id="rId16" w:history="1">
        <w:r w:rsidRPr="00BA7BF9">
          <w:rPr>
            <w:rStyle w:val="Hyperlink"/>
            <w:rFonts w:ascii="Arial" w:eastAsiaTheme="majorEastAsia" w:hAnsi="Arial" w:cs="Arial"/>
            <w:sz w:val="22"/>
            <w:szCs w:val="22"/>
          </w:rPr>
          <w:t>https://assets.publishing.service.gov.uk/media/61964e22e90e07043c35f311/SEED-Age_4_RESEARCH_REPORT.pdf</w:t>
        </w:r>
      </w:hyperlink>
      <w:r w:rsidRPr="00BA7BF9">
        <w:rPr>
          <w:rStyle w:val="apple-converted-space"/>
          <w:rFonts w:ascii="Arial" w:eastAsiaTheme="majorEastAsia" w:hAnsi="Arial" w:cs="Arial"/>
          <w:color w:val="000000"/>
          <w:sz w:val="22"/>
          <w:szCs w:val="22"/>
        </w:rPr>
        <w:t xml:space="preserve"> </w:t>
      </w:r>
      <w:r w:rsidRPr="00BA7BF9">
        <w:rPr>
          <w:rFonts w:ascii="Arial" w:hAnsi="Arial" w:cs="Arial"/>
          <w:color w:val="000000"/>
          <w:sz w:val="22"/>
          <w:szCs w:val="22"/>
        </w:rPr>
        <w:t xml:space="preserve"> (Accessed 15th March 2025).</w:t>
      </w:r>
    </w:p>
    <w:p w14:paraId="45C39607" w14:textId="77777777" w:rsidR="00BA7BF9" w:rsidRPr="00BA7BF9" w:rsidRDefault="00BA7BF9" w:rsidP="00FD2866">
      <w:pPr>
        <w:pStyle w:val="NormalWeb"/>
        <w:rPr>
          <w:rFonts w:ascii="Arial" w:hAnsi="Arial" w:cs="Arial"/>
          <w:color w:val="000000"/>
          <w:sz w:val="22"/>
          <w:szCs w:val="22"/>
          <w:lang w:val="pt-PT"/>
        </w:rPr>
      </w:pPr>
      <w:r w:rsidRPr="00605356">
        <w:rPr>
          <w:rFonts w:ascii="Arial" w:hAnsi="Arial" w:cs="Arial"/>
          <w:color w:val="000000"/>
          <w:sz w:val="22"/>
          <w:szCs w:val="22"/>
        </w:rPr>
        <w:t xml:space="preserve">Nursery World (2012) </w:t>
      </w:r>
      <w:r w:rsidRPr="00605356">
        <w:rPr>
          <w:rStyle w:val="Emphasis"/>
          <w:rFonts w:ascii="Arial" w:eastAsiaTheme="majorEastAsia" w:hAnsi="Arial" w:cs="Arial"/>
          <w:color w:val="000000"/>
          <w:sz w:val="22"/>
          <w:szCs w:val="22"/>
        </w:rPr>
        <w:t xml:space="preserve">Quality improvement in early years settings: A resource for professionals. </w:t>
      </w:r>
      <w:r w:rsidRPr="00BA7BF9">
        <w:rPr>
          <w:rFonts w:ascii="Arial" w:hAnsi="Arial" w:cs="Arial"/>
          <w:color w:val="000000"/>
          <w:sz w:val="22"/>
          <w:szCs w:val="22"/>
          <w:lang w:val="pt-PT"/>
        </w:rPr>
        <w:t xml:space="preserve">Ar gael ar: </w:t>
      </w:r>
      <w:hyperlink r:id="rId17" w:tgtFrame="_new" w:history="1">
        <w:r w:rsidRPr="00BA7BF9">
          <w:rPr>
            <w:rStyle w:val="Hyperlink"/>
            <w:rFonts w:ascii="Arial" w:eastAsiaTheme="majorEastAsia" w:hAnsi="Arial" w:cs="Arial"/>
            <w:sz w:val="22"/>
            <w:szCs w:val="22"/>
            <w:lang w:val="pt-PT"/>
          </w:rPr>
          <w:t>https://www.nurseryworld.co.uk</w:t>
        </w:r>
      </w:hyperlink>
      <w:r w:rsidRPr="00BA7BF9">
        <w:rPr>
          <w:rFonts w:ascii="Arial" w:hAnsi="Arial" w:cs="Arial"/>
          <w:color w:val="000000"/>
          <w:sz w:val="22"/>
          <w:szCs w:val="22"/>
          <w:lang w:val="pt-PT"/>
        </w:rPr>
        <w:t>. (</w:t>
      </w:r>
      <w:proofErr w:type="spellStart"/>
      <w:r w:rsidRPr="00BA7BF9">
        <w:rPr>
          <w:rFonts w:ascii="Arial" w:hAnsi="Arial" w:cs="Arial"/>
          <w:color w:val="000000"/>
          <w:sz w:val="22"/>
          <w:szCs w:val="22"/>
          <w:lang w:val="pt-PT"/>
        </w:rPr>
        <w:t>Cyrchwyd</w:t>
      </w:r>
      <w:proofErr w:type="spellEnd"/>
      <w:r w:rsidRPr="00BA7BF9">
        <w:rPr>
          <w:rFonts w:ascii="Arial" w:hAnsi="Arial" w:cs="Arial"/>
          <w:color w:val="000000"/>
          <w:sz w:val="22"/>
          <w:szCs w:val="22"/>
          <w:lang w:val="pt-PT"/>
        </w:rPr>
        <w:t xml:space="preserve"> 15fed o </w:t>
      </w:r>
      <w:proofErr w:type="spellStart"/>
      <w:r w:rsidRPr="00BA7BF9">
        <w:rPr>
          <w:rFonts w:ascii="Arial" w:hAnsi="Arial" w:cs="Arial"/>
          <w:color w:val="000000"/>
          <w:sz w:val="22"/>
          <w:szCs w:val="22"/>
          <w:lang w:val="pt-PT"/>
        </w:rPr>
        <w:t>Fawrth</w:t>
      </w:r>
      <w:proofErr w:type="spellEnd"/>
      <w:r w:rsidRPr="00BA7BF9">
        <w:rPr>
          <w:rFonts w:ascii="Arial" w:hAnsi="Arial" w:cs="Arial"/>
          <w:color w:val="000000"/>
          <w:sz w:val="22"/>
          <w:szCs w:val="22"/>
          <w:lang w:val="pt-PT"/>
        </w:rPr>
        <w:t xml:space="preserve"> 2025).</w:t>
      </w:r>
    </w:p>
    <w:p w14:paraId="03DE23FD" w14:textId="77777777" w:rsidR="00CD5AAD" w:rsidRPr="00605356" w:rsidRDefault="00CD5AAD" w:rsidP="006F5D16">
      <w:pPr>
        <w:pStyle w:val="NormalWeb"/>
        <w:rPr>
          <w:rFonts w:ascii="Arial" w:hAnsi="Arial" w:cs="Arial"/>
          <w:color w:val="000000"/>
          <w:sz w:val="22"/>
          <w:szCs w:val="22"/>
        </w:rPr>
      </w:pPr>
      <w:proofErr w:type="spellStart"/>
      <w:r w:rsidRPr="00BA7BF9">
        <w:rPr>
          <w:rFonts w:ascii="Arial" w:hAnsi="Arial" w:cs="Arial"/>
          <w:color w:val="000000"/>
          <w:sz w:val="22"/>
          <w:szCs w:val="22"/>
          <w:lang w:val="pt-PT"/>
        </w:rPr>
        <w:t>Palaiologou</w:t>
      </w:r>
      <w:proofErr w:type="spellEnd"/>
      <w:r w:rsidRPr="00BA7BF9">
        <w:rPr>
          <w:rFonts w:ascii="Arial" w:hAnsi="Arial" w:cs="Arial"/>
          <w:color w:val="000000"/>
          <w:sz w:val="22"/>
          <w:szCs w:val="22"/>
          <w:lang w:val="pt-PT"/>
        </w:rPr>
        <w:t xml:space="preserve">, I. (2023). </w:t>
      </w:r>
      <w:proofErr w:type="spellStart"/>
      <w:r w:rsidRPr="00BA7BF9">
        <w:rPr>
          <w:rFonts w:ascii="Arial" w:hAnsi="Arial" w:cs="Arial"/>
          <w:color w:val="000000"/>
          <w:sz w:val="22"/>
          <w:szCs w:val="22"/>
          <w:lang w:val="pt-PT"/>
        </w:rPr>
        <w:t>Darpariaeth</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ymarfer</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ac</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ansawdd</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plentyndod</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cynnar</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amwysedd</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ystyr</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ansawdd</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Cyfnodolyn</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Rhyngwladol</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Addysg</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Blynyddoedd</w:t>
      </w:r>
      <w:proofErr w:type="spellEnd"/>
      <w:r w:rsidRPr="00BA7BF9">
        <w:rPr>
          <w:rFonts w:ascii="Arial" w:hAnsi="Arial" w:cs="Arial"/>
          <w:color w:val="000000"/>
          <w:sz w:val="22"/>
          <w:szCs w:val="22"/>
          <w:lang w:val="pt-PT"/>
        </w:rPr>
        <w:t xml:space="preserve"> </w:t>
      </w:r>
      <w:proofErr w:type="spellStart"/>
      <w:r w:rsidRPr="00BA7BF9">
        <w:rPr>
          <w:rFonts w:ascii="Arial" w:hAnsi="Arial" w:cs="Arial"/>
          <w:color w:val="000000"/>
          <w:sz w:val="22"/>
          <w:szCs w:val="22"/>
          <w:lang w:val="pt-PT"/>
        </w:rPr>
        <w:t>Cynnar</w:t>
      </w:r>
      <w:proofErr w:type="spellEnd"/>
      <w:r w:rsidRPr="00BA7BF9">
        <w:rPr>
          <w:rFonts w:ascii="Arial" w:hAnsi="Arial" w:cs="Arial"/>
          <w:color w:val="000000"/>
          <w:sz w:val="22"/>
          <w:szCs w:val="22"/>
          <w:lang w:val="pt-PT"/>
        </w:rPr>
        <w:t xml:space="preserve">, 31(4), 839–843. Ar gael ar: </w:t>
      </w:r>
      <w:hyperlink r:id="rId18" w:history="1">
        <w:r w:rsidRPr="00BA7BF9">
          <w:rPr>
            <w:rStyle w:val="Hyperlink"/>
            <w:rFonts w:ascii="Arial" w:hAnsi="Arial" w:cs="Arial"/>
            <w:sz w:val="22"/>
            <w:szCs w:val="22"/>
            <w:lang w:val="pt-PT"/>
          </w:rPr>
          <w:t>https://doi.org/10.1080/09669760.2023.2275413</w:t>
        </w:r>
      </w:hyperlink>
      <w:r w:rsidRPr="00BA7BF9">
        <w:rPr>
          <w:rFonts w:ascii="Arial" w:hAnsi="Arial" w:cs="Arial"/>
          <w:color w:val="000000"/>
          <w:sz w:val="22"/>
          <w:szCs w:val="22"/>
          <w:lang w:val="pt-PT"/>
        </w:rPr>
        <w:t xml:space="preserve">. </w:t>
      </w:r>
      <w:r w:rsidRPr="00605356">
        <w:rPr>
          <w:rFonts w:ascii="Arial" w:hAnsi="Arial" w:cs="Arial"/>
          <w:color w:val="000000"/>
          <w:sz w:val="22"/>
          <w:szCs w:val="22"/>
        </w:rPr>
        <w:t xml:space="preserve">(Cyrchwyd 14eg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7C1755CE" w14:textId="77777777" w:rsidR="00CD5AAD" w:rsidRPr="00BA7BF9" w:rsidRDefault="00CD5AAD" w:rsidP="006F5D16">
      <w:pPr>
        <w:pStyle w:val="NormalWeb"/>
        <w:rPr>
          <w:rFonts w:ascii="Arial" w:hAnsi="Arial" w:cs="Arial"/>
          <w:color w:val="000000"/>
          <w:sz w:val="22"/>
          <w:szCs w:val="22"/>
          <w:lang w:val="pt-PT"/>
        </w:rPr>
      </w:pPr>
      <w:proofErr w:type="spellStart"/>
      <w:r w:rsidRPr="00605356">
        <w:rPr>
          <w:rStyle w:val="Strong"/>
          <w:rFonts w:ascii="Arial" w:eastAsiaTheme="majorEastAsia" w:hAnsi="Arial" w:cs="Arial"/>
          <w:b w:val="0"/>
          <w:bCs w:val="0"/>
          <w:color w:val="000000"/>
          <w:sz w:val="22"/>
          <w:szCs w:val="22"/>
        </w:rPr>
        <w:lastRenderedPageBreak/>
        <w:t>Preidyte</w:t>
      </w:r>
      <w:proofErr w:type="spellEnd"/>
      <w:r w:rsidRPr="00605356">
        <w:rPr>
          <w:rStyle w:val="Strong"/>
          <w:rFonts w:ascii="Arial" w:eastAsiaTheme="majorEastAsia" w:hAnsi="Arial" w:cs="Arial"/>
          <w:b w:val="0"/>
          <w:bCs w:val="0"/>
          <w:color w:val="000000"/>
          <w:sz w:val="22"/>
          <w:szCs w:val="22"/>
        </w:rPr>
        <w:t xml:space="preserve">, K. (2024) </w:t>
      </w:r>
      <w:r w:rsidRPr="00605356">
        <w:rPr>
          <w:rFonts w:ascii="Arial" w:hAnsi="Arial" w:cs="Arial"/>
          <w:color w:val="000000"/>
          <w:sz w:val="22"/>
          <w:szCs w:val="22"/>
        </w:rPr>
        <w:t xml:space="preserve">'Hatching Dragons', </w:t>
      </w:r>
      <w:r w:rsidRPr="00605356">
        <w:rPr>
          <w:rStyle w:val="Emphasis"/>
          <w:rFonts w:ascii="Arial" w:eastAsiaTheme="majorEastAsia" w:hAnsi="Arial" w:cs="Arial"/>
          <w:color w:val="000000"/>
          <w:sz w:val="22"/>
          <w:szCs w:val="22"/>
        </w:rPr>
        <w:t xml:space="preserve">Exploring the Te Whāriki Approach to Early Years </w:t>
      </w:r>
      <w:r w:rsidRPr="00605356">
        <w:rPr>
          <w:rFonts w:ascii="Arial" w:hAnsi="Arial" w:cs="Arial"/>
          <w:color w:val="000000"/>
          <w:sz w:val="22"/>
          <w:szCs w:val="22"/>
        </w:rPr>
        <w:t xml:space="preserve">Education, 31 Rhagfyr. </w:t>
      </w:r>
      <w:r w:rsidRPr="00BA7BF9">
        <w:rPr>
          <w:rFonts w:ascii="Arial" w:hAnsi="Arial" w:cs="Arial"/>
          <w:color w:val="000000"/>
          <w:sz w:val="22"/>
          <w:szCs w:val="22"/>
          <w:lang w:val="pt-PT"/>
        </w:rPr>
        <w:t xml:space="preserve">Ar gael ar: </w:t>
      </w:r>
      <w:hyperlink r:id="rId19" w:anchor=":~:text=The%20Woven%20Mat:%20Understanding%20the,a%20lifelong%20love%20of%20learning" w:tgtFrame="_new" w:history="1">
        <w:r w:rsidRPr="00BA7BF9">
          <w:rPr>
            <w:rStyle w:val="Hyperlink"/>
            <w:rFonts w:ascii="Arial" w:eastAsiaTheme="majorEastAsia" w:hAnsi="Arial" w:cs="Arial"/>
            <w:sz w:val="22"/>
            <w:szCs w:val="22"/>
            <w:lang w:val="pt-PT"/>
          </w:rPr>
          <w:t>https://www.hatching-dragons.com/en-gb/blog/exploring-the-te-wh%C4%81riki-approach-to-early-years-education#:~:text=The%20Woven%20Mat:%20Understanding%20the,a%20lifelong%20love%20of%20learning</w:t>
        </w:r>
      </w:hyperlink>
      <w:r w:rsidRPr="00BA7BF9">
        <w:rPr>
          <w:rFonts w:ascii="Arial" w:hAnsi="Arial" w:cs="Arial"/>
          <w:sz w:val="22"/>
          <w:szCs w:val="22"/>
          <w:lang w:val="pt-PT"/>
        </w:rPr>
        <w:t xml:space="preserve">. </w:t>
      </w:r>
      <w:r w:rsidRPr="00BA7BF9">
        <w:rPr>
          <w:rFonts w:ascii="Arial" w:hAnsi="Arial" w:cs="Arial"/>
          <w:color w:val="000000"/>
          <w:sz w:val="22"/>
          <w:szCs w:val="22"/>
          <w:lang w:val="pt-PT"/>
        </w:rPr>
        <w:t>(</w:t>
      </w:r>
      <w:proofErr w:type="spellStart"/>
      <w:r w:rsidRPr="00BA7BF9">
        <w:rPr>
          <w:rFonts w:ascii="Arial" w:hAnsi="Arial" w:cs="Arial"/>
          <w:color w:val="000000"/>
          <w:sz w:val="22"/>
          <w:szCs w:val="22"/>
          <w:lang w:val="pt-PT"/>
        </w:rPr>
        <w:t>Cyrchwyd</w:t>
      </w:r>
      <w:proofErr w:type="spellEnd"/>
      <w:r w:rsidRPr="00BA7BF9">
        <w:rPr>
          <w:rFonts w:ascii="Arial" w:hAnsi="Arial" w:cs="Arial"/>
          <w:color w:val="000000"/>
          <w:sz w:val="22"/>
          <w:szCs w:val="22"/>
          <w:lang w:val="pt-PT"/>
        </w:rPr>
        <w:t xml:space="preserve"> 15fed o </w:t>
      </w:r>
      <w:proofErr w:type="spellStart"/>
      <w:r w:rsidRPr="00BA7BF9">
        <w:rPr>
          <w:rFonts w:ascii="Arial" w:hAnsi="Arial" w:cs="Arial"/>
          <w:color w:val="000000"/>
          <w:sz w:val="22"/>
          <w:szCs w:val="22"/>
          <w:lang w:val="pt-PT"/>
        </w:rPr>
        <w:t>Fawrth</w:t>
      </w:r>
      <w:proofErr w:type="spellEnd"/>
      <w:r w:rsidRPr="00BA7BF9">
        <w:rPr>
          <w:rFonts w:ascii="Arial" w:hAnsi="Arial" w:cs="Arial"/>
          <w:color w:val="000000"/>
          <w:sz w:val="22"/>
          <w:szCs w:val="22"/>
          <w:lang w:val="pt-PT"/>
        </w:rPr>
        <w:t xml:space="preserve"> 2025).</w:t>
      </w:r>
    </w:p>
    <w:p w14:paraId="2AC5D210" w14:textId="77777777" w:rsidR="00BA7BF9" w:rsidRPr="00BA7BF9" w:rsidRDefault="00BA7BF9" w:rsidP="005335CB">
      <w:pPr>
        <w:pStyle w:val="NormalWeb"/>
        <w:rPr>
          <w:rFonts w:ascii="Arial" w:hAnsi="Arial" w:cs="Arial"/>
          <w:color w:val="000000"/>
          <w:sz w:val="22"/>
          <w:szCs w:val="22"/>
        </w:rPr>
      </w:pPr>
      <w:r w:rsidRPr="00BA7BF9">
        <w:rPr>
          <w:rFonts w:ascii="Arial" w:hAnsi="Arial" w:cs="Arial"/>
          <w:color w:val="000000"/>
          <w:sz w:val="22"/>
          <w:szCs w:val="22"/>
          <w:lang w:val="fi-FI"/>
        </w:rPr>
        <w:t xml:space="preserve">Sakai, L. M. et al. </w:t>
      </w:r>
      <w:r w:rsidRPr="00BA7BF9">
        <w:rPr>
          <w:rFonts w:ascii="Arial" w:hAnsi="Arial" w:cs="Arial"/>
          <w:color w:val="000000"/>
          <w:sz w:val="22"/>
          <w:szCs w:val="22"/>
        </w:rPr>
        <w:t xml:space="preserve">(2003) 'Evaluating the Early Childhood Environment Scoring Scale (ECERS): Assessing differences between the first and revised editions', </w:t>
      </w:r>
      <w:r w:rsidRPr="00BA7BF9">
        <w:rPr>
          <w:rStyle w:val="Emphasis"/>
          <w:rFonts w:ascii="Arial" w:eastAsiaTheme="majorEastAsia" w:hAnsi="Arial" w:cs="Arial"/>
          <w:color w:val="000000"/>
          <w:sz w:val="22"/>
          <w:szCs w:val="22"/>
        </w:rPr>
        <w:t xml:space="preserve">Early Childhood Research Quarterly, </w:t>
      </w:r>
      <w:r w:rsidRPr="00BA7BF9">
        <w:rPr>
          <w:rFonts w:ascii="Arial" w:hAnsi="Arial" w:cs="Arial"/>
          <w:color w:val="000000"/>
          <w:sz w:val="22"/>
          <w:szCs w:val="22"/>
        </w:rPr>
        <w:t xml:space="preserve">18(4), pp. 427–445. Available on: </w:t>
      </w:r>
      <w:hyperlink r:id="rId20" w:tgtFrame="_new" w:history="1">
        <w:r w:rsidRPr="00BA7BF9">
          <w:rPr>
            <w:rStyle w:val="Hyperlink"/>
            <w:rFonts w:ascii="Arial" w:eastAsiaTheme="majorEastAsia" w:hAnsi="Arial" w:cs="Arial"/>
            <w:sz w:val="22"/>
            <w:szCs w:val="22"/>
          </w:rPr>
          <w:t>https://doi.org/10.1016/j.ecresq.2003.09.004</w:t>
        </w:r>
      </w:hyperlink>
      <w:r w:rsidRPr="00BA7BF9">
        <w:rPr>
          <w:rFonts w:ascii="Arial" w:hAnsi="Arial" w:cs="Arial"/>
          <w:color w:val="000000"/>
          <w:sz w:val="22"/>
          <w:szCs w:val="22"/>
        </w:rPr>
        <w:t>. (Accessed 15th March 2025).</w:t>
      </w:r>
    </w:p>
    <w:p w14:paraId="02186E15" w14:textId="77777777" w:rsidR="00BA7BF9" w:rsidRPr="00BA7BF9" w:rsidRDefault="00BA7BF9" w:rsidP="005335CB">
      <w:pPr>
        <w:pStyle w:val="NormalWeb"/>
        <w:rPr>
          <w:rFonts w:ascii="Arial" w:hAnsi="Arial" w:cs="Arial"/>
          <w:color w:val="000000"/>
          <w:sz w:val="22"/>
          <w:szCs w:val="22"/>
          <w:lang w:val="pt-PT"/>
        </w:rPr>
      </w:pPr>
      <w:proofErr w:type="spellStart"/>
      <w:r w:rsidRPr="00605356">
        <w:rPr>
          <w:rFonts w:ascii="Arial" w:hAnsi="Arial" w:cs="Arial"/>
          <w:color w:val="000000"/>
          <w:sz w:val="22"/>
          <w:szCs w:val="22"/>
        </w:rPr>
        <w:t>Setodji</w:t>
      </w:r>
      <w:proofErr w:type="spellEnd"/>
      <w:r w:rsidRPr="00605356">
        <w:rPr>
          <w:rFonts w:ascii="Arial" w:hAnsi="Arial" w:cs="Arial"/>
          <w:color w:val="000000"/>
          <w:sz w:val="22"/>
          <w:szCs w:val="22"/>
        </w:rPr>
        <w:t xml:space="preserve">, CM, Schaack, D. a Le, V.-N. (2018) 'Using the Early Childhood Environment Rating Scale-Revised in high-stakes contexts: Does evidence warrant the practice?', </w:t>
      </w:r>
      <w:r w:rsidRPr="00605356">
        <w:rPr>
          <w:rStyle w:val="Emphasis"/>
          <w:rFonts w:ascii="Arial" w:eastAsiaTheme="majorEastAsia" w:hAnsi="Arial" w:cs="Arial"/>
          <w:color w:val="000000"/>
          <w:sz w:val="22"/>
          <w:szCs w:val="22"/>
        </w:rPr>
        <w:t xml:space="preserve">Early Childhood Research Quarterly, </w:t>
      </w:r>
      <w:r w:rsidRPr="00605356">
        <w:rPr>
          <w:rFonts w:ascii="Arial" w:hAnsi="Arial" w:cs="Arial"/>
          <w:color w:val="000000"/>
          <w:sz w:val="22"/>
          <w:szCs w:val="22"/>
        </w:rPr>
        <w:t xml:space="preserve">42, </w:t>
      </w:r>
      <w:proofErr w:type="spellStart"/>
      <w:r w:rsidRPr="00605356">
        <w:rPr>
          <w:rFonts w:ascii="Arial" w:hAnsi="Arial" w:cs="Arial"/>
          <w:color w:val="000000"/>
          <w:sz w:val="22"/>
          <w:szCs w:val="22"/>
        </w:rPr>
        <w:t>tt</w:t>
      </w:r>
      <w:proofErr w:type="spellEnd"/>
      <w:r w:rsidRPr="00605356">
        <w:rPr>
          <w:rFonts w:ascii="Arial" w:hAnsi="Arial" w:cs="Arial"/>
          <w:color w:val="000000"/>
          <w:sz w:val="22"/>
          <w:szCs w:val="22"/>
        </w:rPr>
        <w:t xml:space="preserve">. 158–169. </w:t>
      </w:r>
      <w:r w:rsidRPr="00BA7BF9">
        <w:rPr>
          <w:rFonts w:ascii="Arial" w:hAnsi="Arial" w:cs="Arial"/>
          <w:color w:val="000000"/>
          <w:sz w:val="22"/>
          <w:szCs w:val="22"/>
          <w:lang w:val="pt-PT"/>
        </w:rPr>
        <w:t xml:space="preserve">Ar gael ar: </w:t>
      </w:r>
      <w:hyperlink r:id="rId21" w:tgtFrame="_new" w:history="1">
        <w:r w:rsidRPr="00BA7BF9">
          <w:rPr>
            <w:rStyle w:val="Hyperlink"/>
            <w:rFonts w:ascii="Arial" w:eastAsiaTheme="majorEastAsia" w:hAnsi="Arial" w:cs="Arial"/>
            <w:sz w:val="22"/>
            <w:szCs w:val="22"/>
            <w:lang w:val="pt-PT"/>
          </w:rPr>
          <w:t>https://doi.org/10.1016/j.ecresq.2017.10.001</w:t>
        </w:r>
      </w:hyperlink>
      <w:r w:rsidRPr="00BA7BF9">
        <w:rPr>
          <w:rFonts w:ascii="Arial" w:hAnsi="Arial" w:cs="Arial"/>
          <w:color w:val="000000"/>
          <w:sz w:val="22"/>
          <w:szCs w:val="22"/>
          <w:lang w:val="pt-PT"/>
        </w:rPr>
        <w:t>. (Cyrchwyd 15fed o Fawrth 2025).</w:t>
      </w:r>
    </w:p>
    <w:p w14:paraId="7E43CCEE" w14:textId="77777777" w:rsidR="00BA7BF9" w:rsidRPr="00BA7BF9" w:rsidRDefault="00BA7BF9" w:rsidP="005335CB">
      <w:pPr>
        <w:rPr>
          <w:rFonts w:ascii="Arial" w:hAnsi="Arial" w:cs="Arial"/>
          <w:sz w:val="22"/>
          <w:szCs w:val="22"/>
        </w:rPr>
      </w:pPr>
      <w:r w:rsidRPr="00BA7BF9">
        <w:rPr>
          <w:rStyle w:val="Strong"/>
          <w:rFonts w:ascii="Arial" w:hAnsi="Arial" w:cs="Arial"/>
          <w:b w:val="0"/>
          <w:bCs w:val="0"/>
          <w:color w:val="000000"/>
          <w:sz w:val="22"/>
          <w:szCs w:val="22"/>
        </w:rPr>
        <w:t>Sylva, K</w:t>
      </w:r>
      <w:r w:rsidRPr="00BA7BF9">
        <w:rPr>
          <w:rStyle w:val="Strong"/>
          <w:rFonts w:ascii="Arial" w:hAnsi="Arial" w:cs="Arial"/>
          <w:b w:val="0"/>
          <w:bCs w:val="0"/>
          <w:i/>
          <w:iCs/>
          <w:color w:val="000000"/>
          <w:sz w:val="22"/>
          <w:szCs w:val="22"/>
        </w:rPr>
        <w:t>. et al.</w:t>
      </w:r>
      <w:r w:rsidRPr="00BA7BF9">
        <w:rPr>
          <w:rStyle w:val="Strong"/>
          <w:rFonts w:ascii="Arial" w:hAnsi="Arial" w:cs="Arial"/>
          <w:b w:val="0"/>
          <w:bCs w:val="0"/>
          <w:color w:val="000000"/>
          <w:sz w:val="22"/>
          <w:szCs w:val="22"/>
        </w:rPr>
        <w:t xml:space="preserve"> (1997) </w:t>
      </w:r>
      <w:r w:rsidRPr="00BA7BF9">
        <w:rPr>
          <w:rStyle w:val="Emphasis"/>
          <w:rFonts w:ascii="Arial" w:hAnsi="Arial" w:cs="Arial"/>
          <w:color w:val="000000"/>
          <w:sz w:val="22"/>
          <w:szCs w:val="22"/>
        </w:rPr>
        <w:t>Effective Provision of Pre-school Education (EPPE) Project.</w:t>
      </w:r>
      <w:r w:rsidRPr="00BA7BF9">
        <w:rPr>
          <w:rFonts w:ascii="Arial" w:hAnsi="Arial" w:cs="Arial"/>
          <w:sz w:val="22"/>
          <w:szCs w:val="22"/>
        </w:rPr>
        <w:t xml:space="preserve"> Available on: </w:t>
      </w:r>
      <w:hyperlink r:id="rId22" w:tgtFrame="_new" w:history="1">
        <w:r w:rsidRPr="00BA7BF9">
          <w:rPr>
            <w:rStyle w:val="Hyperlink"/>
            <w:rFonts w:ascii="Arial" w:hAnsi="Arial" w:cs="Arial"/>
            <w:sz w:val="22"/>
            <w:szCs w:val="22"/>
          </w:rPr>
          <w:t>https://discovery.ucl.ac.uk/id/eprint/10005308/1/EPPE12Sylva2004Effective.pdf</w:t>
        </w:r>
      </w:hyperlink>
      <w:r w:rsidRPr="00BA7BF9">
        <w:rPr>
          <w:rStyle w:val="apple-converted-space"/>
          <w:rFonts w:ascii="Arial" w:hAnsi="Arial" w:cs="Arial"/>
          <w:color w:val="000000"/>
          <w:sz w:val="22"/>
          <w:szCs w:val="22"/>
        </w:rPr>
        <w:t xml:space="preserve">             </w:t>
      </w:r>
      <w:r w:rsidRPr="00BA7BF9">
        <w:rPr>
          <w:rFonts w:ascii="Arial" w:hAnsi="Arial" w:cs="Arial"/>
          <w:sz w:val="22"/>
          <w:szCs w:val="22"/>
        </w:rPr>
        <w:t>(Accessed 14th March 2025).</w:t>
      </w:r>
    </w:p>
    <w:p w14:paraId="0A19B43D" w14:textId="77777777" w:rsidR="00BA7BF9" w:rsidRPr="00BA7BF9" w:rsidRDefault="00BA7BF9" w:rsidP="005335CB">
      <w:pPr>
        <w:pStyle w:val="NormalWeb"/>
        <w:rPr>
          <w:rFonts w:ascii="Arial" w:hAnsi="Arial" w:cs="Arial"/>
          <w:color w:val="000000"/>
          <w:sz w:val="22"/>
          <w:szCs w:val="22"/>
        </w:rPr>
      </w:pPr>
      <w:r w:rsidRPr="00BA7BF9">
        <w:rPr>
          <w:rStyle w:val="Strong"/>
          <w:rFonts w:ascii="Arial" w:eastAsiaTheme="majorEastAsia" w:hAnsi="Arial" w:cs="Arial"/>
          <w:b w:val="0"/>
          <w:bCs w:val="0"/>
          <w:color w:val="000000"/>
          <w:sz w:val="22"/>
          <w:szCs w:val="22"/>
        </w:rPr>
        <w:t xml:space="preserve">Taggart, B. </w:t>
      </w:r>
      <w:r w:rsidRPr="00BA7BF9">
        <w:rPr>
          <w:rStyle w:val="Strong"/>
          <w:rFonts w:ascii="Arial" w:eastAsiaTheme="majorEastAsia" w:hAnsi="Arial" w:cs="Arial"/>
          <w:b w:val="0"/>
          <w:bCs w:val="0"/>
          <w:i/>
          <w:iCs/>
          <w:color w:val="000000"/>
          <w:sz w:val="22"/>
          <w:szCs w:val="22"/>
        </w:rPr>
        <w:t>et al.</w:t>
      </w:r>
      <w:r w:rsidRPr="00BA7BF9">
        <w:rPr>
          <w:rStyle w:val="Strong"/>
          <w:rFonts w:ascii="Arial" w:eastAsiaTheme="majorEastAsia" w:hAnsi="Arial" w:cs="Arial"/>
          <w:b w:val="0"/>
          <w:bCs w:val="0"/>
          <w:color w:val="000000"/>
          <w:sz w:val="22"/>
          <w:szCs w:val="22"/>
        </w:rPr>
        <w:t xml:space="preserve"> (2015) </w:t>
      </w:r>
      <w:r w:rsidRPr="00BA7BF9">
        <w:rPr>
          <w:rStyle w:val="Emphasis"/>
          <w:rFonts w:ascii="Arial" w:eastAsiaTheme="majorEastAsia" w:hAnsi="Arial" w:cs="Arial"/>
          <w:color w:val="000000"/>
          <w:sz w:val="22"/>
          <w:szCs w:val="22"/>
        </w:rPr>
        <w:t>Effective Pre-school, Primary and Secondary Education Project (EPPSE 3-16+).</w:t>
      </w:r>
      <w:r w:rsidRPr="00BA7BF9">
        <w:rPr>
          <w:rFonts w:ascii="Arial" w:hAnsi="Arial" w:cs="Arial"/>
          <w:color w:val="000000"/>
          <w:sz w:val="22"/>
          <w:szCs w:val="22"/>
        </w:rPr>
        <w:t xml:space="preserve"> Available on: </w:t>
      </w:r>
      <w:hyperlink r:id="rId23" w:tgtFrame="_new" w:history="1">
        <w:r w:rsidRPr="00BA7BF9">
          <w:rPr>
            <w:rStyle w:val="Hyperlink"/>
            <w:rFonts w:ascii="Arial" w:eastAsiaTheme="majorEastAsia" w:hAnsi="Arial" w:cs="Arial"/>
            <w:sz w:val="22"/>
            <w:szCs w:val="22"/>
          </w:rPr>
          <w:t>https://assets.publishing.service.gov.uk/media/5a803cb240f0b62305b89fbf/RB455_Effective_pre-school_primary_and_secondary_education_project.pdf.pdf</w:t>
        </w:r>
      </w:hyperlink>
      <w:r w:rsidRPr="00BA7BF9">
        <w:rPr>
          <w:rStyle w:val="apple-converted-space"/>
          <w:rFonts w:ascii="Arial" w:eastAsiaTheme="majorEastAsia" w:hAnsi="Arial" w:cs="Arial"/>
          <w:color w:val="000000"/>
          <w:sz w:val="22"/>
          <w:szCs w:val="22"/>
        </w:rPr>
        <w:t> </w:t>
      </w:r>
      <w:r w:rsidRPr="00BA7BF9">
        <w:rPr>
          <w:rFonts w:ascii="Arial" w:hAnsi="Arial" w:cs="Arial"/>
          <w:color w:val="000000"/>
          <w:sz w:val="22"/>
          <w:szCs w:val="22"/>
        </w:rPr>
        <w:t>(Accessed 14th March 2025).</w:t>
      </w:r>
    </w:p>
    <w:p w14:paraId="17243040" w14:textId="77777777" w:rsidR="00BA7BF9" w:rsidRPr="00BA7BF9" w:rsidRDefault="00BA7BF9" w:rsidP="005335CB">
      <w:pPr>
        <w:pStyle w:val="NormalWeb"/>
        <w:rPr>
          <w:rFonts w:ascii="Arial" w:hAnsi="Arial" w:cs="Arial"/>
          <w:color w:val="000000"/>
          <w:sz w:val="22"/>
          <w:szCs w:val="22"/>
        </w:rPr>
      </w:pPr>
      <w:r w:rsidRPr="00BA7BF9">
        <w:rPr>
          <w:rFonts w:ascii="Arial" w:hAnsi="Arial" w:cs="Arial"/>
          <w:color w:val="000000"/>
          <w:sz w:val="22"/>
          <w:szCs w:val="22"/>
        </w:rPr>
        <w:t xml:space="preserve">UNICEF (no date) </w:t>
      </w:r>
      <w:r w:rsidRPr="00BA7BF9">
        <w:rPr>
          <w:rStyle w:val="Emphasis"/>
          <w:rFonts w:ascii="Arial" w:eastAsiaTheme="majorEastAsia" w:hAnsi="Arial" w:cs="Arial"/>
          <w:color w:val="000000"/>
          <w:sz w:val="22"/>
          <w:szCs w:val="22"/>
        </w:rPr>
        <w:t xml:space="preserve">Ensuring quality early childhood education: A framework for improving early learning provision. </w:t>
      </w:r>
      <w:r w:rsidRPr="00BA7BF9">
        <w:rPr>
          <w:rFonts w:ascii="Arial" w:hAnsi="Arial" w:cs="Arial"/>
          <w:color w:val="000000"/>
          <w:sz w:val="22"/>
          <w:szCs w:val="22"/>
        </w:rPr>
        <w:t xml:space="preserve">Available on: </w:t>
      </w:r>
      <w:hyperlink r:id="rId24" w:tgtFrame="_new" w:history="1">
        <w:r w:rsidRPr="00BA7BF9">
          <w:rPr>
            <w:rStyle w:val="Hyperlink"/>
            <w:rFonts w:ascii="Arial" w:eastAsiaTheme="majorEastAsia" w:hAnsi="Arial" w:cs="Arial"/>
            <w:sz w:val="22"/>
            <w:szCs w:val="22"/>
          </w:rPr>
          <w:t>https://www.unicef.org</w:t>
        </w:r>
      </w:hyperlink>
      <w:r w:rsidRPr="00BA7BF9">
        <w:rPr>
          <w:rFonts w:ascii="Arial" w:hAnsi="Arial" w:cs="Arial"/>
          <w:color w:val="000000"/>
          <w:sz w:val="22"/>
          <w:szCs w:val="22"/>
        </w:rPr>
        <w:t>. (Accessed 15th March 2025).</w:t>
      </w:r>
    </w:p>
    <w:p w14:paraId="625BC18B" w14:textId="77777777" w:rsidR="00BA7BF9" w:rsidRPr="00605356" w:rsidRDefault="00BA7BF9" w:rsidP="005335CB">
      <w:pPr>
        <w:pStyle w:val="NormalWeb"/>
        <w:rPr>
          <w:rFonts w:ascii="Arial" w:hAnsi="Arial" w:cs="Arial"/>
          <w:color w:val="000000"/>
          <w:sz w:val="22"/>
          <w:szCs w:val="22"/>
        </w:rPr>
      </w:pPr>
      <w:r w:rsidRPr="00BA7BF9">
        <w:rPr>
          <w:rStyle w:val="Strong"/>
          <w:rFonts w:ascii="Arial" w:eastAsiaTheme="majorEastAsia" w:hAnsi="Arial" w:cs="Arial"/>
          <w:b w:val="0"/>
          <w:bCs w:val="0"/>
          <w:color w:val="000000"/>
          <w:sz w:val="22"/>
          <w:szCs w:val="22"/>
        </w:rPr>
        <w:t xml:space="preserve">Vermeer, H.J. </w:t>
      </w:r>
      <w:r w:rsidRPr="00BA7BF9">
        <w:rPr>
          <w:rStyle w:val="Strong"/>
          <w:rFonts w:ascii="Arial" w:eastAsiaTheme="majorEastAsia" w:hAnsi="Arial" w:cs="Arial"/>
          <w:b w:val="0"/>
          <w:bCs w:val="0"/>
          <w:i/>
          <w:iCs/>
          <w:color w:val="000000"/>
          <w:sz w:val="22"/>
          <w:szCs w:val="22"/>
        </w:rPr>
        <w:t>et al</w:t>
      </w:r>
      <w:r w:rsidRPr="00BA7BF9">
        <w:rPr>
          <w:rStyle w:val="Strong"/>
          <w:rFonts w:ascii="Arial" w:eastAsiaTheme="majorEastAsia" w:hAnsi="Arial" w:cs="Arial"/>
          <w:b w:val="0"/>
          <w:bCs w:val="0"/>
          <w:color w:val="000000"/>
          <w:sz w:val="22"/>
          <w:szCs w:val="22"/>
        </w:rPr>
        <w:t>. </w:t>
      </w:r>
      <w:r w:rsidRPr="00605356">
        <w:rPr>
          <w:rFonts w:ascii="Arial" w:hAnsi="Arial" w:cs="Arial"/>
          <w:color w:val="000000"/>
          <w:sz w:val="22"/>
          <w:szCs w:val="22"/>
        </w:rPr>
        <w:t xml:space="preserve">(2016) 'Quality of child care using the environment rating scales: A meta-analysis of international studies', </w:t>
      </w:r>
      <w:r w:rsidRPr="00605356">
        <w:rPr>
          <w:rStyle w:val="Emphasis"/>
          <w:rFonts w:ascii="Arial" w:eastAsiaTheme="majorEastAsia" w:hAnsi="Arial" w:cs="Arial"/>
          <w:color w:val="000000"/>
          <w:sz w:val="22"/>
          <w:szCs w:val="22"/>
        </w:rPr>
        <w:t>International Journal of Early Childhood</w:t>
      </w:r>
      <w:r w:rsidRPr="00605356">
        <w:rPr>
          <w:rFonts w:ascii="Arial" w:hAnsi="Arial" w:cs="Arial"/>
          <w:color w:val="000000"/>
          <w:sz w:val="22"/>
          <w:szCs w:val="22"/>
        </w:rPr>
        <w:t xml:space="preserve">, 48(1), </w:t>
      </w:r>
      <w:proofErr w:type="spellStart"/>
      <w:r w:rsidRPr="00605356">
        <w:rPr>
          <w:rFonts w:ascii="Arial" w:hAnsi="Arial" w:cs="Arial"/>
          <w:color w:val="000000"/>
          <w:sz w:val="22"/>
          <w:szCs w:val="22"/>
        </w:rPr>
        <w:t>tt</w:t>
      </w:r>
      <w:proofErr w:type="spellEnd"/>
      <w:r w:rsidRPr="00605356">
        <w:rPr>
          <w:rFonts w:ascii="Arial" w:hAnsi="Arial" w:cs="Arial"/>
          <w:color w:val="000000"/>
          <w:sz w:val="22"/>
          <w:szCs w:val="22"/>
        </w:rPr>
        <w:t>. 33–60. doi:10.1007/s13158-015-0154-9. (</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17fed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751CD778" w14:textId="77777777" w:rsidR="00BA7BF9" w:rsidRPr="00BA7BF9" w:rsidRDefault="00BA7BF9" w:rsidP="005335CB">
      <w:pPr>
        <w:pStyle w:val="NormalWeb"/>
        <w:rPr>
          <w:rFonts w:ascii="Arial" w:hAnsi="Arial" w:cs="Arial"/>
          <w:color w:val="000000"/>
          <w:sz w:val="22"/>
          <w:szCs w:val="22"/>
        </w:rPr>
      </w:pPr>
      <w:r w:rsidRPr="00605356">
        <w:rPr>
          <w:rStyle w:val="Strong"/>
          <w:rFonts w:ascii="Arial" w:eastAsiaTheme="majorEastAsia" w:hAnsi="Arial" w:cs="Arial"/>
          <w:b w:val="0"/>
          <w:bCs w:val="0"/>
          <w:color w:val="000000"/>
          <w:sz w:val="22"/>
          <w:szCs w:val="22"/>
        </w:rPr>
        <w:t>Bara Gwyn, D</w:t>
      </w:r>
      <w:r w:rsidRPr="00605356">
        <w:rPr>
          <w:rStyle w:val="Strong"/>
          <w:rFonts w:ascii="Arial" w:eastAsiaTheme="majorEastAsia" w:hAnsi="Arial" w:cs="Arial"/>
          <w:color w:val="000000"/>
          <w:sz w:val="22"/>
          <w:szCs w:val="22"/>
        </w:rPr>
        <w:t>. </w:t>
      </w:r>
      <w:r w:rsidRPr="00605356">
        <w:rPr>
          <w:rFonts w:ascii="Arial" w:hAnsi="Arial" w:cs="Arial"/>
          <w:color w:val="000000"/>
          <w:sz w:val="22"/>
          <w:szCs w:val="22"/>
        </w:rPr>
        <w:t xml:space="preserve">(2018) </w:t>
      </w:r>
      <w:r w:rsidRPr="00605356">
        <w:rPr>
          <w:rStyle w:val="Emphasis"/>
          <w:rFonts w:ascii="Arial" w:eastAsiaTheme="majorEastAsia" w:hAnsi="Arial" w:cs="Arial"/>
          <w:color w:val="000000"/>
          <w:sz w:val="22"/>
          <w:szCs w:val="22"/>
        </w:rPr>
        <w:t xml:space="preserve">The importance of play: A report on the value of children's play with a series of policy recommendations. </w:t>
      </w:r>
      <w:r w:rsidRPr="00BA7BF9">
        <w:rPr>
          <w:rFonts w:ascii="Arial" w:hAnsi="Arial" w:cs="Arial"/>
          <w:color w:val="000000"/>
          <w:sz w:val="22"/>
          <w:szCs w:val="22"/>
        </w:rPr>
        <w:t xml:space="preserve">Research Portal. Available on: </w:t>
      </w:r>
      <w:hyperlink r:id="rId25" w:tgtFrame="_new" w:history="1">
        <w:r w:rsidRPr="00BA7BF9">
          <w:rPr>
            <w:rStyle w:val="Hyperlink"/>
            <w:rFonts w:ascii="Arial" w:eastAsiaTheme="majorEastAsia" w:hAnsi="Arial" w:cs="Arial"/>
            <w:sz w:val="22"/>
            <w:szCs w:val="22"/>
          </w:rPr>
          <w:t>https://www.researchgate.net/profile/Martina-Kuvalja/publication/340137325_The_importance_of_play_A_report_on_the_value_of_children</w:t>
        </w:r>
      </w:hyperlink>
      <w:r w:rsidRPr="00BA7BF9">
        <w:rPr>
          <w:rStyle w:val="apple-converted-space"/>
          <w:rFonts w:ascii="Arial" w:eastAsiaTheme="majorEastAsia" w:hAnsi="Arial" w:cs="Arial"/>
          <w:color w:val="000000"/>
          <w:sz w:val="22"/>
          <w:szCs w:val="22"/>
        </w:rPr>
        <w:t> </w:t>
      </w:r>
      <w:r w:rsidRPr="00BA7BF9">
        <w:rPr>
          <w:rFonts w:ascii="Arial" w:hAnsi="Arial" w:cs="Arial"/>
          <w:color w:val="000000"/>
          <w:sz w:val="22"/>
          <w:szCs w:val="22"/>
        </w:rPr>
        <w:t>(Accessed 17th March 2025).</w:t>
      </w:r>
    </w:p>
    <w:p w14:paraId="103B28DE" w14:textId="4BF901C5" w:rsidR="00CD5AAD" w:rsidRPr="00BA7BF9" w:rsidRDefault="00CD5AAD" w:rsidP="005F63C0">
      <w:pPr>
        <w:pStyle w:val="NormalWeb"/>
        <w:rPr>
          <w:rFonts w:ascii="Arial" w:hAnsi="Arial" w:cs="Arial"/>
          <w:color w:val="000000"/>
          <w:sz w:val="22"/>
          <w:szCs w:val="22"/>
        </w:rPr>
      </w:pPr>
    </w:p>
    <w:sectPr w:rsidR="00CD5AAD" w:rsidRPr="00BA7BF9">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D0468" w14:textId="77777777" w:rsidR="006451BB" w:rsidRDefault="006451BB" w:rsidP="002E729C">
      <w:r>
        <w:separator/>
      </w:r>
    </w:p>
  </w:endnote>
  <w:endnote w:type="continuationSeparator" w:id="0">
    <w:p w14:paraId="3AE3DD44" w14:textId="77777777" w:rsidR="006451BB" w:rsidRDefault="006451BB" w:rsidP="002E72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8189331"/>
      <w:docPartObj>
        <w:docPartGallery w:val="Page Numbers (Bottom of Page)"/>
        <w:docPartUnique/>
      </w:docPartObj>
    </w:sdtPr>
    <w:sdtContent>
      <w:p w14:paraId="5AAB52BC" w14:textId="6B8B6DA2" w:rsidR="00E80EAC" w:rsidRDefault="00E80EAC" w:rsidP="005820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091827" w14:textId="77777777" w:rsidR="00E80EAC" w:rsidRDefault="00E80E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9156928"/>
      <w:docPartObj>
        <w:docPartGallery w:val="Page Numbers (Bottom of Page)"/>
        <w:docPartUnique/>
      </w:docPartObj>
    </w:sdtPr>
    <w:sdtContent>
      <w:p w14:paraId="1860968A" w14:textId="534CDECD" w:rsidR="00E80EAC" w:rsidRDefault="00E80EAC" w:rsidP="005820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1C6982" w14:textId="77777777" w:rsidR="00E80EAC" w:rsidRDefault="00E80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FCF33" w14:textId="77777777" w:rsidR="006451BB" w:rsidRDefault="006451BB" w:rsidP="002E729C">
      <w:r>
        <w:separator/>
      </w:r>
    </w:p>
  </w:footnote>
  <w:footnote w:type="continuationSeparator" w:id="0">
    <w:p w14:paraId="44C0B22D" w14:textId="77777777" w:rsidR="006451BB" w:rsidRDefault="006451BB" w:rsidP="002E72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254F5E" w14:textId="102F9CA2" w:rsidR="007D66D0" w:rsidRPr="002318DF" w:rsidRDefault="007D66D0" w:rsidP="00E80EAC">
    <w:pPr>
      <w:tabs>
        <w:tab w:val="left" w:pos="6865"/>
      </w:tabs>
      <w:rPr>
        <w:rFonts w:ascii="Arial" w:hAnsi="Arial" w:cs="Arial"/>
        <w:color w:val="FF0000"/>
      </w:rPr>
    </w:pPr>
    <w:proofErr w:type="spellStart"/>
    <w:r w:rsidRPr="007D66D0">
      <w:rPr>
        <w:rFonts w:ascii="Arial" w:hAnsi="Arial" w:cs="Arial"/>
      </w:rPr>
      <w:t>Rhif</w:t>
    </w:r>
    <w:proofErr w:type="spellEnd"/>
    <w:r w:rsidRPr="007D66D0">
      <w:rPr>
        <w:rFonts w:ascii="Arial" w:hAnsi="Arial" w:cs="Arial"/>
      </w:rPr>
      <w:t xml:space="preserve"> </w:t>
    </w:r>
    <w:proofErr w:type="spellStart"/>
    <w:r w:rsidRPr="007D66D0">
      <w:rPr>
        <w:rFonts w:ascii="Arial" w:hAnsi="Arial" w:cs="Arial"/>
      </w:rPr>
      <w:t>Modiwl</w:t>
    </w:r>
    <w:proofErr w:type="spellEnd"/>
    <w:r w:rsidRPr="007D66D0">
      <w:rPr>
        <w:rFonts w:ascii="Arial" w:hAnsi="Arial" w:cs="Arial"/>
      </w:rPr>
      <w:t xml:space="preserve">- </w:t>
    </w:r>
    <w:hyperlink r:id="rId1" w:tooltip="Leadership and Management for systems of quality/Arweinyddiaeth a Rheolaeth ar gyfer systemau ansawdd (ECEY6011/C)" w:history="1">
      <w:r w:rsidRPr="007D66D0">
        <w:rPr>
          <w:rFonts w:ascii="Arial" w:eastAsia="Times New Roman" w:hAnsi="Arial" w:cs="Arial"/>
          <w:color w:val="000000"/>
        </w:rPr>
        <w:t>ECEY6011</w:t>
      </w:r>
    </w:hyperlink>
    <w:r w:rsidR="00E80EAC">
      <w:rPr>
        <w:rFonts w:ascii="Arial" w:hAnsi="Arial" w:cs="Arial"/>
      </w:rPr>
      <w:tab/>
    </w:r>
    <w:proofErr w:type="spellStart"/>
    <w:r w:rsidR="00E80EAC" w:rsidRPr="005F0540">
      <w:rPr>
        <w:rFonts w:ascii="Arial" w:hAnsi="Arial" w:cs="Arial"/>
        <w:color w:val="000000" w:themeColor="text1"/>
      </w:rPr>
      <w:t>Nifer</w:t>
    </w:r>
    <w:proofErr w:type="spellEnd"/>
    <w:r w:rsidR="00E80EAC" w:rsidRPr="005F0540">
      <w:rPr>
        <w:rFonts w:ascii="Arial" w:hAnsi="Arial" w:cs="Arial"/>
        <w:color w:val="000000" w:themeColor="text1"/>
      </w:rPr>
      <w:t xml:space="preserve"> o </w:t>
    </w:r>
    <w:proofErr w:type="spellStart"/>
    <w:r w:rsidR="00E80EAC" w:rsidRPr="005F0540">
      <w:rPr>
        <w:rFonts w:ascii="Arial" w:hAnsi="Arial" w:cs="Arial"/>
        <w:color w:val="000000" w:themeColor="text1"/>
      </w:rPr>
      <w:t>eiriau</w:t>
    </w:r>
    <w:proofErr w:type="spellEnd"/>
    <w:r w:rsidR="00E80EAC" w:rsidRPr="005F0540">
      <w:rPr>
        <w:rFonts w:ascii="Arial" w:hAnsi="Arial" w:cs="Arial"/>
        <w:color w:val="000000" w:themeColor="text1"/>
      </w:rPr>
      <w:t>- 1,915</w:t>
    </w:r>
  </w:p>
  <w:p w14:paraId="1E42C781" w14:textId="19C58E54" w:rsidR="00173402" w:rsidRPr="00173402" w:rsidRDefault="007D66D0" w:rsidP="00173402">
    <w:pPr>
      <w:pStyle w:val="HTMLPreformatted"/>
      <w:rPr>
        <w:rFonts w:ascii="Arial" w:hAnsi="Arial" w:cs="Arial"/>
        <w:color w:val="1F1F1F"/>
        <w:sz w:val="24"/>
        <w:szCs w:val="24"/>
      </w:rPr>
    </w:pPr>
    <w:proofErr w:type="spellStart"/>
    <w:r w:rsidRPr="00173402">
      <w:rPr>
        <w:rFonts w:ascii="Arial" w:hAnsi="Arial" w:cs="Arial"/>
        <w:sz w:val="24"/>
        <w:szCs w:val="24"/>
      </w:rPr>
      <w:t>Rhif</w:t>
    </w:r>
    <w:proofErr w:type="spellEnd"/>
    <w:r w:rsidRPr="00173402">
      <w:rPr>
        <w:rFonts w:ascii="Arial" w:hAnsi="Arial" w:cs="Arial"/>
        <w:sz w:val="24"/>
        <w:szCs w:val="24"/>
      </w:rPr>
      <w:t xml:space="preserve"> </w:t>
    </w:r>
    <w:proofErr w:type="spellStart"/>
    <w:r w:rsidR="00173402" w:rsidRPr="00173402">
      <w:rPr>
        <w:rStyle w:val="y2iqfc"/>
        <w:rFonts w:ascii="Arial" w:eastAsiaTheme="majorEastAsia" w:hAnsi="Arial" w:cs="Arial"/>
        <w:color w:val="1F1F1F"/>
        <w:sz w:val="24"/>
        <w:szCs w:val="24"/>
      </w:rPr>
      <w:t>myfyriwr</w:t>
    </w:r>
    <w:proofErr w:type="spellEnd"/>
    <w:r w:rsidR="00173402" w:rsidRPr="00173402">
      <w:rPr>
        <w:rStyle w:val="y2iqfc"/>
        <w:rFonts w:ascii="Arial" w:eastAsiaTheme="majorEastAsia" w:hAnsi="Arial" w:cs="Arial"/>
        <w:color w:val="1F1F1F"/>
        <w:sz w:val="24"/>
        <w:szCs w:val="24"/>
      </w:rPr>
      <w:t>- 2306769</w:t>
    </w:r>
  </w:p>
  <w:p w14:paraId="3E94483F" w14:textId="02EC6F84" w:rsidR="007D66D0" w:rsidRPr="007D66D0" w:rsidRDefault="007D66D0" w:rsidP="007D66D0">
    <w:pPr>
      <w:rPr>
        <w:rFonts w:ascii="Arial" w:hAnsi="Arial" w:cs="Arial"/>
      </w:rPr>
    </w:pPr>
  </w:p>
  <w:p w14:paraId="4962840B" w14:textId="77777777" w:rsidR="007D66D0" w:rsidRPr="007D66D0" w:rsidRDefault="007D66D0" w:rsidP="007D66D0">
    <w:pPr>
      <w:rPr>
        <w:rFonts w:ascii="Times New Roman" w:eastAsia="Times New Roman" w:hAnsi="Times New Roman" w:cs="Times New Roman"/>
        <w:kern w:val="0"/>
        <w:lang w:eastAsia="en-GB"/>
        <w14:ligatures w14:val="none"/>
      </w:rPr>
    </w:pPr>
  </w:p>
  <w:p w14:paraId="7C74BB3A" w14:textId="63706AFE" w:rsidR="007D66D0" w:rsidRDefault="007D66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D6120E"/>
    <w:multiLevelType w:val="multilevel"/>
    <w:tmpl w:val="B27CF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65045B"/>
    <w:multiLevelType w:val="multilevel"/>
    <w:tmpl w:val="A21ED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275989"/>
    <w:multiLevelType w:val="multilevel"/>
    <w:tmpl w:val="533ED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2818921">
    <w:abstractNumId w:val="1"/>
  </w:num>
  <w:num w:numId="2" w16cid:durableId="1141925532">
    <w:abstractNumId w:val="2"/>
  </w:num>
  <w:num w:numId="3" w16cid:durableId="1935892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080"/>
    <w:rsid w:val="00011080"/>
    <w:rsid w:val="00011A05"/>
    <w:rsid w:val="00011BA7"/>
    <w:rsid w:val="00025A46"/>
    <w:rsid w:val="0003476F"/>
    <w:rsid w:val="00043A13"/>
    <w:rsid w:val="00093E01"/>
    <w:rsid w:val="000A5D34"/>
    <w:rsid w:val="000B40E5"/>
    <w:rsid w:val="00132636"/>
    <w:rsid w:val="00134D4B"/>
    <w:rsid w:val="00163AA9"/>
    <w:rsid w:val="00163E53"/>
    <w:rsid w:val="00173402"/>
    <w:rsid w:val="00176AA7"/>
    <w:rsid w:val="00192435"/>
    <w:rsid w:val="001A1CEA"/>
    <w:rsid w:val="001A2113"/>
    <w:rsid w:val="001A2121"/>
    <w:rsid w:val="001A2A5A"/>
    <w:rsid w:val="001B4B23"/>
    <w:rsid w:val="001C103F"/>
    <w:rsid w:val="001D2923"/>
    <w:rsid w:val="00200FB6"/>
    <w:rsid w:val="00221B9C"/>
    <w:rsid w:val="00230E7F"/>
    <w:rsid w:val="002318DF"/>
    <w:rsid w:val="00253AA9"/>
    <w:rsid w:val="00253E05"/>
    <w:rsid w:val="00254865"/>
    <w:rsid w:val="00276350"/>
    <w:rsid w:val="002801AF"/>
    <w:rsid w:val="002823BB"/>
    <w:rsid w:val="002A2DE2"/>
    <w:rsid w:val="002A766C"/>
    <w:rsid w:val="002C1663"/>
    <w:rsid w:val="002D294C"/>
    <w:rsid w:val="002E46A0"/>
    <w:rsid w:val="002E60A4"/>
    <w:rsid w:val="002E729C"/>
    <w:rsid w:val="002F153F"/>
    <w:rsid w:val="002F1C16"/>
    <w:rsid w:val="0030256F"/>
    <w:rsid w:val="00332028"/>
    <w:rsid w:val="00356569"/>
    <w:rsid w:val="00367136"/>
    <w:rsid w:val="00394C80"/>
    <w:rsid w:val="003D503D"/>
    <w:rsid w:val="003F23F1"/>
    <w:rsid w:val="0040774B"/>
    <w:rsid w:val="004112A3"/>
    <w:rsid w:val="00421DF1"/>
    <w:rsid w:val="00440EF9"/>
    <w:rsid w:val="004468BA"/>
    <w:rsid w:val="004510F8"/>
    <w:rsid w:val="0046571A"/>
    <w:rsid w:val="004917E6"/>
    <w:rsid w:val="00492D74"/>
    <w:rsid w:val="004932DF"/>
    <w:rsid w:val="004A2626"/>
    <w:rsid w:val="004C185D"/>
    <w:rsid w:val="004C6814"/>
    <w:rsid w:val="004D2AE6"/>
    <w:rsid w:val="004E17EF"/>
    <w:rsid w:val="00510B18"/>
    <w:rsid w:val="005268B5"/>
    <w:rsid w:val="00541E7A"/>
    <w:rsid w:val="00543E56"/>
    <w:rsid w:val="0059358D"/>
    <w:rsid w:val="005A0A16"/>
    <w:rsid w:val="005A33F2"/>
    <w:rsid w:val="005B349A"/>
    <w:rsid w:val="005B4511"/>
    <w:rsid w:val="005C2B20"/>
    <w:rsid w:val="005C3399"/>
    <w:rsid w:val="005C349A"/>
    <w:rsid w:val="005D2579"/>
    <w:rsid w:val="005F0540"/>
    <w:rsid w:val="005F63C0"/>
    <w:rsid w:val="00605356"/>
    <w:rsid w:val="00612096"/>
    <w:rsid w:val="00613E4F"/>
    <w:rsid w:val="00623DE4"/>
    <w:rsid w:val="006249DE"/>
    <w:rsid w:val="00630C25"/>
    <w:rsid w:val="00643345"/>
    <w:rsid w:val="006451BB"/>
    <w:rsid w:val="006557CA"/>
    <w:rsid w:val="00666C74"/>
    <w:rsid w:val="006708AC"/>
    <w:rsid w:val="00672A29"/>
    <w:rsid w:val="006B7EAB"/>
    <w:rsid w:val="006C02A9"/>
    <w:rsid w:val="006C6448"/>
    <w:rsid w:val="006E212D"/>
    <w:rsid w:val="006E7684"/>
    <w:rsid w:val="006F2D22"/>
    <w:rsid w:val="006F5D16"/>
    <w:rsid w:val="00700324"/>
    <w:rsid w:val="00722366"/>
    <w:rsid w:val="00726EB7"/>
    <w:rsid w:val="00727891"/>
    <w:rsid w:val="00730413"/>
    <w:rsid w:val="00736059"/>
    <w:rsid w:val="00765685"/>
    <w:rsid w:val="007667E2"/>
    <w:rsid w:val="00784875"/>
    <w:rsid w:val="007A121D"/>
    <w:rsid w:val="007B78E2"/>
    <w:rsid w:val="007C162D"/>
    <w:rsid w:val="007D53A3"/>
    <w:rsid w:val="007D66D0"/>
    <w:rsid w:val="00807CA5"/>
    <w:rsid w:val="00824BE5"/>
    <w:rsid w:val="00844D7B"/>
    <w:rsid w:val="008528EF"/>
    <w:rsid w:val="00854076"/>
    <w:rsid w:val="00855A77"/>
    <w:rsid w:val="008A1E32"/>
    <w:rsid w:val="008C7B18"/>
    <w:rsid w:val="00901801"/>
    <w:rsid w:val="00902B7B"/>
    <w:rsid w:val="00903F7F"/>
    <w:rsid w:val="00922B2B"/>
    <w:rsid w:val="00925D2E"/>
    <w:rsid w:val="00926B76"/>
    <w:rsid w:val="00937764"/>
    <w:rsid w:val="00944188"/>
    <w:rsid w:val="0094418F"/>
    <w:rsid w:val="00971990"/>
    <w:rsid w:val="00980433"/>
    <w:rsid w:val="00990241"/>
    <w:rsid w:val="009970BE"/>
    <w:rsid w:val="009A0A6B"/>
    <w:rsid w:val="009A5798"/>
    <w:rsid w:val="009B2A3A"/>
    <w:rsid w:val="009B68AF"/>
    <w:rsid w:val="009C5718"/>
    <w:rsid w:val="009D634D"/>
    <w:rsid w:val="009D7A17"/>
    <w:rsid w:val="009E27DA"/>
    <w:rsid w:val="009F0C83"/>
    <w:rsid w:val="00A36355"/>
    <w:rsid w:val="00A56D31"/>
    <w:rsid w:val="00A575AF"/>
    <w:rsid w:val="00A65823"/>
    <w:rsid w:val="00A66B95"/>
    <w:rsid w:val="00A72363"/>
    <w:rsid w:val="00A72B61"/>
    <w:rsid w:val="00A73F7F"/>
    <w:rsid w:val="00A74E53"/>
    <w:rsid w:val="00A76738"/>
    <w:rsid w:val="00A850AD"/>
    <w:rsid w:val="00A8600F"/>
    <w:rsid w:val="00A864B1"/>
    <w:rsid w:val="00A876AC"/>
    <w:rsid w:val="00A91AD3"/>
    <w:rsid w:val="00A93E8A"/>
    <w:rsid w:val="00AB0F5F"/>
    <w:rsid w:val="00AD2BCA"/>
    <w:rsid w:val="00B05653"/>
    <w:rsid w:val="00B13089"/>
    <w:rsid w:val="00B15987"/>
    <w:rsid w:val="00B532AF"/>
    <w:rsid w:val="00B53D64"/>
    <w:rsid w:val="00B72E5C"/>
    <w:rsid w:val="00B84B66"/>
    <w:rsid w:val="00B952A1"/>
    <w:rsid w:val="00BA7BF9"/>
    <w:rsid w:val="00BB38F9"/>
    <w:rsid w:val="00BB5955"/>
    <w:rsid w:val="00BB5AAC"/>
    <w:rsid w:val="00BB7EAE"/>
    <w:rsid w:val="00BD0743"/>
    <w:rsid w:val="00C379A4"/>
    <w:rsid w:val="00C445A1"/>
    <w:rsid w:val="00C56BD0"/>
    <w:rsid w:val="00C84DE9"/>
    <w:rsid w:val="00C9192C"/>
    <w:rsid w:val="00CD5AAD"/>
    <w:rsid w:val="00CD7768"/>
    <w:rsid w:val="00CE40DC"/>
    <w:rsid w:val="00CF28C4"/>
    <w:rsid w:val="00CF53D1"/>
    <w:rsid w:val="00D04668"/>
    <w:rsid w:val="00D23543"/>
    <w:rsid w:val="00D336EA"/>
    <w:rsid w:val="00D61F64"/>
    <w:rsid w:val="00D76475"/>
    <w:rsid w:val="00D82DAB"/>
    <w:rsid w:val="00D8331A"/>
    <w:rsid w:val="00D914B4"/>
    <w:rsid w:val="00DA18FF"/>
    <w:rsid w:val="00DB77C2"/>
    <w:rsid w:val="00E0448A"/>
    <w:rsid w:val="00E077BE"/>
    <w:rsid w:val="00E10090"/>
    <w:rsid w:val="00E147AC"/>
    <w:rsid w:val="00E16D65"/>
    <w:rsid w:val="00E574A4"/>
    <w:rsid w:val="00E80BB0"/>
    <w:rsid w:val="00E80EAC"/>
    <w:rsid w:val="00E9394F"/>
    <w:rsid w:val="00E96096"/>
    <w:rsid w:val="00EA0A85"/>
    <w:rsid w:val="00EC7F8C"/>
    <w:rsid w:val="00ED0991"/>
    <w:rsid w:val="00EE1C3B"/>
    <w:rsid w:val="00EF0977"/>
    <w:rsid w:val="00EF5232"/>
    <w:rsid w:val="00F125C4"/>
    <w:rsid w:val="00F37F98"/>
    <w:rsid w:val="00F61E8A"/>
    <w:rsid w:val="00F81298"/>
    <w:rsid w:val="00FA42D7"/>
    <w:rsid w:val="00FD7194"/>
    <w:rsid w:val="00FE0D70"/>
    <w:rsid w:val="00FF09DC"/>
    <w:rsid w:val="00FF2C09"/>
    <w:rsid w:val="00FF69A7"/>
    <w:rsid w:val="00FF6B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7D630"/>
  <w15:chartTrackingRefBased/>
  <w15:docId w15:val="{14ED191B-8C26-C74C-8A16-CD46B6089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0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0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10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0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0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0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0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0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0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0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10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0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0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0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0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0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080"/>
    <w:rPr>
      <w:rFonts w:eastAsiaTheme="majorEastAsia" w:cstheme="majorBidi"/>
      <w:color w:val="272727" w:themeColor="text1" w:themeTint="D8"/>
    </w:rPr>
  </w:style>
  <w:style w:type="paragraph" w:styleId="Title">
    <w:name w:val="Title"/>
    <w:basedOn w:val="Normal"/>
    <w:next w:val="Normal"/>
    <w:link w:val="TitleChar"/>
    <w:uiPriority w:val="10"/>
    <w:qFormat/>
    <w:rsid w:val="000110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0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08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0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08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1080"/>
    <w:rPr>
      <w:i/>
      <w:iCs/>
      <w:color w:val="404040" w:themeColor="text1" w:themeTint="BF"/>
    </w:rPr>
  </w:style>
  <w:style w:type="paragraph" w:styleId="ListParagraph">
    <w:name w:val="List Paragraph"/>
    <w:basedOn w:val="Normal"/>
    <w:uiPriority w:val="34"/>
    <w:qFormat/>
    <w:rsid w:val="00011080"/>
    <w:pPr>
      <w:ind w:left="720"/>
      <w:contextualSpacing/>
    </w:pPr>
  </w:style>
  <w:style w:type="character" w:styleId="IntenseEmphasis">
    <w:name w:val="Intense Emphasis"/>
    <w:basedOn w:val="DefaultParagraphFont"/>
    <w:uiPriority w:val="21"/>
    <w:qFormat/>
    <w:rsid w:val="00011080"/>
    <w:rPr>
      <w:i/>
      <w:iCs/>
      <w:color w:val="0F4761" w:themeColor="accent1" w:themeShade="BF"/>
    </w:rPr>
  </w:style>
  <w:style w:type="paragraph" w:styleId="IntenseQuote">
    <w:name w:val="Intense Quote"/>
    <w:basedOn w:val="Normal"/>
    <w:next w:val="Normal"/>
    <w:link w:val="IntenseQuoteChar"/>
    <w:uiPriority w:val="30"/>
    <w:qFormat/>
    <w:rsid w:val="000110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080"/>
    <w:rPr>
      <w:i/>
      <w:iCs/>
      <w:color w:val="0F4761" w:themeColor="accent1" w:themeShade="BF"/>
    </w:rPr>
  </w:style>
  <w:style w:type="character" w:styleId="IntenseReference">
    <w:name w:val="Intense Reference"/>
    <w:basedOn w:val="DefaultParagraphFont"/>
    <w:uiPriority w:val="32"/>
    <w:qFormat/>
    <w:rsid w:val="00011080"/>
    <w:rPr>
      <w:b/>
      <w:bCs/>
      <w:smallCaps/>
      <w:color w:val="0F4761" w:themeColor="accent1" w:themeShade="BF"/>
      <w:spacing w:val="5"/>
    </w:rPr>
  </w:style>
  <w:style w:type="character" w:customStyle="1" w:styleId="apple-converted-space">
    <w:name w:val="apple-converted-space"/>
    <w:basedOn w:val="DefaultParagraphFont"/>
    <w:rsid w:val="00011080"/>
  </w:style>
  <w:style w:type="character" w:styleId="Strong">
    <w:name w:val="Strong"/>
    <w:basedOn w:val="DefaultParagraphFont"/>
    <w:uiPriority w:val="22"/>
    <w:qFormat/>
    <w:rsid w:val="00011080"/>
    <w:rPr>
      <w:b/>
      <w:bCs/>
    </w:rPr>
  </w:style>
  <w:style w:type="character" w:customStyle="1" w:styleId="muibox-root">
    <w:name w:val="muibox-root"/>
    <w:basedOn w:val="DefaultParagraphFont"/>
    <w:rsid w:val="00011080"/>
  </w:style>
  <w:style w:type="character" w:customStyle="1" w:styleId="extn-css-10o52y0">
    <w:name w:val="extn-css-10o52y0"/>
    <w:basedOn w:val="DefaultParagraphFont"/>
    <w:rsid w:val="00011080"/>
  </w:style>
  <w:style w:type="character" w:customStyle="1" w:styleId="extn-css-0">
    <w:name w:val="extn-css-0"/>
    <w:basedOn w:val="DefaultParagraphFont"/>
    <w:rsid w:val="00011080"/>
  </w:style>
  <w:style w:type="character" w:customStyle="1" w:styleId="extn-css-1tmeul0">
    <w:name w:val="extn-css-1tmeul0"/>
    <w:basedOn w:val="DefaultParagraphFont"/>
    <w:rsid w:val="00011080"/>
  </w:style>
  <w:style w:type="character" w:customStyle="1" w:styleId="extn-css-h5d7i9">
    <w:name w:val="extn-css-h5d7i9"/>
    <w:basedOn w:val="DefaultParagraphFont"/>
    <w:rsid w:val="00011080"/>
  </w:style>
  <w:style w:type="character" w:customStyle="1" w:styleId="extn-css-1g9q2al">
    <w:name w:val="extn-css-1g9q2al"/>
    <w:basedOn w:val="DefaultParagraphFont"/>
    <w:rsid w:val="00011080"/>
  </w:style>
  <w:style w:type="character" w:customStyle="1" w:styleId="extn-css-lq4jk2">
    <w:name w:val="extn-css-lq4jk2"/>
    <w:basedOn w:val="DefaultParagraphFont"/>
    <w:rsid w:val="00011080"/>
  </w:style>
  <w:style w:type="paragraph" w:styleId="NoSpacing">
    <w:name w:val="No Spacing"/>
    <w:uiPriority w:val="1"/>
    <w:qFormat/>
    <w:rsid w:val="00011080"/>
  </w:style>
  <w:style w:type="paragraph" w:styleId="NormalWeb">
    <w:name w:val="Normal (Web)"/>
    <w:basedOn w:val="Normal"/>
    <w:uiPriority w:val="99"/>
    <w:unhideWhenUsed/>
    <w:rsid w:val="0001108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01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011080"/>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011080"/>
  </w:style>
  <w:style w:type="paragraph" w:styleId="Header">
    <w:name w:val="header"/>
    <w:basedOn w:val="Normal"/>
    <w:link w:val="HeaderChar"/>
    <w:uiPriority w:val="99"/>
    <w:unhideWhenUsed/>
    <w:rsid w:val="002E729C"/>
    <w:pPr>
      <w:tabs>
        <w:tab w:val="center" w:pos="4513"/>
        <w:tab w:val="right" w:pos="9026"/>
      </w:tabs>
    </w:pPr>
  </w:style>
  <w:style w:type="character" w:customStyle="1" w:styleId="HeaderChar">
    <w:name w:val="Header Char"/>
    <w:basedOn w:val="DefaultParagraphFont"/>
    <w:link w:val="Header"/>
    <w:uiPriority w:val="99"/>
    <w:rsid w:val="002E729C"/>
  </w:style>
  <w:style w:type="paragraph" w:styleId="Footer">
    <w:name w:val="footer"/>
    <w:basedOn w:val="Normal"/>
    <w:link w:val="FooterChar"/>
    <w:uiPriority w:val="99"/>
    <w:unhideWhenUsed/>
    <w:rsid w:val="002E729C"/>
    <w:pPr>
      <w:tabs>
        <w:tab w:val="center" w:pos="4513"/>
        <w:tab w:val="right" w:pos="9026"/>
      </w:tabs>
    </w:pPr>
  </w:style>
  <w:style w:type="character" w:customStyle="1" w:styleId="FooterChar">
    <w:name w:val="Footer Char"/>
    <w:basedOn w:val="DefaultParagraphFont"/>
    <w:link w:val="Footer"/>
    <w:uiPriority w:val="99"/>
    <w:rsid w:val="002E729C"/>
  </w:style>
  <w:style w:type="paragraph" w:customStyle="1" w:styleId="breadcrumb-item">
    <w:name w:val="breadcrumb-item"/>
    <w:basedOn w:val="Normal"/>
    <w:rsid w:val="007D66D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D66D0"/>
    <w:rPr>
      <w:color w:val="0000FF"/>
      <w:u w:val="single"/>
    </w:rPr>
  </w:style>
  <w:style w:type="character" w:styleId="PageNumber">
    <w:name w:val="page number"/>
    <w:basedOn w:val="DefaultParagraphFont"/>
    <w:uiPriority w:val="99"/>
    <w:semiHidden/>
    <w:unhideWhenUsed/>
    <w:rsid w:val="00E80EAC"/>
  </w:style>
  <w:style w:type="character" w:styleId="UnresolvedMention">
    <w:name w:val="Unresolved Mention"/>
    <w:basedOn w:val="DefaultParagraphFont"/>
    <w:uiPriority w:val="99"/>
    <w:semiHidden/>
    <w:unhideWhenUsed/>
    <w:rsid w:val="00BD0743"/>
    <w:rPr>
      <w:color w:val="605E5C"/>
      <w:shd w:val="clear" w:color="auto" w:fill="E1DFDD"/>
    </w:rPr>
  </w:style>
  <w:style w:type="character" w:styleId="FollowedHyperlink">
    <w:name w:val="FollowedHyperlink"/>
    <w:basedOn w:val="DefaultParagraphFont"/>
    <w:uiPriority w:val="99"/>
    <w:semiHidden/>
    <w:unhideWhenUsed/>
    <w:rsid w:val="00BD0743"/>
    <w:rPr>
      <w:color w:val="96607D" w:themeColor="followedHyperlink"/>
      <w:u w:val="single"/>
    </w:rPr>
  </w:style>
  <w:style w:type="character" w:styleId="Emphasis">
    <w:name w:val="Emphasis"/>
    <w:basedOn w:val="DefaultParagraphFont"/>
    <w:uiPriority w:val="20"/>
    <w:qFormat/>
    <w:rsid w:val="00666C74"/>
    <w:rPr>
      <w:i/>
      <w:iCs/>
    </w:rPr>
  </w:style>
  <w:style w:type="paragraph" w:customStyle="1" w:styleId="k3ksmc">
    <w:name w:val="k3ksmc"/>
    <w:basedOn w:val="Normal"/>
    <w:rsid w:val="00163E5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oxzekf">
    <w:name w:val="oxzekf"/>
    <w:basedOn w:val="DefaultParagraphFont"/>
    <w:rsid w:val="00163E53"/>
  </w:style>
  <w:style w:type="character" w:customStyle="1" w:styleId="uv3um">
    <w:name w:val="uv3um"/>
    <w:basedOn w:val="DefaultParagraphFont"/>
    <w:rsid w:val="00163E53"/>
  </w:style>
  <w:style w:type="character" w:customStyle="1" w:styleId="docurl">
    <w:name w:val="docurl"/>
    <w:basedOn w:val="DefaultParagraphFont"/>
    <w:rsid w:val="00A74E53"/>
  </w:style>
  <w:style w:type="character" w:styleId="PlaceholderText">
    <w:name w:val="Placeholder Text"/>
    <w:basedOn w:val="DefaultParagraphFont"/>
    <w:uiPriority w:val="99"/>
    <w:semiHidden/>
    <w:rsid w:val="00BA7BF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38076">
      <w:bodyDiv w:val="1"/>
      <w:marLeft w:val="0"/>
      <w:marRight w:val="0"/>
      <w:marTop w:val="0"/>
      <w:marBottom w:val="0"/>
      <w:divBdr>
        <w:top w:val="none" w:sz="0" w:space="0" w:color="auto"/>
        <w:left w:val="none" w:sz="0" w:space="0" w:color="auto"/>
        <w:bottom w:val="none" w:sz="0" w:space="0" w:color="auto"/>
        <w:right w:val="none" w:sz="0" w:space="0" w:color="auto"/>
      </w:divBdr>
      <w:divsChild>
        <w:div w:id="466356848">
          <w:marLeft w:val="0"/>
          <w:marRight w:val="0"/>
          <w:marTop w:val="0"/>
          <w:marBottom w:val="150"/>
          <w:divBdr>
            <w:top w:val="none" w:sz="0" w:space="0" w:color="auto"/>
            <w:left w:val="none" w:sz="0" w:space="0" w:color="auto"/>
            <w:bottom w:val="none" w:sz="0" w:space="0" w:color="auto"/>
            <w:right w:val="none" w:sz="0" w:space="0" w:color="auto"/>
          </w:divBdr>
        </w:div>
      </w:divsChild>
    </w:div>
    <w:div w:id="48385676">
      <w:bodyDiv w:val="1"/>
      <w:marLeft w:val="0"/>
      <w:marRight w:val="0"/>
      <w:marTop w:val="0"/>
      <w:marBottom w:val="0"/>
      <w:divBdr>
        <w:top w:val="none" w:sz="0" w:space="0" w:color="auto"/>
        <w:left w:val="none" w:sz="0" w:space="0" w:color="auto"/>
        <w:bottom w:val="none" w:sz="0" w:space="0" w:color="auto"/>
        <w:right w:val="none" w:sz="0" w:space="0" w:color="auto"/>
      </w:divBdr>
    </w:div>
    <w:div w:id="156579170">
      <w:bodyDiv w:val="1"/>
      <w:marLeft w:val="0"/>
      <w:marRight w:val="0"/>
      <w:marTop w:val="0"/>
      <w:marBottom w:val="0"/>
      <w:divBdr>
        <w:top w:val="none" w:sz="0" w:space="0" w:color="auto"/>
        <w:left w:val="none" w:sz="0" w:space="0" w:color="auto"/>
        <w:bottom w:val="none" w:sz="0" w:space="0" w:color="auto"/>
        <w:right w:val="none" w:sz="0" w:space="0" w:color="auto"/>
      </w:divBdr>
    </w:div>
    <w:div w:id="174195180">
      <w:bodyDiv w:val="1"/>
      <w:marLeft w:val="0"/>
      <w:marRight w:val="0"/>
      <w:marTop w:val="0"/>
      <w:marBottom w:val="0"/>
      <w:divBdr>
        <w:top w:val="none" w:sz="0" w:space="0" w:color="auto"/>
        <w:left w:val="none" w:sz="0" w:space="0" w:color="auto"/>
        <w:bottom w:val="none" w:sz="0" w:space="0" w:color="auto"/>
        <w:right w:val="none" w:sz="0" w:space="0" w:color="auto"/>
      </w:divBdr>
    </w:div>
    <w:div w:id="180172303">
      <w:bodyDiv w:val="1"/>
      <w:marLeft w:val="0"/>
      <w:marRight w:val="0"/>
      <w:marTop w:val="0"/>
      <w:marBottom w:val="0"/>
      <w:divBdr>
        <w:top w:val="none" w:sz="0" w:space="0" w:color="auto"/>
        <w:left w:val="none" w:sz="0" w:space="0" w:color="auto"/>
        <w:bottom w:val="none" w:sz="0" w:space="0" w:color="auto"/>
        <w:right w:val="none" w:sz="0" w:space="0" w:color="auto"/>
      </w:divBdr>
    </w:div>
    <w:div w:id="354965336">
      <w:bodyDiv w:val="1"/>
      <w:marLeft w:val="0"/>
      <w:marRight w:val="0"/>
      <w:marTop w:val="0"/>
      <w:marBottom w:val="0"/>
      <w:divBdr>
        <w:top w:val="none" w:sz="0" w:space="0" w:color="auto"/>
        <w:left w:val="none" w:sz="0" w:space="0" w:color="auto"/>
        <w:bottom w:val="none" w:sz="0" w:space="0" w:color="auto"/>
        <w:right w:val="none" w:sz="0" w:space="0" w:color="auto"/>
      </w:divBdr>
    </w:div>
    <w:div w:id="402413956">
      <w:bodyDiv w:val="1"/>
      <w:marLeft w:val="0"/>
      <w:marRight w:val="0"/>
      <w:marTop w:val="0"/>
      <w:marBottom w:val="0"/>
      <w:divBdr>
        <w:top w:val="none" w:sz="0" w:space="0" w:color="auto"/>
        <w:left w:val="none" w:sz="0" w:space="0" w:color="auto"/>
        <w:bottom w:val="none" w:sz="0" w:space="0" w:color="auto"/>
        <w:right w:val="none" w:sz="0" w:space="0" w:color="auto"/>
      </w:divBdr>
    </w:div>
    <w:div w:id="425883638">
      <w:bodyDiv w:val="1"/>
      <w:marLeft w:val="0"/>
      <w:marRight w:val="0"/>
      <w:marTop w:val="0"/>
      <w:marBottom w:val="0"/>
      <w:divBdr>
        <w:top w:val="none" w:sz="0" w:space="0" w:color="auto"/>
        <w:left w:val="none" w:sz="0" w:space="0" w:color="auto"/>
        <w:bottom w:val="none" w:sz="0" w:space="0" w:color="auto"/>
        <w:right w:val="none" w:sz="0" w:space="0" w:color="auto"/>
      </w:divBdr>
    </w:div>
    <w:div w:id="436097984">
      <w:bodyDiv w:val="1"/>
      <w:marLeft w:val="0"/>
      <w:marRight w:val="0"/>
      <w:marTop w:val="0"/>
      <w:marBottom w:val="0"/>
      <w:divBdr>
        <w:top w:val="none" w:sz="0" w:space="0" w:color="auto"/>
        <w:left w:val="none" w:sz="0" w:space="0" w:color="auto"/>
        <w:bottom w:val="none" w:sz="0" w:space="0" w:color="auto"/>
        <w:right w:val="none" w:sz="0" w:space="0" w:color="auto"/>
      </w:divBdr>
    </w:div>
    <w:div w:id="446700739">
      <w:bodyDiv w:val="1"/>
      <w:marLeft w:val="0"/>
      <w:marRight w:val="0"/>
      <w:marTop w:val="0"/>
      <w:marBottom w:val="0"/>
      <w:divBdr>
        <w:top w:val="none" w:sz="0" w:space="0" w:color="auto"/>
        <w:left w:val="none" w:sz="0" w:space="0" w:color="auto"/>
        <w:bottom w:val="none" w:sz="0" w:space="0" w:color="auto"/>
        <w:right w:val="none" w:sz="0" w:space="0" w:color="auto"/>
      </w:divBdr>
    </w:div>
    <w:div w:id="504829404">
      <w:bodyDiv w:val="1"/>
      <w:marLeft w:val="0"/>
      <w:marRight w:val="0"/>
      <w:marTop w:val="0"/>
      <w:marBottom w:val="0"/>
      <w:divBdr>
        <w:top w:val="none" w:sz="0" w:space="0" w:color="auto"/>
        <w:left w:val="none" w:sz="0" w:space="0" w:color="auto"/>
        <w:bottom w:val="none" w:sz="0" w:space="0" w:color="auto"/>
        <w:right w:val="none" w:sz="0" w:space="0" w:color="auto"/>
      </w:divBdr>
    </w:div>
    <w:div w:id="507600788">
      <w:bodyDiv w:val="1"/>
      <w:marLeft w:val="0"/>
      <w:marRight w:val="0"/>
      <w:marTop w:val="0"/>
      <w:marBottom w:val="0"/>
      <w:divBdr>
        <w:top w:val="none" w:sz="0" w:space="0" w:color="auto"/>
        <w:left w:val="none" w:sz="0" w:space="0" w:color="auto"/>
        <w:bottom w:val="none" w:sz="0" w:space="0" w:color="auto"/>
        <w:right w:val="none" w:sz="0" w:space="0" w:color="auto"/>
      </w:divBdr>
    </w:div>
    <w:div w:id="521629279">
      <w:bodyDiv w:val="1"/>
      <w:marLeft w:val="0"/>
      <w:marRight w:val="0"/>
      <w:marTop w:val="0"/>
      <w:marBottom w:val="0"/>
      <w:divBdr>
        <w:top w:val="none" w:sz="0" w:space="0" w:color="auto"/>
        <w:left w:val="none" w:sz="0" w:space="0" w:color="auto"/>
        <w:bottom w:val="none" w:sz="0" w:space="0" w:color="auto"/>
        <w:right w:val="none" w:sz="0" w:space="0" w:color="auto"/>
      </w:divBdr>
    </w:div>
    <w:div w:id="713504400">
      <w:bodyDiv w:val="1"/>
      <w:marLeft w:val="0"/>
      <w:marRight w:val="0"/>
      <w:marTop w:val="0"/>
      <w:marBottom w:val="0"/>
      <w:divBdr>
        <w:top w:val="none" w:sz="0" w:space="0" w:color="auto"/>
        <w:left w:val="none" w:sz="0" w:space="0" w:color="auto"/>
        <w:bottom w:val="none" w:sz="0" w:space="0" w:color="auto"/>
        <w:right w:val="none" w:sz="0" w:space="0" w:color="auto"/>
      </w:divBdr>
    </w:div>
    <w:div w:id="747849638">
      <w:bodyDiv w:val="1"/>
      <w:marLeft w:val="0"/>
      <w:marRight w:val="0"/>
      <w:marTop w:val="0"/>
      <w:marBottom w:val="0"/>
      <w:divBdr>
        <w:top w:val="none" w:sz="0" w:space="0" w:color="auto"/>
        <w:left w:val="none" w:sz="0" w:space="0" w:color="auto"/>
        <w:bottom w:val="none" w:sz="0" w:space="0" w:color="auto"/>
        <w:right w:val="none" w:sz="0" w:space="0" w:color="auto"/>
      </w:divBdr>
    </w:div>
    <w:div w:id="1105615407">
      <w:bodyDiv w:val="1"/>
      <w:marLeft w:val="0"/>
      <w:marRight w:val="0"/>
      <w:marTop w:val="0"/>
      <w:marBottom w:val="0"/>
      <w:divBdr>
        <w:top w:val="none" w:sz="0" w:space="0" w:color="auto"/>
        <w:left w:val="none" w:sz="0" w:space="0" w:color="auto"/>
        <w:bottom w:val="none" w:sz="0" w:space="0" w:color="auto"/>
        <w:right w:val="none" w:sz="0" w:space="0" w:color="auto"/>
      </w:divBdr>
    </w:div>
    <w:div w:id="1117875049">
      <w:bodyDiv w:val="1"/>
      <w:marLeft w:val="0"/>
      <w:marRight w:val="0"/>
      <w:marTop w:val="0"/>
      <w:marBottom w:val="0"/>
      <w:divBdr>
        <w:top w:val="none" w:sz="0" w:space="0" w:color="auto"/>
        <w:left w:val="none" w:sz="0" w:space="0" w:color="auto"/>
        <w:bottom w:val="none" w:sz="0" w:space="0" w:color="auto"/>
        <w:right w:val="none" w:sz="0" w:space="0" w:color="auto"/>
      </w:divBdr>
    </w:div>
    <w:div w:id="1134443128">
      <w:bodyDiv w:val="1"/>
      <w:marLeft w:val="0"/>
      <w:marRight w:val="0"/>
      <w:marTop w:val="0"/>
      <w:marBottom w:val="0"/>
      <w:divBdr>
        <w:top w:val="none" w:sz="0" w:space="0" w:color="auto"/>
        <w:left w:val="none" w:sz="0" w:space="0" w:color="auto"/>
        <w:bottom w:val="none" w:sz="0" w:space="0" w:color="auto"/>
        <w:right w:val="none" w:sz="0" w:space="0" w:color="auto"/>
      </w:divBdr>
    </w:div>
    <w:div w:id="1291206529">
      <w:bodyDiv w:val="1"/>
      <w:marLeft w:val="0"/>
      <w:marRight w:val="0"/>
      <w:marTop w:val="0"/>
      <w:marBottom w:val="0"/>
      <w:divBdr>
        <w:top w:val="none" w:sz="0" w:space="0" w:color="auto"/>
        <w:left w:val="none" w:sz="0" w:space="0" w:color="auto"/>
        <w:bottom w:val="none" w:sz="0" w:space="0" w:color="auto"/>
        <w:right w:val="none" w:sz="0" w:space="0" w:color="auto"/>
      </w:divBdr>
    </w:div>
    <w:div w:id="1296177084">
      <w:bodyDiv w:val="1"/>
      <w:marLeft w:val="0"/>
      <w:marRight w:val="0"/>
      <w:marTop w:val="0"/>
      <w:marBottom w:val="0"/>
      <w:divBdr>
        <w:top w:val="none" w:sz="0" w:space="0" w:color="auto"/>
        <w:left w:val="none" w:sz="0" w:space="0" w:color="auto"/>
        <w:bottom w:val="none" w:sz="0" w:space="0" w:color="auto"/>
        <w:right w:val="none" w:sz="0" w:space="0" w:color="auto"/>
      </w:divBdr>
    </w:div>
    <w:div w:id="1334795093">
      <w:bodyDiv w:val="1"/>
      <w:marLeft w:val="0"/>
      <w:marRight w:val="0"/>
      <w:marTop w:val="0"/>
      <w:marBottom w:val="0"/>
      <w:divBdr>
        <w:top w:val="none" w:sz="0" w:space="0" w:color="auto"/>
        <w:left w:val="none" w:sz="0" w:space="0" w:color="auto"/>
        <w:bottom w:val="none" w:sz="0" w:space="0" w:color="auto"/>
        <w:right w:val="none" w:sz="0" w:space="0" w:color="auto"/>
      </w:divBdr>
      <w:divsChild>
        <w:div w:id="785126447">
          <w:marLeft w:val="0"/>
          <w:marRight w:val="0"/>
          <w:marTop w:val="0"/>
          <w:marBottom w:val="0"/>
          <w:divBdr>
            <w:top w:val="none" w:sz="0" w:space="0" w:color="auto"/>
            <w:left w:val="none" w:sz="0" w:space="0" w:color="auto"/>
            <w:bottom w:val="none" w:sz="0" w:space="0" w:color="auto"/>
            <w:right w:val="none" w:sz="0" w:space="0" w:color="auto"/>
          </w:divBdr>
          <w:divsChild>
            <w:div w:id="1762289355">
              <w:marLeft w:val="0"/>
              <w:marRight w:val="0"/>
              <w:marTop w:val="0"/>
              <w:marBottom w:val="0"/>
              <w:divBdr>
                <w:top w:val="none" w:sz="0" w:space="0" w:color="auto"/>
                <w:left w:val="none" w:sz="0" w:space="0" w:color="auto"/>
                <w:bottom w:val="none" w:sz="0" w:space="0" w:color="auto"/>
                <w:right w:val="none" w:sz="0" w:space="0" w:color="auto"/>
              </w:divBdr>
              <w:divsChild>
                <w:div w:id="28535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280740">
      <w:bodyDiv w:val="1"/>
      <w:marLeft w:val="0"/>
      <w:marRight w:val="0"/>
      <w:marTop w:val="0"/>
      <w:marBottom w:val="0"/>
      <w:divBdr>
        <w:top w:val="none" w:sz="0" w:space="0" w:color="auto"/>
        <w:left w:val="none" w:sz="0" w:space="0" w:color="auto"/>
        <w:bottom w:val="none" w:sz="0" w:space="0" w:color="auto"/>
        <w:right w:val="none" w:sz="0" w:space="0" w:color="auto"/>
      </w:divBdr>
    </w:div>
    <w:div w:id="1464036862">
      <w:bodyDiv w:val="1"/>
      <w:marLeft w:val="0"/>
      <w:marRight w:val="0"/>
      <w:marTop w:val="0"/>
      <w:marBottom w:val="0"/>
      <w:divBdr>
        <w:top w:val="none" w:sz="0" w:space="0" w:color="auto"/>
        <w:left w:val="none" w:sz="0" w:space="0" w:color="auto"/>
        <w:bottom w:val="none" w:sz="0" w:space="0" w:color="auto"/>
        <w:right w:val="none" w:sz="0" w:space="0" w:color="auto"/>
      </w:divBdr>
    </w:div>
    <w:div w:id="1516765820">
      <w:bodyDiv w:val="1"/>
      <w:marLeft w:val="0"/>
      <w:marRight w:val="0"/>
      <w:marTop w:val="0"/>
      <w:marBottom w:val="0"/>
      <w:divBdr>
        <w:top w:val="none" w:sz="0" w:space="0" w:color="auto"/>
        <w:left w:val="none" w:sz="0" w:space="0" w:color="auto"/>
        <w:bottom w:val="none" w:sz="0" w:space="0" w:color="auto"/>
        <w:right w:val="none" w:sz="0" w:space="0" w:color="auto"/>
      </w:divBdr>
    </w:div>
    <w:div w:id="1518427133">
      <w:bodyDiv w:val="1"/>
      <w:marLeft w:val="0"/>
      <w:marRight w:val="0"/>
      <w:marTop w:val="0"/>
      <w:marBottom w:val="0"/>
      <w:divBdr>
        <w:top w:val="none" w:sz="0" w:space="0" w:color="auto"/>
        <w:left w:val="none" w:sz="0" w:space="0" w:color="auto"/>
        <w:bottom w:val="none" w:sz="0" w:space="0" w:color="auto"/>
        <w:right w:val="none" w:sz="0" w:space="0" w:color="auto"/>
      </w:divBdr>
    </w:div>
    <w:div w:id="1607619645">
      <w:bodyDiv w:val="1"/>
      <w:marLeft w:val="0"/>
      <w:marRight w:val="0"/>
      <w:marTop w:val="0"/>
      <w:marBottom w:val="0"/>
      <w:divBdr>
        <w:top w:val="none" w:sz="0" w:space="0" w:color="auto"/>
        <w:left w:val="none" w:sz="0" w:space="0" w:color="auto"/>
        <w:bottom w:val="none" w:sz="0" w:space="0" w:color="auto"/>
        <w:right w:val="none" w:sz="0" w:space="0" w:color="auto"/>
      </w:divBdr>
      <w:divsChild>
        <w:div w:id="1463620879">
          <w:marLeft w:val="0"/>
          <w:marRight w:val="0"/>
          <w:marTop w:val="0"/>
          <w:marBottom w:val="0"/>
          <w:divBdr>
            <w:top w:val="none" w:sz="0" w:space="0" w:color="auto"/>
            <w:left w:val="none" w:sz="0" w:space="0" w:color="auto"/>
            <w:bottom w:val="none" w:sz="0" w:space="0" w:color="auto"/>
            <w:right w:val="none" w:sz="0" w:space="0" w:color="auto"/>
          </w:divBdr>
          <w:divsChild>
            <w:div w:id="1765881171">
              <w:marLeft w:val="0"/>
              <w:marRight w:val="0"/>
              <w:marTop w:val="0"/>
              <w:marBottom w:val="0"/>
              <w:divBdr>
                <w:top w:val="none" w:sz="0" w:space="0" w:color="auto"/>
                <w:left w:val="none" w:sz="0" w:space="0" w:color="auto"/>
                <w:bottom w:val="none" w:sz="0" w:space="0" w:color="auto"/>
                <w:right w:val="none" w:sz="0" w:space="0" w:color="auto"/>
              </w:divBdr>
              <w:divsChild>
                <w:div w:id="2113163673">
                  <w:marLeft w:val="0"/>
                  <w:marRight w:val="0"/>
                  <w:marTop w:val="0"/>
                  <w:marBottom w:val="0"/>
                  <w:divBdr>
                    <w:top w:val="none" w:sz="0" w:space="0" w:color="auto"/>
                    <w:left w:val="none" w:sz="0" w:space="0" w:color="auto"/>
                    <w:bottom w:val="none" w:sz="0" w:space="0" w:color="auto"/>
                    <w:right w:val="none" w:sz="0" w:space="0" w:color="auto"/>
                  </w:divBdr>
                  <w:divsChild>
                    <w:div w:id="114107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083642">
      <w:bodyDiv w:val="1"/>
      <w:marLeft w:val="0"/>
      <w:marRight w:val="0"/>
      <w:marTop w:val="0"/>
      <w:marBottom w:val="0"/>
      <w:divBdr>
        <w:top w:val="none" w:sz="0" w:space="0" w:color="auto"/>
        <w:left w:val="none" w:sz="0" w:space="0" w:color="auto"/>
        <w:bottom w:val="none" w:sz="0" w:space="0" w:color="auto"/>
        <w:right w:val="none" w:sz="0" w:space="0" w:color="auto"/>
      </w:divBdr>
    </w:div>
    <w:div w:id="1691250427">
      <w:bodyDiv w:val="1"/>
      <w:marLeft w:val="0"/>
      <w:marRight w:val="0"/>
      <w:marTop w:val="0"/>
      <w:marBottom w:val="0"/>
      <w:divBdr>
        <w:top w:val="none" w:sz="0" w:space="0" w:color="auto"/>
        <w:left w:val="none" w:sz="0" w:space="0" w:color="auto"/>
        <w:bottom w:val="none" w:sz="0" w:space="0" w:color="auto"/>
        <w:right w:val="none" w:sz="0" w:space="0" w:color="auto"/>
      </w:divBdr>
    </w:div>
    <w:div w:id="1697347255">
      <w:bodyDiv w:val="1"/>
      <w:marLeft w:val="0"/>
      <w:marRight w:val="0"/>
      <w:marTop w:val="0"/>
      <w:marBottom w:val="0"/>
      <w:divBdr>
        <w:top w:val="none" w:sz="0" w:space="0" w:color="auto"/>
        <w:left w:val="none" w:sz="0" w:space="0" w:color="auto"/>
        <w:bottom w:val="none" w:sz="0" w:space="0" w:color="auto"/>
        <w:right w:val="none" w:sz="0" w:space="0" w:color="auto"/>
      </w:divBdr>
    </w:div>
    <w:div w:id="1839493705">
      <w:bodyDiv w:val="1"/>
      <w:marLeft w:val="0"/>
      <w:marRight w:val="0"/>
      <w:marTop w:val="0"/>
      <w:marBottom w:val="0"/>
      <w:divBdr>
        <w:top w:val="none" w:sz="0" w:space="0" w:color="auto"/>
        <w:left w:val="none" w:sz="0" w:space="0" w:color="auto"/>
        <w:bottom w:val="none" w:sz="0" w:space="0" w:color="auto"/>
        <w:right w:val="none" w:sz="0" w:space="0" w:color="auto"/>
      </w:divBdr>
    </w:div>
    <w:div w:id="1840729445">
      <w:bodyDiv w:val="1"/>
      <w:marLeft w:val="0"/>
      <w:marRight w:val="0"/>
      <w:marTop w:val="0"/>
      <w:marBottom w:val="0"/>
      <w:divBdr>
        <w:top w:val="none" w:sz="0" w:space="0" w:color="auto"/>
        <w:left w:val="none" w:sz="0" w:space="0" w:color="auto"/>
        <w:bottom w:val="none" w:sz="0" w:space="0" w:color="auto"/>
        <w:right w:val="none" w:sz="0" w:space="0" w:color="auto"/>
      </w:divBdr>
    </w:div>
    <w:div w:id="1954170647">
      <w:bodyDiv w:val="1"/>
      <w:marLeft w:val="0"/>
      <w:marRight w:val="0"/>
      <w:marTop w:val="0"/>
      <w:marBottom w:val="0"/>
      <w:divBdr>
        <w:top w:val="none" w:sz="0" w:space="0" w:color="auto"/>
        <w:left w:val="none" w:sz="0" w:space="0" w:color="auto"/>
        <w:bottom w:val="none" w:sz="0" w:space="0" w:color="auto"/>
        <w:right w:val="none" w:sz="0" w:space="0" w:color="auto"/>
      </w:divBdr>
      <w:divsChild>
        <w:div w:id="1134759042">
          <w:marLeft w:val="-420"/>
          <w:marRight w:val="0"/>
          <w:marTop w:val="0"/>
          <w:marBottom w:val="0"/>
          <w:divBdr>
            <w:top w:val="none" w:sz="0" w:space="0" w:color="auto"/>
            <w:left w:val="none" w:sz="0" w:space="0" w:color="auto"/>
            <w:bottom w:val="none" w:sz="0" w:space="0" w:color="auto"/>
            <w:right w:val="none" w:sz="0" w:space="0" w:color="auto"/>
          </w:divBdr>
          <w:divsChild>
            <w:div w:id="690692046">
              <w:marLeft w:val="0"/>
              <w:marRight w:val="0"/>
              <w:marTop w:val="0"/>
              <w:marBottom w:val="0"/>
              <w:divBdr>
                <w:top w:val="none" w:sz="0" w:space="0" w:color="auto"/>
                <w:left w:val="none" w:sz="0" w:space="0" w:color="auto"/>
                <w:bottom w:val="none" w:sz="0" w:space="0" w:color="auto"/>
                <w:right w:val="none" w:sz="0" w:space="0" w:color="auto"/>
              </w:divBdr>
              <w:divsChild>
                <w:div w:id="1166358132">
                  <w:marLeft w:val="0"/>
                  <w:marRight w:val="0"/>
                  <w:marTop w:val="0"/>
                  <w:marBottom w:val="0"/>
                  <w:divBdr>
                    <w:top w:val="none" w:sz="0" w:space="0" w:color="auto"/>
                    <w:left w:val="none" w:sz="0" w:space="0" w:color="auto"/>
                    <w:bottom w:val="none" w:sz="0" w:space="0" w:color="auto"/>
                    <w:right w:val="none" w:sz="0" w:space="0" w:color="auto"/>
                  </w:divBdr>
                  <w:divsChild>
                    <w:div w:id="69658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07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yalliance.org.uk/involving-parents-their-children%E2%80%99s-learning" TargetMode="External"/><Relationship Id="rId13" Type="http://schemas.openxmlformats.org/officeDocument/2006/relationships/hyperlink" Target="https://link.gale.com/apps/doc/A18960235/AONE?u=anon~a0d730b5&amp;sid=googleScholar&amp;xid=4eddbb82" TargetMode="External"/><Relationship Id="rId18" Type="http://schemas.openxmlformats.org/officeDocument/2006/relationships/hyperlink" Target="https://doi.org/10.1080/09669760.2023.2275413"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016/j.ecresq.2017.10.001" TargetMode="External"/><Relationship Id="rId7" Type="http://schemas.openxmlformats.org/officeDocument/2006/relationships/hyperlink" Target="https://assets.publishing.service.gov.uk/media/5a8061f4ed915d74e622e223/SEED__Good_Practice_in_Early_Education_-_RR553.pdf" TargetMode="External"/><Relationship Id="rId12" Type="http://schemas.openxmlformats.org/officeDocument/2006/relationships/hyperlink" Target="https://www.gowriensw.com.au/thought-leadership/vygotsky-theory" TargetMode="External"/><Relationship Id="rId17" Type="http://schemas.openxmlformats.org/officeDocument/2006/relationships/hyperlink" Target="https://www.nurseryworld.co.uk/" TargetMode="External"/><Relationship Id="rId25" Type="http://schemas.openxmlformats.org/officeDocument/2006/relationships/hyperlink" Target="https://www.researchgate.net/profile/Martina-Kuvalja/publication/340137325_The_importance_of_play_A_report_on_the_value_of_children" TargetMode="External"/><Relationship Id="rId2" Type="http://schemas.openxmlformats.org/officeDocument/2006/relationships/styles" Target="styles.xml"/><Relationship Id="rId16" Type="http://schemas.openxmlformats.org/officeDocument/2006/relationships/hyperlink" Target="https://assets.publishing.service.gov.uk/media/61964e22e90e07043c35f311/SEED-Age_4_RESEARCH_REPORT.pdf" TargetMode="External"/><Relationship Id="rId20" Type="http://schemas.openxmlformats.org/officeDocument/2006/relationships/hyperlink" Target="https://doi.org/10.1016/j.ecresq.2003.09.004"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7/a0027899" TargetMode="External"/><Relationship Id="rId24" Type="http://schemas.openxmlformats.org/officeDocument/2006/relationships/hyperlink" Target="https://www.unicef.org/" TargetMode="External"/><Relationship Id="rId5" Type="http://schemas.openxmlformats.org/officeDocument/2006/relationships/footnotes" Target="footnotes.xml"/><Relationship Id="rId15" Type="http://schemas.openxmlformats.org/officeDocument/2006/relationships/hyperlink" Target="https://www.mcw.edu/-/media/MCW/Education/Academic-Affairs/OEI/Faculty-Quick-Guides/Sociocultural-Theory-of-Cognitive-Development.pdf" TargetMode="External"/><Relationship Id="rId23" Type="http://schemas.openxmlformats.org/officeDocument/2006/relationships/hyperlink" Target="https://assets.publishing.service.gov.uk/media/5a803cb240f0b62305b89fbf/RB455_Effective_pre-school_primary_and_secondary_education_project.pdf.pdf" TargetMode="External"/><Relationship Id="rId28" Type="http://schemas.openxmlformats.org/officeDocument/2006/relationships/footer" Target="footer2.xml"/><Relationship Id="rId10" Type="http://schemas.openxmlformats.org/officeDocument/2006/relationships/hyperlink" Target="https://assets.publishing.service.gov.uk/media/5b438623e5274a376e24e115/Study_of_quality_of_early_years_provision_in_England.pdf" TargetMode="External"/><Relationship Id="rId19" Type="http://schemas.openxmlformats.org/officeDocument/2006/relationships/hyperlink" Target="https://www.hatching-dragons.com/en-gb/blog/exploring-the-te-wh%C4%81riki-approach-to-early-years-education" TargetMode="External"/><Relationship Id="rId4" Type="http://schemas.openxmlformats.org/officeDocument/2006/relationships/webSettings" Target="webSettings.xml"/><Relationship Id="rId9" Type="http://schemas.openxmlformats.org/officeDocument/2006/relationships/hyperlink" Target="https://educationendowmentfoundation.org.uk/early-years/high-quality-interactions" TargetMode="External"/><Relationship Id="rId14" Type="http://schemas.openxmlformats.org/officeDocument/2006/relationships/hyperlink" Target="https://www.ncbi.nlm.nih.gov/books/NBK534819/" TargetMode="External"/><Relationship Id="rId22" Type="http://schemas.openxmlformats.org/officeDocument/2006/relationships/hyperlink" Target="https://discovery.ucl.ac.uk/id/eprint/10005308/1/EPPE12Sylva2004Effective.pdf" TargetMode="External"/><Relationship Id="rId27" Type="http://schemas.openxmlformats.org/officeDocument/2006/relationships/footer" Target="foot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108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3087</Words>
  <Characters>17601</Characters>
  <Application>Microsoft Office Word</Application>
  <DocSecurity>0</DocSecurity>
  <Lines>146</Lines>
  <Paragraphs>41</Paragraphs>
  <ScaleCrop>false</ScaleCrop>
  <Company/>
  <LinksUpToDate>false</LinksUpToDate>
  <CharactersWithSpaces>20647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Natasha Young</cp:lastModifiedBy>
  <cp:revision>1</cp:revision>
  <dcterms:created xsi:type="dcterms:W3CDTF">2025-03-13T14:26:00Z</dcterms:created>
  <dcterms:modified xsi:type="dcterms:W3CDTF">2025-04-12T14:53:00Z</dcterms:modified>
</cp:coreProperties>
</file>