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3660A" w14:textId="77777777" w:rsidR="00704258" w:rsidRPr="00704258" w:rsidRDefault="00704258" w:rsidP="00704258">
      <w:pPr>
        <w:rPr>
          <w:b/>
          <w:bCs/>
          <w:sz w:val="22"/>
          <w:szCs w:val="22"/>
        </w:rPr>
      </w:pPr>
      <w:r w:rsidRPr="00704258">
        <w:rPr>
          <w:b/>
          <w:bCs/>
          <w:sz w:val="22"/>
          <w:szCs w:val="22"/>
        </w:rPr>
        <w:t xml:space="preserve">Strategic Cybersecurity Governance and Compliance Engineering: A Unified Security Framework for </w:t>
      </w:r>
      <w:proofErr w:type="spellStart"/>
      <w:r w:rsidRPr="00704258">
        <w:rPr>
          <w:b/>
          <w:bCs/>
          <w:sz w:val="22"/>
          <w:szCs w:val="22"/>
        </w:rPr>
        <w:t>AeroLink</w:t>
      </w:r>
      <w:proofErr w:type="spellEnd"/>
      <w:r w:rsidRPr="00704258">
        <w:rPr>
          <w:b/>
          <w:bCs/>
          <w:sz w:val="22"/>
          <w:szCs w:val="22"/>
        </w:rPr>
        <w:t xml:space="preserve"> Logistics (ALL)</w:t>
      </w:r>
    </w:p>
    <w:p w14:paraId="634E6B84" w14:textId="77777777" w:rsidR="00704258" w:rsidRPr="00704258" w:rsidRDefault="00704258" w:rsidP="00704258">
      <w:pPr>
        <w:rPr>
          <w:b/>
          <w:bCs/>
          <w:sz w:val="22"/>
          <w:szCs w:val="22"/>
        </w:rPr>
      </w:pPr>
      <w:r w:rsidRPr="00704258">
        <w:rPr>
          <w:b/>
          <w:bCs/>
          <w:sz w:val="22"/>
          <w:szCs w:val="22"/>
        </w:rPr>
        <w:t>Executive Summary</w:t>
      </w:r>
    </w:p>
    <w:p w14:paraId="30C289C0" w14:textId="77777777" w:rsidR="00211000" w:rsidRDefault="00211000" w:rsidP="00704258">
      <w:pPr>
        <w:rPr>
          <w:sz w:val="22"/>
          <w:szCs w:val="22"/>
        </w:rPr>
      </w:pPr>
      <w:proofErr w:type="spellStart"/>
      <w:r w:rsidRPr="00211000">
        <w:rPr>
          <w:sz w:val="22"/>
          <w:szCs w:val="22"/>
        </w:rPr>
        <w:t>AeroLink</w:t>
      </w:r>
      <w:proofErr w:type="spellEnd"/>
      <w:r w:rsidRPr="00211000">
        <w:rPr>
          <w:sz w:val="22"/>
          <w:szCs w:val="22"/>
        </w:rPr>
        <w:t xml:space="preserve"> Logistics (ALL) is a tech-led, asset-light, hyper-distributed global supply chain matrix. It relies on artificial intelligence (AI) analytics engines, cloud architectures (88% outsourced via IaaS/SaaS) and Internet of Things (IoT) sensors. But its growth outstripped the maturity of its structural security. This mismatch created serious risks that resulted in repeated compromises of both client shipment data and customer personally identifiable information (PII.</w:t>
      </w:r>
    </w:p>
    <w:p w14:paraId="03E975FA" w14:textId="31BCBD9A" w:rsidR="00704258" w:rsidRPr="00704258" w:rsidRDefault="00BD6321" w:rsidP="00704258">
      <w:pPr>
        <w:rPr>
          <w:sz w:val="22"/>
          <w:szCs w:val="22"/>
        </w:rPr>
      </w:pPr>
      <w:r w:rsidRPr="00BD6321">
        <w:rPr>
          <w:sz w:val="22"/>
          <w:szCs w:val="22"/>
        </w:rPr>
        <w:t xml:space="preserve">A rigorous, robust, and enterprise-wide information security strategy is established in this extensive research. It offers a rigorous comparative analysis of the most popular international security frameworks, including ITIL v4, COBIT 2019, ISO/IEC 27001:2022, and NIST CSF 2.0. It creates the </w:t>
      </w:r>
      <w:proofErr w:type="spellStart"/>
      <w:r w:rsidRPr="00BD6321">
        <w:rPr>
          <w:sz w:val="22"/>
          <w:szCs w:val="22"/>
        </w:rPr>
        <w:t>AeroLink</w:t>
      </w:r>
      <w:proofErr w:type="spellEnd"/>
      <w:r w:rsidRPr="00BD6321">
        <w:rPr>
          <w:sz w:val="22"/>
          <w:szCs w:val="22"/>
        </w:rPr>
        <w:t xml:space="preserve"> Unified Security &amp; Governance Framework (AUSGF), a unique hybrid paradigm, using these insights.</w:t>
      </w:r>
    </w:p>
    <w:p w14:paraId="2885E569" w14:textId="2BC8D33D" w:rsidR="00704258" w:rsidRPr="00704258" w:rsidRDefault="00EC6584" w:rsidP="00704258">
      <w:pPr>
        <w:rPr>
          <w:sz w:val="22"/>
          <w:szCs w:val="22"/>
        </w:rPr>
      </w:pPr>
      <w:r w:rsidRPr="00EC6584">
        <w:rPr>
          <w:sz w:val="22"/>
          <w:szCs w:val="22"/>
        </w:rPr>
        <w:t>The AUSGF is a trade-off between the operational requirements of unmanaged devices, complex third-party vendor dependencies, and automated logistics networks, and strict regulatory constraints (such GDPR and the EU NIS 2 Directive). Finally, this document rightly addresses the significance of ongoing compliance updates for long-term operational resilience amid evolving global threats.</w:t>
      </w:r>
      <w:r w:rsidR="00000000">
        <w:rPr>
          <w:sz w:val="22"/>
          <w:szCs w:val="22"/>
        </w:rPr>
        <w:pict w14:anchorId="4FC015BB">
          <v:rect id="_x0000_i1026" style="width:0;height:1.5pt" o:hralign="center" o:hrstd="t" o:hr="t" fillcolor="#a0a0a0" stroked="f"/>
        </w:pict>
      </w:r>
    </w:p>
    <w:p w14:paraId="33BEB8F9" w14:textId="77777777" w:rsidR="00704258" w:rsidRPr="00704258" w:rsidRDefault="00704258" w:rsidP="00704258">
      <w:pPr>
        <w:rPr>
          <w:b/>
          <w:bCs/>
          <w:sz w:val="22"/>
          <w:szCs w:val="22"/>
        </w:rPr>
      </w:pPr>
      <w:r w:rsidRPr="00704258">
        <w:rPr>
          <w:b/>
          <w:bCs/>
          <w:sz w:val="22"/>
          <w:szCs w:val="22"/>
        </w:rPr>
        <w:t>1. Project Parameters &amp; Contextual Assumptions</w:t>
      </w:r>
    </w:p>
    <w:p w14:paraId="1111ABE0" w14:textId="77777777" w:rsidR="00FE17D3" w:rsidRPr="00FE17D3" w:rsidRDefault="00FE17D3" w:rsidP="00FE17D3">
      <w:pPr>
        <w:rPr>
          <w:sz w:val="22"/>
          <w:szCs w:val="22"/>
        </w:rPr>
      </w:pPr>
      <w:r w:rsidRPr="00FE17D3">
        <w:rPr>
          <w:sz w:val="22"/>
          <w:szCs w:val="22"/>
        </w:rPr>
        <w:t>To contextualise the structural, financial, and operational design of the recommended information security program, the following strategic parameters and baseline constraints are assumed:</w:t>
      </w:r>
    </w:p>
    <w:p w14:paraId="6DFB78FB" w14:textId="719E019D" w:rsidR="00FE17D3" w:rsidRPr="00FE17D3" w:rsidRDefault="00FE17D3" w:rsidP="00FE17D3">
      <w:pPr>
        <w:numPr>
          <w:ilvl w:val="0"/>
          <w:numId w:val="11"/>
        </w:numPr>
        <w:rPr>
          <w:sz w:val="22"/>
          <w:szCs w:val="22"/>
        </w:rPr>
      </w:pPr>
      <w:r w:rsidRPr="00FE17D3">
        <w:rPr>
          <w:b/>
          <w:bCs/>
          <w:sz w:val="22"/>
          <w:szCs w:val="22"/>
        </w:rPr>
        <w:t>Corporate Scale and Revenue:</w:t>
      </w:r>
      <w:r w:rsidRPr="00FE17D3">
        <w:rPr>
          <w:sz w:val="22"/>
          <w:szCs w:val="22"/>
        </w:rPr>
        <w:t xml:space="preserve"> </w:t>
      </w:r>
      <w:r w:rsidR="00B27200" w:rsidRPr="00B27200">
        <w:rPr>
          <w:sz w:val="22"/>
          <w:szCs w:val="22"/>
        </w:rPr>
        <w:t>ALL is a Tier 1 multinational organization that operates in four major geographic regions: North America, the European Union, Asia-Pacific, and the United Kingdom. It has an annual revenue of around £1.2 billion and employs 14,500 people, including 3,500 remote logistics agents, warehousing dispatchers, and field delivery partners.</w:t>
      </w:r>
    </w:p>
    <w:p w14:paraId="635D2666" w14:textId="3215F518" w:rsidR="00FE17D3" w:rsidRPr="00FE17D3" w:rsidRDefault="00FE17D3" w:rsidP="00FE17D3">
      <w:pPr>
        <w:numPr>
          <w:ilvl w:val="0"/>
          <w:numId w:val="11"/>
        </w:numPr>
        <w:rPr>
          <w:sz w:val="22"/>
          <w:szCs w:val="22"/>
        </w:rPr>
      </w:pPr>
      <w:r w:rsidRPr="00FE17D3">
        <w:rPr>
          <w:b/>
          <w:bCs/>
          <w:sz w:val="22"/>
          <w:szCs w:val="22"/>
        </w:rPr>
        <w:t>Financial Allocation &amp; Budget:</w:t>
      </w:r>
      <w:r w:rsidRPr="00FE17D3">
        <w:rPr>
          <w:sz w:val="22"/>
          <w:szCs w:val="22"/>
        </w:rPr>
        <w:t xml:space="preserve"> </w:t>
      </w:r>
      <w:r w:rsidR="00EC6584" w:rsidRPr="00EC6584">
        <w:rPr>
          <w:sz w:val="22"/>
          <w:szCs w:val="22"/>
        </w:rPr>
        <w:t xml:space="preserve">The Board of Directors has earmarked £8.2 million per year for contingency cyber security spend, which represents 9.5% of the entire IT budget over three years. This </w:t>
      </w:r>
      <w:proofErr w:type="gramStart"/>
      <w:r w:rsidR="00EC6584" w:rsidRPr="00EC6584">
        <w:rPr>
          <w:sz w:val="22"/>
          <w:szCs w:val="22"/>
        </w:rPr>
        <w:t>particular fund</w:t>
      </w:r>
      <w:proofErr w:type="gramEnd"/>
      <w:r w:rsidR="00EC6584" w:rsidRPr="00EC6584">
        <w:rPr>
          <w:sz w:val="22"/>
          <w:szCs w:val="22"/>
        </w:rPr>
        <w:t xml:space="preserve"> is targeting automated vendor monitoring tools, identity management overhauls, and framework engineering.</w:t>
      </w:r>
    </w:p>
    <w:p w14:paraId="07970295" w14:textId="24D33EAE" w:rsidR="00FE17D3" w:rsidRPr="00FE17D3" w:rsidRDefault="00FE17D3" w:rsidP="00FE17D3">
      <w:pPr>
        <w:numPr>
          <w:ilvl w:val="0"/>
          <w:numId w:val="11"/>
        </w:numPr>
        <w:rPr>
          <w:sz w:val="22"/>
          <w:szCs w:val="22"/>
        </w:rPr>
      </w:pPr>
      <w:r w:rsidRPr="00FE17D3">
        <w:rPr>
          <w:b/>
          <w:bCs/>
          <w:sz w:val="22"/>
          <w:szCs w:val="22"/>
        </w:rPr>
        <w:t>Infrastructure Baseline:</w:t>
      </w:r>
      <w:r w:rsidRPr="00FE17D3">
        <w:rPr>
          <w:sz w:val="22"/>
          <w:szCs w:val="22"/>
        </w:rPr>
        <w:t xml:space="preserve"> </w:t>
      </w:r>
      <w:r w:rsidR="00EC6584" w:rsidRPr="00EC6584">
        <w:rPr>
          <w:sz w:val="22"/>
          <w:szCs w:val="22"/>
        </w:rPr>
        <w:t xml:space="preserve">The 88% outsourced footprint includes Amazon Web Services (AWS) and Microsoft Azure for IaaS deployments and enterprise SaaS apps like Salesforce CRM and SAP Cloud ERP. Legacy warehouse management systems (WMS) running locally at major shipping hubs account for 12 percent of the internal </w:t>
      </w:r>
      <w:proofErr w:type="gramStart"/>
      <w:r w:rsidR="00EC6584" w:rsidRPr="00EC6584">
        <w:rPr>
          <w:sz w:val="22"/>
          <w:szCs w:val="22"/>
        </w:rPr>
        <w:t>on-premise</w:t>
      </w:r>
      <w:proofErr w:type="gramEnd"/>
      <w:r w:rsidR="00EC6584" w:rsidRPr="00EC6584">
        <w:rPr>
          <w:sz w:val="22"/>
          <w:szCs w:val="22"/>
        </w:rPr>
        <w:t xml:space="preserve"> infrastructure.</w:t>
      </w:r>
    </w:p>
    <w:p w14:paraId="1ADD3552" w14:textId="77777777" w:rsidR="00D53E7C" w:rsidRDefault="00FE17D3" w:rsidP="00FE17D3">
      <w:pPr>
        <w:numPr>
          <w:ilvl w:val="0"/>
          <w:numId w:val="11"/>
        </w:numPr>
        <w:rPr>
          <w:sz w:val="22"/>
          <w:szCs w:val="22"/>
        </w:rPr>
      </w:pPr>
      <w:r w:rsidRPr="00D53E7C">
        <w:rPr>
          <w:b/>
          <w:bCs/>
          <w:sz w:val="22"/>
          <w:szCs w:val="22"/>
        </w:rPr>
        <w:t>Asset Footprint:</w:t>
      </w:r>
      <w:r w:rsidRPr="00D53E7C">
        <w:rPr>
          <w:sz w:val="22"/>
          <w:szCs w:val="22"/>
        </w:rPr>
        <w:t xml:space="preserve"> </w:t>
      </w:r>
      <w:r w:rsidR="00D53E7C" w:rsidRPr="00D53E7C">
        <w:rPr>
          <w:sz w:val="22"/>
          <w:szCs w:val="22"/>
        </w:rPr>
        <w:t xml:space="preserve">The operational technology (OT) category includes about 250,000 active, globally distributed IoT-enabled cellular edge tracking sensors (narrowband IoT). </w:t>
      </w:r>
      <w:r w:rsidR="00D53E7C" w:rsidRPr="00D53E7C">
        <w:rPr>
          <w:sz w:val="22"/>
          <w:szCs w:val="22"/>
        </w:rPr>
        <w:lastRenderedPageBreak/>
        <w:t>These sensors track cargo temperature, GPS coordinates, and transit telematics throughout international transport routes.</w:t>
      </w:r>
    </w:p>
    <w:p w14:paraId="17F55FE0" w14:textId="48F9958D" w:rsidR="00FE17D3" w:rsidRPr="00D53E7C" w:rsidRDefault="00FE17D3" w:rsidP="00FE17D3">
      <w:pPr>
        <w:numPr>
          <w:ilvl w:val="0"/>
          <w:numId w:val="11"/>
        </w:numPr>
        <w:rPr>
          <w:sz w:val="22"/>
          <w:szCs w:val="22"/>
        </w:rPr>
      </w:pPr>
      <w:r w:rsidRPr="00D53E7C">
        <w:rPr>
          <w:b/>
          <w:bCs/>
          <w:sz w:val="22"/>
          <w:szCs w:val="22"/>
        </w:rPr>
        <w:t>Regulatory &amp; Data Profile:</w:t>
      </w:r>
      <w:r w:rsidRPr="00D53E7C">
        <w:rPr>
          <w:sz w:val="22"/>
          <w:szCs w:val="22"/>
        </w:rPr>
        <w:t xml:space="preserve"> </w:t>
      </w:r>
      <w:r w:rsidR="00E54F55" w:rsidRPr="00E54F55">
        <w:rPr>
          <w:sz w:val="22"/>
          <w:szCs w:val="22"/>
        </w:rPr>
        <w:t>As a crucial transport and logistics organization, ALL is directly subject to the General Data Protection Regulation (GDPR), the UK GDPR, and the Network and Information Systems Directive (NIS 2) since it manages logistics operations inside the EU and the UK [15]. It oversees data records for 2.4 million different data subjects worldwide.</w:t>
      </w:r>
    </w:p>
    <w:p w14:paraId="3B6BC7ED" w14:textId="151A544E" w:rsidR="00FE17D3" w:rsidRPr="00FE17D3" w:rsidRDefault="00FE17D3" w:rsidP="00FE17D3">
      <w:pPr>
        <w:numPr>
          <w:ilvl w:val="0"/>
          <w:numId w:val="11"/>
        </w:numPr>
        <w:rPr>
          <w:sz w:val="22"/>
          <w:szCs w:val="22"/>
        </w:rPr>
      </w:pPr>
      <w:r w:rsidRPr="00FE17D3">
        <w:rPr>
          <w:b/>
          <w:bCs/>
          <w:sz w:val="22"/>
          <w:szCs w:val="22"/>
        </w:rPr>
        <w:t>Initial Security Maturity Level:</w:t>
      </w:r>
      <w:r w:rsidRPr="00FE17D3">
        <w:rPr>
          <w:sz w:val="22"/>
          <w:szCs w:val="22"/>
        </w:rPr>
        <w:t xml:space="preserve"> </w:t>
      </w:r>
      <w:r w:rsidR="00856FD8" w:rsidRPr="00856FD8">
        <w:rPr>
          <w:sz w:val="22"/>
          <w:szCs w:val="22"/>
        </w:rPr>
        <w:t>According to the Capability Maturity Model Integration (CMMI) scale, ALL is presently at Level 1 (Initial/Ad hoc). Security operations lack executive governance supervision, are reactive, and lack consistency.</w:t>
      </w:r>
    </w:p>
    <w:p w14:paraId="56AAACB7" w14:textId="77777777" w:rsidR="00704258" w:rsidRPr="00704258" w:rsidRDefault="00000000" w:rsidP="00704258">
      <w:pPr>
        <w:rPr>
          <w:sz w:val="22"/>
          <w:szCs w:val="22"/>
        </w:rPr>
      </w:pPr>
      <w:r>
        <w:rPr>
          <w:sz w:val="22"/>
          <w:szCs w:val="22"/>
        </w:rPr>
        <w:pict w14:anchorId="170E78FC">
          <v:rect id="_x0000_i1027" style="width:0;height:1.5pt" o:hralign="center" o:hrstd="t" o:hr="t" fillcolor="#a0a0a0" stroked="f"/>
        </w:pict>
      </w:r>
    </w:p>
    <w:p w14:paraId="6CB0C0D2" w14:textId="77777777" w:rsidR="00704258" w:rsidRPr="00704258" w:rsidRDefault="00704258" w:rsidP="00704258">
      <w:pPr>
        <w:rPr>
          <w:b/>
          <w:bCs/>
          <w:sz w:val="22"/>
          <w:szCs w:val="22"/>
        </w:rPr>
      </w:pPr>
      <w:r w:rsidRPr="00704258">
        <w:rPr>
          <w:b/>
          <w:bCs/>
          <w:sz w:val="22"/>
          <w:szCs w:val="22"/>
        </w:rPr>
        <w:t>2. Comparative Analysis of Leading Security Governance Frameworks</w:t>
      </w:r>
    </w:p>
    <w:p w14:paraId="498E0B50" w14:textId="77777777" w:rsidR="009C781E" w:rsidRDefault="009C781E" w:rsidP="00704258">
      <w:pPr>
        <w:rPr>
          <w:sz w:val="22"/>
          <w:szCs w:val="22"/>
        </w:rPr>
      </w:pPr>
      <w:r w:rsidRPr="009C781E">
        <w:rPr>
          <w:sz w:val="22"/>
          <w:szCs w:val="22"/>
        </w:rPr>
        <w:t xml:space="preserve">Four top cybersecurity, governance, and service management frameworks must be assessed in relation to the unique risk profile of the business </w:t>
      </w:r>
      <w:proofErr w:type="gramStart"/>
      <w:r w:rsidRPr="009C781E">
        <w:rPr>
          <w:sz w:val="22"/>
          <w:szCs w:val="22"/>
        </w:rPr>
        <w:t>in order to</w:t>
      </w:r>
      <w:proofErr w:type="gramEnd"/>
      <w:r w:rsidRPr="009C781E">
        <w:rPr>
          <w:sz w:val="22"/>
          <w:szCs w:val="22"/>
        </w:rPr>
        <w:t xml:space="preserve"> design the best possible operational model for ALL.</w:t>
      </w:r>
    </w:p>
    <w:p w14:paraId="23C16398" w14:textId="1C7181D2" w:rsidR="00704258" w:rsidRPr="00704258" w:rsidRDefault="00704258" w:rsidP="00704258">
      <w:pPr>
        <w:rPr>
          <w:b/>
          <w:bCs/>
          <w:sz w:val="22"/>
          <w:szCs w:val="22"/>
        </w:rPr>
      </w:pPr>
      <w:r w:rsidRPr="00704258">
        <w:rPr>
          <w:b/>
          <w:bCs/>
          <w:sz w:val="22"/>
          <w:szCs w:val="22"/>
        </w:rPr>
        <w:t>2.1 NIST Cybersecurity Framework (NIST CSF 2.0)</w:t>
      </w:r>
    </w:p>
    <w:p w14:paraId="138F5F74" w14:textId="77777777" w:rsidR="00FE1C46" w:rsidRDefault="00FE1C46" w:rsidP="00704258">
      <w:pPr>
        <w:rPr>
          <w:sz w:val="22"/>
          <w:szCs w:val="22"/>
        </w:rPr>
      </w:pPr>
      <w:r w:rsidRPr="00FE1C46">
        <w:rPr>
          <w:sz w:val="22"/>
          <w:szCs w:val="22"/>
        </w:rPr>
        <w:t>An outcome-driven approach to cybersecurity risk management is offered by the NIST CSF 2.0. Govern, Identify, Protect, Detect, Respond, and Recover are its six fundamental concurrent and continuous functions [1].</w:t>
      </w:r>
    </w:p>
    <w:p w14:paraId="760DF20B" w14:textId="2B811F02" w:rsidR="00704258" w:rsidRPr="00704258" w:rsidRDefault="00704258" w:rsidP="00704258">
      <w:pPr>
        <w:rPr>
          <w:sz w:val="22"/>
          <w:szCs w:val="22"/>
        </w:rPr>
      </w:pPr>
      <w:r w:rsidRPr="00704258">
        <w:rPr>
          <w:sz w:val="22"/>
          <w:szCs w:val="22"/>
        </w:rPr>
        <w:t>The visual layout of these core functions can be contextualised through structured operational workflows:</w:t>
      </w:r>
    </w:p>
    <w:p w14:paraId="100B7933" w14:textId="4598004B" w:rsidR="00704258" w:rsidRPr="00704258" w:rsidRDefault="00704258" w:rsidP="00704258">
      <w:pPr>
        <w:numPr>
          <w:ilvl w:val="0"/>
          <w:numId w:val="2"/>
        </w:numPr>
        <w:rPr>
          <w:sz w:val="22"/>
          <w:szCs w:val="22"/>
        </w:rPr>
      </w:pPr>
      <w:r w:rsidRPr="00704258">
        <w:rPr>
          <w:b/>
          <w:bCs/>
          <w:sz w:val="22"/>
          <w:szCs w:val="22"/>
        </w:rPr>
        <w:t>Govern (GV):</w:t>
      </w:r>
      <w:r w:rsidRPr="00704258">
        <w:rPr>
          <w:sz w:val="22"/>
          <w:szCs w:val="22"/>
        </w:rPr>
        <w:t xml:space="preserve"> </w:t>
      </w:r>
      <w:r w:rsidR="003938E8" w:rsidRPr="003938E8">
        <w:rPr>
          <w:sz w:val="22"/>
          <w:szCs w:val="22"/>
        </w:rPr>
        <w:t>Establishes the organization's cybersecurity risk management plan, including roles, responsibilities, and policies. It serves as the central mechanism that guides all subsequent phases.</w:t>
      </w:r>
    </w:p>
    <w:p w14:paraId="23354DE8" w14:textId="234F663E" w:rsidR="00704258" w:rsidRPr="00704258" w:rsidRDefault="00704258" w:rsidP="00704258">
      <w:pPr>
        <w:numPr>
          <w:ilvl w:val="0"/>
          <w:numId w:val="2"/>
        </w:numPr>
        <w:rPr>
          <w:sz w:val="22"/>
          <w:szCs w:val="22"/>
        </w:rPr>
      </w:pPr>
      <w:r w:rsidRPr="00704258">
        <w:rPr>
          <w:b/>
          <w:bCs/>
          <w:sz w:val="22"/>
          <w:szCs w:val="22"/>
        </w:rPr>
        <w:t>Identify (ID):</w:t>
      </w:r>
      <w:r w:rsidRPr="00704258">
        <w:rPr>
          <w:sz w:val="22"/>
          <w:szCs w:val="22"/>
        </w:rPr>
        <w:t xml:space="preserve"> </w:t>
      </w:r>
      <w:r w:rsidR="00DF7494" w:rsidRPr="00DF7494">
        <w:rPr>
          <w:sz w:val="22"/>
          <w:szCs w:val="22"/>
        </w:rPr>
        <w:t>Organizations may better understand their present risk environment by mapping physical and digital assets, data flows, and vendor relationships.</w:t>
      </w:r>
    </w:p>
    <w:p w14:paraId="4EFA6F7C" w14:textId="32858A85" w:rsidR="00704258" w:rsidRPr="00704258" w:rsidRDefault="00704258" w:rsidP="00704258">
      <w:pPr>
        <w:numPr>
          <w:ilvl w:val="0"/>
          <w:numId w:val="2"/>
        </w:numPr>
        <w:rPr>
          <w:sz w:val="22"/>
          <w:szCs w:val="22"/>
        </w:rPr>
      </w:pPr>
      <w:r w:rsidRPr="00704258">
        <w:rPr>
          <w:b/>
          <w:bCs/>
          <w:sz w:val="22"/>
          <w:szCs w:val="22"/>
        </w:rPr>
        <w:t>Protect (PR):</w:t>
      </w:r>
      <w:r w:rsidRPr="00704258">
        <w:rPr>
          <w:sz w:val="22"/>
          <w:szCs w:val="22"/>
        </w:rPr>
        <w:t xml:space="preserve"> </w:t>
      </w:r>
      <w:r w:rsidR="000C0AE2">
        <w:rPr>
          <w:sz w:val="22"/>
          <w:szCs w:val="22"/>
        </w:rPr>
        <w:t>U</w:t>
      </w:r>
      <w:r w:rsidR="000C0AE2" w:rsidRPr="000C0AE2">
        <w:rPr>
          <w:sz w:val="22"/>
          <w:szCs w:val="22"/>
        </w:rPr>
        <w:t>ses security measures like identity management, data encryption, and access controls to prevent or reduce cybersecurity incidents.</w:t>
      </w:r>
    </w:p>
    <w:p w14:paraId="7893B658" w14:textId="77777777" w:rsidR="00704258" w:rsidRPr="00704258" w:rsidRDefault="00704258" w:rsidP="00704258">
      <w:pPr>
        <w:numPr>
          <w:ilvl w:val="0"/>
          <w:numId w:val="2"/>
        </w:numPr>
        <w:rPr>
          <w:sz w:val="22"/>
          <w:szCs w:val="22"/>
        </w:rPr>
      </w:pPr>
      <w:r w:rsidRPr="00704258">
        <w:rPr>
          <w:b/>
          <w:bCs/>
          <w:sz w:val="22"/>
          <w:szCs w:val="22"/>
        </w:rPr>
        <w:t>Detect (DE):</w:t>
      </w:r>
      <w:r w:rsidRPr="00704258">
        <w:rPr>
          <w:sz w:val="22"/>
          <w:szCs w:val="22"/>
        </w:rPr>
        <w:t xml:space="preserve"> Identifies cybersecurity anomalies and events quickly through continuous security monitoring (e.g., SIEM tools).</w:t>
      </w:r>
    </w:p>
    <w:p w14:paraId="55C7470D" w14:textId="77777777" w:rsidR="00704258" w:rsidRPr="00704258" w:rsidRDefault="00704258" w:rsidP="00704258">
      <w:pPr>
        <w:numPr>
          <w:ilvl w:val="0"/>
          <w:numId w:val="2"/>
        </w:numPr>
        <w:rPr>
          <w:sz w:val="22"/>
          <w:szCs w:val="22"/>
        </w:rPr>
      </w:pPr>
      <w:r w:rsidRPr="00704258">
        <w:rPr>
          <w:b/>
          <w:bCs/>
          <w:sz w:val="22"/>
          <w:szCs w:val="22"/>
        </w:rPr>
        <w:t>Respond (RS):</w:t>
      </w:r>
      <w:r w:rsidRPr="00704258">
        <w:rPr>
          <w:sz w:val="22"/>
          <w:szCs w:val="22"/>
        </w:rPr>
        <w:t xml:space="preserve"> Outlines containment, mitigation, and communication activities once an incident is detected.</w:t>
      </w:r>
    </w:p>
    <w:p w14:paraId="58FDABF1" w14:textId="77777777" w:rsidR="00704258" w:rsidRPr="00704258" w:rsidRDefault="00704258" w:rsidP="00704258">
      <w:pPr>
        <w:numPr>
          <w:ilvl w:val="0"/>
          <w:numId w:val="2"/>
        </w:numPr>
        <w:rPr>
          <w:sz w:val="22"/>
          <w:szCs w:val="22"/>
        </w:rPr>
      </w:pPr>
      <w:r w:rsidRPr="00704258">
        <w:rPr>
          <w:b/>
          <w:bCs/>
          <w:sz w:val="22"/>
          <w:szCs w:val="22"/>
        </w:rPr>
        <w:t>Recover (RC):</w:t>
      </w:r>
      <w:r w:rsidRPr="00704258">
        <w:rPr>
          <w:sz w:val="22"/>
          <w:szCs w:val="22"/>
        </w:rPr>
        <w:t xml:space="preserve"> Ensures the timely restoration of normal operations following a breach, minimizing operational impact.</w:t>
      </w:r>
    </w:p>
    <w:p w14:paraId="16BA1DD0" w14:textId="421CCD34" w:rsidR="00704258" w:rsidRPr="00704258" w:rsidRDefault="00361A80" w:rsidP="00704258">
      <w:pPr>
        <w:rPr>
          <w:sz w:val="22"/>
          <w:szCs w:val="22"/>
        </w:rPr>
      </w:pPr>
      <w:r w:rsidRPr="00361A80">
        <w:rPr>
          <w:sz w:val="22"/>
          <w:szCs w:val="22"/>
        </w:rPr>
        <w:t>NIST CSF 2.0's adaptable, non-prescriptive, risk-based methodology provides immediate utility for ALL. It makes it easier to match business drivers with technical protective methods.</w:t>
      </w:r>
    </w:p>
    <w:p w14:paraId="7D165F31" w14:textId="77777777" w:rsidR="00704258" w:rsidRPr="00704258" w:rsidRDefault="00704258" w:rsidP="00704258">
      <w:pPr>
        <w:rPr>
          <w:sz w:val="22"/>
          <w:szCs w:val="22"/>
        </w:rPr>
      </w:pPr>
      <w:r w:rsidRPr="00704258">
        <w:rPr>
          <w:sz w:val="22"/>
          <w:szCs w:val="22"/>
        </w:rPr>
        <w:lastRenderedPageBreak/>
        <w:t>However, its lack of granular control specifications means it must be paired with an operational checklist to ensure thorough coverage.</w:t>
      </w:r>
    </w:p>
    <w:p w14:paraId="5E4EE890" w14:textId="77777777" w:rsidR="00704258" w:rsidRPr="00704258" w:rsidRDefault="00704258" w:rsidP="00704258">
      <w:pPr>
        <w:rPr>
          <w:b/>
          <w:bCs/>
          <w:sz w:val="22"/>
          <w:szCs w:val="22"/>
        </w:rPr>
      </w:pPr>
      <w:r w:rsidRPr="00704258">
        <w:rPr>
          <w:b/>
          <w:bCs/>
          <w:sz w:val="22"/>
          <w:szCs w:val="22"/>
        </w:rPr>
        <w:t>2.2 ISO/IEC 27001:2022</w:t>
      </w:r>
    </w:p>
    <w:p w14:paraId="143CCFA1" w14:textId="77777777" w:rsidR="00704258" w:rsidRPr="00704258" w:rsidRDefault="00704258" w:rsidP="00704258">
      <w:pPr>
        <w:rPr>
          <w:sz w:val="22"/>
          <w:szCs w:val="22"/>
        </w:rPr>
      </w:pPr>
      <w:r w:rsidRPr="00704258">
        <w:rPr>
          <w:sz w:val="22"/>
          <w:szCs w:val="22"/>
        </w:rPr>
        <w:t>ISO/IEC 27001:2022 is an international standard that specifies the requirements for establishing, implementing, maintaining, and continually improving an Information Security Management System (ISMS) [2]. The 2022 revision features a streamlined structure containing 93 individual controls partitioned across four main themes:</w:t>
      </w:r>
    </w:p>
    <w:p w14:paraId="7BF61BDE" w14:textId="77777777" w:rsidR="00704258" w:rsidRPr="00704258" w:rsidRDefault="00704258" w:rsidP="00704258">
      <w:pPr>
        <w:numPr>
          <w:ilvl w:val="0"/>
          <w:numId w:val="3"/>
        </w:numPr>
        <w:rPr>
          <w:sz w:val="22"/>
          <w:szCs w:val="22"/>
        </w:rPr>
      </w:pPr>
      <w:r w:rsidRPr="00704258">
        <w:rPr>
          <w:b/>
          <w:bCs/>
          <w:sz w:val="22"/>
          <w:szCs w:val="22"/>
        </w:rPr>
        <w:t>Organizational Controls (Annex A.5):</w:t>
      </w:r>
      <w:r w:rsidRPr="00704258">
        <w:rPr>
          <w:sz w:val="22"/>
          <w:szCs w:val="22"/>
        </w:rPr>
        <w:t xml:space="preserve"> 37 controls focusing on security policies, asset management, and cloud services usage.</w:t>
      </w:r>
    </w:p>
    <w:p w14:paraId="2B97FF52" w14:textId="77777777" w:rsidR="00704258" w:rsidRPr="00704258" w:rsidRDefault="00704258" w:rsidP="00704258">
      <w:pPr>
        <w:numPr>
          <w:ilvl w:val="0"/>
          <w:numId w:val="3"/>
        </w:numPr>
        <w:rPr>
          <w:sz w:val="22"/>
          <w:szCs w:val="22"/>
        </w:rPr>
      </w:pPr>
      <w:r w:rsidRPr="00704258">
        <w:rPr>
          <w:b/>
          <w:bCs/>
          <w:sz w:val="22"/>
          <w:szCs w:val="22"/>
        </w:rPr>
        <w:t>People Controls (Annex A.6):</w:t>
      </w:r>
      <w:r w:rsidRPr="00704258">
        <w:rPr>
          <w:sz w:val="22"/>
          <w:szCs w:val="22"/>
        </w:rPr>
        <w:t xml:space="preserve"> 8 controls addressing remote work, background screening, and confidentiality agreements.</w:t>
      </w:r>
    </w:p>
    <w:p w14:paraId="012AC762" w14:textId="77777777" w:rsidR="00704258" w:rsidRPr="00704258" w:rsidRDefault="00704258" w:rsidP="00704258">
      <w:pPr>
        <w:numPr>
          <w:ilvl w:val="0"/>
          <w:numId w:val="3"/>
        </w:numPr>
        <w:rPr>
          <w:sz w:val="22"/>
          <w:szCs w:val="22"/>
        </w:rPr>
      </w:pPr>
      <w:r w:rsidRPr="00704258">
        <w:rPr>
          <w:b/>
          <w:bCs/>
          <w:sz w:val="22"/>
          <w:szCs w:val="22"/>
        </w:rPr>
        <w:t>Physical Controls (Annex A.7):</w:t>
      </w:r>
      <w:r w:rsidRPr="00704258">
        <w:rPr>
          <w:sz w:val="22"/>
          <w:szCs w:val="22"/>
        </w:rPr>
        <w:t xml:space="preserve"> 14 controls securing facilities, equipment, and supply-chain storage hubs.</w:t>
      </w:r>
    </w:p>
    <w:p w14:paraId="612F9EDD" w14:textId="77777777" w:rsidR="00704258" w:rsidRPr="00704258" w:rsidRDefault="00704258" w:rsidP="00704258">
      <w:pPr>
        <w:numPr>
          <w:ilvl w:val="0"/>
          <w:numId w:val="3"/>
        </w:numPr>
        <w:rPr>
          <w:sz w:val="22"/>
          <w:szCs w:val="22"/>
        </w:rPr>
      </w:pPr>
      <w:r w:rsidRPr="00704258">
        <w:rPr>
          <w:b/>
          <w:bCs/>
          <w:sz w:val="22"/>
          <w:szCs w:val="22"/>
        </w:rPr>
        <w:t>Technological Controls (Annex A.8):</w:t>
      </w:r>
      <w:r w:rsidRPr="00704258">
        <w:rPr>
          <w:sz w:val="22"/>
          <w:szCs w:val="22"/>
        </w:rPr>
        <w:t xml:space="preserve"> 34 controls detailing endpoint security, encryption, secure coding, and network segmentation.</w:t>
      </w:r>
    </w:p>
    <w:p w14:paraId="7AEE8130" w14:textId="77777777" w:rsidR="00704258" w:rsidRPr="00704258" w:rsidRDefault="00704258" w:rsidP="00704258">
      <w:pPr>
        <w:rPr>
          <w:sz w:val="22"/>
          <w:szCs w:val="22"/>
        </w:rPr>
      </w:pPr>
      <w:r w:rsidRPr="00704258">
        <w:rPr>
          <w:sz w:val="22"/>
          <w:szCs w:val="22"/>
        </w:rPr>
        <w:t>This framework provides ALL with global market credibility and a prescriptive checklist to achieve regulatory compliance.</w:t>
      </w:r>
    </w:p>
    <w:p w14:paraId="2ADF123D" w14:textId="77777777" w:rsidR="00704258" w:rsidRPr="00704258" w:rsidRDefault="00704258" w:rsidP="00704258">
      <w:pPr>
        <w:rPr>
          <w:sz w:val="22"/>
          <w:szCs w:val="22"/>
        </w:rPr>
      </w:pPr>
      <w:r w:rsidRPr="00704258">
        <w:rPr>
          <w:sz w:val="22"/>
          <w:szCs w:val="22"/>
        </w:rPr>
        <w:t>Its primary challenge is its rigorous, process-heavy documentation requirements, which can strain organizations with low security maturity.</w:t>
      </w:r>
    </w:p>
    <w:p w14:paraId="4ACB751E" w14:textId="77777777" w:rsidR="00704258" w:rsidRPr="00704258" w:rsidRDefault="00704258" w:rsidP="00704258">
      <w:pPr>
        <w:rPr>
          <w:b/>
          <w:bCs/>
          <w:sz w:val="22"/>
          <w:szCs w:val="22"/>
        </w:rPr>
      </w:pPr>
      <w:r w:rsidRPr="00704258">
        <w:rPr>
          <w:b/>
          <w:bCs/>
          <w:sz w:val="22"/>
          <w:szCs w:val="22"/>
        </w:rPr>
        <w:t>2.3 COBIT 2019 (Control Objectives for Information and Related Technology)</w:t>
      </w:r>
    </w:p>
    <w:p w14:paraId="7A58DA42" w14:textId="77777777" w:rsidR="00704258" w:rsidRPr="00704258" w:rsidRDefault="00704258" w:rsidP="00704258">
      <w:pPr>
        <w:rPr>
          <w:sz w:val="22"/>
          <w:szCs w:val="22"/>
        </w:rPr>
      </w:pPr>
      <w:r w:rsidRPr="00704258">
        <w:rPr>
          <w:sz w:val="22"/>
          <w:szCs w:val="22"/>
        </w:rPr>
        <w:t>COBIT 2019 is an enterprise IT governance framework developed by ISACA. It separates enterprise governance from management through two distinct areas [3]:</w:t>
      </w:r>
    </w:p>
    <w:p w14:paraId="3DBA186D" w14:textId="77777777" w:rsidR="00704258" w:rsidRPr="00704258" w:rsidRDefault="00704258" w:rsidP="00704258">
      <w:pPr>
        <w:numPr>
          <w:ilvl w:val="0"/>
          <w:numId w:val="4"/>
        </w:numPr>
        <w:rPr>
          <w:sz w:val="22"/>
          <w:szCs w:val="22"/>
        </w:rPr>
      </w:pPr>
      <w:r w:rsidRPr="00704258">
        <w:rPr>
          <w:b/>
          <w:bCs/>
          <w:sz w:val="22"/>
          <w:szCs w:val="22"/>
        </w:rPr>
        <w:t>Governance Objectives:</w:t>
      </w:r>
      <w:r w:rsidRPr="00704258">
        <w:rPr>
          <w:sz w:val="22"/>
          <w:szCs w:val="22"/>
        </w:rPr>
        <w:t xml:space="preserve"> Managed by the Board of Directors under the EDM domain (Evaluate, Direct, and Monitor).</w:t>
      </w:r>
    </w:p>
    <w:p w14:paraId="2747F094" w14:textId="77777777" w:rsidR="00704258" w:rsidRPr="00704258" w:rsidRDefault="00704258" w:rsidP="00704258">
      <w:pPr>
        <w:numPr>
          <w:ilvl w:val="0"/>
          <w:numId w:val="4"/>
        </w:numPr>
        <w:rPr>
          <w:sz w:val="22"/>
          <w:szCs w:val="22"/>
        </w:rPr>
      </w:pPr>
      <w:r w:rsidRPr="00704258">
        <w:rPr>
          <w:b/>
          <w:bCs/>
          <w:sz w:val="22"/>
          <w:szCs w:val="22"/>
        </w:rPr>
        <w:t>Management Objectives:</w:t>
      </w:r>
      <w:r w:rsidRPr="00704258">
        <w:rPr>
          <w:sz w:val="22"/>
          <w:szCs w:val="22"/>
        </w:rPr>
        <w:t xml:space="preserve"> Executed by executive leadership across four domains:</w:t>
      </w:r>
    </w:p>
    <w:p w14:paraId="0DE53596" w14:textId="77777777" w:rsidR="00704258" w:rsidRPr="00704258" w:rsidRDefault="00704258" w:rsidP="00704258">
      <w:pPr>
        <w:numPr>
          <w:ilvl w:val="1"/>
          <w:numId w:val="4"/>
        </w:numPr>
        <w:rPr>
          <w:sz w:val="22"/>
          <w:szCs w:val="22"/>
        </w:rPr>
      </w:pPr>
      <w:r w:rsidRPr="00704258">
        <w:rPr>
          <w:i/>
          <w:iCs/>
          <w:sz w:val="22"/>
          <w:szCs w:val="22"/>
        </w:rPr>
        <w:t>APO (Align, Plan, and Organize)</w:t>
      </w:r>
    </w:p>
    <w:p w14:paraId="2D456A79" w14:textId="77777777" w:rsidR="00704258" w:rsidRPr="00704258" w:rsidRDefault="00704258" w:rsidP="00704258">
      <w:pPr>
        <w:numPr>
          <w:ilvl w:val="1"/>
          <w:numId w:val="4"/>
        </w:numPr>
        <w:rPr>
          <w:sz w:val="22"/>
          <w:szCs w:val="22"/>
        </w:rPr>
      </w:pPr>
      <w:r w:rsidRPr="00704258">
        <w:rPr>
          <w:i/>
          <w:iCs/>
          <w:sz w:val="22"/>
          <w:szCs w:val="22"/>
        </w:rPr>
        <w:t>BAI (Build, Acquire, and Implement)</w:t>
      </w:r>
    </w:p>
    <w:p w14:paraId="5B127986" w14:textId="77777777" w:rsidR="00704258" w:rsidRPr="00704258" w:rsidRDefault="00704258" w:rsidP="00704258">
      <w:pPr>
        <w:numPr>
          <w:ilvl w:val="1"/>
          <w:numId w:val="4"/>
        </w:numPr>
        <w:rPr>
          <w:sz w:val="22"/>
          <w:szCs w:val="22"/>
        </w:rPr>
      </w:pPr>
      <w:r w:rsidRPr="00704258">
        <w:rPr>
          <w:i/>
          <w:iCs/>
          <w:sz w:val="22"/>
          <w:szCs w:val="22"/>
        </w:rPr>
        <w:t>DSS (Deliver, Service, and Support)</w:t>
      </w:r>
    </w:p>
    <w:p w14:paraId="6ECCF426" w14:textId="77777777" w:rsidR="00704258" w:rsidRPr="00704258" w:rsidRDefault="00704258" w:rsidP="00704258">
      <w:pPr>
        <w:numPr>
          <w:ilvl w:val="1"/>
          <w:numId w:val="4"/>
        </w:numPr>
        <w:rPr>
          <w:sz w:val="22"/>
          <w:szCs w:val="22"/>
        </w:rPr>
      </w:pPr>
      <w:r w:rsidRPr="00704258">
        <w:rPr>
          <w:i/>
          <w:iCs/>
          <w:sz w:val="22"/>
          <w:szCs w:val="22"/>
        </w:rPr>
        <w:t>MEA (Monitor, Evaluate, and Assess)</w:t>
      </w:r>
    </w:p>
    <w:p w14:paraId="47BF5A47" w14:textId="77777777" w:rsidR="00704258" w:rsidRPr="00704258" w:rsidRDefault="00704258" w:rsidP="00704258">
      <w:pPr>
        <w:rPr>
          <w:sz w:val="22"/>
          <w:szCs w:val="22"/>
        </w:rPr>
      </w:pPr>
      <w:r w:rsidRPr="00704258">
        <w:rPr>
          <w:sz w:val="22"/>
          <w:szCs w:val="22"/>
        </w:rPr>
        <w:t>COBIT 2019 helps ALL by linking IT security directly to corporate business goals. This clear connection makes it easier to secure funding and align business units with cybersecurity priorities.</w:t>
      </w:r>
    </w:p>
    <w:p w14:paraId="12F73508" w14:textId="77777777" w:rsidR="00704258" w:rsidRPr="00704258" w:rsidRDefault="00704258" w:rsidP="00704258">
      <w:pPr>
        <w:rPr>
          <w:sz w:val="22"/>
          <w:szCs w:val="22"/>
        </w:rPr>
      </w:pPr>
      <w:r w:rsidRPr="00704258">
        <w:rPr>
          <w:sz w:val="22"/>
          <w:szCs w:val="22"/>
        </w:rPr>
        <w:t>However, implementing it requires deep governance expertise, making it complex for an immature organization to adopt quickly.</w:t>
      </w:r>
    </w:p>
    <w:p w14:paraId="30BA2237" w14:textId="77777777" w:rsidR="00704258" w:rsidRPr="00704258" w:rsidRDefault="00704258" w:rsidP="00704258">
      <w:pPr>
        <w:rPr>
          <w:b/>
          <w:bCs/>
          <w:sz w:val="22"/>
          <w:szCs w:val="22"/>
        </w:rPr>
      </w:pPr>
      <w:r w:rsidRPr="00704258">
        <w:rPr>
          <w:b/>
          <w:bCs/>
          <w:sz w:val="22"/>
          <w:szCs w:val="22"/>
        </w:rPr>
        <w:t>2.4 ITIL v4 (Information Technology Infrastructure Library)</w:t>
      </w:r>
    </w:p>
    <w:p w14:paraId="61BB58C8" w14:textId="77777777" w:rsidR="00EC6584" w:rsidRDefault="00EC6584" w:rsidP="00704258">
      <w:pPr>
        <w:rPr>
          <w:sz w:val="22"/>
          <w:szCs w:val="22"/>
        </w:rPr>
      </w:pPr>
      <w:r w:rsidRPr="00EC6584">
        <w:rPr>
          <w:sz w:val="22"/>
          <w:szCs w:val="22"/>
        </w:rPr>
        <w:lastRenderedPageBreak/>
        <w:t>ITIL v4 is about IT Service Management (ITSM) with the Service Value System (SVS) and the Four Dimensions model to align IT services with business needs. Information Security Management Its Information Security Management practice makes sure the organization’s security policies, standards and projects are applied consistently to all running IT services.</w:t>
      </w:r>
    </w:p>
    <w:p w14:paraId="1A34485E" w14:textId="59F6878F" w:rsidR="00704258" w:rsidRPr="00704258" w:rsidRDefault="00704258" w:rsidP="00704258">
      <w:pPr>
        <w:rPr>
          <w:sz w:val="22"/>
          <w:szCs w:val="22"/>
        </w:rPr>
      </w:pPr>
      <w:r w:rsidRPr="00704258">
        <w:rPr>
          <w:sz w:val="22"/>
          <w:szCs w:val="22"/>
        </w:rPr>
        <w:t>For ALL, ITIL v4 offers major advantages by integrating security directly into standard IT operations, change management, and service desks.</w:t>
      </w:r>
    </w:p>
    <w:p w14:paraId="71CAD3ED" w14:textId="77777777" w:rsidR="00BD22D6" w:rsidRDefault="00BD22D6" w:rsidP="00704258">
      <w:pPr>
        <w:rPr>
          <w:sz w:val="22"/>
          <w:szCs w:val="22"/>
        </w:rPr>
      </w:pPr>
      <w:r w:rsidRPr="00BD22D6">
        <w:rPr>
          <w:sz w:val="22"/>
          <w:szCs w:val="22"/>
        </w:rPr>
        <w:t>The biggest disadvantage is that ITIL v4 is largely an operational service framework rather than a specialized security framework. It lacks the technical engineering controls and thorough threat compliance mechanisms required to combat significant data breaches.</w:t>
      </w:r>
    </w:p>
    <w:p w14:paraId="520CD73F" w14:textId="7A5D8BD8" w:rsidR="00704258" w:rsidRPr="00704258" w:rsidRDefault="00704258" w:rsidP="00704258">
      <w:pPr>
        <w:rPr>
          <w:b/>
          <w:bCs/>
          <w:sz w:val="22"/>
          <w:szCs w:val="22"/>
        </w:rPr>
      </w:pPr>
      <w:r w:rsidRPr="00704258">
        <w:rPr>
          <w:b/>
          <w:bCs/>
          <w:sz w:val="22"/>
          <w:szCs w:val="22"/>
        </w:rPr>
        <w:t>2.5 Security Framework Structural Comparison Matrix</w:t>
      </w:r>
    </w:p>
    <w:tbl>
      <w:tblPr>
        <w:tblW w:w="0" w:type="auto"/>
        <w:tblCellSpacing w:w="15" w:type="dxa"/>
        <w:tblBorders>
          <w:top w:val="single" w:sz="6" w:space="0" w:color="363840"/>
          <w:left w:val="single" w:sz="6" w:space="0" w:color="363840"/>
          <w:bottom w:val="single" w:sz="6" w:space="0" w:color="363840"/>
          <w:right w:val="single" w:sz="6" w:space="0" w:color="363840"/>
          <w:insideH w:val="single" w:sz="6" w:space="0" w:color="363840"/>
          <w:insideV w:val="single" w:sz="6" w:space="0" w:color="363840"/>
        </w:tblBorders>
        <w:tblCellMar>
          <w:top w:w="15" w:type="dxa"/>
          <w:left w:w="15" w:type="dxa"/>
          <w:bottom w:w="15" w:type="dxa"/>
          <w:right w:w="15" w:type="dxa"/>
        </w:tblCellMar>
        <w:tblLook w:val="04A0" w:firstRow="1" w:lastRow="0" w:firstColumn="1" w:lastColumn="0" w:noHBand="0" w:noVBand="1"/>
      </w:tblPr>
      <w:tblGrid>
        <w:gridCol w:w="1823"/>
        <w:gridCol w:w="1688"/>
        <w:gridCol w:w="1961"/>
        <w:gridCol w:w="1866"/>
        <w:gridCol w:w="1672"/>
      </w:tblGrid>
      <w:tr w:rsidR="00704258" w:rsidRPr="00704258" w14:paraId="6BBE3A59" w14:textId="77777777" w:rsidTr="007E4307">
        <w:trPr>
          <w:tblCellSpacing w:w="15" w:type="dxa"/>
        </w:trPr>
        <w:tc>
          <w:tcPr>
            <w:tcW w:w="0" w:type="auto"/>
            <w:vAlign w:val="center"/>
            <w:hideMark/>
          </w:tcPr>
          <w:p w14:paraId="51AA5A30" w14:textId="77777777" w:rsidR="00704258" w:rsidRPr="00704258" w:rsidRDefault="00704258" w:rsidP="00704258">
            <w:pPr>
              <w:rPr>
                <w:b/>
                <w:bCs/>
                <w:sz w:val="22"/>
                <w:szCs w:val="22"/>
              </w:rPr>
            </w:pPr>
            <w:r w:rsidRPr="00704258">
              <w:rPr>
                <w:b/>
                <w:bCs/>
                <w:sz w:val="22"/>
                <w:szCs w:val="22"/>
              </w:rPr>
              <w:t>Criteria &amp; Evaluation Dimensions</w:t>
            </w:r>
          </w:p>
        </w:tc>
        <w:tc>
          <w:tcPr>
            <w:tcW w:w="0" w:type="auto"/>
            <w:vAlign w:val="center"/>
            <w:hideMark/>
          </w:tcPr>
          <w:p w14:paraId="0F52B629" w14:textId="77777777" w:rsidR="00704258" w:rsidRPr="00704258" w:rsidRDefault="00704258" w:rsidP="00704258">
            <w:pPr>
              <w:rPr>
                <w:b/>
                <w:bCs/>
                <w:sz w:val="22"/>
                <w:szCs w:val="22"/>
              </w:rPr>
            </w:pPr>
            <w:r w:rsidRPr="00704258">
              <w:rPr>
                <w:b/>
                <w:bCs/>
                <w:sz w:val="22"/>
                <w:szCs w:val="22"/>
              </w:rPr>
              <w:t>NIST CSF 2.0</w:t>
            </w:r>
          </w:p>
        </w:tc>
        <w:tc>
          <w:tcPr>
            <w:tcW w:w="0" w:type="auto"/>
            <w:vAlign w:val="center"/>
            <w:hideMark/>
          </w:tcPr>
          <w:p w14:paraId="73230ABF" w14:textId="77777777" w:rsidR="00704258" w:rsidRPr="00704258" w:rsidRDefault="00704258" w:rsidP="00704258">
            <w:pPr>
              <w:rPr>
                <w:b/>
                <w:bCs/>
                <w:sz w:val="22"/>
                <w:szCs w:val="22"/>
              </w:rPr>
            </w:pPr>
            <w:r w:rsidRPr="00704258">
              <w:rPr>
                <w:b/>
                <w:bCs/>
                <w:sz w:val="22"/>
                <w:szCs w:val="22"/>
              </w:rPr>
              <w:t>ISO/IEC 27001:2022</w:t>
            </w:r>
          </w:p>
        </w:tc>
        <w:tc>
          <w:tcPr>
            <w:tcW w:w="0" w:type="auto"/>
            <w:vAlign w:val="center"/>
            <w:hideMark/>
          </w:tcPr>
          <w:p w14:paraId="22604902" w14:textId="77777777" w:rsidR="00704258" w:rsidRPr="00704258" w:rsidRDefault="00704258" w:rsidP="00704258">
            <w:pPr>
              <w:rPr>
                <w:b/>
                <w:bCs/>
                <w:sz w:val="22"/>
                <w:szCs w:val="22"/>
              </w:rPr>
            </w:pPr>
            <w:r w:rsidRPr="00704258">
              <w:rPr>
                <w:b/>
                <w:bCs/>
                <w:sz w:val="22"/>
                <w:szCs w:val="22"/>
              </w:rPr>
              <w:t>COBIT 2019</w:t>
            </w:r>
          </w:p>
        </w:tc>
        <w:tc>
          <w:tcPr>
            <w:tcW w:w="0" w:type="auto"/>
            <w:vAlign w:val="center"/>
            <w:hideMark/>
          </w:tcPr>
          <w:p w14:paraId="62DDA2DF" w14:textId="77777777" w:rsidR="00704258" w:rsidRPr="00704258" w:rsidRDefault="00704258" w:rsidP="00704258">
            <w:pPr>
              <w:rPr>
                <w:b/>
                <w:bCs/>
                <w:sz w:val="22"/>
                <w:szCs w:val="22"/>
              </w:rPr>
            </w:pPr>
            <w:r w:rsidRPr="00704258">
              <w:rPr>
                <w:b/>
                <w:bCs/>
                <w:sz w:val="22"/>
                <w:szCs w:val="22"/>
              </w:rPr>
              <w:t>ITIL v4</w:t>
            </w:r>
          </w:p>
        </w:tc>
      </w:tr>
      <w:tr w:rsidR="00704258" w:rsidRPr="00704258" w14:paraId="6663CBCA" w14:textId="77777777" w:rsidTr="007E4307">
        <w:trPr>
          <w:tblCellSpacing w:w="15" w:type="dxa"/>
        </w:trPr>
        <w:tc>
          <w:tcPr>
            <w:tcW w:w="0" w:type="auto"/>
            <w:vAlign w:val="center"/>
            <w:hideMark/>
          </w:tcPr>
          <w:p w14:paraId="7BD15367" w14:textId="77777777" w:rsidR="00704258" w:rsidRPr="00704258" w:rsidRDefault="00704258" w:rsidP="00704258">
            <w:pPr>
              <w:rPr>
                <w:sz w:val="22"/>
                <w:szCs w:val="22"/>
              </w:rPr>
            </w:pPr>
            <w:r w:rsidRPr="00704258">
              <w:rPr>
                <w:b/>
                <w:bCs/>
                <w:sz w:val="22"/>
                <w:szCs w:val="22"/>
              </w:rPr>
              <w:t>Primary Structural Focus</w:t>
            </w:r>
          </w:p>
        </w:tc>
        <w:tc>
          <w:tcPr>
            <w:tcW w:w="0" w:type="auto"/>
            <w:vAlign w:val="center"/>
            <w:hideMark/>
          </w:tcPr>
          <w:p w14:paraId="287985FD" w14:textId="77777777" w:rsidR="00704258" w:rsidRPr="00704258" w:rsidRDefault="00704258" w:rsidP="00704258">
            <w:pPr>
              <w:rPr>
                <w:sz w:val="22"/>
                <w:szCs w:val="22"/>
              </w:rPr>
            </w:pPr>
            <w:r w:rsidRPr="00704258">
              <w:rPr>
                <w:sz w:val="22"/>
                <w:szCs w:val="22"/>
              </w:rPr>
              <w:t>Cybersecurity risk outcomes &amp; operational lifecycles</w:t>
            </w:r>
          </w:p>
        </w:tc>
        <w:tc>
          <w:tcPr>
            <w:tcW w:w="0" w:type="auto"/>
            <w:vAlign w:val="center"/>
            <w:hideMark/>
          </w:tcPr>
          <w:p w14:paraId="59160038" w14:textId="77777777" w:rsidR="00704258" w:rsidRPr="00704258" w:rsidRDefault="00704258" w:rsidP="00704258">
            <w:pPr>
              <w:rPr>
                <w:sz w:val="22"/>
                <w:szCs w:val="22"/>
              </w:rPr>
            </w:pPr>
            <w:r w:rsidRPr="00704258">
              <w:rPr>
                <w:sz w:val="22"/>
                <w:szCs w:val="22"/>
              </w:rPr>
              <w:t>Certifiable Information Security Management System (ISMS)</w:t>
            </w:r>
          </w:p>
        </w:tc>
        <w:tc>
          <w:tcPr>
            <w:tcW w:w="0" w:type="auto"/>
            <w:vAlign w:val="center"/>
            <w:hideMark/>
          </w:tcPr>
          <w:p w14:paraId="3C133EDC" w14:textId="77777777" w:rsidR="00704258" w:rsidRPr="00704258" w:rsidRDefault="00704258" w:rsidP="00704258">
            <w:pPr>
              <w:rPr>
                <w:sz w:val="22"/>
                <w:szCs w:val="22"/>
              </w:rPr>
            </w:pPr>
            <w:r w:rsidRPr="00704258">
              <w:rPr>
                <w:sz w:val="22"/>
                <w:szCs w:val="22"/>
              </w:rPr>
              <w:t>Comprehensive Enterprise IT Governance &amp; Strategy</w:t>
            </w:r>
          </w:p>
        </w:tc>
        <w:tc>
          <w:tcPr>
            <w:tcW w:w="0" w:type="auto"/>
            <w:vAlign w:val="center"/>
            <w:hideMark/>
          </w:tcPr>
          <w:p w14:paraId="495F4195" w14:textId="77777777" w:rsidR="00704258" w:rsidRPr="00704258" w:rsidRDefault="00704258" w:rsidP="00704258">
            <w:pPr>
              <w:rPr>
                <w:sz w:val="22"/>
                <w:szCs w:val="22"/>
              </w:rPr>
            </w:pPr>
            <w:r w:rsidRPr="00704258">
              <w:rPr>
                <w:sz w:val="22"/>
                <w:szCs w:val="22"/>
              </w:rPr>
              <w:t>IT Service Management (ITSM) lifecycle &amp; operations</w:t>
            </w:r>
          </w:p>
        </w:tc>
      </w:tr>
      <w:tr w:rsidR="00704258" w:rsidRPr="00704258" w14:paraId="0B7E060F" w14:textId="77777777" w:rsidTr="007E4307">
        <w:trPr>
          <w:tblCellSpacing w:w="15" w:type="dxa"/>
        </w:trPr>
        <w:tc>
          <w:tcPr>
            <w:tcW w:w="0" w:type="auto"/>
            <w:vAlign w:val="center"/>
            <w:hideMark/>
          </w:tcPr>
          <w:p w14:paraId="1D8DFC58" w14:textId="77777777" w:rsidR="00704258" w:rsidRPr="00704258" w:rsidRDefault="00704258" w:rsidP="00704258">
            <w:pPr>
              <w:rPr>
                <w:sz w:val="22"/>
                <w:szCs w:val="22"/>
              </w:rPr>
            </w:pPr>
            <w:r w:rsidRPr="00704258">
              <w:rPr>
                <w:b/>
                <w:bCs/>
                <w:sz w:val="22"/>
                <w:szCs w:val="22"/>
              </w:rPr>
              <w:t>Target Audience</w:t>
            </w:r>
          </w:p>
        </w:tc>
        <w:tc>
          <w:tcPr>
            <w:tcW w:w="0" w:type="auto"/>
            <w:vAlign w:val="center"/>
            <w:hideMark/>
          </w:tcPr>
          <w:p w14:paraId="6B168E63" w14:textId="77777777" w:rsidR="00704258" w:rsidRPr="00704258" w:rsidRDefault="00704258" w:rsidP="00704258">
            <w:pPr>
              <w:rPr>
                <w:sz w:val="22"/>
                <w:szCs w:val="22"/>
              </w:rPr>
            </w:pPr>
            <w:r w:rsidRPr="00704258">
              <w:rPr>
                <w:sz w:val="22"/>
                <w:szCs w:val="22"/>
              </w:rPr>
              <w:t>Security operators, CISOs, and enterprise risk managers</w:t>
            </w:r>
          </w:p>
        </w:tc>
        <w:tc>
          <w:tcPr>
            <w:tcW w:w="0" w:type="auto"/>
            <w:vAlign w:val="center"/>
            <w:hideMark/>
          </w:tcPr>
          <w:p w14:paraId="5B6164AC" w14:textId="77777777" w:rsidR="00704258" w:rsidRPr="00704258" w:rsidRDefault="00704258" w:rsidP="00704258">
            <w:pPr>
              <w:rPr>
                <w:sz w:val="22"/>
                <w:szCs w:val="22"/>
              </w:rPr>
            </w:pPr>
            <w:r w:rsidRPr="00704258">
              <w:rPr>
                <w:sz w:val="22"/>
                <w:szCs w:val="22"/>
              </w:rPr>
              <w:t>Internal/External Auditors, Regulators, and Clients</w:t>
            </w:r>
          </w:p>
        </w:tc>
        <w:tc>
          <w:tcPr>
            <w:tcW w:w="0" w:type="auto"/>
            <w:vAlign w:val="center"/>
            <w:hideMark/>
          </w:tcPr>
          <w:p w14:paraId="42600C4D" w14:textId="77777777" w:rsidR="00704258" w:rsidRPr="00704258" w:rsidRDefault="00704258" w:rsidP="00704258">
            <w:pPr>
              <w:rPr>
                <w:sz w:val="22"/>
                <w:szCs w:val="22"/>
              </w:rPr>
            </w:pPr>
            <w:r w:rsidRPr="00704258">
              <w:rPr>
                <w:sz w:val="22"/>
                <w:szCs w:val="22"/>
              </w:rPr>
              <w:t>Board of Directors, Executive Management, and CIOs</w:t>
            </w:r>
          </w:p>
        </w:tc>
        <w:tc>
          <w:tcPr>
            <w:tcW w:w="0" w:type="auto"/>
            <w:vAlign w:val="center"/>
            <w:hideMark/>
          </w:tcPr>
          <w:p w14:paraId="79C4BC70" w14:textId="77777777" w:rsidR="00704258" w:rsidRPr="00704258" w:rsidRDefault="00704258" w:rsidP="00704258">
            <w:pPr>
              <w:rPr>
                <w:sz w:val="22"/>
                <w:szCs w:val="22"/>
              </w:rPr>
            </w:pPr>
            <w:r w:rsidRPr="00704258">
              <w:rPr>
                <w:sz w:val="22"/>
                <w:szCs w:val="22"/>
              </w:rPr>
              <w:t>IT Service Desk, Operations Teams, and System Admins</w:t>
            </w:r>
          </w:p>
        </w:tc>
      </w:tr>
      <w:tr w:rsidR="00704258" w:rsidRPr="00704258" w14:paraId="5CE9F6D5" w14:textId="77777777" w:rsidTr="007E4307">
        <w:trPr>
          <w:tblCellSpacing w:w="15" w:type="dxa"/>
        </w:trPr>
        <w:tc>
          <w:tcPr>
            <w:tcW w:w="0" w:type="auto"/>
            <w:vAlign w:val="center"/>
            <w:hideMark/>
          </w:tcPr>
          <w:p w14:paraId="7CBB1A2E" w14:textId="77777777" w:rsidR="00704258" w:rsidRPr="00704258" w:rsidRDefault="00704258" w:rsidP="00704258">
            <w:pPr>
              <w:rPr>
                <w:sz w:val="22"/>
                <w:szCs w:val="22"/>
              </w:rPr>
            </w:pPr>
            <w:r w:rsidRPr="00704258">
              <w:rPr>
                <w:b/>
                <w:bCs/>
                <w:sz w:val="22"/>
                <w:szCs w:val="22"/>
              </w:rPr>
              <w:t>Regulatory Alignment</w:t>
            </w:r>
          </w:p>
        </w:tc>
        <w:tc>
          <w:tcPr>
            <w:tcW w:w="0" w:type="auto"/>
            <w:vAlign w:val="center"/>
            <w:hideMark/>
          </w:tcPr>
          <w:p w14:paraId="30E84169" w14:textId="77777777" w:rsidR="00704258" w:rsidRPr="00704258" w:rsidRDefault="00704258" w:rsidP="00704258">
            <w:pPr>
              <w:rPr>
                <w:sz w:val="22"/>
                <w:szCs w:val="22"/>
              </w:rPr>
            </w:pPr>
            <w:r w:rsidRPr="00704258">
              <w:rPr>
                <w:sz w:val="22"/>
                <w:szCs w:val="22"/>
              </w:rPr>
              <w:t>Exceptionally high flexibility; maps directly to major laws</w:t>
            </w:r>
          </w:p>
        </w:tc>
        <w:tc>
          <w:tcPr>
            <w:tcW w:w="0" w:type="auto"/>
            <w:vAlign w:val="center"/>
            <w:hideMark/>
          </w:tcPr>
          <w:p w14:paraId="592225CC" w14:textId="77777777" w:rsidR="00704258" w:rsidRPr="00704258" w:rsidRDefault="00704258" w:rsidP="00704258">
            <w:pPr>
              <w:rPr>
                <w:sz w:val="22"/>
                <w:szCs w:val="22"/>
              </w:rPr>
            </w:pPr>
            <w:r w:rsidRPr="00704258">
              <w:rPr>
                <w:sz w:val="22"/>
                <w:szCs w:val="22"/>
              </w:rPr>
              <w:t>Rigid framework structure; satisfies global procurement audits</w:t>
            </w:r>
          </w:p>
        </w:tc>
        <w:tc>
          <w:tcPr>
            <w:tcW w:w="0" w:type="auto"/>
            <w:vAlign w:val="center"/>
            <w:hideMark/>
          </w:tcPr>
          <w:p w14:paraId="0E10D5FC" w14:textId="77777777" w:rsidR="00704258" w:rsidRPr="00704258" w:rsidRDefault="00704258" w:rsidP="00704258">
            <w:pPr>
              <w:rPr>
                <w:sz w:val="22"/>
                <w:szCs w:val="22"/>
              </w:rPr>
            </w:pPr>
            <w:r w:rsidRPr="00704258">
              <w:rPr>
                <w:sz w:val="22"/>
                <w:szCs w:val="22"/>
              </w:rPr>
              <w:t>Mapped to enterprise risk, compliance, and corporate bylaws</w:t>
            </w:r>
          </w:p>
        </w:tc>
        <w:tc>
          <w:tcPr>
            <w:tcW w:w="0" w:type="auto"/>
            <w:vAlign w:val="center"/>
            <w:hideMark/>
          </w:tcPr>
          <w:p w14:paraId="36EDD3FA" w14:textId="77777777" w:rsidR="00704258" w:rsidRPr="00704258" w:rsidRDefault="00704258" w:rsidP="00704258">
            <w:pPr>
              <w:rPr>
                <w:sz w:val="22"/>
                <w:szCs w:val="22"/>
              </w:rPr>
            </w:pPr>
            <w:r w:rsidRPr="00704258">
              <w:rPr>
                <w:sz w:val="22"/>
                <w:szCs w:val="22"/>
              </w:rPr>
              <w:t>Indirect alignment; focuses primarily on service uptime</w:t>
            </w:r>
          </w:p>
        </w:tc>
      </w:tr>
      <w:tr w:rsidR="00704258" w:rsidRPr="00704258" w14:paraId="64CE4620" w14:textId="77777777" w:rsidTr="007E4307">
        <w:trPr>
          <w:tblCellSpacing w:w="15" w:type="dxa"/>
        </w:trPr>
        <w:tc>
          <w:tcPr>
            <w:tcW w:w="0" w:type="auto"/>
            <w:vAlign w:val="center"/>
            <w:hideMark/>
          </w:tcPr>
          <w:p w14:paraId="16AF417E" w14:textId="77777777" w:rsidR="00704258" w:rsidRPr="00704258" w:rsidRDefault="00704258" w:rsidP="00704258">
            <w:pPr>
              <w:rPr>
                <w:sz w:val="22"/>
                <w:szCs w:val="22"/>
              </w:rPr>
            </w:pPr>
            <w:r w:rsidRPr="00704258">
              <w:rPr>
                <w:b/>
                <w:bCs/>
                <w:sz w:val="22"/>
                <w:szCs w:val="22"/>
              </w:rPr>
              <w:t>Vendor &amp; Cloud Suitability</w:t>
            </w:r>
          </w:p>
        </w:tc>
        <w:tc>
          <w:tcPr>
            <w:tcW w:w="0" w:type="auto"/>
            <w:vAlign w:val="center"/>
            <w:hideMark/>
          </w:tcPr>
          <w:p w14:paraId="5C7038C4" w14:textId="77777777" w:rsidR="00704258" w:rsidRPr="00704258" w:rsidRDefault="00704258" w:rsidP="00704258">
            <w:pPr>
              <w:rPr>
                <w:sz w:val="22"/>
                <w:szCs w:val="22"/>
              </w:rPr>
            </w:pPr>
            <w:r w:rsidRPr="00704258">
              <w:rPr>
                <w:sz w:val="22"/>
                <w:szCs w:val="22"/>
              </w:rPr>
              <w:t>High; includes dedicated supply chain risk subcategories</w:t>
            </w:r>
          </w:p>
        </w:tc>
        <w:tc>
          <w:tcPr>
            <w:tcW w:w="0" w:type="auto"/>
            <w:vAlign w:val="center"/>
            <w:hideMark/>
          </w:tcPr>
          <w:p w14:paraId="583EA7AB" w14:textId="77777777" w:rsidR="00704258" w:rsidRPr="00704258" w:rsidRDefault="00704258" w:rsidP="00704258">
            <w:pPr>
              <w:rPr>
                <w:sz w:val="22"/>
                <w:szCs w:val="22"/>
              </w:rPr>
            </w:pPr>
            <w:r w:rsidRPr="00704258">
              <w:rPr>
                <w:sz w:val="22"/>
                <w:szCs w:val="22"/>
              </w:rPr>
              <w:t>Strong via Annex A.5.23 (Information Security for Cloud Services)</w:t>
            </w:r>
          </w:p>
        </w:tc>
        <w:tc>
          <w:tcPr>
            <w:tcW w:w="0" w:type="auto"/>
            <w:vAlign w:val="center"/>
            <w:hideMark/>
          </w:tcPr>
          <w:p w14:paraId="76B33D9C" w14:textId="77777777" w:rsidR="00704258" w:rsidRPr="00704258" w:rsidRDefault="00704258" w:rsidP="00704258">
            <w:pPr>
              <w:rPr>
                <w:sz w:val="22"/>
                <w:szCs w:val="22"/>
              </w:rPr>
            </w:pPr>
            <w:r w:rsidRPr="00704258">
              <w:rPr>
                <w:sz w:val="22"/>
                <w:szCs w:val="22"/>
              </w:rPr>
              <w:t>Managed through APO10 (Managed Vendors) processes</w:t>
            </w:r>
          </w:p>
        </w:tc>
        <w:tc>
          <w:tcPr>
            <w:tcW w:w="0" w:type="auto"/>
            <w:vAlign w:val="center"/>
            <w:hideMark/>
          </w:tcPr>
          <w:p w14:paraId="554F787D" w14:textId="77777777" w:rsidR="00704258" w:rsidRPr="00704258" w:rsidRDefault="00704258" w:rsidP="00704258">
            <w:pPr>
              <w:rPr>
                <w:sz w:val="22"/>
                <w:szCs w:val="22"/>
              </w:rPr>
            </w:pPr>
            <w:r w:rsidRPr="00704258">
              <w:rPr>
                <w:sz w:val="22"/>
                <w:szCs w:val="22"/>
              </w:rPr>
              <w:t>High via Service Configuration and Third-Party Management</w:t>
            </w:r>
          </w:p>
        </w:tc>
      </w:tr>
      <w:tr w:rsidR="00704258" w:rsidRPr="00704258" w14:paraId="29E586A6" w14:textId="77777777" w:rsidTr="007E4307">
        <w:trPr>
          <w:tblCellSpacing w:w="15" w:type="dxa"/>
        </w:trPr>
        <w:tc>
          <w:tcPr>
            <w:tcW w:w="0" w:type="auto"/>
            <w:vAlign w:val="center"/>
            <w:hideMark/>
          </w:tcPr>
          <w:p w14:paraId="586516FC" w14:textId="77777777" w:rsidR="00704258" w:rsidRPr="00704258" w:rsidRDefault="00704258" w:rsidP="00704258">
            <w:pPr>
              <w:rPr>
                <w:sz w:val="22"/>
                <w:szCs w:val="22"/>
              </w:rPr>
            </w:pPr>
            <w:r w:rsidRPr="00704258">
              <w:rPr>
                <w:b/>
                <w:bCs/>
                <w:sz w:val="22"/>
                <w:szCs w:val="22"/>
              </w:rPr>
              <w:t>Implementation Complexity</w:t>
            </w:r>
          </w:p>
        </w:tc>
        <w:tc>
          <w:tcPr>
            <w:tcW w:w="0" w:type="auto"/>
            <w:vAlign w:val="center"/>
            <w:hideMark/>
          </w:tcPr>
          <w:p w14:paraId="392FA7D3" w14:textId="77777777" w:rsidR="00704258" w:rsidRPr="00704258" w:rsidRDefault="00704258" w:rsidP="00704258">
            <w:pPr>
              <w:rPr>
                <w:sz w:val="22"/>
                <w:szCs w:val="22"/>
              </w:rPr>
            </w:pPr>
            <w:r w:rsidRPr="00704258">
              <w:rPr>
                <w:sz w:val="22"/>
                <w:szCs w:val="22"/>
              </w:rPr>
              <w:t>Low to Medium; adaptable, non-prescriptive outcomes</w:t>
            </w:r>
          </w:p>
        </w:tc>
        <w:tc>
          <w:tcPr>
            <w:tcW w:w="0" w:type="auto"/>
            <w:vAlign w:val="center"/>
            <w:hideMark/>
          </w:tcPr>
          <w:p w14:paraId="7446212A" w14:textId="77777777" w:rsidR="00704258" w:rsidRPr="00704258" w:rsidRDefault="00704258" w:rsidP="00704258">
            <w:pPr>
              <w:rPr>
                <w:sz w:val="22"/>
                <w:szCs w:val="22"/>
              </w:rPr>
            </w:pPr>
            <w:r w:rsidRPr="00704258">
              <w:rPr>
                <w:sz w:val="22"/>
                <w:szCs w:val="22"/>
              </w:rPr>
              <w:t>High; requires formal, structured external audits</w:t>
            </w:r>
          </w:p>
        </w:tc>
        <w:tc>
          <w:tcPr>
            <w:tcW w:w="0" w:type="auto"/>
            <w:vAlign w:val="center"/>
            <w:hideMark/>
          </w:tcPr>
          <w:p w14:paraId="41734E74" w14:textId="77777777" w:rsidR="00704258" w:rsidRPr="00704258" w:rsidRDefault="00704258" w:rsidP="00704258">
            <w:pPr>
              <w:rPr>
                <w:sz w:val="22"/>
                <w:szCs w:val="22"/>
              </w:rPr>
            </w:pPr>
            <w:r w:rsidRPr="00704258">
              <w:rPr>
                <w:sz w:val="22"/>
                <w:szCs w:val="22"/>
              </w:rPr>
              <w:t>Exceptionally High; requires significant enterprise redesign</w:t>
            </w:r>
          </w:p>
        </w:tc>
        <w:tc>
          <w:tcPr>
            <w:tcW w:w="0" w:type="auto"/>
            <w:vAlign w:val="center"/>
            <w:hideMark/>
          </w:tcPr>
          <w:p w14:paraId="7F959E44" w14:textId="77777777" w:rsidR="00704258" w:rsidRPr="00704258" w:rsidRDefault="00704258" w:rsidP="00704258">
            <w:pPr>
              <w:rPr>
                <w:sz w:val="22"/>
                <w:szCs w:val="22"/>
              </w:rPr>
            </w:pPr>
            <w:r w:rsidRPr="00704258">
              <w:rPr>
                <w:sz w:val="22"/>
                <w:szCs w:val="22"/>
              </w:rPr>
              <w:t>Medium; requires operational process restructuring</w:t>
            </w:r>
          </w:p>
        </w:tc>
      </w:tr>
    </w:tbl>
    <w:p w14:paraId="656B502A" w14:textId="77777777" w:rsidR="00704258" w:rsidRPr="00704258" w:rsidRDefault="00000000" w:rsidP="00704258">
      <w:pPr>
        <w:rPr>
          <w:sz w:val="22"/>
          <w:szCs w:val="22"/>
        </w:rPr>
      </w:pPr>
      <w:r>
        <w:rPr>
          <w:sz w:val="22"/>
          <w:szCs w:val="22"/>
        </w:rPr>
        <w:lastRenderedPageBreak/>
        <w:pict w14:anchorId="21440B0E">
          <v:rect id="_x0000_i1028" style="width:0;height:1.5pt" o:hralign="center" o:hrstd="t" o:hr="t" fillcolor="#a0a0a0" stroked="f"/>
        </w:pict>
      </w:r>
    </w:p>
    <w:p w14:paraId="60EF4E7F" w14:textId="77777777" w:rsidR="00704258" w:rsidRPr="00704258" w:rsidRDefault="00704258" w:rsidP="00704258">
      <w:pPr>
        <w:rPr>
          <w:b/>
          <w:bCs/>
          <w:sz w:val="22"/>
          <w:szCs w:val="22"/>
        </w:rPr>
      </w:pPr>
      <w:r w:rsidRPr="00704258">
        <w:rPr>
          <w:b/>
          <w:bCs/>
          <w:sz w:val="22"/>
          <w:szCs w:val="22"/>
        </w:rPr>
        <w:t xml:space="preserve">3. The </w:t>
      </w:r>
      <w:proofErr w:type="spellStart"/>
      <w:r w:rsidRPr="00704258">
        <w:rPr>
          <w:b/>
          <w:bCs/>
          <w:sz w:val="22"/>
          <w:szCs w:val="22"/>
        </w:rPr>
        <w:t>AeroLink</w:t>
      </w:r>
      <w:proofErr w:type="spellEnd"/>
      <w:r w:rsidRPr="00704258">
        <w:rPr>
          <w:b/>
          <w:bCs/>
          <w:sz w:val="22"/>
          <w:szCs w:val="22"/>
        </w:rPr>
        <w:t xml:space="preserve"> Unified Security &amp; Governance Framework (AUSGF)</w:t>
      </w:r>
    </w:p>
    <w:p w14:paraId="6906B258" w14:textId="77777777" w:rsidR="004D1BB6" w:rsidRDefault="004D1BB6" w:rsidP="00704258">
      <w:pPr>
        <w:rPr>
          <w:sz w:val="22"/>
          <w:szCs w:val="22"/>
        </w:rPr>
      </w:pPr>
      <w:r w:rsidRPr="004D1BB6">
        <w:rPr>
          <w:sz w:val="22"/>
          <w:szCs w:val="22"/>
        </w:rPr>
        <w:t xml:space="preserve">To meet ALL's unique risk profile, which includes 88% outsourced infrastructure, a huge IoT network, unmanaged devices, and immature compliance processes, a tailored approach is necessary. The </w:t>
      </w:r>
      <w:proofErr w:type="spellStart"/>
      <w:r w:rsidRPr="004D1BB6">
        <w:rPr>
          <w:sz w:val="22"/>
          <w:szCs w:val="22"/>
        </w:rPr>
        <w:t>AeroLink</w:t>
      </w:r>
      <w:proofErr w:type="spellEnd"/>
      <w:r w:rsidRPr="004D1BB6">
        <w:rPr>
          <w:sz w:val="22"/>
          <w:szCs w:val="22"/>
        </w:rPr>
        <w:t xml:space="preserve"> Unified Security &amp; Governance Framework (AUSGF) combines the strategic oversight of COBIT 2019, the structured risk management of NIST CSF 2.0, the technical controls of ISO 27001, and the operational processes of ITIL v4.</w:t>
      </w:r>
    </w:p>
    <w:p w14:paraId="2DBDEB70" w14:textId="18C56D81" w:rsidR="00704258" w:rsidRPr="00704258" w:rsidRDefault="00704258" w:rsidP="00704258">
      <w:pPr>
        <w:rPr>
          <w:sz w:val="22"/>
          <w:szCs w:val="22"/>
        </w:rPr>
      </w:pPr>
      <w:r w:rsidRPr="00704258">
        <w:rPr>
          <w:sz w:val="22"/>
          <w:szCs w:val="22"/>
        </w:rPr>
        <w:t xml:space="preserve">               </w:t>
      </w:r>
    </w:p>
    <w:p w14:paraId="69FE01D3" w14:textId="3ED19609" w:rsidR="00704258" w:rsidRPr="00704258" w:rsidRDefault="00D356DB" w:rsidP="00704258">
      <w:pPr>
        <w:rPr>
          <w:sz w:val="22"/>
          <w:szCs w:val="22"/>
        </w:rPr>
      </w:pPr>
      <w:r>
        <w:rPr>
          <w:noProof/>
          <w:sz w:val="22"/>
          <w:szCs w:val="22"/>
        </w:rPr>
        <mc:AlternateContent>
          <mc:Choice Requires="wps">
            <w:drawing>
              <wp:anchor distT="0" distB="0" distL="114300" distR="114300" simplePos="0" relativeHeight="251658240" behindDoc="0" locked="0" layoutInCell="1" allowOverlap="1" wp14:anchorId="09759DDB" wp14:editId="5DE8384A">
                <wp:simplePos x="0" y="0"/>
                <wp:positionH relativeFrom="column">
                  <wp:posOffset>803082</wp:posOffset>
                </wp:positionH>
                <wp:positionV relativeFrom="paragraph">
                  <wp:posOffset>11320</wp:posOffset>
                </wp:positionV>
                <wp:extent cx="3291840" cy="683812"/>
                <wp:effectExtent l="0" t="0" r="22860" b="21590"/>
                <wp:wrapNone/>
                <wp:docPr id="700288096" name="Text Box 2"/>
                <wp:cNvGraphicFramePr/>
                <a:graphic xmlns:a="http://schemas.openxmlformats.org/drawingml/2006/main">
                  <a:graphicData uri="http://schemas.microsoft.com/office/word/2010/wordprocessingShape">
                    <wps:wsp>
                      <wps:cNvSpPr txBox="1"/>
                      <wps:spPr>
                        <a:xfrm>
                          <a:off x="0" y="0"/>
                          <a:ext cx="3291840" cy="683812"/>
                        </a:xfrm>
                        <a:prstGeom prst="rect">
                          <a:avLst/>
                        </a:prstGeom>
                        <a:solidFill>
                          <a:schemeClr val="lt1"/>
                        </a:solidFill>
                        <a:ln w="6350">
                          <a:solidFill>
                            <a:prstClr val="black"/>
                          </a:solidFill>
                        </a:ln>
                      </wps:spPr>
                      <wps:txbx>
                        <w:txbxContent>
                          <w:p w14:paraId="2231F9F6" w14:textId="6C5CAF8C" w:rsidR="00D356DB" w:rsidRDefault="00D356DB">
                            <w:r w:rsidRPr="00D356DB">
                              <w:t>BOARD OF DIRECTORS / REGULATORS</w:t>
                            </w:r>
                            <w:r>
                              <w:br/>
                            </w:r>
                            <w:r w:rsidRPr="00D356DB">
                              <w:t>Governance, Legal &amp; Compliance Oversight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9759DDB" id="_x0000_t202" coordsize="21600,21600" o:spt="202" path="m,l,21600r21600,l21600,xe">
                <v:stroke joinstyle="miter"/>
                <v:path gradientshapeok="t" o:connecttype="rect"/>
              </v:shapetype>
              <v:shape id="Text Box 2" o:spid="_x0000_s1026" type="#_x0000_t202" style="position:absolute;margin-left:63.25pt;margin-top:.9pt;width:259.2pt;height:53.8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ZnRNgIAAHwEAAAOAAAAZHJzL2Uyb0RvYy54bWysVE1v2zAMvQ/YfxB0XxwnaZcacYosRYYB&#10;QVsgHXpWZCk2JouapMTOfv0o2flot9Owi0yK1CP5SHp239aKHIR1FeicpoMhJUJzKCq9y+n3l9Wn&#10;KSXOM10wBVrk9CgcvZ9//DBrTCZGUIIqhCUIol3WmJyW3pssSRwvRc3cAIzQaJRga+ZRtbuksKxB&#10;9Folo+HwNmnAFsYCF87h7UNnpPOIL6Xg/klKJzxROcXcfDxtPLfhTOYzlu0sM2XF+zTYP2RRs0pj&#10;0DPUA/OM7G31B1RdcQsOpB9wqBOQsuIi1oDVpMN31WxKZkSsBclx5kyT+3+w/PGwMc+W+PYLtNjA&#10;QEhjXObwMtTTSluHL2ZK0I4UHs+0idYTjpfj0V06naCJo+12Op6mowCTXF4b6/xXATUJQk4ttiWy&#10;xQ5r5zvXk0sI5kBVxapSKiphFMRSWXJg2ETlY44I/sZLadJg8PHNMAK/sQXo8/utYvxHn96VF+Ip&#10;jTlfag+Sb7dtT8gWiiPyZKEbIWf4qkLcNXP+mVmcGawf98A/4SEVYDLQS5SUYH/97T74YyvRSkmD&#10;M5hT93PPrKBEfdPY5Lt0Emj1UZncfB6hYq8t22uL3tdLQIZS3DjDoxj8vTqJ0kL9iuuyCFHRxDTH&#10;2Dn1J3Hpu83AdeNisYhOOKaG+bXeGB6gQ0cCny/tK7Om76fHSXiE07Sy7F1bO9/wUsNi70FWseeB&#10;4I7Vnncc8Tg1/TqGHbrWo9flpzH/DQAA//8DAFBLAwQUAAYACAAAACEA50wkndsAAAAJAQAADwAA&#10;AGRycy9kb3ducmV2LnhtbEyPwU7DMBBE70j8g7WVuFGnVRslIU4FqHDhRIs4b2PXtojtyHbT8Pcs&#10;J7jtaEazb9rd7AY2qZhs8AJWywKY8n2Q1msBH8eX+wpYyuglDsErAd8qwa67vWmxkeHq39V0yJpR&#10;iU8NCjA5jw3nqTfKYVqGUXnyziE6zCSj5jLilcrdwNdFUXKH1tMHg6N6Nqr/OlycgP2TrnVfYTT7&#10;Slo7zZ/nN/0qxN1ifnwAltWc/8Lwi0/o0BHTKVy8TGwgvS63FKWDFpBfbjY1sBPpot4C71r+f0H3&#10;AwAA//8DAFBLAQItABQABgAIAAAAIQC2gziS/gAAAOEBAAATAAAAAAAAAAAAAAAAAAAAAABbQ29u&#10;dGVudF9UeXBlc10ueG1sUEsBAi0AFAAGAAgAAAAhADj9If/WAAAAlAEAAAsAAAAAAAAAAAAAAAAA&#10;LwEAAF9yZWxzLy5yZWxzUEsBAi0AFAAGAAgAAAAhAGm9mdE2AgAAfAQAAA4AAAAAAAAAAAAAAAAA&#10;LgIAAGRycy9lMm9Eb2MueG1sUEsBAi0AFAAGAAgAAAAhAOdMJJ3bAAAACQEAAA8AAAAAAAAAAAAA&#10;AAAAkAQAAGRycy9kb3ducmV2LnhtbFBLBQYAAAAABAAEAPMAAACYBQAAAAA=&#10;" fillcolor="white [3201]" strokeweight=".5pt">
                <v:textbox>
                  <w:txbxContent>
                    <w:p w14:paraId="2231F9F6" w14:textId="6C5CAF8C" w:rsidR="00D356DB" w:rsidRDefault="00D356DB">
                      <w:r w:rsidRPr="00D356DB">
                        <w:t>BOARD OF DIRECTORS / REGULATORS</w:t>
                      </w:r>
                      <w:r>
                        <w:br/>
                      </w:r>
                      <w:r w:rsidRPr="00D356DB">
                        <w:t>Governance, Legal &amp; Compliance Oversight</w:t>
                      </w:r>
                    </w:p>
                  </w:txbxContent>
                </v:textbox>
              </v:shape>
            </w:pict>
          </mc:Fallback>
        </mc:AlternateContent>
      </w:r>
    </w:p>
    <w:p w14:paraId="12343C64" w14:textId="27C5C011" w:rsidR="00704258" w:rsidRPr="00704258" w:rsidRDefault="00704258" w:rsidP="00704258">
      <w:pPr>
        <w:rPr>
          <w:sz w:val="22"/>
          <w:szCs w:val="22"/>
        </w:rPr>
      </w:pPr>
      <w:r w:rsidRPr="00704258">
        <w:rPr>
          <w:sz w:val="22"/>
          <w:szCs w:val="22"/>
        </w:rPr>
        <w:t xml:space="preserve">                                          </w:t>
      </w:r>
    </w:p>
    <w:p w14:paraId="6B441436" w14:textId="1937490F" w:rsidR="00704258" w:rsidRPr="00704258" w:rsidRDefault="00D356DB" w:rsidP="00704258">
      <w:pPr>
        <w:rPr>
          <w:sz w:val="22"/>
          <w:szCs w:val="22"/>
        </w:rPr>
      </w:pPr>
      <w:r>
        <w:rPr>
          <w:noProof/>
          <w:sz w:val="22"/>
          <w:szCs w:val="22"/>
        </w:rPr>
        <mc:AlternateContent>
          <mc:Choice Requires="wps">
            <w:drawing>
              <wp:anchor distT="0" distB="0" distL="114300" distR="114300" simplePos="0" relativeHeight="251658241" behindDoc="0" locked="0" layoutInCell="1" allowOverlap="1" wp14:anchorId="78FA9226" wp14:editId="306AFC25">
                <wp:simplePos x="0" y="0"/>
                <wp:positionH relativeFrom="column">
                  <wp:posOffset>2432961</wp:posOffset>
                </wp:positionH>
                <wp:positionV relativeFrom="paragraph">
                  <wp:posOffset>127856</wp:posOffset>
                </wp:positionV>
                <wp:extent cx="7951" cy="397565"/>
                <wp:effectExtent l="38100" t="0" r="68580" b="59690"/>
                <wp:wrapNone/>
                <wp:docPr id="88479849" name="Straight Arrow Connector 3"/>
                <wp:cNvGraphicFramePr/>
                <a:graphic xmlns:a="http://schemas.openxmlformats.org/drawingml/2006/main">
                  <a:graphicData uri="http://schemas.microsoft.com/office/word/2010/wordprocessingShape">
                    <wps:wsp>
                      <wps:cNvCnPr/>
                      <wps:spPr>
                        <a:xfrm>
                          <a:off x="0" y="0"/>
                          <a:ext cx="7951" cy="39756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45020BF1" id="_x0000_t32" coordsize="21600,21600" o:spt="32" o:oned="t" path="m,l21600,21600e" filled="f">
                <v:path arrowok="t" fillok="f" o:connecttype="none"/>
                <o:lock v:ext="edit" shapetype="t"/>
              </v:shapetype>
              <v:shape id="Straight Arrow Connector 3" o:spid="_x0000_s1026" type="#_x0000_t32" style="position:absolute;margin-left:191.55pt;margin-top:10.05pt;width:.65pt;height:31.3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Fr1vwEAAM0DAAAOAAAAZHJzL2Uyb0RvYy54bWysU02P0zAQvSPxHyzfaZKi7rJR0z10gQuC&#10;FQs/wOuME0uObY2HJvn32E6bIkAgIS4Tf8x7M/P8sr+fBsNOgEE72/BqU3IGVrpW267hX7+8e/WG&#10;s0DCtsI4Cw2fIfD7w8sX+9HXsHW9My0giyQ21KNveE/k66IIsodBhI3zYOOlcjgIilvsihbFGNkH&#10;U2zL8qYYHbYenYQQ4unDcskPmV8pkPRJqQDETMNjb5Qj5vicYnHYi7pD4Xstz22If+hiENrGoivV&#10;gyDBvqH+hWrQEl1wijbSDYVTSkvIM8RpqvKnaZ564SHPEsUJfpUp/D9a+fF0tI8YZRh9qIN/xDTF&#10;pHBI39gfm7JY8yoWTMRkPLy921WcyXjx+u52d7NLUhZXqMdA78ENLC0aHgiF7no6Omvjozisslzi&#10;9CHQArwAUl1jUyShzVvbMpp9dA6hFrYzcK6TUoprz3lFs4EF/hkU023scpvLZDvB0SA7iWgEISVY&#10;qlammJ1gShuzAsu/A8/5CQrZait4Ge6PVVdEruwsreBBW4e/q07TpWW15F8UWOZOEjy7ds6vmaWJ&#10;nslvcvZ3MuWP+wy//oWH7wAAAP//AwBQSwMEFAAGAAgAAAAhAOHJhPLdAAAACQEAAA8AAABkcnMv&#10;ZG93bnJldi54bWxMj8FOhDAQhu8mvkMzJt7csrDRBhk2SuLRGHF1r4WOQKQtoV0W397xpKfJZL78&#10;8/3FfrWjWGgOg3cI200CglzrzeA6hMPb040CEaJ2Ro/eEcI3BdiXlxeFzo0/u1da6tgJDnEh1wh9&#10;jFMuZWh7sjps/ESOb59+tjryOnfSzPrM4XaUaZLcSqsHxx96PVHVU/tVnyzC+9FOR3V4rh7rOjRV&#10;aF7G+LEgXl+tD/cgIq3xD4ZffVaHkp0af3ImiBEhU9mWUYQ04clApnY7EA2CSu9AloX836D8AQAA&#10;//8DAFBLAQItABQABgAIAAAAIQC2gziS/gAAAOEBAAATAAAAAAAAAAAAAAAAAAAAAABbQ29udGVu&#10;dF9UeXBlc10ueG1sUEsBAi0AFAAGAAgAAAAhADj9If/WAAAAlAEAAAsAAAAAAAAAAAAAAAAALwEA&#10;AF9yZWxzLy5yZWxzUEsBAi0AFAAGAAgAAAAhAGPIWvW/AQAAzQMAAA4AAAAAAAAAAAAAAAAALgIA&#10;AGRycy9lMm9Eb2MueG1sUEsBAi0AFAAGAAgAAAAhAOHJhPLdAAAACQEAAA8AAAAAAAAAAAAAAAAA&#10;GQQAAGRycy9kb3ducmV2LnhtbFBLBQYAAAAABAAEAPMAAAAjBQAAAAA=&#10;" strokecolor="#156082 [3204]" strokeweight="1.5pt">
                <v:stroke endarrow="block" joinstyle="miter"/>
              </v:shape>
            </w:pict>
          </mc:Fallback>
        </mc:AlternateContent>
      </w:r>
    </w:p>
    <w:p w14:paraId="47A79FDF" w14:textId="77777777" w:rsidR="00704258" w:rsidRPr="00704258" w:rsidRDefault="00704258" w:rsidP="00704258">
      <w:pPr>
        <w:rPr>
          <w:sz w:val="22"/>
          <w:szCs w:val="22"/>
        </w:rPr>
      </w:pPr>
    </w:p>
    <w:tbl>
      <w:tblPr>
        <w:tblStyle w:val="TableGrid"/>
        <w:tblW w:w="0" w:type="auto"/>
        <w:tblInd w:w="1271" w:type="dxa"/>
        <w:tblLook w:val="04A0" w:firstRow="1" w:lastRow="0" w:firstColumn="1" w:lastColumn="0" w:noHBand="0" w:noVBand="1"/>
      </w:tblPr>
      <w:tblGrid>
        <w:gridCol w:w="5541"/>
      </w:tblGrid>
      <w:tr w:rsidR="00D356DB" w14:paraId="226784EB" w14:textId="77777777" w:rsidTr="00D356DB">
        <w:trPr>
          <w:trHeight w:val="869"/>
        </w:trPr>
        <w:tc>
          <w:tcPr>
            <w:tcW w:w="5541" w:type="dxa"/>
          </w:tcPr>
          <w:p w14:paraId="0258C418" w14:textId="229DF9AD" w:rsidR="00D356DB" w:rsidRDefault="00D356DB" w:rsidP="00704258">
            <w:pPr>
              <w:rPr>
                <w:sz w:val="22"/>
                <w:szCs w:val="22"/>
              </w:rPr>
            </w:pPr>
            <w:r w:rsidRPr="00D356DB">
              <w:rPr>
                <w:sz w:val="22"/>
                <w:szCs w:val="22"/>
              </w:rPr>
              <w:t>EXECUTIVE CYBERSECURITY COMMITTEE (ECC)</w:t>
            </w:r>
            <w:r>
              <w:rPr>
                <w:sz w:val="22"/>
                <w:szCs w:val="22"/>
              </w:rPr>
              <w:br/>
            </w:r>
            <w:r w:rsidRPr="00D356DB">
              <w:rPr>
                <w:sz w:val="22"/>
                <w:szCs w:val="22"/>
              </w:rPr>
              <w:t>CISO (Chair), CIO, Legal Counsel, Head of Ops</w:t>
            </w:r>
          </w:p>
        </w:tc>
      </w:tr>
    </w:tbl>
    <w:p w14:paraId="116C45A6" w14:textId="765DEE60" w:rsidR="00D356DB" w:rsidRDefault="00552B1D" w:rsidP="00704258">
      <w:pPr>
        <w:rPr>
          <w:sz w:val="22"/>
          <w:szCs w:val="22"/>
        </w:rPr>
      </w:pPr>
      <w:r>
        <w:rPr>
          <w:noProof/>
          <w:sz w:val="22"/>
          <w:szCs w:val="22"/>
        </w:rPr>
        <mc:AlternateContent>
          <mc:Choice Requires="wps">
            <w:drawing>
              <wp:anchor distT="0" distB="0" distL="114300" distR="114300" simplePos="0" relativeHeight="251658243" behindDoc="0" locked="0" layoutInCell="1" allowOverlap="1" wp14:anchorId="0C8EC84C" wp14:editId="2ACFD976">
                <wp:simplePos x="0" y="0"/>
                <wp:positionH relativeFrom="column">
                  <wp:posOffset>2449002</wp:posOffset>
                </wp:positionH>
                <wp:positionV relativeFrom="paragraph">
                  <wp:posOffset>39122</wp:posOffset>
                </wp:positionV>
                <wp:extent cx="7951" cy="397565"/>
                <wp:effectExtent l="38100" t="0" r="68580" b="59690"/>
                <wp:wrapNone/>
                <wp:docPr id="748230277" name="Straight Arrow Connector 3"/>
                <wp:cNvGraphicFramePr/>
                <a:graphic xmlns:a="http://schemas.openxmlformats.org/drawingml/2006/main">
                  <a:graphicData uri="http://schemas.microsoft.com/office/word/2010/wordprocessingShape">
                    <wps:wsp>
                      <wps:cNvCnPr/>
                      <wps:spPr>
                        <a:xfrm>
                          <a:off x="0" y="0"/>
                          <a:ext cx="7951" cy="39756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33529F1" id="Straight Arrow Connector 3" o:spid="_x0000_s1026" type="#_x0000_t32" style="position:absolute;margin-left:192.85pt;margin-top:3.1pt;width:.65pt;height:31.3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Fr1vwEAAM0DAAAOAAAAZHJzL2Uyb0RvYy54bWysU02P0zAQvSPxHyzfaZKi7rJR0z10gQuC&#10;FQs/wOuME0uObY2HJvn32E6bIkAgIS4Tf8x7M/P8sr+fBsNOgEE72/BqU3IGVrpW267hX7+8e/WG&#10;s0DCtsI4Cw2fIfD7w8sX+9HXsHW9My0giyQ21KNveE/k66IIsodBhI3zYOOlcjgIilvsihbFGNkH&#10;U2zL8qYYHbYenYQQ4unDcskPmV8pkPRJqQDETMNjb5Qj5vicYnHYi7pD4Xstz22If+hiENrGoivV&#10;gyDBvqH+hWrQEl1wijbSDYVTSkvIM8RpqvKnaZ564SHPEsUJfpUp/D9a+fF0tI8YZRh9qIN/xDTF&#10;pHBI39gfm7JY8yoWTMRkPLy921WcyXjx+u52d7NLUhZXqMdA78ENLC0aHgiF7no6Omvjozisslzi&#10;9CHQArwAUl1jUyShzVvbMpp9dA6hFrYzcK6TUoprz3lFs4EF/hkU023scpvLZDvB0SA7iWgEISVY&#10;qlammJ1gShuzAsu/A8/5CQrZait4Ge6PVVdEruwsreBBW4e/q07TpWW15F8UWOZOEjy7ds6vmaWJ&#10;nslvcvZ3MuWP+wy//oWH7wAAAP//AwBQSwMEFAAGAAgAAAAhAAuwyETbAAAACAEAAA8AAABkcnMv&#10;ZG93bnJldi54bWxMj8FOwzAQRO9I/IO1SNyoQytaK8SpIBJHhAiFXp14SSLsdRS7afh7lhMcRzOa&#10;eVPsF+/EjFMcAmm4XWUgkNpgB+o0HN6ebhSImAxZ4wKhhm+MsC8vLwqT23CmV5zr1AkuoZgbDX1K&#10;Yy5lbHv0Jq7CiMTeZ5i8SSynTtrJnLncO7nOsq30ZiBe6M2IVY/tV33yGt6Pfjyqw3P1WNexqWLz&#10;4tLHrPX11fJwDyLhkv7C8IvP6FAyUxNOZKNwGjbqbsdRDds1CPY3asffGtZKgSwL+f9A+QMAAP//&#10;AwBQSwECLQAUAAYACAAAACEAtoM4kv4AAADhAQAAEwAAAAAAAAAAAAAAAAAAAAAAW0NvbnRlbnRf&#10;VHlwZXNdLnhtbFBLAQItABQABgAIAAAAIQA4/SH/1gAAAJQBAAALAAAAAAAAAAAAAAAAAC8BAABf&#10;cmVscy8ucmVsc1BLAQItABQABgAIAAAAIQBjyFr1vwEAAM0DAAAOAAAAAAAAAAAAAAAAAC4CAABk&#10;cnMvZTJvRG9jLnhtbFBLAQItABQABgAIAAAAIQALsMhE2wAAAAgBAAAPAAAAAAAAAAAAAAAAABkE&#10;AABkcnMvZG93bnJldi54bWxQSwUGAAAAAAQABADzAAAAIQUAAAAA&#10;" strokecolor="#156082 [3204]" strokeweight="1.5pt">
                <v:stroke endarrow="block" joinstyle="miter"/>
              </v:shape>
            </w:pict>
          </mc:Fallback>
        </mc:AlternateContent>
      </w:r>
    </w:p>
    <w:p w14:paraId="2DBDD0B1" w14:textId="1E1B1E76" w:rsidR="00D356DB" w:rsidRDefault="00704258" w:rsidP="00704258">
      <w:pPr>
        <w:rPr>
          <w:sz w:val="22"/>
          <w:szCs w:val="22"/>
        </w:rPr>
      </w:pPr>
      <w:r w:rsidRPr="00704258">
        <w:rPr>
          <w:sz w:val="22"/>
          <w:szCs w:val="22"/>
        </w:rPr>
        <w:t xml:space="preserve">                  </w:t>
      </w:r>
    </w:p>
    <w:p w14:paraId="5C9C9E23" w14:textId="77777777" w:rsidR="00D356DB" w:rsidRDefault="00D356DB" w:rsidP="00704258">
      <w:pPr>
        <w:rPr>
          <w:sz w:val="22"/>
          <w:szCs w:val="22"/>
        </w:rPr>
      </w:pPr>
      <w:r>
        <w:rPr>
          <w:sz w:val="22"/>
          <w:szCs w:val="22"/>
        </w:rPr>
        <w:t xml:space="preserve">                        </w:t>
      </w:r>
      <w:r w:rsidR="00704258" w:rsidRPr="00704258">
        <w:rPr>
          <w:sz w:val="22"/>
          <w:szCs w:val="22"/>
        </w:rPr>
        <w:t xml:space="preserve">AUSGF CORE OPERATIONAL DOMAINS &amp; IMPLEMENTATION              </w:t>
      </w:r>
    </w:p>
    <w:p w14:paraId="5C780183" w14:textId="77777777" w:rsidR="00D356DB" w:rsidRDefault="00D356DB" w:rsidP="00704258">
      <w:pPr>
        <w:rPr>
          <w:sz w:val="22"/>
          <w:szCs w:val="22"/>
        </w:rPr>
      </w:pPr>
    </w:p>
    <w:tbl>
      <w:tblPr>
        <w:tblStyle w:val="TableGrid"/>
        <w:tblW w:w="0" w:type="auto"/>
        <w:tblLook w:val="04A0" w:firstRow="1" w:lastRow="0" w:firstColumn="1" w:lastColumn="0" w:noHBand="0" w:noVBand="1"/>
      </w:tblPr>
      <w:tblGrid>
        <w:gridCol w:w="3005"/>
        <w:gridCol w:w="3005"/>
        <w:gridCol w:w="3006"/>
      </w:tblGrid>
      <w:tr w:rsidR="00D356DB" w14:paraId="1C0A36AD" w14:textId="77777777" w:rsidTr="00D356DB">
        <w:tc>
          <w:tcPr>
            <w:tcW w:w="3005" w:type="dxa"/>
          </w:tcPr>
          <w:p w14:paraId="4DFB1CC4" w14:textId="358B7095" w:rsidR="00D356DB" w:rsidRPr="00D356DB" w:rsidRDefault="00D356DB" w:rsidP="00D356DB">
            <w:pPr>
              <w:pStyle w:val="ListParagraph"/>
              <w:numPr>
                <w:ilvl w:val="0"/>
                <w:numId w:val="9"/>
              </w:numPr>
              <w:rPr>
                <w:sz w:val="18"/>
                <w:szCs w:val="18"/>
              </w:rPr>
            </w:pPr>
            <w:r w:rsidRPr="00D356DB">
              <w:rPr>
                <w:sz w:val="18"/>
                <w:szCs w:val="18"/>
              </w:rPr>
              <w:t>GOVERNANCE &amp; PLANNING</w:t>
            </w:r>
          </w:p>
          <w:p w14:paraId="4D9286B4" w14:textId="77777777" w:rsidR="00D356DB" w:rsidRDefault="00D356DB" w:rsidP="00D356DB">
            <w:pPr>
              <w:pStyle w:val="ListParagraph"/>
              <w:numPr>
                <w:ilvl w:val="0"/>
                <w:numId w:val="10"/>
              </w:numPr>
              <w:rPr>
                <w:sz w:val="18"/>
                <w:szCs w:val="18"/>
              </w:rPr>
            </w:pPr>
            <w:r w:rsidRPr="00D356DB">
              <w:rPr>
                <w:sz w:val="18"/>
                <w:szCs w:val="18"/>
              </w:rPr>
              <w:t>RACI Matrix Execution</w:t>
            </w:r>
          </w:p>
          <w:p w14:paraId="73B2EE71" w14:textId="055A3358" w:rsidR="00D356DB" w:rsidRPr="00D356DB" w:rsidRDefault="00D356DB" w:rsidP="00D356DB">
            <w:pPr>
              <w:pStyle w:val="ListParagraph"/>
              <w:numPr>
                <w:ilvl w:val="0"/>
                <w:numId w:val="10"/>
              </w:numPr>
              <w:rPr>
                <w:sz w:val="18"/>
                <w:szCs w:val="18"/>
              </w:rPr>
            </w:pPr>
            <w:r w:rsidRPr="00D356DB">
              <w:rPr>
                <w:sz w:val="18"/>
                <w:szCs w:val="18"/>
              </w:rPr>
              <w:t>Security Charter/Policy</w:t>
            </w:r>
          </w:p>
        </w:tc>
        <w:tc>
          <w:tcPr>
            <w:tcW w:w="3005" w:type="dxa"/>
          </w:tcPr>
          <w:p w14:paraId="0652A33D" w14:textId="2B4D13A8" w:rsidR="00D356DB" w:rsidRPr="00D356DB" w:rsidRDefault="00D356DB" w:rsidP="00D356DB">
            <w:pPr>
              <w:pStyle w:val="ListParagraph"/>
              <w:numPr>
                <w:ilvl w:val="0"/>
                <w:numId w:val="9"/>
              </w:numPr>
              <w:rPr>
                <w:sz w:val="22"/>
                <w:szCs w:val="22"/>
              </w:rPr>
            </w:pPr>
            <w:r w:rsidRPr="00D356DB">
              <w:rPr>
                <w:sz w:val="22"/>
                <w:szCs w:val="22"/>
              </w:rPr>
              <w:t>RISK ASSESSMENT &amp; MANAGEMENT</w:t>
            </w:r>
          </w:p>
          <w:p w14:paraId="136C2FA0" w14:textId="77777777" w:rsidR="00D356DB" w:rsidRDefault="00D356DB" w:rsidP="00D356DB">
            <w:pPr>
              <w:pStyle w:val="ListParagraph"/>
              <w:numPr>
                <w:ilvl w:val="0"/>
                <w:numId w:val="10"/>
              </w:numPr>
              <w:rPr>
                <w:sz w:val="22"/>
                <w:szCs w:val="22"/>
              </w:rPr>
            </w:pPr>
            <w:r w:rsidRPr="00D356DB">
              <w:rPr>
                <w:sz w:val="22"/>
                <w:szCs w:val="22"/>
              </w:rPr>
              <w:t>Continuous IoT/Cloud Audits</w:t>
            </w:r>
          </w:p>
          <w:p w14:paraId="3272493B" w14:textId="158397A3" w:rsidR="00D356DB" w:rsidRPr="00D356DB" w:rsidRDefault="00D356DB" w:rsidP="00D356DB">
            <w:pPr>
              <w:pStyle w:val="ListParagraph"/>
              <w:numPr>
                <w:ilvl w:val="0"/>
                <w:numId w:val="10"/>
              </w:numPr>
              <w:rPr>
                <w:sz w:val="22"/>
                <w:szCs w:val="22"/>
              </w:rPr>
            </w:pPr>
            <w:r w:rsidRPr="00D356DB">
              <w:rPr>
                <w:sz w:val="22"/>
                <w:szCs w:val="22"/>
              </w:rPr>
              <w:t>Asset Classification Matrix</w:t>
            </w:r>
          </w:p>
        </w:tc>
        <w:tc>
          <w:tcPr>
            <w:tcW w:w="3006" w:type="dxa"/>
          </w:tcPr>
          <w:p w14:paraId="323712DF" w14:textId="05DBB681" w:rsidR="00D356DB" w:rsidRPr="00D356DB" w:rsidRDefault="00D356DB" w:rsidP="00D356DB">
            <w:pPr>
              <w:pStyle w:val="ListParagraph"/>
              <w:numPr>
                <w:ilvl w:val="0"/>
                <w:numId w:val="9"/>
              </w:numPr>
              <w:rPr>
                <w:sz w:val="22"/>
                <w:szCs w:val="22"/>
              </w:rPr>
            </w:pPr>
            <w:r w:rsidRPr="00D356DB">
              <w:rPr>
                <w:sz w:val="22"/>
                <w:szCs w:val="22"/>
              </w:rPr>
              <w:t>COMPLIANCE &amp; ETHICS</w:t>
            </w:r>
          </w:p>
          <w:p w14:paraId="3C0D8E7F" w14:textId="77777777" w:rsidR="00D356DB" w:rsidRDefault="00D356DB" w:rsidP="00D356DB">
            <w:pPr>
              <w:pStyle w:val="ListParagraph"/>
              <w:numPr>
                <w:ilvl w:val="0"/>
                <w:numId w:val="10"/>
              </w:numPr>
              <w:rPr>
                <w:sz w:val="22"/>
                <w:szCs w:val="22"/>
              </w:rPr>
            </w:pPr>
            <w:r w:rsidRPr="00D356DB">
              <w:rPr>
                <w:sz w:val="22"/>
                <w:szCs w:val="22"/>
              </w:rPr>
              <w:t>GDPR / NIS 2 Alignment</w:t>
            </w:r>
          </w:p>
          <w:p w14:paraId="657030BA" w14:textId="778E8E17" w:rsidR="00D356DB" w:rsidRPr="00D356DB" w:rsidRDefault="00D356DB" w:rsidP="00D356DB">
            <w:pPr>
              <w:pStyle w:val="ListParagraph"/>
              <w:numPr>
                <w:ilvl w:val="0"/>
                <w:numId w:val="10"/>
              </w:numPr>
              <w:rPr>
                <w:sz w:val="22"/>
                <w:szCs w:val="22"/>
              </w:rPr>
            </w:pPr>
            <w:r w:rsidRPr="00D356DB">
              <w:rPr>
                <w:sz w:val="22"/>
                <w:szCs w:val="22"/>
              </w:rPr>
              <w:t>Mandatory Training</w:t>
            </w:r>
          </w:p>
        </w:tc>
      </w:tr>
      <w:tr w:rsidR="00D356DB" w14:paraId="6A1E44BB" w14:textId="77777777" w:rsidTr="00D356DB">
        <w:tc>
          <w:tcPr>
            <w:tcW w:w="3005" w:type="dxa"/>
          </w:tcPr>
          <w:p w14:paraId="6D7E6806" w14:textId="25698E3E" w:rsidR="00D356DB" w:rsidRPr="00D356DB" w:rsidRDefault="00D356DB" w:rsidP="00D356DB">
            <w:pPr>
              <w:pStyle w:val="ListParagraph"/>
              <w:numPr>
                <w:ilvl w:val="0"/>
                <w:numId w:val="9"/>
              </w:numPr>
              <w:rPr>
                <w:sz w:val="22"/>
                <w:szCs w:val="22"/>
              </w:rPr>
            </w:pPr>
            <w:r w:rsidRPr="00D356DB">
              <w:rPr>
                <w:sz w:val="22"/>
                <w:szCs w:val="22"/>
              </w:rPr>
              <w:t>CONTINGENCY &amp; BCP</w:t>
            </w:r>
          </w:p>
          <w:p w14:paraId="48EC2D55" w14:textId="77777777" w:rsidR="00D356DB" w:rsidRDefault="00D356DB" w:rsidP="00D356DB">
            <w:pPr>
              <w:pStyle w:val="ListParagraph"/>
              <w:numPr>
                <w:ilvl w:val="0"/>
                <w:numId w:val="10"/>
              </w:numPr>
              <w:rPr>
                <w:sz w:val="22"/>
                <w:szCs w:val="22"/>
              </w:rPr>
            </w:pPr>
            <w:r w:rsidRPr="00D356DB">
              <w:rPr>
                <w:sz w:val="22"/>
                <w:szCs w:val="22"/>
              </w:rPr>
              <w:t>Playbooks (RTO/RPO)</w:t>
            </w:r>
          </w:p>
          <w:p w14:paraId="4EE03BED" w14:textId="5CFD4E2E" w:rsidR="00D356DB" w:rsidRPr="00D356DB" w:rsidRDefault="00D356DB" w:rsidP="00D356DB">
            <w:pPr>
              <w:pStyle w:val="ListParagraph"/>
              <w:numPr>
                <w:ilvl w:val="0"/>
                <w:numId w:val="10"/>
              </w:numPr>
              <w:rPr>
                <w:sz w:val="22"/>
                <w:szCs w:val="22"/>
              </w:rPr>
            </w:pPr>
            <w:r w:rsidRPr="00D356DB">
              <w:rPr>
                <w:sz w:val="22"/>
                <w:szCs w:val="22"/>
              </w:rPr>
              <w:t>DR &amp; Tabletop Drills</w:t>
            </w:r>
          </w:p>
        </w:tc>
        <w:tc>
          <w:tcPr>
            <w:tcW w:w="3005" w:type="dxa"/>
          </w:tcPr>
          <w:p w14:paraId="44CCB4D2" w14:textId="7C41A38B" w:rsidR="00D356DB" w:rsidRPr="00D356DB" w:rsidRDefault="00D356DB" w:rsidP="00D356DB">
            <w:pPr>
              <w:pStyle w:val="ListParagraph"/>
              <w:numPr>
                <w:ilvl w:val="0"/>
                <w:numId w:val="9"/>
              </w:numPr>
              <w:rPr>
                <w:sz w:val="22"/>
                <w:szCs w:val="22"/>
              </w:rPr>
            </w:pPr>
            <w:r w:rsidRPr="00D356DB">
              <w:rPr>
                <w:sz w:val="22"/>
                <w:szCs w:val="22"/>
              </w:rPr>
              <w:t>PROTECTION &amp; ACCESS CONTROLS</w:t>
            </w:r>
          </w:p>
          <w:p w14:paraId="20DD0205" w14:textId="77777777" w:rsidR="00D356DB" w:rsidRDefault="00D356DB" w:rsidP="00D356DB">
            <w:pPr>
              <w:pStyle w:val="ListParagraph"/>
              <w:numPr>
                <w:ilvl w:val="0"/>
                <w:numId w:val="10"/>
              </w:numPr>
              <w:rPr>
                <w:sz w:val="22"/>
                <w:szCs w:val="22"/>
              </w:rPr>
            </w:pPr>
            <w:r w:rsidRPr="00D356DB">
              <w:rPr>
                <w:sz w:val="22"/>
                <w:szCs w:val="22"/>
              </w:rPr>
              <w:t>Zero Trust Architecture (ZTA)</w:t>
            </w:r>
          </w:p>
          <w:p w14:paraId="0B67CBF7" w14:textId="5390AF35" w:rsidR="00D356DB" w:rsidRPr="00D356DB" w:rsidRDefault="00D356DB" w:rsidP="00D356DB">
            <w:pPr>
              <w:pStyle w:val="ListParagraph"/>
              <w:numPr>
                <w:ilvl w:val="0"/>
                <w:numId w:val="10"/>
              </w:numPr>
              <w:rPr>
                <w:sz w:val="22"/>
                <w:szCs w:val="22"/>
              </w:rPr>
            </w:pPr>
            <w:r w:rsidRPr="00D356DB">
              <w:rPr>
                <w:sz w:val="22"/>
                <w:szCs w:val="22"/>
              </w:rPr>
              <w:t>MFA / SASE Cloud Gateways</w:t>
            </w:r>
          </w:p>
        </w:tc>
        <w:tc>
          <w:tcPr>
            <w:tcW w:w="3006" w:type="dxa"/>
          </w:tcPr>
          <w:p w14:paraId="3C600478" w14:textId="4A984BE8" w:rsidR="00D356DB" w:rsidRPr="00552B1D" w:rsidRDefault="00552B1D" w:rsidP="00552B1D">
            <w:pPr>
              <w:pStyle w:val="ListParagraph"/>
              <w:numPr>
                <w:ilvl w:val="0"/>
                <w:numId w:val="9"/>
              </w:numPr>
              <w:rPr>
                <w:sz w:val="22"/>
                <w:szCs w:val="22"/>
              </w:rPr>
            </w:pPr>
            <w:r w:rsidRPr="00552B1D">
              <w:rPr>
                <w:sz w:val="22"/>
                <w:szCs w:val="22"/>
              </w:rPr>
              <w:t>VENDOR &amp; SLA MGMT</w:t>
            </w:r>
          </w:p>
          <w:p w14:paraId="23BA13CD" w14:textId="77777777" w:rsidR="00552B1D" w:rsidRDefault="00552B1D" w:rsidP="00552B1D">
            <w:pPr>
              <w:pStyle w:val="ListParagraph"/>
              <w:numPr>
                <w:ilvl w:val="0"/>
                <w:numId w:val="10"/>
              </w:numPr>
              <w:rPr>
                <w:sz w:val="22"/>
                <w:szCs w:val="22"/>
              </w:rPr>
            </w:pPr>
            <w:r w:rsidRPr="00552B1D">
              <w:rPr>
                <w:sz w:val="22"/>
                <w:szCs w:val="22"/>
              </w:rPr>
              <w:t>SAC &amp; Continuous</w:t>
            </w:r>
            <w:r>
              <w:rPr>
                <w:sz w:val="22"/>
                <w:szCs w:val="22"/>
              </w:rPr>
              <w:t xml:space="preserve"> </w:t>
            </w:r>
          </w:p>
          <w:p w14:paraId="2808868B" w14:textId="5146B7F4" w:rsidR="00552B1D" w:rsidRPr="00552B1D" w:rsidRDefault="00552B1D" w:rsidP="00552B1D">
            <w:pPr>
              <w:pStyle w:val="ListParagraph"/>
              <w:numPr>
                <w:ilvl w:val="0"/>
                <w:numId w:val="10"/>
              </w:numPr>
              <w:rPr>
                <w:sz w:val="22"/>
                <w:szCs w:val="22"/>
              </w:rPr>
            </w:pPr>
            <w:r w:rsidRPr="00552B1D">
              <w:rPr>
                <w:sz w:val="22"/>
                <w:szCs w:val="22"/>
              </w:rPr>
              <w:t>Automated Audits</w:t>
            </w:r>
          </w:p>
        </w:tc>
      </w:tr>
    </w:tbl>
    <w:p w14:paraId="04AD084E" w14:textId="7BCC6762" w:rsidR="00704258" w:rsidRPr="00704258" w:rsidRDefault="00552B1D" w:rsidP="00704258">
      <w:pPr>
        <w:rPr>
          <w:sz w:val="22"/>
          <w:szCs w:val="22"/>
        </w:rPr>
      </w:pPr>
      <w:r>
        <w:rPr>
          <w:noProof/>
          <w:sz w:val="22"/>
          <w:szCs w:val="22"/>
        </w:rPr>
        <mc:AlternateContent>
          <mc:Choice Requires="wps">
            <w:drawing>
              <wp:anchor distT="0" distB="0" distL="114300" distR="114300" simplePos="0" relativeHeight="251658242" behindDoc="0" locked="0" layoutInCell="1" allowOverlap="1" wp14:anchorId="07865888" wp14:editId="6BA70453">
                <wp:simplePos x="0" y="0"/>
                <wp:positionH relativeFrom="margin">
                  <wp:align>center</wp:align>
                </wp:positionH>
                <wp:positionV relativeFrom="paragraph">
                  <wp:posOffset>124156</wp:posOffset>
                </wp:positionV>
                <wp:extent cx="7951" cy="397565"/>
                <wp:effectExtent l="38100" t="0" r="68580" b="59690"/>
                <wp:wrapNone/>
                <wp:docPr id="549426433" name="Straight Arrow Connector 3"/>
                <wp:cNvGraphicFramePr/>
                <a:graphic xmlns:a="http://schemas.openxmlformats.org/drawingml/2006/main">
                  <a:graphicData uri="http://schemas.microsoft.com/office/word/2010/wordprocessingShape">
                    <wps:wsp>
                      <wps:cNvCnPr/>
                      <wps:spPr>
                        <a:xfrm>
                          <a:off x="0" y="0"/>
                          <a:ext cx="7951" cy="39756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DE18720" id="Straight Arrow Connector 3" o:spid="_x0000_s1026" type="#_x0000_t32" style="position:absolute;margin-left:0;margin-top:9.8pt;width:.65pt;height:31.3pt;z-index:25165824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Fr1vwEAAM0DAAAOAAAAZHJzL2Uyb0RvYy54bWysU02P0zAQvSPxHyzfaZKi7rJR0z10gQuC&#10;FQs/wOuME0uObY2HJvn32E6bIkAgIS4Tf8x7M/P8sr+fBsNOgEE72/BqU3IGVrpW267hX7+8e/WG&#10;s0DCtsI4Cw2fIfD7w8sX+9HXsHW9My0giyQ21KNveE/k66IIsodBhI3zYOOlcjgIilvsihbFGNkH&#10;U2zL8qYYHbYenYQQ4unDcskPmV8pkPRJqQDETMNjb5Qj5vicYnHYi7pD4Xstz22If+hiENrGoivV&#10;gyDBvqH+hWrQEl1wijbSDYVTSkvIM8RpqvKnaZ564SHPEsUJfpUp/D9a+fF0tI8YZRh9qIN/xDTF&#10;pHBI39gfm7JY8yoWTMRkPLy921WcyXjx+u52d7NLUhZXqMdA78ENLC0aHgiF7no6Omvjozisslzi&#10;9CHQArwAUl1jUyShzVvbMpp9dA6hFrYzcK6TUoprz3lFs4EF/hkU023scpvLZDvB0SA7iWgEISVY&#10;qlammJ1gShuzAsu/A8/5CQrZait4Ge6PVVdEruwsreBBW4e/q07TpWW15F8UWOZOEjy7ds6vmaWJ&#10;nslvcvZ3MuWP+wy//oWH7wAAAP//AwBQSwMEFAAGAAgAAAAhAPEJMl7ZAAAABAEAAA8AAABkcnMv&#10;ZG93bnJldi54bWxMj8FOwzAQRO9I/IO1SNyo0yBVIcSp2kg9IkQo9LqJlyTCXkexm4a/xz3BcWdG&#10;M2+L7WKNmGnyg2MF61UCgrh1euBOwfH98JCB8AFZo3FMCn7Iw7a8vSkw1+7CbzTXoROxhH2OCvoQ&#10;xlxK3/Zk0a/cSBy9LzdZDPGcOqknvMRya2SaJBtpceC40ONIVU/td322Cj5Odjxlx5dqX9e+qXzz&#10;asLnrNT93bJ7BhFoCX9huOJHdCgjU+POrL0wCuIjIapPGxBX9xFEoyBLU5BlIf/Dl78AAAD//wMA&#10;UEsBAi0AFAAGAAgAAAAhALaDOJL+AAAA4QEAABMAAAAAAAAAAAAAAAAAAAAAAFtDb250ZW50X1R5&#10;cGVzXS54bWxQSwECLQAUAAYACAAAACEAOP0h/9YAAACUAQAACwAAAAAAAAAAAAAAAAAvAQAAX3Jl&#10;bHMvLnJlbHNQSwECLQAUAAYACAAAACEAY8ha9b8BAADNAwAADgAAAAAAAAAAAAAAAAAuAgAAZHJz&#10;L2Uyb0RvYy54bWxQSwECLQAUAAYACAAAACEA8QkyXtkAAAAEAQAADwAAAAAAAAAAAAAAAAAZBAAA&#10;ZHJzL2Rvd25yZXYueG1sUEsFBgAAAAAEAAQA8wAAAB8FAAAAAA==&#10;" strokecolor="#156082 [3204]" strokeweight="1.5pt">
                <v:stroke endarrow="block" joinstyle="miter"/>
                <w10:wrap anchorx="margin"/>
              </v:shape>
            </w:pict>
          </mc:Fallback>
        </mc:AlternateContent>
      </w:r>
      <w:r w:rsidR="00704258" w:rsidRPr="00704258">
        <w:rPr>
          <w:sz w:val="22"/>
          <w:szCs w:val="22"/>
        </w:rPr>
        <w:t xml:space="preserve">   </w:t>
      </w:r>
    </w:p>
    <w:p w14:paraId="72AFBF2D" w14:textId="044590B0" w:rsidR="00552B1D" w:rsidRDefault="00552B1D" w:rsidP="00704258">
      <w:pPr>
        <w:rPr>
          <w:b/>
          <w:bCs/>
          <w:sz w:val="22"/>
          <w:szCs w:val="22"/>
        </w:rPr>
      </w:pPr>
    </w:p>
    <w:tbl>
      <w:tblPr>
        <w:tblW w:w="0" w:type="auto"/>
        <w:tblInd w:w="1006" w:type="dxa"/>
        <w:tblBorders>
          <w:top w:val="single" w:sz="6" w:space="0" w:color="363840"/>
          <w:left w:val="single" w:sz="6" w:space="0" w:color="363840"/>
          <w:bottom w:val="single" w:sz="6" w:space="0" w:color="363840"/>
          <w:right w:val="single" w:sz="6" w:space="0" w:color="363840"/>
          <w:insideH w:val="single" w:sz="6" w:space="0" w:color="363840"/>
          <w:insideV w:val="single" w:sz="6" w:space="0" w:color="363840"/>
        </w:tblBorders>
        <w:tblLook w:val="0000" w:firstRow="0" w:lastRow="0" w:firstColumn="0" w:lastColumn="0" w:noHBand="0" w:noVBand="0"/>
      </w:tblPr>
      <w:tblGrid>
        <w:gridCol w:w="6899"/>
      </w:tblGrid>
      <w:tr w:rsidR="00552B1D" w14:paraId="610D487B" w14:textId="77777777" w:rsidTr="00552B1D">
        <w:trPr>
          <w:trHeight w:val="1011"/>
        </w:trPr>
        <w:tc>
          <w:tcPr>
            <w:tcW w:w="6899" w:type="dxa"/>
          </w:tcPr>
          <w:p w14:paraId="4EE8C6A6" w14:textId="77777777" w:rsidR="00552B1D" w:rsidRPr="00552B1D" w:rsidRDefault="00552B1D" w:rsidP="00552B1D">
            <w:pPr>
              <w:jc w:val="center"/>
              <w:rPr>
                <w:sz w:val="22"/>
                <w:szCs w:val="22"/>
              </w:rPr>
            </w:pPr>
            <w:r w:rsidRPr="00552B1D">
              <w:rPr>
                <w:sz w:val="22"/>
                <w:szCs w:val="22"/>
              </w:rPr>
              <w:t>CENTRAL MONITORING ENGINE</w:t>
            </w:r>
          </w:p>
          <w:p w14:paraId="4A98C012" w14:textId="69EB616B" w:rsidR="00552B1D" w:rsidRDefault="00552B1D" w:rsidP="00552B1D">
            <w:pPr>
              <w:jc w:val="center"/>
              <w:rPr>
                <w:b/>
                <w:bCs/>
                <w:sz w:val="22"/>
                <w:szCs w:val="22"/>
              </w:rPr>
            </w:pPr>
            <w:r w:rsidRPr="00552B1D">
              <w:rPr>
                <w:sz w:val="22"/>
                <w:szCs w:val="22"/>
              </w:rPr>
              <w:t>SIEM / SOC / Continuous Improvement</w:t>
            </w:r>
          </w:p>
        </w:tc>
      </w:tr>
    </w:tbl>
    <w:p w14:paraId="2AAA852E" w14:textId="77777777" w:rsidR="00552B1D" w:rsidRDefault="00552B1D" w:rsidP="00704258">
      <w:pPr>
        <w:rPr>
          <w:b/>
          <w:bCs/>
          <w:sz w:val="22"/>
          <w:szCs w:val="22"/>
        </w:rPr>
      </w:pPr>
    </w:p>
    <w:p w14:paraId="7D5C13FD" w14:textId="77777777" w:rsidR="00552B1D" w:rsidRDefault="00552B1D" w:rsidP="00704258">
      <w:pPr>
        <w:rPr>
          <w:b/>
          <w:bCs/>
          <w:sz w:val="22"/>
          <w:szCs w:val="22"/>
        </w:rPr>
      </w:pPr>
    </w:p>
    <w:p w14:paraId="71354432" w14:textId="77777777" w:rsidR="00552B1D" w:rsidRDefault="00552B1D" w:rsidP="00704258">
      <w:pPr>
        <w:rPr>
          <w:b/>
          <w:bCs/>
          <w:sz w:val="22"/>
          <w:szCs w:val="22"/>
        </w:rPr>
      </w:pPr>
    </w:p>
    <w:p w14:paraId="6C785DB8" w14:textId="77777777" w:rsidR="00552B1D" w:rsidRDefault="00552B1D" w:rsidP="00704258">
      <w:pPr>
        <w:rPr>
          <w:b/>
          <w:bCs/>
          <w:sz w:val="22"/>
          <w:szCs w:val="22"/>
        </w:rPr>
      </w:pPr>
    </w:p>
    <w:p w14:paraId="64589D1D" w14:textId="77777777" w:rsidR="00552B1D" w:rsidRDefault="00552B1D" w:rsidP="00704258">
      <w:pPr>
        <w:rPr>
          <w:b/>
          <w:bCs/>
          <w:sz w:val="22"/>
          <w:szCs w:val="22"/>
        </w:rPr>
      </w:pPr>
    </w:p>
    <w:p w14:paraId="58ACA7BE" w14:textId="77777777" w:rsidR="00552B1D" w:rsidRDefault="00552B1D" w:rsidP="00704258">
      <w:pPr>
        <w:rPr>
          <w:b/>
          <w:bCs/>
          <w:sz w:val="22"/>
          <w:szCs w:val="22"/>
        </w:rPr>
      </w:pPr>
    </w:p>
    <w:p w14:paraId="03673461" w14:textId="36904B7C" w:rsidR="00704258" w:rsidRPr="00704258" w:rsidRDefault="00704258" w:rsidP="00704258">
      <w:pPr>
        <w:rPr>
          <w:b/>
          <w:bCs/>
          <w:sz w:val="22"/>
          <w:szCs w:val="22"/>
        </w:rPr>
      </w:pPr>
      <w:r w:rsidRPr="00704258">
        <w:rPr>
          <w:b/>
          <w:bCs/>
          <w:sz w:val="22"/>
          <w:szCs w:val="22"/>
        </w:rPr>
        <w:t>3.1 Governance and Strategic Planning for Security</w:t>
      </w:r>
    </w:p>
    <w:p w14:paraId="29511314" w14:textId="42D717F4" w:rsidR="00704258" w:rsidRPr="00704258" w:rsidRDefault="00B66C6C" w:rsidP="00704258">
      <w:pPr>
        <w:rPr>
          <w:sz w:val="22"/>
          <w:szCs w:val="22"/>
        </w:rPr>
      </w:pPr>
      <w:r w:rsidRPr="00B66C6C">
        <w:rPr>
          <w:sz w:val="22"/>
          <w:szCs w:val="22"/>
        </w:rPr>
        <w:t>ALL's current institutional disarray necessitates a comprehensive revamp of its security leadership. The AUSGF forms the Executive Cybersecurity Committee (ECC). The newly appointed Chief Information Security Officer (CISO) chairs this committee, which also comprises the CIO, Chief Legal Counsel, and Head of Logistics Operations</w:t>
      </w:r>
      <w:r w:rsidR="00704258" w:rsidRPr="00704258">
        <w:rPr>
          <w:sz w:val="22"/>
          <w:szCs w:val="22"/>
        </w:rPr>
        <w:t>.</w:t>
      </w:r>
    </w:p>
    <w:p w14:paraId="2655B5B1" w14:textId="77777777" w:rsidR="00704258" w:rsidRPr="00704258" w:rsidRDefault="00704258" w:rsidP="00704258">
      <w:pPr>
        <w:rPr>
          <w:sz w:val="22"/>
          <w:szCs w:val="22"/>
        </w:rPr>
      </w:pPr>
      <w:r w:rsidRPr="00704258">
        <w:rPr>
          <w:sz w:val="22"/>
          <w:szCs w:val="22"/>
        </w:rPr>
        <w:t xml:space="preserve">The committee is governed by a formal </w:t>
      </w:r>
      <w:r w:rsidRPr="00704258">
        <w:rPr>
          <w:i/>
          <w:iCs/>
          <w:sz w:val="22"/>
          <w:szCs w:val="22"/>
        </w:rPr>
        <w:t>Information Security Charter</w:t>
      </w:r>
      <w:r w:rsidRPr="00704258">
        <w:rPr>
          <w:sz w:val="22"/>
          <w:szCs w:val="22"/>
        </w:rPr>
        <w:t>. This document grants the CISO explicit authority to halt operational processes if high-severity vulnerabilities are detected.</w:t>
      </w:r>
    </w:p>
    <w:p w14:paraId="41280F75" w14:textId="77777777" w:rsidR="00704258" w:rsidRPr="00704258" w:rsidRDefault="00704258" w:rsidP="00704258">
      <w:pPr>
        <w:rPr>
          <w:sz w:val="22"/>
          <w:szCs w:val="22"/>
        </w:rPr>
      </w:pPr>
      <w:r w:rsidRPr="00704258">
        <w:rPr>
          <w:sz w:val="22"/>
          <w:szCs w:val="22"/>
        </w:rPr>
        <w:t xml:space="preserve">To resolve ambiguous responsibilities, the framework establishes a comprehensive, enterprise-wide </w:t>
      </w:r>
      <w:r w:rsidRPr="00704258">
        <w:rPr>
          <w:b/>
          <w:bCs/>
          <w:sz w:val="22"/>
          <w:szCs w:val="22"/>
        </w:rPr>
        <w:t>RACI Matrix</w:t>
      </w:r>
      <w:r w:rsidRPr="00704258">
        <w:rPr>
          <w:sz w:val="22"/>
          <w:szCs w:val="22"/>
        </w:rPr>
        <w:t>:</w:t>
      </w:r>
    </w:p>
    <w:tbl>
      <w:tblPr>
        <w:tblStyle w:val="TableGrid"/>
        <w:tblW w:w="0" w:type="auto"/>
        <w:tblLook w:val="04A0" w:firstRow="1" w:lastRow="0" w:firstColumn="1" w:lastColumn="0" w:noHBand="0" w:noVBand="1"/>
      </w:tblPr>
      <w:tblGrid>
        <w:gridCol w:w="9016"/>
      </w:tblGrid>
      <w:tr w:rsidR="00552B1D" w14:paraId="561CB63B" w14:textId="7777777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9"/>
              <w:gridCol w:w="1354"/>
              <w:gridCol w:w="574"/>
              <w:gridCol w:w="443"/>
              <w:gridCol w:w="1602"/>
              <w:gridCol w:w="1320"/>
              <w:gridCol w:w="1168"/>
            </w:tblGrid>
            <w:tr w:rsidR="00552B1D" w:rsidRPr="00552B1D" w14:paraId="306B4FD0" w14:textId="77777777" w:rsidTr="002B0B07">
              <w:trPr>
                <w:tblCellSpacing w:w="15" w:type="dxa"/>
              </w:trPr>
              <w:tc>
                <w:tcPr>
                  <w:tcW w:w="0" w:type="auto"/>
                  <w:tcBorders>
                    <w:bottom w:val="single" w:sz="6" w:space="0" w:color="363840"/>
                  </w:tcBorders>
                  <w:vAlign w:val="center"/>
                  <w:hideMark/>
                </w:tcPr>
                <w:p w14:paraId="32527719" w14:textId="77777777" w:rsidR="00552B1D" w:rsidRPr="00552B1D" w:rsidRDefault="00552B1D" w:rsidP="002B0B07">
                  <w:pPr>
                    <w:rPr>
                      <w:b/>
                      <w:bCs/>
                      <w:sz w:val="22"/>
                      <w:szCs w:val="22"/>
                    </w:rPr>
                  </w:pPr>
                  <w:r w:rsidRPr="00552B1D">
                    <w:rPr>
                      <w:b/>
                      <w:bCs/>
                      <w:sz w:val="22"/>
                      <w:szCs w:val="22"/>
                    </w:rPr>
                    <w:t>Security Process / Deliverable</w:t>
                  </w:r>
                </w:p>
              </w:tc>
              <w:tc>
                <w:tcPr>
                  <w:tcW w:w="0" w:type="auto"/>
                  <w:tcBorders>
                    <w:bottom w:val="single" w:sz="6" w:space="0" w:color="363840"/>
                  </w:tcBorders>
                  <w:vAlign w:val="center"/>
                  <w:hideMark/>
                </w:tcPr>
                <w:p w14:paraId="20AFBF3E" w14:textId="77777777" w:rsidR="00552B1D" w:rsidRPr="00552B1D" w:rsidRDefault="00552B1D" w:rsidP="002B0B07">
                  <w:pPr>
                    <w:rPr>
                      <w:b/>
                      <w:bCs/>
                      <w:sz w:val="22"/>
                      <w:szCs w:val="22"/>
                    </w:rPr>
                  </w:pPr>
                  <w:r w:rsidRPr="00552B1D">
                    <w:rPr>
                      <w:b/>
                      <w:bCs/>
                      <w:sz w:val="22"/>
                      <w:szCs w:val="22"/>
                    </w:rPr>
                    <w:t>Board of Directors</w:t>
                  </w:r>
                </w:p>
              </w:tc>
              <w:tc>
                <w:tcPr>
                  <w:tcW w:w="0" w:type="auto"/>
                  <w:tcBorders>
                    <w:bottom w:val="single" w:sz="6" w:space="0" w:color="363840"/>
                  </w:tcBorders>
                  <w:vAlign w:val="center"/>
                  <w:hideMark/>
                </w:tcPr>
                <w:p w14:paraId="11487A1A" w14:textId="77777777" w:rsidR="00552B1D" w:rsidRPr="00552B1D" w:rsidRDefault="00552B1D" w:rsidP="002B0B07">
                  <w:pPr>
                    <w:rPr>
                      <w:b/>
                      <w:bCs/>
                      <w:sz w:val="22"/>
                      <w:szCs w:val="22"/>
                    </w:rPr>
                  </w:pPr>
                  <w:r w:rsidRPr="00552B1D">
                    <w:rPr>
                      <w:b/>
                      <w:bCs/>
                      <w:sz w:val="22"/>
                      <w:szCs w:val="22"/>
                    </w:rPr>
                    <w:t>CISO</w:t>
                  </w:r>
                </w:p>
              </w:tc>
              <w:tc>
                <w:tcPr>
                  <w:tcW w:w="0" w:type="auto"/>
                  <w:tcBorders>
                    <w:bottom w:val="single" w:sz="6" w:space="0" w:color="363840"/>
                  </w:tcBorders>
                  <w:vAlign w:val="center"/>
                  <w:hideMark/>
                </w:tcPr>
                <w:p w14:paraId="2481035A" w14:textId="77777777" w:rsidR="00552B1D" w:rsidRPr="00552B1D" w:rsidRDefault="00552B1D" w:rsidP="002B0B07">
                  <w:pPr>
                    <w:rPr>
                      <w:b/>
                      <w:bCs/>
                      <w:sz w:val="22"/>
                      <w:szCs w:val="22"/>
                    </w:rPr>
                  </w:pPr>
                  <w:r w:rsidRPr="00552B1D">
                    <w:rPr>
                      <w:b/>
                      <w:bCs/>
                      <w:sz w:val="22"/>
                      <w:szCs w:val="22"/>
                    </w:rPr>
                    <w:t>CIO</w:t>
                  </w:r>
                </w:p>
              </w:tc>
              <w:tc>
                <w:tcPr>
                  <w:tcW w:w="0" w:type="auto"/>
                  <w:tcBorders>
                    <w:bottom w:val="single" w:sz="6" w:space="0" w:color="363840"/>
                  </w:tcBorders>
                  <w:vAlign w:val="center"/>
                  <w:hideMark/>
                </w:tcPr>
                <w:p w14:paraId="046A4740" w14:textId="77777777" w:rsidR="00552B1D" w:rsidRPr="00552B1D" w:rsidRDefault="00552B1D" w:rsidP="002B0B07">
                  <w:pPr>
                    <w:rPr>
                      <w:b/>
                      <w:bCs/>
                      <w:sz w:val="22"/>
                      <w:szCs w:val="22"/>
                    </w:rPr>
                  </w:pPr>
                  <w:r w:rsidRPr="00552B1D">
                    <w:rPr>
                      <w:b/>
                      <w:bCs/>
                      <w:sz w:val="22"/>
                      <w:szCs w:val="22"/>
                    </w:rPr>
                    <w:t>Cloud/SaaS Vendors</w:t>
                  </w:r>
                </w:p>
              </w:tc>
              <w:tc>
                <w:tcPr>
                  <w:tcW w:w="0" w:type="auto"/>
                  <w:tcBorders>
                    <w:bottom w:val="single" w:sz="6" w:space="0" w:color="363840"/>
                  </w:tcBorders>
                  <w:vAlign w:val="center"/>
                  <w:hideMark/>
                </w:tcPr>
                <w:p w14:paraId="7C3C1486" w14:textId="77777777" w:rsidR="00552B1D" w:rsidRPr="00552B1D" w:rsidRDefault="00552B1D" w:rsidP="002B0B07">
                  <w:pPr>
                    <w:rPr>
                      <w:b/>
                      <w:bCs/>
                      <w:sz w:val="22"/>
                      <w:szCs w:val="22"/>
                    </w:rPr>
                  </w:pPr>
                  <w:r w:rsidRPr="00552B1D">
                    <w:rPr>
                      <w:b/>
                      <w:bCs/>
                      <w:sz w:val="22"/>
                      <w:szCs w:val="22"/>
                    </w:rPr>
                    <w:t>Logistics Partners</w:t>
                  </w:r>
                </w:p>
              </w:tc>
              <w:tc>
                <w:tcPr>
                  <w:tcW w:w="0" w:type="auto"/>
                  <w:tcBorders>
                    <w:bottom w:val="single" w:sz="6" w:space="0" w:color="363840"/>
                  </w:tcBorders>
                  <w:vAlign w:val="center"/>
                  <w:hideMark/>
                </w:tcPr>
                <w:p w14:paraId="27EC5450" w14:textId="77777777" w:rsidR="00552B1D" w:rsidRPr="00552B1D" w:rsidRDefault="00552B1D" w:rsidP="002B0B07">
                  <w:pPr>
                    <w:rPr>
                      <w:b/>
                      <w:bCs/>
                      <w:sz w:val="22"/>
                      <w:szCs w:val="22"/>
                    </w:rPr>
                  </w:pPr>
                  <w:r w:rsidRPr="00552B1D">
                    <w:rPr>
                      <w:b/>
                      <w:bCs/>
                      <w:sz w:val="22"/>
                      <w:szCs w:val="22"/>
                    </w:rPr>
                    <w:t>Internal IT Staff</w:t>
                  </w:r>
                </w:p>
              </w:tc>
            </w:tr>
            <w:tr w:rsidR="00552B1D" w:rsidRPr="00552B1D" w14:paraId="656EB7B7" w14:textId="77777777" w:rsidTr="002B0B07">
              <w:trPr>
                <w:tblCellSpacing w:w="15" w:type="dxa"/>
              </w:trPr>
              <w:tc>
                <w:tcPr>
                  <w:tcW w:w="0" w:type="auto"/>
                  <w:tcBorders>
                    <w:bottom w:val="single" w:sz="6" w:space="0" w:color="363840"/>
                  </w:tcBorders>
                  <w:vAlign w:val="center"/>
                  <w:hideMark/>
                </w:tcPr>
                <w:p w14:paraId="1FE1B4BB" w14:textId="77777777" w:rsidR="00552B1D" w:rsidRPr="00552B1D" w:rsidRDefault="00552B1D" w:rsidP="002B0B07">
                  <w:pPr>
                    <w:rPr>
                      <w:sz w:val="22"/>
                      <w:szCs w:val="22"/>
                    </w:rPr>
                  </w:pPr>
                  <w:r w:rsidRPr="00552B1D">
                    <w:rPr>
                      <w:b/>
                      <w:bCs/>
                      <w:sz w:val="22"/>
                      <w:szCs w:val="22"/>
                    </w:rPr>
                    <w:t>Security Policy &amp; Architecture</w:t>
                  </w:r>
                </w:p>
              </w:tc>
              <w:tc>
                <w:tcPr>
                  <w:tcW w:w="0" w:type="auto"/>
                  <w:tcBorders>
                    <w:bottom w:val="single" w:sz="6" w:space="0" w:color="363840"/>
                  </w:tcBorders>
                  <w:vAlign w:val="center"/>
                  <w:hideMark/>
                </w:tcPr>
                <w:p w14:paraId="30DF3F6E" w14:textId="77777777" w:rsidR="00552B1D" w:rsidRPr="00552B1D" w:rsidRDefault="00552B1D" w:rsidP="002B0B07">
                  <w:pPr>
                    <w:rPr>
                      <w:sz w:val="22"/>
                      <w:szCs w:val="22"/>
                    </w:rPr>
                  </w:pPr>
                  <w:r w:rsidRPr="00552B1D">
                    <w:rPr>
                      <w:b/>
                      <w:bCs/>
                      <w:sz w:val="22"/>
                      <w:szCs w:val="22"/>
                    </w:rPr>
                    <w:t>A</w:t>
                  </w:r>
                </w:p>
              </w:tc>
              <w:tc>
                <w:tcPr>
                  <w:tcW w:w="0" w:type="auto"/>
                  <w:tcBorders>
                    <w:bottom w:val="single" w:sz="6" w:space="0" w:color="363840"/>
                  </w:tcBorders>
                  <w:vAlign w:val="center"/>
                  <w:hideMark/>
                </w:tcPr>
                <w:p w14:paraId="7F911C19" w14:textId="77777777" w:rsidR="00552B1D" w:rsidRPr="00552B1D" w:rsidRDefault="00552B1D" w:rsidP="002B0B07">
                  <w:pPr>
                    <w:rPr>
                      <w:sz w:val="22"/>
                      <w:szCs w:val="22"/>
                    </w:rPr>
                  </w:pPr>
                  <w:r w:rsidRPr="00552B1D">
                    <w:rPr>
                      <w:b/>
                      <w:bCs/>
                      <w:sz w:val="22"/>
                      <w:szCs w:val="22"/>
                    </w:rPr>
                    <w:t>R</w:t>
                  </w:r>
                </w:p>
              </w:tc>
              <w:tc>
                <w:tcPr>
                  <w:tcW w:w="0" w:type="auto"/>
                  <w:tcBorders>
                    <w:bottom w:val="single" w:sz="6" w:space="0" w:color="363840"/>
                  </w:tcBorders>
                  <w:vAlign w:val="center"/>
                  <w:hideMark/>
                </w:tcPr>
                <w:p w14:paraId="7CEFF3AC" w14:textId="77777777" w:rsidR="00552B1D" w:rsidRPr="00552B1D" w:rsidRDefault="00552B1D" w:rsidP="002B0B07">
                  <w:pPr>
                    <w:rPr>
                      <w:sz w:val="22"/>
                      <w:szCs w:val="22"/>
                    </w:rPr>
                  </w:pPr>
                  <w:r w:rsidRPr="00552B1D">
                    <w:rPr>
                      <w:b/>
                      <w:bCs/>
                      <w:sz w:val="22"/>
                      <w:szCs w:val="22"/>
                    </w:rPr>
                    <w:t>C</w:t>
                  </w:r>
                </w:p>
              </w:tc>
              <w:tc>
                <w:tcPr>
                  <w:tcW w:w="0" w:type="auto"/>
                  <w:tcBorders>
                    <w:bottom w:val="single" w:sz="6" w:space="0" w:color="363840"/>
                  </w:tcBorders>
                  <w:vAlign w:val="center"/>
                  <w:hideMark/>
                </w:tcPr>
                <w:p w14:paraId="1C6412C9" w14:textId="77777777" w:rsidR="00552B1D" w:rsidRPr="00552B1D" w:rsidRDefault="00552B1D" w:rsidP="002B0B07">
                  <w:pPr>
                    <w:rPr>
                      <w:sz w:val="22"/>
                      <w:szCs w:val="22"/>
                    </w:rPr>
                  </w:pPr>
                  <w:r w:rsidRPr="00552B1D">
                    <w:rPr>
                      <w:b/>
                      <w:bCs/>
                      <w:sz w:val="22"/>
                      <w:szCs w:val="22"/>
                    </w:rPr>
                    <w:t>I</w:t>
                  </w:r>
                </w:p>
              </w:tc>
              <w:tc>
                <w:tcPr>
                  <w:tcW w:w="0" w:type="auto"/>
                  <w:tcBorders>
                    <w:bottom w:val="single" w:sz="6" w:space="0" w:color="363840"/>
                  </w:tcBorders>
                  <w:vAlign w:val="center"/>
                  <w:hideMark/>
                </w:tcPr>
                <w:p w14:paraId="463161E4" w14:textId="77777777" w:rsidR="00552B1D" w:rsidRPr="00552B1D" w:rsidRDefault="00552B1D" w:rsidP="002B0B07">
                  <w:pPr>
                    <w:rPr>
                      <w:sz w:val="22"/>
                      <w:szCs w:val="22"/>
                    </w:rPr>
                  </w:pPr>
                  <w:r w:rsidRPr="00552B1D">
                    <w:rPr>
                      <w:b/>
                      <w:bCs/>
                      <w:sz w:val="22"/>
                      <w:szCs w:val="22"/>
                    </w:rPr>
                    <w:t>I</w:t>
                  </w:r>
                </w:p>
              </w:tc>
              <w:tc>
                <w:tcPr>
                  <w:tcW w:w="0" w:type="auto"/>
                  <w:tcBorders>
                    <w:bottom w:val="single" w:sz="6" w:space="0" w:color="363840"/>
                  </w:tcBorders>
                  <w:vAlign w:val="center"/>
                  <w:hideMark/>
                </w:tcPr>
                <w:p w14:paraId="6F853C7F" w14:textId="77777777" w:rsidR="00552B1D" w:rsidRPr="00552B1D" w:rsidRDefault="00552B1D" w:rsidP="002B0B07">
                  <w:pPr>
                    <w:rPr>
                      <w:sz w:val="22"/>
                      <w:szCs w:val="22"/>
                    </w:rPr>
                  </w:pPr>
                  <w:r w:rsidRPr="00552B1D">
                    <w:rPr>
                      <w:b/>
                      <w:bCs/>
                      <w:sz w:val="22"/>
                      <w:szCs w:val="22"/>
                    </w:rPr>
                    <w:t>I</w:t>
                  </w:r>
                </w:p>
              </w:tc>
            </w:tr>
            <w:tr w:rsidR="00552B1D" w:rsidRPr="00552B1D" w14:paraId="1FEBC2E7" w14:textId="77777777" w:rsidTr="002B0B07">
              <w:trPr>
                <w:tblCellSpacing w:w="15" w:type="dxa"/>
              </w:trPr>
              <w:tc>
                <w:tcPr>
                  <w:tcW w:w="0" w:type="auto"/>
                  <w:tcBorders>
                    <w:bottom w:val="single" w:sz="6" w:space="0" w:color="363840"/>
                  </w:tcBorders>
                  <w:vAlign w:val="center"/>
                  <w:hideMark/>
                </w:tcPr>
                <w:p w14:paraId="638AD0C1" w14:textId="77777777" w:rsidR="00552B1D" w:rsidRPr="00552B1D" w:rsidRDefault="00552B1D" w:rsidP="002B0B07">
                  <w:pPr>
                    <w:rPr>
                      <w:sz w:val="22"/>
                      <w:szCs w:val="22"/>
                    </w:rPr>
                  </w:pPr>
                  <w:r w:rsidRPr="00552B1D">
                    <w:rPr>
                      <w:b/>
                      <w:bCs/>
                      <w:sz w:val="22"/>
                      <w:szCs w:val="22"/>
                    </w:rPr>
                    <w:t>Risk Register &amp; Threat Assessment</w:t>
                  </w:r>
                </w:p>
              </w:tc>
              <w:tc>
                <w:tcPr>
                  <w:tcW w:w="0" w:type="auto"/>
                  <w:tcBorders>
                    <w:bottom w:val="single" w:sz="6" w:space="0" w:color="363840"/>
                  </w:tcBorders>
                  <w:vAlign w:val="center"/>
                  <w:hideMark/>
                </w:tcPr>
                <w:p w14:paraId="5F775DD1" w14:textId="77777777" w:rsidR="00552B1D" w:rsidRPr="00552B1D" w:rsidRDefault="00552B1D" w:rsidP="002B0B07">
                  <w:pPr>
                    <w:rPr>
                      <w:sz w:val="22"/>
                      <w:szCs w:val="22"/>
                    </w:rPr>
                  </w:pPr>
                  <w:r w:rsidRPr="00552B1D">
                    <w:rPr>
                      <w:b/>
                      <w:bCs/>
                      <w:sz w:val="22"/>
                      <w:szCs w:val="22"/>
                    </w:rPr>
                    <w:t>A</w:t>
                  </w:r>
                </w:p>
              </w:tc>
              <w:tc>
                <w:tcPr>
                  <w:tcW w:w="0" w:type="auto"/>
                  <w:tcBorders>
                    <w:bottom w:val="single" w:sz="6" w:space="0" w:color="363840"/>
                  </w:tcBorders>
                  <w:vAlign w:val="center"/>
                  <w:hideMark/>
                </w:tcPr>
                <w:p w14:paraId="015715BD" w14:textId="77777777" w:rsidR="00552B1D" w:rsidRPr="00552B1D" w:rsidRDefault="00552B1D" w:rsidP="002B0B07">
                  <w:pPr>
                    <w:rPr>
                      <w:sz w:val="22"/>
                      <w:szCs w:val="22"/>
                    </w:rPr>
                  </w:pPr>
                  <w:r w:rsidRPr="00552B1D">
                    <w:rPr>
                      <w:b/>
                      <w:bCs/>
                      <w:sz w:val="22"/>
                      <w:szCs w:val="22"/>
                    </w:rPr>
                    <w:t>R</w:t>
                  </w:r>
                </w:p>
              </w:tc>
              <w:tc>
                <w:tcPr>
                  <w:tcW w:w="0" w:type="auto"/>
                  <w:tcBorders>
                    <w:bottom w:val="single" w:sz="6" w:space="0" w:color="363840"/>
                  </w:tcBorders>
                  <w:vAlign w:val="center"/>
                  <w:hideMark/>
                </w:tcPr>
                <w:p w14:paraId="04E99BFA" w14:textId="77777777" w:rsidR="00552B1D" w:rsidRPr="00552B1D" w:rsidRDefault="00552B1D" w:rsidP="002B0B07">
                  <w:pPr>
                    <w:rPr>
                      <w:sz w:val="22"/>
                      <w:szCs w:val="22"/>
                    </w:rPr>
                  </w:pPr>
                  <w:r w:rsidRPr="00552B1D">
                    <w:rPr>
                      <w:b/>
                      <w:bCs/>
                      <w:sz w:val="22"/>
                      <w:szCs w:val="22"/>
                    </w:rPr>
                    <w:t>C</w:t>
                  </w:r>
                </w:p>
              </w:tc>
              <w:tc>
                <w:tcPr>
                  <w:tcW w:w="0" w:type="auto"/>
                  <w:tcBorders>
                    <w:bottom w:val="single" w:sz="6" w:space="0" w:color="363840"/>
                  </w:tcBorders>
                  <w:vAlign w:val="center"/>
                  <w:hideMark/>
                </w:tcPr>
                <w:p w14:paraId="11116EA9" w14:textId="77777777" w:rsidR="00552B1D" w:rsidRPr="00552B1D" w:rsidRDefault="00552B1D" w:rsidP="002B0B07">
                  <w:pPr>
                    <w:rPr>
                      <w:sz w:val="22"/>
                      <w:szCs w:val="22"/>
                    </w:rPr>
                  </w:pPr>
                  <w:r w:rsidRPr="00552B1D">
                    <w:rPr>
                      <w:b/>
                      <w:bCs/>
                      <w:sz w:val="22"/>
                      <w:szCs w:val="22"/>
                    </w:rPr>
                    <w:t>C</w:t>
                  </w:r>
                </w:p>
              </w:tc>
              <w:tc>
                <w:tcPr>
                  <w:tcW w:w="0" w:type="auto"/>
                  <w:tcBorders>
                    <w:bottom w:val="single" w:sz="6" w:space="0" w:color="363840"/>
                  </w:tcBorders>
                  <w:vAlign w:val="center"/>
                  <w:hideMark/>
                </w:tcPr>
                <w:p w14:paraId="64CF0824" w14:textId="77777777" w:rsidR="00552B1D" w:rsidRPr="00552B1D" w:rsidRDefault="00552B1D" w:rsidP="002B0B07">
                  <w:pPr>
                    <w:rPr>
                      <w:sz w:val="22"/>
                      <w:szCs w:val="22"/>
                    </w:rPr>
                  </w:pPr>
                  <w:r w:rsidRPr="00552B1D">
                    <w:rPr>
                      <w:b/>
                      <w:bCs/>
                      <w:sz w:val="22"/>
                      <w:szCs w:val="22"/>
                    </w:rPr>
                    <w:t>I</w:t>
                  </w:r>
                </w:p>
              </w:tc>
              <w:tc>
                <w:tcPr>
                  <w:tcW w:w="0" w:type="auto"/>
                  <w:tcBorders>
                    <w:bottom w:val="single" w:sz="6" w:space="0" w:color="363840"/>
                  </w:tcBorders>
                  <w:vAlign w:val="center"/>
                  <w:hideMark/>
                </w:tcPr>
                <w:p w14:paraId="7578373B" w14:textId="77777777" w:rsidR="00552B1D" w:rsidRPr="00552B1D" w:rsidRDefault="00552B1D" w:rsidP="002B0B07">
                  <w:pPr>
                    <w:rPr>
                      <w:sz w:val="22"/>
                      <w:szCs w:val="22"/>
                    </w:rPr>
                  </w:pPr>
                  <w:r w:rsidRPr="00552B1D">
                    <w:rPr>
                      <w:b/>
                      <w:bCs/>
                      <w:sz w:val="22"/>
                      <w:szCs w:val="22"/>
                    </w:rPr>
                    <w:t>I</w:t>
                  </w:r>
                </w:p>
              </w:tc>
            </w:tr>
            <w:tr w:rsidR="00552B1D" w:rsidRPr="00552B1D" w14:paraId="4199F051" w14:textId="77777777" w:rsidTr="002B0B07">
              <w:trPr>
                <w:tblCellSpacing w:w="15" w:type="dxa"/>
              </w:trPr>
              <w:tc>
                <w:tcPr>
                  <w:tcW w:w="0" w:type="auto"/>
                  <w:tcBorders>
                    <w:bottom w:val="single" w:sz="6" w:space="0" w:color="363840"/>
                  </w:tcBorders>
                  <w:vAlign w:val="center"/>
                  <w:hideMark/>
                </w:tcPr>
                <w:p w14:paraId="32A0E41F" w14:textId="77777777" w:rsidR="00552B1D" w:rsidRPr="00552B1D" w:rsidRDefault="00552B1D" w:rsidP="002B0B07">
                  <w:pPr>
                    <w:rPr>
                      <w:sz w:val="22"/>
                      <w:szCs w:val="22"/>
                    </w:rPr>
                  </w:pPr>
                  <w:r w:rsidRPr="00552B1D">
                    <w:rPr>
                      <w:b/>
                      <w:bCs/>
                      <w:sz w:val="22"/>
                      <w:szCs w:val="22"/>
                    </w:rPr>
                    <w:t>Identity &amp; Access Management (IAM)</w:t>
                  </w:r>
                </w:p>
              </w:tc>
              <w:tc>
                <w:tcPr>
                  <w:tcW w:w="0" w:type="auto"/>
                  <w:tcBorders>
                    <w:bottom w:val="single" w:sz="6" w:space="0" w:color="363840"/>
                  </w:tcBorders>
                  <w:vAlign w:val="center"/>
                  <w:hideMark/>
                </w:tcPr>
                <w:p w14:paraId="615C48AF" w14:textId="77777777" w:rsidR="00552B1D" w:rsidRPr="00552B1D" w:rsidRDefault="00552B1D" w:rsidP="002B0B07">
                  <w:pPr>
                    <w:rPr>
                      <w:sz w:val="22"/>
                      <w:szCs w:val="22"/>
                    </w:rPr>
                  </w:pPr>
                  <w:r w:rsidRPr="00552B1D">
                    <w:rPr>
                      <w:b/>
                      <w:bCs/>
                      <w:sz w:val="22"/>
                      <w:szCs w:val="22"/>
                    </w:rPr>
                    <w:t>I</w:t>
                  </w:r>
                </w:p>
              </w:tc>
              <w:tc>
                <w:tcPr>
                  <w:tcW w:w="0" w:type="auto"/>
                  <w:tcBorders>
                    <w:bottom w:val="single" w:sz="6" w:space="0" w:color="363840"/>
                  </w:tcBorders>
                  <w:vAlign w:val="center"/>
                  <w:hideMark/>
                </w:tcPr>
                <w:p w14:paraId="2C5D5018" w14:textId="77777777" w:rsidR="00552B1D" w:rsidRPr="00552B1D" w:rsidRDefault="00552B1D" w:rsidP="002B0B07">
                  <w:pPr>
                    <w:rPr>
                      <w:sz w:val="22"/>
                      <w:szCs w:val="22"/>
                    </w:rPr>
                  </w:pPr>
                  <w:r w:rsidRPr="00552B1D">
                    <w:rPr>
                      <w:b/>
                      <w:bCs/>
                      <w:sz w:val="22"/>
                      <w:szCs w:val="22"/>
                    </w:rPr>
                    <w:t>A</w:t>
                  </w:r>
                </w:p>
              </w:tc>
              <w:tc>
                <w:tcPr>
                  <w:tcW w:w="0" w:type="auto"/>
                  <w:tcBorders>
                    <w:bottom w:val="single" w:sz="6" w:space="0" w:color="363840"/>
                  </w:tcBorders>
                  <w:vAlign w:val="center"/>
                  <w:hideMark/>
                </w:tcPr>
                <w:p w14:paraId="12D67F7D" w14:textId="77777777" w:rsidR="00552B1D" w:rsidRPr="00552B1D" w:rsidRDefault="00552B1D" w:rsidP="002B0B07">
                  <w:pPr>
                    <w:rPr>
                      <w:sz w:val="22"/>
                      <w:szCs w:val="22"/>
                    </w:rPr>
                  </w:pPr>
                  <w:r w:rsidRPr="00552B1D">
                    <w:rPr>
                      <w:b/>
                      <w:bCs/>
                      <w:sz w:val="22"/>
                      <w:szCs w:val="22"/>
                    </w:rPr>
                    <w:t>R</w:t>
                  </w:r>
                </w:p>
              </w:tc>
              <w:tc>
                <w:tcPr>
                  <w:tcW w:w="0" w:type="auto"/>
                  <w:tcBorders>
                    <w:bottom w:val="single" w:sz="6" w:space="0" w:color="363840"/>
                  </w:tcBorders>
                  <w:vAlign w:val="center"/>
                  <w:hideMark/>
                </w:tcPr>
                <w:p w14:paraId="49E59EEC" w14:textId="77777777" w:rsidR="00552B1D" w:rsidRPr="00552B1D" w:rsidRDefault="00552B1D" w:rsidP="002B0B07">
                  <w:pPr>
                    <w:rPr>
                      <w:sz w:val="22"/>
                      <w:szCs w:val="22"/>
                    </w:rPr>
                  </w:pPr>
                  <w:r w:rsidRPr="00552B1D">
                    <w:rPr>
                      <w:b/>
                      <w:bCs/>
                      <w:sz w:val="22"/>
                      <w:szCs w:val="22"/>
                    </w:rPr>
                    <w:t>C</w:t>
                  </w:r>
                </w:p>
              </w:tc>
              <w:tc>
                <w:tcPr>
                  <w:tcW w:w="0" w:type="auto"/>
                  <w:tcBorders>
                    <w:bottom w:val="single" w:sz="6" w:space="0" w:color="363840"/>
                  </w:tcBorders>
                  <w:vAlign w:val="center"/>
                  <w:hideMark/>
                </w:tcPr>
                <w:p w14:paraId="090EACA3" w14:textId="77777777" w:rsidR="00552B1D" w:rsidRPr="00552B1D" w:rsidRDefault="00552B1D" w:rsidP="002B0B07">
                  <w:pPr>
                    <w:rPr>
                      <w:sz w:val="22"/>
                      <w:szCs w:val="22"/>
                    </w:rPr>
                  </w:pPr>
                  <w:r w:rsidRPr="00552B1D">
                    <w:rPr>
                      <w:b/>
                      <w:bCs/>
                      <w:sz w:val="22"/>
                      <w:szCs w:val="22"/>
                    </w:rPr>
                    <w:t>R</w:t>
                  </w:r>
                </w:p>
              </w:tc>
              <w:tc>
                <w:tcPr>
                  <w:tcW w:w="0" w:type="auto"/>
                  <w:tcBorders>
                    <w:bottom w:val="single" w:sz="6" w:space="0" w:color="363840"/>
                  </w:tcBorders>
                  <w:vAlign w:val="center"/>
                  <w:hideMark/>
                </w:tcPr>
                <w:p w14:paraId="1301A815" w14:textId="77777777" w:rsidR="00552B1D" w:rsidRPr="00552B1D" w:rsidRDefault="00552B1D" w:rsidP="002B0B07">
                  <w:pPr>
                    <w:rPr>
                      <w:sz w:val="22"/>
                      <w:szCs w:val="22"/>
                    </w:rPr>
                  </w:pPr>
                  <w:r w:rsidRPr="00552B1D">
                    <w:rPr>
                      <w:b/>
                      <w:bCs/>
                      <w:sz w:val="22"/>
                      <w:szCs w:val="22"/>
                    </w:rPr>
                    <w:t>R</w:t>
                  </w:r>
                </w:p>
              </w:tc>
            </w:tr>
            <w:tr w:rsidR="00552B1D" w:rsidRPr="00552B1D" w14:paraId="5ECD575D" w14:textId="77777777" w:rsidTr="002B0B07">
              <w:trPr>
                <w:tblCellSpacing w:w="15" w:type="dxa"/>
              </w:trPr>
              <w:tc>
                <w:tcPr>
                  <w:tcW w:w="0" w:type="auto"/>
                  <w:tcBorders>
                    <w:bottom w:val="single" w:sz="6" w:space="0" w:color="363840"/>
                  </w:tcBorders>
                  <w:vAlign w:val="center"/>
                  <w:hideMark/>
                </w:tcPr>
                <w:p w14:paraId="49A5203A" w14:textId="77777777" w:rsidR="00552B1D" w:rsidRPr="00552B1D" w:rsidRDefault="00552B1D" w:rsidP="002B0B07">
                  <w:pPr>
                    <w:rPr>
                      <w:sz w:val="22"/>
                      <w:szCs w:val="22"/>
                    </w:rPr>
                  </w:pPr>
                  <w:r w:rsidRPr="00552B1D">
                    <w:rPr>
                      <w:b/>
                      <w:bCs/>
                      <w:sz w:val="22"/>
                      <w:szCs w:val="22"/>
                    </w:rPr>
                    <w:t>Vendor Contract Compliance Audits</w:t>
                  </w:r>
                </w:p>
              </w:tc>
              <w:tc>
                <w:tcPr>
                  <w:tcW w:w="0" w:type="auto"/>
                  <w:tcBorders>
                    <w:bottom w:val="single" w:sz="6" w:space="0" w:color="363840"/>
                  </w:tcBorders>
                  <w:vAlign w:val="center"/>
                  <w:hideMark/>
                </w:tcPr>
                <w:p w14:paraId="5ED231E0" w14:textId="77777777" w:rsidR="00552B1D" w:rsidRPr="00552B1D" w:rsidRDefault="00552B1D" w:rsidP="002B0B07">
                  <w:pPr>
                    <w:rPr>
                      <w:sz w:val="22"/>
                      <w:szCs w:val="22"/>
                    </w:rPr>
                  </w:pPr>
                  <w:r w:rsidRPr="00552B1D">
                    <w:rPr>
                      <w:b/>
                      <w:bCs/>
                      <w:sz w:val="22"/>
                      <w:szCs w:val="22"/>
                    </w:rPr>
                    <w:t>A</w:t>
                  </w:r>
                </w:p>
              </w:tc>
              <w:tc>
                <w:tcPr>
                  <w:tcW w:w="0" w:type="auto"/>
                  <w:tcBorders>
                    <w:bottom w:val="single" w:sz="6" w:space="0" w:color="363840"/>
                  </w:tcBorders>
                  <w:vAlign w:val="center"/>
                  <w:hideMark/>
                </w:tcPr>
                <w:p w14:paraId="40D0524A" w14:textId="77777777" w:rsidR="00552B1D" w:rsidRPr="00552B1D" w:rsidRDefault="00552B1D" w:rsidP="002B0B07">
                  <w:pPr>
                    <w:rPr>
                      <w:sz w:val="22"/>
                      <w:szCs w:val="22"/>
                    </w:rPr>
                  </w:pPr>
                  <w:r w:rsidRPr="00552B1D">
                    <w:rPr>
                      <w:b/>
                      <w:bCs/>
                      <w:sz w:val="22"/>
                      <w:szCs w:val="22"/>
                    </w:rPr>
                    <w:t>R</w:t>
                  </w:r>
                </w:p>
              </w:tc>
              <w:tc>
                <w:tcPr>
                  <w:tcW w:w="0" w:type="auto"/>
                  <w:tcBorders>
                    <w:bottom w:val="single" w:sz="6" w:space="0" w:color="363840"/>
                  </w:tcBorders>
                  <w:vAlign w:val="center"/>
                  <w:hideMark/>
                </w:tcPr>
                <w:p w14:paraId="12F1BAA6" w14:textId="77777777" w:rsidR="00552B1D" w:rsidRPr="00552B1D" w:rsidRDefault="00552B1D" w:rsidP="002B0B07">
                  <w:pPr>
                    <w:rPr>
                      <w:sz w:val="22"/>
                      <w:szCs w:val="22"/>
                    </w:rPr>
                  </w:pPr>
                  <w:r w:rsidRPr="00552B1D">
                    <w:rPr>
                      <w:b/>
                      <w:bCs/>
                      <w:sz w:val="22"/>
                      <w:szCs w:val="22"/>
                    </w:rPr>
                    <w:t>C</w:t>
                  </w:r>
                </w:p>
              </w:tc>
              <w:tc>
                <w:tcPr>
                  <w:tcW w:w="0" w:type="auto"/>
                  <w:tcBorders>
                    <w:bottom w:val="single" w:sz="6" w:space="0" w:color="363840"/>
                  </w:tcBorders>
                  <w:vAlign w:val="center"/>
                  <w:hideMark/>
                </w:tcPr>
                <w:p w14:paraId="5E923D02" w14:textId="77777777" w:rsidR="00552B1D" w:rsidRPr="00552B1D" w:rsidRDefault="00552B1D" w:rsidP="002B0B07">
                  <w:pPr>
                    <w:rPr>
                      <w:sz w:val="22"/>
                      <w:szCs w:val="22"/>
                    </w:rPr>
                  </w:pPr>
                  <w:r w:rsidRPr="00552B1D">
                    <w:rPr>
                      <w:b/>
                      <w:bCs/>
                      <w:sz w:val="22"/>
                      <w:szCs w:val="22"/>
                    </w:rPr>
                    <w:t>R</w:t>
                  </w:r>
                </w:p>
              </w:tc>
              <w:tc>
                <w:tcPr>
                  <w:tcW w:w="0" w:type="auto"/>
                  <w:tcBorders>
                    <w:bottom w:val="single" w:sz="6" w:space="0" w:color="363840"/>
                  </w:tcBorders>
                  <w:vAlign w:val="center"/>
                  <w:hideMark/>
                </w:tcPr>
                <w:p w14:paraId="2B3B533D" w14:textId="77777777" w:rsidR="00552B1D" w:rsidRPr="00552B1D" w:rsidRDefault="00552B1D" w:rsidP="002B0B07">
                  <w:pPr>
                    <w:rPr>
                      <w:sz w:val="22"/>
                      <w:szCs w:val="22"/>
                    </w:rPr>
                  </w:pPr>
                  <w:r w:rsidRPr="00552B1D">
                    <w:rPr>
                      <w:b/>
                      <w:bCs/>
                      <w:sz w:val="22"/>
                      <w:szCs w:val="22"/>
                    </w:rPr>
                    <w:t>I</w:t>
                  </w:r>
                </w:p>
              </w:tc>
              <w:tc>
                <w:tcPr>
                  <w:tcW w:w="0" w:type="auto"/>
                  <w:tcBorders>
                    <w:bottom w:val="single" w:sz="6" w:space="0" w:color="363840"/>
                  </w:tcBorders>
                  <w:vAlign w:val="center"/>
                  <w:hideMark/>
                </w:tcPr>
                <w:p w14:paraId="1DF51903" w14:textId="77777777" w:rsidR="00552B1D" w:rsidRPr="00552B1D" w:rsidRDefault="00552B1D" w:rsidP="002B0B07">
                  <w:pPr>
                    <w:rPr>
                      <w:sz w:val="22"/>
                      <w:szCs w:val="22"/>
                    </w:rPr>
                  </w:pPr>
                  <w:r w:rsidRPr="00552B1D">
                    <w:rPr>
                      <w:b/>
                      <w:bCs/>
                      <w:sz w:val="22"/>
                      <w:szCs w:val="22"/>
                    </w:rPr>
                    <w:t>I</w:t>
                  </w:r>
                </w:p>
              </w:tc>
            </w:tr>
            <w:tr w:rsidR="00552B1D" w:rsidRPr="00552B1D" w14:paraId="4A69999C" w14:textId="77777777" w:rsidTr="002B0B07">
              <w:trPr>
                <w:tblCellSpacing w:w="15" w:type="dxa"/>
              </w:trPr>
              <w:tc>
                <w:tcPr>
                  <w:tcW w:w="0" w:type="auto"/>
                  <w:tcBorders>
                    <w:bottom w:val="single" w:sz="6" w:space="0" w:color="363840"/>
                  </w:tcBorders>
                  <w:vAlign w:val="center"/>
                  <w:hideMark/>
                </w:tcPr>
                <w:p w14:paraId="069D6B5F" w14:textId="77777777" w:rsidR="00552B1D" w:rsidRPr="00552B1D" w:rsidRDefault="00552B1D" w:rsidP="002B0B07">
                  <w:pPr>
                    <w:rPr>
                      <w:sz w:val="22"/>
                      <w:szCs w:val="22"/>
                    </w:rPr>
                  </w:pPr>
                  <w:r w:rsidRPr="00552B1D">
                    <w:rPr>
                      <w:b/>
                      <w:bCs/>
                      <w:sz w:val="22"/>
                      <w:szCs w:val="22"/>
                    </w:rPr>
                    <w:t>Incident Response Execution</w:t>
                  </w:r>
                </w:p>
              </w:tc>
              <w:tc>
                <w:tcPr>
                  <w:tcW w:w="0" w:type="auto"/>
                  <w:tcBorders>
                    <w:bottom w:val="single" w:sz="6" w:space="0" w:color="363840"/>
                  </w:tcBorders>
                  <w:vAlign w:val="center"/>
                  <w:hideMark/>
                </w:tcPr>
                <w:p w14:paraId="602CD428" w14:textId="77777777" w:rsidR="00552B1D" w:rsidRPr="00552B1D" w:rsidRDefault="00552B1D" w:rsidP="002B0B07">
                  <w:pPr>
                    <w:rPr>
                      <w:sz w:val="22"/>
                      <w:szCs w:val="22"/>
                    </w:rPr>
                  </w:pPr>
                  <w:r w:rsidRPr="00552B1D">
                    <w:rPr>
                      <w:b/>
                      <w:bCs/>
                      <w:sz w:val="22"/>
                      <w:szCs w:val="22"/>
                    </w:rPr>
                    <w:t>I</w:t>
                  </w:r>
                </w:p>
              </w:tc>
              <w:tc>
                <w:tcPr>
                  <w:tcW w:w="0" w:type="auto"/>
                  <w:tcBorders>
                    <w:bottom w:val="single" w:sz="6" w:space="0" w:color="363840"/>
                  </w:tcBorders>
                  <w:vAlign w:val="center"/>
                  <w:hideMark/>
                </w:tcPr>
                <w:p w14:paraId="32D3E8A9" w14:textId="77777777" w:rsidR="00552B1D" w:rsidRPr="00552B1D" w:rsidRDefault="00552B1D" w:rsidP="002B0B07">
                  <w:pPr>
                    <w:rPr>
                      <w:sz w:val="22"/>
                      <w:szCs w:val="22"/>
                    </w:rPr>
                  </w:pPr>
                  <w:r w:rsidRPr="00552B1D">
                    <w:rPr>
                      <w:b/>
                      <w:bCs/>
                      <w:sz w:val="22"/>
                      <w:szCs w:val="22"/>
                    </w:rPr>
                    <w:t>A</w:t>
                  </w:r>
                </w:p>
              </w:tc>
              <w:tc>
                <w:tcPr>
                  <w:tcW w:w="0" w:type="auto"/>
                  <w:tcBorders>
                    <w:bottom w:val="single" w:sz="6" w:space="0" w:color="363840"/>
                  </w:tcBorders>
                  <w:vAlign w:val="center"/>
                  <w:hideMark/>
                </w:tcPr>
                <w:p w14:paraId="069164FA" w14:textId="77777777" w:rsidR="00552B1D" w:rsidRPr="00552B1D" w:rsidRDefault="00552B1D" w:rsidP="002B0B07">
                  <w:pPr>
                    <w:rPr>
                      <w:sz w:val="22"/>
                      <w:szCs w:val="22"/>
                    </w:rPr>
                  </w:pPr>
                  <w:r w:rsidRPr="00552B1D">
                    <w:rPr>
                      <w:b/>
                      <w:bCs/>
                      <w:sz w:val="22"/>
                      <w:szCs w:val="22"/>
                    </w:rPr>
                    <w:t>R</w:t>
                  </w:r>
                </w:p>
              </w:tc>
              <w:tc>
                <w:tcPr>
                  <w:tcW w:w="0" w:type="auto"/>
                  <w:tcBorders>
                    <w:bottom w:val="single" w:sz="6" w:space="0" w:color="363840"/>
                  </w:tcBorders>
                  <w:vAlign w:val="center"/>
                  <w:hideMark/>
                </w:tcPr>
                <w:p w14:paraId="12DB8C89" w14:textId="77777777" w:rsidR="00552B1D" w:rsidRPr="00552B1D" w:rsidRDefault="00552B1D" w:rsidP="002B0B07">
                  <w:pPr>
                    <w:rPr>
                      <w:sz w:val="22"/>
                      <w:szCs w:val="22"/>
                    </w:rPr>
                  </w:pPr>
                  <w:r w:rsidRPr="00552B1D">
                    <w:rPr>
                      <w:b/>
                      <w:bCs/>
                      <w:sz w:val="22"/>
                      <w:szCs w:val="22"/>
                    </w:rPr>
                    <w:t>R</w:t>
                  </w:r>
                </w:p>
              </w:tc>
              <w:tc>
                <w:tcPr>
                  <w:tcW w:w="0" w:type="auto"/>
                  <w:tcBorders>
                    <w:bottom w:val="single" w:sz="6" w:space="0" w:color="363840"/>
                  </w:tcBorders>
                  <w:vAlign w:val="center"/>
                  <w:hideMark/>
                </w:tcPr>
                <w:p w14:paraId="0BAB22B6" w14:textId="77777777" w:rsidR="00552B1D" w:rsidRPr="00552B1D" w:rsidRDefault="00552B1D" w:rsidP="002B0B07">
                  <w:pPr>
                    <w:rPr>
                      <w:sz w:val="22"/>
                      <w:szCs w:val="22"/>
                    </w:rPr>
                  </w:pPr>
                  <w:r w:rsidRPr="00552B1D">
                    <w:rPr>
                      <w:b/>
                      <w:bCs/>
                      <w:sz w:val="22"/>
                      <w:szCs w:val="22"/>
                    </w:rPr>
                    <w:t>C</w:t>
                  </w:r>
                </w:p>
              </w:tc>
              <w:tc>
                <w:tcPr>
                  <w:tcW w:w="0" w:type="auto"/>
                  <w:tcBorders>
                    <w:bottom w:val="single" w:sz="6" w:space="0" w:color="363840"/>
                  </w:tcBorders>
                  <w:vAlign w:val="center"/>
                  <w:hideMark/>
                </w:tcPr>
                <w:p w14:paraId="3F5F69C6" w14:textId="77777777" w:rsidR="00552B1D" w:rsidRPr="00552B1D" w:rsidRDefault="00552B1D" w:rsidP="002B0B07">
                  <w:pPr>
                    <w:rPr>
                      <w:sz w:val="22"/>
                      <w:szCs w:val="22"/>
                    </w:rPr>
                  </w:pPr>
                  <w:r w:rsidRPr="00552B1D">
                    <w:rPr>
                      <w:b/>
                      <w:bCs/>
                      <w:sz w:val="22"/>
                      <w:szCs w:val="22"/>
                    </w:rPr>
                    <w:t>R</w:t>
                  </w:r>
                </w:p>
              </w:tc>
            </w:tr>
            <w:tr w:rsidR="00552B1D" w:rsidRPr="00552B1D" w14:paraId="50F8D29E" w14:textId="77777777" w:rsidTr="002B0B07">
              <w:trPr>
                <w:tblCellSpacing w:w="15" w:type="dxa"/>
              </w:trPr>
              <w:tc>
                <w:tcPr>
                  <w:tcW w:w="0" w:type="auto"/>
                  <w:tcBorders>
                    <w:bottom w:val="nil"/>
                  </w:tcBorders>
                  <w:vAlign w:val="center"/>
                  <w:hideMark/>
                </w:tcPr>
                <w:p w14:paraId="5036D6DA" w14:textId="77777777" w:rsidR="00552B1D" w:rsidRPr="00552B1D" w:rsidRDefault="00552B1D" w:rsidP="002B0B07">
                  <w:pPr>
                    <w:rPr>
                      <w:sz w:val="22"/>
                      <w:szCs w:val="22"/>
                    </w:rPr>
                  </w:pPr>
                  <w:r w:rsidRPr="00552B1D">
                    <w:rPr>
                      <w:b/>
                      <w:bCs/>
                      <w:sz w:val="22"/>
                      <w:szCs w:val="22"/>
                    </w:rPr>
                    <w:t>Business Continuity Planning (BCP)</w:t>
                  </w:r>
                </w:p>
              </w:tc>
              <w:tc>
                <w:tcPr>
                  <w:tcW w:w="0" w:type="auto"/>
                  <w:tcBorders>
                    <w:bottom w:val="nil"/>
                  </w:tcBorders>
                  <w:vAlign w:val="center"/>
                  <w:hideMark/>
                </w:tcPr>
                <w:p w14:paraId="62DD5996" w14:textId="77777777" w:rsidR="00552B1D" w:rsidRPr="00552B1D" w:rsidRDefault="00552B1D" w:rsidP="002B0B07">
                  <w:pPr>
                    <w:rPr>
                      <w:sz w:val="22"/>
                      <w:szCs w:val="22"/>
                    </w:rPr>
                  </w:pPr>
                  <w:r w:rsidRPr="00552B1D">
                    <w:rPr>
                      <w:b/>
                      <w:bCs/>
                      <w:sz w:val="22"/>
                      <w:szCs w:val="22"/>
                    </w:rPr>
                    <w:t>A</w:t>
                  </w:r>
                </w:p>
              </w:tc>
              <w:tc>
                <w:tcPr>
                  <w:tcW w:w="0" w:type="auto"/>
                  <w:tcBorders>
                    <w:bottom w:val="nil"/>
                  </w:tcBorders>
                  <w:vAlign w:val="center"/>
                  <w:hideMark/>
                </w:tcPr>
                <w:p w14:paraId="60C2BB03" w14:textId="77777777" w:rsidR="00552B1D" w:rsidRPr="00552B1D" w:rsidRDefault="00552B1D" w:rsidP="002B0B07">
                  <w:pPr>
                    <w:rPr>
                      <w:sz w:val="22"/>
                      <w:szCs w:val="22"/>
                    </w:rPr>
                  </w:pPr>
                  <w:r w:rsidRPr="00552B1D">
                    <w:rPr>
                      <w:b/>
                      <w:bCs/>
                      <w:sz w:val="22"/>
                      <w:szCs w:val="22"/>
                    </w:rPr>
                    <w:t>C</w:t>
                  </w:r>
                </w:p>
              </w:tc>
              <w:tc>
                <w:tcPr>
                  <w:tcW w:w="0" w:type="auto"/>
                  <w:tcBorders>
                    <w:bottom w:val="nil"/>
                  </w:tcBorders>
                  <w:vAlign w:val="center"/>
                  <w:hideMark/>
                </w:tcPr>
                <w:p w14:paraId="298D5508" w14:textId="77777777" w:rsidR="00552B1D" w:rsidRPr="00552B1D" w:rsidRDefault="00552B1D" w:rsidP="002B0B07">
                  <w:pPr>
                    <w:rPr>
                      <w:sz w:val="22"/>
                      <w:szCs w:val="22"/>
                    </w:rPr>
                  </w:pPr>
                  <w:r w:rsidRPr="00552B1D">
                    <w:rPr>
                      <w:b/>
                      <w:bCs/>
                      <w:sz w:val="22"/>
                      <w:szCs w:val="22"/>
                    </w:rPr>
                    <w:t>R</w:t>
                  </w:r>
                </w:p>
              </w:tc>
              <w:tc>
                <w:tcPr>
                  <w:tcW w:w="0" w:type="auto"/>
                  <w:tcBorders>
                    <w:bottom w:val="nil"/>
                  </w:tcBorders>
                  <w:vAlign w:val="center"/>
                  <w:hideMark/>
                </w:tcPr>
                <w:p w14:paraId="2E03DFCF" w14:textId="77777777" w:rsidR="00552B1D" w:rsidRPr="00552B1D" w:rsidRDefault="00552B1D" w:rsidP="002B0B07">
                  <w:pPr>
                    <w:rPr>
                      <w:sz w:val="22"/>
                      <w:szCs w:val="22"/>
                    </w:rPr>
                  </w:pPr>
                  <w:r w:rsidRPr="00552B1D">
                    <w:rPr>
                      <w:b/>
                      <w:bCs/>
                      <w:sz w:val="22"/>
                      <w:szCs w:val="22"/>
                    </w:rPr>
                    <w:t>C</w:t>
                  </w:r>
                </w:p>
              </w:tc>
              <w:tc>
                <w:tcPr>
                  <w:tcW w:w="0" w:type="auto"/>
                  <w:tcBorders>
                    <w:bottom w:val="nil"/>
                  </w:tcBorders>
                  <w:vAlign w:val="center"/>
                  <w:hideMark/>
                </w:tcPr>
                <w:p w14:paraId="65ADE21C" w14:textId="77777777" w:rsidR="00552B1D" w:rsidRPr="00552B1D" w:rsidRDefault="00552B1D" w:rsidP="002B0B07">
                  <w:pPr>
                    <w:rPr>
                      <w:sz w:val="22"/>
                      <w:szCs w:val="22"/>
                    </w:rPr>
                  </w:pPr>
                  <w:r w:rsidRPr="00552B1D">
                    <w:rPr>
                      <w:b/>
                      <w:bCs/>
                      <w:sz w:val="22"/>
                      <w:szCs w:val="22"/>
                    </w:rPr>
                    <w:t>R</w:t>
                  </w:r>
                </w:p>
              </w:tc>
              <w:tc>
                <w:tcPr>
                  <w:tcW w:w="0" w:type="auto"/>
                  <w:tcBorders>
                    <w:bottom w:val="nil"/>
                  </w:tcBorders>
                  <w:vAlign w:val="center"/>
                  <w:hideMark/>
                </w:tcPr>
                <w:p w14:paraId="5AC84B2D" w14:textId="77777777" w:rsidR="00552B1D" w:rsidRPr="00552B1D" w:rsidRDefault="00552B1D" w:rsidP="002B0B07">
                  <w:pPr>
                    <w:rPr>
                      <w:sz w:val="22"/>
                      <w:szCs w:val="22"/>
                    </w:rPr>
                  </w:pPr>
                  <w:r w:rsidRPr="00552B1D">
                    <w:rPr>
                      <w:b/>
                      <w:bCs/>
                      <w:sz w:val="22"/>
                      <w:szCs w:val="22"/>
                    </w:rPr>
                    <w:t>R</w:t>
                  </w:r>
                </w:p>
              </w:tc>
            </w:tr>
          </w:tbl>
          <w:p w14:paraId="74B4C5FF" w14:textId="77777777" w:rsidR="00552B1D" w:rsidRDefault="00552B1D"/>
        </w:tc>
      </w:tr>
    </w:tbl>
    <w:p w14:paraId="7CB23828" w14:textId="77777777" w:rsidR="00704258" w:rsidRPr="00704258" w:rsidRDefault="00704258" w:rsidP="00704258">
      <w:pPr>
        <w:rPr>
          <w:sz w:val="22"/>
          <w:szCs w:val="22"/>
        </w:rPr>
      </w:pPr>
      <w:r w:rsidRPr="00704258">
        <w:rPr>
          <w:i/>
          <w:iCs/>
          <w:sz w:val="22"/>
          <w:szCs w:val="22"/>
        </w:rPr>
        <w:t xml:space="preserve">Note: </w:t>
      </w:r>
      <w:r w:rsidRPr="00704258">
        <w:rPr>
          <w:b/>
          <w:bCs/>
          <w:i/>
          <w:iCs/>
          <w:sz w:val="22"/>
          <w:szCs w:val="22"/>
        </w:rPr>
        <w:t>R</w:t>
      </w:r>
      <w:r w:rsidRPr="00704258">
        <w:rPr>
          <w:i/>
          <w:iCs/>
          <w:sz w:val="22"/>
          <w:szCs w:val="22"/>
        </w:rPr>
        <w:t xml:space="preserve"> = Responsible; </w:t>
      </w:r>
      <w:r w:rsidRPr="00704258">
        <w:rPr>
          <w:b/>
          <w:bCs/>
          <w:i/>
          <w:iCs/>
          <w:sz w:val="22"/>
          <w:szCs w:val="22"/>
        </w:rPr>
        <w:t>A</w:t>
      </w:r>
      <w:r w:rsidRPr="00704258">
        <w:rPr>
          <w:i/>
          <w:iCs/>
          <w:sz w:val="22"/>
          <w:szCs w:val="22"/>
        </w:rPr>
        <w:t xml:space="preserve"> = Accountable; </w:t>
      </w:r>
      <w:r w:rsidRPr="00704258">
        <w:rPr>
          <w:b/>
          <w:bCs/>
          <w:i/>
          <w:iCs/>
          <w:sz w:val="22"/>
          <w:szCs w:val="22"/>
        </w:rPr>
        <w:t>C</w:t>
      </w:r>
      <w:r w:rsidRPr="00704258">
        <w:rPr>
          <w:i/>
          <w:iCs/>
          <w:sz w:val="22"/>
          <w:szCs w:val="22"/>
        </w:rPr>
        <w:t xml:space="preserve"> = Consulted; </w:t>
      </w:r>
      <w:r w:rsidRPr="00704258">
        <w:rPr>
          <w:b/>
          <w:bCs/>
          <w:i/>
          <w:iCs/>
          <w:sz w:val="22"/>
          <w:szCs w:val="22"/>
        </w:rPr>
        <w:t>I</w:t>
      </w:r>
      <w:r w:rsidRPr="00704258">
        <w:rPr>
          <w:i/>
          <w:iCs/>
          <w:sz w:val="22"/>
          <w:szCs w:val="22"/>
        </w:rPr>
        <w:t xml:space="preserve"> = Informed.</w:t>
      </w:r>
    </w:p>
    <w:p w14:paraId="5C2162F2" w14:textId="77777777" w:rsidR="00704258" w:rsidRPr="00704258" w:rsidRDefault="00704258" w:rsidP="00704258">
      <w:pPr>
        <w:rPr>
          <w:b/>
          <w:bCs/>
          <w:sz w:val="22"/>
          <w:szCs w:val="22"/>
        </w:rPr>
      </w:pPr>
      <w:r w:rsidRPr="00704258">
        <w:rPr>
          <w:b/>
          <w:bCs/>
          <w:sz w:val="22"/>
          <w:szCs w:val="22"/>
        </w:rPr>
        <w:t>3.2 Compliance (Laws and Ethics)</w:t>
      </w:r>
    </w:p>
    <w:p w14:paraId="07DDC70B" w14:textId="77777777" w:rsidR="00704258" w:rsidRPr="00704258" w:rsidRDefault="00704258" w:rsidP="00704258">
      <w:pPr>
        <w:rPr>
          <w:sz w:val="22"/>
          <w:szCs w:val="22"/>
        </w:rPr>
      </w:pPr>
      <w:r w:rsidRPr="00704258">
        <w:rPr>
          <w:sz w:val="22"/>
          <w:szCs w:val="22"/>
        </w:rPr>
        <w:t>To address past PII breaches and achieve compliance with GDPR, UK GDPR, and the EU NIS 2 Directive, ALL will implement three core compliance programs:</w:t>
      </w:r>
    </w:p>
    <w:p w14:paraId="62299E67" w14:textId="77777777" w:rsidR="00704258" w:rsidRPr="00704258" w:rsidRDefault="00704258" w:rsidP="00704258">
      <w:pPr>
        <w:numPr>
          <w:ilvl w:val="0"/>
          <w:numId w:val="5"/>
        </w:numPr>
        <w:rPr>
          <w:sz w:val="22"/>
          <w:szCs w:val="22"/>
        </w:rPr>
      </w:pPr>
      <w:r w:rsidRPr="00704258">
        <w:rPr>
          <w:b/>
          <w:bCs/>
          <w:sz w:val="22"/>
          <w:szCs w:val="22"/>
        </w:rPr>
        <w:lastRenderedPageBreak/>
        <w:t>Data Protection Officer (DPO) Appointment:</w:t>
      </w:r>
      <w:r w:rsidRPr="00704258">
        <w:rPr>
          <w:sz w:val="22"/>
          <w:szCs w:val="22"/>
        </w:rPr>
        <w:t xml:space="preserve"> ALL will hire a dedicated DPO who reports directly to the Board, ensuring independent compliance oversight.</w:t>
      </w:r>
    </w:p>
    <w:p w14:paraId="71AEB21A" w14:textId="77777777" w:rsidR="00704258" w:rsidRPr="00704258" w:rsidRDefault="00704258" w:rsidP="00704258">
      <w:pPr>
        <w:numPr>
          <w:ilvl w:val="0"/>
          <w:numId w:val="5"/>
        </w:numPr>
        <w:rPr>
          <w:sz w:val="22"/>
          <w:szCs w:val="22"/>
        </w:rPr>
      </w:pPr>
      <w:r w:rsidRPr="00704258">
        <w:rPr>
          <w:b/>
          <w:bCs/>
          <w:sz w:val="22"/>
          <w:szCs w:val="22"/>
        </w:rPr>
        <w:t>Automated Data Discovery and Mapping:</w:t>
      </w:r>
      <w:r w:rsidRPr="00704258">
        <w:rPr>
          <w:sz w:val="22"/>
          <w:szCs w:val="22"/>
        </w:rPr>
        <w:t xml:space="preserve"> The company will deploy automated discovery tools across all cloud architectures and SaaS applications. These tools will identify, classify, and index PII and shipment records, creating an immutable Record of Processing Activities (</w:t>
      </w:r>
      <w:proofErr w:type="spellStart"/>
      <w:r w:rsidRPr="00704258">
        <w:rPr>
          <w:sz w:val="22"/>
          <w:szCs w:val="22"/>
        </w:rPr>
        <w:t>RoPA</w:t>
      </w:r>
      <w:proofErr w:type="spellEnd"/>
      <w:r w:rsidRPr="00704258">
        <w:rPr>
          <w:sz w:val="22"/>
          <w:szCs w:val="22"/>
        </w:rPr>
        <w:t>) under GDPR Article 30.</w:t>
      </w:r>
    </w:p>
    <w:p w14:paraId="55F383BC" w14:textId="77777777" w:rsidR="00704258" w:rsidRPr="00704258" w:rsidRDefault="00704258" w:rsidP="00704258">
      <w:pPr>
        <w:numPr>
          <w:ilvl w:val="0"/>
          <w:numId w:val="5"/>
        </w:numPr>
        <w:rPr>
          <w:sz w:val="22"/>
          <w:szCs w:val="22"/>
        </w:rPr>
      </w:pPr>
      <w:r w:rsidRPr="00704258">
        <w:rPr>
          <w:b/>
          <w:bCs/>
          <w:sz w:val="22"/>
          <w:szCs w:val="22"/>
        </w:rPr>
        <w:t>Mandatory Data Ethics Framework:</w:t>
      </w:r>
      <w:r w:rsidRPr="00704258">
        <w:rPr>
          <w:sz w:val="22"/>
          <w:szCs w:val="22"/>
        </w:rPr>
        <w:t xml:space="preserve"> Employees, suppliers, and third-party contractors will complete bi-annual security awareness training. This program emphasizes data minimization principles, ensuring that data is only collected and processed when </w:t>
      </w:r>
      <w:proofErr w:type="gramStart"/>
      <w:r w:rsidRPr="00704258">
        <w:rPr>
          <w:sz w:val="22"/>
          <w:szCs w:val="22"/>
        </w:rPr>
        <w:t>absolutely necessary</w:t>
      </w:r>
      <w:proofErr w:type="gramEnd"/>
      <w:r w:rsidRPr="00704258">
        <w:rPr>
          <w:sz w:val="22"/>
          <w:szCs w:val="22"/>
        </w:rPr>
        <w:t>.</w:t>
      </w:r>
    </w:p>
    <w:p w14:paraId="7A119989" w14:textId="77777777" w:rsidR="00704258" w:rsidRPr="00704258" w:rsidRDefault="00704258" w:rsidP="00704258">
      <w:pPr>
        <w:rPr>
          <w:b/>
          <w:bCs/>
          <w:sz w:val="22"/>
          <w:szCs w:val="22"/>
        </w:rPr>
      </w:pPr>
      <w:r w:rsidRPr="00704258">
        <w:rPr>
          <w:b/>
          <w:bCs/>
          <w:sz w:val="22"/>
          <w:szCs w:val="22"/>
        </w:rPr>
        <w:t>3.3 Security Policies and Procedures</w:t>
      </w:r>
    </w:p>
    <w:p w14:paraId="103C1F99" w14:textId="77777777" w:rsidR="00704258" w:rsidRPr="00704258" w:rsidRDefault="00704258" w:rsidP="00704258">
      <w:pPr>
        <w:rPr>
          <w:sz w:val="22"/>
          <w:szCs w:val="22"/>
        </w:rPr>
      </w:pPr>
      <w:r w:rsidRPr="00704258">
        <w:rPr>
          <w:sz w:val="22"/>
          <w:szCs w:val="22"/>
        </w:rPr>
        <w:t>The framework replaces ALL's unstructured operating environment with a tiered document hierarchy, managed under ITIL Change Control guidelines:</w:t>
      </w:r>
    </w:p>
    <w:p w14:paraId="04D85B4C" w14:textId="529CD831" w:rsidR="00704258" w:rsidRPr="00704258" w:rsidRDefault="00704258" w:rsidP="00704258">
      <w:pPr>
        <w:rPr>
          <w:sz w:val="22"/>
          <w:szCs w:val="22"/>
        </w:rPr>
      </w:pPr>
      <w:r w:rsidRPr="00704258">
        <w:rPr>
          <w:sz w:val="22"/>
          <w:szCs w:val="22"/>
        </w:rPr>
        <w:t xml:space="preserve">        Tier 1: Enterprise Information Security Policy (EISP)</w:t>
      </w:r>
    </w:p>
    <w:p w14:paraId="7B331F7D" w14:textId="00972776" w:rsidR="00704258" w:rsidRPr="00704258" w:rsidRDefault="00704258" w:rsidP="54BC4B94">
      <w:pPr>
        <w:jc w:val="both"/>
        <w:rPr>
          <w:sz w:val="22"/>
          <w:szCs w:val="22"/>
        </w:rPr>
      </w:pPr>
      <w:r w:rsidRPr="00704258">
        <w:rPr>
          <w:sz w:val="22"/>
          <w:szCs w:val="22"/>
        </w:rPr>
        <w:t xml:space="preserve">        - Core principles, executive mandate, and standard authority.</w:t>
      </w:r>
    </w:p>
    <w:p w14:paraId="734BF70B" w14:textId="3E8445F4" w:rsidR="00704258" w:rsidRPr="00704258" w:rsidRDefault="00704258" w:rsidP="54BC4B94">
      <w:pPr>
        <w:jc w:val="both"/>
        <w:rPr>
          <w:sz w:val="22"/>
          <w:szCs w:val="22"/>
        </w:rPr>
      </w:pPr>
      <w:r w:rsidRPr="00704258">
        <w:rPr>
          <w:sz w:val="22"/>
          <w:szCs w:val="22"/>
        </w:rPr>
        <w:t xml:space="preserve">         Tier 2: Issue-Specific Security Policies (ISSP)</w:t>
      </w:r>
    </w:p>
    <w:p w14:paraId="18069811" w14:textId="78DC7660" w:rsidR="00704258" w:rsidRPr="00704258" w:rsidRDefault="00704258" w:rsidP="54BC4B94">
      <w:pPr>
        <w:jc w:val="both"/>
      </w:pPr>
      <w:r w:rsidRPr="54BC4B94">
        <w:rPr>
          <w:sz w:val="22"/>
          <w:szCs w:val="22"/>
        </w:rPr>
        <w:t xml:space="preserve">         - Remote Work, Cloud Security, Asset Management, BYOD.</w:t>
      </w:r>
    </w:p>
    <w:p w14:paraId="7DDA5800" w14:textId="4C4BE87B" w:rsidR="00704258" w:rsidRPr="00704258" w:rsidRDefault="67C7F09D" w:rsidP="54BC4B94">
      <w:pPr>
        <w:jc w:val="both"/>
        <w:rPr>
          <w:sz w:val="22"/>
          <w:szCs w:val="22"/>
        </w:rPr>
      </w:pPr>
      <w:r w:rsidRPr="54BC4B94">
        <w:rPr>
          <w:sz w:val="22"/>
          <w:szCs w:val="22"/>
        </w:rPr>
        <w:t xml:space="preserve"> </w:t>
      </w:r>
      <w:r w:rsidR="00704258" w:rsidRPr="00704258">
        <w:rPr>
          <w:sz w:val="22"/>
          <w:szCs w:val="22"/>
        </w:rPr>
        <w:t xml:space="preserve">         Tier 3: System-Specific Security Policies (SSSP)</w:t>
      </w:r>
    </w:p>
    <w:p w14:paraId="3C6EEBD7" w14:textId="7156FD23" w:rsidR="00704258" w:rsidRPr="00704258" w:rsidRDefault="00704258" w:rsidP="54BC4B94">
      <w:pPr>
        <w:jc w:val="both"/>
        <w:rPr>
          <w:sz w:val="22"/>
          <w:szCs w:val="22"/>
        </w:rPr>
      </w:pPr>
      <w:r w:rsidRPr="00704258">
        <w:rPr>
          <w:sz w:val="22"/>
          <w:szCs w:val="22"/>
        </w:rPr>
        <w:t xml:space="preserve">          - Firewall Configurations, IoT Ingestion API Specifications.</w:t>
      </w:r>
    </w:p>
    <w:p w14:paraId="065A6A0E" w14:textId="7477DA1C" w:rsidR="00704258" w:rsidRPr="00704258" w:rsidRDefault="00704258" w:rsidP="54BC4B94">
      <w:pPr>
        <w:jc w:val="both"/>
        <w:rPr>
          <w:sz w:val="22"/>
          <w:szCs w:val="22"/>
        </w:rPr>
      </w:pPr>
      <w:r w:rsidRPr="00704258">
        <w:rPr>
          <w:sz w:val="22"/>
          <w:szCs w:val="22"/>
        </w:rPr>
        <w:t xml:space="preserve">        Tier 4: Standard Operating Procedures (SOPs) &amp; Guidelines</w:t>
      </w:r>
    </w:p>
    <w:p w14:paraId="55A3517C" w14:textId="42E8AE8F" w:rsidR="00704258" w:rsidRPr="00704258" w:rsidRDefault="00704258" w:rsidP="54BC4B94">
      <w:pPr>
        <w:jc w:val="both"/>
        <w:rPr>
          <w:sz w:val="22"/>
          <w:szCs w:val="22"/>
        </w:rPr>
      </w:pPr>
      <w:r w:rsidRPr="00704258">
        <w:rPr>
          <w:sz w:val="22"/>
          <w:szCs w:val="22"/>
        </w:rPr>
        <w:t xml:space="preserve">     - Password Resets, Endpoint Patching, Device Provisioning.</w:t>
      </w:r>
    </w:p>
    <w:p w14:paraId="51F18C83" w14:textId="77777777" w:rsidR="00B61DD8" w:rsidRDefault="00B61DD8" w:rsidP="00704258">
      <w:pPr>
        <w:rPr>
          <w:sz w:val="22"/>
          <w:szCs w:val="22"/>
        </w:rPr>
      </w:pPr>
      <w:r w:rsidRPr="00B61DD8">
        <w:rPr>
          <w:sz w:val="22"/>
          <w:szCs w:val="22"/>
        </w:rPr>
        <w:t xml:space="preserve">The basic Remote Operations and Device Compliance Policy </w:t>
      </w:r>
      <w:proofErr w:type="gramStart"/>
      <w:r w:rsidRPr="00B61DD8">
        <w:rPr>
          <w:sz w:val="22"/>
          <w:szCs w:val="22"/>
        </w:rPr>
        <w:t>requires</w:t>
      </w:r>
      <w:proofErr w:type="gramEnd"/>
      <w:r w:rsidRPr="00B61DD8">
        <w:rPr>
          <w:sz w:val="22"/>
          <w:szCs w:val="22"/>
        </w:rPr>
        <w:t xml:space="preserve"> any unmanaged or Bring Your Own Device (BYOD) system to </w:t>
      </w:r>
      <w:proofErr w:type="spellStart"/>
      <w:r w:rsidRPr="00B61DD8">
        <w:rPr>
          <w:sz w:val="22"/>
          <w:szCs w:val="22"/>
        </w:rPr>
        <w:t>fulfill</w:t>
      </w:r>
      <w:proofErr w:type="spellEnd"/>
      <w:r w:rsidRPr="00B61DD8">
        <w:rPr>
          <w:sz w:val="22"/>
          <w:szCs w:val="22"/>
        </w:rPr>
        <w:t xml:space="preserve"> defined security baselines before accessing company resources. This includes verifying operating system patch levels and enabling active endpoint protection.</w:t>
      </w:r>
    </w:p>
    <w:p w14:paraId="5E37ADAC" w14:textId="7AE22D52" w:rsidR="00704258" w:rsidRPr="00704258" w:rsidRDefault="00704258" w:rsidP="00704258">
      <w:pPr>
        <w:rPr>
          <w:b/>
          <w:bCs/>
          <w:sz w:val="22"/>
          <w:szCs w:val="22"/>
        </w:rPr>
      </w:pPr>
      <w:r w:rsidRPr="00704258">
        <w:rPr>
          <w:b/>
          <w:bCs/>
          <w:sz w:val="22"/>
          <w:szCs w:val="22"/>
        </w:rPr>
        <w:t>3.4 Risk Management and Assessment</w:t>
      </w:r>
    </w:p>
    <w:p w14:paraId="190E7C53" w14:textId="77777777" w:rsidR="00704258" w:rsidRPr="00704258" w:rsidRDefault="00704258" w:rsidP="00704258">
      <w:r w:rsidRPr="00704258">
        <w:rPr>
          <w:sz w:val="22"/>
          <w:szCs w:val="22"/>
        </w:rPr>
        <w:t xml:space="preserve">The AUSGF establishes a formal, continuous </w:t>
      </w:r>
      <w:r w:rsidRPr="00704258">
        <w:rPr>
          <w:b/>
          <w:bCs/>
          <w:sz w:val="22"/>
          <w:szCs w:val="22"/>
        </w:rPr>
        <w:t>Risk Management Framework (RMF)</w:t>
      </w:r>
      <w:r w:rsidRPr="00704258">
        <w:rPr>
          <w:sz w:val="22"/>
          <w:szCs w:val="22"/>
        </w:rPr>
        <w:t xml:space="preserve"> using a 5x5 Risk Matrix based on the ISO 31000 standard. Risks are quantified by multiplying their Likelihood score (1–5) by their Impact score (1–5).</w:t>
      </w:r>
    </w:p>
    <w:tbl>
      <w:tblPr>
        <w:tblStyle w:val="TableGrid"/>
        <w:tblW w:w="0" w:type="auto"/>
        <w:tblLook w:val="06A0" w:firstRow="1" w:lastRow="0" w:firstColumn="1" w:lastColumn="0" w:noHBand="1" w:noVBand="1"/>
      </w:tblPr>
      <w:tblGrid>
        <w:gridCol w:w="1241"/>
        <w:gridCol w:w="1548"/>
        <w:gridCol w:w="1150"/>
        <w:gridCol w:w="1132"/>
        <w:gridCol w:w="1265"/>
        <w:gridCol w:w="1265"/>
        <w:gridCol w:w="1415"/>
      </w:tblGrid>
      <w:tr w:rsidR="54BC4B94" w14:paraId="5161068B" w14:textId="77777777" w:rsidTr="54BC4B94">
        <w:trPr>
          <w:trHeight w:val="300"/>
        </w:trPr>
        <w:tc>
          <w:tcPr>
            <w:tcW w:w="1288" w:type="dxa"/>
            <w:vMerge w:val="restart"/>
            <w:vAlign w:val="center"/>
          </w:tcPr>
          <w:p w14:paraId="247038C7" w14:textId="12ABD252" w:rsidR="19082E30" w:rsidRDefault="19082E30" w:rsidP="54BC4B94">
            <w:pPr>
              <w:jc w:val="center"/>
            </w:pPr>
            <w:r w:rsidRPr="54BC4B94">
              <w:rPr>
                <w:rFonts w:ascii="Aptos" w:eastAsia="Aptos" w:hAnsi="Aptos" w:cs="Aptos"/>
                <w:sz w:val="22"/>
                <w:szCs w:val="22"/>
              </w:rPr>
              <w:t>IMPACT</w:t>
            </w:r>
          </w:p>
        </w:tc>
        <w:tc>
          <w:tcPr>
            <w:tcW w:w="1575" w:type="dxa"/>
          </w:tcPr>
          <w:p w14:paraId="3EA983E0" w14:textId="64CDEB50" w:rsidR="19082E30" w:rsidRDefault="19082E30" w:rsidP="54BC4B94">
            <w:r w:rsidRPr="54BC4B94">
              <w:rPr>
                <w:rFonts w:ascii="Aptos" w:eastAsia="Aptos" w:hAnsi="Aptos" w:cs="Aptos"/>
                <w:sz w:val="22"/>
                <w:szCs w:val="22"/>
              </w:rPr>
              <w:t xml:space="preserve">5 [ </w:t>
            </w:r>
            <w:proofErr w:type="gramStart"/>
            <w:r w:rsidRPr="54BC4B94">
              <w:rPr>
                <w:rFonts w:ascii="Aptos" w:eastAsia="Aptos" w:hAnsi="Aptos" w:cs="Aptos"/>
                <w:sz w:val="22"/>
                <w:szCs w:val="22"/>
              </w:rPr>
              <w:t>Major ]</w:t>
            </w:r>
            <w:proofErr w:type="gramEnd"/>
          </w:p>
        </w:tc>
        <w:tc>
          <w:tcPr>
            <w:tcW w:w="1155" w:type="dxa"/>
          </w:tcPr>
          <w:p w14:paraId="7159581D" w14:textId="6A10EE66" w:rsidR="19082E30" w:rsidRDefault="19082E30" w:rsidP="54BC4B94">
            <w:r w:rsidRPr="54BC4B94">
              <w:rPr>
                <w:rFonts w:ascii="Aptos" w:eastAsia="Aptos" w:hAnsi="Aptos" w:cs="Aptos"/>
                <w:sz w:val="22"/>
                <w:szCs w:val="22"/>
              </w:rPr>
              <w:t>15 (Medium)</w:t>
            </w:r>
          </w:p>
        </w:tc>
        <w:tc>
          <w:tcPr>
            <w:tcW w:w="1134" w:type="dxa"/>
          </w:tcPr>
          <w:p w14:paraId="08826BBA" w14:textId="461CE146" w:rsidR="382CCAC9" w:rsidRDefault="382CCAC9" w:rsidP="54BC4B94">
            <w:r w:rsidRPr="54BC4B94">
              <w:rPr>
                <w:rFonts w:ascii="Aptos" w:eastAsia="Aptos" w:hAnsi="Aptos" w:cs="Aptos"/>
                <w:sz w:val="22"/>
                <w:szCs w:val="22"/>
              </w:rPr>
              <w:t>20 (High)</w:t>
            </w:r>
          </w:p>
        </w:tc>
        <w:tc>
          <w:tcPr>
            <w:tcW w:w="1288" w:type="dxa"/>
          </w:tcPr>
          <w:p w14:paraId="5982425F" w14:textId="10DC4296" w:rsidR="77C916C6" w:rsidRDefault="77C916C6" w:rsidP="54BC4B94">
            <w:r w:rsidRPr="54BC4B94">
              <w:rPr>
                <w:rFonts w:ascii="Aptos" w:eastAsia="Aptos" w:hAnsi="Aptos" w:cs="Aptos"/>
                <w:sz w:val="22"/>
                <w:szCs w:val="22"/>
              </w:rPr>
              <w:t>25 (Critical)</w:t>
            </w:r>
          </w:p>
        </w:tc>
        <w:tc>
          <w:tcPr>
            <w:tcW w:w="1288" w:type="dxa"/>
          </w:tcPr>
          <w:p w14:paraId="255A6AA0" w14:textId="28C0B7E6" w:rsidR="1ED8669F" w:rsidRDefault="1ED8669F" w:rsidP="54BC4B94">
            <w:r w:rsidRPr="54BC4B94">
              <w:rPr>
                <w:rFonts w:ascii="Aptos" w:eastAsia="Aptos" w:hAnsi="Aptos" w:cs="Aptos"/>
                <w:sz w:val="22"/>
                <w:szCs w:val="22"/>
              </w:rPr>
              <w:t>25 (Critical)</w:t>
            </w:r>
          </w:p>
        </w:tc>
        <w:tc>
          <w:tcPr>
            <w:tcW w:w="1462" w:type="dxa"/>
          </w:tcPr>
          <w:p w14:paraId="3F8AD24F" w14:textId="4A167387" w:rsidR="2E264278" w:rsidRDefault="2E264278" w:rsidP="54BC4B94">
            <w:r w:rsidRPr="54BC4B94">
              <w:rPr>
                <w:rFonts w:ascii="Aptos" w:eastAsia="Aptos" w:hAnsi="Aptos" w:cs="Aptos"/>
                <w:sz w:val="22"/>
                <w:szCs w:val="22"/>
              </w:rPr>
              <w:t>25 (Critical)</w:t>
            </w:r>
          </w:p>
        </w:tc>
      </w:tr>
      <w:tr w:rsidR="54BC4B94" w14:paraId="61063CFF" w14:textId="77777777" w:rsidTr="54BC4B94">
        <w:trPr>
          <w:trHeight w:val="300"/>
        </w:trPr>
        <w:tc>
          <w:tcPr>
            <w:tcW w:w="1288" w:type="dxa"/>
            <w:vMerge/>
          </w:tcPr>
          <w:p w14:paraId="380A4B72" w14:textId="77777777" w:rsidR="0038159D" w:rsidRDefault="0038159D"/>
        </w:tc>
        <w:tc>
          <w:tcPr>
            <w:tcW w:w="1575" w:type="dxa"/>
          </w:tcPr>
          <w:p w14:paraId="558EE025" w14:textId="27E301F7" w:rsidR="19082E30" w:rsidRDefault="19082E30" w:rsidP="54BC4B94">
            <w:r w:rsidRPr="54BC4B94">
              <w:rPr>
                <w:rFonts w:ascii="Aptos" w:eastAsia="Aptos" w:hAnsi="Aptos" w:cs="Aptos"/>
                <w:sz w:val="22"/>
                <w:szCs w:val="22"/>
              </w:rPr>
              <w:t xml:space="preserve">4 [ </w:t>
            </w:r>
            <w:proofErr w:type="gramStart"/>
            <w:r w:rsidRPr="54BC4B94">
              <w:rPr>
                <w:rFonts w:ascii="Aptos" w:eastAsia="Aptos" w:hAnsi="Aptos" w:cs="Aptos"/>
                <w:sz w:val="22"/>
                <w:szCs w:val="22"/>
              </w:rPr>
              <w:t>Significant ]</w:t>
            </w:r>
            <w:proofErr w:type="gramEnd"/>
          </w:p>
        </w:tc>
        <w:tc>
          <w:tcPr>
            <w:tcW w:w="1155" w:type="dxa"/>
          </w:tcPr>
          <w:p w14:paraId="68F536BF" w14:textId="41153866" w:rsidR="19082E30" w:rsidRDefault="19082E30" w:rsidP="54BC4B94">
            <w:r w:rsidRPr="54BC4B94">
              <w:rPr>
                <w:rFonts w:ascii="Aptos" w:eastAsia="Aptos" w:hAnsi="Aptos" w:cs="Aptos"/>
                <w:sz w:val="22"/>
                <w:szCs w:val="22"/>
              </w:rPr>
              <w:t>10 (Medium)</w:t>
            </w:r>
          </w:p>
        </w:tc>
        <w:tc>
          <w:tcPr>
            <w:tcW w:w="1134" w:type="dxa"/>
          </w:tcPr>
          <w:p w14:paraId="62AEAEA0" w14:textId="3D39B347" w:rsidR="33678CBA" w:rsidRDefault="33678CBA" w:rsidP="54BC4B94">
            <w:r w:rsidRPr="54BC4B94">
              <w:rPr>
                <w:rFonts w:ascii="Aptos" w:eastAsia="Aptos" w:hAnsi="Aptos" w:cs="Aptos"/>
                <w:sz w:val="22"/>
                <w:szCs w:val="22"/>
              </w:rPr>
              <w:t>16 (High)</w:t>
            </w:r>
          </w:p>
        </w:tc>
        <w:tc>
          <w:tcPr>
            <w:tcW w:w="1288" w:type="dxa"/>
          </w:tcPr>
          <w:p w14:paraId="1A7E2A0E" w14:textId="17D74A30" w:rsidR="434F4033" w:rsidRDefault="434F4033" w:rsidP="54BC4B94">
            <w:r w:rsidRPr="54BC4B94">
              <w:rPr>
                <w:rFonts w:ascii="Aptos" w:eastAsia="Aptos" w:hAnsi="Aptos" w:cs="Aptos"/>
                <w:sz w:val="22"/>
                <w:szCs w:val="22"/>
              </w:rPr>
              <w:t>20 (High)</w:t>
            </w:r>
          </w:p>
        </w:tc>
        <w:tc>
          <w:tcPr>
            <w:tcW w:w="1288" w:type="dxa"/>
          </w:tcPr>
          <w:p w14:paraId="67AFDF45" w14:textId="28942C7B" w:rsidR="51F7FC84" w:rsidRDefault="51F7FC84" w:rsidP="54BC4B94">
            <w:r w:rsidRPr="54BC4B94">
              <w:rPr>
                <w:rFonts w:ascii="Aptos" w:eastAsia="Aptos" w:hAnsi="Aptos" w:cs="Aptos"/>
                <w:sz w:val="22"/>
                <w:szCs w:val="22"/>
              </w:rPr>
              <w:t>24 (Critical)</w:t>
            </w:r>
          </w:p>
        </w:tc>
        <w:tc>
          <w:tcPr>
            <w:tcW w:w="1462" w:type="dxa"/>
          </w:tcPr>
          <w:p w14:paraId="4808D078" w14:textId="2640A3B7" w:rsidR="4715C8C4" w:rsidRDefault="4715C8C4" w:rsidP="54BC4B94">
            <w:r w:rsidRPr="54BC4B94">
              <w:rPr>
                <w:rFonts w:ascii="Aptos" w:eastAsia="Aptos" w:hAnsi="Aptos" w:cs="Aptos"/>
                <w:sz w:val="22"/>
                <w:szCs w:val="22"/>
              </w:rPr>
              <w:t>25 (Critical)</w:t>
            </w:r>
          </w:p>
        </w:tc>
      </w:tr>
      <w:tr w:rsidR="54BC4B94" w14:paraId="09EBC292" w14:textId="77777777" w:rsidTr="54BC4B94">
        <w:trPr>
          <w:trHeight w:val="300"/>
        </w:trPr>
        <w:tc>
          <w:tcPr>
            <w:tcW w:w="1288" w:type="dxa"/>
            <w:vMerge/>
          </w:tcPr>
          <w:p w14:paraId="0796039F" w14:textId="77777777" w:rsidR="0038159D" w:rsidRDefault="0038159D"/>
        </w:tc>
        <w:tc>
          <w:tcPr>
            <w:tcW w:w="1575" w:type="dxa"/>
          </w:tcPr>
          <w:p w14:paraId="39A34E97" w14:textId="48480DBA" w:rsidR="19082E30" w:rsidRDefault="19082E30" w:rsidP="54BC4B94">
            <w:r w:rsidRPr="54BC4B94">
              <w:rPr>
                <w:rFonts w:ascii="Aptos" w:eastAsia="Aptos" w:hAnsi="Aptos" w:cs="Aptos"/>
                <w:sz w:val="22"/>
                <w:szCs w:val="22"/>
              </w:rPr>
              <w:t xml:space="preserve">3 [ </w:t>
            </w:r>
            <w:proofErr w:type="gramStart"/>
            <w:r w:rsidRPr="54BC4B94">
              <w:rPr>
                <w:rFonts w:ascii="Aptos" w:eastAsia="Aptos" w:hAnsi="Aptos" w:cs="Aptos"/>
                <w:sz w:val="22"/>
                <w:szCs w:val="22"/>
              </w:rPr>
              <w:t>Moderate ]</w:t>
            </w:r>
            <w:proofErr w:type="gramEnd"/>
          </w:p>
        </w:tc>
        <w:tc>
          <w:tcPr>
            <w:tcW w:w="1155" w:type="dxa"/>
          </w:tcPr>
          <w:p w14:paraId="23BC77DF" w14:textId="6CBF7CC2" w:rsidR="19082E30" w:rsidRDefault="19082E30" w:rsidP="54BC4B94">
            <w:r w:rsidRPr="54BC4B94">
              <w:rPr>
                <w:rFonts w:ascii="Aptos" w:eastAsia="Aptos" w:hAnsi="Aptos" w:cs="Aptos"/>
                <w:sz w:val="22"/>
                <w:szCs w:val="22"/>
              </w:rPr>
              <w:t>05 (Low)</w:t>
            </w:r>
          </w:p>
        </w:tc>
        <w:tc>
          <w:tcPr>
            <w:tcW w:w="1134" w:type="dxa"/>
          </w:tcPr>
          <w:p w14:paraId="26576E1C" w14:textId="237C53B8" w:rsidR="67460DE6" w:rsidRDefault="67460DE6" w:rsidP="54BC4B94">
            <w:r w:rsidRPr="54BC4B94">
              <w:rPr>
                <w:rFonts w:ascii="Aptos" w:eastAsia="Aptos" w:hAnsi="Aptos" w:cs="Aptos"/>
                <w:sz w:val="22"/>
                <w:szCs w:val="22"/>
              </w:rPr>
              <w:t>09 (Medium)</w:t>
            </w:r>
          </w:p>
        </w:tc>
        <w:tc>
          <w:tcPr>
            <w:tcW w:w="1288" w:type="dxa"/>
          </w:tcPr>
          <w:p w14:paraId="11BD5F5D" w14:textId="38CD5611" w:rsidR="01E9FA6D" w:rsidRDefault="01E9FA6D" w:rsidP="54BC4B94">
            <w:r w:rsidRPr="54BC4B94">
              <w:rPr>
                <w:rFonts w:ascii="Aptos" w:eastAsia="Aptos" w:hAnsi="Aptos" w:cs="Aptos"/>
                <w:sz w:val="22"/>
                <w:szCs w:val="22"/>
              </w:rPr>
              <w:t>12 (Medium)</w:t>
            </w:r>
          </w:p>
        </w:tc>
        <w:tc>
          <w:tcPr>
            <w:tcW w:w="1288" w:type="dxa"/>
          </w:tcPr>
          <w:p w14:paraId="4193E312" w14:textId="695E2A36" w:rsidR="58D184CF" w:rsidRDefault="58D184CF" w:rsidP="54BC4B94">
            <w:r w:rsidRPr="54BC4B94">
              <w:rPr>
                <w:rFonts w:ascii="Aptos" w:eastAsia="Aptos" w:hAnsi="Aptos" w:cs="Aptos"/>
                <w:sz w:val="22"/>
                <w:szCs w:val="22"/>
              </w:rPr>
              <w:t>16 (High)</w:t>
            </w:r>
          </w:p>
        </w:tc>
        <w:tc>
          <w:tcPr>
            <w:tcW w:w="1462" w:type="dxa"/>
          </w:tcPr>
          <w:p w14:paraId="0655E781" w14:textId="5F773F2D" w:rsidR="3BA091FD" w:rsidRDefault="3BA091FD" w:rsidP="54BC4B94">
            <w:r w:rsidRPr="54BC4B94">
              <w:rPr>
                <w:rFonts w:ascii="Aptos" w:eastAsia="Aptos" w:hAnsi="Aptos" w:cs="Aptos"/>
                <w:sz w:val="22"/>
                <w:szCs w:val="22"/>
              </w:rPr>
              <w:t>20 (High)</w:t>
            </w:r>
          </w:p>
        </w:tc>
      </w:tr>
      <w:tr w:rsidR="54BC4B94" w14:paraId="298C7265" w14:textId="77777777" w:rsidTr="54BC4B94">
        <w:trPr>
          <w:trHeight w:val="300"/>
        </w:trPr>
        <w:tc>
          <w:tcPr>
            <w:tcW w:w="1288" w:type="dxa"/>
            <w:vMerge/>
          </w:tcPr>
          <w:p w14:paraId="0A8A6C7A" w14:textId="77777777" w:rsidR="0038159D" w:rsidRDefault="0038159D"/>
        </w:tc>
        <w:tc>
          <w:tcPr>
            <w:tcW w:w="1575" w:type="dxa"/>
          </w:tcPr>
          <w:p w14:paraId="75D86F1E" w14:textId="54AE6522" w:rsidR="19082E30" w:rsidRDefault="19082E30" w:rsidP="54BC4B94">
            <w:r w:rsidRPr="54BC4B94">
              <w:rPr>
                <w:rFonts w:ascii="Aptos" w:eastAsia="Aptos" w:hAnsi="Aptos" w:cs="Aptos"/>
                <w:sz w:val="22"/>
                <w:szCs w:val="22"/>
              </w:rPr>
              <w:t xml:space="preserve">2 [ </w:t>
            </w:r>
            <w:proofErr w:type="gramStart"/>
            <w:r w:rsidRPr="54BC4B94">
              <w:rPr>
                <w:rFonts w:ascii="Aptos" w:eastAsia="Aptos" w:hAnsi="Aptos" w:cs="Aptos"/>
                <w:sz w:val="22"/>
                <w:szCs w:val="22"/>
              </w:rPr>
              <w:t>Minor ]</w:t>
            </w:r>
            <w:proofErr w:type="gramEnd"/>
          </w:p>
        </w:tc>
        <w:tc>
          <w:tcPr>
            <w:tcW w:w="1155" w:type="dxa"/>
          </w:tcPr>
          <w:p w14:paraId="0FB87A57" w14:textId="4F97953B" w:rsidR="19082E30" w:rsidRDefault="19082E30" w:rsidP="54BC4B94">
            <w:r w:rsidRPr="54BC4B94">
              <w:rPr>
                <w:rFonts w:ascii="Aptos" w:eastAsia="Aptos" w:hAnsi="Aptos" w:cs="Aptos"/>
                <w:sz w:val="22"/>
                <w:szCs w:val="22"/>
              </w:rPr>
              <w:t>02 (Low)</w:t>
            </w:r>
          </w:p>
        </w:tc>
        <w:tc>
          <w:tcPr>
            <w:tcW w:w="1134" w:type="dxa"/>
          </w:tcPr>
          <w:p w14:paraId="293C4949" w14:textId="1C295CE7" w:rsidR="583CCF6F" w:rsidRDefault="583CCF6F" w:rsidP="54BC4B94">
            <w:r w:rsidRPr="54BC4B94">
              <w:rPr>
                <w:rFonts w:ascii="Aptos" w:eastAsia="Aptos" w:hAnsi="Aptos" w:cs="Aptos"/>
                <w:sz w:val="22"/>
                <w:szCs w:val="22"/>
              </w:rPr>
              <w:t>04 (Low)</w:t>
            </w:r>
          </w:p>
        </w:tc>
        <w:tc>
          <w:tcPr>
            <w:tcW w:w="1288" w:type="dxa"/>
          </w:tcPr>
          <w:p w14:paraId="3C9A9B49" w14:textId="6E306C6F" w:rsidR="16A60801" w:rsidRDefault="16A60801" w:rsidP="54BC4B94">
            <w:r w:rsidRPr="54BC4B94">
              <w:rPr>
                <w:rFonts w:ascii="Aptos" w:eastAsia="Aptos" w:hAnsi="Aptos" w:cs="Aptos"/>
                <w:sz w:val="22"/>
                <w:szCs w:val="22"/>
              </w:rPr>
              <w:t>06 (Medium)</w:t>
            </w:r>
          </w:p>
        </w:tc>
        <w:tc>
          <w:tcPr>
            <w:tcW w:w="1288" w:type="dxa"/>
          </w:tcPr>
          <w:p w14:paraId="77E6252B" w14:textId="5126BE6A" w:rsidR="6B0349AE" w:rsidRDefault="6B0349AE" w:rsidP="54BC4B94">
            <w:r w:rsidRPr="54BC4B94">
              <w:rPr>
                <w:rFonts w:ascii="Aptos" w:eastAsia="Aptos" w:hAnsi="Aptos" w:cs="Aptos"/>
                <w:sz w:val="22"/>
                <w:szCs w:val="22"/>
              </w:rPr>
              <w:t>08 (Medium)</w:t>
            </w:r>
          </w:p>
        </w:tc>
        <w:tc>
          <w:tcPr>
            <w:tcW w:w="1462" w:type="dxa"/>
          </w:tcPr>
          <w:p w14:paraId="16E49C1C" w14:textId="2D3D8CEA" w:rsidR="721CA76C" w:rsidRDefault="721CA76C" w:rsidP="54BC4B94">
            <w:r w:rsidRPr="54BC4B94">
              <w:rPr>
                <w:rFonts w:ascii="Aptos" w:eastAsia="Aptos" w:hAnsi="Aptos" w:cs="Aptos"/>
                <w:sz w:val="22"/>
                <w:szCs w:val="22"/>
              </w:rPr>
              <w:t>10 (Medium)</w:t>
            </w:r>
          </w:p>
        </w:tc>
      </w:tr>
      <w:tr w:rsidR="54BC4B94" w14:paraId="68B1AC00" w14:textId="77777777" w:rsidTr="54BC4B94">
        <w:trPr>
          <w:trHeight w:val="300"/>
        </w:trPr>
        <w:tc>
          <w:tcPr>
            <w:tcW w:w="1288" w:type="dxa"/>
            <w:vMerge/>
          </w:tcPr>
          <w:p w14:paraId="5BE96399" w14:textId="77777777" w:rsidR="0038159D" w:rsidRDefault="0038159D"/>
        </w:tc>
        <w:tc>
          <w:tcPr>
            <w:tcW w:w="1575" w:type="dxa"/>
          </w:tcPr>
          <w:p w14:paraId="6FC3F5FD" w14:textId="6FE229A4" w:rsidR="19082E30" w:rsidRDefault="19082E30" w:rsidP="54BC4B94">
            <w:r w:rsidRPr="54BC4B94">
              <w:rPr>
                <w:rFonts w:ascii="Aptos" w:eastAsia="Aptos" w:hAnsi="Aptos" w:cs="Aptos"/>
                <w:sz w:val="22"/>
                <w:szCs w:val="22"/>
              </w:rPr>
              <w:t>1 [ Insignificant</w:t>
            </w:r>
          </w:p>
        </w:tc>
        <w:tc>
          <w:tcPr>
            <w:tcW w:w="1155" w:type="dxa"/>
          </w:tcPr>
          <w:p w14:paraId="7F2A7E2B" w14:textId="2C74FE03" w:rsidR="19082E30" w:rsidRDefault="19082E30" w:rsidP="54BC4B94">
            <w:r w:rsidRPr="54BC4B94">
              <w:rPr>
                <w:rFonts w:ascii="Aptos" w:eastAsia="Aptos" w:hAnsi="Aptos" w:cs="Aptos"/>
                <w:sz w:val="22"/>
                <w:szCs w:val="22"/>
              </w:rPr>
              <w:t>01 (Low)</w:t>
            </w:r>
          </w:p>
        </w:tc>
        <w:tc>
          <w:tcPr>
            <w:tcW w:w="1134" w:type="dxa"/>
          </w:tcPr>
          <w:p w14:paraId="129AEA56" w14:textId="686971F8" w:rsidR="24ED499F" w:rsidRDefault="24ED499F" w:rsidP="54BC4B94">
            <w:r w:rsidRPr="54BC4B94">
              <w:rPr>
                <w:rFonts w:ascii="Aptos" w:eastAsia="Aptos" w:hAnsi="Aptos" w:cs="Aptos"/>
                <w:sz w:val="22"/>
                <w:szCs w:val="22"/>
              </w:rPr>
              <w:t>02 (Low)</w:t>
            </w:r>
          </w:p>
        </w:tc>
        <w:tc>
          <w:tcPr>
            <w:tcW w:w="1288" w:type="dxa"/>
          </w:tcPr>
          <w:p w14:paraId="79740D25" w14:textId="4DE69FF1" w:rsidR="2570C677" w:rsidRDefault="2570C677" w:rsidP="54BC4B94">
            <w:r w:rsidRPr="54BC4B94">
              <w:rPr>
                <w:rFonts w:ascii="Aptos" w:eastAsia="Aptos" w:hAnsi="Aptos" w:cs="Aptos"/>
                <w:sz w:val="22"/>
                <w:szCs w:val="22"/>
              </w:rPr>
              <w:t>03 (Low)</w:t>
            </w:r>
          </w:p>
        </w:tc>
        <w:tc>
          <w:tcPr>
            <w:tcW w:w="1288" w:type="dxa"/>
          </w:tcPr>
          <w:p w14:paraId="0A03B678" w14:textId="461D4081" w:rsidR="1AF7437C" w:rsidRDefault="1AF7437C" w:rsidP="54BC4B94">
            <w:r w:rsidRPr="54BC4B94">
              <w:rPr>
                <w:rFonts w:ascii="Aptos" w:eastAsia="Aptos" w:hAnsi="Aptos" w:cs="Aptos"/>
                <w:sz w:val="22"/>
                <w:szCs w:val="22"/>
              </w:rPr>
              <w:t>04 (Low)</w:t>
            </w:r>
          </w:p>
        </w:tc>
        <w:tc>
          <w:tcPr>
            <w:tcW w:w="1462" w:type="dxa"/>
          </w:tcPr>
          <w:p w14:paraId="25C52C10" w14:textId="4386B6C0" w:rsidR="207D2B52" w:rsidRDefault="207D2B52" w:rsidP="54BC4B94">
            <w:r w:rsidRPr="54BC4B94">
              <w:rPr>
                <w:rFonts w:ascii="Aptos" w:eastAsia="Aptos" w:hAnsi="Aptos" w:cs="Aptos"/>
                <w:sz w:val="22"/>
                <w:szCs w:val="22"/>
              </w:rPr>
              <w:t>05 (Medium)</w:t>
            </w:r>
          </w:p>
        </w:tc>
      </w:tr>
      <w:tr w:rsidR="54BC4B94" w14:paraId="0D173F17" w14:textId="77777777" w:rsidTr="54BC4B94">
        <w:trPr>
          <w:trHeight w:val="300"/>
        </w:trPr>
        <w:tc>
          <w:tcPr>
            <w:tcW w:w="1288" w:type="dxa"/>
            <w:vMerge/>
          </w:tcPr>
          <w:p w14:paraId="7C7DBFF6" w14:textId="77777777" w:rsidR="0038159D" w:rsidRDefault="0038159D"/>
        </w:tc>
        <w:tc>
          <w:tcPr>
            <w:tcW w:w="1575" w:type="dxa"/>
          </w:tcPr>
          <w:p w14:paraId="20E8CFC9" w14:textId="7FBA1BDE" w:rsidR="54BC4B94" w:rsidRDefault="54BC4B94" w:rsidP="54BC4B94">
            <w:pPr>
              <w:rPr>
                <w:rFonts w:ascii="Aptos" w:eastAsia="Aptos" w:hAnsi="Aptos" w:cs="Aptos"/>
                <w:sz w:val="22"/>
                <w:szCs w:val="22"/>
              </w:rPr>
            </w:pPr>
          </w:p>
        </w:tc>
        <w:tc>
          <w:tcPr>
            <w:tcW w:w="1155" w:type="dxa"/>
          </w:tcPr>
          <w:p w14:paraId="06C3EE3C" w14:textId="64C8B9B3" w:rsidR="207D2B52" w:rsidRDefault="207D2B52" w:rsidP="54BC4B94">
            <w:pPr>
              <w:jc w:val="both"/>
            </w:pPr>
            <w:r w:rsidRPr="54BC4B94">
              <w:rPr>
                <w:rFonts w:ascii="Aptos" w:eastAsia="Aptos" w:hAnsi="Aptos" w:cs="Aptos"/>
                <w:sz w:val="22"/>
                <w:szCs w:val="22"/>
              </w:rPr>
              <w:t>1</w:t>
            </w:r>
          </w:p>
          <w:p w14:paraId="21A342EE" w14:textId="45C397C7" w:rsidR="207D2B52" w:rsidRDefault="207D2B52" w:rsidP="54BC4B94">
            <w:r w:rsidRPr="54BC4B94">
              <w:rPr>
                <w:rFonts w:ascii="Aptos" w:eastAsia="Aptos" w:hAnsi="Aptos" w:cs="Aptos"/>
                <w:sz w:val="22"/>
                <w:szCs w:val="22"/>
              </w:rPr>
              <w:t xml:space="preserve">[ </w:t>
            </w:r>
            <w:proofErr w:type="gramStart"/>
            <w:r w:rsidRPr="54BC4B94">
              <w:rPr>
                <w:rFonts w:ascii="Aptos" w:eastAsia="Aptos" w:hAnsi="Aptos" w:cs="Aptos"/>
                <w:sz w:val="22"/>
                <w:szCs w:val="22"/>
              </w:rPr>
              <w:t>Rare ]</w:t>
            </w:r>
            <w:proofErr w:type="gramEnd"/>
          </w:p>
        </w:tc>
        <w:tc>
          <w:tcPr>
            <w:tcW w:w="1134" w:type="dxa"/>
          </w:tcPr>
          <w:p w14:paraId="41E90673" w14:textId="731851E8" w:rsidR="207D2B52" w:rsidRDefault="207D2B52" w:rsidP="54BC4B94">
            <w:r w:rsidRPr="54BC4B94">
              <w:rPr>
                <w:rFonts w:ascii="Aptos" w:eastAsia="Aptos" w:hAnsi="Aptos" w:cs="Aptos"/>
                <w:sz w:val="22"/>
                <w:szCs w:val="22"/>
              </w:rPr>
              <w:t>2</w:t>
            </w:r>
          </w:p>
          <w:p w14:paraId="5CB44FEA" w14:textId="241A1167" w:rsidR="207D2B52" w:rsidRDefault="207D2B52" w:rsidP="54BC4B94">
            <w:r w:rsidRPr="54BC4B94">
              <w:rPr>
                <w:rFonts w:ascii="Aptos" w:eastAsia="Aptos" w:hAnsi="Aptos" w:cs="Aptos"/>
                <w:sz w:val="22"/>
                <w:szCs w:val="22"/>
              </w:rPr>
              <w:t xml:space="preserve">[ </w:t>
            </w:r>
            <w:proofErr w:type="gramStart"/>
            <w:r w:rsidRPr="54BC4B94">
              <w:rPr>
                <w:rFonts w:ascii="Aptos" w:eastAsia="Aptos" w:hAnsi="Aptos" w:cs="Aptos"/>
                <w:sz w:val="22"/>
                <w:szCs w:val="22"/>
              </w:rPr>
              <w:t>Unlikely ]</w:t>
            </w:r>
            <w:proofErr w:type="gramEnd"/>
          </w:p>
        </w:tc>
        <w:tc>
          <w:tcPr>
            <w:tcW w:w="1288" w:type="dxa"/>
          </w:tcPr>
          <w:p w14:paraId="4DE76ADF" w14:textId="49A7CDDE" w:rsidR="207D2B52" w:rsidRDefault="207D2B52" w:rsidP="54BC4B94">
            <w:r w:rsidRPr="54BC4B94">
              <w:rPr>
                <w:rFonts w:ascii="Aptos" w:eastAsia="Aptos" w:hAnsi="Aptos" w:cs="Aptos"/>
                <w:sz w:val="22"/>
                <w:szCs w:val="22"/>
              </w:rPr>
              <w:t>3</w:t>
            </w:r>
          </w:p>
          <w:p w14:paraId="016684B2" w14:textId="41A1C85B" w:rsidR="207D2B52" w:rsidRDefault="207D2B52" w:rsidP="54BC4B94">
            <w:r w:rsidRPr="54BC4B94">
              <w:rPr>
                <w:rFonts w:ascii="Aptos" w:eastAsia="Aptos" w:hAnsi="Aptos" w:cs="Aptos"/>
                <w:sz w:val="22"/>
                <w:szCs w:val="22"/>
              </w:rPr>
              <w:t xml:space="preserve">[ </w:t>
            </w:r>
            <w:proofErr w:type="gramStart"/>
            <w:r w:rsidRPr="54BC4B94">
              <w:rPr>
                <w:rFonts w:ascii="Aptos" w:eastAsia="Aptos" w:hAnsi="Aptos" w:cs="Aptos"/>
                <w:sz w:val="22"/>
                <w:szCs w:val="22"/>
              </w:rPr>
              <w:t>Moderate ]</w:t>
            </w:r>
            <w:proofErr w:type="gramEnd"/>
          </w:p>
        </w:tc>
        <w:tc>
          <w:tcPr>
            <w:tcW w:w="1288" w:type="dxa"/>
          </w:tcPr>
          <w:p w14:paraId="087F4D3D" w14:textId="402A69BC" w:rsidR="207D2B52" w:rsidRDefault="207D2B52" w:rsidP="54BC4B94">
            <w:r w:rsidRPr="54BC4B94">
              <w:rPr>
                <w:rFonts w:ascii="Aptos" w:eastAsia="Aptos" w:hAnsi="Aptos" w:cs="Aptos"/>
                <w:sz w:val="22"/>
                <w:szCs w:val="22"/>
              </w:rPr>
              <w:t>4</w:t>
            </w:r>
          </w:p>
          <w:p w14:paraId="1BC88837" w14:textId="50A7400F" w:rsidR="207D2B52" w:rsidRDefault="207D2B52" w:rsidP="54BC4B94">
            <w:r w:rsidRPr="54BC4B94">
              <w:rPr>
                <w:rFonts w:ascii="Aptos" w:eastAsia="Aptos" w:hAnsi="Aptos" w:cs="Aptos"/>
                <w:sz w:val="22"/>
                <w:szCs w:val="22"/>
              </w:rPr>
              <w:t xml:space="preserve">[ </w:t>
            </w:r>
            <w:proofErr w:type="gramStart"/>
            <w:r w:rsidRPr="54BC4B94">
              <w:rPr>
                <w:rFonts w:ascii="Aptos" w:eastAsia="Aptos" w:hAnsi="Aptos" w:cs="Aptos"/>
                <w:sz w:val="22"/>
                <w:szCs w:val="22"/>
              </w:rPr>
              <w:t>Likely ]</w:t>
            </w:r>
            <w:proofErr w:type="gramEnd"/>
          </w:p>
        </w:tc>
        <w:tc>
          <w:tcPr>
            <w:tcW w:w="1462" w:type="dxa"/>
          </w:tcPr>
          <w:p w14:paraId="6DCFC94C" w14:textId="285818C7" w:rsidR="207D2B52" w:rsidRDefault="207D2B52" w:rsidP="54BC4B94">
            <w:r w:rsidRPr="54BC4B94">
              <w:rPr>
                <w:rFonts w:ascii="Aptos" w:eastAsia="Aptos" w:hAnsi="Aptos" w:cs="Aptos"/>
                <w:sz w:val="22"/>
                <w:szCs w:val="22"/>
              </w:rPr>
              <w:t>5</w:t>
            </w:r>
          </w:p>
          <w:p w14:paraId="4155F3AE" w14:textId="441BFB0B" w:rsidR="207D2B52" w:rsidRDefault="207D2B52" w:rsidP="54BC4B94">
            <w:r w:rsidRPr="54BC4B94">
              <w:rPr>
                <w:rFonts w:ascii="Aptos" w:eastAsia="Aptos" w:hAnsi="Aptos" w:cs="Aptos"/>
                <w:sz w:val="22"/>
                <w:szCs w:val="22"/>
              </w:rPr>
              <w:t xml:space="preserve">[ Almost </w:t>
            </w:r>
            <w:proofErr w:type="gramStart"/>
            <w:r w:rsidRPr="54BC4B94">
              <w:rPr>
                <w:rFonts w:ascii="Aptos" w:eastAsia="Aptos" w:hAnsi="Aptos" w:cs="Aptos"/>
                <w:sz w:val="22"/>
                <w:szCs w:val="22"/>
              </w:rPr>
              <w:t>Certain ]</w:t>
            </w:r>
            <w:proofErr w:type="gramEnd"/>
          </w:p>
        </w:tc>
      </w:tr>
      <w:tr w:rsidR="54BC4B94" w14:paraId="2381DB20" w14:textId="77777777" w:rsidTr="54BC4B94">
        <w:trPr>
          <w:trHeight w:val="300"/>
        </w:trPr>
        <w:tc>
          <w:tcPr>
            <w:tcW w:w="1288" w:type="dxa"/>
          </w:tcPr>
          <w:p w14:paraId="5594D973" w14:textId="02294AA2" w:rsidR="54BC4B94" w:rsidRDefault="54BC4B94" w:rsidP="54BC4B94">
            <w:pPr>
              <w:jc w:val="both"/>
              <w:rPr>
                <w:rFonts w:ascii="Aptos" w:eastAsia="Aptos" w:hAnsi="Aptos" w:cs="Aptos"/>
                <w:sz w:val="22"/>
                <w:szCs w:val="22"/>
              </w:rPr>
            </w:pPr>
          </w:p>
        </w:tc>
        <w:tc>
          <w:tcPr>
            <w:tcW w:w="7902" w:type="dxa"/>
            <w:gridSpan w:val="6"/>
          </w:tcPr>
          <w:p w14:paraId="3EDB5D4F" w14:textId="0699ACC8" w:rsidR="6FC796D3" w:rsidRDefault="6FC796D3" w:rsidP="54BC4B94">
            <w:pPr>
              <w:jc w:val="center"/>
            </w:pPr>
            <w:r w:rsidRPr="54BC4B94">
              <w:rPr>
                <w:rFonts w:ascii="Aptos" w:eastAsia="Aptos" w:hAnsi="Aptos" w:cs="Aptos"/>
                <w:sz w:val="22"/>
                <w:szCs w:val="22"/>
              </w:rPr>
              <w:t>LIKELIHOOD</w:t>
            </w:r>
          </w:p>
        </w:tc>
      </w:tr>
    </w:tbl>
    <w:p w14:paraId="08F01421" w14:textId="1FCE3BF9" w:rsidR="54BC4B94" w:rsidRDefault="54BC4B94" w:rsidP="54BC4B94">
      <w:pPr>
        <w:rPr>
          <w:sz w:val="22"/>
          <w:szCs w:val="22"/>
        </w:rPr>
      </w:pPr>
    </w:p>
    <w:p w14:paraId="5F0ABF46" w14:textId="77777777" w:rsidR="00704258" w:rsidRPr="00704258" w:rsidRDefault="00704258" w:rsidP="00704258">
      <w:pPr>
        <w:rPr>
          <w:b/>
          <w:bCs/>
          <w:sz w:val="22"/>
          <w:szCs w:val="22"/>
        </w:rPr>
      </w:pPr>
      <w:r w:rsidRPr="00704258">
        <w:rPr>
          <w:b/>
          <w:bCs/>
          <w:sz w:val="22"/>
          <w:szCs w:val="22"/>
        </w:rPr>
        <w:t>Asset Classification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3"/>
        <w:gridCol w:w="2282"/>
        <w:gridCol w:w="2299"/>
        <w:gridCol w:w="3022"/>
      </w:tblGrid>
      <w:tr w:rsidR="00704258" w:rsidRPr="00704258" w14:paraId="34E4496A" w14:textId="77777777">
        <w:trPr>
          <w:tblCellSpacing w:w="15" w:type="dxa"/>
        </w:trPr>
        <w:tc>
          <w:tcPr>
            <w:tcW w:w="0" w:type="auto"/>
            <w:tcBorders>
              <w:bottom w:val="single" w:sz="6" w:space="0" w:color="363840"/>
            </w:tcBorders>
            <w:vAlign w:val="center"/>
            <w:hideMark/>
          </w:tcPr>
          <w:p w14:paraId="3A58C9C8" w14:textId="77777777" w:rsidR="00704258" w:rsidRPr="00704258" w:rsidRDefault="00704258" w:rsidP="00704258">
            <w:pPr>
              <w:rPr>
                <w:b/>
                <w:bCs/>
                <w:sz w:val="22"/>
                <w:szCs w:val="22"/>
              </w:rPr>
            </w:pPr>
            <w:r w:rsidRPr="00704258">
              <w:rPr>
                <w:b/>
                <w:bCs/>
                <w:sz w:val="22"/>
                <w:szCs w:val="22"/>
              </w:rPr>
              <w:t>Asset Class</w:t>
            </w:r>
          </w:p>
        </w:tc>
        <w:tc>
          <w:tcPr>
            <w:tcW w:w="0" w:type="auto"/>
            <w:tcBorders>
              <w:bottom w:val="single" w:sz="6" w:space="0" w:color="363840"/>
            </w:tcBorders>
            <w:vAlign w:val="center"/>
            <w:hideMark/>
          </w:tcPr>
          <w:p w14:paraId="7B41BFF7" w14:textId="77777777" w:rsidR="00704258" w:rsidRPr="00704258" w:rsidRDefault="00704258" w:rsidP="00704258">
            <w:pPr>
              <w:rPr>
                <w:b/>
                <w:bCs/>
                <w:sz w:val="22"/>
                <w:szCs w:val="22"/>
              </w:rPr>
            </w:pPr>
            <w:r w:rsidRPr="00704258">
              <w:rPr>
                <w:b/>
                <w:bCs/>
                <w:sz w:val="22"/>
                <w:szCs w:val="22"/>
              </w:rPr>
              <w:t>Technical Composition</w:t>
            </w:r>
          </w:p>
        </w:tc>
        <w:tc>
          <w:tcPr>
            <w:tcW w:w="0" w:type="auto"/>
            <w:tcBorders>
              <w:bottom w:val="single" w:sz="6" w:space="0" w:color="363840"/>
            </w:tcBorders>
            <w:vAlign w:val="center"/>
            <w:hideMark/>
          </w:tcPr>
          <w:p w14:paraId="246E5D6B" w14:textId="77777777" w:rsidR="00704258" w:rsidRPr="00704258" w:rsidRDefault="00704258" w:rsidP="00704258">
            <w:pPr>
              <w:rPr>
                <w:b/>
                <w:bCs/>
                <w:sz w:val="22"/>
                <w:szCs w:val="22"/>
              </w:rPr>
            </w:pPr>
            <w:r w:rsidRPr="00704258">
              <w:rPr>
                <w:b/>
                <w:bCs/>
                <w:sz w:val="22"/>
                <w:szCs w:val="22"/>
              </w:rPr>
              <w:t>Financial / Operational Impact</w:t>
            </w:r>
          </w:p>
        </w:tc>
        <w:tc>
          <w:tcPr>
            <w:tcW w:w="0" w:type="auto"/>
            <w:tcBorders>
              <w:bottom w:val="single" w:sz="6" w:space="0" w:color="363840"/>
            </w:tcBorders>
            <w:vAlign w:val="center"/>
            <w:hideMark/>
          </w:tcPr>
          <w:p w14:paraId="3902A0EC" w14:textId="77777777" w:rsidR="00704258" w:rsidRPr="00704258" w:rsidRDefault="00704258" w:rsidP="00704258">
            <w:pPr>
              <w:rPr>
                <w:b/>
                <w:bCs/>
                <w:sz w:val="22"/>
                <w:szCs w:val="22"/>
              </w:rPr>
            </w:pPr>
            <w:r w:rsidRPr="00704258">
              <w:rPr>
                <w:b/>
                <w:bCs/>
                <w:sz w:val="22"/>
                <w:szCs w:val="22"/>
              </w:rPr>
              <w:t>Minimum Mandatory Security Baseline</w:t>
            </w:r>
          </w:p>
        </w:tc>
      </w:tr>
      <w:tr w:rsidR="00704258" w:rsidRPr="00704258" w14:paraId="6A7B96C6" w14:textId="77777777">
        <w:trPr>
          <w:tblCellSpacing w:w="15" w:type="dxa"/>
        </w:trPr>
        <w:tc>
          <w:tcPr>
            <w:tcW w:w="0" w:type="auto"/>
            <w:tcBorders>
              <w:bottom w:val="single" w:sz="6" w:space="0" w:color="363840"/>
            </w:tcBorders>
            <w:vAlign w:val="center"/>
            <w:hideMark/>
          </w:tcPr>
          <w:p w14:paraId="34E12C85" w14:textId="77777777" w:rsidR="00704258" w:rsidRPr="00704258" w:rsidRDefault="00704258" w:rsidP="00704258">
            <w:pPr>
              <w:rPr>
                <w:sz w:val="22"/>
                <w:szCs w:val="22"/>
              </w:rPr>
            </w:pPr>
            <w:r w:rsidRPr="00704258">
              <w:rPr>
                <w:b/>
                <w:bCs/>
                <w:sz w:val="22"/>
                <w:szCs w:val="22"/>
              </w:rPr>
              <w:t>Class A: Critical Data</w:t>
            </w:r>
          </w:p>
        </w:tc>
        <w:tc>
          <w:tcPr>
            <w:tcW w:w="0" w:type="auto"/>
            <w:tcBorders>
              <w:bottom w:val="single" w:sz="6" w:space="0" w:color="363840"/>
            </w:tcBorders>
            <w:vAlign w:val="center"/>
            <w:hideMark/>
          </w:tcPr>
          <w:p w14:paraId="3D75A8F5" w14:textId="77777777" w:rsidR="00704258" w:rsidRPr="00704258" w:rsidRDefault="00704258" w:rsidP="00704258">
            <w:pPr>
              <w:rPr>
                <w:sz w:val="22"/>
                <w:szCs w:val="22"/>
              </w:rPr>
            </w:pPr>
            <w:r w:rsidRPr="00704258">
              <w:rPr>
                <w:sz w:val="22"/>
                <w:szCs w:val="22"/>
              </w:rPr>
              <w:t>Client Shipment Datasets, Customer PII, Cloud Database Backups</w:t>
            </w:r>
          </w:p>
        </w:tc>
        <w:tc>
          <w:tcPr>
            <w:tcW w:w="0" w:type="auto"/>
            <w:tcBorders>
              <w:bottom w:val="single" w:sz="6" w:space="0" w:color="363840"/>
            </w:tcBorders>
            <w:vAlign w:val="center"/>
            <w:hideMark/>
          </w:tcPr>
          <w:p w14:paraId="65DF9325" w14:textId="77777777" w:rsidR="00704258" w:rsidRPr="00704258" w:rsidRDefault="00704258" w:rsidP="00704258">
            <w:pPr>
              <w:rPr>
                <w:sz w:val="22"/>
                <w:szCs w:val="22"/>
              </w:rPr>
            </w:pPr>
            <w:r w:rsidRPr="00704258">
              <w:rPr>
                <w:b/>
                <w:bCs/>
                <w:sz w:val="22"/>
                <w:szCs w:val="22"/>
              </w:rPr>
              <w:t>Severe:</w:t>
            </w:r>
            <w:r w:rsidRPr="00704258">
              <w:rPr>
                <w:sz w:val="22"/>
                <w:szCs w:val="22"/>
              </w:rPr>
              <w:t xml:space="preserve"> Multi-</w:t>
            </w:r>
            <w:proofErr w:type="gramStart"/>
            <w:r w:rsidRPr="00704258">
              <w:rPr>
                <w:sz w:val="22"/>
                <w:szCs w:val="22"/>
              </w:rPr>
              <w:t>million pound</w:t>
            </w:r>
            <w:proofErr w:type="gramEnd"/>
            <w:r w:rsidRPr="00704258">
              <w:rPr>
                <w:sz w:val="22"/>
                <w:szCs w:val="22"/>
              </w:rPr>
              <w:t xml:space="preserve"> fines, loss of major clients, system downtime</w:t>
            </w:r>
          </w:p>
        </w:tc>
        <w:tc>
          <w:tcPr>
            <w:tcW w:w="0" w:type="auto"/>
            <w:tcBorders>
              <w:bottom w:val="single" w:sz="6" w:space="0" w:color="363840"/>
            </w:tcBorders>
            <w:vAlign w:val="center"/>
            <w:hideMark/>
          </w:tcPr>
          <w:p w14:paraId="4D1CF1F8" w14:textId="77777777" w:rsidR="00704258" w:rsidRPr="00704258" w:rsidRDefault="00704258" w:rsidP="00704258">
            <w:pPr>
              <w:rPr>
                <w:sz w:val="22"/>
                <w:szCs w:val="22"/>
              </w:rPr>
            </w:pPr>
            <w:r w:rsidRPr="00704258">
              <w:rPr>
                <w:sz w:val="22"/>
                <w:szCs w:val="22"/>
              </w:rPr>
              <w:t>AES-</w:t>
            </w:r>
            <w:proofErr w:type="gramStart"/>
            <w:r w:rsidRPr="00704258">
              <w:rPr>
                <w:sz w:val="22"/>
                <w:szCs w:val="22"/>
              </w:rPr>
              <w:t>256 bit</w:t>
            </w:r>
            <w:proofErr w:type="gramEnd"/>
            <w:r w:rsidRPr="00704258">
              <w:rPr>
                <w:sz w:val="22"/>
                <w:szCs w:val="22"/>
              </w:rPr>
              <w:t xml:space="preserve"> column-level encryption; tokenized API communication; strict RBAC access controls</w:t>
            </w:r>
          </w:p>
        </w:tc>
      </w:tr>
      <w:tr w:rsidR="00704258" w:rsidRPr="00704258" w14:paraId="70CB08F7" w14:textId="77777777">
        <w:trPr>
          <w:tblCellSpacing w:w="15" w:type="dxa"/>
        </w:trPr>
        <w:tc>
          <w:tcPr>
            <w:tcW w:w="0" w:type="auto"/>
            <w:tcBorders>
              <w:bottom w:val="single" w:sz="6" w:space="0" w:color="363840"/>
            </w:tcBorders>
            <w:vAlign w:val="center"/>
            <w:hideMark/>
          </w:tcPr>
          <w:p w14:paraId="22542869" w14:textId="77777777" w:rsidR="00704258" w:rsidRPr="00704258" w:rsidRDefault="00704258" w:rsidP="00704258">
            <w:pPr>
              <w:rPr>
                <w:sz w:val="22"/>
                <w:szCs w:val="22"/>
              </w:rPr>
            </w:pPr>
            <w:r w:rsidRPr="00704258">
              <w:rPr>
                <w:b/>
                <w:bCs/>
                <w:sz w:val="22"/>
                <w:szCs w:val="22"/>
              </w:rPr>
              <w:t>Class B: Core Systems</w:t>
            </w:r>
          </w:p>
        </w:tc>
        <w:tc>
          <w:tcPr>
            <w:tcW w:w="0" w:type="auto"/>
            <w:tcBorders>
              <w:bottom w:val="single" w:sz="6" w:space="0" w:color="363840"/>
            </w:tcBorders>
            <w:vAlign w:val="center"/>
            <w:hideMark/>
          </w:tcPr>
          <w:p w14:paraId="119F0F00" w14:textId="77777777" w:rsidR="00704258" w:rsidRPr="00704258" w:rsidRDefault="00704258" w:rsidP="00704258">
            <w:pPr>
              <w:rPr>
                <w:sz w:val="22"/>
                <w:szCs w:val="22"/>
              </w:rPr>
            </w:pPr>
            <w:r w:rsidRPr="00704258">
              <w:rPr>
                <w:sz w:val="22"/>
                <w:szCs w:val="22"/>
              </w:rPr>
              <w:t>AWS/Azure Production Instances, SAP Cloud ERP, WMS Platforms</w:t>
            </w:r>
          </w:p>
        </w:tc>
        <w:tc>
          <w:tcPr>
            <w:tcW w:w="0" w:type="auto"/>
            <w:tcBorders>
              <w:bottom w:val="single" w:sz="6" w:space="0" w:color="363840"/>
            </w:tcBorders>
            <w:vAlign w:val="center"/>
            <w:hideMark/>
          </w:tcPr>
          <w:p w14:paraId="1E0F3816" w14:textId="77777777" w:rsidR="00704258" w:rsidRPr="00704258" w:rsidRDefault="00704258" w:rsidP="00704258">
            <w:pPr>
              <w:rPr>
                <w:sz w:val="22"/>
                <w:szCs w:val="22"/>
              </w:rPr>
            </w:pPr>
            <w:r w:rsidRPr="00704258">
              <w:rPr>
                <w:b/>
                <w:bCs/>
                <w:sz w:val="22"/>
                <w:szCs w:val="22"/>
              </w:rPr>
              <w:t>High:</w:t>
            </w:r>
            <w:r w:rsidRPr="00704258">
              <w:rPr>
                <w:sz w:val="22"/>
                <w:szCs w:val="22"/>
              </w:rPr>
              <w:t xml:space="preserve"> Global logistics and operations stop immediately</w:t>
            </w:r>
          </w:p>
        </w:tc>
        <w:tc>
          <w:tcPr>
            <w:tcW w:w="0" w:type="auto"/>
            <w:tcBorders>
              <w:bottom w:val="single" w:sz="6" w:space="0" w:color="363840"/>
            </w:tcBorders>
            <w:vAlign w:val="center"/>
            <w:hideMark/>
          </w:tcPr>
          <w:p w14:paraId="48E7699A" w14:textId="77777777" w:rsidR="00704258" w:rsidRPr="00704258" w:rsidRDefault="00704258" w:rsidP="00704258">
            <w:pPr>
              <w:rPr>
                <w:sz w:val="22"/>
                <w:szCs w:val="22"/>
              </w:rPr>
            </w:pPr>
            <w:r w:rsidRPr="00704258">
              <w:rPr>
                <w:sz w:val="22"/>
                <w:szCs w:val="22"/>
              </w:rPr>
              <w:t>Multi-region architectural redundancy; 24/7 SIEM monitoring; MFA enforcement</w:t>
            </w:r>
          </w:p>
        </w:tc>
      </w:tr>
      <w:tr w:rsidR="00704258" w:rsidRPr="00704258" w14:paraId="2FBE088C" w14:textId="77777777">
        <w:trPr>
          <w:tblCellSpacing w:w="15" w:type="dxa"/>
        </w:trPr>
        <w:tc>
          <w:tcPr>
            <w:tcW w:w="0" w:type="auto"/>
            <w:tcBorders>
              <w:bottom w:val="single" w:sz="6" w:space="0" w:color="363840"/>
            </w:tcBorders>
            <w:vAlign w:val="center"/>
            <w:hideMark/>
          </w:tcPr>
          <w:p w14:paraId="3823EBA2" w14:textId="77777777" w:rsidR="00704258" w:rsidRPr="00704258" w:rsidRDefault="00704258" w:rsidP="00704258">
            <w:pPr>
              <w:rPr>
                <w:sz w:val="22"/>
                <w:szCs w:val="22"/>
              </w:rPr>
            </w:pPr>
            <w:r w:rsidRPr="00704258">
              <w:rPr>
                <w:b/>
                <w:bCs/>
                <w:sz w:val="22"/>
                <w:szCs w:val="22"/>
              </w:rPr>
              <w:t>Class C: Edge Points</w:t>
            </w:r>
          </w:p>
        </w:tc>
        <w:tc>
          <w:tcPr>
            <w:tcW w:w="0" w:type="auto"/>
            <w:tcBorders>
              <w:bottom w:val="single" w:sz="6" w:space="0" w:color="363840"/>
            </w:tcBorders>
            <w:vAlign w:val="center"/>
            <w:hideMark/>
          </w:tcPr>
          <w:p w14:paraId="55138216" w14:textId="77777777" w:rsidR="00704258" w:rsidRPr="00704258" w:rsidRDefault="00704258" w:rsidP="00704258">
            <w:pPr>
              <w:rPr>
                <w:sz w:val="22"/>
                <w:szCs w:val="22"/>
              </w:rPr>
            </w:pPr>
            <w:r w:rsidRPr="00704258">
              <w:rPr>
                <w:sz w:val="22"/>
                <w:szCs w:val="22"/>
              </w:rPr>
              <w:t>250,000 IoT Edge Sensors, Warehouse Handheld Scanners</w:t>
            </w:r>
          </w:p>
        </w:tc>
        <w:tc>
          <w:tcPr>
            <w:tcW w:w="0" w:type="auto"/>
            <w:tcBorders>
              <w:bottom w:val="single" w:sz="6" w:space="0" w:color="363840"/>
            </w:tcBorders>
            <w:vAlign w:val="center"/>
            <w:hideMark/>
          </w:tcPr>
          <w:p w14:paraId="687276D5" w14:textId="77777777" w:rsidR="00704258" w:rsidRPr="00704258" w:rsidRDefault="00704258" w:rsidP="00704258">
            <w:pPr>
              <w:rPr>
                <w:sz w:val="22"/>
                <w:szCs w:val="22"/>
              </w:rPr>
            </w:pPr>
            <w:r w:rsidRPr="00704258">
              <w:rPr>
                <w:b/>
                <w:bCs/>
                <w:sz w:val="22"/>
                <w:szCs w:val="22"/>
              </w:rPr>
              <w:t>Medium:</w:t>
            </w:r>
            <w:r w:rsidRPr="00704258">
              <w:rPr>
                <w:sz w:val="22"/>
                <w:szCs w:val="22"/>
              </w:rPr>
              <w:t xml:space="preserve"> Localized tracking data loses accuracy or visibility</w:t>
            </w:r>
          </w:p>
        </w:tc>
        <w:tc>
          <w:tcPr>
            <w:tcW w:w="0" w:type="auto"/>
            <w:tcBorders>
              <w:bottom w:val="single" w:sz="6" w:space="0" w:color="363840"/>
            </w:tcBorders>
            <w:vAlign w:val="center"/>
            <w:hideMark/>
          </w:tcPr>
          <w:p w14:paraId="0A45B85A" w14:textId="77777777" w:rsidR="00704258" w:rsidRPr="00704258" w:rsidRDefault="00704258" w:rsidP="00704258">
            <w:pPr>
              <w:rPr>
                <w:sz w:val="22"/>
                <w:szCs w:val="22"/>
              </w:rPr>
            </w:pPr>
            <w:r w:rsidRPr="00704258">
              <w:rPr>
                <w:sz w:val="22"/>
                <w:szCs w:val="22"/>
              </w:rPr>
              <w:t>Hardware Root of Trust; mutual TLS (</w:t>
            </w:r>
            <w:proofErr w:type="spellStart"/>
            <w:r w:rsidRPr="00704258">
              <w:rPr>
                <w:sz w:val="22"/>
                <w:szCs w:val="22"/>
              </w:rPr>
              <w:t>mTLS</w:t>
            </w:r>
            <w:proofErr w:type="spellEnd"/>
            <w:r w:rsidRPr="00704258">
              <w:rPr>
                <w:sz w:val="22"/>
                <w:szCs w:val="22"/>
              </w:rPr>
              <w:t>) certificate validation; code-signing verification</w:t>
            </w:r>
          </w:p>
        </w:tc>
      </w:tr>
      <w:tr w:rsidR="00704258" w:rsidRPr="00704258" w14:paraId="42312445" w14:textId="77777777">
        <w:trPr>
          <w:tblCellSpacing w:w="15" w:type="dxa"/>
        </w:trPr>
        <w:tc>
          <w:tcPr>
            <w:tcW w:w="0" w:type="auto"/>
            <w:tcBorders>
              <w:bottom w:val="nil"/>
            </w:tcBorders>
            <w:vAlign w:val="center"/>
            <w:hideMark/>
          </w:tcPr>
          <w:p w14:paraId="285AB103" w14:textId="77777777" w:rsidR="00704258" w:rsidRPr="00704258" w:rsidRDefault="00704258" w:rsidP="00704258">
            <w:pPr>
              <w:rPr>
                <w:sz w:val="22"/>
                <w:szCs w:val="22"/>
              </w:rPr>
            </w:pPr>
            <w:r w:rsidRPr="00704258">
              <w:rPr>
                <w:b/>
                <w:bCs/>
                <w:sz w:val="22"/>
                <w:szCs w:val="22"/>
              </w:rPr>
              <w:t>Class D: End User Endpoints</w:t>
            </w:r>
          </w:p>
        </w:tc>
        <w:tc>
          <w:tcPr>
            <w:tcW w:w="0" w:type="auto"/>
            <w:tcBorders>
              <w:bottom w:val="nil"/>
            </w:tcBorders>
            <w:vAlign w:val="center"/>
            <w:hideMark/>
          </w:tcPr>
          <w:p w14:paraId="3A4584E0" w14:textId="77777777" w:rsidR="00704258" w:rsidRPr="00704258" w:rsidRDefault="00704258" w:rsidP="00704258">
            <w:pPr>
              <w:rPr>
                <w:sz w:val="22"/>
                <w:szCs w:val="22"/>
              </w:rPr>
            </w:pPr>
            <w:r w:rsidRPr="00704258">
              <w:rPr>
                <w:sz w:val="22"/>
                <w:szCs w:val="22"/>
              </w:rPr>
              <w:t>Remote Corporate Laptops, Contractor Phones, Logistics Terminals</w:t>
            </w:r>
          </w:p>
        </w:tc>
        <w:tc>
          <w:tcPr>
            <w:tcW w:w="0" w:type="auto"/>
            <w:tcBorders>
              <w:bottom w:val="nil"/>
            </w:tcBorders>
            <w:vAlign w:val="center"/>
            <w:hideMark/>
          </w:tcPr>
          <w:p w14:paraId="1807557A" w14:textId="77777777" w:rsidR="00704258" w:rsidRPr="00704258" w:rsidRDefault="00704258" w:rsidP="00704258">
            <w:pPr>
              <w:rPr>
                <w:sz w:val="22"/>
                <w:szCs w:val="22"/>
              </w:rPr>
            </w:pPr>
            <w:r w:rsidRPr="00704258">
              <w:rPr>
                <w:b/>
                <w:bCs/>
                <w:sz w:val="22"/>
                <w:szCs w:val="22"/>
              </w:rPr>
              <w:t>Medium:</w:t>
            </w:r>
            <w:r w:rsidRPr="00704258">
              <w:rPr>
                <w:sz w:val="22"/>
                <w:szCs w:val="22"/>
              </w:rPr>
              <w:t xml:space="preserve"> Localized entry point for corporate data breaches</w:t>
            </w:r>
          </w:p>
        </w:tc>
        <w:tc>
          <w:tcPr>
            <w:tcW w:w="0" w:type="auto"/>
            <w:tcBorders>
              <w:bottom w:val="nil"/>
            </w:tcBorders>
            <w:vAlign w:val="center"/>
            <w:hideMark/>
          </w:tcPr>
          <w:p w14:paraId="6C66E376" w14:textId="77777777" w:rsidR="00704258" w:rsidRPr="00704258" w:rsidRDefault="00704258" w:rsidP="00704258">
            <w:pPr>
              <w:rPr>
                <w:sz w:val="22"/>
                <w:szCs w:val="22"/>
              </w:rPr>
            </w:pPr>
            <w:r w:rsidRPr="00704258">
              <w:rPr>
                <w:sz w:val="22"/>
                <w:szCs w:val="22"/>
              </w:rPr>
              <w:t xml:space="preserve">Mobile Device Management (MDM) </w:t>
            </w:r>
            <w:proofErr w:type="spellStart"/>
            <w:r w:rsidRPr="00704258">
              <w:rPr>
                <w:sz w:val="22"/>
                <w:szCs w:val="22"/>
              </w:rPr>
              <w:t>enrollment</w:t>
            </w:r>
            <w:proofErr w:type="spellEnd"/>
            <w:r w:rsidRPr="00704258">
              <w:rPr>
                <w:sz w:val="22"/>
                <w:szCs w:val="22"/>
              </w:rPr>
              <w:t>; EDR agents; network-level isolation</w:t>
            </w:r>
          </w:p>
        </w:tc>
      </w:tr>
    </w:tbl>
    <w:p w14:paraId="72495563" w14:textId="77777777" w:rsidR="00704258" w:rsidRPr="00704258" w:rsidRDefault="00704258" w:rsidP="00704258">
      <w:pPr>
        <w:rPr>
          <w:b/>
          <w:bCs/>
          <w:sz w:val="22"/>
          <w:szCs w:val="22"/>
        </w:rPr>
      </w:pPr>
      <w:r w:rsidRPr="00704258">
        <w:rPr>
          <w:b/>
          <w:bCs/>
          <w:sz w:val="22"/>
          <w:szCs w:val="22"/>
        </w:rPr>
        <w:t>3.5 Protection Mechanisms and Access Controls</w:t>
      </w:r>
    </w:p>
    <w:p w14:paraId="025DAD81" w14:textId="77777777" w:rsidR="00704258" w:rsidRPr="00704258" w:rsidRDefault="00704258" w:rsidP="00704258">
      <w:pPr>
        <w:rPr>
          <w:sz w:val="22"/>
          <w:szCs w:val="22"/>
        </w:rPr>
      </w:pPr>
      <w:r w:rsidRPr="00704258">
        <w:rPr>
          <w:sz w:val="22"/>
          <w:szCs w:val="22"/>
        </w:rPr>
        <w:t xml:space="preserve">To secure unmanaged devices and remote endpoints, ALL will implement a strict </w:t>
      </w:r>
      <w:r w:rsidRPr="00704258">
        <w:rPr>
          <w:b/>
          <w:bCs/>
          <w:sz w:val="22"/>
          <w:szCs w:val="22"/>
        </w:rPr>
        <w:t>Zero Trust Architecture (ZTA)</w:t>
      </w:r>
      <w:r w:rsidRPr="00704258">
        <w:rPr>
          <w:sz w:val="22"/>
          <w:szCs w:val="22"/>
        </w:rPr>
        <w:t>, replacing old perimeter-based security models.</w:t>
      </w:r>
    </w:p>
    <w:p w14:paraId="5ED5EF20" w14:textId="77777777" w:rsidR="00704258" w:rsidRPr="00704258" w:rsidRDefault="00704258" w:rsidP="00704258">
      <w:pPr>
        <w:rPr>
          <w:sz w:val="22"/>
          <w:szCs w:val="22"/>
        </w:rPr>
      </w:pPr>
      <w:r w:rsidRPr="00704258">
        <w:rPr>
          <w:sz w:val="22"/>
          <w:szCs w:val="22"/>
        </w:rPr>
        <w:t>[Remote Worker / Unmanaged Device]</w:t>
      </w:r>
    </w:p>
    <w:p w14:paraId="5043807C" w14:textId="5CD450D7" w:rsidR="00704258" w:rsidRPr="00704258" w:rsidRDefault="00704258" w:rsidP="00704258">
      <w:pPr>
        <w:rPr>
          <w:sz w:val="22"/>
          <w:szCs w:val="22"/>
        </w:rPr>
      </w:pPr>
      <w:r w:rsidRPr="00704258">
        <w:rPr>
          <w:sz w:val="22"/>
          <w:szCs w:val="22"/>
        </w:rPr>
        <w:t xml:space="preserve">             </w:t>
      </w:r>
      <w:r w:rsidR="45656C0D">
        <w:rPr>
          <w:noProof/>
        </w:rPr>
        <mc:AlternateContent>
          <mc:Choice Requires="wps">
            <w:drawing>
              <wp:inline distT="0" distB="0" distL="0" distR="0" wp14:anchorId="7DA15E71" wp14:editId="0587BD77">
                <wp:extent cx="9525" cy="273050"/>
                <wp:effectExtent l="38100" t="0" r="66675" b="50800"/>
                <wp:docPr id="2059729653" name="Straight Arrow Connector 3"/>
                <wp:cNvGraphicFramePr/>
                <a:graphic xmlns:a="http://schemas.openxmlformats.org/drawingml/2006/main">
                  <a:graphicData uri="http://schemas.microsoft.com/office/word/2010/wordprocessingShape">
                    <wps:wsp>
                      <wps:cNvCnPr/>
                      <wps:spPr>
                        <a:xfrm>
                          <a:off x="0" y="0"/>
                          <a:ext cx="9525" cy="2730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inline>
            </w:drawing>
          </mc:Choice>
          <mc:Fallback>
            <w:pict>
              <v:shape w14:anchorId="0E453F6D" id="Straight Arrow Connector 3" o:spid="_x0000_s1026" type="#_x0000_t32" style="width:.75pt;height:21.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nvwEAAM0DAAAOAAAAZHJzL2Uyb0RvYy54bWysU8uu0zAQ3SPxD5b3NGlQeURN76IX2CC4&#10;4vEBvs44seSX7KFJ/p6x26YIEEiIzcSPOXPOHE/2d7M17AQxae86vt3UnIGTvtdu6PjXL2+fveIs&#10;oXC9MN5BxxdI/O7w9Ml+Ci00fvSmh8ioiEvtFDo+Ioa2qpIcwYq08QEcXSofrUDaxqHqo5ioujVV&#10;U9cvqsnHPkQvISU6vT9f8kOprxRI/KhUAmSm46QNS4wlPuZYHfaiHaIIo5YXGeIfVFihHZGupe4F&#10;CvYt6l9KWS2jT17hRnpbeaW0hNIDdbOtf+rm8ygClF7InBRWm9L/Kys/nI7uIZINU0htCg8xdzGr&#10;aPOX9LG5mLWsZsGMTNLh612z40zSRfPyeb0rVlY3aIgJ34G3LC86njAKPYx49M7Ro/i4LXaJ0/uE&#10;RE7AKyDzGpcjCm3euJ7hEmhyMGrhBgP5ySg9p1Q3zWWFi4Ez/BMopntS2RSaMk5wNJGdBA2CkBIc&#10;btdKlJ1hShuzAuu/Ay/5GQpl1Fbwubk/sq6IwuwdrmCrnY+/Y8f5Klmd868OnPvOFjz6fimvWayh&#10;mSleXeY7D+WP+wK//YWH7wAAAP//AwBQSwMEFAAGAAgAAAAhAANiwl/XAAAAAgEAAA8AAABkcnMv&#10;ZG93bnJldi54bWxMj81KxEAQhO+C7zC04M2d+MsSM1k04FHEuLrXSaZNgjM9Id2bjW/vrBe9NBRV&#10;VH1dbJbg1YwTD5EMXK4yUEhtdAN1BrZvTxdrUCyWnPWR0MA3MmzK05PC5i4e6BXnWjqVSohza6AX&#10;GXOtue0xWF7FESl5n3EKVpKcOu0me0jlweurLLvTwQ6UFno7YtVj+1Xvg4H3XRh36+1z9VjX3FTc&#10;vHj5mI05P1se7kEJLvIXhiN+QocyMTVxT46VN5Aekd979G5BNQZurjPQZaH/o5c/AAAA//8DAFBL&#10;AQItABQABgAIAAAAIQC2gziS/gAAAOEBAAATAAAAAAAAAAAAAAAAAAAAAABbQ29udGVudF9UeXBl&#10;c10ueG1sUEsBAi0AFAAGAAgAAAAhADj9If/WAAAAlAEAAAsAAAAAAAAAAAAAAAAALwEAAF9yZWxz&#10;Ly5yZWxzUEsBAi0AFAAGAAgAAAAhAP74Fue/AQAAzQMAAA4AAAAAAAAAAAAAAAAALgIAAGRycy9l&#10;Mm9Eb2MueG1sUEsBAi0AFAAGAAgAAAAhAANiwl/XAAAAAgEAAA8AAAAAAAAAAAAAAAAAGQQAAGRy&#10;cy9kb3ducmV2LnhtbFBLBQYAAAAABAAEAPMAAAAdBQAAAAA=&#10;" strokecolor="#156082 [3204]" strokeweight="1.5pt">
                <v:stroke endarrow="block" joinstyle="miter"/>
                <w10:anchorlock/>
              </v:shape>
            </w:pict>
          </mc:Fallback>
        </mc:AlternateContent>
      </w:r>
    </w:p>
    <w:p w14:paraId="7967B7E7" w14:textId="77777777" w:rsidR="00704258" w:rsidRPr="00704258" w:rsidRDefault="00704258" w:rsidP="00704258">
      <w:pPr>
        <w:rPr>
          <w:sz w:val="22"/>
          <w:szCs w:val="22"/>
        </w:rPr>
      </w:pPr>
      <w:r w:rsidRPr="00704258">
        <w:rPr>
          <w:sz w:val="22"/>
          <w:szCs w:val="22"/>
        </w:rPr>
        <w:t>[Identity Verification] ----&gt; MFA Token &amp; Cryptographic Certificate Validation</w:t>
      </w:r>
    </w:p>
    <w:p w14:paraId="1B07100E" w14:textId="0B93FE44" w:rsidR="00704258" w:rsidRPr="00704258" w:rsidRDefault="00704258" w:rsidP="00704258">
      <w:pPr>
        <w:rPr>
          <w:sz w:val="22"/>
          <w:szCs w:val="22"/>
        </w:rPr>
      </w:pPr>
      <w:r w:rsidRPr="00704258">
        <w:rPr>
          <w:sz w:val="22"/>
          <w:szCs w:val="22"/>
        </w:rPr>
        <w:t xml:space="preserve">             </w:t>
      </w:r>
      <w:r w:rsidR="20DBA4DE">
        <w:rPr>
          <w:noProof/>
        </w:rPr>
        <mc:AlternateContent>
          <mc:Choice Requires="wps">
            <w:drawing>
              <wp:inline distT="0" distB="0" distL="0" distR="0" wp14:anchorId="3CCE6743" wp14:editId="7C21F677">
                <wp:extent cx="9525" cy="273050"/>
                <wp:effectExtent l="38100" t="0" r="66675" b="50800"/>
                <wp:docPr id="1579552955" name="Straight Arrow Connector 3"/>
                <wp:cNvGraphicFramePr/>
                <a:graphic xmlns:a="http://schemas.openxmlformats.org/drawingml/2006/main">
                  <a:graphicData uri="http://schemas.microsoft.com/office/word/2010/wordprocessingShape">
                    <wps:wsp>
                      <wps:cNvCnPr/>
                      <wps:spPr>
                        <a:xfrm>
                          <a:off x="0" y="0"/>
                          <a:ext cx="9525" cy="2730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inline>
            </w:drawing>
          </mc:Choice>
          <mc:Fallback>
            <w:pict>
              <v:shape w14:anchorId="64EDC6C1" id="Straight Arrow Connector 3" o:spid="_x0000_s1026" type="#_x0000_t32" style="width:.75pt;height:21.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nvwEAAM0DAAAOAAAAZHJzL2Uyb0RvYy54bWysU8uu0zAQ3SPxD5b3NGlQeURN76IX2CC4&#10;4vEBvs44seSX7KFJ/p6x26YIEEiIzcSPOXPOHE/2d7M17AQxae86vt3UnIGTvtdu6PjXL2+fveIs&#10;oXC9MN5BxxdI/O7w9Ml+Ci00fvSmh8ioiEvtFDo+Ioa2qpIcwYq08QEcXSofrUDaxqHqo5ioujVV&#10;U9cvqsnHPkQvISU6vT9f8kOprxRI/KhUAmSm46QNS4wlPuZYHfaiHaIIo5YXGeIfVFihHZGupe4F&#10;CvYt6l9KWS2jT17hRnpbeaW0hNIDdbOtf+rm8ygClF7InBRWm9L/Kys/nI7uIZINU0htCg8xdzGr&#10;aPOX9LG5mLWsZsGMTNLh612z40zSRfPyeb0rVlY3aIgJ34G3LC86njAKPYx49M7Ro/i4LXaJ0/uE&#10;RE7AKyDzGpcjCm3euJ7hEmhyMGrhBgP5ySg9p1Q3zWWFi4Ez/BMopntS2RSaMk5wNJGdBA2CkBIc&#10;btdKlJ1hShuzAuu/Ay/5GQpl1Fbwubk/sq6IwuwdrmCrnY+/Y8f5Klmd868OnPvOFjz6fimvWayh&#10;mSleXeY7D+WP+wK//YWH7wAAAP//AwBQSwMEFAAGAAgAAAAhAANiwl/XAAAAAgEAAA8AAABkcnMv&#10;ZG93bnJldi54bWxMj81KxEAQhO+C7zC04M2d+MsSM1k04FHEuLrXSaZNgjM9Id2bjW/vrBe9NBRV&#10;VH1dbJbg1YwTD5EMXK4yUEhtdAN1BrZvTxdrUCyWnPWR0MA3MmzK05PC5i4e6BXnWjqVSohza6AX&#10;GXOtue0xWF7FESl5n3EKVpKcOu0me0jlweurLLvTwQ6UFno7YtVj+1Xvg4H3XRh36+1z9VjX3FTc&#10;vHj5mI05P1se7kEJLvIXhiN+QocyMTVxT46VN5Aekd979G5BNQZurjPQZaH/o5c/AAAA//8DAFBL&#10;AQItABQABgAIAAAAIQC2gziS/gAAAOEBAAATAAAAAAAAAAAAAAAAAAAAAABbQ29udGVudF9UeXBl&#10;c10ueG1sUEsBAi0AFAAGAAgAAAAhADj9If/WAAAAlAEAAAsAAAAAAAAAAAAAAAAALwEAAF9yZWxz&#10;Ly5yZWxzUEsBAi0AFAAGAAgAAAAhAP74Fue/AQAAzQMAAA4AAAAAAAAAAAAAAAAALgIAAGRycy9l&#10;Mm9Eb2MueG1sUEsBAi0AFAAGAAgAAAAhAANiwl/XAAAAAgEAAA8AAAAAAAAAAAAAAAAAGQQAAGRy&#10;cy9kb3ducmV2LnhtbFBLBQYAAAAABAAEAPMAAAAdBQAAAAA=&#10;" strokecolor="#156082 [3204]" strokeweight="1.5pt">
                <v:stroke endarrow="block" joinstyle="miter"/>
                <w10:anchorlock/>
              </v:shape>
            </w:pict>
          </mc:Fallback>
        </mc:AlternateContent>
      </w:r>
    </w:p>
    <w:p w14:paraId="05D1DC30" w14:textId="77777777" w:rsidR="00704258" w:rsidRPr="00704258" w:rsidRDefault="00704258" w:rsidP="00704258">
      <w:pPr>
        <w:rPr>
          <w:sz w:val="22"/>
          <w:szCs w:val="22"/>
        </w:rPr>
      </w:pPr>
      <w:r w:rsidRPr="00704258">
        <w:rPr>
          <w:sz w:val="22"/>
          <w:szCs w:val="22"/>
        </w:rPr>
        <w:t>[Device Posture Assessment] -&gt; Check OS Patch, EDR Status, &amp; Disk Encryption</w:t>
      </w:r>
    </w:p>
    <w:p w14:paraId="5EF8DC9A" w14:textId="7483243B" w:rsidR="00704258" w:rsidRPr="00704258" w:rsidRDefault="00704258" w:rsidP="00704258">
      <w:pPr>
        <w:rPr>
          <w:sz w:val="22"/>
          <w:szCs w:val="22"/>
        </w:rPr>
      </w:pPr>
      <w:r w:rsidRPr="00704258">
        <w:rPr>
          <w:sz w:val="22"/>
          <w:szCs w:val="22"/>
        </w:rPr>
        <w:t xml:space="preserve">            </w:t>
      </w:r>
      <w:r w:rsidR="2BB2D26D">
        <w:rPr>
          <w:noProof/>
        </w:rPr>
        <mc:AlternateContent>
          <mc:Choice Requires="wps">
            <w:drawing>
              <wp:inline distT="0" distB="0" distL="0" distR="0" wp14:anchorId="46C38FAC" wp14:editId="23B7CFBC">
                <wp:extent cx="9525" cy="273050"/>
                <wp:effectExtent l="38100" t="0" r="66675" b="50800"/>
                <wp:docPr id="1799063159" name="Straight Arrow Connector 3"/>
                <wp:cNvGraphicFramePr/>
                <a:graphic xmlns:a="http://schemas.openxmlformats.org/drawingml/2006/main">
                  <a:graphicData uri="http://schemas.microsoft.com/office/word/2010/wordprocessingShape">
                    <wps:wsp>
                      <wps:cNvCnPr/>
                      <wps:spPr>
                        <a:xfrm>
                          <a:off x="0" y="0"/>
                          <a:ext cx="9525" cy="2730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inline>
            </w:drawing>
          </mc:Choice>
          <mc:Fallback>
            <w:pict>
              <v:shape w14:anchorId="7E55F195" id="Straight Arrow Connector 3" o:spid="_x0000_s1026" type="#_x0000_t32" style="width:.75pt;height:21.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nvwEAAM0DAAAOAAAAZHJzL2Uyb0RvYy54bWysU8uu0zAQ3SPxD5b3NGlQeURN76IX2CC4&#10;4vEBvs44seSX7KFJ/p6x26YIEEiIzcSPOXPOHE/2d7M17AQxae86vt3UnIGTvtdu6PjXL2+fveIs&#10;oXC9MN5BxxdI/O7w9Ml+Ci00fvSmh8ioiEvtFDo+Ioa2qpIcwYq08QEcXSofrUDaxqHqo5ioujVV&#10;U9cvqsnHPkQvISU6vT9f8kOprxRI/KhUAmSm46QNS4wlPuZYHfaiHaIIo5YXGeIfVFihHZGupe4F&#10;CvYt6l9KWS2jT17hRnpbeaW0hNIDdbOtf+rm8ygClF7InBRWm9L/Kys/nI7uIZINU0htCg8xdzGr&#10;aPOX9LG5mLWsZsGMTNLh612z40zSRfPyeb0rVlY3aIgJ34G3LC86njAKPYx49M7Ro/i4LXaJ0/uE&#10;RE7AKyDzGpcjCm3euJ7hEmhyMGrhBgP5ySg9p1Q3zWWFi4Ez/BMopntS2RSaMk5wNJGdBA2CkBIc&#10;btdKlJ1hShuzAuu/Ay/5GQpl1Fbwubk/sq6IwuwdrmCrnY+/Y8f5Klmd868OnPvOFjz6fimvWayh&#10;mSleXeY7D+WP+wK//YWH7wAAAP//AwBQSwMEFAAGAAgAAAAhAANiwl/XAAAAAgEAAA8AAABkcnMv&#10;ZG93bnJldi54bWxMj81KxEAQhO+C7zC04M2d+MsSM1k04FHEuLrXSaZNgjM9Id2bjW/vrBe9NBRV&#10;VH1dbJbg1YwTD5EMXK4yUEhtdAN1BrZvTxdrUCyWnPWR0MA3MmzK05PC5i4e6BXnWjqVSohza6AX&#10;GXOtue0xWF7FESl5n3EKVpKcOu0me0jlweurLLvTwQ6UFno7YtVj+1Xvg4H3XRh36+1z9VjX3FTc&#10;vHj5mI05P1se7kEJLvIXhiN+QocyMTVxT46VN5Aekd979G5BNQZurjPQZaH/o5c/AAAA//8DAFBL&#10;AQItABQABgAIAAAAIQC2gziS/gAAAOEBAAATAAAAAAAAAAAAAAAAAAAAAABbQ29udGVudF9UeXBl&#10;c10ueG1sUEsBAi0AFAAGAAgAAAAhADj9If/WAAAAlAEAAAsAAAAAAAAAAAAAAAAALwEAAF9yZWxz&#10;Ly5yZWxzUEsBAi0AFAAGAAgAAAAhAP74Fue/AQAAzQMAAA4AAAAAAAAAAAAAAAAALgIAAGRycy9l&#10;Mm9Eb2MueG1sUEsBAi0AFAAGAAgAAAAhAANiwl/XAAAAAgEAAA8AAAAAAAAAAAAAAAAAGQQAAGRy&#10;cy9kb3ducmV2LnhtbFBLBQYAAAAABAAEAPMAAAAdBQAAAAA=&#10;" strokecolor="#156082 [3204]" strokeweight="1.5pt">
                <v:stroke endarrow="block" joinstyle="miter"/>
                <w10:anchorlock/>
              </v:shape>
            </w:pict>
          </mc:Fallback>
        </mc:AlternateContent>
      </w:r>
    </w:p>
    <w:p w14:paraId="3CEBDD8B" w14:textId="77777777" w:rsidR="00704258" w:rsidRPr="00704258" w:rsidRDefault="00704258" w:rsidP="00704258">
      <w:pPr>
        <w:rPr>
          <w:sz w:val="22"/>
          <w:szCs w:val="22"/>
        </w:rPr>
      </w:pPr>
      <w:r w:rsidRPr="00704258">
        <w:rPr>
          <w:sz w:val="22"/>
          <w:szCs w:val="22"/>
        </w:rPr>
        <w:lastRenderedPageBreak/>
        <w:t>[SASE Gateway / PEP] -------&gt; Contextual Access Control Engine (Enforces Least Privilege)</w:t>
      </w:r>
    </w:p>
    <w:p w14:paraId="3F9EFFCD" w14:textId="08711D00" w:rsidR="00704258" w:rsidRPr="00704258" w:rsidRDefault="00704258" w:rsidP="00704258">
      <w:pPr>
        <w:rPr>
          <w:sz w:val="22"/>
          <w:szCs w:val="22"/>
        </w:rPr>
      </w:pPr>
      <w:r w:rsidRPr="00704258">
        <w:rPr>
          <w:sz w:val="22"/>
          <w:szCs w:val="22"/>
        </w:rPr>
        <w:t xml:space="preserve">              </w:t>
      </w:r>
    </w:p>
    <w:p w14:paraId="51C8414D" w14:textId="77777777" w:rsidR="00704258" w:rsidRPr="00704258" w:rsidRDefault="00704258" w:rsidP="00704258">
      <w:pPr>
        <w:rPr>
          <w:sz w:val="22"/>
          <w:szCs w:val="22"/>
        </w:rPr>
      </w:pPr>
      <w:r w:rsidRPr="00704258">
        <w:rPr>
          <w:sz w:val="22"/>
          <w:szCs w:val="22"/>
        </w:rPr>
        <w:t xml:space="preserve">              +----&gt; Micro-Segmented Cloud Network (AWS / Azure Services Only)</w:t>
      </w:r>
    </w:p>
    <w:p w14:paraId="0A7DFB0C" w14:textId="77777777" w:rsidR="00704258" w:rsidRPr="00704258" w:rsidRDefault="00704258" w:rsidP="00704258">
      <w:pPr>
        <w:rPr>
          <w:sz w:val="22"/>
          <w:szCs w:val="22"/>
        </w:rPr>
      </w:pPr>
      <w:r w:rsidRPr="00704258">
        <w:rPr>
          <w:sz w:val="22"/>
          <w:szCs w:val="22"/>
        </w:rPr>
        <w:t xml:space="preserve">              +----&gt; Specific Operational SaaS Target (Salesforce / SAP ERP Only)</w:t>
      </w:r>
    </w:p>
    <w:p w14:paraId="1E14A732" w14:textId="77777777" w:rsidR="00704258" w:rsidRPr="00704258" w:rsidRDefault="00704258" w:rsidP="00704258">
      <w:pPr>
        <w:numPr>
          <w:ilvl w:val="0"/>
          <w:numId w:val="6"/>
        </w:numPr>
        <w:rPr>
          <w:sz w:val="22"/>
          <w:szCs w:val="22"/>
        </w:rPr>
      </w:pPr>
      <w:r w:rsidRPr="00704258">
        <w:rPr>
          <w:b/>
          <w:bCs/>
          <w:sz w:val="22"/>
          <w:szCs w:val="22"/>
        </w:rPr>
        <w:t>Identity Verification and MFA:</w:t>
      </w:r>
      <w:r w:rsidRPr="00704258">
        <w:rPr>
          <w:sz w:val="22"/>
          <w:szCs w:val="22"/>
        </w:rPr>
        <w:t xml:space="preserve"> Context-aware, phish-resistant Multi-Factor Authentication (MFA) will be enforced globally. Every user—including external suppliers—must authenticate via cryptographic hardware tokens or approved authenticator applications.</w:t>
      </w:r>
    </w:p>
    <w:p w14:paraId="195EE69C" w14:textId="77777777" w:rsidR="00704258" w:rsidRPr="00704258" w:rsidRDefault="00704258" w:rsidP="00704258">
      <w:pPr>
        <w:numPr>
          <w:ilvl w:val="0"/>
          <w:numId w:val="6"/>
        </w:numPr>
        <w:rPr>
          <w:sz w:val="22"/>
          <w:szCs w:val="22"/>
        </w:rPr>
      </w:pPr>
      <w:r w:rsidRPr="00704258">
        <w:rPr>
          <w:b/>
          <w:bCs/>
          <w:sz w:val="22"/>
          <w:szCs w:val="22"/>
        </w:rPr>
        <w:t>Secure Access Service Edge (SASE) Gateways:</w:t>
      </w:r>
      <w:r w:rsidRPr="00704258">
        <w:rPr>
          <w:sz w:val="22"/>
          <w:szCs w:val="22"/>
        </w:rPr>
        <w:t xml:space="preserve"> Access to ALL’s cloud environments will be routed through Cloud-native SASE gateways. These gateways evaluate device posture (such as OS patch version and antivirus status) before granting access. Unmanaged devices failing these checks are placed into an isolated remediation network.</w:t>
      </w:r>
    </w:p>
    <w:p w14:paraId="68C1A00C" w14:textId="77777777" w:rsidR="00704258" w:rsidRPr="00704258" w:rsidRDefault="00704258" w:rsidP="00704258">
      <w:pPr>
        <w:numPr>
          <w:ilvl w:val="0"/>
          <w:numId w:val="6"/>
        </w:numPr>
        <w:rPr>
          <w:sz w:val="22"/>
          <w:szCs w:val="22"/>
        </w:rPr>
      </w:pPr>
      <w:r w:rsidRPr="00704258">
        <w:rPr>
          <w:b/>
          <w:bCs/>
          <w:sz w:val="22"/>
          <w:szCs w:val="22"/>
        </w:rPr>
        <w:t>Network Micro-segmentation:</w:t>
      </w:r>
      <w:r w:rsidRPr="00704258">
        <w:rPr>
          <w:sz w:val="22"/>
          <w:szCs w:val="22"/>
        </w:rPr>
        <w:t xml:space="preserve"> ALL's cloud footprint will be divided into isolated zones. Web-facing collection portals for IoT data will be completely separated from production databases storing customer PII.</w:t>
      </w:r>
    </w:p>
    <w:p w14:paraId="6725E118" w14:textId="77777777" w:rsidR="00704258" w:rsidRPr="00704258" w:rsidRDefault="00704258" w:rsidP="00704258">
      <w:pPr>
        <w:numPr>
          <w:ilvl w:val="0"/>
          <w:numId w:val="6"/>
        </w:numPr>
        <w:rPr>
          <w:sz w:val="22"/>
          <w:szCs w:val="22"/>
        </w:rPr>
      </w:pPr>
      <w:r w:rsidRPr="00704258">
        <w:rPr>
          <w:b/>
          <w:bCs/>
          <w:sz w:val="22"/>
          <w:szCs w:val="22"/>
        </w:rPr>
        <w:t>Cryptographic Protection Standards:</w:t>
      </w:r>
      <w:r w:rsidRPr="00704258">
        <w:rPr>
          <w:sz w:val="22"/>
          <w:szCs w:val="22"/>
        </w:rPr>
        <w:t xml:space="preserve"> Data at rest within IaaS databases must use AES-</w:t>
      </w:r>
      <w:proofErr w:type="gramStart"/>
      <w:r w:rsidRPr="00704258">
        <w:rPr>
          <w:sz w:val="22"/>
          <w:szCs w:val="22"/>
        </w:rPr>
        <w:t>256 bit</w:t>
      </w:r>
      <w:proofErr w:type="gramEnd"/>
      <w:r w:rsidRPr="00704258">
        <w:rPr>
          <w:sz w:val="22"/>
          <w:szCs w:val="22"/>
        </w:rPr>
        <w:t xml:space="preserve"> encryption with customer-managed keys (CMK) via cloud Key Management Services (KMS). All data in transit—including telemetry from IoT edge sensors—must be encrypted using TLS 1.3.</w:t>
      </w:r>
    </w:p>
    <w:p w14:paraId="333955C6" w14:textId="77777777" w:rsidR="00704258" w:rsidRPr="00704258" w:rsidRDefault="00704258" w:rsidP="00704258">
      <w:pPr>
        <w:rPr>
          <w:b/>
          <w:bCs/>
          <w:sz w:val="22"/>
          <w:szCs w:val="22"/>
        </w:rPr>
      </w:pPr>
      <w:r w:rsidRPr="00704258">
        <w:rPr>
          <w:b/>
          <w:bCs/>
          <w:sz w:val="22"/>
          <w:szCs w:val="22"/>
        </w:rPr>
        <w:t>3.6 Vendor and Service Level Agreement (SLA) Management</w:t>
      </w:r>
    </w:p>
    <w:p w14:paraId="399C50AA" w14:textId="77777777" w:rsidR="00704258" w:rsidRPr="00704258" w:rsidRDefault="00704258" w:rsidP="00704258">
      <w:pPr>
        <w:rPr>
          <w:sz w:val="22"/>
          <w:szCs w:val="22"/>
        </w:rPr>
      </w:pPr>
      <w:r w:rsidRPr="00704258">
        <w:rPr>
          <w:sz w:val="22"/>
          <w:szCs w:val="22"/>
        </w:rPr>
        <w:t xml:space="preserve">Given ALL's 88% outsourced infrastructure, vendor compliance is a critical priority. The AUSGF introduces a formal </w:t>
      </w:r>
      <w:r w:rsidRPr="00704258">
        <w:rPr>
          <w:b/>
          <w:bCs/>
          <w:sz w:val="22"/>
          <w:szCs w:val="22"/>
        </w:rPr>
        <w:t>Vendor Security Assurance Program (VSAP)</w:t>
      </w:r>
      <w:r w:rsidRPr="00704258">
        <w:rPr>
          <w:sz w:val="22"/>
          <w:szCs w:val="22"/>
        </w:rPr>
        <w:t xml:space="preserve"> based on the ISO/IEC 27001 Annex A.5.23 standard:</w:t>
      </w:r>
    </w:p>
    <w:p w14:paraId="3CCF6B64" w14:textId="77777777" w:rsidR="00704258" w:rsidRPr="00704258" w:rsidRDefault="00704258" w:rsidP="00704258">
      <w:pPr>
        <w:numPr>
          <w:ilvl w:val="0"/>
          <w:numId w:val="7"/>
        </w:numPr>
        <w:rPr>
          <w:sz w:val="22"/>
          <w:szCs w:val="22"/>
        </w:rPr>
      </w:pPr>
      <w:r w:rsidRPr="00704258">
        <w:rPr>
          <w:b/>
          <w:bCs/>
          <w:sz w:val="22"/>
          <w:szCs w:val="22"/>
        </w:rPr>
        <w:t>Mandatory Security Assessments:</w:t>
      </w:r>
      <w:r w:rsidRPr="00704258">
        <w:rPr>
          <w:sz w:val="22"/>
          <w:szCs w:val="22"/>
        </w:rPr>
        <w:t xml:space="preserve"> All IaaS and SaaS vendors must provide valid, independent SOC 2 Type II and ISO 27001 certification reports annually.</w:t>
      </w:r>
    </w:p>
    <w:p w14:paraId="7C57A8CD" w14:textId="77777777" w:rsidR="00704258" w:rsidRPr="00704258" w:rsidRDefault="00704258" w:rsidP="00704258">
      <w:pPr>
        <w:numPr>
          <w:ilvl w:val="0"/>
          <w:numId w:val="7"/>
        </w:numPr>
        <w:rPr>
          <w:sz w:val="22"/>
          <w:szCs w:val="22"/>
        </w:rPr>
      </w:pPr>
      <w:r w:rsidRPr="00704258">
        <w:rPr>
          <w:b/>
          <w:bCs/>
          <w:sz w:val="22"/>
          <w:szCs w:val="22"/>
        </w:rPr>
        <w:t>Contractual Security Requirements (SLA Core Terms):</w:t>
      </w:r>
    </w:p>
    <w:p w14:paraId="49F3B9A2" w14:textId="77777777" w:rsidR="00704258" w:rsidRPr="00704258" w:rsidRDefault="00704258" w:rsidP="00704258">
      <w:pPr>
        <w:numPr>
          <w:ilvl w:val="1"/>
          <w:numId w:val="7"/>
        </w:numPr>
        <w:rPr>
          <w:sz w:val="22"/>
          <w:szCs w:val="22"/>
        </w:rPr>
      </w:pPr>
      <w:r w:rsidRPr="00704258">
        <w:rPr>
          <w:i/>
          <w:iCs/>
          <w:sz w:val="22"/>
          <w:szCs w:val="22"/>
        </w:rPr>
        <w:t>Security Incident Notification:</w:t>
      </w:r>
      <w:r w:rsidRPr="00704258">
        <w:rPr>
          <w:sz w:val="22"/>
          <w:szCs w:val="22"/>
        </w:rPr>
        <w:t xml:space="preserve"> Vendors must legally notify ALL’s CISO within </w:t>
      </w:r>
      <w:r w:rsidRPr="00704258">
        <w:rPr>
          <w:b/>
          <w:bCs/>
          <w:sz w:val="22"/>
          <w:szCs w:val="22"/>
        </w:rPr>
        <w:t>2 hours</w:t>
      </w:r>
      <w:r w:rsidRPr="00704258">
        <w:rPr>
          <w:sz w:val="22"/>
          <w:szCs w:val="22"/>
        </w:rPr>
        <w:t xml:space="preserve"> of detecting any potential data breach or security anomaly.</w:t>
      </w:r>
    </w:p>
    <w:p w14:paraId="26254AC1" w14:textId="77777777" w:rsidR="00704258" w:rsidRPr="00704258" w:rsidRDefault="00704258" w:rsidP="00704258">
      <w:pPr>
        <w:numPr>
          <w:ilvl w:val="1"/>
          <w:numId w:val="7"/>
        </w:numPr>
        <w:rPr>
          <w:sz w:val="22"/>
          <w:szCs w:val="22"/>
        </w:rPr>
      </w:pPr>
      <w:r w:rsidRPr="00704258">
        <w:rPr>
          <w:i/>
          <w:iCs/>
          <w:sz w:val="22"/>
          <w:szCs w:val="22"/>
        </w:rPr>
        <w:t>Right to Audit:</w:t>
      </w:r>
      <w:r w:rsidRPr="00704258">
        <w:rPr>
          <w:sz w:val="22"/>
          <w:szCs w:val="22"/>
        </w:rPr>
        <w:t xml:space="preserve"> ALL retains the legal right to perform independent annual vulnerability scans and security configuration audits on all third-party systems hosting company data.</w:t>
      </w:r>
    </w:p>
    <w:p w14:paraId="7FB18BDA" w14:textId="77777777" w:rsidR="00704258" w:rsidRPr="00704258" w:rsidRDefault="00704258" w:rsidP="00704258">
      <w:pPr>
        <w:numPr>
          <w:ilvl w:val="1"/>
          <w:numId w:val="7"/>
        </w:numPr>
        <w:rPr>
          <w:sz w:val="22"/>
          <w:szCs w:val="22"/>
        </w:rPr>
      </w:pPr>
      <w:r w:rsidRPr="00704258">
        <w:rPr>
          <w:i/>
          <w:iCs/>
          <w:sz w:val="22"/>
          <w:szCs w:val="22"/>
        </w:rPr>
        <w:t>Data Return and Deletion:</w:t>
      </w:r>
      <w:r w:rsidRPr="00704258">
        <w:rPr>
          <w:sz w:val="22"/>
          <w:szCs w:val="22"/>
        </w:rPr>
        <w:t xml:space="preserve"> Contracts must include clear instructions for the secure return and certified destruction of data upon agreement termination.</w:t>
      </w:r>
    </w:p>
    <w:p w14:paraId="594F1DCF" w14:textId="77777777" w:rsidR="00704258" w:rsidRPr="00704258" w:rsidRDefault="00704258" w:rsidP="00704258">
      <w:pPr>
        <w:numPr>
          <w:ilvl w:val="0"/>
          <w:numId w:val="7"/>
        </w:numPr>
        <w:rPr>
          <w:sz w:val="22"/>
          <w:szCs w:val="22"/>
        </w:rPr>
      </w:pPr>
      <w:r w:rsidRPr="00704258">
        <w:rPr>
          <w:b/>
          <w:bCs/>
          <w:sz w:val="22"/>
          <w:szCs w:val="22"/>
        </w:rPr>
        <w:t>Continuous Automated Monitoring:</w:t>
      </w:r>
      <w:r w:rsidRPr="00704258">
        <w:rPr>
          <w:sz w:val="22"/>
          <w:szCs w:val="22"/>
        </w:rPr>
        <w:t xml:space="preserve"> ALL will use continuous vendor risk intelligence platforms to actively monitor third-party cloud assets for misconfigurations, leaked credentials, and unpatched vulnerabilities.</w:t>
      </w:r>
    </w:p>
    <w:p w14:paraId="4B377287" w14:textId="77777777" w:rsidR="00704258" w:rsidRPr="00704258" w:rsidRDefault="00704258" w:rsidP="00704258">
      <w:pPr>
        <w:rPr>
          <w:b/>
          <w:bCs/>
          <w:sz w:val="22"/>
          <w:szCs w:val="22"/>
        </w:rPr>
      </w:pPr>
      <w:r w:rsidRPr="00704258">
        <w:rPr>
          <w:b/>
          <w:bCs/>
          <w:sz w:val="22"/>
          <w:szCs w:val="22"/>
        </w:rPr>
        <w:lastRenderedPageBreak/>
        <w:t>3.7 Contingency and Business Continuity Planning (BCP)</w:t>
      </w:r>
    </w:p>
    <w:p w14:paraId="29318733" w14:textId="77777777" w:rsidR="00704258" w:rsidRPr="00704258" w:rsidRDefault="00704258" w:rsidP="00704258">
      <w:pPr>
        <w:rPr>
          <w:sz w:val="22"/>
          <w:szCs w:val="22"/>
        </w:rPr>
      </w:pPr>
      <w:r w:rsidRPr="00704258">
        <w:rPr>
          <w:sz w:val="22"/>
          <w:szCs w:val="22"/>
        </w:rPr>
        <w:t>To protect its global operations from disruptions caused by cloud outages or ransom events, ALL will implement a structured Incident Response and Business Continuity plan.</w:t>
      </w:r>
    </w:p>
    <w:p w14:paraId="6C1C876A" w14:textId="77777777" w:rsidR="00704258" w:rsidRPr="00704258" w:rsidRDefault="00704258" w:rsidP="00704258">
      <w:pPr>
        <w:rPr>
          <w:sz w:val="22"/>
          <w:szCs w:val="22"/>
        </w:rPr>
      </w:pPr>
      <w:r w:rsidRPr="00704258">
        <w:rPr>
          <w:sz w:val="22"/>
          <w:szCs w:val="22"/>
        </w:rPr>
        <w:t xml:space="preserve">       [ Phase 1: Detection &amp; </w:t>
      </w:r>
      <w:proofErr w:type="gramStart"/>
      <w:r w:rsidRPr="00704258">
        <w:rPr>
          <w:sz w:val="22"/>
          <w:szCs w:val="22"/>
        </w:rPr>
        <w:t>Triage ]</w:t>
      </w:r>
      <w:proofErr w:type="gramEnd"/>
    </w:p>
    <w:p w14:paraId="1D83F02F" w14:textId="77777777" w:rsidR="00704258" w:rsidRPr="00704258" w:rsidRDefault="00704258" w:rsidP="00704258">
      <w:pPr>
        <w:rPr>
          <w:sz w:val="22"/>
          <w:szCs w:val="22"/>
        </w:rPr>
      </w:pPr>
      <w:r w:rsidRPr="00704258">
        <w:rPr>
          <w:sz w:val="22"/>
          <w:szCs w:val="22"/>
        </w:rPr>
        <w:t xml:space="preserve">       - Automated alerts from SIEM/SOC identify anomalous activity.</w:t>
      </w:r>
    </w:p>
    <w:p w14:paraId="69A20C85" w14:textId="77777777" w:rsidR="00704258" w:rsidRPr="00704258" w:rsidRDefault="00704258" w:rsidP="00704258">
      <w:pPr>
        <w:rPr>
          <w:sz w:val="22"/>
          <w:szCs w:val="22"/>
        </w:rPr>
      </w:pPr>
      <w:r w:rsidRPr="00704258">
        <w:rPr>
          <w:sz w:val="22"/>
          <w:szCs w:val="22"/>
        </w:rPr>
        <w:t xml:space="preserve">       - Incident Response Team evaluates severity and logs the event.</w:t>
      </w:r>
    </w:p>
    <w:p w14:paraId="08C7352B" w14:textId="638418A6" w:rsidR="00704258" w:rsidRPr="00704258" w:rsidRDefault="00704258" w:rsidP="00704258">
      <w:pPr>
        <w:rPr>
          <w:sz w:val="22"/>
          <w:szCs w:val="22"/>
        </w:rPr>
      </w:pPr>
      <w:r w:rsidRPr="00704258">
        <w:rPr>
          <w:sz w:val="22"/>
          <w:szCs w:val="22"/>
        </w:rPr>
        <w:t xml:space="preserve">                      </w:t>
      </w:r>
      <w:r w:rsidR="12FDB52B">
        <w:rPr>
          <w:noProof/>
        </w:rPr>
        <mc:AlternateContent>
          <mc:Choice Requires="wps">
            <w:drawing>
              <wp:inline distT="0" distB="0" distL="0" distR="0" wp14:anchorId="04281631" wp14:editId="23BD7FC9">
                <wp:extent cx="9525" cy="273050"/>
                <wp:effectExtent l="38100" t="0" r="66675" b="50800"/>
                <wp:docPr id="1962394534" name="Straight Arrow Connector 3"/>
                <wp:cNvGraphicFramePr/>
                <a:graphic xmlns:a="http://schemas.openxmlformats.org/drawingml/2006/main">
                  <a:graphicData uri="http://schemas.microsoft.com/office/word/2010/wordprocessingShape">
                    <wps:wsp>
                      <wps:cNvCnPr/>
                      <wps:spPr>
                        <a:xfrm>
                          <a:off x="0" y="0"/>
                          <a:ext cx="9525" cy="2730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inline>
            </w:drawing>
          </mc:Choice>
          <mc:Fallback>
            <w:pict>
              <v:shape w14:anchorId="3921FD95" id="Straight Arrow Connector 3" o:spid="_x0000_s1026" type="#_x0000_t32" style="width:.75pt;height:21.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nvwEAAM0DAAAOAAAAZHJzL2Uyb0RvYy54bWysU8uu0zAQ3SPxD5b3NGlQeURN76IX2CC4&#10;4vEBvs44seSX7KFJ/p6x26YIEEiIzcSPOXPOHE/2d7M17AQxae86vt3UnIGTvtdu6PjXL2+fveIs&#10;oXC9MN5BxxdI/O7w9Ml+Ci00fvSmh8ioiEvtFDo+Ioa2qpIcwYq08QEcXSofrUDaxqHqo5ioujVV&#10;U9cvqsnHPkQvISU6vT9f8kOprxRI/KhUAmSm46QNS4wlPuZYHfaiHaIIo5YXGeIfVFihHZGupe4F&#10;CvYt6l9KWS2jT17hRnpbeaW0hNIDdbOtf+rm8ygClF7InBRWm9L/Kys/nI7uIZINU0htCg8xdzGr&#10;aPOX9LG5mLWsZsGMTNLh612z40zSRfPyeb0rVlY3aIgJ34G3LC86njAKPYx49M7Ro/i4LXaJ0/uE&#10;RE7AKyDzGpcjCm3euJ7hEmhyMGrhBgP5ySg9p1Q3zWWFi4Ez/BMopntS2RSaMk5wNJGdBA2CkBIc&#10;btdKlJ1hShuzAuu/Ay/5GQpl1Fbwubk/sq6IwuwdrmCrnY+/Y8f5Klmd868OnPvOFjz6fimvWayh&#10;mSleXeY7D+WP+wK//YWH7wAAAP//AwBQSwMEFAAGAAgAAAAhAANiwl/XAAAAAgEAAA8AAABkcnMv&#10;ZG93bnJldi54bWxMj81KxEAQhO+C7zC04M2d+MsSM1k04FHEuLrXSaZNgjM9Id2bjW/vrBe9NBRV&#10;VH1dbJbg1YwTD5EMXK4yUEhtdAN1BrZvTxdrUCyWnPWR0MA3MmzK05PC5i4e6BXnWjqVSohza6AX&#10;GXOtue0xWF7FESl5n3EKVpKcOu0me0jlweurLLvTwQ6UFno7YtVj+1Xvg4H3XRh36+1z9VjX3FTc&#10;vHj5mI05P1se7kEJLvIXhiN+QocyMTVxT46VN5Aekd979G5BNQZurjPQZaH/o5c/AAAA//8DAFBL&#10;AQItABQABgAIAAAAIQC2gziS/gAAAOEBAAATAAAAAAAAAAAAAAAAAAAAAABbQ29udGVudF9UeXBl&#10;c10ueG1sUEsBAi0AFAAGAAgAAAAhADj9If/WAAAAlAEAAAsAAAAAAAAAAAAAAAAALwEAAF9yZWxz&#10;Ly5yZWxzUEsBAi0AFAAGAAgAAAAhAP74Fue/AQAAzQMAAA4AAAAAAAAAAAAAAAAALgIAAGRycy9l&#10;Mm9Eb2MueG1sUEsBAi0AFAAGAAgAAAAhAANiwl/XAAAAAgEAAA8AAAAAAAAAAAAAAAAAGQQAAGRy&#10;cy9kb3ducmV2LnhtbFBLBQYAAAAABAAEAPMAAAAdBQAAAAA=&#10;" strokecolor="#156082 [3204]" strokeweight="1.5pt">
                <v:stroke endarrow="block" joinstyle="miter"/>
                <w10:anchorlock/>
              </v:shape>
            </w:pict>
          </mc:Fallback>
        </mc:AlternateContent>
      </w:r>
    </w:p>
    <w:p w14:paraId="4A295D76" w14:textId="77777777" w:rsidR="00704258" w:rsidRPr="00704258" w:rsidRDefault="00704258" w:rsidP="00704258">
      <w:pPr>
        <w:rPr>
          <w:sz w:val="22"/>
          <w:szCs w:val="22"/>
        </w:rPr>
      </w:pPr>
      <w:r w:rsidRPr="00704258">
        <w:rPr>
          <w:sz w:val="22"/>
          <w:szCs w:val="22"/>
        </w:rPr>
        <w:t xml:space="preserve">       [ Phase 2: Containment &amp; </w:t>
      </w:r>
      <w:proofErr w:type="gramStart"/>
      <w:r w:rsidRPr="00704258">
        <w:rPr>
          <w:sz w:val="22"/>
          <w:szCs w:val="22"/>
        </w:rPr>
        <w:t>Isolation ]</w:t>
      </w:r>
      <w:proofErr w:type="gramEnd"/>
    </w:p>
    <w:p w14:paraId="2FF34E69" w14:textId="77777777" w:rsidR="00704258" w:rsidRPr="00704258" w:rsidRDefault="00704258" w:rsidP="00704258">
      <w:pPr>
        <w:rPr>
          <w:sz w:val="22"/>
          <w:szCs w:val="22"/>
        </w:rPr>
      </w:pPr>
      <w:r w:rsidRPr="00704258">
        <w:rPr>
          <w:sz w:val="22"/>
          <w:szCs w:val="22"/>
        </w:rPr>
        <w:t xml:space="preserve">       - Compromised cloud instances and network segments are isolated.</w:t>
      </w:r>
    </w:p>
    <w:p w14:paraId="2413E41E" w14:textId="77777777" w:rsidR="00704258" w:rsidRPr="00704258" w:rsidRDefault="00704258" w:rsidP="00704258">
      <w:pPr>
        <w:rPr>
          <w:sz w:val="22"/>
          <w:szCs w:val="22"/>
        </w:rPr>
      </w:pPr>
      <w:r w:rsidRPr="00704258">
        <w:rPr>
          <w:sz w:val="22"/>
          <w:szCs w:val="22"/>
        </w:rPr>
        <w:t xml:space="preserve">       - Impacted API endpoints and credentials are revoked.</w:t>
      </w:r>
    </w:p>
    <w:p w14:paraId="62E2331B" w14:textId="7BACC29B" w:rsidR="00704258" w:rsidRDefault="00704258" w:rsidP="54BC4B94">
      <w:pPr>
        <w:rPr>
          <w:sz w:val="22"/>
          <w:szCs w:val="22"/>
        </w:rPr>
      </w:pPr>
      <w:r w:rsidRPr="54BC4B94">
        <w:rPr>
          <w:sz w:val="22"/>
          <w:szCs w:val="22"/>
        </w:rPr>
        <w:t xml:space="preserve">               </w:t>
      </w:r>
      <w:r w:rsidR="7E3BAB9F" w:rsidRPr="54BC4B94">
        <w:rPr>
          <w:sz w:val="22"/>
          <w:szCs w:val="22"/>
        </w:rPr>
        <w:t xml:space="preserve">      </w:t>
      </w:r>
      <w:r w:rsidR="727D3D25">
        <w:rPr>
          <w:noProof/>
        </w:rPr>
        <mc:AlternateContent>
          <mc:Choice Requires="wps">
            <w:drawing>
              <wp:inline distT="0" distB="0" distL="0" distR="0" wp14:anchorId="6B034840" wp14:editId="7CC02B56">
                <wp:extent cx="9525" cy="273050"/>
                <wp:effectExtent l="38100" t="0" r="66675" b="50800"/>
                <wp:docPr id="1693233636" name="Straight Arrow Connector 3"/>
                <wp:cNvGraphicFramePr/>
                <a:graphic xmlns:a="http://schemas.openxmlformats.org/drawingml/2006/main">
                  <a:graphicData uri="http://schemas.microsoft.com/office/word/2010/wordprocessingShape">
                    <wps:wsp>
                      <wps:cNvCnPr/>
                      <wps:spPr>
                        <a:xfrm>
                          <a:off x="0" y="0"/>
                          <a:ext cx="9525" cy="2730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inline>
            </w:drawing>
          </mc:Choice>
          <mc:Fallback>
            <w:pict>
              <v:shape w14:anchorId="30DC58D8" id="Straight Arrow Connector 3" o:spid="_x0000_s1026" type="#_x0000_t32" style="width:.75pt;height:21.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nvwEAAM0DAAAOAAAAZHJzL2Uyb0RvYy54bWysU8uu0zAQ3SPxD5b3NGlQeURN76IX2CC4&#10;4vEBvs44seSX7KFJ/p6x26YIEEiIzcSPOXPOHE/2d7M17AQxae86vt3UnIGTvtdu6PjXL2+fveIs&#10;oXC9MN5BxxdI/O7w9Ml+Ci00fvSmh8ioiEvtFDo+Ioa2qpIcwYq08QEcXSofrUDaxqHqo5ioujVV&#10;U9cvqsnHPkQvISU6vT9f8kOprxRI/KhUAmSm46QNS4wlPuZYHfaiHaIIo5YXGeIfVFihHZGupe4F&#10;CvYt6l9KWS2jT17hRnpbeaW0hNIDdbOtf+rm8ygClF7InBRWm9L/Kys/nI7uIZINU0htCg8xdzGr&#10;aPOX9LG5mLWsZsGMTNLh612z40zSRfPyeb0rVlY3aIgJ34G3LC86njAKPYx49M7Ro/i4LXaJ0/uE&#10;RE7AKyDzGpcjCm3euJ7hEmhyMGrhBgP5ySg9p1Q3zWWFi4Ez/BMopntS2RSaMk5wNJGdBA2CkBIc&#10;btdKlJ1hShuzAuu/Ay/5GQpl1Fbwubk/sq6IwuwdrmCrnY+/Y8f5Klmd868OnPvOFjz6fimvWayh&#10;mSleXeY7D+WP+wK//YWH7wAAAP//AwBQSwMEFAAGAAgAAAAhAANiwl/XAAAAAgEAAA8AAABkcnMv&#10;ZG93bnJldi54bWxMj81KxEAQhO+C7zC04M2d+MsSM1k04FHEuLrXSaZNgjM9Id2bjW/vrBe9NBRV&#10;VH1dbJbg1YwTD5EMXK4yUEhtdAN1BrZvTxdrUCyWnPWR0MA3MmzK05PC5i4e6BXnWjqVSohza6AX&#10;GXOtue0xWF7FESl5n3EKVpKcOu0me0jlweurLLvTwQ6UFno7YtVj+1Xvg4H3XRh36+1z9VjX3FTc&#10;vHj5mI05P1se7kEJLvIXhiN+QocyMTVxT46VN5Aekd979G5BNQZurjPQZaH/o5c/AAAA//8DAFBL&#10;AQItABQABgAIAAAAIQC2gziS/gAAAOEBAAATAAAAAAAAAAAAAAAAAAAAAABbQ29udGVudF9UeXBl&#10;c10ueG1sUEsBAi0AFAAGAAgAAAAhADj9If/WAAAAlAEAAAsAAAAAAAAAAAAAAAAALwEAAF9yZWxz&#10;Ly5yZWxzUEsBAi0AFAAGAAgAAAAhAP74Fue/AQAAzQMAAA4AAAAAAAAAAAAAAAAALgIAAGRycy9l&#10;Mm9Eb2MueG1sUEsBAi0AFAAGAAgAAAAhAANiwl/XAAAAAgEAAA8AAAAAAAAAAAAAAAAAGQQAAGRy&#10;cy9kb3ducmV2LnhtbFBLBQYAAAAABAAEAPMAAAAdBQAAAAA=&#10;" strokecolor="#156082 [3204]" strokeweight="1.5pt">
                <v:stroke endarrow="block" joinstyle="miter"/>
                <w10:anchorlock/>
              </v:shape>
            </w:pict>
          </mc:Fallback>
        </mc:AlternateContent>
      </w:r>
    </w:p>
    <w:p w14:paraId="1154D23C" w14:textId="77777777" w:rsidR="00704258" w:rsidRPr="00704258" w:rsidRDefault="00704258" w:rsidP="00704258">
      <w:pPr>
        <w:rPr>
          <w:sz w:val="22"/>
          <w:szCs w:val="22"/>
        </w:rPr>
      </w:pPr>
      <w:r w:rsidRPr="00704258">
        <w:rPr>
          <w:sz w:val="22"/>
          <w:szCs w:val="22"/>
        </w:rPr>
        <w:t xml:space="preserve">       [ Phase 3: Eradication &amp; </w:t>
      </w:r>
      <w:proofErr w:type="gramStart"/>
      <w:r w:rsidRPr="00704258">
        <w:rPr>
          <w:sz w:val="22"/>
          <w:szCs w:val="22"/>
        </w:rPr>
        <w:t>Remediation ]</w:t>
      </w:r>
      <w:proofErr w:type="gramEnd"/>
    </w:p>
    <w:p w14:paraId="7E1205AF" w14:textId="77777777" w:rsidR="00704258" w:rsidRPr="00704258" w:rsidRDefault="00704258" w:rsidP="00704258">
      <w:pPr>
        <w:rPr>
          <w:sz w:val="22"/>
          <w:szCs w:val="22"/>
        </w:rPr>
      </w:pPr>
      <w:r w:rsidRPr="00704258">
        <w:rPr>
          <w:sz w:val="22"/>
          <w:szCs w:val="22"/>
        </w:rPr>
        <w:t xml:space="preserve">       - Malicious files, accounts, and vulnerabilities are removed.</w:t>
      </w:r>
    </w:p>
    <w:p w14:paraId="14710C21" w14:textId="77777777" w:rsidR="00704258" w:rsidRPr="00704258" w:rsidRDefault="00704258" w:rsidP="00704258">
      <w:pPr>
        <w:rPr>
          <w:sz w:val="22"/>
          <w:szCs w:val="22"/>
        </w:rPr>
      </w:pPr>
      <w:r w:rsidRPr="00704258">
        <w:rPr>
          <w:sz w:val="22"/>
          <w:szCs w:val="22"/>
        </w:rPr>
        <w:t xml:space="preserve">       - Systems are patched and configurations verified.</w:t>
      </w:r>
    </w:p>
    <w:p w14:paraId="4FEB03B6" w14:textId="1DE12F26" w:rsidR="00704258" w:rsidRPr="00704258" w:rsidRDefault="00704258" w:rsidP="00704258">
      <w:pPr>
        <w:rPr>
          <w:sz w:val="22"/>
          <w:szCs w:val="22"/>
        </w:rPr>
      </w:pPr>
      <w:r w:rsidRPr="00704258">
        <w:rPr>
          <w:sz w:val="22"/>
          <w:szCs w:val="22"/>
        </w:rPr>
        <w:t xml:space="preserve">                   </w:t>
      </w:r>
      <w:r w:rsidR="46CB0F40">
        <w:rPr>
          <w:noProof/>
        </w:rPr>
        <mc:AlternateContent>
          <mc:Choice Requires="wps">
            <w:drawing>
              <wp:inline distT="0" distB="0" distL="0" distR="0" wp14:anchorId="63251FE4" wp14:editId="2195D19D">
                <wp:extent cx="9525" cy="273050"/>
                <wp:effectExtent l="38100" t="0" r="66675" b="50800"/>
                <wp:docPr id="1137284815" name="Straight Arrow Connector 3"/>
                <wp:cNvGraphicFramePr/>
                <a:graphic xmlns:a="http://schemas.openxmlformats.org/drawingml/2006/main">
                  <a:graphicData uri="http://schemas.microsoft.com/office/word/2010/wordprocessingShape">
                    <wps:wsp>
                      <wps:cNvCnPr/>
                      <wps:spPr>
                        <a:xfrm>
                          <a:off x="0" y="0"/>
                          <a:ext cx="9525" cy="2730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inline>
            </w:drawing>
          </mc:Choice>
          <mc:Fallback>
            <w:pict>
              <v:shape w14:anchorId="6E12EC41" id="Straight Arrow Connector 3" o:spid="_x0000_s1026" type="#_x0000_t32" style="width:.75pt;height:21.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nvwEAAM0DAAAOAAAAZHJzL2Uyb0RvYy54bWysU8uu0zAQ3SPxD5b3NGlQeURN76IX2CC4&#10;4vEBvs44seSX7KFJ/p6x26YIEEiIzcSPOXPOHE/2d7M17AQxae86vt3UnIGTvtdu6PjXL2+fveIs&#10;oXC9MN5BxxdI/O7w9Ml+Ci00fvSmh8ioiEvtFDo+Ioa2qpIcwYq08QEcXSofrUDaxqHqo5ioujVV&#10;U9cvqsnHPkQvISU6vT9f8kOprxRI/KhUAmSm46QNS4wlPuZYHfaiHaIIo5YXGeIfVFihHZGupe4F&#10;CvYt6l9KWS2jT17hRnpbeaW0hNIDdbOtf+rm8ygClF7InBRWm9L/Kys/nI7uIZINU0htCg8xdzGr&#10;aPOX9LG5mLWsZsGMTNLh612z40zSRfPyeb0rVlY3aIgJ34G3LC86njAKPYx49M7Ro/i4LXaJ0/uE&#10;RE7AKyDzGpcjCm3euJ7hEmhyMGrhBgP5ySg9p1Q3zWWFi4Ez/BMopntS2RSaMk5wNJGdBA2CkBIc&#10;btdKlJ1hShuzAuu/Ay/5GQpl1Fbwubk/sq6IwuwdrmCrnY+/Y8f5Klmd868OnPvOFjz6fimvWayh&#10;mSleXeY7D+WP+wK//YWH7wAAAP//AwBQSwMEFAAGAAgAAAAhAANiwl/XAAAAAgEAAA8AAABkcnMv&#10;ZG93bnJldi54bWxMj81KxEAQhO+C7zC04M2d+MsSM1k04FHEuLrXSaZNgjM9Id2bjW/vrBe9NBRV&#10;VH1dbJbg1YwTD5EMXK4yUEhtdAN1BrZvTxdrUCyWnPWR0MA3MmzK05PC5i4e6BXnWjqVSohza6AX&#10;GXOtue0xWF7FESl5n3EKVpKcOu0me0jlweurLLvTwQ6UFno7YtVj+1Xvg4H3XRh36+1z9VjX3FTc&#10;vHj5mI05P1se7kEJLvIXhiN+QocyMTVxT46VN5Aekd979G5BNQZurjPQZaH/o5c/AAAA//8DAFBL&#10;AQItABQABgAIAAAAIQC2gziS/gAAAOEBAAATAAAAAAAAAAAAAAAAAAAAAABbQ29udGVudF9UeXBl&#10;c10ueG1sUEsBAi0AFAAGAAgAAAAhADj9If/WAAAAlAEAAAsAAAAAAAAAAAAAAAAALwEAAF9yZWxz&#10;Ly5yZWxzUEsBAi0AFAAGAAgAAAAhAP74Fue/AQAAzQMAAA4AAAAAAAAAAAAAAAAALgIAAGRycy9l&#10;Mm9Eb2MueG1sUEsBAi0AFAAGAAgAAAAhAANiwl/XAAAAAgEAAA8AAAAAAAAAAAAAAAAAGQQAAGRy&#10;cy9kb3ducmV2LnhtbFBLBQYAAAAABAAEAPMAAAAdBQAAAAA=&#10;" strokecolor="#156082 [3204]" strokeweight="1.5pt">
                <v:stroke endarrow="block" joinstyle="miter"/>
                <w10:anchorlock/>
              </v:shape>
            </w:pict>
          </mc:Fallback>
        </mc:AlternateContent>
      </w:r>
    </w:p>
    <w:p w14:paraId="6C76F706" w14:textId="77777777" w:rsidR="00704258" w:rsidRPr="00704258" w:rsidRDefault="00704258" w:rsidP="00704258">
      <w:pPr>
        <w:rPr>
          <w:sz w:val="22"/>
          <w:szCs w:val="22"/>
        </w:rPr>
      </w:pPr>
      <w:r w:rsidRPr="00704258">
        <w:rPr>
          <w:sz w:val="22"/>
          <w:szCs w:val="22"/>
        </w:rPr>
        <w:t xml:space="preserve">       [ Phase 4: Recovery &amp; </w:t>
      </w:r>
      <w:proofErr w:type="gramStart"/>
      <w:r w:rsidRPr="00704258">
        <w:rPr>
          <w:sz w:val="22"/>
          <w:szCs w:val="22"/>
        </w:rPr>
        <w:t>Restoration ]</w:t>
      </w:r>
      <w:proofErr w:type="gramEnd"/>
    </w:p>
    <w:p w14:paraId="2AEFA102" w14:textId="77777777" w:rsidR="00704258" w:rsidRPr="00704258" w:rsidRDefault="00704258" w:rsidP="00704258">
      <w:pPr>
        <w:rPr>
          <w:sz w:val="22"/>
          <w:szCs w:val="22"/>
        </w:rPr>
      </w:pPr>
      <w:r w:rsidRPr="00704258">
        <w:rPr>
          <w:sz w:val="22"/>
          <w:szCs w:val="22"/>
        </w:rPr>
        <w:t xml:space="preserve">       - Systems are safely restored using immutable backups.</w:t>
      </w:r>
    </w:p>
    <w:p w14:paraId="46009F12" w14:textId="77777777" w:rsidR="00704258" w:rsidRPr="00704258" w:rsidRDefault="00704258" w:rsidP="00704258">
      <w:pPr>
        <w:rPr>
          <w:sz w:val="22"/>
          <w:szCs w:val="22"/>
        </w:rPr>
      </w:pPr>
      <w:r w:rsidRPr="00704258">
        <w:rPr>
          <w:sz w:val="22"/>
          <w:szCs w:val="22"/>
        </w:rPr>
        <w:t xml:space="preserve">       - Verification checks are run before resuming live production.</w:t>
      </w:r>
    </w:p>
    <w:p w14:paraId="20E34B1C" w14:textId="2EF4B382" w:rsidR="00704258" w:rsidRPr="00704258" w:rsidRDefault="00704258" w:rsidP="00704258">
      <w:pPr>
        <w:rPr>
          <w:sz w:val="22"/>
          <w:szCs w:val="22"/>
        </w:rPr>
      </w:pPr>
      <w:r w:rsidRPr="00704258">
        <w:rPr>
          <w:sz w:val="22"/>
          <w:szCs w:val="22"/>
        </w:rPr>
        <w:t xml:space="preserve">                    </w:t>
      </w:r>
      <w:r w:rsidR="3C1D4B00">
        <w:rPr>
          <w:noProof/>
        </w:rPr>
        <mc:AlternateContent>
          <mc:Choice Requires="wps">
            <w:drawing>
              <wp:inline distT="0" distB="0" distL="0" distR="0" wp14:anchorId="0D30D2A4" wp14:editId="3F2AC4E8">
                <wp:extent cx="9525" cy="273050"/>
                <wp:effectExtent l="38100" t="0" r="66675" b="50800"/>
                <wp:docPr id="1792546135" name="Straight Arrow Connector 3"/>
                <wp:cNvGraphicFramePr/>
                <a:graphic xmlns:a="http://schemas.openxmlformats.org/drawingml/2006/main">
                  <a:graphicData uri="http://schemas.microsoft.com/office/word/2010/wordprocessingShape">
                    <wps:wsp>
                      <wps:cNvCnPr/>
                      <wps:spPr>
                        <a:xfrm>
                          <a:off x="0" y="0"/>
                          <a:ext cx="9525" cy="2730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inline>
            </w:drawing>
          </mc:Choice>
          <mc:Fallback>
            <w:pict>
              <v:shape w14:anchorId="665E844B" id="Straight Arrow Connector 3" o:spid="_x0000_s1026" type="#_x0000_t32" style="width:.75pt;height:21.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nvwEAAM0DAAAOAAAAZHJzL2Uyb0RvYy54bWysU8uu0zAQ3SPxD5b3NGlQeURN76IX2CC4&#10;4vEBvs44seSX7KFJ/p6x26YIEEiIzcSPOXPOHE/2d7M17AQxae86vt3UnIGTvtdu6PjXL2+fveIs&#10;oXC9MN5BxxdI/O7w9Ml+Ci00fvSmh8ioiEvtFDo+Ioa2qpIcwYq08QEcXSofrUDaxqHqo5ioujVV&#10;U9cvqsnHPkQvISU6vT9f8kOprxRI/KhUAmSm46QNS4wlPuZYHfaiHaIIo5YXGeIfVFihHZGupe4F&#10;CvYt6l9KWS2jT17hRnpbeaW0hNIDdbOtf+rm8ygClF7InBRWm9L/Kys/nI7uIZINU0htCg8xdzGr&#10;aPOX9LG5mLWsZsGMTNLh612z40zSRfPyeb0rVlY3aIgJ34G3LC86njAKPYx49M7Ro/i4LXaJ0/uE&#10;RE7AKyDzGpcjCm3euJ7hEmhyMGrhBgP5ySg9p1Q3zWWFi4Ez/BMopntS2RSaMk5wNJGdBA2CkBIc&#10;btdKlJ1hShuzAuu/Ay/5GQpl1Fbwubk/sq6IwuwdrmCrnY+/Y8f5Klmd868OnPvOFjz6fimvWayh&#10;mSleXeY7D+WP+wK//YWH7wAAAP//AwBQSwMEFAAGAAgAAAAhAANiwl/XAAAAAgEAAA8AAABkcnMv&#10;ZG93bnJldi54bWxMj81KxEAQhO+C7zC04M2d+MsSM1k04FHEuLrXSaZNgjM9Id2bjW/vrBe9NBRV&#10;VH1dbJbg1YwTD5EMXK4yUEhtdAN1BrZvTxdrUCyWnPWR0MA3MmzK05PC5i4e6BXnWjqVSohza6AX&#10;GXOtue0xWF7FESl5n3EKVpKcOu0me0jlweurLLvTwQ6UFno7YtVj+1Xvg4H3XRh36+1z9VjX3FTc&#10;vHj5mI05P1se7kEJLvIXhiN+QocyMTVxT46VN5Aekd979G5BNQZurjPQZaH/o5c/AAAA//8DAFBL&#10;AQItABQABgAIAAAAIQC2gziS/gAAAOEBAAATAAAAAAAAAAAAAAAAAAAAAABbQ29udGVudF9UeXBl&#10;c10ueG1sUEsBAi0AFAAGAAgAAAAhADj9If/WAAAAlAEAAAsAAAAAAAAAAAAAAAAALwEAAF9yZWxz&#10;Ly5yZWxzUEsBAi0AFAAGAAgAAAAhAP74Fue/AQAAzQMAAA4AAAAAAAAAAAAAAAAALgIAAGRycy9l&#10;Mm9Eb2MueG1sUEsBAi0AFAAGAAgAAAAhAANiwl/XAAAAAgEAAA8AAAAAAAAAAAAAAAAAGQQAAGRy&#10;cy9kb3ducmV2LnhtbFBLBQYAAAAABAAEAPMAAAAdBQAAAAA=&#10;" strokecolor="#156082 [3204]" strokeweight="1.5pt">
                <v:stroke endarrow="block" joinstyle="miter"/>
                <w10:anchorlock/>
              </v:shape>
            </w:pict>
          </mc:Fallback>
        </mc:AlternateContent>
      </w:r>
    </w:p>
    <w:p w14:paraId="0A99E945" w14:textId="77777777" w:rsidR="00704258" w:rsidRPr="00704258" w:rsidRDefault="00704258" w:rsidP="00704258">
      <w:pPr>
        <w:rPr>
          <w:sz w:val="22"/>
          <w:szCs w:val="22"/>
        </w:rPr>
      </w:pPr>
      <w:r w:rsidRPr="00704258">
        <w:rPr>
          <w:sz w:val="22"/>
          <w:szCs w:val="22"/>
        </w:rPr>
        <w:t xml:space="preserve">       [ Phase 5: Post-Incident </w:t>
      </w:r>
      <w:proofErr w:type="gramStart"/>
      <w:r w:rsidRPr="00704258">
        <w:rPr>
          <w:sz w:val="22"/>
          <w:szCs w:val="22"/>
        </w:rPr>
        <w:t>Review ]</w:t>
      </w:r>
      <w:proofErr w:type="gramEnd"/>
    </w:p>
    <w:p w14:paraId="4D96B4F0" w14:textId="77777777" w:rsidR="00704258" w:rsidRPr="00704258" w:rsidRDefault="00704258" w:rsidP="00704258">
      <w:pPr>
        <w:rPr>
          <w:sz w:val="22"/>
          <w:szCs w:val="22"/>
        </w:rPr>
      </w:pPr>
      <w:r w:rsidRPr="00704258">
        <w:rPr>
          <w:sz w:val="22"/>
          <w:szCs w:val="22"/>
        </w:rPr>
        <w:t xml:space="preserve">       - Root-cause analysis document is compiled for management.</w:t>
      </w:r>
    </w:p>
    <w:p w14:paraId="29A82FDC" w14:textId="77777777" w:rsidR="00704258" w:rsidRPr="00704258" w:rsidRDefault="00704258" w:rsidP="00704258">
      <w:pPr>
        <w:rPr>
          <w:sz w:val="22"/>
          <w:szCs w:val="22"/>
        </w:rPr>
      </w:pPr>
      <w:r w:rsidRPr="00704258">
        <w:rPr>
          <w:sz w:val="22"/>
          <w:szCs w:val="22"/>
        </w:rPr>
        <w:t xml:space="preserve">       - Framework policies are updated to prevent future recurrence.</w:t>
      </w:r>
    </w:p>
    <w:p w14:paraId="3440C824" w14:textId="77777777" w:rsidR="00704258" w:rsidRPr="00704258" w:rsidRDefault="00704258" w:rsidP="00704258">
      <w:pPr>
        <w:rPr>
          <w:sz w:val="22"/>
          <w:szCs w:val="22"/>
        </w:rPr>
      </w:pPr>
      <w:r w:rsidRPr="00704258">
        <w:rPr>
          <w:sz w:val="22"/>
          <w:szCs w:val="22"/>
        </w:rPr>
        <w:t>The technical business continuity strategy defines strict targets based on application criticality: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1"/>
        <w:gridCol w:w="2485"/>
        <w:gridCol w:w="1363"/>
        <w:gridCol w:w="1353"/>
        <w:gridCol w:w="2324"/>
      </w:tblGrid>
      <w:tr w:rsidR="00704258" w:rsidRPr="00704258" w14:paraId="1460144A" w14:textId="77777777">
        <w:trPr>
          <w:tblCellSpacing w:w="15" w:type="dxa"/>
        </w:trPr>
        <w:tc>
          <w:tcPr>
            <w:tcW w:w="0" w:type="auto"/>
            <w:tcBorders>
              <w:bottom w:val="single" w:sz="6" w:space="0" w:color="363840"/>
            </w:tcBorders>
            <w:vAlign w:val="center"/>
            <w:hideMark/>
          </w:tcPr>
          <w:p w14:paraId="344ACFEA" w14:textId="77777777" w:rsidR="00704258" w:rsidRPr="00704258" w:rsidRDefault="00704258" w:rsidP="00704258">
            <w:pPr>
              <w:rPr>
                <w:b/>
                <w:bCs/>
                <w:sz w:val="22"/>
                <w:szCs w:val="22"/>
              </w:rPr>
            </w:pPr>
            <w:r w:rsidRPr="00704258">
              <w:rPr>
                <w:b/>
                <w:bCs/>
                <w:sz w:val="22"/>
                <w:szCs w:val="22"/>
              </w:rPr>
              <w:t>Criticality Tier</w:t>
            </w:r>
          </w:p>
        </w:tc>
        <w:tc>
          <w:tcPr>
            <w:tcW w:w="0" w:type="auto"/>
            <w:tcBorders>
              <w:bottom w:val="single" w:sz="6" w:space="0" w:color="363840"/>
            </w:tcBorders>
            <w:vAlign w:val="center"/>
            <w:hideMark/>
          </w:tcPr>
          <w:p w14:paraId="35171EBF" w14:textId="77777777" w:rsidR="00704258" w:rsidRPr="00704258" w:rsidRDefault="00704258" w:rsidP="00704258">
            <w:pPr>
              <w:rPr>
                <w:b/>
                <w:bCs/>
                <w:sz w:val="22"/>
                <w:szCs w:val="22"/>
              </w:rPr>
            </w:pPr>
            <w:r w:rsidRPr="00704258">
              <w:rPr>
                <w:b/>
                <w:bCs/>
                <w:sz w:val="22"/>
                <w:szCs w:val="22"/>
              </w:rPr>
              <w:t>Target Systems</w:t>
            </w:r>
          </w:p>
        </w:tc>
        <w:tc>
          <w:tcPr>
            <w:tcW w:w="0" w:type="auto"/>
            <w:tcBorders>
              <w:bottom w:val="single" w:sz="6" w:space="0" w:color="363840"/>
            </w:tcBorders>
            <w:vAlign w:val="center"/>
            <w:hideMark/>
          </w:tcPr>
          <w:p w14:paraId="53035DF3" w14:textId="77777777" w:rsidR="00704258" w:rsidRPr="00704258" w:rsidRDefault="00704258" w:rsidP="00704258">
            <w:pPr>
              <w:rPr>
                <w:b/>
                <w:bCs/>
                <w:sz w:val="22"/>
                <w:szCs w:val="22"/>
              </w:rPr>
            </w:pPr>
            <w:r w:rsidRPr="00704258">
              <w:rPr>
                <w:b/>
                <w:bCs/>
                <w:sz w:val="22"/>
                <w:szCs w:val="22"/>
              </w:rPr>
              <w:t>Recovery Point Objective (RPO)</w:t>
            </w:r>
          </w:p>
        </w:tc>
        <w:tc>
          <w:tcPr>
            <w:tcW w:w="0" w:type="auto"/>
            <w:tcBorders>
              <w:bottom w:val="single" w:sz="6" w:space="0" w:color="363840"/>
            </w:tcBorders>
            <w:vAlign w:val="center"/>
            <w:hideMark/>
          </w:tcPr>
          <w:p w14:paraId="433827F1" w14:textId="77777777" w:rsidR="00704258" w:rsidRPr="00704258" w:rsidRDefault="00704258" w:rsidP="00704258">
            <w:pPr>
              <w:rPr>
                <w:b/>
                <w:bCs/>
                <w:sz w:val="22"/>
                <w:szCs w:val="22"/>
              </w:rPr>
            </w:pPr>
            <w:r w:rsidRPr="00704258">
              <w:rPr>
                <w:b/>
                <w:bCs/>
                <w:sz w:val="22"/>
                <w:szCs w:val="22"/>
              </w:rPr>
              <w:t>Recovery Time Objective (RTO)</w:t>
            </w:r>
          </w:p>
        </w:tc>
        <w:tc>
          <w:tcPr>
            <w:tcW w:w="0" w:type="auto"/>
            <w:tcBorders>
              <w:bottom w:val="single" w:sz="6" w:space="0" w:color="363840"/>
            </w:tcBorders>
            <w:vAlign w:val="center"/>
            <w:hideMark/>
          </w:tcPr>
          <w:p w14:paraId="5C611B45" w14:textId="77777777" w:rsidR="00704258" w:rsidRPr="00704258" w:rsidRDefault="00704258" w:rsidP="00704258">
            <w:pPr>
              <w:rPr>
                <w:b/>
                <w:bCs/>
                <w:sz w:val="22"/>
                <w:szCs w:val="22"/>
              </w:rPr>
            </w:pPr>
            <w:r w:rsidRPr="00704258">
              <w:rPr>
                <w:b/>
                <w:bCs/>
                <w:sz w:val="22"/>
                <w:szCs w:val="22"/>
              </w:rPr>
              <w:t>Redundancy Strategy</w:t>
            </w:r>
          </w:p>
        </w:tc>
      </w:tr>
      <w:tr w:rsidR="00704258" w:rsidRPr="00704258" w14:paraId="42B3AFEA" w14:textId="77777777">
        <w:trPr>
          <w:tblCellSpacing w:w="15" w:type="dxa"/>
        </w:trPr>
        <w:tc>
          <w:tcPr>
            <w:tcW w:w="0" w:type="auto"/>
            <w:tcBorders>
              <w:bottom w:val="single" w:sz="6" w:space="0" w:color="363840"/>
            </w:tcBorders>
            <w:vAlign w:val="center"/>
            <w:hideMark/>
          </w:tcPr>
          <w:p w14:paraId="44F715C7" w14:textId="77777777" w:rsidR="00704258" w:rsidRPr="00704258" w:rsidRDefault="00704258" w:rsidP="00704258">
            <w:pPr>
              <w:rPr>
                <w:sz w:val="22"/>
                <w:szCs w:val="22"/>
              </w:rPr>
            </w:pPr>
            <w:r w:rsidRPr="00704258">
              <w:rPr>
                <w:b/>
                <w:bCs/>
                <w:sz w:val="22"/>
                <w:szCs w:val="22"/>
              </w:rPr>
              <w:lastRenderedPageBreak/>
              <w:t>Tier 1: Mission-Critical</w:t>
            </w:r>
          </w:p>
        </w:tc>
        <w:tc>
          <w:tcPr>
            <w:tcW w:w="0" w:type="auto"/>
            <w:tcBorders>
              <w:bottom w:val="single" w:sz="6" w:space="0" w:color="363840"/>
            </w:tcBorders>
            <w:vAlign w:val="center"/>
            <w:hideMark/>
          </w:tcPr>
          <w:p w14:paraId="560B444A" w14:textId="77777777" w:rsidR="00704258" w:rsidRPr="00704258" w:rsidRDefault="00704258" w:rsidP="00704258">
            <w:pPr>
              <w:rPr>
                <w:sz w:val="22"/>
                <w:szCs w:val="22"/>
              </w:rPr>
            </w:pPr>
            <w:r w:rsidRPr="00704258">
              <w:rPr>
                <w:sz w:val="22"/>
                <w:szCs w:val="22"/>
              </w:rPr>
              <w:t>IoT Data Ingestion Engine, Real-time Fleet Tracking Systems, WMS</w:t>
            </w:r>
          </w:p>
        </w:tc>
        <w:tc>
          <w:tcPr>
            <w:tcW w:w="0" w:type="auto"/>
            <w:tcBorders>
              <w:bottom w:val="single" w:sz="6" w:space="0" w:color="363840"/>
            </w:tcBorders>
            <w:vAlign w:val="center"/>
            <w:hideMark/>
          </w:tcPr>
          <w:p w14:paraId="0947B24A" w14:textId="77777777" w:rsidR="00704258" w:rsidRPr="00704258" w:rsidRDefault="00704258" w:rsidP="00704258">
            <w:pPr>
              <w:rPr>
                <w:sz w:val="22"/>
                <w:szCs w:val="22"/>
              </w:rPr>
            </w:pPr>
            <w:r w:rsidRPr="00704258">
              <w:rPr>
                <w:sz w:val="22"/>
                <w:szCs w:val="22"/>
              </w:rPr>
              <w:t>≤ 15 Minutes</w:t>
            </w:r>
          </w:p>
        </w:tc>
        <w:tc>
          <w:tcPr>
            <w:tcW w:w="0" w:type="auto"/>
            <w:tcBorders>
              <w:bottom w:val="single" w:sz="6" w:space="0" w:color="363840"/>
            </w:tcBorders>
            <w:vAlign w:val="center"/>
            <w:hideMark/>
          </w:tcPr>
          <w:p w14:paraId="1E8F6779" w14:textId="77777777" w:rsidR="00704258" w:rsidRPr="00704258" w:rsidRDefault="00704258" w:rsidP="00704258">
            <w:pPr>
              <w:rPr>
                <w:sz w:val="22"/>
                <w:szCs w:val="22"/>
              </w:rPr>
            </w:pPr>
            <w:r w:rsidRPr="00704258">
              <w:rPr>
                <w:sz w:val="22"/>
                <w:szCs w:val="22"/>
              </w:rPr>
              <w:t>≤ 1 Hour</w:t>
            </w:r>
          </w:p>
        </w:tc>
        <w:tc>
          <w:tcPr>
            <w:tcW w:w="0" w:type="auto"/>
            <w:tcBorders>
              <w:bottom w:val="single" w:sz="6" w:space="0" w:color="363840"/>
            </w:tcBorders>
            <w:vAlign w:val="center"/>
            <w:hideMark/>
          </w:tcPr>
          <w:p w14:paraId="7E815556" w14:textId="77777777" w:rsidR="00704258" w:rsidRPr="00704258" w:rsidRDefault="00704258" w:rsidP="00704258">
            <w:pPr>
              <w:rPr>
                <w:sz w:val="22"/>
                <w:szCs w:val="22"/>
              </w:rPr>
            </w:pPr>
            <w:r w:rsidRPr="00704258">
              <w:rPr>
                <w:sz w:val="22"/>
                <w:szCs w:val="22"/>
              </w:rPr>
              <w:t>Multi-region active-active cloud configuration across different geographic areas</w:t>
            </w:r>
          </w:p>
        </w:tc>
      </w:tr>
      <w:tr w:rsidR="00704258" w:rsidRPr="00704258" w14:paraId="70D96C65" w14:textId="77777777">
        <w:trPr>
          <w:tblCellSpacing w:w="15" w:type="dxa"/>
        </w:trPr>
        <w:tc>
          <w:tcPr>
            <w:tcW w:w="0" w:type="auto"/>
            <w:tcBorders>
              <w:bottom w:val="single" w:sz="6" w:space="0" w:color="363840"/>
            </w:tcBorders>
            <w:vAlign w:val="center"/>
            <w:hideMark/>
          </w:tcPr>
          <w:p w14:paraId="02707E9A" w14:textId="77777777" w:rsidR="00704258" w:rsidRPr="00704258" w:rsidRDefault="00704258" w:rsidP="00704258">
            <w:pPr>
              <w:rPr>
                <w:sz w:val="22"/>
                <w:szCs w:val="22"/>
              </w:rPr>
            </w:pPr>
            <w:r w:rsidRPr="00704258">
              <w:rPr>
                <w:b/>
                <w:bCs/>
                <w:sz w:val="22"/>
                <w:szCs w:val="22"/>
              </w:rPr>
              <w:t>Tier 2: Business-Critical</w:t>
            </w:r>
          </w:p>
        </w:tc>
        <w:tc>
          <w:tcPr>
            <w:tcW w:w="0" w:type="auto"/>
            <w:tcBorders>
              <w:bottom w:val="single" w:sz="6" w:space="0" w:color="363840"/>
            </w:tcBorders>
            <w:vAlign w:val="center"/>
            <w:hideMark/>
          </w:tcPr>
          <w:p w14:paraId="30B57E36" w14:textId="77777777" w:rsidR="00704258" w:rsidRPr="00704258" w:rsidRDefault="00704258" w:rsidP="00704258">
            <w:pPr>
              <w:rPr>
                <w:sz w:val="22"/>
                <w:szCs w:val="22"/>
              </w:rPr>
            </w:pPr>
            <w:r w:rsidRPr="00704258">
              <w:rPr>
                <w:sz w:val="22"/>
                <w:szCs w:val="22"/>
              </w:rPr>
              <w:t>SAP Cloud ERP, Customer Shipping Portals, Supplier APIs</w:t>
            </w:r>
          </w:p>
        </w:tc>
        <w:tc>
          <w:tcPr>
            <w:tcW w:w="0" w:type="auto"/>
            <w:tcBorders>
              <w:bottom w:val="single" w:sz="6" w:space="0" w:color="363840"/>
            </w:tcBorders>
            <w:vAlign w:val="center"/>
            <w:hideMark/>
          </w:tcPr>
          <w:p w14:paraId="3DB7B42A" w14:textId="77777777" w:rsidR="00704258" w:rsidRPr="00704258" w:rsidRDefault="00704258" w:rsidP="00704258">
            <w:pPr>
              <w:rPr>
                <w:sz w:val="22"/>
                <w:szCs w:val="22"/>
              </w:rPr>
            </w:pPr>
            <w:r w:rsidRPr="00704258">
              <w:rPr>
                <w:sz w:val="22"/>
                <w:szCs w:val="22"/>
              </w:rPr>
              <w:t>≤ 1 Hour</w:t>
            </w:r>
          </w:p>
        </w:tc>
        <w:tc>
          <w:tcPr>
            <w:tcW w:w="0" w:type="auto"/>
            <w:tcBorders>
              <w:bottom w:val="single" w:sz="6" w:space="0" w:color="363840"/>
            </w:tcBorders>
            <w:vAlign w:val="center"/>
            <w:hideMark/>
          </w:tcPr>
          <w:p w14:paraId="4B8771DE" w14:textId="77777777" w:rsidR="00704258" w:rsidRPr="00704258" w:rsidRDefault="00704258" w:rsidP="00704258">
            <w:pPr>
              <w:rPr>
                <w:sz w:val="22"/>
                <w:szCs w:val="22"/>
              </w:rPr>
            </w:pPr>
            <w:r w:rsidRPr="00704258">
              <w:rPr>
                <w:sz w:val="22"/>
                <w:szCs w:val="22"/>
              </w:rPr>
              <w:t>≤ 4 Hours</w:t>
            </w:r>
          </w:p>
        </w:tc>
        <w:tc>
          <w:tcPr>
            <w:tcW w:w="0" w:type="auto"/>
            <w:tcBorders>
              <w:bottom w:val="single" w:sz="6" w:space="0" w:color="363840"/>
            </w:tcBorders>
            <w:vAlign w:val="center"/>
            <w:hideMark/>
          </w:tcPr>
          <w:p w14:paraId="26283DD9" w14:textId="77777777" w:rsidR="00704258" w:rsidRPr="00704258" w:rsidRDefault="00704258" w:rsidP="00704258">
            <w:pPr>
              <w:rPr>
                <w:sz w:val="22"/>
                <w:szCs w:val="22"/>
              </w:rPr>
            </w:pPr>
            <w:r w:rsidRPr="00704258">
              <w:rPr>
                <w:sz w:val="22"/>
                <w:szCs w:val="22"/>
              </w:rPr>
              <w:t>Active-passive architecture with continuous data replication</w:t>
            </w:r>
          </w:p>
        </w:tc>
      </w:tr>
      <w:tr w:rsidR="00704258" w:rsidRPr="00704258" w14:paraId="07697E90" w14:textId="77777777">
        <w:trPr>
          <w:tblCellSpacing w:w="15" w:type="dxa"/>
        </w:trPr>
        <w:tc>
          <w:tcPr>
            <w:tcW w:w="0" w:type="auto"/>
            <w:tcBorders>
              <w:bottom w:val="nil"/>
            </w:tcBorders>
            <w:vAlign w:val="center"/>
            <w:hideMark/>
          </w:tcPr>
          <w:p w14:paraId="6020523B" w14:textId="77777777" w:rsidR="00704258" w:rsidRPr="00704258" w:rsidRDefault="00704258" w:rsidP="00704258">
            <w:pPr>
              <w:rPr>
                <w:sz w:val="22"/>
                <w:szCs w:val="22"/>
              </w:rPr>
            </w:pPr>
            <w:r w:rsidRPr="00704258">
              <w:rPr>
                <w:b/>
                <w:bCs/>
                <w:sz w:val="22"/>
                <w:szCs w:val="22"/>
              </w:rPr>
              <w:t>Tier 3: Operational Support</w:t>
            </w:r>
          </w:p>
        </w:tc>
        <w:tc>
          <w:tcPr>
            <w:tcW w:w="0" w:type="auto"/>
            <w:tcBorders>
              <w:bottom w:val="nil"/>
            </w:tcBorders>
            <w:vAlign w:val="center"/>
            <w:hideMark/>
          </w:tcPr>
          <w:p w14:paraId="52FF7EDE" w14:textId="77777777" w:rsidR="00704258" w:rsidRPr="00704258" w:rsidRDefault="00704258" w:rsidP="00704258">
            <w:pPr>
              <w:rPr>
                <w:sz w:val="22"/>
                <w:szCs w:val="22"/>
              </w:rPr>
            </w:pPr>
            <w:r w:rsidRPr="00704258">
              <w:rPr>
                <w:sz w:val="22"/>
                <w:szCs w:val="22"/>
              </w:rPr>
              <w:t>Email, Corporate Communications, HR/Billing Platforms</w:t>
            </w:r>
          </w:p>
        </w:tc>
        <w:tc>
          <w:tcPr>
            <w:tcW w:w="0" w:type="auto"/>
            <w:tcBorders>
              <w:bottom w:val="nil"/>
            </w:tcBorders>
            <w:vAlign w:val="center"/>
            <w:hideMark/>
          </w:tcPr>
          <w:p w14:paraId="2EB2F7E5" w14:textId="77777777" w:rsidR="00704258" w:rsidRPr="00704258" w:rsidRDefault="00704258" w:rsidP="00704258">
            <w:pPr>
              <w:rPr>
                <w:sz w:val="22"/>
                <w:szCs w:val="22"/>
              </w:rPr>
            </w:pPr>
            <w:r w:rsidRPr="00704258">
              <w:rPr>
                <w:sz w:val="22"/>
                <w:szCs w:val="22"/>
              </w:rPr>
              <w:t>≤ 12 Hours</w:t>
            </w:r>
          </w:p>
        </w:tc>
        <w:tc>
          <w:tcPr>
            <w:tcW w:w="0" w:type="auto"/>
            <w:tcBorders>
              <w:bottom w:val="nil"/>
            </w:tcBorders>
            <w:vAlign w:val="center"/>
            <w:hideMark/>
          </w:tcPr>
          <w:p w14:paraId="22DCDF97" w14:textId="77777777" w:rsidR="00704258" w:rsidRPr="00704258" w:rsidRDefault="00704258" w:rsidP="00704258">
            <w:pPr>
              <w:rPr>
                <w:sz w:val="22"/>
                <w:szCs w:val="22"/>
              </w:rPr>
            </w:pPr>
            <w:r w:rsidRPr="00704258">
              <w:rPr>
                <w:sz w:val="22"/>
                <w:szCs w:val="22"/>
              </w:rPr>
              <w:t>≤ 24 Hours</w:t>
            </w:r>
          </w:p>
        </w:tc>
        <w:tc>
          <w:tcPr>
            <w:tcW w:w="0" w:type="auto"/>
            <w:tcBorders>
              <w:bottom w:val="nil"/>
            </w:tcBorders>
            <w:vAlign w:val="center"/>
            <w:hideMark/>
          </w:tcPr>
          <w:p w14:paraId="0E7A5DB4" w14:textId="77777777" w:rsidR="00704258" w:rsidRPr="00704258" w:rsidRDefault="00704258" w:rsidP="00704258">
            <w:pPr>
              <w:rPr>
                <w:sz w:val="22"/>
                <w:szCs w:val="22"/>
              </w:rPr>
            </w:pPr>
            <w:r w:rsidRPr="00704258">
              <w:rPr>
                <w:sz w:val="22"/>
                <w:szCs w:val="22"/>
              </w:rPr>
              <w:t>Automated daily snapshots stored in offline, air-gapped cloud accounts</w:t>
            </w:r>
          </w:p>
        </w:tc>
      </w:tr>
    </w:tbl>
    <w:p w14:paraId="75290851" w14:textId="77777777" w:rsidR="00704258" w:rsidRPr="00704258" w:rsidRDefault="00704258" w:rsidP="00704258">
      <w:pPr>
        <w:numPr>
          <w:ilvl w:val="0"/>
          <w:numId w:val="8"/>
        </w:numPr>
        <w:rPr>
          <w:sz w:val="22"/>
          <w:szCs w:val="22"/>
        </w:rPr>
      </w:pPr>
      <w:r w:rsidRPr="00704258">
        <w:rPr>
          <w:b/>
          <w:bCs/>
          <w:sz w:val="22"/>
          <w:szCs w:val="22"/>
        </w:rPr>
        <w:t>Immutable Backups:</w:t>
      </w:r>
      <w:r w:rsidRPr="00704258">
        <w:rPr>
          <w:sz w:val="22"/>
          <w:szCs w:val="22"/>
        </w:rPr>
        <w:t xml:space="preserve"> All backups must be cryptographically signed, read-only, and stored in independent accounts with Object Lock enabled to prevent modification or deletion by ransomware.</w:t>
      </w:r>
    </w:p>
    <w:p w14:paraId="4230F97F" w14:textId="77777777" w:rsidR="00704258" w:rsidRPr="00704258" w:rsidRDefault="00704258" w:rsidP="00704258">
      <w:pPr>
        <w:numPr>
          <w:ilvl w:val="0"/>
          <w:numId w:val="8"/>
        </w:numPr>
        <w:rPr>
          <w:sz w:val="22"/>
          <w:szCs w:val="22"/>
        </w:rPr>
      </w:pPr>
      <w:r w:rsidRPr="00704258">
        <w:rPr>
          <w:b/>
          <w:bCs/>
          <w:sz w:val="22"/>
          <w:szCs w:val="22"/>
        </w:rPr>
        <w:t>Simulated Testing:</w:t>
      </w:r>
      <w:r w:rsidRPr="00704258">
        <w:rPr>
          <w:sz w:val="22"/>
          <w:szCs w:val="22"/>
        </w:rPr>
        <w:t xml:space="preserve"> The CISO will lead mandatory quarterly tabletop exercises and technical disaster recovery simulations to ensure internal teams and external vendors can effectively execute the recovery plan.</w:t>
      </w:r>
    </w:p>
    <w:p w14:paraId="6BE05088" w14:textId="77777777" w:rsidR="00704258" w:rsidRPr="00704258" w:rsidRDefault="00000000" w:rsidP="00704258">
      <w:pPr>
        <w:rPr>
          <w:sz w:val="22"/>
          <w:szCs w:val="22"/>
        </w:rPr>
      </w:pPr>
      <w:r>
        <w:rPr>
          <w:sz w:val="22"/>
          <w:szCs w:val="22"/>
        </w:rPr>
        <w:pict w14:anchorId="4A68D1B5">
          <v:rect id="_x0000_i1029" style="width:0;height:1.5pt" o:hralign="center" o:hrstd="t" o:hr="t" fillcolor="#a0a0a0" stroked="f"/>
        </w:pict>
      </w:r>
    </w:p>
    <w:p w14:paraId="177E519E" w14:textId="77777777" w:rsidR="00704258" w:rsidRPr="00704258" w:rsidRDefault="00704258" w:rsidP="00704258">
      <w:pPr>
        <w:rPr>
          <w:b/>
          <w:bCs/>
          <w:sz w:val="22"/>
          <w:szCs w:val="22"/>
        </w:rPr>
      </w:pPr>
      <w:r w:rsidRPr="00704258">
        <w:rPr>
          <w:b/>
          <w:bCs/>
          <w:sz w:val="22"/>
          <w:szCs w:val="22"/>
        </w:rPr>
        <w:t>4. Critical Analysis of Continuous Updates to Security Regulations and Standards</w:t>
      </w:r>
    </w:p>
    <w:p w14:paraId="640DD690" w14:textId="7022E7FC" w:rsidR="00704258" w:rsidRPr="00704258" w:rsidRDefault="003737E5" w:rsidP="00704258">
      <w:pPr>
        <w:rPr>
          <w:sz w:val="22"/>
          <w:szCs w:val="22"/>
        </w:rPr>
      </w:pPr>
      <w:r w:rsidRPr="003737E5">
        <w:rPr>
          <w:sz w:val="22"/>
          <w:szCs w:val="22"/>
        </w:rPr>
        <w:t>Maintaining an updated and adaptable governance posture is a strategic imperative. Information security frameworks can no longer be considered as static check-box exercises; they must be dynamic, ever-changing programs.</w:t>
      </w:r>
    </w:p>
    <w:p w14:paraId="01ED4D0D" w14:textId="77777777" w:rsidR="00704258" w:rsidRPr="00704258" w:rsidRDefault="00704258" w:rsidP="00704258">
      <w:pPr>
        <w:rPr>
          <w:b/>
          <w:bCs/>
          <w:sz w:val="22"/>
          <w:szCs w:val="22"/>
        </w:rPr>
      </w:pPr>
      <w:r w:rsidRPr="00704258">
        <w:rPr>
          <w:b/>
          <w:bCs/>
          <w:sz w:val="22"/>
          <w:szCs w:val="22"/>
        </w:rPr>
        <w:t>4.1 Evolving Global Threat Landscapes</w:t>
      </w:r>
    </w:p>
    <w:p w14:paraId="07B18D12" w14:textId="597208A8" w:rsidR="00704258" w:rsidRPr="00704258" w:rsidRDefault="003B0A8B" w:rsidP="00704258">
      <w:pPr>
        <w:rPr>
          <w:sz w:val="22"/>
          <w:szCs w:val="22"/>
        </w:rPr>
      </w:pPr>
      <w:r w:rsidRPr="003B0A8B">
        <w:rPr>
          <w:sz w:val="22"/>
          <w:szCs w:val="22"/>
        </w:rPr>
        <w:t>Cyber threats evolve swiftly as threat actors use new approaches such as AI-driven automated vulnerability identification, polymorphic malware, and supply-chain attacks. Static security postures fail because they assess risk using historical data rather than current, evolving threats.</w:t>
      </w:r>
    </w:p>
    <w:p w14:paraId="417D9880" w14:textId="77777777" w:rsidR="00704258" w:rsidRPr="00704258" w:rsidRDefault="00704258" w:rsidP="00704258">
      <w:pPr>
        <w:rPr>
          <w:sz w:val="22"/>
          <w:szCs w:val="22"/>
        </w:rPr>
      </w:pPr>
      <w:r w:rsidRPr="00704258">
        <w:rPr>
          <w:sz w:val="22"/>
          <w:szCs w:val="22"/>
        </w:rPr>
        <w:t>For example, traditional perimeter security controls cannot defend against modern living-off-the-cloud techniques, where attackers hijack legitimate cloud management tools to move laterally through an environment.</w:t>
      </w:r>
    </w:p>
    <w:p w14:paraId="0A503060" w14:textId="77777777" w:rsidR="00704258" w:rsidRPr="00704258" w:rsidRDefault="00704258" w:rsidP="00704258">
      <w:pPr>
        <w:rPr>
          <w:sz w:val="22"/>
          <w:szCs w:val="22"/>
        </w:rPr>
      </w:pPr>
      <w:r w:rsidRPr="00704258">
        <w:rPr>
          <w:sz w:val="22"/>
          <w:szCs w:val="22"/>
        </w:rPr>
        <w:t xml:space="preserve">By updating security architectures to align with modern frameworks like NIST CSF 2.0, organizations ensure their </w:t>
      </w:r>
      <w:proofErr w:type="spellStart"/>
      <w:r w:rsidRPr="00704258">
        <w:rPr>
          <w:sz w:val="22"/>
          <w:szCs w:val="22"/>
        </w:rPr>
        <w:t>defenses</w:t>
      </w:r>
      <w:proofErr w:type="spellEnd"/>
      <w:r w:rsidRPr="00704258">
        <w:rPr>
          <w:sz w:val="22"/>
          <w:szCs w:val="22"/>
        </w:rPr>
        <w:t xml:space="preserve"> can counter advanced tactics, rather than relying on outdated perimeter controls.</w:t>
      </w:r>
    </w:p>
    <w:p w14:paraId="415C7AD0" w14:textId="77777777" w:rsidR="00704258" w:rsidRPr="00704258" w:rsidRDefault="00704258" w:rsidP="00704258">
      <w:pPr>
        <w:rPr>
          <w:b/>
          <w:bCs/>
          <w:sz w:val="22"/>
          <w:szCs w:val="22"/>
        </w:rPr>
      </w:pPr>
      <w:r w:rsidRPr="00704258">
        <w:rPr>
          <w:b/>
          <w:bCs/>
          <w:sz w:val="22"/>
          <w:szCs w:val="22"/>
        </w:rPr>
        <w:t>4.2 Proliferation of Emerging Technologies</w:t>
      </w:r>
    </w:p>
    <w:p w14:paraId="51CAC39B" w14:textId="30E692E7" w:rsidR="004B2BFC" w:rsidRDefault="00211000" w:rsidP="00704258">
      <w:pPr>
        <w:rPr>
          <w:sz w:val="22"/>
          <w:szCs w:val="22"/>
        </w:rPr>
      </w:pPr>
      <w:r w:rsidRPr="00211000">
        <w:rPr>
          <w:sz w:val="22"/>
          <w:szCs w:val="22"/>
        </w:rPr>
        <w:t xml:space="preserve">There is an increasing dependence on sophisticated technologies, including IoT networks and AI analytics, which introduce new vulnerabilities that traditional compliance frameworks were not </w:t>
      </w:r>
      <w:r w:rsidRPr="00211000">
        <w:rPr>
          <w:sz w:val="22"/>
          <w:szCs w:val="22"/>
        </w:rPr>
        <w:lastRenderedPageBreak/>
        <w:t>designed to address. Legacy standards typically presupposed well-defined enterprise networks with reliable, centralized endpoints. There were no specific recommendations for thousands of resource-constrained IoT sensors that couldn’t run traditional security software.</w:t>
      </w:r>
    </w:p>
    <w:p w14:paraId="4F6D5E4B" w14:textId="77777777" w:rsidR="00F47F67" w:rsidRDefault="00F47F67" w:rsidP="00704258"/>
    <w:p w14:paraId="1F74C861" w14:textId="0D10512F" w:rsidR="00704258" w:rsidRPr="00704258" w:rsidRDefault="00F84610" w:rsidP="00704258">
      <w:r>
        <w:rPr>
          <w:noProof/>
          <w:sz w:val="22"/>
          <w:szCs w:val="22"/>
        </w:rPr>
        <mc:AlternateContent>
          <mc:Choice Requires="wps">
            <w:drawing>
              <wp:anchor distT="0" distB="0" distL="114300" distR="114300" simplePos="0" relativeHeight="251677699" behindDoc="0" locked="0" layoutInCell="1" allowOverlap="1" wp14:anchorId="46072555" wp14:editId="78AEC42E">
                <wp:simplePos x="0" y="0"/>
                <wp:positionH relativeFrom="column">
                  <wp:posOffset>2099462</wp:posOffset>
                </wp:positionH>
                <wp:positionV relativeFrom="paragraph">
                  <wp:posOffset>27178</wp:posOffset>
                </wp:positionV>
                <wp:extent cx="109728" cy="2823566"/>
                <wp:effectExtent l="0" t="0" r="24130" b="34290"/>
                <wp:wrapNone/>
                <wp:docPr id="1284157162" name="Straight Connector 14"/>
                <wp:cNvGraphicFramePr/>
                <a:graphic xmlns:a="http://schemas.openxmlformats.org/drawingml/2006/main">
                  <a:graphicData uri="http://schemas.microsoft.com/office/word/2010/wordprocessingShape">
                    <wps:wsp>
                      <wps:cNvCnPr/>
                      <wps:spPr>
                        <a:xfrm>
                          <a:off x="0" y="0"/>
                          <a:ext cx="109728" cy="2823566"/>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6D0FBCA" id="Straight Connector 14" o:spid="_x0000_s1026" style="position:absolute;z-index:251677699;visibility:visible;mso-wrap-style:square;mso-wrap-distance-left:9pt;mso-wrap-distance-top:0;mso-wrap-distance-right:9pt;mso-wrap-distance-bottom:0;mso-position-horizontal:absolute;mso-position-horizontal-relative:text;mso-position-vertical:absolute;mso-position-vertical-relative:text" from="165.3pt,2.15pt" to="173.9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o9ooQEAAJkDAAAOAAAAZHJzL2Uyb0RvYy54bWysU8lu2zAQvRfIPxC8x1qCuqlgOYcE6SVI&#10;gy4fwFBDiwA3DFlL/vsOaVsu2gIBil4oLvPezHsz2tzN1rA9YNTe9bxZ1ZyBk37Qbtfz798er285&#10;i0m4QRjvoOcHiPxue/VuM4UOWj96MwAyInGxm0LPx5RCV1VRjmBFXPkAjh6VRysSHXFXDSgmYrem&#10;aut6XU0eh4BeQox0+3B85NvCrxTI9FmpCImZnlNtqaxY1te8VtuN6HYowqjlqQzxD1VYoR0lXage&#10;RBLsB+o/qKyW6KNXaSW9rbxSWkLRQGqa+jc1X0cRoGghc2JYbIr/j1Y+7+/dC5INU4hdDC+YVcwK&#10;bf5SfWwuZh0Ws2BOTNJlU3/80FJ3JT21t+3N+/U6u1ld0AFj+gTesrzpudEuixGd2D/FdAw9hxDu&#10;kr/s0sFADjbuCyimB8rYFnQZDbg3yPaCmiqkBJeaU+oSnWFKG7MA67eBp/gMhTI2C7h5G7wgSmbv&#10;0gK22nn8G0GazyWrY/zZgaPubMGrHw6lM8Ua6n8x9zSrecB+PRf45Y/a/gQAAP//AwBQSwMEFAAG&#10;AAgAAAAhAPE0KuvcAAAACQEAAA8AAABkcnMvZG93bnJldi54bWxMj0FLxDAUhO+C/yE8wZubaMvq&#10;1qaLVsSLsNgVz2+b2BaTl9Jku/Xf+zzpcZhh5ptyu3gnZjvFIZCG65UCYakNZqBOw/v++eoORExI&#10;Bl0gq+HbRthW52clFiac6M3OTeoEl1AsUEOf0lhIGdveeoyrMFpi7zNMHhPLqZNmwhOXeydvlFpL&#10;jwPxQo+jrXvbfjVHr0G+yseXsHPhox5678K+mfGp1vryYnm4B5Hskv7C8IvP6FAx0yEcyUThNGSZ&#10;WnNUQ56BYD/LbzcgDqzzjQJZlfL/g+oHAAD//wMAUEsBAi0AFAAGAAgAAAAhALaDOJL+AAAA4QEA&#10;ABMAAAAAAAAAAAAAAAAAAAAAAFtDb250ZW50X1R5cGVzXS54bWxQSwECLQAUAAYACAAAACEAOP0h&#10;/9YAAACUAQAACwAAAAAAAAAAAAAAAAAvAQAAX3JlbHMvLnJlbHNQSwECLQAUAAYACAAAACEAuzqP&#10;aKEBAACZAwAADgAAAAAAAAAAAAAAAAAuAgAAZHJzL2Uyb0RvYy54bWxQSwECLQAUAAYACAAAACEA&#10;8TQq69wAAAAJAQAADwAAAAAAAAAAAAAAAAD7AwAAZHJzL2Rvd25yZXYueG1sUEsFBgAAAAAEAAQA&#10;8wAAAAQFAAAAAA==&#10;" strokecolor="#156082 [3204]" strokeweight="1.5pt">
                <v:stroke joinstyle="miter"/>
              </v:line>
            </w:pict>
          </mc:Fallback>
        </mc:AlternateContent>
      </w:r>
      <w:r w:rsidR="00704258" w:rsidRPr="00704258">
        <w:rPr>
          <w:sz w:val="22"/>
          <w:szCs w:val="22"/>
        </w:rPr>
        <w:t xml:space="preserve">Traditional Corporate Network               </w:t>
      </w:r>
      <w:r w:rsidR="004B2BFC">
        <w:rPr>
          <w:sz w:val="22"/>
          <w:szCs w:val="22"/>
        </w:rPr>
        <w:t xml:space="preserve">                 </w:t>
      </w:r>
      <w:r w:rsidR="00704258" w:rsidRPr="00704258">
        <w:rPr>
          <w:sz w:val="22"/>
          <w:szCs w:val="22"/>
        </w:rPr>
        <w:t>Modern Decentralised Cloud Infrastructure</w:t>
      </w:r>
    </w:p>
    <w:p w14:paraId="25BC8845" w14:textId="369BFAB6" w:rsidR="54BC4B94" w:rsidRDefault="00507782" w:rsidP="54BC4B94">
      <w:pPr>
        <w:rPr>
          <w:sz w:val="22"/>
          <w:szCs w:val="22"/>
        </w:rPr>
      </w:pPr>
      <w:r>
        <w:rPr>
          <w:noProof/>
          <w:sz w:val="22"/>
          <w:szCs w:val="22"/>
        </w:rPr>
        <mc:AlternateContent>
          <mc:Choice Requires="wps">
            <w:drawing>
              <wp:anchor distT="0" distB="0" distL="114300" distR="114300" simplePos="0" relativeHeight="251649536" behindDoc="0" locked="0" layoutInCell="1" allowOverlap="1" wp14:anchorId="4F7E5F4F" wp14:editId="492C693E">
                <wp:simplePos x="0" y="0"/>
                <wp:positionH relativeFrom="column">
                  <wp:posOffset>3159989</wp:posOffset>
                </wp:positionH>
                <wp:positionV relativeFrom="paragraph">
                  <wp:posOffset>9982</wp:posOffset>
                </wp:positionV>
                <wp:extent cx="2209190" cy="504748"/>
                <wp:effectExtent l="0" t="0" r="19685" b="10160"/>
                <wp:wrapNone/>
                <wp:docPr id="13017845" name="Text Box 8"/>
                <wp:cNvGraphicFramePr/>
                <a:graphic xmlns:a="http://schemas.openxmlformats.org/drawingml/2006/main">
                  <a:graphicData uri="http://schemas.microsoft.com/office/word/2010/wordprocessingShape">
                    <wps:wsp>
                      <wps:cNvSpPr txBox="1"/>
                      <wps:spPr>
                        <a:xfrm>
                          <a:off x="0" y="0"/>
                          <a:ext cx="2209190" cy="504748"/>
                        </a:xfrm>
                        <a:prstGeom prst="rect">
                          <a:avLst/>
                        </a:prstGeom>
                        <a:solidFill>
                          <a:schemeClr val="lt1"/>
                        </a:solidFill>
                        <a:ln w="6350">
                          <a:solidFill>
                            <a:prstClr val="black"/>
                          </a:solidFill>
                        </a:ln>
                      </wps:spPr>
                      <wps:txbx>
                        <w:txbxContent>
                          <w:p w14:paraId="073A8A48" w14:textId="39C97E2A" w:rsidR="00CA2732" w:rsidRDefault="007A6F7A">
                            <w:r w:rsidRPr="007A6F7A">
                              <w:t>AWS / Azure Cloud 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7E5F4F" id="Text Box 8" o:spid="_x0000_s1027" type="#_x0000_t202" style="position:absolute;margin-left:248.8pt;margin-top:.8pt;width:173.95pt;height:39.7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bY5OgIAAIMEAAAOAAAAZHJzL2Uyb0RvYy54bWysVE1v2zAMvQ/YfxB0X+xkSdsYcYosRYYB&#10;QVsgHXpWZCk2JouapMTOfv0o2flot9Owi0yJ1BP5+OjZfVsrchDWVaBzOhyklAjNoaj0LqffX1af&#10;7ihxnumCKdAip0fh6P3844dZYzIxghJUISxBEO2yxuS09N5kSeJ4KWrmBmCERqcEWzOPW7tLCssa&#10;RK9VMkrTm6QBWxgLXDiHpw+dk84jvpSC+ycpnfBE5RRz83G1cd2GNZnPWLazzJQV79Ng/5BFzSqN&#10;j56hHphnZG+rP6DqiltwIP2AQ52AlBUXsQasZpi+q2ZTMiNiLUiOM2ea3P+D5Y+HjXm2xLdfoMUG&#10;BkIa4zKHh6GeVto6fDFTgn6k8HimTbSecDwcjdLpcIoujr5JOr4d3wWY5HLbWOe/CqhJMHJqsS2R&#10;LXZYO9+FnkLCYw5UVawqpeImSEEslSUHhk1UPuaI4G+ilCZNTm8+T9II/MYXoM/3t4rxH316V1GI&#10;pzTmfKk9WL7dtqQqrnjZQnFEuix0SnKGryqEXzPnn5lF6SANOA7+CRepAHOC3qKkBPvrb+chHjuK&#10;XkoalGJO3c89s4IS9U1jr6fD8ThoN27Gk9sRbuy1Z3vt0ft6CUjUEAfP8GiGeK9OprRQv+LULMKr&#10;6GKa49s59Sdz6bsBwanjYrGIQahWw/xabwwP0KExgdaX9pVZ07fVoyAe4SRalr3rbhcbbmpY7D3I&#10;KrY+8Nyx2tOPSo/i6acyjNL1PkZd/h3z3wAAAP//AwBQSwMEFAAGAAgAAAAhAGzdFx3bAAAACAEA&#10;AA8AAABkcnMvZG93bnJldi54bWxMj0FPwzAMhe9I/IfISNxYWrSNrjSdAA0unBiIs9dkSUTjVE3W&#10;lX+POcHJtt7T8/ea7Rx6MZkx+UgKykUBwlAXtSer4OP9+aYCkTKSxj6SUfBtEmzby4sGax3P9Gam&#10;fbaCQyjVqMDlPNRSps6ZgGkRB0OsHeMYMPM5WqlHPHN46OVtUaxlQE/8weFgnpzpvvanoGD3aDe2&#10;q3B0u0p7P82fx1f7otT11fxwDyKbOf+Z4Ref0aFlpkM8kU6iV7Dc3K3ZygIP1qvlagXiwEtZgmwb&#10;+b9A+wMAAP//AwBQSwECLQAUAAYACAAAACEAtoM4kv4AAADhAQAAEwAAAAAAAAAAAAAAAAAAAAAA&#10;W0NvbnRlbnRfVHlwZXNdLnhtbFBLAQItABQABgAIAAAAIQA4/SH/1gAAAJQBAAALAAAAAAAAAAAA&#10;AAAAAC8BAABfcmVscy8ucmVsc1BLAQItABQABgAIAAAAIQD8RbY5OgIAAIMEAAAOAAAAAAAAAAAA&#10;AAAAAC4CAABkcnMvZTJvRG9jLnhtbFBLAQItABQABgAIAAAAIQBs3Rcd2wAAAAgBAAAPAAAAAAAA&#10;AAAAAAAAAJQEAABkcnMvZG93bnJldi54bWxQSwUGAAAAAAQABADzAAAAnAUAAAAA&#10;" fillcolor="white [3201]" strokeweight=".5pt">
                <v:textbox>
                  <w:txbxContent>
                    <w:p w14:paraId="073A8A48" w14:textId="39C97E2A" w:rsidR="00CA2732" w:rsidRDefault="007A6F7A">
                      <w:r w:rsidRPr="007A6F7A">
                        <w:t>AWS / Azure Cloud Production</w:t>
                      </w:r>
                    </w:p>
                  </w:txbxContent>
                </v:textbox>
              </v:shape>
            </w:pict>
          </mc:Fallback>
        </mc:AlternateContent>
      </w:r>
      <w:r w:rsidRPr="00552392">
        <w:rPr>
          <w:noProof/>
          <w:sz w:val="22"/>
          <w:szCs w:val="22"/>
        </w:rPr>
        <mc:AlternateContent>
          <mc:Choice Requires="wps">
            <w:drawing>
              <wp:anchor distT="45720" distB="45720" distL="114300" distR="114300" simplePos="0" relativeHeight="251640320" behindDoc="0" locked="0" layoutInCell="1" allowOverlap="1" wp14:anchorId="103ADEF1" wp14:editId="1163A497">
                <wp:simplePos x="0" y="0"/>
                <wp:positionH relativeFrom="margin">
                  <wp:posOffset>-380390</wp:posOffset>
                </wp:positionH>
                <wp:positionV relativeFrom="paragraph">
                  <wp:posOffset>137948</wp:posOffset>
                </wp:positionV>
                <wp:extent cx="1850390" cy="372745"/>
                <wp:effectExtent l="0" t="0" r="1651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0390" cy="372745"/>
                        </a:xfrm>
                        <a:prstGeom prst="rect">
                          <a:avLst/>
                        </a:prstGeom>
                        <a:solidFill>
                          <a:srgbClr val="FFFFFF"/>
                        </a:solidFill>
                        <a:ln w="9525">
                          <a:solidFill>
                            <a:srgbClr val="000000"/>
                          </a:solidFill>
                          <a:miter lim="800000"/>
                          <a:headEnd/>
                          <a:tailEnd/>
                        </a:ln>
                      </wps:spPr>
                      <wps:txbx>
                        <w:txbxContent>
                          <w:p w14:paraId="7128C17E" w14:textId="4829CE57" w:rsidR="00552392" w:rsidRDefault="00EB0741">
                            <w:r w:rsidRPr="00EB0741">
                              <w:t>Corporate Data Center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3ADEF1" id="_x0000_s1028" type="#_x0000_t202" style="position:absolute;margin-left:-29.95pt;margin-top:10.85pt;width:145.7pt;height:29.35pt;z-index:251640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HQhFQIAACYEAAAOAAAAZHJzL2Uyb0RvYy54bWysU9tu2zAMfR+wfxD0vthxkyUx4hRdugwD&#10;ugvQ7gNkWY6FyaImKbGzry8lu2nWbS/D/CCIJnVIHh6ur/tWkaOwToIu6HSSUiI0h0rqfUG/Peze&#10;LClxnumKKdCioCfh6PXm9at1Z3KRQQOqEpYgiHZ5ZwraeG/yJHG8ES1zEzBCo7MG2zKPpt0nlWUd&#10;orcqydL0bdKBrYwFLpzDv7eDk24ifl0L7r/UtROeqIJibT6eNp5lOJPNmuV7y0wj+VgG+4cqWiY1&#10;Jj1D3TLPyMHK36BayS04qP2EQ5tAXUsuYg/YzTR90c19w4yIvSA5zpxpcv8Pln8+3puvlvj+HfQ4&#10;wNiEM3fAvzuiYdswvRc31kLXCFZh4mmgLOmMy8engWqXuwBSdp+gwiGzg4cI1Ne2DaxgnwTRcQCn&#10;M+mi94SHlMt5erVCF0ff1SJbzOYxBcufXhvr/AcBLQmXglocakRnxzvnQzUsfwoJyRwoWe2kUtGw&#10;+3KrLDkyFMAufiP6L2FKk66gq3k2Hwj4K0Qavz9BtNKjkpVsC7o8B7E80PZeV1Fnnkk13LFkpUce&#10;A3UDib4veyKrgmYhQaC1hOqExFoYhIuLhpcG7E9KOhRtQd2PA7OCEvVR43BW09ksqDwas/kiQ8Ne&#10;espLD9McoQrqKRmuWx83I/Cm4QaHWMvI73MlY8koxkj7uDhB7Zd2jHpe780jAAAA//8DAFBLAwQU&#10;AAYACAAAACEAxhGbzt8AAAAJAQAADwAAAGRycy9kb3ducmV2LnhtbEyPTU/DMAxA70j8h8hIXNCW&#10;tvtsaTohJBC7wTbBNWu8tiJxSpJ15d8TTnC0/PT8XG5Go9mAzneWBKTTBBhSbVVHjYDD/mmyBuaD&#10;JCW1JRTwjR421fVVKQtlL/SGwy40LErIF1JAG0JfcO7rFo30U9sjxd3JOiNDHF3DlZOXKDeaZ0my&#10;5EZ2FC+0ssfHFuvP3dkIWM9fhg+/nb2+18uTzsPdanj+ckLc3owP98ACjuEPht/8mA5VbDraMynP&#10;tIDJIs8jKiBLV8AikM3SBbBjtCdz4FXJ/39Q/QAAAP//AwBQSwECLQAUAAYACAAAACEAtoM4kv4A&#10;AADhAQAAEwAAAAAAAAAAAAAAAAAAAAAAW0NvbnRlbnRfVHlwZXNdLnhtbFBLAQItABQABgAIAAAA&#10;IQA4/SH/1gAAAJQBAAALAAAAAAAAAAAAAAAAAC8BAABfcmVscy8ucmVsc1BLAQItABQABgAIAAAA&#10;IQDsuHQhFQIAACYEAAAOAAAAAAAAAAAAAAAAAC4CAABkcnMvZTJvRG9jLnhtbFBLAQItABQABgAI&#10;AAAAIQDGEZvO3wAAAAkBAAAPAAAAAAAAAAAAAAAAAG8EAABkcnMvZG93bnJldi54bWxQSwUGAAAA&#10;AAQABADzAAAAewUAAAAA&#10;">
                <v:textbox>
                  <w:txbxContent>
                    <w:p w14:paraId="7128C17E" w14:textId="4829CE57" w:rsidR="00552392" w:rsidRDefault="00EB0741">
                      <w:r w:rsidRPr="00EB0741">
                        <w:t>Corporate Data Center</w:t>
                      </w:r>
                    </w:p>
                  </w:txbxContent>
                </v:textbox>
                <w10:wrap type="square" anchorx="margin"/>
              </v:shape>
            </w:pict>
          </mc:Fallback>
        </mc:AlternateContent>
      </w:r>
    </w:p>
    <w:p w14:paraId="336C92BD" w14:textId="655A4248" w:rsidR="54BC4B94" w:rsidRDefault="005F1DA0" w:rsidP="54BC4B94">
      <w:pPr>
        <w:rPr>
          <w:sz w:val="22"/>
          <w:szCs w:val="22"/>
        </w:rPr>
      </w:pPr>
      <w:r>
        <w:rPr>
          <w:noProof/>
          <w:sz w:val="22"/>
          <w:szCs w:val="22"/>
        </w:rPr>
        <mc:AlternateContent>
          <mc:Choice Requires="wps">
            <w:drawing>
              <wp:anchor distT="0" distB="0" distL="114300" distR="114300" simplePos="0" relativeHeight="251681280" behindDoc="0" locked="0" layoutInCell="1" allowOverlap="1" wp14:anchorId="364CADEA" wp14:editId="5CC240BC">
                <wp:simplePos x="0" y="0"/>
                <wp:positionH relativeFrom="column">
                  <wp:posOffset>3702381</wp:posOffset>
                </wp:positionH>
                <wp:positionV relativeFrom="paragraph">
                  <wp:posOffset>215189</wp:posOffset>
                </wp:positionV>
                <wp:extent cx="45719" cy="709777"/>
                <wp:effectExtent l="76200" t="38100" r="69215" b="52705"/>
                <wp:wrapNone/>
                <wp:docPr id="888234835" name="Straight Arrow Connector 13"/>
                <wp:cNvGraphicFramePr/>
                <a:graphic xmlns:a="http://schemas.openxmlformats.org/drawingml/2006/main">
                  <a:graphicData uri="http://schemas.microsoft.com/office/word/2010/wordprocessingShape">
                    <wps:wsp>
                      <wps:cNvCnPr/>
                      <wps:spPr>
                        <a:xfrm>
                          <a:off x="0" y="0"/>
                          <a:ext cx="45719" cy="709777"/>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737FEE" id="Straight Arrow Connector 13" o:spid="_x0000_s1026" type="#_x0000_t32" style="position:absolute;margin-left:291.55pt;margin-top:16.95pt;width:3.6pt;height:55.9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DtjyAEAAOoDAAAOAAAAZHJzL2Uyb0RvYy54bWysU02P1DAMvSPxH6LcmbYjYNhqOnuYBS4I&#10;Vnz8gGzqtJHSJHLMtP33JOlMB8EKpNVe3CT2s/2e3f3tNBh2Agza2YZXm5IzsNK12nYN//H9w6t3&#10;nAUSthXGWWj4DIHfHl6+2I++hq3rnWkBWUxiQz36hvdEvi6KIHsYRNg4DzY6lcNBULxiV7Qoxph9&#10;MMW2LN8Wo8PWo5MQQny9W5z8kPMrBZK+KBWAmGl47I2yxWwfki0Oe1F3KHyv5bkN8YQuBqFtLLqm&#10;uhMk2E/Uf6UatEQXnKKNdEPhlNISMofIpir/YPOtFx4ylyhO8KtM4fnSys+no73HKMPoQx38PSYW&#10;k8IhfWN/bMpizatYMBGT8fH1m111w5mMnl15s9vtkpbFFesx0EdwA0uHhgdCobuejs7aOBWHVdZL&#10;nD4FWoAXQCpsbLI9iPa9bRnNPq4OoRa2M7DMjIQ2j/tiDwleXAnlE80GltRfQTHdRgrb3ELeNTga&#10;ZCcRt0RICZaqMxtjY3SCKW3MCiz/DzzHJyjkPVzBC/F/Vl0RubKztIIHbR0+Vp2mS8tqib8osPBO&#10;Ejy4ds6jztLEhcrzOi9/2tjf7xl+/UUPvwAAAP//AwBQSwMEFAAGAAgAAAAhAOxn84zeAAAACgEA&#10;AA8AAABkcnMvZG93bnJldi54bWxMj8FOg0AQQO8m/sNmTLzZpSKVIktjtF6bSDVNb1NYAWVnye4W&#10;8O8dT3qczMubN/lmNr0YtfOdJQXLRQRCU2XrjhoFb/uXmxSED0g19pa0gm/tYVNcXuSY1XaiVz2W&#10;oREsIZ+hgjaEIZPSV6026Bd20MS7D+sMBh5dI2uHE8tNL2+jaCUNdsQXWhz0U6urr/Js2DJ9pu55&#10;3B5xOrynK7nfbWW5U+r6an58ABH0HP5g+M3ndCi46WTPVHvRK0jSeMmogjheg2AgWUcxiBOTd8k9&#10;yCKX/18ofgAAAP//AwBQSwECLQAUAAYACAAAACEAtoM4kv4AAADhAQAAEwAAAAAAAAAAAAAAAAAA&#10;AAAAW0NvbnRlbnRfVHlwZXNdLnhtbFBLAQItABQABgAIAAAAIQA4/SH/1gAAAJQBAAALAAAAAAAA&#10;AAAAAAAAAC8BAABfcmVscy8ucmVsc1BLAQItABQABgAIAAAAIQCYTDtjyAEAAOoDAAAOAAAAAAAA&#10;AAAAAAAAAC4CAABkcnMvZTJvRG9jLnhtbFBLAQItABQABgAIAAAAIQDsZ/OM3gAAAAoBAAAPAAAA&#10;AAAAAAAAAAAAACIEAABkcnMvZG93bnJldi54bWxQSwUGAAAAAAQABADzAAAALQUAAAAA&#10;" strokecolor="#156082 [3204]" strokeweight="1.5pt">
                <v:stroke startarrow="block" endarrow="block" joinstyle="miter"/>
              </v:shape>
            </w:pict>
          </mc:Fallback>
        </mc:AlternateContent>
      </w:r>
      <w:r w:rsidR="00971304">
        <w:rPr>
          <w:noProof/>
          <w:sz w:val="22"/>
          <w:szCs w:val="22"/>
        </w:rPr>
        <mc:AlternateContent>
          <mc:Choice Requires="wps">
            <w:drawing>
              <wp:anchor distT="0" distB="0" distL="114300" distR="114300" simplePos="0" relativeHeight="251663872" behindDoc="0" locked="0" layoutInCell="1" allowOverlap="1" wp14:anchorId="21997F05" wp14:editId="5E242864">
                <wp:simplePos x="0" y="0"/>
                <wp:positionH relativeFrom="column">
                  <wp:posOffset>402336</wp:posOffset>
                </wp:positionH>
                <wp:positionV relativeFrom="paragraph">
                  <wp:posOffset>266725</wp:posOffset>
                </wp:positionV>
                <wp:extent cx="0" cy="351130"/>
                <wp:effectExtent l="76200" t="38100" r="76200" b="49530"/>
                <wp:wrapNone/>
                <wp:docPr id="1394090466" name="Straight Arrow Connector 13"/>
                <wp:cNvGraphicFramePr/>
                <a:graphic xmlns:a="http://schemas.openxmlformats.org/drawingml/2006/main">
                  <a:graphicData uri="http://schemas.microsoft.com/office/word/2010/wordprocessingShape">
                    <wps:wsp>
                      <wps:cNvCnPr/>
                      <wps:spPr>
                        <a:xfrm>
                          <a:off x="0" y="0"/>
                          <a:ext cx="0" cy="35113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5D227EB" id="Straight Arrow Connector 13" o:spid="_x0000_s1026" type="#_x0000_t32" style="position:absolute;margin-left:31.7pt;margin-top:21pt;width:0;height:27.65pt;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gJwQEAAOYDAAAOAAAAZHJzL2Uyb0RvYy54bWysU02P0zAQvSPxHyzfaZKuQKhquofuwgXB&#10;Ctgf4HXGiSV/yR6a5N8zdtoUwQoktJeJPfZ7M+95sr+drGEniEl71/JmU3MGTvpOu77lj98/vHnP&#10;WULhOmG8g5bPkPjt4fWr/Rh2sPWDNx1ERiQu7cbQ8gEx7KoqyQGsSBsfwNGh8tEKpG3sqy6Kkdit&#10;qbZ1/a4afexC9BJSouzdcsgPhV8pkPhFqQTITMupNywxlviUY3XYi10fRRi0PLch/qMLK7SjoivV&#10;nUDBfkT9B5XVMvrkFW6kt5VXSksoGkhNU/+m5tsgAhQtZE4Kq03p5Wjl59PRPUSyYQxpl8JDzCom&#10;FW3+Un9sKmbNq1kwIZNLUlL25m3T3BQfqysuxIQfwVuWFy1PGIXuBzx65+hFfGyKV+L0KSFVJuAF&#10;kIsal+MAort3HcM50Nhg1ML1Bpb3QqHN82dEleHVVUxZ4Wxgof4KiumO2t+WFsqcwdFEdhI0IUJK&#10;cNjkKoWJbmeY0saswPrfwPP9DIUygyt4Ef7XqiuiVPYOV7DVzsfnquN0aVkt9y8OLLqzBU++m8sz&#10;F2tomIrC8+Dnaf11X+DX3/PwEwAA//8DAFBLAwQUAAYACAAAACEAXDDhVtsAAAAHAQAADwAAAGRy&#10;cy9kb3ducmV2LnhtbEyPwU7DMBBE70j8g7VI3KhDW4UQ4lQIyrUSKQhx28ZLEojtyHaT8PcsvcBx&#10;NKO3b4vNbHoxkg+dswquFwkIsrXTnW0UvOyfrjIQIaLV2DtLCr4pwKY8Pysw126yzzRWsREMsSFH&#10;BW2MQy5lqFsyGBZuIMvdh/MGI0ffSO1xYrjp5TJJUmmws3yhxYEeWqq/qqNhyvSZ+cdx+47T22uW&#10;yv1uK6udUpcX8/0diEhz/BvDrz6rQ8lOB3e0OoheQbpa81LBeskvcX/KBwW3NyuQZSH/+5c/AAAA&#10;//8DAFBLAQItABQABgAIAAAAIQC2gziS/gAAAOEBAAATAAAAAAAAAAAAAAAAAAAAAABbQ29udGVu&#10;dF9UeXBlc10ueG1sUEsBAi0AFAAGAAgAAAAhADj9If/WAAAAlAEAAAsAAAAAAAAAAAAAAAAALwEA&#10;AF9yZWxzLy5yZWxzUEsBAi0AFAAGAAgAAAAhAHuz+AnBAQAA5gMAAA4AAAAAAAAAAAAAAAAALgIA&#10;AGRycy9lMm9Eb2MueG1sUEsBAi0AFAAGAAgAAAAhAFww4VbbAAAABwEAAA8AAAAAAAAAAAAAAAAA&#10;GwQAAGRycy9kb3ducmV2LnhtbFBLBQYAAAAABAAEAPMAAAAjBQAAAAA=&#10;" strokecolor="#156082 [3204]" strokeweight="1.5pt">
                <v:stroke startarrow="block" endarrow="block" joinstyle="miter"/>
              </v:shape>
            </w:pict>
          </mc:Fallback>
        </mc:AlternateContent>
      </w:r>
    </w:p>
    <w:p w14:paraId="3EF793B4" w14:textId="6E02328D" w:rsidR="54BC4B94" w:rsidRDefault="005F1DA0" w:rsidP="54BC4B94">
      <w:pPr>
        <w:rPr>
          <w:sz w:val="22"/>
          <w:szCs w:val="22"/>
        </w:rPr>
      </w:pPr>
      <w:r>
        <w:rPr>
          <w:noProof/>
          <w:sz w:val="22"/>
          <w:szCs w:val="22"/>
        </w:rPr>
        <mc:AlternateContent>
          <mc:Choice Requires="wps">
            <w:drawing>
              <wp:anchor distT="0" distB="0" distL="114300" distR="114300" simplePos="0" relativeHeight="251655680" behindDoc="0" locked="0" layoutInCell="1" allowOverlap="1" wp14:anchorId="413AEE39" wp14:editId="24FEAA65">
                <wp:simplePos x="0" y="0"/>
                <wp:positionH relativeFrom="margin">
                  <wp:align>right</wp:align>
                </wp:positionH>
                <wp:positionV relativeFrom="paragraph">
                  <wp:posOffset>127661</wp:posOffset>
                </wp:positionV>
                <wp:extent cx="1821485" cy="402336"/>
                <wp:effectExtent l="0" t="0" r="26670" b="17145"/>
                <wp:wrapNone/>
                <wp:docPr id="1028047620" name="Text Box 9"/>
                <wp:cNvGraphicFramePr/>
                <a:graphic xmlns:a="http://schemas.openxmlformats.org/drawingml/2006/main">
                  <a:graphicData uri="http://schemas.microsoft.com/office/word/2010/wordprocessingShape">
                    <wps:wsp>
                      <wps:cNvSpPr txBox="1"/>
                      <wps:spPr>
                        <a:xfrm>
                          <a:off x="0" y="0"/>
                          <a:ext cx="1821485" cy="402336"/>
                        </a:xfrm>
                        <a:prstGeom prst="rect">
                          <a:avLst/>
                        </a:prstGeom>
                        <a:solidFill>
                          <a:schemeClr val="lt1"/>
                        </a:solidFill>
                        <a:ln w="6350">
                          <a:solidFill>
                            <a:prstClr val="black"/>
                          </a:solidFill>
                        </a:ln>
                      </wps:spPr>
                      <wps:txbx>
                        <w:txbxContent>
                          <w:p w14:paraId="15E40C7B" w14:textId="696A938F" w:rsidR="00CA2732" w:rsidRDefault="007A6F7A">
                            <w:r w:rsidRPr="007A6F7A">
                              <w:t>Encrypted mTLS Link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3AEE39" id="Text Box 9" o:spid="_x0000_s1029" type="#_x0000_t202" style="position:absolute;margin-left:92.2pt;margin-top:10.05pt;width:143.4pt;height:31.7pt;z-index:2516556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vQtOwIAAIMEAAAOAAAAZHJzL2Uyb0RvYy54bWysVE1v2zAMvQ/YfxB0X+x8LjXiFFmKDAOC&#10;tkA69KzIUmJMFjVJiZ39+lGy89Fup2EXmRKpJ/Lx0bP7plLkKKwrQee030spEZpDUepdTr+/rD5N&#10;KXGe6YIp0CKnJ+Ho/fzjh1ltMjGAPahCWIIg2mW1yenee5MlieN7UTHXAyM0OiXYinnc2l1SWFYj&#10;eqWSQZpOkhpsYSxw4RyePrROOo/4Ugrun6R0whOVU8zNx9XGdRvWZD5j2c4ysy95lwb7hywqVmp8&#10;9AL1wDwjB1v+AVWV3IID6XscqgSkLLmINWA1/fRdNZs9MyLWguQ4c6HJ/T9Y/njcmGdLfPMFGmxg&#10;IKQ2LnN4GOpppK3CFzMl6EcKTxfaROMJD5emg/5oOqaEo2+UDobDSYBJrreNdf6rgIoEI6cW2xLZ&#10;Yse1823oOSQ85kCVxapUKm6CFMRSWXJk2ETlY44I/iZKaVLndDIcpxH4jS9AX+5vFeM/uvRuohBP&#10;acz5WnuwfLNtSFnkdHjmZQvFCemy0CrJGb4qEX7NnH9mFqWDDOE4+CdcpALMCTqLkj3YX387D/HY&#10;UfRSUqMUc+p+HpgVlKhvGnt91x+NgnbjZjT+PMCNvfVsbz36UC0Bierj4BkezRDv1dmUFqpXnJpF&#10;eBVdTHN8O6f+bC59OyA4dVwsFjEI1WqYX+uN4QE6NCbQ+tK8Mmu6tnoUxCOcRcuyd91tY8NNDYuD&#10;B1nG1geeW1Y7+lHpUTzdVIZRut3HqOu/Y/4bAAD//wMAUEsDBBQABgAIAAAAIQDxOBOL2gAAAAYB&#10;AAAPAAAAZHJzL2Rvd25yZXYueG1sTI8xT8MwFIR3JP6D9SqxUadBVCbEqQAVFiZaxOzGr7bV2I5s&#10;Nw3/nscE4+lOd9+1m9kPbMKUXQwSVssKGIY+aheMhM/9660AlosKWg0xoIRvzLDprq9a1eh4CR84&#10;7YphVBJyoyTYUsaG89xb9Cov44iBvGNMXhWSyXCd1IXK/cDrqlpzr1ygBatGfLHYn3ZnL2H7bB5M&#10;L1SyW6Gdm+av47t5k/JmMT89Ais4l78w/OITOnTEdIjnoDMbJNCRIqGuVsDIrcWajhwkiLt74F3L&#10;/+N3PwAAAP//AwBQSwECLQAUAAYACAAAACEAtoM4kv4AAADhAQAAEwAAAAAAAAAAAAAAAAAAAAAA&#10;W0NvbnRlbnRfVHlwZXNdLnhtbFBLAQItABQABgAIAAAAIQA4/SH/1gAAAJQBAAALAAAAAAAAAAAA&#10;AAAAAC8BAABfcmVscy8ucmVsc1BLAQItABQABgAIAAAAIQDECvQtOwIAAIMEAAAOAAAAAAAAAAAA&#10;AAAAAC4CAABkcnMvZTJvRG9jLnhtbFBLAQItABQABgAIAAAAIQDxOBOL2gAAAAYBAAAPAAAAAAAA&#10;AAAAAAAAAJUEAABkcnMvZG93bnJldi54bWxQSwUGAAAAAAQABADzAAAAnAUAAAAA&#10;" fillcolor="white [3201]" strokeweight=".5pt">
                <v:textbox>
                  <w:txbxContent>
                    <w:p w14:paraId="15E40C7B" w14:textId="696A938F" w:rsidR="00CA2732" w:rsidRDefault="007A6F7A">
                      <w:r w:rsidRPr="007A6F7A">
                        <w:t>Encrypted mTLS Link</w:t>
                      </w:r>
                    </w:p>
                  </w:txbxContent>
                </v:textbox>
                <w10:wrap anchorx="margin"/>
              </v:shape>
            </w:pict>
          </mc:Fallback>
        </mc:AlternateContent>
      </w:r>
    </w:p>
    <w:p w14:paraId="3710796E" w14:textId="10BC648C" w:rsidR="54BC4B94" w:rsidRDefault="00971304" w:rsidP="54BC4B94">
      <w:pPr>
        <w:rPr>
          <w:sz w:val="22"/>
          <w:szCs w:val="22"/>
        </w:rPr>
      </w:pPr>
      <w:r>
        <w:rPr>
          <w:noProof/>
          <w:sz w:val="22"/>
          <w:szCs w:val="22"/>
        </w:rPr>
        <mc:AlternateContent>
          <mc:Choice Requires="wps">
            <w:drawing>
              <wp:anchor distT="0" distB="0" distL="114300" distR="114300" simplePos="0" relativeHeight="251642368" behindDoc="0" locked="0" layoutInCell="1" allowOverlap="1" wp14:anchorId="0BEFEA10" wp14:editId="48E5FEC4">
                <wp:simplePos x="0" y="0"/>
                <wp:positionH relativeFrom="margin">
                  <wp:posOffset>-124359</wp:posOffset>
                </wp:positionH>
                <wp:positionV relativeFrom="paragraph">
                  <wp:posOffset>62585</wp:posOffset>
                </wp:positionV>
                <wp:extent cx="1185062" cy="402336"/>
                <wp:effectExtent l="0" t="0" r="15240" b="17145"/>
                <wp:wrapNone/>
                <wp:docPr id="247129967" name="Text Box 6"/>
                <wp:cNvGraphicFramePr/>
                <a:graphic xmlns:a="http://schemas.openxmlformats.org/drawingml/2006/main">
                  <a:graphicData uri="http://schemas.microsoft.com/office/word/2010/wordprocessingShape">
                    <wps:wsp>
                      <wps:cNvSpPr txBox="1"/>
                      <wps:spPr>
                        <a:xfrm>
                          <a:off x="0" y="0"/>
                          <a:ext cx="1185062" cy="402336"/>
                        </a:xfrm>
                        <a:prstGeom prst="rect">
                          <a:avLst/>
                        </a:prstGeom>
                        <a:solidFill>
                          <a:schemeClr val="lt1"/>
                        </a:solidFill>
                        <a:ln w="6350">
                          <a:solidFill>
                            <a:prstClr val="black"/>
                          </a:solidFill>
                        </a:ln>
                      </wps:spPr>
                      <wps:txbx>
                        <w:txbxContent>
                          <w:p w14:paraId="45DA05D0" w14:textId="73021C88" w:rsidR="00552392" w:rsidRDefault="00EB0741">
                            <w:r w:rsidRPr="00EB0741">
                              <w:t>Secure 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EFEA10" id="Text Box 6" o:spid="_x0000_s1030" type="#_x0000_t202" style="position:absolute;margin-left:-9.8pt;margin-top:4.95pt;width:93.3pt;height:31.7pt;z-index:2516423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0rOwIAAIMEAAAOAAAAZHJzL2Uyb0RvYy54bWysVE1v2zAMvQ/YfxB0X+x8rjXiFFmKDAOK&#10;tkA69KzIcixMFjVJiZ39+lGy89Fup2EXmRKpJ/Lx0fO7tlbkIKyToHM6HKSUCM2hkHqX0+8v6083&#10;lDjPdMEUaJHTo3D0bvHxw7wxmRhBBaoQliCIdlljclp5b7IkcbwSNXMDMEKjswRbM49bu0sKyxpE&#10;r1UyStNZ0oAtjAUunMPT+85JFxG/LAX3T2XphCcqp5ibj6uN6zasyWLOsp1lppK8T4P9QxY1kxof&#10;PUPdM8/I3so/oGrJLTgo/YBDnUBZSi5iDVjNMH1XzaZiRsRakBxnzjS5/wfLHw8b82yJb79Aiw0M&#10;hDTGZQ4PQz1taevwxUwJ+pHC45k20XrCw6XhzTSdjSjh6Juko/F4FmCSy21jnf8qoCbByKnFtkS2&#10;2OHB+S70FBIec6BksZZKxU2QglgpSw4Mm6h8zBHB30QpTZqczsbTNAK/8QXo8/2tYvxHn95VFOIp&#10;jTlfag+Wb7ctkQVWdeJlC8UR6bLQKckZvpYI/8Ccf2YWpYMM4Tj4J1xKBZgT9BYlFdhffzsP8dhR&#10;9FLSoBRz6n7umRWUqG8ae307nEyCduNmMv08wo299myvPXpfrwCJGuLgGR7NEO/VySwt1K84Ncvw&#10;KrqY5vh2Tv3JXPluQHDquFguYxCq1TD/oDeGB+jQmEDrS/vKrOnb6lEQj3ASLcvedbeLDTc1LPce&#10;ShlbH3juWO3pR6VH8fRTGUbpeh+jLv+OxW8AAAD//wMAUEsDBBQABgAIAAAAIQB+Nm0d3AAAAAgB&#10;AAAPAAAAZHJzL2Rvd25yZXYueG1sTI8xT8MwFIR3JP6D9ZDYWqdUSpMQpwJUWJhoEfNr/GpbxHZk&#10;u2n497gTjKc73X3Xbmc7sIlCNN4JWC0LYOR6L41TAj4Pr4sKWEzoJA7ekYAfirDtbm9abKS/uA+a&#10;9kmxXOJigwJ0SmPDeew1WYxLP5LL3skHiynLoLgMeMnlduAPRVFyi8blBY0jvWjqv/dnK2D3rGrV&#10;Vxj0rpLGTPPX6V29CXF/Nz89Aks0p78wXPEzOnSZ6ejPTkY2CFis6jJHBdQ1sKtfbvK3o4DNeg28&#10;a/n/A90vAAAA//8DAFBLAQItABQABgAIAAAAIQC2gziS/gAAAOEBAAATAAAAAAAAAAAAAAAAAAAA&#10;AABbQ29udGVudF9UeXBlc10ueG1sUEsBAi0AFAAGAAgAAAAhADj9If/WAAAAlAEAAAsAAAAAAAAA&#10;AAAAAAAALwEAAF9yZWxzLy5yZWxzUEsBAi0AFAAGAAgAAAAhAAv4vSs7AgAAgwQAAA4AAAAAAAAA&#10;AAAAAAAALgIAAGRycy9lMm9Eb2MueG1sUEsBAi0AFAAGAAgAAAAhAH42bR3cAAAACAEAAA8AAAAA&#10;AAAAAAAAAAAAlQQAAGRycy9kb3ducmV2LnhtbFBLBQYAAAAABAAEAPMAAACeBQAAAAA=&#10;" fillcolor="white [3201]" strokeweight=".5pt">
                <v:textbox>
                  <w:txbxContent>
                    <w:p w14:paraId="45DA05D0" w14:textId="73021C88" w:rsidR="00552392" w:rsidRDefault="00EB0741">
                      <w:r w:rsidRPr="00EB0741">
                        <w:t>Secure Edge</w:t>
                      </w:r>
                    </w:p>
                  </w:txbxContent>
                </v:textbox>
                <w10:wrap anchorx="margin"/>
              </v:shape>
            </w:pict>
          </mc:Fallback>
        </mc:AlternateContent>
      </w:r>
    </w:p>
    <w:p w14:paraId="5B9001C7" w14:textId="3A01F628" w:rsidR="54BC4B94" w:rsidRDefault="00971304" w:rsidP="54BC4B94">
      <w:pPr>
        <w:rPr>
          <w:sz w:val="22"/>
          <w:szCs w:val="22"/>
        </w:rPr>
      </w:pPr>
      <w:r>
        <w:rPr>
          <w:noProof/>
          <w:sz w:val="22"/>
          <w:szCs w:val="22"/>
        </w:rPr>
        <mc:AlternateContent>
          <mc:Choice Requires="wps">
            <w:drawing>
              <wp:anchor distT="0" distB="0" distL="114300" distR="114300" simplePos="0" relativeHeight="251662848" behindDoc="0" locked="0" layoutInCell="1" allowOverlap="1" wp14:anchorId="7C97C992" wp14:editId="0959EFB8">
                <wp:simplePos x="0" y="0"/>
                <wp:positionH relativeFrom="column">
                  <wp:posOffset>3181350</wp:posOffset>
                </wp:positionH>
                <wp:positionV relativeFrom="paragraph">
                  <wp:posOffset>91948</wp:posOffset>
                </wp:positionV>
                <wp:extent cx="2165299" cy="336499"/>
                <wp:effectExtent l="0" t="0" r="26035" b="26035"/>
                <wp:wrapNone/>
                <wp:docPr id="88049384" name="Text Box 12"/>
                <wp:cNvGraphicFramePr/>
                <a:graphic xmlns:a="http://schemas.openxmlformats.org/drawingml/2006/main">
                  <a:graphicData uri="http://schemas.microsoft.com/office/word/2010/wordprocessingShape">
                    <wps:wsp>
                      <wps:cNvSpPr txBox="1"/>
                      <wps:spPr>
                        <a:xfrm>
                          <a:off x="0" y="0"/>
                          <a:ext cx="2165299" cy="336499"/>
                        </a:xfrm>
                        <a:prstGeom prst="rect">
                          <a:avLst/>
                        </a:prstGeom>
                        <a:solidFill>
                          <a:schemeClr val="lt1"/>
                        </a:solidFill>
                        <a:ln w="6350">
                          <a:solidFill>
                            <a:prstClr val="black"/>
                          </a:solidFill>
                        </a:ln>
                      </wps:spPr>
                      <wps:txbx>
                        <w:txbxContent>
                          <w:p w14:paraId="3F98D135" w14:textId="14C8583D" w:rsidR="007A6F7A" w:rsidRDefault="00182364">
                            <w:r w:rsidRPr="00182364">
                              <w:t>SASE / Zero Trust Gateway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97C992" id="Text Box 12" o:spid="_x0000_s1031" type="#_x0000_t202" style="position:absolute;margin-left:250.5pt;margin-top:7.25pt;width:170.5pt;height:26.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kdCOwIAAIMEAAAOAAAAZHJzL2Uyb0RvYy54bWysVE1v2zAMvQ/YfxB0X5zvNUacIkuRYUDQ&#10;FkiHnhVZjoXJoiYpsbNfP0p2PtrtNOwiUyL1RD4+en7fVIochXUSdEYHvT4lQnPIpd5n9PvL+tMd&#10;Jc4znTMFWmT0JBy9X3z8MK9NKoZQgsqFJQiiXVqbjJbemzRJHC9FxVwPjNDoLMBWzOPW7pPcshrR&#10;K5UM+/1pUoPNjQUunMPTh9ZJFxG/KAT3T0XhhCcqo5ibj6uN6y6syWLO0r1lppS8S4P9QxYVkxof&#10;vUA9MM/Iwco/oCrJLTgofI9DlUBRSC5iDVjNoP+umm3JjIi1IDnOXGhy/w+WPx635tkS33yBBhsY&#10;CKmNSx0ehnqawlbhi5kS9COFpwttovGE4+FwMJ0MZzNKOPpGo+kYbYRJrreNdf6rgIoEI6MW2xLZ&#10;YseN823oOSQ85kDJfC2VipsgBbFSlhwZNlH5mCOCv4lSmtQZnY4m/Qj8xhegL/d3ivEfXXo3UYin&#10;NOZ8rT1Yvtk1ROYZnZx52UF+QrostEpyhq8lwm+Y88/MonSQIRwH/4RLoQBzgs6ipAT762/nIR47&#10;il5KapRiRt3PA7OCEvVNY69ng/E4aDduxpPPQ9zYW8/u1qMP1QqQqAEOnuHRDPFenc3CQvWKU7MM&#10;r6KLaY5vZ9SfzZVvBwSnjovlMgahWg3zG701PECHxgRaX5pXZk3XVo+CeISzaFn6rrttbLipYXnw&#10;UMjY+sBzy2pHPyo9iqebyjBKt/sYdf13LH4DAAD//wMAUEsDBBQABgAIAAAAIQAfaTWU3AAAAAkB&#10;AAAPAAAAZHJzL2Rvd25yZXYueG1sTI/BTsMwEETvSPyDtUjcqNOqKSHEqQAVLpwoiPM23joWsR3Z&#10;bhr+nuUEx50Zzb5ptrMbxEQx2eAVLBcFCPJd0NYbBR/vzzcViJTRaxyCJwXflGDbXl40WOtw9m80&#10;7bMRXOJTjQr6nMdaytT15DAtwkievWOIDjOf0Ugd8czlbpCrothIh9bzhx5Heuqp+9qfnILdo7kz&#10;XYWx31Xa2mn+PL6aF6Wur+aHexCZ5vwXhl98RoeWmQ7h5HUSg4KyWPKWzMa6BMGBar1i4aBgc1uC&#10;bBv5f0H7AwAA//8DAFBLAQItABQABgAIAAAAIQC2gziS/gAAAOEBAAATAAAAAAAAAAAAAAAAAAAA&#10;AABbQ29udGVudF9UeXBlc10ueG1sUEsBAi0AFAAGAAgAAAAhADj9If/WAAAAlAEAAAsAAAAAAAAA&#10;AAAAAAAALwEAAF9yZWxzLy5yZWxzUEsBAi0AFAAGAAgAAAAhAKI6R0I7AgAAgwQAAA4AAAAAAAAA&#10;AAAAAAAALgIAAGRycy9lMm9Eb2MueG1sUEsBAi0AFAAGAAgAAAAhAB9pNZTcAAAACQEAAA8AAAAA&#10;AAAAAAAAAAAAlQQAAGRycy9kb3ducmV2LnhtbFBLBQYAAAAABAAEAPMAAACeBQAAAAA=&#10;" fillcolor="white [3201]" strokeweight=".5pt">
                <v:textbox>
                  <w:txbxContent>
                    <w:p w14:paraId="3F98D135" w14:textId="14C8583D" w:rsidR="007A6F7A" w:rsidRDefault="00182364">
                      <w:r w:rsidRPr="00182364">
                        <w:t>SASE / Zero Trust Gateway</w:t>
                      </w:r>
                    </w:p>
                  </w:txbxContent>
                </v:textbox>
              </v:shape>
            </w:pict>
          </mc:Fallback>
        </mc:AlternateContent>
      </w:r>
      <w:r>
        <w:rPr>
          <w:noProof/>
          <w:sz w:val="22"/>
          <w:szCs w:val="22"/>
        </w:rPr>
        <mc:AlternateContent>
          <mc:Choice Requires="wps">
            <w:drawing>
              <wp:anchor distT="0" distB="0" distL="114300" distR="114300" simplePos="0" relativeHeight="251666944" behindDoc="0" locked="0" layoutInCell="1" allowOverlap="1" wp14:anchorId="2BFF13F0" wp14:editId="6D0EC050">
                <wp:simplePos x="0" y="0"/>
                <wp:positionH relativeFrom="column">
                  <wp:posOffset>453542</wp:posOffset>
                </wp:positionH>
                <wp:positionV relativeFrom="paragraph">
                  <wp:posOffset>299974</wp:posOffset>
                </wp:positionV>
                <wp:extent cx="0" cy="351130"/>
                <wp:effectExtent l="76200" t="38100" r="76200" b="49530"/>
                <wp:wrapNone/>
                <wp:docPr id="1081650838" name="Straight Arrow Connector 13"/>
                <wp:cNvGraphicFramePr/>
                <a:graphic xmlns:a="http://schemas.openxmlformats.org/drawingml/2006/main">
                  <a:graphicData uri="http://schemas.microsoft.com/office/word/2010/wordprocessingShape">
                    <wps:wsp>
                      <wps:cNvCnPr/>
                      <wps:spPr>
                        <a:xfrm>
                          <a:off x="0" y="0"/>
                          <a:ext cx="0" cy="35113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605AF56" id="Straight Arrow Connector 13" o:spid="_x0000_s1026" type="#_x0000_t32" style="position:absolute;margin-left:35.7pt;margin-top:23.6pt;width:0;height:27.65pt;z-index:251666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gJwQEAAOYDAAAOAAAAZHJzL2Uyb0RvYy54bWysU02P0zAQvSPxHyzfaZKuQKhquofuwgXB&#10;Ctgf4HXGiSV/yR6a5N8zdtoUwQoktJeJPfZ7M+95sr+drGEniEl71/JmU3MGTvpOu77lj98/vHnP&#10;WULhOmG8g5bPkPjt4fWr/Rh2sPWDNx1ERiQu7cbQ8gEx7KoqyQGsSBsfwNGh8tEKpG3sqy6Kkdit&#10;qbZ1/a4afexC9BJSouzdcsgPhV8pkPhFqQTITMupNywxlviUY3XYi10fRRi0PLch/qMLK7SjoivV&#10;nUDBfkT9B5XVMvrkFW6kt5VXSksoGkhNU/+m5tsgAhQtZE4Kq03p5Wjl59PRPUSyYQxpl8JDzCom&#10;FW3+Un9sKmbNq1kwIZNLUlL25m3T3BQfqysuxIQfwVuWFy1PGIXuBzx65+hFfGyKV+L0KSFVJuAF&#10;kIsal+MAort3HcM50Nhg1ML1Bpb3QqHN82dEleHVVUxZ4Wxgof4KiumO2t+WFsqcwdFEdhI0IUJK&#10;cNjkKoWJbmeY0saswPrfwPP9DIUygyt4Ef7XqiuiVPYOV7DVzsfnquN0aVkt9y8OLLqzBU++m8sz&#10;F2tomIrC8+Dnaf11X+DX3/PwEwAA//8DAFBLAwQUAAYACAAAACEACGpV99sAAAAIAQAADwAAAGRy&#10;cy9kb3ducmV2LnhtbEyPwU7DMBBE70j8g7VI3KjTqLRRiFMhKNdKpCDEbRubJBCvI9tNwt+zcCnH&#10;0Yzevi22s+3FaHzoHClYLhIQhmqnO2oUvByebjIQISJp7B0ZBd8mwLa8vCgw126iZzNWsREMoZCj&#10;gjbGIZcy1K2xGBZuMMTdh/MWI0ffSO1xYrjtZZoka2mxI77Q4mAeWlN/VSfLlOkz84/j7h2nt9ds&#10;LQ/7naz2Sl1fzfd3IKKZ43kMv/qsDiU7Hd2JdBC9gs1yxUsFq00Kgvu/fORdkt6CLAv5/4HyBwAA&#10;//8DAFBLAQItABQABgAIAAAAIQC2gziS/gAAAOEBAAATAAAAAAAAAAAAAAAAAAAAAABbQ29udGVu&#10;dF9UeXBlc10ueG1sUEsBAi0AFAAGAAgAAAAhADj9If/WAAAAlAEAAAsAAAAAAAAAAAAAAAAALwEA&#10;AF9yZWxzLy5yZWxzUEsBAi0AFAAGAAgAAAAhAHuz+AnBAQAA5gMAAA4AAAAAAAAAAAAAAAAALgIA&#10;AGRycy9lMm9Eb2MueG1sUEsBAi0AFAAGAAgAAAAhAAhqVffbAAAACAEAAA8AAAAAAAAAAAAAAAAA&#10;GwQAAGRycy9kb3ducmV2LnhtbFBLBQYAAAAABAAEAPMAAAAjBQAAAAA=&#10;" strokecolor="#156082 [3204]" strokeweight="1.5pt">
                <v:stroke startarrow="block" endarrow="block" joinstyle="miter"/>
              </v:shape>
            </w:pict>
          </mc:Fallback>
        </mc:AlternateContent>
      </w:r>
    </w:p>
    <w:p w14:paraId="35E0EF71" w14:textId="51E6BD7E" w:rsidR="54BC4B94" w:rsidRDefault="004B2BFC" w:rsidP="54BC4B94">
      <w:pPr>
        <w:rPr>
          <w:sz w:val="22"/>
          <w:szCs w:val="22"/>
        </w:rPr>
      </w:pPr>
      <w:r>
        <w:rPr>
          <w:noProof/>
          <w:sz w:val="22"/>
          <w:szCs w:val="22"/>
        </w:rPr>
        <mc:AlternateContent>
          <mc:Choice Requires="wps">
            <w:drawing>
              <wp:anchor distT="0" distB="0" distL="114300" distR="114300" simplePos="0" relativeHeight="251673088" behindDoc="0" locked="0" layoutInCell="1" allowOverlap="1" wp14:anchorId="657F24EE" wp14:editId="70FFDE2D">
                <wp:simplePos x="0" y="0"/>
                <wp:positionH relativeFrom="column">
                  <wp:posOffset>3494075</wp:posOffset>
                </wp:positionH>
                <wp:positionV relativeFrom="paragraph">
                  <wp:posOffset>144044</wp:posOffset>
                </wp:positionV>
                <wp:extent cx="45719" cy="339217"/>
                <wp:effectExtent l="38100" t="38100" r="69215" b="60960"/>
                <wp:wrapNone/>
                <wp:docPr id="1050590974" name="Straight Arrow Connector 13"/>
                <wp:cNvGraphicFramePr/>
                <a:graphic xmlns:a="http://schemas.openxmlformats.org/drawingml/2006/main">
                  <a:graphicData uri="http://schemas.microsoft.com/office/word/2010/wordprocessingShape">
                    <wps:wsp>
                      <wps:cNvCnPr/>
                      <wps:spPr>
                        <a:xfrm>
                          <a:off x="0" y="0"/>
                          <a:ext cx="45719" cy="339217"/>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E7F43E" id="Straight Arrow Connector 13" o:spid="_x0000_s1026" type="#_x0000_t32" style="position:absolute;margin-left:275.1pt;margin-top:11.35pt;width:3.6pt;height:26.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ctnyQEAAOoDAAAOAAAAZHJzL2Uyb0RvYy54bWysU02P1DAMvSPxH6LcmbazwLLVdPYwC1wQ&#10;rPj4AdnUaSOlSeSYafvvSdKZDoIVK624uEnsZ/s9u7vbaTDsCBi0sw2vNiVnYKVrte0a/uP7h1fv&#10;OAskbCuMs9DwGQK/3b98sRt9DVvXO9MCspjEhnr0De+JfF0UQfYwiLBxHmx0KoeDoHjFrmhRjDH7&#10;YIptWb4tRoetRychhPh6tzj5PudXCiR9USoAMdPw2Btli9k+JFvsd6LuUPhey1Mb4hldDELbWHRN&#10;dSdIsJ+o/0o1aIkuOEUb6YbCKaUlZA6RTVX+weZbLzxkLlGc4FeZwv9LKz8fD/YeowyjD3Xw95hY&#10;TAqH9I39sSmLNa9iwURMxsfXb66rG85k9Fxd3Wyr66RlccF6DPQR3MDSoeGBUOiup4OzNk7FYZX1&#10;EsdPgRbgGZAKG5tsD6J9b1tGs4+rQ6iF7QwsMyOhzeO+2EOCFxdC+USzgSX1V1BMt5HCNreQdw0O&#10;BtlRxC0RUoKl6sTG2BidYEobswLLp4Gn+ASFvIcreCH+z6orIld2llbwoK3Dx6rTdG5ZLfFnBRbe&#10;SYIH18551FmauFB5XqflTxv7+z3DL7/o/hcAAAD//wMAUEsDBBQABgAIAAAAIQB7Ne413QAAAAkB&#10;AAAPAAAAZHJzL2Rvd25yZXYueG1sTI9NT4QwEEDvJv6HZky8uWWJfAQpG6PrdRNZjfE2S0dAaUto&#10;F/DfO570OJmXN2/K3WoGMdPke2cVbDcRCLKN071tFbwcn25yED6g1Tg4Swq+ycOuurwosdBusc80&#10;16EVLLG+QAVdCGMhpW86Mug3biTLuw83GQw8Tq3UEy4sN4OMoyiVBnvLFzoc6aGj5qs+G7Ysn/n0&#10;OO/fcXl7zVN5POxlfVDq+mq9vwMRaA1/MPzmczpU3HRyZ6u9GBQkSRQzqiCOMxAMJEl2C+KkIEu3&#10;IKtS/v+g+gEAAP//AwBQSwECLQAUAAYACAAAACEAtoM4kv4AAADhAQAAEwAAAAAAAAAAAAAAAAAA&#10;AAAAW0NvbnRlbnRfVHlwZXNdLnhtbFBLAQItABQABgAIAAAAIQA4/SH/1gAAAJQBAAALAAAAAAAA&#10;AAAAAAAAAC8BAABfcmVscy8ucmVsc1BLAQItABQABgAIAAAAIQDbzctnyQEAAOoDAAAOAAAAAAAA&#10;AAAAAAAAAC4CAABkcnMvZTJvRG9jLnhtbFBLAQItABQABgAIAAAAIQB7Ne413QAAAAkBAAAPAAAA&#10;AAAAAAAAAAAAACMEAABkcnMvZG93bnJldi54bWxQSwUGAAAAAAQABADzAAAALQUAAAAA&#10;" strokecolor="#156082 [3204]" strokeweight="1.5pt">
                <v:stroke startarrow="block" endarrow="block" joinstyle="miter"/>
              </v:shape>
            </w:pict>
          </mc:Fallback>
        </mc:AlternateContent>
      </w:r>
      <w:r w:rsidR="00FF2A7E">
        <w:rPr>
          <w:noProof/>
          <w:sz w:val="22"/>
          <w:szCs w:val="22"/>
        </w:rPr>
        <mc:AlternateContent>
          <mc:Choice Requires="wps">
            <w:drawing>
              <wp:anchor distT="0" distB="0" distL="114300" distR="114300" simplePos="0" relativeHeight="251676160" behindDoc="0" locked="0" layoutInCell="1" allowOverlap="1" wp14:anchorId="5256AA65" wp14:editId="487F9CCC">
                <wp:simplePos x="0" y="0"/>
                <wp:positionH relativeFrom="column">
                  <wp:posOffset>4930445</wp:posOffset>
                </wp:positionH>
                <wp:positionV relativeFrom="paragraph">
                  <wp:posOffset>146354</wp:posOffset>
                </wp:positionV>
                <wp:extent cx="0" cy="351130"/>
                <wp:effectExtent l="76200" t="38100" r="76200" b="49530"/>
                <wp:wrapNone/>
                <wp:docPr id="1727920445" name="Straight Arrow Connector 13"/>
                <wp:cNvGraphicFramePr/>
                <a:graphic xmlns:a="http://schemas.openxmlformats.org/drawingml/2006/main">
                  <a:graphicData uri="http://schemas.microsoft.com/office/word/2010/wordprocessingShape">
                    <wps:wsp>
                      <wps:cNvCnPr/>
                      <wps:spPr>
                        <a:xfrm>
                          <a:off x="0" y="0"/>
                          <a:ext cx="0" cy="35113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47A4572" id="Straight Arrow Connector 13" o:spid="_x0000_s1026" type="#_x0000_t32" style="position:absolute;margin-left:388.2pt;margin-top:11.5pt;width:0;height:27.65pt;z-index:251676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gJwQEAAOYDAAAOAAAAZHJzL2Uyb0RvYy54bWysU02P0zAQvSPxHyzfaZKuQKhquofuwgXB&#10;Ctgf4HXGiSV/yR6a5N8zdtoUwQoktJeJPfZ7M+95sr+drGEniEl71/JmU3MGTvpOu77lj98/vHnP&#10;WULhOmG8g5bPkPjt4fWr/Rh2sPWDNx1ERiQu7cbQ8gEx7KoqyQGsSBsfwNGh8tEKpG3sqy6Kkdit&#10;qbZ1/a4afexC9BJSouzdcsgPhV8pkPhFqQTITMupNywxlviUY3XYi10fRRi0PLch/qMLK7SjoivV&#10;nUDBfkT9B5XVMvrkFW6kt5VXSksoGkhNU/+m5tsgAhQtZE4Kq03p5Wjl59PRPUSyYQxpl8JDzCom&#10;FW3+Un9sKmbNq1kwIZNLUlL25m3T3BQfqysuxIQfwVuWFy1PGIXuBzx65+hFfGyKV+L0KSFVJuAF&#10;kIsal+MAort3HcM50Nhg1ML1Bpb3QqHN82dEleHVVUxZ4Wxgof4KiumO2t+WFsqcwdFEdhI0IUJK&#10;cNjkKoWJbmeY0saswPrfwPP9DIUygyt4Ef7XqiuiVPYOV7DVzsfnquN0aVkt9y8OLLqzBU++m8sz&#10;F2tomIrC8+Dnaf11X+DX3/PwEwAA//8DAFBLAwQUAAYACAAAACEAVIieldwAAAAJAQAADwAAAGRy&#10;cy9kb3ducmV2LnhtbEyPQU/DMAyF70j8h8hI3FjKhrqqNJ0QjOukdSDELWtMW2icKsna8u/xxAFu&#10;tt/T8/eKzWx7MaIPnSMFt4sEBFLtTEeNgpfD800GIkRNRveOUME3BtiUlxeFzo2baI9jFRvBIRRy&#10;raCNccilDHWLVoeFG5BY+3De6sirb6TxeuJw28tlkqTS6o74Q6sHfGyx/qpOllOmz8w/jdt3Pb29&#10;Zqk87Lay2il1fTU/3IOIOMc/M5zxGR1KZjq6E5kgegXrdXrHVgXLFXdiw+/hyEO2AlkW8n+D8gcA&#10;AP//AwBQSwECLQAUAAYACAAAACEAtoM4kv4AAADhAQAAEwAAAAAAAAAAAAAAAAAAAAAAW0NvbnRl&#10;bnRfVHlwZXNdLnhtbFBLAQItABQABgAIAAAAIQA4/SH/1gAAAJQBAAALAAAAAAAAAAAAAAAAAC8B&#10;AABfcmVscy8ucmVsc1BLAQItABQABgAIAAAAIQB7s/gJwQEAAOYDAAAOAAAAAAAAAAAAAAAAAC4C&#10;AABkcnMvZTJvRG9jLnhtbFBLAQItABQABgAIAAAAIQBUiJ6V3AAAAAkBAAAPAAAAAAAAAAAAAAAA&#10;ABsEAABkcnMvZG93bnJldi54bWxQSwUGAAAAAAQABADzAAAAJAUAAAAA&#10;" strokecolor="#156082 [3204]" strokeweight="1.5pt">
                <v:stroke startarrow="block" endarrow="block" joinstyle="miter"/>
              </v:shape>
            </w:pict>
          </mc:Fallback>
        </mc:AlternateContent>
      </w:r>
    </w:p>
    <w:p w14:paraId="39A23C04" w14:textId="4F96B30F" w:rsidR="54BC4B94" w:rsidRDefault="00507782" w:rsidP="54BC4B94">
      <w:pPr>
        <w:rPr>
          <w:sz w:val="22"/>
          <w:szCs w:val="22"/>
        </w:rPr>
      </w:pPr>
      <w:r>
        <w:rPr>
          <w:noProof/>
          <w:sz w:val="22"/>
          <w:szCs w:val="22"/>
        </w:rPr>
        <mc:AlternateContent>
          <mc:Choice Requires="wps">
            <w:drawing>
              <wp:anchor distT="0" distB="0" distL="114300" distR="114300" simplePos="0" relativeHeight="251645440" behindDoc="0" locked="0" layoutInCell="1" allowOverlap="1" wp14:anchorId="6876FCBE" wp14:editId="0C9A310A">
                <wp:simplePos x="0" y="0"/>
                <wp:positionH relativeFrom="column">
                  <wp:posOffset>-387858</wp:posOffset>
                </wp:positionH>
                <wp:positionV relativeFrom="paragraph">
                  <wp:posOffset>152806</wp:posOffset>
                </wp:positionV>
                <wp:extent cx="1923898" cy="607161"/>
                <wp:effectExtent l="0" t="0" r="19685" b="21590"/>
                <wp:wrapNone/>
                <wp:docPr id="981728342" name="Text Box 7"/>
                <wp:cNvGraphicFramePr/>
                <a:graphic xmlns:a="http://schemas.openxmlformats.org/drawingml/2006/main">
                  <a:graphicData uri="http://schemas.microsoft.com/office/word/2010/wordprocessingShape">
                    <wps:wsp>
                      <wps:cNvSpPr txBox="1"/>
                      <wps:spPr>
                        <a:xfrm>
                          <a:off x="0" y="0"/>
                          <a:ext cx="1923898" cy="607161"/>
                        </a:xfrm>
                        <a:prstGeom prst="rect">
                          <a:avLst/>
                        </a:prstGeom>
                        <a:solidFill>
                          <a:schemeClr val="lt1"/>
                        </a:solidFill>
                        <a:ln w="6350">
                          <a:solidFill>
                            <a:prstClr val="black"/>
                          </a:solidFill>
                        </a:ln>
                      </wps:spPr>
                      <wps:txbx>
                        <w:txbxContent>
                          <w:p w14:paraId="07C1E929" w14:textId="1C7B62BD" w:rsidR="00552392" w:rsidRDefault="00EB0741">
                            <w:r w:rsidRPr="00EB0741">
                              <w:t>Managed Workstations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76FCBE" id="Text Box 7" o:spid="_x0000_s1032" type="#_x0000_t202" style="position:absolute;margin-left:-30.55pt;margin-top:12.05pt;width:151.5pt;height:47.8pt;z-index:25164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a2uOgIAAIMEAAAOAAAAZHJzL2Uyb0RvYy54bWysVFFvGjEMfp+0/xDlfRxQSsuJo2JUTJOq&#10;thKt+hxyCRctF2dJ4I79+jmBA9rtadpLzo6dz/Zn+6Z3ba3JTjivwBR00OtTIgyHUplNQV9fll9u&#10;KfGBmZJpMKKge+Hp3ezzp2ljczGECnQpHEEQ4/PGFrQKweZZ5nklauZ7YIVBowRXs4Cq22SlYw2i&#10;1zob9vvjrAFXWgdceI+39wcjnSV8KQUPT1J6EYguKOYW0unSuY5nNpuyfOOYrRQ/psH+IYuaKYNB&#10;T1D3LDCydeoPqFpxBx5k6HGoM5BScZFqwGoG/Q/VrCpmRaoFyfH2RJP/f7D8cbeyz46E9iu02MBI&#10;SGN97vEy1tNKV8cvZkrQjhTuT7SJNhAeH02GV7cTbDRH27h/MxgnmOz82jofvgmoSRQK6rAtiS22&#10;e/ABI6Jr5xKDedCqXCqtkxJHQSy0IzuGTdShA3/npQ1pMPjVdT8Bv7NF6NP7tWb8R6wSY154oaYN&#10;Xp5rj1Jo1y1RJQJ3vKyh3CNdDg6T5C1fKoR/YD48M4ejgwzhOoQnPKQGzAmOEiUVuF9/u4/+2FG0&#10;UtLgKBbU/9wyJyjR3w32ejIYjeLsJmV0fTNExV1a1pcWs60XgEQNcPEsT2L0D7oTpYP6DbdmHqOi&#10;iRmOsQsaOnERDguCW8fFfJ6ccFotCw9mZXmEjo2JtL60b8zZY1sDDsQjdEPL8g/dPfjGlwbm2wBS&#10;pdZHng+sHunHSU/dOW5lXKVLPXmd/x2z3wAAAP//AwBQSwMEFAAGAAgAAAAhAH9Q9rXcAAAACgEA&#10;AA8AAABkcnMvZG93bnJldi54bWxMj8FOwzAMhu9Ie4fIk7htaSc02tJ0AjS4cGJDnLMmSyIap0qy&#10;rrw95gSnX5Y//f7c7mY/sEnH5AIKKNcFMI19UA6NgI/jy6oClrJEJYeAWsC3TrDrFjetbFS44rue&#10;DtkwKsHUSAE257HhPPVWe5nWYdRIu3OIXmYao+EqyiuV+4FvimLLvXRIF6wc9bPV/dfh4gXsn0xt&#10;+kpGu6+Uc9P8eX4zr0LcLufHB2BZz/kPhl99UoeOnE7hgiqxQcBqW5aECtjcURJAWQM7EVnW98C7&#10;lv9/ofsBAAD//wMAUEsBAi0AFAAGAAgAAAAhALaDOJL+AAAA4QEAABMAAAAAAAAAAAAAAAAAAAAA&#10;AFtDb250ZW50X1R5cGVzXS54bWxQSwECLQAUAAYACAAAACEAOP0h/9YAAACUAQAACwAAAAAAAAAA&#10;AAAAAAAvAQAAX3JlbHMvLnJlbHNQSwECLQAUAAYACAAAACEASxGtrjoCAACDBAAADgAAAAAAAAAA&#10;AAAAAAAuAgAAZHJzL2Uyb0RvYy54bWxQSwECLQAUAAYACAAAACEAf1D2tdwAAAAKAQAADwAAAAAA&#10;AAAAAAAAAACUBAAAZHJzL2Rvd25yZXYueG1sUEsFBgAAAAAEAAQA8wAAAJ0FAAAAAA==&#10;" fillcolor="white [3201]" strokeweight=".5pt">
                <v:textbox>
                  <w:txbxContent>
                    <w:p w14:paraId="07C1E929" w14:textId="1C7B62BD" w:rsidR="00552392" w:rsidRDefault="00EB0741">
                      <w:r w:rsidRPr="00EB0741">
                        <w:t>Managed Workstations</w:t>
                      </w:r>
                    </w:p>
                  </w:txbxContent>
                </v:textbox>
              </v:shape>
            </w:pict>
          </mc:Fallback>
        </mc:AlternateContent>
      </w:r>
      <w:r>
        <w:rPr>
          <w:noProof/>
          <w:sz w:val="22"/>
          <w:szCs w:val="22"/>
        </w:rPr>
        <mc:AlternateContent>
          <mc:Choice Requires="wps">
            <w:drawing>
              <wp:anchor distT="0" distB="0" distL="114300" distR="114300" simplePos="0" relativeHeight="251659776" behindDoc="0" locked="0" layoutInCell="1" allowOverlap="1" wp14:anchorId="6FFF77BD" wp14:editId="6C25DFEE">
                <wp:simplePos x="0" y="0"/>
                <wp:positionH relativeFrom="column">
                  <wp:posOffset>4462171</wp:posOffset>
                </wp:positionH>
                <wp:positionV relativeFrom="paragraph">
                  <wp:posOffset>160223</wp:posOffset>
                </wp:positionV>
                <wp:extent cx="1441094" cy="672999"/>
                <wp:effectExtent l="0" t="0" r="26035" b="13335"/>
                <wp:wrapNone/>
                <wp:docPr id="987333221" name="Text Box 11"/>
                <wp:cNvGraphicFramePr/>
                <a:graphic xmlns:a="http://schemas.openxmlformats.org/drawingml/2006/main">
                  <a:graphicData uri="http://schemas.microsoft.com/office/word/2010/wordprocessingShape">
                    <wps:wsp>
                      <wps:cNvSpPr txBox="1"/>
                      <wps:spPr>
                        <a:xfrm>
                          <a:off x="0" y="0"/>
                          <a:ext cx="1441094" cy="672999"/>
                        </a:xfrm>
                        <a:prstGeom prst="rect">
                          <a:avLst/>
                        </a:prstGeom>
                        <a:solidFill>
                          <a:schemeClr val="lt1"/>
                        </a:solidFill>
                        <a:ln w="6350">
                          <a:solidFill>
                            <a:prstClr val="black"/>
                          </a:solidFill>
                        </a:ln>
                      </wps:spPr>
                      <wps:txbx>
                        <w:txbxContent>
                          <w:p w14:paraId="35B13981" w14:textId="02359708" w:rsidR="00CA2732" w:rsidRDefault="0010641A">
                            <w:r w:rsidRPr="0010641A">
                              <w:t>250k Distributed</w:t>
                            </w:r>
                            <w:r>
                              <w:br/>
                            </w:r>
                            <w:r w:rsidRPr="0010641A">
                              <w:t>IoT Edge Sensors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FF77BD" id="Text Box 11" o:spid="_x0000_s1033" type="#_x0000_t202" style="position:absolute;margin-left:351.35pt;margin-top:12.6pt;width:113.45pt;height:53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bmYOgIAAIMEAAAOAAAAZHJzL2Uyb0RvYy54bWysVE1v2zAMvQ/YfxB0X+xkadMYcYosRYYB&#10;QVsgHXpWZCk2JouapMTOfv0o2flot9Owi0yK1CP5SHp239aKHIR1FeicDgcpJUJzKCq9y+n3l9Wn&#10;O0qcZ7pgCrTI6VE4ej//+GHWmEyMoARVCEsQRLusMTktvTdZkjheipq5ARih0SjB1syjandJYVmD&#10;6LVKRml6mzRgC2OBC+fw9qEz0nnEl1Jw/ySlE56onGJuPp42nttwJvMZy3aWmbLifRrsH7KoWaUx&#10;6BnqgXlG9rb6A6quuAUH0g841AlIWXERa8Bqhum7ajYlMyLWguQ4c6bJ/T9Y/njYmGdLfPsFWmxg&#10;IKQxLnN4Gepppa3DFzMlaEcKj2faROsJD4/G42E6HVPC0XY7GU2n0wCTXF4b6/xXATUJQk4ttiWy&#10;xQ5r5zvXk0sI5kBVxapSKiphFMRSWXJg2ETlY44I/sZLadJg8M83aQR+YwvQ5/dbxfiPPr0rL8RT&#10;GnO+1B4k325bUhU5nZx42UJxRLosdJPkDF9VCL9mzj8zi6ODDOE6+Cc8pALMCXqJkhLsr7/dB3/s&#10;KFopaXAUc+p+7pkVlKhvGns9RYLD7EZlfDMZoWKvLdtri97XS0Cihrh4hkcx+Ht1EqWF+hW3ZhGi&#10;oolpjrFz6k/i0ncLglvHxWIRnXBaDfNrvTE8QIfGBFpf2ldmTd9WjwPxCKehZdm77na+4aWGxd6D&#10;rGLrA88dqz39OOlxePqtDKt0rUevy79j/hsAAP//AwBQSwMEFAAGAAgAAAAhAIE3bxzdAAAACgEA&#10;AA8AAABkcnMvZG93bnJldi54bWxMj8FOwzAQRO9I/IO1SNyoUyPaJI1TASpcOFFQz9vYtS3idRS7&#10;afh7zAmOq3maedtsZ9+zSY/RBZKwXBTANHVBOTISPj9e7kpgMSEp7ANpCd86wra9vmqwVuFC73ra&#10;J8NyCcUaJdiUhprz2FntMS7CoClnpzB6TPkcDVcjXnK577koihX36CgvWBz0s9Xd1/7sJeyeTGW6&#10;Eke7K5Vz03w4vZlXKW9v5scNsKTn9AfDr35WhzY7HcOZVGS9hHUh1hmVIB4EsAxUoloBO2byfimA&#10;tw3//0L7AwAA//8DAFBLAQItABQABgAIAAAAIQC2gziS/gAAAOEBAAATAAAAAAAAAAAAAAAAAAAA&#10;AABbQ29udGVudF9UeXBlc10ueG1sUEsBAi0AFAAGAAgAAAAhADj9If/WAAAAlAEAAAsAAAAAAAAA&#10;AAAAAAAALwEAAF9yZWxzLy5yZWxzUEsBAi0AFAAGAAgAAAAhACThuZg6AgAAgwQAAA4AAAAAAAAA&#10;AAAAAAAALgIAAGRycy9lMm9Eb2MueG1sUEsBAi0AFAAGAAgAAAAhAIE3bxzdAAAACgEAAA8AAAAA&#10;AAAAAAAAAAAAlAQAAGRycy9kb3ducmV2LnhtbFBLBQYAAAAABAAEAPMAAACeBQAAAAA=&#10;" fillcolor="white [3201]" strokeweight=".5pt">
                <v:textbox>
                  <w:txbxContent>
                    <w:p w14:paraId="35B13981" w14:textId="02359708" w:rsidR="00CA2732" w:rsidRDefault="0010641A">
                      <w:r w:rsidRPr="0010641A">
                        <w:t>250k Distributed</w:t>
                      </w:r>
                      <w:r>
                        <w:br/>
                      </w:r>
                      <w:r w:rsidRPr="0010641A">
                        <w:t>IoT Edge Sensors</w:t>
                      </w:r>
                    </w:p>
                  </w:txbxContent>
                </v:textbox>
              </v:shape>
            </w:pict>
          </mc:Fallback>
        </mc:AlternateContent>
      </w:r>
      <w:r>
        <w:rPr>
          <w:noProof/>
          <w:sz w:val="22"/>
          <w:szCs w:val="22"/>
        </w:rPr>
        <mc:AlternateContent>
          <mc:Choice Requires="wps">
            <w:drawing>
              <wp:anchor distT="0" distB="0" distL="114300" distR="114300" simplePos="0" relativeHeight="251657728" behindDoc="0" locked="0" layoutInCell="1" allowOverlap="1" wp14:anchorId="4CD16576" wp14:editId="5006E415">
                <wp:simplePos x="0" y="0"/>
                <wp:positionH relativeFrom="column">
                  <wp:posOffset>2552624</wp:posOffset>
                </wp:positionH>
                <wp:positionV relativeFrom="paragraph">
                  <wp:posOffset>189230</wp:posOffset>
                </wp:positionV>
                <wp:extent cx="1580083" cy="621792"/>
                <wp:effectExtent l="0" t="0" r="20320" b="26035"/>
                <wp:wrapNone/>
                <wp:docPr id="1960441435" name="Text Box 10"/>
                <wp:cNvGraphicFramePr/>
                <a:graphic xmlns:a="http://schemas.openxmlformats.org/drawingml/2006/main">
                  <a:graphicData uri="http://schemas.microsoft.com/office/word/2010/wordprocessingShape">
                    <wps:wsp>
                      <wps:cNvSpPr txBox="1"/>
                      <wps:spPr>
                        <a:xfrm>
                          <a:off x="0" y="0"/>
                          <a:ext cx="1580083" cy="621792"/>
                        </a:xfrm>
                        <a:prstGeom prst="rect">
                          <a:avLst/>
                        </a:prstGeom>
                        <a:solidFill>
                          <a:schemeClr val="lt1"/>
                        </a:solidFill>
                        <a:ln w="6350">
                          <a:solidFill>
                            <a:prstClr val="black"/>
                          </a:solidFill>
                        </a:ln>
                      </wps:spPr>
                      <wps:txbx>
                        <w:txbxContent>
                          <w:p w14:paraId="5A6C83F5" w14:textId="0853A2CB" w:rsidR="00CA2732" w:rsidRDefault="00182364">
                            <w:r w:rsidRPr="00182364">
                              <w:t>Remote Staff /</w:t>
                            </w:r>
                            <w:r>
                              <w:t xml:space="preserve"> </w:t>
                            </w:r>
                            <w:r w:rsidRPr="00182364">
                              <w:t>Unmanaged Devices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D16576" id="Text Box 10" o:spid="_x0000_s1034" type="#_x0000_t202" style="position:absolute;margin-left:201pt;margin-top:14.9pt;width:124.4pt;height:48.9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uLyPAIAAIMEAAAOAAAAZHJzL2Uyb0RvYy54bWysVE1v2zAMvQ/YfxB0X+ykSZsacYosRYYB&#10;RVsgLXpWZDkWJouapMTOfv0o2flot9Owi0yK1CP5SHp219aK7IV1EnROh4OUEqE5FFJvc/r6svoy&#10;pcR5pgumQIucHoSjd/PPn2aNycQIKlCFsARBtMsak9PKe5MlieOVqJkbgBEajSXYmnlU7TYpLGsQ&#10;vVbJKE2vkwZsYSxw4Rze3ndGOo/4ZSm4fypLJzxROcXcfDxtPDfhTOYzlm0tM5XkfRrsH7KomdQY&#10;9AR1zzwjOyv/gKolt+Cg9AMOdQJlKbmINWA1w/RDNeuKGRFrQXKcOdHk/h8sf9yvzbMlvv0KLTYw&#10;ENIYlzm8DPW0pa3DFzMlaEcKDyfaROsJD48m0zSdXlHC0XY9Gt7cjgJMcn5trPPfBNQkCDm12JbI&#10;Fts/ON+5Hl1CMAdKFiupVFTCKIilsmTPsInKxxwR/J2X0qTB4FeTNAK/swXo0/uNYvxHn96FF+Ip&#10;jTmfaw+SbzctkUVOp0deNlAckC4L3SQ5w1cS4R+Y88/M4uggQ7gO/gmPUgHmBL1ESQX219/ugz92&#10;FK2UNDiKOXU/d8wKStR3jb2+HY7HYXajMp7cjFCxl5bNpUXv6iUgUUNcPMOjGPy9OoqlhfoNt2YR&#10;oqKJaY6xc+qP4tJ3C4Jbx8ViEZ1wWg3zD3pteIAOjQm0vrRvzJq+rR4H4hGOQ8uyD93tfMNLDYud&#10;h1LG1geeO1Z7+nHS4/D0WxlW6VKPXud/x/w3AAAA//8DAFBLAwQUAAYACAAAACEACUlKZt0AAAAK&#10;AQAADwAAAGRycy9kb3ducmV2LnhtbEyPwU7DMAyG70i8Q2Qkbiyhgq0rTSdAgwsnBuKcNVkS0ThV&#10;knXl7TEndrPlT7+/v93MYWCTSdlHlHC7EMAM9lF7tBI+P15uamC5KNRqiGgk/JgMm+7yolWNjid8&#10;N9OuWEYhmBslwZUyNpzn3pmg8iKOBul2iCmoQmuyXCd1ovAw8EqIJQ/KI31wajTPzvTfu2OQsH2y&#10;a9vXKrltrb2f5q/Dm32V8vpqfnwAVsxc/mH40yd16MhpH4+oMxsk3ImKuhQJ1ZoqELC8FzTsiaxW&#10;K+Bdy88rdL8AAAD//wMAUEsBAi0AFAAGAAgAAAAhALaDOJL+AAAA4QEAABMAAAAAAAAAAAAAAAAA&#10;AAAAAFtDb250ZW50X1R5cGVzXS54bWxQSwECLQAUAAYACAAAACEAOP0h/9YAAACUAQAACwAAAAAA&#10;AAAAAAAAAAAvAQAAX3JlbHMvLnJlbHNQSwECLQAUAAYACAAAACEApK7i8jwCAACDBAAADgAAAAAA&#10;AAAAAAAAAAAuAgAAZHJzL2Uyb0RvYy54bWxQSwECLQAUAAYACAAAACEACUlKZt0AAAAKAQAADwAA&#10;AAAAAAAAAAAAAACWBAAAZHJzL2Rvd25yZXYueG1sUEsFBgAAAAAEAAQA8wAAAKAFAAAAAA==&#10;" fillcolor="white [3201]" strokeweight=".5pt">
                <v:textbox>
                  <w:txbxContent>
                    <w:p w14:paraId="5A6C83F5" w14:textId="0853A2CB" w:rsidR="00CA2732" w:rsidRDefault="00182364">
                      <w:r w:rsidRPr="00182364">
                        <w:t>Remote Staff /</w:t>
                      </w:r>
                      <w:r>
                        <w:t xml:space="preserve"> </w:t>
                      </w:r>
                      <w:r w:rsidRPr="00182364">
                        <w:t>Unmanaged Devices</w:t>
                      </w:r>
                    </w:p>
                  </w:txbxContent>
                </v:textbox>
              </v:shape>
            </w:pict>
          </mc:Fallback>
        </mc:AlternateContent>
      </w:r>
    </w:p>
    <w:p w14:paraId="53E2670C" w14:textId="7077353B" w:rsidR="54BC4B94" w:rsidRDefault="54BC4B94" w:rsidP="54BC4B94">
      <w:pPr>
        <w:rPr>
          <w:sz w:val="22"/>
          <w:szCs w:val="22"/>
        </w:rPr>
      </w:pPr>
    </w:p>
    <w:p w14:paraId="08A86036" w14:textId="27F7C06D" w:rsidR="54BC4B94" w:rsidRDefault="54BC4B94" w:rsidP="54BC4B94">
      <w:pPr>
        <w:rPr>
          <w:sz w:val="22"/>
          <w:szCs w:val="22"/>
        </w:rPr>
      </w:pPr>
    </w:p>
    <w:p w14:paraId="7877EDC5" w14:textId="08307141" w:rsidR="00704258" w:rsidRDefault="003B687F" w:rsidP="00704258">
      <w:pPr>
        <w:rPr>
          <w:sz w:val="22"/>
          <w:szCs w:val="22"/>
        </w:rPr>
      </w:pPr>
      <w:r w:rsidRPr="003B687F">
        <w:rPr>
          <w:sz w:val="22"/>
          <w:szCs w:val="22"/>
        </w:rPr>
        <w:t>Modern framework updates, such as ISO/IEC 27001:2022's focus on cloud services management (Annex A.5.23) and endpoint protection (Annex A.8.1), provide specific, actionable controls for distributed cloud environments, [8]. Similarly, updated guidelines address emerging risks in automated environments, such as AI model poisoning and training data leaks. This ensures organisations can secure machine learning platforms without disrupting operations.</w:t>
      </w:r>
    </w:p>
    <w:p w14:paraId="1FEF910C" w14:textId="77777777" w:rsidR="00EE0987" w:rsidRDefault="00EE0987" w:rsidP="00704258">
      <w:pPr>
        <w:rPr>
          <w:sz w:val="22"/>
          <w:szCs w:val="22"/>
        </w:rPr>
      </w:pPr>
    </w:p>
    <w:p w14:paraId="3B368873" w14:textId="77777777" w:rsidR="00EE0987" w:rsidRPr="00704258" w:rsidRDefault="00EE0987" w:rsidP="00704258">
      <w:pPr>
        <w:rPr>
          <w:sz w:val="22"/>
          <w:szCs w:val="22"/>
        </w:rPr>
      </w:pPr>
    </w:p>
    <w:p w14:paraId="2BE99268" w14:textId="77777777" w:rsidR="00704258" w:rsidRPr="00704258" w:rsidRDefault="00704258" w:rsidP="00704258">
      <w:pPr>
        <w:rPr>
          <w:b/>
          <w:bCs/>
          <w:sz w:val="22"/>
          <w:szCs w:val="22"/>
        </w:rPr>
      </w:pPr>
      <w:r w:rsidRPr="00704258">
        <w:rPr>
          <w:b/>
          <w:bCs/>
          <w:sz w:val="22"/>
          <w:szCs w:val="22"/>
        </w:rPr>
        <w:t>4.3 Evolving Global Compliance Demands</w:t>
      </w:r>
    </w:p>
    <w:p w14:paraId="0173B2CB" w14:textId="77777777" w:rsidR="00211000" w:rsidRDefault="00211000" w:rsidP="00704258">
      <w:pPr>
        <w:rPr>
          <w:sz w:val="22"/>
          <w:szCs w:val="22"/>
        </w:rPr>
      </w:pPr>
      <w:r w:rsidRPr="00211000">
        <w:rPr>
          <w:sz w:val="22"/>
          <w:szCs w:val="22"/>
        </w:rPr>
        <w:t>Strict legal requirements with significant financial penalties have replaced voluntary guidance for regulatory compliance. Regulators now penalize structural governance failures rather than only technical breaches, as evidenced by the advancement of rules such as the EU NIS 2 Directive, UK GDPR, and GDPR. Corporate executives who engage in gross negligence in security oversight may be subject to personal culpability and suspension under NIS 2, and they may also be subject to pecuniary fines of up to 2% of global annual sales.</w:t>
      </w:r>
    </w:p>
    <w:p w14:paraId="1A73A5FD" w14:textId="3051660F" w:rsidR="00800B21" w:rsidRDefault="00211000" w:rsidP="00704258">
      <w:pPr>
        <w:rPr>
          <w:sz w:val="22"/>
          <w:szCs w:val="22"/>
        </w:rPr>
      </w:pPr>
      <w:r w:rsidRPr="00211000">
        <w:rPr>
          <w:sz w:val="22"/>
          <w:szCs w:val="22"/>
        </w:rPr>
        <w:t>Organizations are shielded from these serious financial and legal risks by regular compliance upgrades. Additionally, a proactive compliance program helps businesses gain the trust of foreign clients, transforming information security from an operational expense into a competitive advantage.</w:t>
      </w:r>
    </w:p>
    <w:p w14:paraId="40C079C2" w14:textId="77777777" w:rsidR="00800B21" w:rsidRDefault="00800B21" w:rsidP="00704258">
      <w:pPr>
        <w:rPr>
          <w:sz w:val="22"/>
          <w:szCs w:val="22"/>
        </w:rPr>
      </w:pPr>
    </w:p>
    <w:p w14:paraId="6876C19D" w14:textId="77777777" w:rsidR="00800B21" w:rsidRPr="00704258" w:rsidRDefault="00800B21" w:rsidP="00704258">
      <w:pPr>
        <w:rPr>
          <w:sz w:val="22"/>
          <w:szCs w:val="22"/>
        </w:rPr>
      </w:pPr>
    </w:p>
    <w:p w14:paraId="0A835FC7" w14:textId="77777777" w:rsidR="00704258" w:rsidRPr="00704258" w:rsidRDefault="00000000" w:rsidP="00704258">
      <w:pPr>
        <w:rPr>
          <w:sz w:val="22"/>
          <w:szCs w:val="22"/>
        </w:rPr>
      </w:pPr>
      <w:r>
        <w:rPr>
          <w:sz w:val="22"/>
          <w:szCs w:val="22"/>
        </w:rPr>
        <w:lastRenderedPageBreak/>
        <w:pict w14:anchorId="3241DA61">
          <v:rect id="_x0000_i1030" style="width:0;height:1.5pt" o:hralign="center" o:hrstd="t" o:hr="t" fillcolor="#a0a0a0" stroked="f"/>
        </w:pict>
      </w:r>
    </w:p>
    <w:p w14:paraId="6CFE010C" w14:textId="77777777" w:rsidR="00704258" w:rsidRPr="00704258" w:rsidRDefault="00704258" w:rsidP="00704258">
      <w:pPr>
        <w:rPr>
          <w:b/>
          <w:bCs/>
          <w:sz w:val="22"/>
          <w:szCs w:val="22"/>
        </w:rPr>
      </w:pPr>
      <w:r w:rsidRPr="00704258">
        <w:rPr>
          <w:b/>
          <w:bCs/>
          <w:sz w:val="22"/>
          <w:szCs w:val="22"/>
        </w:rPr>
        <w:t>5. Conclusion</w:t>
      </w:r>
    </w:p>
    <w:p w14:paraId="4CE95AD8" w14:textId="77777777" w:rsidR="00211000" w:rsidRDefault="00211000" w:rsidP="00704258">
      <w:pPr>
        <w:rPr>
          <w:sz w:val="22"/>
          <w:szCs w:val="22"/>
        </w:rPr>
      </w:pPr>
      <w:r w:rsidRPr="00211000">
        <w:rPr>
          <w:sz w:val="22"/>
          <w:szCs w:val="22"/>
        </w:rPr>
        <w:t xml:space="preserve">Frequent data breaches and operational weaknesses at </w:t>
      </w:r>
      <w:proofErr w:type="spellStart"/>
      <w:r w:rsidRPr="00211000">
        <w:rPr>
          <w:sz w:val="22"/>
          <w:szCs w:val="22"/>
        </w:rPr>
        <w:t>AeroLink</w:t>
      </w:r>
      <w:proofErr w:type="spellEnd"/>
      <w:r w:rsidRPr="00211000">
        <w:rPr>
          <w:sz w:val="22"/>
          <w:szCs w:val="22"/>
        </w:rPr>
        <w:t xml:space="preserve"> Logistics are not the result of individual technical errors, but rather of systemic flaws. An uncontrolled attack surface resulted from relying on cutting-edge technologies like cloud computing, IoT, and AI without a developed governance structure.</w:t>
      </w:r>
    </w:p>
    <w:p w14:paraId="7B6945E2" w14:textId="249E0F11" w:rsidR="00704258" w:rsidRPr="00704258" w:rsidRDefault="00211000" w:rsidP="00704258">
      <w:pPr>
        <w:rPr>
          <w:sz w:val="22"/>
          <w:szCs w:val="22"/>
        </w:rPr>
      </w:pPr>
      <w:r w:rsidRPr="00211000">
        <w:rPr>
          <w:sz w:val="22"/>
          <w:szCs w:val="22"/>
        </w:rPr>
        <w:t xml:space="preserve">The structure required to stabilize and safeguard the business is provided by putting the </w:t>
      </w:r>
      <w:proofErr w:type="spellStart"/>
      <w:r w:rsidRPr="00211000">
        <w:rPr>
          <w:sz w:val="22"/>
          <w:szCs w:val="22"/>
        </w:rPr>
        <w:t>AeroLink</w:t>
      </w:r>
      <w:proofErr w:type="spellEnd"/>
      <w:r w:rsidRPr="00211000">
        <w:rPr>
          <w:sz w:val="22"/>
          <w:szCs w:val="22"/>
        </w:rPr>
        <w:t xml:space="preserve"> Unified Security &amp; Governance Framework (AUSGF) into practice. ALL may improve its security posture by implementing Zero Trust access controls, enforcing stringent vendor requirements, establishing clear leadership under a CISO, and committing to ongoing framework upgrades.</w:t>
      </w:r>
    </w:p>
    <w:p w14:paraId="10AAEA70" w14:textId="77777777" w:rsidR="00704258" w:rsidRPr="00704258" w:rsidRDefault="00704258" w:rsidP="00704258">
      <w:pPr>
        <w:rPr>
          <w:sz w:val="22"/>
          <w:szCs w:val="22"/>
        </w:rPr>
      </w:pPr>
      <w:r w:rsidRPr="00704258">
        <w:rPr>
          <w:sz w:val="22"/>
          <w:szCs w:val="22"/>
        </w:rPr>
        <w:t>This systemic approach secures critical client data, satisfies rigorous global regulations, and builds a resilient infrastructure capable of supporting safe, long-term corporate growth.</w:t>
      </w:r>
    </w:p>
    <w:p w14:paraId="07F07D91" w14:textId="361D8A6E" w:rsidR="00704258" w:rsidRPr="00704258" w:rsidRDefault="00704258" w:rsidP="00704258">
      <w:pPr>
        <w:rPr>
          <w:sz w:val="22"/>
          <w:szCs w:val="22"/>
        </w:rPr>
      </w:pPr>
    </w:p>
    <w:p w14:paraId="1A693DDD" w14:textId="77777777" w:rsidR="00D91609" w:rsidRPr="00A3660F" w:rsidRDefault="00D91609" w:rsidP="002373EC">
      <w:pPr>
        <w:pStyle w:val="Heading1"/>
        <w:rPr>
          <w:color w:val="000000" w:themeColor="text1"/>
          <w:sz w:val="22"/>
          <w:szCs w:val="22"/>
        </w:rPr>
      </w:pPr>
      <w:r w:rsidRPr="00A3660F">
        <w:rPr>
          <w:color w:val="000000" w:themeColor="text1"/>
          <w:sz w:val="22"/>
          <w:szCs w:val="22"/>
        </w:rPr>
        <w:lastRenderedPageBreak/>
        <w:t>References</w:t>
      </w:r>
    </w:p>
    <w:p w14:paraId="5276F72A" w14:textId="77777777" w:rsidR="00D91609" w:rsidRPr="00A3660F" w:rsidRDefault="00D91609" w:rsidP="002373EC">
      <w:pPr>
        <w:pStyle w:val="Heading1"/>
        <w:rPr>
          <w:color w:val="000000" w:themeColor="text1"/>
          <w:sz w:val="22"/>
          <w:szCs w:val="22"/>
        </w:rPr>
      </w:pPr>
      <w:r w:rsidRPr="00A3660F">
        <w:rPr>
          <w:color w:val="000000" w:themeColor="text1"/>
          <w:sz w:val="22"/>
          <w:szCs w:val="22"/>
        </w:rPr>
        <w:t xml:space="preserve">[1] National Institute of Standards and Technology (NIST), "The NIST Cybersecurity Framework 2.0," </w:t>
      </w:r>
      <w:r w:rsidRPr="00A3660F">
        <w:rPr>
          <w:i/>
          <w:iCs/>
          <w:color w:val="000000" w:themeColor="text1"/>
          <w:sz w:val="22"/>
          <w:szCs w:val="22"/>
        </w:rPr>
        <w:t>U.S. Department of Commerce</w:t>
      </w:r>
      <w:r w:rsidRPr="00A3660F">
        <w:rPr>
          <w:color w:val="000000" w:themeColor="text1"/>
          <w:sz w:val="22"/>
          <w:szCs w:val="22"/>
        </w:rPr>
        <w:t>, Gaithersburg, MD, NIST CSWP 29, Feb. 2024. [Online]. Available: doi.org</w:t>
      </w:r>
    </w:p>
    <w:p w14:paraId="38F4E2B8" w14:textId="77777777" w:rsidR="00D91609" w:rsidRPr="00A3660F" w:rsidRDefault="00D91609" w:rsidP="002373EC">
      <w:pPr>
        <w:pStyle w:val="Heading1"/>
        <w:rPr>
          <w:color w:val="000000" w:themeColor="text1"/>
          <w:sz w:val="22"/>
          <w:szCs w:val="22"/>
        </w:rPr>
      </w:pPr>
      <w:r w:rsidRPr="00A3660F">
        <w:rPr>
          <w:color w:val="000000" w:themeColor="text1"/>
          <w:sz w:val="22"/>
          <w:szCs w:val="22"/>
        </w:rPr>
        <w:t xml:space="preserve">[2] International Organisation for Standardisation (ISO) / International Electrotechnical Commission (IEC), </w:t>
      </w:r>
      <w:r w:rsidRPr="00A3660F">
        <w:rPr>
          <w:i/>
          <w:iCs/>
          <w:color w:val="000000" w:themeColor="text1"/>
          <w:sz w:val="22"/>
          <w:szCs w:val="22"/>
        </w:rPr>
        <w:t>Information technology — Security techniques — Information security management systems — Requirements</w:t>
      </w:r>
      <w:r w:rsidRPr="00A3660F">
        <w:rPr>
          <w:color w:val="000000" w:themeColor="text1"/>
          <w:sz w:val="22"/>
          <w:szCs w:val="22"/>
        </w:rPr>
        <w:t>, ISO/IEC Standard 27001:2022, Oct. 2022. [Online]. Available: iso.org [</w:t>
      </w:r>
      <w:hyperlink r:id="rId9" w:anchor=":~:text=Information%20security%2C%20cybersecurity%20and%20privacy,security%20management%20systems%20%E2%80%94%20Requirements" w:history="1">
        <w:r w:rsidRPr="00A3660F">
          <w:rPr>
            <w:rStyle w:val="Hyperlink"/>
            <w:color w:val="000000" w:themeColor="text1"/>
            <w:sz w:val="22"/>
            <w:szCs w:val="22"/>
          </w:rPr>
          <w:t>1</w:t>
        </w:r>
      </w:hyperlink>
      <w:r w:rsidRPr="00A3660F">
        <w:rPr>
          <w:color w:val="000000" w:themeColor="text1"/>
          <w:sz w:val="22"/>
          <w:szCs w:val="22"/>
        </w:rPr>
        <w:t>]</w:t>
      </w:r>
    </w:p>
    <w:p w14:paraId="25AA8C3B" w14:textId="77777777" w:rsidR="00D91609" w:rsidRPr="00A3660F" w:rsidRDefault="00D91609" w:rsidP="002373EC">
      <w:pPr>
        <w:pStyle w:val="Heading1"/>
        <w:rPr>
          <w:color w:val="000000" w:themeColor="text1"/>
          <w:sz w:val="22"/>
          <w:szCs w:val="22"/>
        </w:rPr>
      </w:pPr>
      <w:r w:rsidRPr="00A3660F">
        <w:rPr>
          <w:color w:val="000000" w:themeColor="text1"/>
          <w:sz w:val="22"/>
          <w:szCs w:val="22"/>
        </w:rPr>
        <w:t xml:space="preserve">[3] ISACA, </w:t>
      </w:r>
      <w:r w:rsidRPr="00A3660F">
        <w:rPr>
          <w:i/>
          <w:iCs/>
          <w:color w:val="000000" w:themeColor="text1"/>
          <w:sz w:val="22"/>
          <w:szCs w:val="22"/>
        </w:rPr>
        <w:t>COBIT 2019 Framework: Governance and Management Objectives</w:t>
      </w:r>
      <w:r w:rsidRPr="00A3660F">
        <w:rPr>
          <w:color w:val="000000" w:themeColor="text1"/>
          <w:sz w:val="22"/>
          <w:szCs w:val="22"/>
        </w:rPr>
        <w:t>, Schaumburg, IL: ISACA, 2018. [Online]. Available: isaca.org</w:t>
      </w:r>
    </w:p>
    <w:p w14:paraId="1AD26FAE" w14:textId="77777777" w:rsidR="00D91609" w:rsidRPr="00A3660F" w:rsidRDefault="00D91609" w:rsidP="002373EC">
      <w:pPr>
        <w:pStyle w:val="Heading1"/>
        <w:rPr>
          <w:color w:val="000000" w:themeColor="text1"/>
          <w:sz w:val="22"/>
          <w:szCs w:val="22"/>
        </w:rPr>
      </w:pPr>
      <w:r w:rsidRPr="00A3660F">
        <w:rPr>
          <w:color w:val="000000" w:themeColor="text1"/>
          <w:sz w:val="22"/>
          <w:szCs w:val="22"/>
        </w:rPr>
        <w:t xml:space="preserve">[4] AXELOS, </w:t>
      </w:r>
      <w:r w:rsidRPr="00A3660F">
        <w:rPr>
          <w:i/>
          <w:iCs/>
          <w:color w:val="000000" w:themeColor="text1"/>
          <w:sz w:val="22"/>
          <w:szCs w:val="22"/>
        </w:rPr>
        <w:t>ITIL Foundation: ITIL 4 Edition</w:t>
      </w:r>
      <w:r w:rsidRPr="00A3660F">
        <w:rPr>
          <w:color w:val="000000" w:themeColor="text1"/>
          <w:sz w:val="22"/>
          <w:szCs w:val="22"/>
        </w:rPr>
        <w:t>, London, UK: TSO (The Stationery Office), 2019. [Online]. Available: axelos.com</w:t>
      </w:r>
    </w:p>
    <w:p w14:paraId="16131B30" w14:textId="77777777" w:rsidR="00D91609" w:rsidRPr="00A3660F" w:rsidRDefault="00D91609" w:rsidP="002373EC">
      <w:pPr>
        <w:pStyle w:val="Heading1"/>
        <w:rPr>
          <w:color w:val="000000" w:themeColor="text1"/>
          <w:sz w:val="22"/>
          <w:szCs w:val="22"/>
        </w:rPr>
      </w:pPr>
      <w:r w:rsidRPr="00A3660F">
        <w:rPr>
          <w:color w:val="000000" w:themeColor="text1"/>
          <w:sz w:val="22"/>
          <w:szCs w:val="22"/>
        </w:rPr>
        <w:t xml:space="preserve">[5] European Union Agency for Cybersecurity (ENISA), </w:t>
      </w:r>
      <w:r w:rsidRPr="00A3660F">
        <w:rPr>
          <w:i/>
          <w:iCs/>
          <w:color w:val="000000" w:themeColor="text1"/>
          <w:sz w:val="22"/>
          <w:szCs w:val="22"/>
        </w:rPr>
        <w:t>ENISA Threat Landscape 2024</w:t>
      </w:r>
      <w:r w:rsidRPr="00A3660F">
        <w:rPr>
          <w:color w:val="000000" w:themeColor="text1"/>
          <w:sz w:val="22"/>
          <w:szCs w:val="22"/>
        </w:rPr>
        <w:t>, Athens, Greece: ENISA, Oct. 2024. [Online]. Available: europa.eu</w:t>
      </w:r>
    </w:p>
    <w:p w14:paraId="7606C405" w14:textId="77777777" w:rsidR="00D91609" w:rsidRPr="00A3660F" w:rsidRDefault="00D91609" w:rsidP="002373EC">
      <w:pPr>
        <w:pStyle w:val="Heading1"/>
        <w:rPr>
          <w:color w:val="000000" w:themeColor="text1"/>
          <w:sz w:val="22"/>
          <w:szCs w:val="22"/>
        </w:rPr>
      </w:pPr>
      <w:r w:rsidRPr="00A3660F">
        <w:rPr>
          <w:color w:val="000000" w:themeColor="text1"/>
          <w:sz w:val="22"/>
          <w:szCs w:val="22"/>
        </w:rPr>
        <w:t xml:space="preserve">[6] European Parliament and Council, "Directive (EU) 2022/2555 of the European Parliament and of the Council of 14 December 2022 on measures for a high common level of cybersecurity across the Union (NIS 2 Directive)," </w:t>
      </w:r>
      <w:r w:rsidRPr="00A3660F">
        <w:rPr>
          <w:i/>
          <w:iCs/>
          <w:color w:val="000000" w:themeColor="text1"/>
          <w:sz w:val="22"/>
          <w:szCs w:val="22"/>
        </w:rPr>
        <w:t>Official Journal of the European Union</w:t>
      </w:r>
      <w:r w:rsidRPr="00A3660F">
        <w:rPr>
          <w:color w:val="000000" w:themeColor="text1"/>
          <w:sz w:val="22"/>
          <w:szCs w:val="22"/>
        </w:rPr>
        <w:t>, vol. L 333, pp. 80-142, Dec. 2022.</w:t>
      </w:r>
    </w:p>
    <w:p w14:paraId="7C9AEDDF" w14:textId="77777777" w:rsidR="00D91609" w:rsidRPr="00A3660F" w:rsidRDefault="00D91609" w:rsidP="002373EC">
      <w:pPr>
        <w:pStyle w:val="Heading1"/>
        <w:rPr>
          <w:color w:val="000000" w:themeColor="text1"/>
          <w:sz w:val="22"/>
          <w:szCs w:val="22"/>
        </w:rPr>
      </w:pPr>
      <w:r w:rsidRPr="00A3660F">
        <w:rPr>
          <w:color w:val="000000" w:themeColor="text1"/>
          <w:sz w:val="22"/>
          <w:szCs w:val="22"/>
        </w:rPr>
        <w:t xml:space="preserve">[7] National Institute of Standards and Technology (NIST), "Zero Trust Architecture," </w:t>
      </w:r>
      <w:r w:rsidRPr="00A3660F">
        <w:rPr>
          <w:i/>
          <w:iCs/>
          <w:color w:val="000000" w:themeColor="text1"/>
          <w:sz w:val="22"/>
          <w:szCs w:val="22"/>
        </w:rPr>
        <w:t>U.S. Department of Commerce</w:t>
      </w:r>
      <w:r w:rsidRPr="00A3660F">
        <w:rPr>
          <w:color w:val="000000" w:themeColor="text1"/>
          <w:sz w:val="22"/>
          <w:szCs w:val="22"/>
        </w:rPr>
        <w:t>, Gaithersburg, MD, NIST Special Publication (SP) 800-207, Aug. 2020. [Online]. Available: doi.org</w:t>
      </w:r>
    </w:p>
    <w:p w14:paraId="5EA4802B" w14:textId="77777777" w:rsidR="00D91609" w:rsidRPr="00A3660F" w:rsidRDefault="00D91609" w:rsidP="002373EC">
      <w:pPr>
        <w:pStyle w:val="Heading1"/>
        <w:rPr>
          <w:color w:val="000000" w:themeColor="text1"/>
          <w:sz w:val="22"/>
          <w:szCs w:val="22"/>
        </w:rPr>
      </w:pPr>
      <w:r w:rsidRPr="00A3660F">
        <w:rPr>
          <w:color w:val="000000" w:themeColor="text1"/>
          <w:sz w:val="22"/>
          <w:szCs w:val="22"/>
        </w:rPr>
        <w:t>[8] International Organisation for Standardisation (ISO) / International Electrotechnical Commission (IEC), "Information security, cybersecurity and privacy protection — Information security controls for cloud services," ISO/IEC Standard 27017:2015, Dec. 2015. [Online]. Available: iso.org</w:t>
      </w:r>
    </w:p>
    <w:p w14:paraId="67D5CAB5" w14:textId="77777777" w:rsidR="00D91609" w:rsidRPr="00A3660F" w:rsidRDefault="00D91609" w:rsidP="002373EC">
      <w:pPr>
        <w:pStyle w:val="Heading1"/>
        <w:rPr>
          <w:color w:val="000000" w:themeColor="text1"/>
          <w:sz w:val="22"/>
          <w:szCs w:val="22"/>
        </w:rPr>
      </w:pPr>
      <w:r w:rsidRPr="00A3660F">
        <w:rPr>
          <w:color w:val="000000" w:themeColor="text1"/>
          <w:sz w:val="22"/>
          <w:szCs w:val="22"/>
        </w:rPr>
        <w:t xml:space="preserve">[9] Cloud Security Alliance (CSA), "Security Guidance for Critical Areas of Focus in Cloud Computing v4.0," </w:t>
      </w:r>
      <w:r w:rsidRPr="00A3660F">
        <w:rPr>
          <w:i/>
          <w:iCs/>
          <w:color w:val="000000" w:themeColor="text1"/>
          <w:sz w:val="22"/>
          <w:szCs w:val="22"/>
        </w:rPr>
        <w:t>CSA Research Report</w:t>
      </w:r>
      <w:r w:rsidRPr="00A3660F">
        <w:rPr>
          <w:color w:val="000000" w:themeColor="text1"/>
          <w:sz w:val="22"/>
          <w:szCs w:val="22"/>
        </w:rPr>
        <w:t>, Seattle, WA, 2017. [Online]. Available: cloudsecurityalliance.org</w:t>
      </w:r>
    </w:p>
    <w:p w14:paraId="0FCE80D6" w14:textId="77777777" w:rsidR="00D91609" w:rsidRPr="00A3660F" w:rsidRDefault="00D91609" w:rsidP="002373EC">
      <w:pPr>
        <w:pStyle w:val="Heading1"/>
        <w:rPr>
          <w:color w:val="000000" w:themeColor="text1"/>
          <w:sz w:val="22"/>
          <w:szCs w:val="22"/>
        </w:rPr>
      </w:pPr>
      <w:r w:rsidRPr="00A3660F">
        <w:rPr>
          <w:color w:val="000000" w:themeColor="text1"/>
          <w:sz w:val="22"/>
          <w:szCs w:val="22"/>
        </w:rPr>
        <w:t xml:space="preserve">[10] S. S. Al-Mansoori and M. Al-Ibrahim, "An Integrated Cybersecurity Governance Framework for Supply Chain and Third-Party Vendor Risk Management," </w:t>
      </w:r>
      <w:r w:rsidRPr="00A3660F">
        <w:rPr>
          <w:i/>
          <w:iCs/>
          <w:color w:val="000000" w:themeColor="text1"/>
          <w:sz w:val="22"/>
          <w:szCs w:val="22"/>
        </w:rPr>
        <w:t>IEEE Access</w:t>
      </w:r>
      <w:r w:rsidRPr="00A3660F">
        <w:rPr>
          <w:color w:val="000000" w:themeColor="text1"/>
          <w:sz w:val="22"/>
          <w:szCs w:val="22"/>
        </w:rPr>
        <w:t>, vol. 11, pp. 34112-34129, Apr. 2023. [Online]. Available: doi.org</w:t>
      </w:r>
    </w:p>
    <w:p w14:paraId="0031479F" w14:textId="77777777" w:rsidR="00D91609" w:rsidRPr="00A3660F" w:rsidRDefault="00D91609" w:rsidP="002373EC">
      <w:pPr>
        <w:pStyle w:val="Heading1"/>
        <w:rPr>
          <w:color w:val="000000" w:themeColor="text1"/>
          <w:sz w:val="22"/>
          <w:szCs w:val="22"/>
        </w:rPr>
      </w:pPr>
      <w:r w:rsidRPr="00A3660F">
        <w:rPr>
          <w:color w:val="000000" w:themeColor="text1"/>
          <w:sz w:val="22"/>
          <w:szCs w:val="22"/>
        </w:rPr>
        <w:t xml:space="preserve">[11] R. Kumar, N. J. Malik, and A. K. Singh, "Securing IoT-Enabled Global Supply Chains: Vulnerability Mapping and Cryptographic Access Control Models," </w:t>
      </w:r>
      <w:r w:rsidRPr="00A3660F">
        <w:rPr>
          <w:i/>
          <w:iCs/>
          <w:color w:val="000000" w:themeColor="text1"/>
          <w:sz w:val="22"/>
          <w:szCs w:val="22"/>
        </w:rPr>
        <w:t>IEEE Transactions on Industrial Informatics</w:t>
      </w:r>
      <w:r w:rsidRPr="00A3660F">
        <w:rPr>
          <w:color w:val="000000" w:themeColor="text1"/>
          <w:sz w:val="22"/>
          <w:szCs w:val="22"/>
        </w:rPr>
        <w:t>, vol. 19, no. 4, pp. 5812-5823, Apr. 2023. [Online]. Available: doi.org</w:t>
      </w:r>
    </w:p>
    <w:p w14:paraId="7D9542E0" w14:textId="77777777" w:rsidR="00D91609" w:rsidRPr="00A3660F" w:rsidRDefault="00D91609" w:rsidP="002373EC">
      <w:pPr>
        <w:pStyle w:val="Heading1"/>
        <w:rPr>
          <w:color w:val="000000" w:themeColor="text1"/>
          <w:sz w:val="22"/>
          <w:szCs w:val="22"/>
        </w:rPr>
      </w:pPr>
      <w:r w:rsidRPr="00A3660F">
        <w:rPr>
          <w:color w:val="000000" w:themeColor="text1"/>
          <w:sz w:val="22"/>
          <w:szCs w:val="22"/>
        </w:rPr>
        <w:lastRenderedPageBreak/>
        <w:t xml:space="preserve">[12] J. de Groot, "The Cost of Compliance vs. Non-Compliance: Measuring the ROI of Enterprise Cyber Governance," </w:t>
      </w:r>
      <w:r w:rsidRPr="00A3660F">
        <w:rPr>
          <w:i/>
          <w:iCs/>
          <w:color w:val="000000" w:themeColor="text1"/>
          <w:sz w:val="22"/>
          <w:szCs w:val="22"/>
        </w:rPr>
        <w:t>MIS Quarterly Executive</w:t>
      </w:r>
      <w:r w:rsidRPr="00A3660F">
        <w:rPr>
          <w:color w:val="000000" w:themeColor="text1"/>
          <w:sz w:val="22"/>
          <w:szCs w:val="22"/>
        </w:rPr>
        <w:t>, vol. 22, no. 2, pp. 115-132, Jun. 2024.</w:t>
      </w:r>
    </w:p>
    <w:p w14:paraId="62337A58" w14:textId="77777777" w:rsidR="00D91609" w:rsidRPr="00A3660F" w:rsidRDefault="00D91609" w:rsidP="002373EC">
      <w:pPr>
        <w:pStyle w:val="Heading1"/>
        <w:rPr>
          <w:color w:val="000000" w:themeColor="text1"/>
          <w:sz w:val="22"/>
          <w:szCs w:val="22"/>
        </w:rPr>
      </w:pPr>
      <w:r w:rsidRPr="00A3660F">
        <w:rPr>
          <w:color w:val="000000" w:themeColor="text1"/>
          <w:sz w:val="22"/>
          <w:szCs w:val="22"/>
        </w:rPr>
        <w:t>[13] International Organisation for Standardisation (ISO) / International Electrotechnical Commission (IEC), "Information technology — Security techniques — Code of practice for protection of personally identifiable information (PII) in public clouds acting as PII processors," ISO/IEC Standard 27018:2019, Jan. 2019. [Online]. Available: iso.org</w:t>
      </w:r>
    </w:p>
    <w:p w14:paraId="6BE96AA4" w14:textId="77777777" w:rsidR="00D91609" w:rsidRPr="00A3660F" w:rsidRDefault="00D91609" w:rsidP="002373EC">
      <w:pPr>
        <w:pStyle w:val="Heading1"/>
        <w:rPr>
          <w:color w:val="000000" w:themeColor="text1"/>
          <w:sz w:val="22"/>
          <w:szCs w:val="22"/>
        </w:rPr>
      </w:pPr>
      <w:r w:rsidRPr="00A3660F">
        <w:rPr>
          <w:color w:val="000000" w:themeColor="text1"/>
          <w:sz w:val="22"/>
          <w:szCs w:val="22"/>
        </w:rPr>
        <w:t xml:space="preserve">[14] A. S. Khan, A. Al-Mogren, and H. C. Kim, "A Comprehensive Review of Zero-Trust Architecture in Cloud-Edge Hybrid Environments for Supply Chain Systems," </w:t>
      </w:r>
      <w:r w:rsidRPr="00A3660F">
        <w:rPr>
          <w:i/>
          <w:iCs/>
          <w:color w:val="000000" w:themeColor="text1"/>
          <w:sz w:val="22"/>
          <w:szCs w:val="22"/>
        </w:rPr>
        <w:t>IEEE Access</w:t>
      </w:r>
      <w:r w:rsidRPr="00A3660F">
        <w:rPr>
          <w:color w:val="000000" w:themeColor="text1"/>
          <w:sz w:val="22"/>
          <w:szCs w:val="22"/>
        </w:rPr>
        <w:t>, vol. 12, pp. 12450-12471, Jan. 2024. [Online]. Available: doi.org</w:t>
      </w:r>
    </w:p>
    <w:p w14:paraId="74AD0C43" w14:textId="77777777" w:rsidR="00D91609" w:rsidRPr="00D91609" w:rsidRDefault="00D91609" w:rsidP="002373EC">
      <w:pPr>
        <w:pStyle w:val="Heading1"/>
        <w:rPr>
          <w:b/>
          <w:bCs/>
          <w:sz w:val="22"/>
          <w:szCs w:val="22"/>
        </w:rPr>
      </w:pPr>
      <w:r w:rsidRPr="00A3660F">
        <w:rPr>
          <w:color w:val="000000" w:themeColor="text1"/>
          <w:sz w:val="22"/>
          <w:szCs w:val="22"/>
        </w:rPr>
        <w:t xml:space="preserve">[15] C. J. Bennett, "Global Regulatory Convergences and the Enforcement of Cross-Border Data Flows under GDPR," </w:t>
      </w:r>
      <w:r w:rsidRPr="00A3660F">
        <w:rPr>
          <w:i/>
          <w:iCs/>
          <w:color w:val="000000" w:themeColor="text1"/>
          <w:sz w:val="22"/>
          <w:szCs w:val="22"/>
        </w:rPr>
        <w:t>International Data Privacy Law</w:t>
      </w:r>
      <w:r w:rsidRPr="00A3660F">
        <w:rPr>
          <w:color w:val="000000" w:themeColor="text1"/>
          <w:sz w:val="22"/>
          <w:szCs w:val="22"/>
        </w:rPr>
        <w:t>, vol. 13, no. 1, pp. 45-61, Feb. 2023. [Online]. Available: doi.org</w:t>
      </w:r>
    </w:p>
    <w:p w14:paraId="726AE2AD" w14:textId="18C15B7C" w:rsidR="00704258" w:rsidRPr="00704258" w:rsidRDefault="00704258" w:rsidP="002373EC"/>
    <w:sectPr w:rsidR="00704258" w:rsidRPr="007042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4F13C98"/>
    <w:multiLevelType w:val="hybridMultilevel"/>
    <w:tmpl w:val="B3848604"/>
    <w:lvl w:ilvl="0" w:tplc="725A519E">
      <w:start w:val="1"/>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6216226"/>
    <w:multiLevelType w:val="multilevel"/>
    <w:tmpl w:val="0890F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64A13"/>
    <w:multiLevelType w:val="multilevel"/>
    <w:tmpl w:val="19A8C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75551F"/>
    <w:multiLevelType w:val="multilevel"/>
    <w:tmpl w:val="BE729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95691D"/>
    <w:multiLevelType w:val="multilevel"/>
    <w:tmpl w:val="AF6408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8F414A"/>
    <w:multiLevelType w:val="multilevel"/>
    <w:tmpl w:val="F156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0A595E"/>
    <w:multiLevelType w:val="multilevel"/>
    <w:tmpl w:val="697C1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BC70D5"/>
    <w:multiLevelType w:val="hybridMultilevel"/>
    <w:tmpl w:val="162AA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2A65DF"/>
    <w:multiLevelType w:val="multilevel"/>
    <w:tmpl w:val="B5C00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3E096D"/>
    <w:multiLevelType w:val="multilevel"/>
    <w:tmpl w:val="BD6C7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F421F6"/>
    <w:multiLevelType w:val="multilevel"/>
    <w:tmpl w:val="282A3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3399847">
    <w:abstractNumId w:val="2"/>
  </w:num>
  <w:num w:numId="2" w16cid:durableId="1134565500">
    <w:abstractNumId w:val="5"/>
  </w:num>
  <w:num w:numId="3" w16cid:durableId="2132899316">
    <w:abstractNumId w:val="10"/>
  </w:num>
  <w:num w:numId="4" w16cid:durableId="1678650074">
    <w:abstractNumId w:val="9"/>
  </w:num>
  <w:num w:numId="5" w16cid:durableId="702827119">
    <w:abstractNumId w:val="8"/>
  </w:num>
  <w:num w:numId="6" w16cid:durableId="1697651780">
    <w:abstractNumId w:val="6"/>
  </w:num>
  <w:num w:numId="7" w16cid:durableId="352190828">
    <w:abstractNumId w:val="4"/>
  </w:num>
  <w:num w:numId="8" w16cid:durableId="1044452161">
    <w:abstractNumId w:val="1"/>
  </w:num>
  <w:num w:numId="9" w16cid:durableId="1911649170">
    <w:abstractNumId w:val="7"/>
  </w:num>
  <w:num w:numId="10" w16cid:durableId="1220239574">
    <w:abstractNumId w:val="0"/>
  </w:num>
  <w:num w:numId="11" w16cid:durableId="6154118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258"/>
    <w:rsid w:val="000C0AE2"/>
    <w:rsid w:val="0010641A"/>
    <w:rsid w:val="00182364"/>
    <w:rsid w:val="00185174"/>
    <w:rsid w:val="00211000"/>
    <w:rsid w:val="002373EC"/>
    <w:rsid w:val="002D1BF4"/>
    <w:rsid w:val="00361A80"/>
    <w:rsid w:val="003737E5"/>
    <w:rsid w:val="0038159D"/>
    <w:rsid w:val="003938E8"/>
    <w:rsid w:val="003B0A8B"/>
    <w:rsid w:val="003B687F"/>
    <w:rsid w:val="004B2BFC"/>
    <w:rsid w:val="004D1BB6"/>
    <w:rsid w:val="00507782"/>
    <w:rsid w:val="00507F29"/>
    <w:rsid w:val="00552392"/>
    <w:rsid w:val="00552B1D"/>
    <w:rsid w:val="005F1DA0"/>
    <w:rsid w:val="006567D2"/>
    <w:rsid w:val="00704258"/>
    <w:rsid w:val="007A6F7A"/>
    <w:rsid w:val="007C6FA8"/>
    <w:rsid w:val="007E4307"/>
    <w:rsid w:val="00800B21"/>
    <w:rsid w:val="00856FD8"/>
    <w:rsid w:val="00943EC8"/>
    <w:rsid w:val="00971304"/>
    <w:rsid w:val="009C781E"/>
    <w:rsid w:val="00A25DFB"/>
    <w:rsid w:val="00A3660F"/>
    <w:rsid w:val="00AE47A0"/>
    <w:rsid w:val="00B27200"/>
    <w:rsid w:val="00B61DD8"/>
    <w:rsid w:val="00B66C6C"/>
    <w:rsid w:val="00BD22D6"/>
    <w:rsid w:val="00BD6321"/>
    <w:rsid w:val="00CA2732"/>
    <w:rsid w:val="00D356DB"/>
    <w:rsid w:val="00D53E7C"/>
    <w:rsid w:val="00D91609"/>
    <w:rsid w:val="00DD7B43"/>
    <w:rsid w:val="00DF7494"/>
    <w:rsid w:val="00E54F55"/>
    <w:rsid w:val="00EB0741"/>
    <w:rsid w:val="00EC6584"/>
    <w:rsid w:val="00EE0987"/>
    <w:rsid w:val="00F10DBF"/>
    <w:rsid w:val="00F47F67"/>
    <w:rsid w:val="00F84610"/>
    <w:rsid w:val="00FE17D3"/>
    <w:rsid w:val="00FE1C46"/>
    <w:rsid w:val="00FF2A7E"/>
    <w:rsid w:val="01E9FA6D"/>
    <w:rsid w:val="03F4ABA0"/>
    <w:rsid w:val="04244196"/>
    <w:rsid w:val="04CA2E1F"/>
    <w:rsid w:val="07B7C3EB"/>
    <w:rsid w:val="097921B3"/>
    <w:rsid w:val="0A0F6C95"/>
    <w:rsid w:val="0B964F74"/>
    <w:rsid w:val="0BCEE00B"/>
    <w:rsid w:val="0E68DFAA"/>
    <w:rsid w:val="0E7CB585"/>
    <w:rsid w:val="12FDB52B"/>
    <w:rsid w:val="14A3AF39"/>
    <w:rsid w:val="16A60801"/>
    <w:rsid w:val="19082E30"/>
    <w:rsid w:val="1ACF1007"/>
    <w:rsid w:val="1AF7437C"/>
    <w:rsid w:val="1CEE1FE8"/>
    <w:rsid w:val="1E5671A8"/>
    <w:rsid w:val="1ED8669F"/>
    <w:rsid w:val="2073709E"/>
    <w:rsid w:val="207D2B52"/>
    <w:rsid w:val="20DBA4DE"/>
    <w:rsid w:val="24CDE2BE"/>
    <w:rsid w:val="24ED499F"/>
    <w:rsid w:val="2570C677"/>
    <w:rsid w:val="25C25B22"/>
    <w:rsid w:val="27EA2486"/>
    <w:rsid w:val="2BB2D26D"/>
    <w:rsid w:val="2D28E459"/>
    <w:rsid w:val="2DBACB92"/>
    <w:rsid w:val="2E2246D0"/>
    <w:rsid w:val="2E264278"/>
    <w:rsid w:val="31864218"/>
    <w:rsid w:val="31B4F516"/>
    <w:rsid w:val="32418217"/>
    <w:rsid w:val="33127D04"/>
    <w:rsid w:val="33678CBA"/>
    <w:rsid w:val="33AD52FF"/>
    <w:rsid w:val="37BA6504"/>
    <w:rsid w:val="382CCAC9"/>
    <w:rsid w:val="3BA091FD"/>
    <w:rsid w:val="3C1D4B00"/>
    <w:rsid w:val="434F4033"/>
    <w:rsid w:val="440EF3AC"/>
    <w:rsid w:val="45656C0D"/>
    <w:rsid w:val="45856771"/>
    <w:rsid w:val="46CB0F40"/>
    <w:rsid w:val="4715C8C4"/>
    <w:rsid w:val="51F7FC84"/>
    <w:rsid w:val="53267468"/>
    <w:rsid w:val="54BC4B94"/>
    <w:rsid w:val="583CCF6F"/>
    <w:rsid w:val="58D184CF"/>
    <w:rsid w:val="59B222FF"/>
    <w:rsid w:val="5AA8B277"/>
    <w:rsid w:val="5EC4645D"/>
    <w:rsid w:val="61E4D19A"/>
    <w:rsid w:val="621FF4A2"/>
    <w:rsid w:val="67460DE6"/>
    <w:rsid w:val="67C7F09D"/>
    <w:rsid w:val="67D340BF"/>
    <w:rsid w:val="69CCA2B4"/>
    <w:rsid w:val="6B0349AE"/>
    <w:rsid w:val="6B0AD29A"/>
    <w:rsid w:val="6D5E0ABD"/>
    <w:rsid w:val="6FC796D3"/>
    <w:rsid w:val="6FCB27BD"/>
    <w:rsid w:val="702D7344"/>
    <w:rsid w:val="70E465F7"/>
    <w:rsid w:val="721CA76C"/>
    <w:rsid w:val="727D3D25"/>
    <w:rsid w:val="76E5F502"/>
    <w:rsid w:val="77C916C6"/>
    <w:rsid w:val="785BDAEB"/>
    <w:rsid w:val="7E3BA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5685F"/>
  <w15:chartTrackingRefBased/>
  <w15:docId w15:val="{65720D52-C04E-41FE-9090-3EFEE4376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42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42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42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42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42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42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42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42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42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2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42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42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42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42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42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42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42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4258"/>
    <w:rPr>
      <w:rFonts w:eastAsiaTheme="majorEastAsia" w:cstheme="majorBidi"/>
      <w:color w:val="272727" w:themeColor="text1" w:themeTint="D8"/>
    </w:rPr>
  </w:style>
  <w:style w:type="paragraph" w:styleId="Title">
    <w:name w:val="Title"/>
    <w:basedOn w:val="Normal"/>
    <w:next w:val="Normal"/>
    <w:link w:val="TitleChar"/>
    <w:uiPriority w:val="10"/>
    <w:qFormat/>
    <w:rsid w:val="007042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42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42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42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4258"/>
    <w:pPr>
      <w:spacing w:before="160"/>
      <w:jc w:val="center"/>
    </w:pPr>
    <w:rPr>
      <w:i/>
      <w:iCs/>
      <w:color w:val="404040" w:themeColor="text1" w:themeTint="BF"/>
    </w:rPr>
  </w:style>
  <w:style w:type="character" w:customStyle="1" w:styleId="QuoteChar">
    <w:name w:val="Quote Char"/>
    <w:basedOn w:val="DefaultParagraphFont"/>
    <w:link w:val="Quote"/>
    <w:uiPriority w:val="29"/>
    <w:rsid w:val="00704258"/>
    <w:rPr>
      <w:i/>
      <w:iCs/>
      <w:color w:val="404040" w:themeColor="text1" w:themeTint="BF"/>
    </w:rPr>
  </w:style>
  <w:style w:type="paragraph" w:styleId="ListParagraph">
    <w:name w:val="List Paragraph"/>
    <w:basedOn w:val="Normal"/>
    <w:uiPriority w:val="34"/>
    <w:qFormat/>
    <w:rsid w:val="00704258"/>
    <w:pPr>
      <w:ind w:left="720"/>
      <w:contextualSpacing/>
    </w:pPr>
  </w:style>
  <w:style w:type="character" w:styleId="IntenseEmphasis">
    <w:name w:val="Intense Emphasis"/>
    <w:basedOn w:val="DefaultParagraphFont"/>
    <w:uiPriority w:val="21"/>
    <w:qFormat/>
    <w:rsid w:val="00704258"/>
    <w:rPr>
      <w:i/>
      <w:iCs/>
      <w:color w:val="0F4761" w:themeColor="accent1" w:themeShade="BF"/>
    </w:rPr>
  </w:style>
  <w:style w:type="paragraph" w:styleId="IntenseQuote">
    <w:name w:val="Intense Quote"/>
    <w:basedOn w:val="Normal"/>
    <w:next w:val="Normal"/>
    <w:link w:val="IntenseQuoteChar"/>
    <w:uiPriority w:val="30"/>
    <w:qFormat/>
    <w:rsid w:val="007042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4258"/>
    <w:rPr>
      <w:i/>
      <w:iCs/>
      <w:color w:val="0F4761" w:themeColor="accent1" w:themeShade="BF"/>
    </w:rPr>
  </w:style>
  <w:style w:type="character" w:styleId="IntenseReference">
    <w:name w:val="Intense Reference"/>
    <w:basedOn w:val="DefaultParagraphFont"/>
    <w:uiPriority w:val="32"/>
    <w:qFormat/>
    <w:rsid w:val="00704258"/>
    <w:rPr>
      <w:b/>
      <w:bCs/>
      <w:smallCaps/>
      <w:color w:val="0F4761" w:themeColor="accent1" w:themeShade="BF"/>
      <w:spacing w:val="5"/>
    </w:rPr>
  </w:style>
  <w:style w:type="paragraph" w:styleId="NoSpacing">
    <w:name w:val="No Spacing"/>
    <w:uiPriority w:val="1"/>
    <w:qFormat/>
    <w:rsid w:val="00704258"/>
    <w:pPr>
      <w:spacing w:after="0" w:line="240" w:lineRule="auto"/>
    </w:pPr>
  </w:style>
  <w:style w:type="table" w:styleId="TableGrid">
    <w:name w:val="Table Grid"/>
    <w:basedOn w:val="TableNormal"/>
    <w:uiPriority w:val="39"/>
    <w:rsid w:val="00D35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91609"/>
    <w:rPr>
      <w:color w:val="467886" w:themeColor="hyperlink"/>
      <w:u w:val="single"/>
    </w:rPr>
  </w:style>
  <w:style w:type="character" w:styleId="UnresolvedMention">
    <w:name w:val="Unresolved Mention"/>
    <w:basedOn w:val="DefaultParagraphFont"/>
    <w:uiPriority w:val="99"/>
    <w:semiHidden/>
    <w:unhideWhenUsed/>
    <w:rsid w:val="00D916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is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9" ma:contentTypeDescription="Create a new document." ma:contentTypeScope="" ma:versionID="a9210a2cc87546c6fbbd562955e36518">
  <xsd:schema xmlns:xsd="http://www.w3.org/2001/XMLSchema" xmlns:xs="http://www.w3.org/2001/XMLSchema" xmlns:p="http://schemas.microsoft.com/office/2006/metadata/properties" xmlns:ns3="21f98238-5914-40fc-b2db-49ce196065c9" targetNamespace="http://schemas.microsoft.com/office/2006/metadata/properties" ma:root="true" ma:fieldsID="8817ea4c3d8a0137cf4d30b45416331a"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84FC26-6DAE-4E04-ADF0-0E6F421C6FFE}">
  <ds:schemaRefs>
    <ds:schemaRef ds:uri="http://schemas.microsoft.com/office/2006/metadata/properties"/>
    <ds:schemaRef ds:uri="http://schemas.microsoft.com/office/infopath/2007/PartnerControls"/>
    <ds:schemaRef ds:uri="21f98238-5914-40fc-b2db-49ce196065c9"/>
  </ds:schemaRefs>
</ds:datastoreItem>
</file>

<file path=customXml/itemProps2.xml><?xml version="1.0" encoding="utf-8"?>
<ds:datastoreItem xmlns:ds="http://schemas.openxmlformats.org/officeDocument/2006/customXml" ds:itemID="{D0779EF8-9279-47F0-84A9-4BB888D1EE1A}">
  <ds:schemaRefs>
    <ds:schemaRef ds:uri="http://schemas.openxmlformats.org/officeDocument/2006/bibliography"/>
  </ds:schemaRefs>
</ds:datastoreItem>
</file>

<file path=customXml/itemProps3.xml><?xml version="1.0" encoding="utf-8"?>
<ds:datastoreItem xmlns:ds="http://schemas.openxmlformats.org/officeDocument/2006/customXml" ds:itemID="{9A5DE046-6B20-46E0-8882-DA2CD24CD9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E64CEE-E75B-4987-9CA5-FA348DA4BF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4216</Words>
  <Characters>24037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Daudul Islam (2507415)</dc:creator>
  <cp:keywords/>
  <dc:description/>
  <cp:lastModifiedBy>Daudul Islam (2507415)</cp:lastModifiedBy>
  <cp:revision>3</cp:revision>
  <dcterms:created xsi:type="dcterms:W3CDTF">2026-07-20T13:47:00Z</dcterms:created>
  <dcterms:modified xsi:type="dcterms:W3CDTF">2026-07-22T09:53:00Z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