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3CA44B" w14:textId="77777777" w:rsidR="00CA5F96" w:rsidRDefault="00CA5F96" w:rsidP="00CA5F96">
      <w:pPr>
        <w:jc w:val="left"/>
      </w:pPr>
      <w:r>
        <w:t>David Bonagura</w:t>
      </w:r>
    </w:p>
    <w:p w14:paraId="2677CBC1" w14:textId="77777777" w:rsidR="00CA5F96" w:rsidRDefault="00CA5F96" w:rsidP="00CA5F96">
      <w:pPr>
        <w:jc w:val="left"/>
      </w:pPr>
      <w:r>
        <w:t>CLCL 7005</w:t>
      </w:r>
    </w:p>
    <w:p w14:paraId="5CD0845A" w14:textId="7C7EB8CF" w:rsidR="00CA5F96" w:rsidRDefault="00CA5F96" w:rsidP="00CA5F96">
      <w:pPr>
        <w:jc w:val="left"/>
      </w:pPr>
      <w:r>
        <w:t xml:space="preserve">Dissertation: </w:t>
      </w:r>
      <w:r w:rsidR="00FB14B9">
        <w:t>Discussion of Theories/Methodologies</w:t>
      </w:r>
    </w:p>
    <w:p w14:paraId="46725759" w14:textId="49D51DB4" w:rsidR="00CA5F96" w:rsidRDefault="00CA5F96" w:rsidP="00CA5F96">
      <w:pPr>
        <w:jc w:val="left"/>
      </w:pPr>
      <w:r>
        <w:t>January 15, 2019</w:t>
      </w:r>
    </w:p>
    <w:p w14:paraId="0FE16BBE" w14:textId="55EF1A55" w:rsidR="00B30120" w:rsidRDefault="00B30120" w:rsidP="00CA5F96">
      <w:pPr>
        <w:jc w:val="left"/>
      </w:pPr>
    </w:p>
    <w:p w14:paraId="28F7FABA" w14:textId="5C23F4C9" w:rsidR="00B30120" w:rsidRDefault="00B30120" w:rsidP="00B30120">
      <w:pPr>
        <w:rPr>
          <w:u w:val="single"/>
        </w:rPr>
      </w:pPr>
      <w:r>
        <w:rPr>
          <w:u w:val="single"/>
        </w:rPr>
        <w:t xml:space="preserve">Virgilian </w:t>
      </w:r>
      <w:r w:rsidR="000A53C8">
        <w:rPr>
          <w:u w:val="single"/>
        </w:rPr>
        <w:t>Allusions</w:t>
      </w:r>
      <w:r>
        <w:rPr>
          <w:u w:val="single"/>
        </w:rPr>
        <w:t xml:space="preserve"> in Jerome’s Letters of Consolation: Motives, Audience, Purpose, Effects</w:t>
      </w:r>
    </w:p>
    <w:p w14:paraId="50D22591" w14:textId="77777777" w:rsidR="00B30120" w:rsidRDefault="00B30120" w:rsidP="00CA5F96">
      <w:pPr>
        <w:jc w:val="left"/>
      </w:pPr>
    </w:p>
    <w:p w14:paraId="6EF2A6CF" w14:textId="6EA3C411" w:rsidR="00B30120" w:rsidRDefault="00B14380" w:rsidP="00B14380">
      <w:pPr>
        <w:spacing w:line="480" w:lineRule="auto"/>
        <w:jc w:val="left"/>
      </w:pPr>
      <w:r>
        <w:tab/>
        <w:t xml:space="preserve">This dissertation will argue that Jerome of </w:t>
      </w:r>
      <w:proofErr w:type="spellStart"/>
      <w:r>
        <w:t>Stridon</w:t>
      </w:r>
      <w:proofErr w:type="spellEnd"/>
      <w:r w:rsidR="000A53C8">
        <w:t xml:space="preserve"> made allusions </w:t>
      </w:r>
      <w:r>
        <w:t xml:space="preserve">to Virgil in his consolatory epistles </w:t>
      </w:r>
      <w:r w:rsidR="00ED6263">
        <w:t xml:space="preserve">with the deliberate effect of </w:t>
      </w:r>
      <w:r w:rsidR="00934FDD">
        <w:t>evok</w:t>
      </w:r>
      <w:r w:rsidR="00F42E9F">
        <w:t>ing images and emotions for</w:t>
      </w:r>
      <w:r w:rsidR="00ED6263">
        <w:t xml:space="preserve"> his reader</w:t>
      </w:r>
      <w:r>
        <w:t xml:space="preserve">. </w:t>
      </w:r>
      <w:r w:rsidR="00F42E9F">
        <w:t>Jerome employs his allusions to Virgil in three ways: passing allusions to one to three lines of text that are associated in theme with the topic at hand; lines quoted as proverbs intended for instruction; and longer references engaged directly, albeit briefly, by Jerome to help make a particular argument.</w:t>
      </w:r>
      <w:r w:rsidR="00F42E9F">
        <w:t xml:space="preserve"> </w:t>
      </w:r>
      <w:r>
        <w:t>The choice of Virgil is noteworthy: in 375</w:t>
      </w:r>
      <w:r w:rsidR="00893068">
        <w:t xml:space="preserve"> </w:t>
      </w:r>
      <w:r w:rsidR="000A53C8">
        <w:t>Jerome</w:t>
      </w:r>
      <w:r w:rsidR="00893068">
        <w:t xml:space="preserve"> had a </w:t>
      </w:r>
      <w:r w:rsidR="00934FDD">
        <w:t xml:space="preserve">famous </w:t>
      </w:r>
      <w:r w:rsidR="00893068">
        <w:t xml:space="preserve">dream, recounted nearly ten years later in Letter </w:t>
      </w:r>
      <w:proofErr w:type="gramStart"/>
      <w:r w:rsidR="00893068">
        <w:t>XXII, that</w:t>
      </w:r>
      <w:proofErr w:type="gramEnd"/>
      <w:r w:rsidR="00893068">
        <w:t xml:space="preserve"> prompted him to renounce his readin</w:t>
      </w:r>
      <w:r w:rsidR="00F42E9F">
        <w:t>g of pagan literature. If he</w:t>
      </w:r>
      <w:r w:rsidR="00893068">
        <w:t xml:space="preserve"> had been sincere in his pledge, why would he continue to draw on Virgil and </w:t>
      </w:r>
      <w:r w:rsidR="00ED6263">
        <w:t>on</w:t>
      </w:r>
      <w:r w:rsidR="00893068">
        <w:t xml:space="preserve"> other ancient writers for decades to come? By examining how exactly Jerome used </w:t>
      </w:r>
      <w:r w:rsidR="0052270B">
        <w:t>nine</w:t>
      </w:r>
      <w:r w:rsidR="00893068">
        <w:t xml:space="preserve">teen </w:t>
      </w:r>
      <w:r w:rsidR="000A53C8">
        <w:t xml:space="preserve">allusions, or </w:t>
      </w:r>
      <w:proofErr w:type="spellStart"/>
      <w:r w:rsidR="000A53C8">
        <w:t>intertexts</w:t>
      </w:r>
      <w:proofErr w:type="spellEnd"/>
      <w:r w:rsidR="000A53C8">
        <w:t>,</w:t>
      </w:r>
      <w:r w:rsidR="000A53C8">
        <w:rPr>
          <w:rStyle w:val="FootnoteReference"/>
        </w:rPr>
        <w:footnoteReference w:id="1"/>
      </w:r>
      <w:r w:rsidR="00893068">
        <w:t xml:space="preserve"> to Virgil in seven of his </w:t>
      </w:r>
      <w:r w:rsidR="00934FDD">
        <w:t>twelve</w:t>
      </w:r>
      <w:r w:rsidR="00893068">
        <w:t xml:space="preserve"> consolatory epistles, in which genre he is considered “the foremost representative in Latin Christian literature,”</w:t>
      </w:r>
      <w:r w:rsidR="00893068">
        <w:rPr>
          <w:rStyle w:val="FootnoteReference"/>
        </w:rPr>
        <w:footnoteReference w:id="2"/>
      </w:r>
      <w:r w:rsidR="00893068">
        <w:t xml:space="preserve"> Jerome’s practical attitude toward Virgil and, by extension, other pre-Christian authors, is more readily gaged than by r</w:t>
      </w:r>
      <w:r w:rsidR="0087413C">
        <w:t>eading his</w:t>
      </w:r>
      <w:r w:rsidR="00893068">
        <w:t xml:space="preserve"> few philosophical pronouncements on the role that pagan literature should play for a Christian.</w:t>
      </w:r>
      <w:r w:rsidR="00CE1C8A">
        <w:t xml:space="preserve"> </w:t>
      </w:r>
    </w:p>
    <w:p w14:paraId="4E8EF73D" w14:textId="4E988B96" w:rsidR="0077484D" w:rsidRDefault="00893068" w:rsidP="00B14380">
      <w:pPr>
        <w:spacing w:line="480" w:lineRule="auto"/>
        <w:jc w:val="left"/>
      </w:pPr>
      <w:r>
        <w:tab/>
        <w:t>Within these parameters three methodologies are paramount</w:t>
      </w:r>
      <w:r w:rsidR="00CE1C8A">
        <w:t xml:space="preserve"> and intertwined</w:t>
      </w:r>
      <w:r>
        <w:t xml:space="preserve">: intertextuality, epistolography as genre, and gender </w:t>
      </w:r>
      <w:r w:rsidR="00852460">
        <w:t>theory</w:t>
      </w:r>
      <w:r>
        <w:t xml:space="preserve"> insofar as it pertains to the letters’ addressees and how Jerome views them. Intertextuality is by far the most important</w:t>
      </w:r>
      <w:r w:rsidR="00CE1C8A">
        <w:t>, yet its chief theories are called into question by theories of epistolography</w:t>
      </w:r>
      <w:r w:rsidR="00852460">
        <w:t>. Each of these will now be examined in t</w:t>
      </w:r>
      <w:r w:rsidR="00934FDD">
        <w:t>erms of their interrelationship</w:t>
      </w:r>
      <w:r w:rsidR="00852460">
        <w:t>.</w:t>
      </w:r>
    </w:p>
    <w:p w14:paraId="458E9728" w14:textId="7CB1139D" w:rsidR="00E73F82" w:rsidRDefault="0077484D" w:rsidP="00B14380">
      <w:pPr>
        <w:spacing w:line="480" w:lineRule="auto"/>
        <w:jc w:val="left"/>
      </w:pPr>
      <w:r>
        <w:lastRenderedPageBreak/>
        <w:tab/>
        <w:t xml:space="preserve">The theory of intertextuality, or how one text depends on and alludes to </w:t>
      </w:r>
      <w:r w:rsidR="00ED6263">
        <w:t>prior</w:t>
      </w:r>
      <w:r>
        <w:t xml:space="preserve"> texts, presents a challenge to the prevailing theory of H. </w:t>
      </w:r>
      <w:proofErr w:type="spellStart"/>
      <w:r>
        <w:t>Hagendahl</w:t>
      </w:r>
      <w:proofErr w:type="spellEnd"/>
      <w:r w:rsidR="0047034A">
        <w:t xml:space="preserve">, who argues that Jerome refers to Virgil “whenever a richer adornment and </w:t>
      </w:r>
      <w:proofErr w:type="spellStart"/>
      <w:r w:rsidR="0047034A">
        <w:t>colouring</w:t>
      </w:r>
      <w:proofErr w:type="spellEnd"/>
      <w:r w:rsidR="0047034A">
        <w:t xml:space="preserve"> of the style is wanted.”</w:t>
      </w:r>
      <w:r w:rsidR="0047034A">
        <w:rPr>
          <w:rStyle w:val="FootnoteReference"/>
        </w:rPr>
        <w:footnoteReference w:id="3"/>
      </w:r>
      <w:r w:rsidR="00CE1C8A">
        <w:t xml:space="preserve"> Contemporary theories of intertextuality, as presented by L. Edmunds, assert to the contrary that “appeal to the intention of the author has to be abandoned. The foundation of intertextual phenomena is not the author but the reader.”</w:t>
      </w:r>
      <w:r w:rsidR="00CE1C8A">
        <w:rPr>
          <w:rStyle w:val="FootnoteReference"/>
        </w:rPr>
        <w:footnoteReference w:id="4"/>
      </w:r>
      <w:r w:rsidR="00351BB5">
        <w:t xml:space="preserve"> </w:t>
      </w:r>
    </w:p>
    <w:p w14:paraId="39DD40B9" w14:textId="3B5E1423" w:rsidR="0077484D" w:rsidRDefault="00351BB5" w:rsidP="00E73F82">
      <w:pPr>
        <w:spacing w:line="480" w:lineRule="auto"/>
        <w:ind w:firstLine="720"/>
        <w:jc w:val="left"/>
      </w:pPr>
      <w:r>
        <w:t xml:space="preserve">In the case of Jerome, as opposed to that of the poets who are often the centerpiece of intertextual studies, commentators are more apt to seek out the authorial intent behind his intertexts to Virgil and other classical authors because of his famous disavowal of their use in Letter XXII, and then his seeming defense of classical references </w:t>
      </w:r>
      <w:r w:rsidR="00934FDD">
        <w:t xml:space="preserve">years later </w:t>
      </w:r>
      <w:r>
        <w:t xml:space="preserve">in Letter LXX in reply to </w:t>
      </w:r>
      <w:proofErr w:type="spellStart"/>
      <w:r>
        <w:t>Rufinus’s</w:t>
      </w:r>
      <w:proofErr w:type="spellEnd"/>
      <w:r>
        <w:t xml:space="preserve"> challenges; additionally, in his Commentary on Galatians, Jerome asserts, unprovoked, that he had not touched a classical text in fifteen years.</w:t>
      </w:r>
      <w:r>
        <w:rPr>
          <w:rStyle w:val="FootnoteReference"/>
        </w:rPr>
        <w:footnoteReference w:id="5"/>
      </w:r>
      <w:r>
        <w:t xml:space="preserve"> But even with these philosophical statements on the role that classical literature should—or should not—play within Christian literature, Edmunds is right that we cannot know </w:t>
      </w:r>
      <w:r w:rsidR="00E73F82">
        <w:t>Jerome’s specific intent</w:t>
      </w:r>
      <w:r w:rsidR="00934FDD">
        <w:t xml:space="preserve"> with regard to particular allusions</w:t>
      </w:r>
      <w:r w:rsidR="00E73F82">
        <w:t xml:space="preserve">. Hence this </w:t>
      </w:r>
      <w:r w:rsidR="00665583">
        <w:t>dissertation</w:t>
      </w:r>
      <w:r w:rsidR="00E73F82">
        <w:t xml:space="preserve"> will begin by examining how exactly Jerome</w:t>
      </w:r>
      <w:r w:rsidR="0087413C">
        <w:t xml:space="preserve">’s </w:t>
      </w:r>
      <w:r w:rsidR="00E73F82">
        <w:t xml:space="preserve">allusions to Virgil </w:t>
      </w:r>
      <w:r w:rsidR="0087413C">
        <w:t xml:space="preserve">are used </w:t>
      </w:r>
      <w:r w:rsidR="00E73F82">
        <w:t>within a small quantity of letters in a specific style in the hope of illuminating an overall practical approach that he maintained toward classical literature.</w:t>
      </w:r>
      <w:r w:rsidR="00665583">
        <w:t xml:space="preserve"> This approach is more in line with the thesis of J. </w:t>
      </w:r>
      <w:proofErr w:type="spellStart"/>
      <w:r w:rsidR="00665583">
        <w:t>Hritzu</w:t>
      </w:r>
      <w:proofErr w:type="spellEnd"/>
      <w:r w:rsidR="00665583">
        <w:t xml:space="preserve">, who, contra </w:t>
      </w:r>
      <w:proofErr w:type="spellStart"/>
      <w:r w:rsidR="00665583">
        <w:t>Hagendahl</w:t>
      </w:r>
      <w:proofErr w:type="spellEnd"/>
      <w:r w:rsidR="00665583">
        <w:t xml:space="preserve">, argues that “St. Jerome’s use of the rhetorical figures in his </w:t>
      </w:r>
      <w:r w:rsidR="00665583">
        <w:rPr>
          <w:i/>
        </w:rPr>
        <w:t>Letters</w:t>
      </w:r>
      <w:r w:rsidR="00665583">
        <w:t xml:space="preserve"> is guided by the principle of utility, not ornamentation…. St. Jerome uses all his oratorical power, and with Ciceronian skill displays ability to produce effects and to create atmosphere by rhetorical flourishes.”</w:t>
      </w:r>
      <w:r w:rsidR="00665583">
        <w:rPr>
          <w:rStyle w:val="FootnoteReference"/>
        </w:rPr>
        <w:footnoteReference w:id="6"/>
      </w:r>
      <w:r w:rsidR="00E40501">
        <w:t xml:space="preserve"> </w:t>
      </w:r>
    </w:p>
    <w:p w14:paraId="3C997524" w14:textId="0C1E25C2" w:rsidR="0068487B" w:rsidRDefault="0068487B" w:rsidP="00E73F82">
      <w:pPr>
        <w:spacing w:line="480" w:lineRule="auto"/>
        <w:ind w:firstLine="720"/>
        <w:jc w:val="left"/>
      </w:pPr>
      <w:r>
        <w:lastRenderedPageBreak/>
        <w:t xml:space="preserve">Furthermore, this approach to intertextuality in a work of prose </w:t>
      </w:r>
      <w:r w:rsidR="000D7F2C">
        <w:t xml:space="preserve">finds expression in I. </w:t>
      </w:r>
      <w:proofErr w:type="spellStart"/>
      <w:r w:rsidR="000D7F2C">
        <w:t>Marchesi’s</w:t>
      </w:r>
      <w:proofErr w:type="spellEnd"/>
      <w:r w:rsidR="000D7F2C">
        <w:t xml:space="preserve"> recent work on intertexts in Pliny’s letters: two specific effects of the prose writer’s allusion to poetry are the recalling of the original text, including its macro-textual context, and the calling</w:t>
      </w:r>
      <w:r w:rsidR="0087413C">
        <w:t xml:space="preserve"> of the reader to interpret the meaning in its new context</w:t>
      </w:r>
      <w:r w:rsidR="000D7F2C">
        <w:t>.</w:t>
      </w:r>
      <w:r w:rsidR="000D7F2C">
        <w:rPr>
          <w:rStyle w:val="FootnoteReference"/>
        </w:rPr>
        <w:footnoteReference w:id="7"/>
      </w:r>
      <w:r w:rsidR="000D7F2C">
        <w:t xml:space="preserve"> Often Jerome’s passing allusions to a limited quantity of Virgilian text invite the reader to compare his or her current</w:t>
      </w:r>
      <w:r w:rsidR="00F12CA0">
        <w:t xml:space="preserve"> situation to that described by Virgil, such as the three occasions in which Jerome cites </w:t>
      </w:r>
      <w:r w:rsidR="00F12CA0">
        <w:rPr>
          <w:i/>
        </w:rPr>
        <w:t>Aeneid</w:t>
      </w:r>
      <w:r w:rsidR="00F12CA0">
        <w:t xml:space="preserve"> VI.625-627</w:t>
      </w:r>
      <w:r w:rsidR="004D48EE">
        <w:t>, the concluding lines of the Sibyl’s descriptions of the punishments of Tartarus’s inhabitants,</w:t>
      </w:r>
      <w:r w:rsidR="00F12CA0">
        <w:t xml:space="preserve"> when recounting human suffering.</w:t>
      </w:r>
    </w:p>
    <w:p w14:paraId="256C8EFB" w14:textId="7B19291B" w:rsidR="00435242" w:rsidRDefault="00E73F82" w:rsidP="00E73F82">
      <w:pPr>
        <w:spacing w:line="480" w:lineRule="auto"/>
        <w:ind w:firstLine="720"/>
        <w:jc w:val="left"/>
      </w:pPr>
      <w:r>
        <w:t xml:space="preserve">Intertextual theory presents </w:t>
      </w:r>
      <w:r w:rsidR="006F08C2">
        <w:t>two further</w:t>
      </w:r>
      <w:r>
        <w:t xml:space="preserve"> difficult</w:t>
      </w:r>
      <w:r w:rsidR="00435242">
        <w:t>ies</w:t>
      </w:r>
      <w:r>
        <w:t xml:space="preserve"> in interpretation precisely where it encounters </w:t>
      </w:r>
      <w:proofErr w:type="spellStart"/>
      <w:r>
        <w:t>epistolographical</w:t>
      </w:r>
      <w:proofErr w:type="spellEnd"/>
      <w:r>
        <w:t xml:space="preserve"> theory. </w:t>
      </w:r>
      <w:r w:rsidR="00435242">
        <w:t>First, contemporary scholars in the field of epistolography still seem intent on establishing authorial intention.</w:t>
      </w:r>
      <w:r w:rsidR="00435242">
        <w:rPr>
          <w:rStyle w:val="FootnoteReference"/>
        </w:rPr>
        <w:footnoteReference w:id="8"/>
      </w:r>
      <w:r w:rsidR="0091656C">
        <w:t xml:space="preserve"> </w:t>
      </w:r>
      <w:r w:rsidR="00ED008A">
        <w:t xml:space="preserve">A. </w:t>
      </w:r>
      <w:r w:rsidR="0091656C">
        <w:t>Cain</w:t>
      </w:r>
      <w:r w:rsidR="00ED008A">
        <w:t>, for example, deduces from Jerome’s early letters that the monk was writing to establish himself “as an intellectual and spiritual authority in the Latin church of his day.”</w:t>
      </w:r>
      <w:r w:rsidR="00ED008A">
        <w:rPr>
          <w:rStyle w:val="FootnoteReference"/>
        </w:rPr>
        <w:footnoteReference w:id="9"/>
      </w:r>
      <w:r w:rsidR="00ED008A">
        <w:t xml:space="preserve"> Jerome, in Cain’s view, “poses for the reader on his two-dimensional canvas”</w:t>
      </w:r>
      <w:r w:rsidR="00ED008A">
        <w:rPr>
          <w:rStyle w:val="FootnoteReference"/>
        </w:rPr>
        <w:footnoteReference w:id="10"/>
      </w:r>
      <w:r w:rsidR="00ED008A">
        <w:t xml:space="preserve"> and uses Letters </w:t>
      </w:r>
      <w:r w:rsidR="00433432">
        <w:t>I-XVII</w:t>
      </w:r>
      <w:r w:rsidR="00ED008A">
        <w:t xml:space="preserve">, </w:t>
      </w:r>
      <w:r w:rsidR="00433432">
        <w:t xml:space="preserve">released as a single collection, for a “creative autobiographical (or rather, </w:t>
      </w:r>
      <w:proofErr w:type="spellStart"/>
      <w:r w:rsidR="00433432">
        <w:t>autohagiographical</w:t>
      </w:r>
      <w:proofErr w:type="spellEnd"/>
      <w:r w:rsidR="00433432">
        <w:t>) and social-networking purpose.”</w:t>
      </w:r>
      <w:r w:rsidR="00433432">
        <w:rPr>
          <w:rStyle w:val="FootnoteReference"/>
        </w:rPr>
        <w:footnoteReference w:id="11"/>
      </w:r>
      <w:r w:rsidR="00433432">
        <w:t xml:space="preserve"> </w:t>
      </w:r>
      <w:r w:rsidR="00E92E9E">
        <w:t xml:space="preserve">Cain is examining Jerome’s letters more broadly rather than the intertexts that the monk uses </w:t>
      </w:r>
      <w:r w:rsidR="0087413C">
        <w:t>within his letters. But, if Edmu</w:t>
      </w:r>
      <w:r w:rsidR="00E92E9E">
        <w:t>nds is correct that authorial intent cannot be known, then Cain would have to limit himself to hypothesizing Jerome’s intentions rather than exposing them</w:t>
      </w:r>
      <w:r w:rsidR="004D48EE">
        <w:t xml:space="preserve"> as a form of psychoanalysis. T</w:t>
      </w:r>
      <w:r w:rsidR="00E92E9E">
        <w:t>he latter seems more his goal.</w:t>
      </w:r>
    </w:p>
    <w:p w14:paraId="2BF068C0" w14:textId="347440F3" w:rsidR="00FD118C" w:rsidRDefault="00E92E9E" w:rsidP="00E73F82">
      <w:pPr>
        <w:spacing w:line="480" w:lineRule="auto"/>
        <w:ind w:firstLine="720"/>
        <w:jc w:val="left"/>
      </w:pPr>
      <w:r>
        <w:lastRenderedPageBreak/>
        <w:t>Second, i</w:t>
      </w:r>
      <w:r w:rsidR="00070512">
        <w:t xml:space="preserve">f the intertexts in question are best understood not in relation to </w:t>
      </w:r>
      <w:r w:rsidR="00BC70F3">
        <w:t>Jerome, but to his reader who “activates” them,</w:t>
      </w:r>
      <w:r w:rsidR="00BC70F3">
        <w:rPr>
          <w:rStyle w:val="FootnoteReference"/>
        </w:rPr>
        <w:footnoteReference w:id="12"/>
      </w:r>
      <w:r w:rsidR="00BC70F3">
        <w:t xml:space="preserve"> how should commentators approach letters that have designated recipients? If we cannot know authorial intent, how can we know the reception of a specific recipient? </w:t>
      </w:r>
      <w:r w:rsidR="00FD118C">
        <w:t xml:space="preserve">Intertextuality and epistolography share a common approach </w:t>
      </w:r>
      <w:r w:rsidR="004D48EE">
        <w:t>to</w:t>
      </w:r>
      <w:r w:rsidR="00FD118C">
        <w:t xml:space="preserve"> this question. “Letters,” writes J. Lieu, “create a distinctive social sphere, with its own internal conventions, its own sets of relationships, its own language of relationality.”</w:t>
      </w:r>
      <w:r w:rsidR="00FD118C">
        <w:rPr>
          <w:rStyle w:val="FootnoteReference"/>
        </w:rPr>
        <w:footnoteReference w:id="13"/>
      </w:r>
      <w:r w:rsidR="00FD118C">
        <w:t xml:space="preserve"> In late antiquity, letters, although addressed to a single individual, were often intended for an entire household or community; the letter </w:t>
      </w:r>
      <w:r w:rsidR="00C1165A">
        <w:t>provides a medium for exchange between author and his audience. Hence when interpreting letters we can accept Edmunds’s theory that “[r]</w:t>
      </w:r>
      <w:proofErr w:type="spellStart"/>
      <w:r w:rsidR="00C1165A">
        <w:t>eading</w:t>
      </w:r>
      <w:proofErr w:type="spellEnd"/>
      <w:r w:rsidR="00C1165A">
        <w:t xml:space="preserve"> is constrained by interpretative communities. It is not constrained by some unchanging essence in the text…. Meaning, including intertextual meaning, emerges from the interaction between” the text and the reader.</w:t>
      </w:r>
      <w:r w:rsidR="00C1165A">
        <w:rPr>
          <w:rStyle w:val="FootnoteReference"/>
        </w:rPr>
        <w:footnoteReference w:id="14"/>
      </w:r>
    </w:p>
    <w:p w14:paraId="3216EE2C" w14:textId="02DBA80C" w:rsidR="00C1165A" w:rsidRDefault="00C1165A" w:rsidP="00B14380">
      <w:pPr>
        <w:spacing w:line="480" w:lineRule="auto"/>
        <w:jc w:val="left"/>
      </w:pPr>
      <w:r>
        <w:tab/>
        <w:t xml:space="preserve">How, then, would Jerome’s readers have understood and reacted to his allusions to Virgil? </w:t>
      </w:r>
      <w:r w:rsidR="007105B9">
        <w:t>For the “aesthetic reader” (i.e., one who is reading the text for pleasure and is not a trained philologist), “allusion is something that requires the participation of the reader and, if noticed, is integrated into the developing meaning of the text being read.”</w:t>
      </w:r>
      <w:r w:rsidR="007105B9">
        <w:rPr>
          <w:rStyle w:val="FootnoteReference"/>
        </w:rPr>
        <w:footnoteReference w:id="15"/>
      </w:r>
      <w:r w:rsidR="00E40501">
        <w:t xml:space="preserve"> Edmu</w:t>
      </w:r>
      <w:r w:rsidR="000553D8">
        <w:t>nds provides the example of a reader encountering an allusion to a Greek poem he recognized within a Roman one.</w:t>
      </w:r>
    </w:p>
    <w:p w14:paraId="45781488" w14:textId="3620C195" w:rsidR="000553D8" w:rsidRDefault="000553D8" w:rsidP="000553D8">
      <w:pPr>
        <w:ind w:left="720" w:firstLine="360"/>
        <w:jc w:val="left"/>
      </w:pPr>
      <w:r>
        <w:t xml:space="preserve">He will either simply be aware of the intertextual relation or he will have a more precise knowledge of it. In either case, intertextuality belongs to the experience of the first reading, and the reader will attempt to integrate the allusion(s) into his perception of the poem as an evolving whole. If the reader is ignorant of the Greek poem, a first reading can still be successful, because…the perception of intertextuality is not </w:t>
      </w:r>
      <w:r>
        <w:lastRenderedPageBreak/>
        <w:t>absolutely necessary to the meaningfulness of the poem. Intertextuality would, in this case, be a matter for the second or third reading.</w:t>
      </w:r>
    </w:p>
    <w:p w14:paraId="0ACD8C2A" w14:textId="7AB3F761" w:rsidR="000553D8" w:rsidRDefault="000553D8" w:rsidP="000553D8">
      <w:pPr>
        <w:jc w:val="left"/>
      </w:pPr>
      <w:r>
        <w:tab/>
        <w:t xml:space="preserve">      The intertextual dimension of a Roman poem is, then, in the first place historical </w:t>
      </w:r>
    </w:p>
    <w:p w14:paraId="731D747C" w14:textId="77777777" w:rsidR="000553D8" w:rsidRDefault="000553D8" w:rsidP="000553D8">
      <w:pPr>
        <w:ind w:firstLine="720"/>
        <w:jc w:val="left"/>
      </w:pPr>
      <w:r>
        <w:t xml:space="preserve">information that the reader may or may not possess at the time of the first reading, and </w:t>
      </w:r>
    </w:p>
    <w:p w14:paraId="7E1E7282" w14:textId="2DB5348A" w:rsidR="000553D8" w:rsidRDefault="000553D8" w:rsidP="000553D8">
      <w:pPr>
        <w:ind w:firstLine="720"/>
        <w:jc w:val="left"/>
      </w:pPr>
      <w:r>
        <w:t>intertextuality thus, as said, discriminates between one reader and another.</w:t>
      </w:r>
      <w:r>
        <w:rPr>
          <w:rStyle w:val="FootnoteReference"/>
        </w:rPr>
        <w:footnoteReference w:id="16"/>
      </w:r>
    </w:p>
    <w:p w14:paraId="5F0AFB4F" w14:textId="4357ECF3" w:rsidR="000553D8" w:rsidRDefault="000553D8" w:rsidP="000553D8">
      <w:pPr>
        <w:jc w:val="left"/>
      </w:pPr>
    </w:p>
    <w:p w14:paraId="1F2A0BA8" w14:textId="76CFAD2A" w:rsidR="000553D8" w:rsidRDefault="009B4311" w:rsidP="009B4311">
      <w:pPr>
        <w:spacing w:line="480" w:lineRule="auto"/>
        <w:ind w:firstLine="720"/>
        <w:jc w:val="left"/>
      </w:pPr>
      <w:r>
        <w:t xml:space="preserve">How exactly Jerome’s allusions to Virgil were understood by his primary audience cannot be </w:t>
      </w:r>
      <w:r w:rsidR="00E40501">
        <w:t>ascertained, and, following Edmu</w:t>
      </w:r>
      <w:r>
        <w:t>nds’s argument, no two readers of the same letter might have had the same reaction. Yet the quantity of allusions that Jerome makes in a given letter may suggest that the</w:t>
      </w:r>
      <w:r w:rsidR="00E40501">
        <w:t xml:space="preserve"> designated</w:t>
      </w:r>
      <w:r>
        <w:t xml:space="preserve"> recipient was inclined to identify them. Of Jerome’s </w:t>
      </w:r>
      <w:r w:rsidR="00A744CB">
        <w:t>twelve</w:t>
      </w:r>
      <w:r>
        <w:t xml:space="preserve"> consolatory epistles, seven contain intertexts to Virgil</w:t>
      </w:r>
      <w:r w:rsidR="00591F45">
        <w:t>:</w:t>
      </w:r>
      <w:r>
        <w:t xml:space="preserve"> each of these makes between two and four allusions.</w:t>
      </w:r>
      <w:r w:rsidR="00E40501">
        <w:t xml:space="preserve"> T</w:t>
      </w:r>
      <w:r w:rsidR="000A684C">
        <w:t xml:space="preserve">wo of these letters were written within the fifteen-year period </w:t>
      </w:r>
      <w:r w:rsidR="004D48EE">
        <w:t>since</w:t>
      </w:r>
      <w:r w:rsidR="000A684C">
        <w:t xml:space="preserve"> Jerome’s dream and subsequent renunciation of classical literature; these two contain no allusions to Virgil and only one small reference each to Roman paganism. Of the remaining </w:t>
      </w:r>
      <w:r w:rsidR="00A744CB">
        <w:t>ten</w:t>
      </w:r>
      <w:r w:rsidR="000A684C">
        <w:t>, t</w:t>
      </w:r>
      <w:r w:rsidR="00591F45">
        <w:t>hree</w:t>
      </w:r>
      <w:r w:rsidR="000A684C">
        <w:t xml:space="preserve"> have four allusions to Virgil; one of these is addressed to the bishop </w:t>
      </w:r>
      <w:proofErr w:type="spellStart"/>
      <w:r w:rsidR="000A684C">
        <w:t>Heliodorus</w:t>
      </w:r>
      <w:proofErr w:type="spellEnd"/>
      <w:r w:rsidR="00591F45">
        <w:t>, one to</w:t>
      </w:r>
      <w:r w:rsidR="000A684C">
        <w:t xml:space="preserve"> the</w:t>
      </w:r>
      <w:r w:rsidR="00591F45">
        <w:t xml:space="preserve"> </w:t>
      </w:r>
      <w:r w:rsidR="000A684C">
        <w:t xml:space="preserve">senator </w:t>
      </w:r>
      <w:proofErr w:type="spellStart"/>
      <w:r w:rsidR="000A684C">
        <w:t>Pammachius</w:t>
      </w:r>
      <w:proofErr w:type="spellEnd"/>
      <w:r w:rsidR="000A684C">
        <w:t xml:space="preserve">, </w:t>
      </w:r>
      <w:r w:rsidR="00591F45">
        <w:t xml:space="preserve">and one to the Roman nobleman Oceanus, </w:t>
      </w:r>
      <w:r w:rsidR="000A684C">
        <w:t xml:space="preserve">men who, by their office, would have received the same thorough education in the classical tradition that Jerome himself had received. </w:t>
      </w:r>
      <w:r w:rsidR="00A744CB">
        <w:t xml:space="preserve">For </w:t>
      </w:r>
      <w:proofErr w:type="spellStart"/>
      <w:r w:rsidR="00A744CB">
        <w:t>Hagendahl</w:t>
      </w:r>
      <w:proofErr w:type="spellEnd"/>
      <w:r w:rsidR="00A744CB">
        <w:t>, it is no accident that these two educated men of high social status received letters teeming with intertexts: “As a general rule we can lay down that the more the writer strives to impress the reader by the elegance of his style, whether he addresses himself to an individual or to the general public, the more he makes use of topics and adornments borrowed from pagan literature.”</w:t>
      </w:r>
      <w:r w:rsidR="00A744CB">
        <w:rPr>
          <w:rStyle w:val="FootnoteReference"/>
        </w:rPr>
        <w:footnoteReference w:id="17"/>
      </w:r>
    </w:p>
    <w:p w14:paraId="52A27D97" w14:textId="18330B96" w:rsidR="000553D8" w:rsidRDefault="00A744CB" w:rsidP="00A744CB">
      <w:pPr>
        <w:spacing w:line="480" w:lineRule="auto"/>
        <w:jc w:val="left"/>
      </w:pPr>
      <w:r>
        <w:tab/>
        <w:t xml:space="preserve">Of the remaining eight letters, all composed within the final twenty-five years of </w:t>
      </w:r>
      <w:r w:rsidR="00591F45">
        <w:t>Jerome’s</w:t>
      </w:r>
      <w:r>
        <w:t xml:space="preserve"> long life, three are addressed to men and five are addressed to women. Two of these three letters to men lack allusions to Virgil; two of these five to women lack </w:t>
      </w:r>
      <w:r w:rsidR="00F20765">
        <w:t xml:space="preserve">allusions. So it is </w:t>
      </w:r>
      <w:r w:rsidR="00F20765">
        <w:lastRenderedPageBreak/>
        <w:t xml:space="preserve">not the case that Jerome omitted such references in his writings to women even though they were likely not to have received the same literary education that a man of high social standing would have received. Hence gender theory and gender roles play only a minor role in </w:t>
      </w:r>
      <w:r w:rsidR="00E40501">
        <w:t xml:space="preserve">the </w:t>
      </w:r>
      <w:r w:rsidR="00F20765">
        <w:t xml:space="preserve">approach of this dissertation. Without question, Jerome’s attitude toward women was very much conditioned by his time: </w:t>
      </w:r>
      <w:r w:rsidR="0032007B">
        <w:t>he writes more than once that women are physically weak because of their sex.</w:t>
      </w:r>
      <w:r w:rsidR="0032007B">
        <w:rPr>
          <w:rStyle w:val="FootnoteReference"/>
        </w:rPr>
        <w:footnoteReference w:id="18"/>
      </w:r>
      <w:r w:rsidR="0032007B">
        <w:t xml:space="preserve"> In fairness, however, he also holds that before God, men and women are bound by the same obligations.</w:t>
      </w:r>
      <w:r w:rsidR="0032007B">
        <w:rPr>
          <w:rStyle w:val="FootnoteReference"/>
        </w:rPr>
        <w:footnoteReference w:id="19"/>
      </w:r>
      <w:r w:rsidR="0032007B">
        <w:t xml:space="preserve"> Yet his use of Virgilian allusions</w:t>
      </w:r>
      <w:r w:rsidR="00972473">
        <w:t xml:space="preserve"> does not seem to be overly influenced by the gender of his recipient. In fact, in Letter LXXIX to </w:t>
      </w:r>
      <w:proofErr w:type="spellStart"/>
      <w:r w:rsidR="00972473">
        <w:t>Salvina</w:t>
      </w:r>
      <w:proofErr w:type="spellEnd"/>
      <w:r w:rsidR="00972473">
        <w:t>, Jerome’s argument very much hinges on her understanding a particular allusion to Dido.</w:t>
      </w:r>
    </w:p>
    <w:p w14:paraId="1BF9D03E" w14:textId="5BB75F4E" w:rsidR="00F833AF" w:rsidRPr="00591F45" w:rsidRDefault="00972473" w:rsidP="0099782A">
      <w:pPr>
        <w:spacing w:line="480" w:lineRule="auto"/>
        <w:jc w:val="left"/>
      </w:pPr>
      <w:r>
        <w:tab/>
        <w:t>The methodologies of intertextuality, epistolography, and gender theory intersect, and even conflict, in this examination of Virgilian intertexts in Jerome’s consolatory letters. Without question the most important issue that these three methodologies consider is authorial intent, and how—if at all—it can be known, as an examination of allusions naturally raises the question as to why Jerome made the reference</w:t>
      </w:r>
      <w:r w:rsidR="00591F45">
        <w:t>s</w:t>
      </w:r>
      <w:r>
        <w:t xml:space="preserve"> he did. While contemporary epistolography still seems beholden to this approach, intertextuality’s eschewing of it has the benefit of directing this dissertation to the intertexts themselves and their effect on the reader rather than to theories about what Jerome might—or might not—have had in mind at a given moment. </w:t>
      </w:r>
      <w:r w:rsidR="0070406E">
        <w:t>For this dissertation, “meaning is always constructed at the point of reception.”</w:t>
      </w:r>
      <w:r w:rsidR="0070406E">
        <w:rPr>
          <w:rStyle w:val="FootnoteReference"/>
        </w:rPr>
        <w:footnoteReference w:id="20"/>
      </w:r>
    </w:p>
    <w:p w14:paraId="4C050113" w14:textId="0803BAF5" w:rsidR="00F833AF" w:rsidRDefault="00F833AF" w:rsidP="00F833AF">
      <w:pPr>
        <w:spacing w:line="480" w:lineRule="auto"/>
        <w:rPr>
          <w:rFonts w:cs="Times New Roman"/>
          <w:szCs w:val="24"/>
          <w:shd w:val="clear" w:color="auto" w:fill="FFFFFF"/>
        </w:rPr>
      </w:pPr>
      <w:r>
        <w:rPr>
          <w:rFonts w:cs="Times New Roman"/>
          <w:szCs w:val="24"/>
          <w:shd w:val="clear" w:color="auto" w:fill="FFFFFF"/>
        </w:rPr>
        <w:t>Bibliography</w:t>
      </w:r>
    </w:p>
    <w:p w14:paraId="061E45E8" w14:textId="77777777" w:rsidR="00F833AF" w:rsidRDefault="00F833AF" w:rsidP="00F833AF">
      <w:pPr>
        <w:jc w:val="left"/>
      </w:pPr>
      <w:r>
        <w:rPr>
          <w:u w:val="single"/>
        </w:rPr>
        <w:t>Primary Sources</w:t>
      </w:r>
    </w:p>
    <w:p w14:paraId="204D1013" w14:textId="77777777" w:rsidR="00F833AF" w:rsidRDefault="00F833AF" w:rsidP="00F833AF">
      <w:pPr>
        <w:jc w:val="left"/>
      </w:pPr>
    </w:p>
    <w:p w14:paraId="526C859C" w14:textId="1A361A57" w:rsidR="00F833AF" w:rsidRDefault="00F833AF" w:rsidP="00F833AF">
      <w:pPr>
        <w:jc w:val="left"/>
        <w:rPr>
          <w:szCs w:val="24"/>
          <w:shd w:val="clear" w:color="auto" w:fill="FFFFFF"/>
        </w:rPr>
      </w:pPr>
      <w:r>
        <w:lastRenderedPageBreak/>
        <w:t xml:space="preserve">E. Hieronymus </w:t>
      </w:r>
      <w:proofErr w:type="spellStart"/>
      <w:r>
        <w:t>Stridon</w:t>
      </w:r>
      <w:proofErr w:type="spellEnd"/>
      <w:r>
        <w:t>. ‘</w:t>
      </w:r>
      <w:r w:rsidRPr="000205CF">
        <w:t xml:space="preserve">Sancti </w:t>
      </w:r>
      <w:proofErr w:type="spellStart"/>
      <w:r w:rsidRPr="000205CF">
        <w:t>Eusebii</w:t>
      </w:r>
      <w:proofErr w:type="spellEnd"/>
      <w:r w:rsidRPr="000205CF">
        <w:t xml:space="preserve"> </w:t>
      </w:r>
      <w:proofErr w:type="spellStart"/>
      <w:r w:rsidRPr="000205CF">
        <w:t>Hieronymi</w:t>
      </w:r>
      <w:proofErr w:type="spellEnd"/>
      <w:r w:rsidRPr="000205CF">
        <w:t xml:space="preserve"> </w:t>
      </w:r>
      <w:proofErr w:type="spellStart"/>
      <w:r w:rsidRPr="000205CF">
        <w:t>Stridonensis</w:t>
      </w:r>
      <w:proofErr w:type="spellEnd"/>
      <w:r w:rsidRPr="000205CF">
        <w:t xml:space="preserve"> </w:t>
      </w:r>
      <w:proofErr w:type="spellStart"/>
      <w:r w:rsidRPr="000205CF">
        <w:t>Presbyteri</w:t>
      </w:r>
      <w:proofErr w:type="spellEnd"/>
      <w:r w:rsidRPr="000205CF">
        <w:t xml:space="preserve"> </w:t>
      </w:r>
      <w:proofErr w:type="spellStart"/>
      <w:r w:rsidRPr="000205CF">
        <w:t>Epistolae</w:t>
      </w:r>
      <w:proofErr w:type="spellEnd"/>
      <w:r w:rsidRPr="000205CF">
        <w:t xml:space="preserve"> </w:t>
      </w:r>
      <w:proofErr w:type="spellStart"/>
      <w:r w:rsidRPr="000205CF">
        <w:t>Secundum</w:t>
      </w:r>
      <w:proofErr w:type="spellEnd"/>
      <w:r w:rsidRPr="000205CF">
        <w:t xml:space="preserve"> </w:t>
      </w:r>
      <w:proofErr w:type="spellStart"/>
      <w:r w:rsidRPr="000205CF">
        <w:t>Ordinem</w:t>
      </w:r>
      <w:proofErr w:type="spellEnd"/>
      <w:r w:rsidRPr="000205CF">
        <w:t xml:space="preserve"> </w:t>
      </w:r>
      <w:proofErr w:type="spellStart"/>
      <w:r w:rsidRPr="000205CF">
        <w:t>Temporum</w:t>
      </w:r>
      <w:proofErr w:type="spellEnd"/>
      <w:r w:rsidRPr="000205CF">
        <w:t xml:space="preserve"> </w:t>
      </w:r>
      <w:proofErr w:type="spellStart"/>
      <w:r w:rsidRPr="000205CF">
        <w:t>Ad</w:t>
      </w:r>
      <w:proofErr w:type="spellEnd"/>
      <w:r w:rsidRPr="000205CF">
        <w:t xml:space="preserve"> </w:t>
      </w:r>
      <w:proofErr w:type="spellStart"/>
      <w:r w:rsidRPr="000205CF">
        <w:t>Amussim</w:t>
      </w:r>
      <w:proofErr w:type="spellEnd"/>
      <w:r w:rsidRPr="000205CF">
        <w:t xml:space="preserve"> </w:t>
      </w:r>
      <w:proofErr w:type="spellStart"/>
      <w:r w:rsidRPr="000205CF">
        <w:t>Digestae</w:t>
      </w:r>
      <w:proofErr w:type="spellEnd"/>
      <w:r w:rsidRPr="000205CF">
        <w:t xml:space="preserve"> et in </w:t>
      </w:r>
      <w:proofErr w:type="spellStart"/>
      <w:r w:rsidRPr="000205CF">
        <w:t>Quatuor</w:t>
      </w:r>
      <w:proofErr w:type="spellEnd"/>
      <w:r w:rsidRPr="000205CF">
        <w:t xml:space="preserve"> Classes </w:t>
      </w:r>
      <w:proofErr w:type="spellStart"/>
      <w:r w:rsidRPr="000205CF">
        <w:t>Distributae</w:t>
      </w:r>
      <w:proofErr w:type="spellEnd"/>
      <w:r w:rsidR="00934FDD">
        <w:t>.</w:t>
      </w:r>
      <w:r>
        <w:t xml:space="preserve">’ </w:t>
      </w:r>
      <w:r w:rsidR="00934FDD">
        <w:t>I</w:t>
      </w:r>
      <w:r>
        <w:t xml:space="preserve">n </w:t>
      </w:r>
      <w:proofErr w:type="spellStart"/>
      <w:r>
        <w:t>Migne</w:t>
      </w:r>
      <w:proofErr w:type="spellEnd"/>
      <w:r>
        <w:t xml:space="preserve">, J.-P. (ed.) </w:t>
      </w:r>
      <w:proofErr w:type="spellStart"/>
      <w:r w:rsidRPr="000205CF">
        <w:rPr>
          <w:i/>
          <w:szCs w:val="24"/>
          <w:shd w:val="clear" w:color="auto" w:fill="FFFFFF"/>
        </w:rPr>
        <w:t>Patrologiae</w:t>
      </w:r>
      <w:proofErr w:type="spellEnd"/>
      <w:r w:rsidRPr="000205CF">
        <w:rPr>
          <w:i/>
          <w:szCs w:val="24"/>
          <w:shd w:val="clear" w:color="auto" w:fill="FFFFFF"/>
        </w:rPr>
        <w:t xml:space="preserve"> </w:t>
      </w:r>
      <w:r>
        <w:rPr>
          <w:i/>
          <w:szCs w:val="24"/>
          <w:shd w:val="clear" w:color="auto" w:fill="FFFFFF"/>
        </w:rPr>
        <w:t>C</w:t>
      </w:r>
      <w:r w:rsidRPr="000205CF">
        <w:rPr>
          <w:i/>
          <w:szCs w:val="24"/>
          <w:shd w:val="clear" w:color="auto" w:fill="FFFFFF"/>
        </w:rPr>
        <w:t xml:space="preserve">ursus </w:t>
      </w:r>
      <w:proofErr w:type="spellStart"/>
      <w:r>
        <w:rPr>
          <w:i/>
          <w:szCs w:val="24"/>
          <w:shd w:val="clear" w:color="auto" w:fill="FFFFFF"/>
        </w:rPr>
        <w:t>C</w:t>
      </w:r>
      <w:r w:rsidRPr="000205CF">
        <w:rPr>
          <w:i/>
          <w:szCs w:val="24"/>
          <w:shd w:val="clear" w:color="auto" w:fill="FFFFFF"/>
        </w:rPr>
        <w:t>ompletus</w:t>
      </w:r>
      <w:proofErr w:type="spellEnd"/>
      <w:r w:rsidRPr="000205CF">
        <w:rPr>
          <w:i/>
          <w:szCs w:val="24"/>
          <w:shd w:val="clear" w:color="auto" w:fill="FFFFFF"/>
        </w:rPr>
        <w:t xml:space="preserve">. Series </w:t>
      </w:r>
      <w:r>
        <w:rPr>
          <w:i/>
          <w:szCs w:val="24"/>
          <w:shd w:val="clear" w:color="auto" w:fill="FFFFFF"/>
        </w:rPr>
        <w:t>Latina</w:t>
      </w:r>
      <w:r>
        <w:rPr>
          <w:szCs w:val="24"/>
          <w:shd w:val="clear" w:color="auto" w:fill="FFFFFF"/>
        </w:rPr>
        <w:t>, 22. Paris (18</w:t>
      </w:r>
      <w:r w:rsidR="004D48EE">
        <w:rPr>
          <w:szCs w:val="24"/>
          <w:shd w:val="clear" w:color="auto" w:fill="FFFFFF"/>
        </w:rPr>
        <w:t>3</w:t>
      </w:r>
      <w:r>
        <w:rPr>
          <w:szCs w:val="24"/>
          <w:shd w:val="clear" w:color="auto" w:fill="FFFFFF"/>
        </w:rPr>
        <w:t>9), pp. 325-1224.</w:t>
      </w:r>
    </w:p>
    <w:p w14:paraId="080B36BB" w14:textId="37BC2F43" w:rsidR="00934FDD" w:rsidRDefault="00934FDD" w:rsidP="00F833AF">
      <w:pPr>
        <w:jc w:val="left"/>
        <w:rPr>
          <w:color w:val="000000"/>
          <w:sz w:val="27"/>
          <w:szCs w:val="27"/>
          <w:shd w:val="clear" w:color="auto" w:fill="FFFFFF"/>
        </w:rPr>
      </w:pPr>
    </w:p>
    <w:p w14:paraId="496DE38C" w14:textId="003988A2" w:rsidR="00934FDD" w:rsidRPr="00934FDD" w:rsidRDefault="00934FDD" w:rsidP="00F833AF">
      <w:pPr>
        <w:jc w:val="left"/>
        <w:rPr>
          <w:color w:val="000000"/>
          <w:szCs w:val="24"/>
          <w:shd w:val="clear" w:color="auto" w:fill="FFFFFF"/>
        </w:rPr>
      </w:pPr>
      <w:r>
        <w:rPr>
          <w:color w:val="000000"/>
          <w:szCs w:val="24"/>
          <w:shd w:val="clear" w:color="auto" w:fill="FFFFFF"/>
        </w:rPr>
        <w:t xml:space="preserve">E. Hieronymus </w:t>
      </w:r>
      <w:proofErr w:type="spellStart"/>
      <w:r>
        <w:rPr>
          <w:color w:val="000000"/>
          <w:szCs w:val="24"/>
          <w:shd w:val="clear" w:color="auto" w:fill="FFFFFF"/>
        </w:rPr>
        <w:t>Stridon</w:t>
      </w:r>
      <w:proofErr w:type="spellEnd"/>
      <w:r>
        <w:rPr>
          <w:color w:val="000000"/>
          <w:szCs w:val="24"/>
          <w:shd w:val="clear" w:color="auto" w:fill="FFFFFF"/>
        </w:rPr>
        <w:t>. ‘</w:t>
      </w:r>
      <w:proofErr w:type="spellStart"/>
      <w:r>
        <w:rPr>
          <w:color w:val="000000"/>
          <w:szCs w:val="24"/>
          <w:shd w:val="clear" w:color="auto" w:fill="FFFFFF"/>
        </w:rPr>
        <w:t>Commentaria</w:t>
      </w:r>
      <w:proofErr w:type="spellEnd"/>
      <w:r>
        <w:rPr>
          <w:color w:val="000000"/>
          <w:szCs w:val="24"/>
          <w:shd w:val="clear" w:color="auto" w:fill="FFFFFF"/>
        </w:rPr>
        <w:t xml:space="preserve"> in </w:t>
      </w:r>
      <w:proofErr w:type="spellStart"/>
      <w:r>
        <w:rPr>
          <w:color w:val="000000"/>
          <w:szCs w:val="24"/>
          <w:shd w:val="clear" w:color="auto" w:fill="FFFFFF"/>
        </w:rPr>
        <w:t>Epistolam</w:t>
      </w:r>
      <w:proofErr w:type="spellEnd"/>
      <w:r>
        <w:rPr>
          <w:color w:val="000000"/>
          <w:szCs w:val="24"/>
          <w:shd w:val="clear" w:color="auto" w:fill="FFFFFF"/>
        </w:rPr>
        <w:t xml:space="preserve"> </w:t>
      </w:r>
      <w:proofErr w:type="spellStart"/>
      <w:r>
        <w:rPr>
          <w:color w:val="000000"/>
          <w:szCs w:val="24"/>
          <w:shd w:val="clear" w:color="auto" w:fill="FFFFFF"/>
        </w:rPr>
        <w:t>ad</w:t>
      </w:r>
      <w:proofErr w:type="spellEnd"/>
      <w:r>
        <w:rPr>
          <w:color w:val="000000"/>
          <w:szCs w:val="24"/>
          <w:shd w:val="clear" w:color="auto" w:fill="FFFFFF"/>
        </w:rPr>
        <w:t xml:space="preserve"> </w:t>
      </w:r>
      <w:proofErr w:type="spellStart"/>
      <w:r>
        <w:rPr>
          <w:color w:val="000000"/>
          <w:szCs w:val="24"/>
          <w:shd w:val="clear" w:color="auto" w:fill="FFFFFF"/>
        </w:rPr>
        <w:t>Galatas</w:t>
      </w:r>
      <w:proofErr w:type="spellEnd"/>
      <w:r>
        <w:rPr>
          <w:color w:val="000000"/>
          <w:szCs w:val="24"/>
          <w:shd w:val="clear" w:color="auto" w:fill="FFFFFF"/>
        </w:rPr>
        <w:t>.</w:t>
      </w:r>
      <w:r w:rsidR="00E40501">
        <w:rPr>
          <w:color w:val="000000"/>
          <w:szCs w:val="24"/>
          <w:shd w:val="clear" w:color="auto" w:fill="FFFFFF"/>
        </w:rPr>
        <w:t>’</w:t>
      </w:r>
      <w:bookmarkStart w:id="0" w:name="_GoBack"/>
      <w:bookmarkEnd w:id="0"/>
      <w:r>
        <w:rPr>
          <w:color w:val="000000"/>
          <w:szCs w:val="24"/>
          <w:shd w:val="clear" w:color="auto" w:fill="FFFFFF"/>
        </w:rPr>
        <w:t xml:space="preserve"> </w:t>
      </w:r>
      <w:proofErr w:type="gramStart"/>
      <w:r>
        <w:t xml:space="preserve">In </w:t>
      </w:r>
      <w:proofErr w:type="spellStart"/>
      <w:r>
        <w:t>Migne</w:t>
      </w:r>
      <w:proofErr w:type="spellEnd"/>
      <w:r>
        <w:t>, J.-P.</w:t>
      </w:r>
      <w:proofErr w:type="gramEnd"/>
      <w:r>
        <w:t xml:space="preserve"> (ed.) </w:t>
      </w:r>
      <w:proofErr w:type="spellStart"/>
      <w:r w:rsidRPr="000205CF">
        <w:rPr>
          <w:i/>
          <w:szCs w:val="24"/>
          <w:shd w:val="clear" w:color="auto" w:fill="FFFFFF"/>
        </w:rPr>
        <w:t>Patrologiae</w:t>
      </w:r>
      <w:proofErr w:type="spellEnd"/>
      <w:r w:rsidRPr="000205CF">
        <w:rPr>
          <w:i/>
          <w:szCs w:val="24"/>
          <w:shd w:val="clear" w:color="auto" w:fill="FFFFFF"/>
        </w:rPr>
        <w:t xml:space="preserve"> </w:t>
      </w:r>
      <w:r>
        <w:rPr>
          <w:i/>
          <w:szCs w:val="24"/>
          <w:shd w:val="clear" w:color="auto" w:fill="FFFFFF"/>
        </w:rPr>
        <w:t>C</w:t>
      </w:r>
      <w:r w:rsidRPr="000205CF">
        <w:rPr>
          <w:i/>
          <w:szCs w:val="24"/>
          <w:shd w:val="clear" w:color="auto" w:fill="FFFFFF"/>
        </w:rPr>
        <w:t xml:space="preserve">ursus </w:t>
      </w:r>
      <w:proofErr w:type="spellStart"/>
      <w:r>
        <w:rPr>
          <w:i/>
          <w:szCs w:val="24"/>
          <w:shd w:val="clear" w:color="auto" w:fill="FFFFFF"/>
        </w:rPr>
        <w:t>C</w:t>
      </w:r>
      <w:r w:rsidRPr="000205CF">
        <w:rPr>
          <w:i/>
          <w:szCs w:val="24"/>
          <w:shd w:val="clear" w:color="auto" w:fill="FFFFFF"/>
        </w:rPr>
        <w:t>ompletus</w:t>
      </w:r>
      <w:proofErr w:type="spellEnd"/>
      <w:r w:rsidRPr="000205CF">
        <w:rPr>
          <w:i/>
          <w:szCs w:val="24"/>
          <w:shd w:val="clear" w:color="auto" w:fill="FFFFFF"/>
        </w:rPr>
        <w:t xml:space="preserve">. Series </w:t>
      </w:r>
      <w:r>
        <w:rPr>
          <w:i/>
          <w:szCs w:val="24"/>
          <w:shd w:val="clear" w:color="auto" w:fill="FFFFFF"/>
        </w:rPr>
        <w:t>Latina</w:t>
      </w:r>
      <w:r>
        <w:rPr>
          <w:szCs w:val="24"/>
          <w:shd w:val="clear" w:color="auto" w:fill="FFFFFF"/>
        </w:rPr>
        <w:t>, 2</w:t>
      </w:r>
      <w:r w:rsidR="004D48EE">
        <w:rPr>
          <w:szCs w:val="24"/>
          <w:shd w:val="clear" w:color="auto" w:fill="FFFFFF"/>
        </w:rPr>
        <w:t>6</w:t>
      </w:r>
      <w:r>
        <w:rPr>
          <w:szCs w:val="24"/>
          <w:shd w:val="clear" w:color="auto" w:fill="FFFFFF"/>
        </w:rPr>
        <w:t>. Paris (18</w:t>
      </w:r>
      <w:r w:rsidR="004D48EE">
        <w:rPr>
          <w:szCs w:val="24"/>
          <w:shd w:val="clear" w:color="auto" w:fill="FFFFFF"/>
        </w:rPr>
        <w:t>45</w:t>
      </w:r>
      <w:r>
        <w:rPr>
          <w:szCs w:val="24"/>
          <w:shd w:val="clear" w:color="auto" w:fill="FFFFFF"/>
        </w:rPr>
        <w:t>), pp. 3</w:t>
      </w:r>
      <w:r w:rsidR="004D48EE">
        <w:rPr>
          <w:szCs w:val="24"/>
          <w:shd w:val="clear" w:color="auto" w:fill="FFFFFF"/>
        </w:rPr>
        <w:t>07</w:t>
      </w:r>
      <w:r>
        <w:rPr>
          <w:szCs w:val="24"/>
          <w:shd w:val="clear" w:color="auto" w:fill="FFFFFF"/>
        </w:rPr>
        <w:t>-</w:t>
      </w:r>
      <w:r w:rsidR="004D48EE">
        <w:rPr>
          <w:szCs w:val="24"/>
          <w:shd w:val="clear" w:color="auto" w:fill="FFFFFF"/>
        </w:rPr>
        <w:t>438</w:t>
      </w:r>
      <w:r>
        <w:rPr>
          <w:szCs w:val="24"/>
          <w:shd w:val="clear" w:color="auto" w:fill="FFFFFF"/>
        </w:rPr>
        <w:t>.</w:t>
      </w:r>
    </w:p>
    <w:p w14:paraId="12280B78" w14:textId="02844EE1" w:rsidR="00F833AF" w:rsidRPr="004D48EE" w:rsidRDefault="00F833AF" w:rsidP="00F833AF">
      <w:pPr>
        <w:spacing w:line="480" w:lineRule="auto"/>
        <w:jc w:val="both"/>
        <w:rPr>
          <w:rFonts w:cs="Times New Roman"/>
          <w:szCs w:val="24"/>
          <w:shd w:val="clear" w:color="auto" w:fill="FFFFFF"/>
        </w:rPr>
      </w:pPr>
    </w:p>
    <w:p w14:paraId="3DDF1B6B" w14:textId="2114FC0F" w:rsidR="00F833AF" w:rsidRDefault="00F833AF" w:rsidP="00F833AF">
      <w:pPr>
        <w:spacing w:line="480" w:lineRule="auto"/>
        <w:jc w:val="both"/>
        <w:rPr>
          <w:rFonts w:cs="Times New Roman"/>
          <w:szCs w:val="24"/>
          <w:shd w:val="clear" w:color="auto" w:fill="FFFFFF"/>
        </w:rPr>
      </w:pPr>
      <w:r>
        <w:rPr>
          <w:rFonts w:cs="Times New Roman"/>
          <w:szCs w:val="24"/>
          <w:u w:val="single"/>
          <w:shd w:val="clear" w:color="auto" w:fill="FFFFFF"/>
        </w:rPr>
        <w:t>Secondary Sources</w:t>
      </w:r>
    </w:p>
    <w:p w14:paraId="72F70316" w14:textId="46F6C767" w:rsidR="00F833AF" w:rsidRDefault="00F833AF" w:rsidP="00F833AF">
      <w:pPr>
        <w:jc w:val="left"/>
      </w:pPr>
      <w:r>
        <w:t xml:space="preserve">Cain, A. (2010) </w:t>
      </w:r>
      <w:r>
        <w:rPr>
          <w:i/>
        </w:rPr>
        <w:t>The Letters of Jerome</w:t>
      </w:r>
      <w:r>
        <w:t>. New York: Oxford University Press.</w:t>
      </w:r>
    </w:p>
    <w:p w14:paraId="044C881F" w14:textId="35E0AF0F" w:rsidR="0047034A" w:rsidRDefault="0047034A" w:rsidP="00F833AF">
      <w:pPr>
        <w:jc w:val="left"/>
      </w:pPr>
    </w:p>
    <w:p w14:paraId="6A5FA1A7" w14:textId="047048A2" w:rsidR="00626BCB" w:rsidRDefault="00626BCB" w:rsidP="00626BCB">
      <w:pPr>
        <w:jc w:val="left"/>
      </w:pPr>
      <w:r>
        <w:rPr>
          <w:u w:val="single"/>
        </w:rPr>
        <w:tab/>
      </w:r>
      <w:r>
        <w:t xml:space="preserve">.  (2017) ‘The Letter Collections of Jerome of </w:t>
      </w:r>
      <w:proofErr w:type="spellStart"/>
      <w:r>
        <w:t>Stridon</w:t>
      </w:r>
      <w:proofErr w:type="spellEnd"/>
      <w:r>
        <w:t xml:space="preserve">.’ In </w:t>
      </w:r>
      <w:proofErr w:type="spellStart"/>
      <w:r>
        <w:t>Sogno</w:t>
      </w:r>
      <w:proofErr w:type="spellEnd"/>
      <w:r>
        <w:t xml:space="preserve">, C. et al. (ed.) </w:t>
      </w:r>
      <w:r>
        <w:rPr>
          <w:i/>
        </w:rPr>
        <w:t>Late Antique Letter Collections</w:t>
      </w:r>
      <w:r>
        <w:t>. Berkeley: University of California Press.</w:t>
      </w:r>
    </w:p>
    <w:p w14:paraId="07A89B6F" w14:textId="77777777" w:rsidR="00626BCB" w:rsidRDefault="00626BCB" w:rsidP="00F833AF">
      <w:pPr>
        <w:jc w:val="left"/>
      </w:pPr>
    </w:p>
    <w:p w14:paraId="5E18AC68" w14:textId="2BAA40D0" w:rsidR="0047034A" w:rsidRPr="0047034A" w:rsidRDefault="0047034A" w:rsidP="00F833AF">
      <w:pPr>
        <w:jc w:val="left"/>
      </w:pPr>
      <w:bookmarkStart w:id="1" w:name="_Hlk534148163"/>
      <w:r>
        <w:t xml:space="preserve">Edmunds, L. (2001) </w:t>
      </w:r>
      <w:r>
        <w:rPr>
          <w:i/>
        </w:rPr>
        <w:t>Intertextuality and the Reading of Roman Poetry</w:t>
      </w:r>
      <w:r>
        <w:t>. Baltimore: Johns Hopkins University Press.</w:t>
      </w:r>
    </w:p>
    <w:bookmarkEnd w:id="1"/>
    <w:p w14:paraId="594789D7" w14:textId="287FEFAC" w:rsidR="00F833AF" w:rsidRDefault="00F833AF" w:rsidP="00F833AF">
      <w:pPr>
        <w:jc w:val="left"/>
      </w:pPr>
    </w:p>
    <w:p w14:paraId="4F1A68E8" w14:textId="54C4C006" w:rsidR="00F833AF" w:rsidRDefault="00F833AF" w:rsidP="00F833AF">
      <w:pPr>
        <w:jc w:val="left"/>
      </w:pPr>
      <w:proofErr w:type="spellStart"/>
      <w:r>
        <w:t>Hagendahl</w:t>
      </w:r>
      <w:proofErr w:type="spellEnd"/>
      <w:r>
        <w:t xml:space="preserve">, H. (1958) </w:t>
      </w:r>
      <w:r>
        <w:rPr>
          <w:i/>
        </w:rPr>
        <w:t>Latin Fathers and the Classics</w:t>
      </w:r>
      <w:r>
        <w:t xml:space="preserve">. Stockholm: Almqvist &amp; </w:t>
      </w:r>
      <w:proofErr w:type="spellStart"/>
      <w:r>
        <w:t>Wiksell</w:t>
      </w:r>
      <w:proofErr w:type="spellEnd"/>
      <w:r>
        <w:t>.</w:t>
      </w:r>
    </w:p>
    <w:p w14:paraId="1B07990C" w14:textId="0D87264C" w:rsidR="0070406E" w:rsidRDefault="0070406E" w:rsidP="00F833AF">
      <w:pPr>
        <w:jc w:val="left"/>
      </w:pPr>
    </w:p>
    <w:p w14:paraId="14D4E949" w14:textId="5DA0A098" w:rsidR="0070406E" w:rsidRDefault="0070406E" w:rsidP="00F833AF">
      <w:pPr>
        <w:jc w:val="left"/>
      </w:pPr>
      <w:bookmarkStart w:id="2" w:name="_Hlk534148140"/>
      <w:r>
        <w:t xml:space="preserve">Hinds, S. (1998) </w:t>
      </w:r>
      <w:r>
        <w:rPr>
          <w:i/>
        </w:rPr>
        <w:t>Allusion and Intertext: Dynamics of Appropriation in Roman Poetry</w:t>
      </w:r>
      <w:r>
        <w:t>. Cambridge: Cambridge University Press.</w:t>
      </w:r>
    </w:p>
    <w:bookmarkEnd w:id="2"/>
    <w:p w14:paraId="763DC061" w14:textId="3A0A4F49" w:rsidR="0070406E" w:rsidRDefault="0070406E" w:rsidP="00F833AF">
      <w:pPr>
        <w:jc w:val="left"/>
      </w:pPr>
    </w:p>
    <w:p w14:paraId="38907BB6" w14:textId="586828B0" w:rsidR="0070406E" w:rsidRDefault="0070406E" w:rsidP="00F833AF">
      <w:pPr>
        <w:jc w:val="left"/>
      </w:pPr>
      <w:proofErr w:type="spellStart"/>
      <w:r>
        <w:t>Hritzu</w:t>
      </w:r>
      <w:proofErr w:type="spellEnd"/>
      <w:r>
        <w:t xml:space="preserve">, N. (1939) </w:t>
      </w:r>
      <w:r>
        <w:rPr>
          <w:i/>
        </w:rPr>
        <w:t>The Style of the Letters of St. Jerome</w:t>
      </w:r>
      <w:r>
        <w:t xml:space="preserve">. Washington, D.C.: </w:t>
      </w:r>
      <w:r>
        <w:rPr>
          <w:i/>
        </w:rPr>
        <w:t>The Catholic University of America Press</w:t>
      </w:r>
      <w:r>
        <w:t>.</w:t>
      </w:r>
    </w:p>
    <w:p w14:paraId="3DA2E109" w14:textId="2C9FFE6C" w:rsidR="0070406E" w:rsidRDefault="0070406E" w:rsidP="00F833AF">
      <w:pPr>
        <w:jc w:val="left"/>
      </w:pPr>
    </w:p>
    <w:p w14:paraId="10F03B25" w14:textId="2B22AC5D" w:rsidR="0070406E" w:rsidRPr="0070406E" w:rsidRDefault="0070406E" w:rsidP="00F833AF">
      <w:pPr>
        <w:jc w:val="left"/>
      </w:pPr>
      <w:bookmarkStart w:id="3" w:name="_Hlk534148184"/>
      <w:r>
        <w:t xml:space="preserve">Lieu, J. (2016) </w:t>
      </w:r>
      <w:r w:rsidR="002F58B9">
        <w:t>‘</w:t>
      </w:r>
      <w:r>
        <w:t>Letters and the Topography of Early Christianity.</w:t>
      </w:r>
      <w:r w:rsidR="002F58B9">
        <w:t>’</w:t>
      </w:r>
      <w:r>
        <w:t xml:space="preserve"> </w:t>
      </w:r>
      <w:r>
        <w:rPr>
          <w:i/>
        </w:rPr>
        <w:t>New Testament Studies</w:t>
      </w:r>
      <w:r>
        <w:t xml:space="preserve"> 62: 167-182.</w:t>
      </w:r>
    </w:p>
    <w:bookmarkEnd w:id="3"/>
    <w:p w14:paraId="1CF665E2" w14:textId="6C3B36DC" w:rsidR="00F833AF" w:rsidRDefault="00F833AF" w:rsidP="00F833AF">
      <w:pPr>
        <w:jc w:val="left"/>
      </w:pPr>
    </w:p>
    <w:p w14:paraId="48F5DB1D" w14:textId="77777777" w:rsidR="002F58B9" w:rsidRPr="00F758B0" w:rsidRDefault="002F58B9" w:rsidP="002F58B9">
      <w:pPr>
        <w:jc w:val="left"/>
      </w:pPr>
      <w:proofErr w:type="spellStart"/>
      <w:r>
        <w:t>Marchesi</w:t>
      </w:r>
      <w:proofErr w:type="spellEnd"/>
      <w:r>
        <w:t xml:space="preserve">, I. (2013) ‘Silenced Intertext: Pliny on Martial on Pliny (on Regulus).’ </w:t>
      </w:r>
      <w:r>
        <w:rPr>
          <w:i/>
        </w:rPr>
        <w:t>American Journal of Philology</w:t>
      </w:r>
      <w:r>
        <w:t xml:space="preserve"> 134: 101-118.</w:t>
      </w:r>
    </w:p>
    <w:p w14:paraId="36B49646" w14:textId="56B7BDC3" w:rsidR="002F58B9" w:rsidRDefault="002F58B9" w:rsidP="00F833AF">
      <w:pPr>
        <w:jc w:val="left"/>
      </w:pPr>
    </w:p>
    <w:p w14:paraId="61F7CDCF" w14:textId="766DF2D6" w:rsidR="002F58B9" w:rsidRPr="00626BCB" w:rsidRDefault="002F58B9" w:rsidP="00F833AF">
      <w:pPr>
        <w:jc w:val="left"/>
        <w:rPr>
          <w:i/>
        </w:rPr>
      </w:pPr>
      <w:bookmarkStart w:id="4" w:name="_Hlk534148969"/>
      <w:proofErr w:type="spellStart"/>
      <w:r>
        <w:t>Sogno</w:t>
      </w:r>
      <w:proofErr w:type="spellEnd"/>
      <w:r>
        <w:t xml:space="preserve">, C., </w:t>
      </w:r>
      <w:proofErr w:type="spellStart"/>
      <w:r>
        <w:t>Storin</w:t>
      </w:r>
      <w:proofErr w:type="spellEnd"/>
      <w:r>
        <w:t>, B. and E. Watts (2017). ‘Introduction</w:t>
      </w:r>
      <w:r w:rsidR="00626BCB">
        <w:t xml:space="preserve">: Greek and Latin Epistolography and Epistolary Collections in Late Antiquity.’ In </w:t>
      </w:r>
      <w:proofErr w:type="spellStart"/>
      <w:r w:rsidR="00626BCB">
        <w:t>Sogno</w:t>
      </w:r>
      <w:proofErr w:type="spellEnd"/>
      <w:r w:rsidR="00626BCB">
        <w:t xml:space="preserve">, C. et al. (ed.) </w:t>
      </w:r>
      <w:r w:rsidR="00626BCB">
        <w:rPr>
          <w:i/>
        </w:rPr>
        <w:t>Late Antique Letter Collections</w:t>
      </w:r>
      <w:r w:rsidR="00626BCB">
        <w:t>. Berkeley: University of California Press.</w:t>
      </w:r>
    </w:p>
    <w:bookmarkEnd w:id="4"/>
    <w:p w14:paraId="1B41F4C8" w14:textId="77777777" w:rsidR="00626BCB" w:rsidRDefault="00626BCB" w:rsidP="00F833AF">
      <w:pPr>
        <w:jc w:val="left"/>
      </w:pPr>
    </w:p>
    <w:p w14:paraId="130F9066" w14:textId="77777777" w:rsidR="00F833AF" w:rsidRPr="000D610A" w:rsidRDefault="00F833AF" w:rsidP="00F833AF">
      <w:pPr>
        <w:jc w:val="left"/>
      </w:pPr>
      <w:r>
        <w:rPr>
          <w:i/>
        </w:rPr>
        <w:t>The Principal Works of St. Jerome</w:t>
      </w:r>
      <w:r>
        <w:t xml:space="preserve"> (1892) Edited by P. Schaff. Grand Rapids, Michigan: Christian Literature Publishing Co.</w:t>
      </w:r>
    </w:p>
    <w:p w14:paraId="69658DB9" w14:textId="77777777" w:rsidR="00F833AF" w:rsidRPr="00F833AF" w:rsidRDefault="00F833AF" w:rsidP="00F833AF">
      <w:pPr>
        <w:jc w:val="left"/>
      </w:pPr>
    </w:p>
    <w:p w14:paraId="3779E897" w14:textId="77777777" w:rsidR="003179CD" w:rsidRDefault="00E40501" w:rsidP="00CA5F96">
      <w:pPr>
        <w:jc w:val="left"/>
      </w:pPr>
    </w:p>
    <w:sectPr w:rsidR="003179C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F03843" w14:textId="77777777" w:rsidR="006C6FD9" w:rsidRDefault="006C6FD9" w:rsidP="005E42A9">
      <w:r>
        <w:separator/>
      </w:r>
    </w:p>
  </w:endnote>
  <w:endnote w:type="continuationSeparator" w:id="0">
    <w:p w14:paraId="44089B37" w14:textId="77777777" w:rsidR="006C6FD9" w:rsidRDefault="006C6FD9" w:rsidP="005E4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EAB8F4" w14:textId="77777777" w:rsidR="006C6FD9" w:rsidRDefault="006C6FD9" w:rsidP="005E42A9">
      <w:r>
        <w:separator/>
      </w:r>
    </w:p>
  </w:footnote>
  <w:footnote w:type="continuationSeparator" w:id="0">
    <w:p w14:paraId="48BDD3B4" w14:textId="77777777" w:rsidR="006C6FD9" w:rsidRDefault="006C6FD9" w:rsidP="005E42A9">
      <w:r>
        <w:continuationSeparator/>
      </w:r>
    </w:p>
  </w:footnote>
  <w:footnote w:id="1">
    <w:p w14:paraId="3F74C863" w14:textId="354E4F03" w:rsidR="000A53C8" w:rsidRDefault="000A53C8" w:rsidP="000A53C8">
      <w:pPr>
        <w:pStyle w:val="FootnoteText"/>
        <w:jc w:val="left"/>
      </w:pPr>
      <w:r>
        <w:rPr>
          <w:rStyle w:val="FootnoteReference"/>
        </w:rPr>
        <w:footnoteRef/>
      </w:r>
      <w:r>
        <w:t xml:space="preserve"> Following Edmunds 2001, this paper assumes that there is no distinction between “allusion” and “intertext.”</w:t>
      </w:r>
    </w:p>
  </w:footnote>
  <w:footnote w:id="2">
    <w:p w14:paraId="4244F6D9" w14:textId="77777777" w:rsidR="00893068" w:rsidRDefault="00893068" w:rsidP="00893068">
      <w:pPr>
        <w:pStyle w:val="FootnoteText"/>
        <w:jc w:val="left"/>
      </w:pPr>
      <w:r>
        <w:rPr>
          <w:rStyle w:val="FootnoteReference"/>
        </w:rPr>
        <w:footnoteRef/>
      </w:r>
      <w:r>
        <w:t xml:space="preserve"> </w:t>
      </w:r>
      <w:proofErr w:type="spellStart"/>
      <w:r>
        <w:t>Hagendahl</w:t>
      </w:r>
      <w:proofErr w:type="spellEnd"/>
      <w:r>
        <w:t xml:space="preserve"> 1958: 224.</w:t>
      </w:r>
    </w:p>
  </w:footnote>
  <w:footnote w:id="3">
    <w:p w14:paraId="4EC79136" w14:textId="2CD6C957" w:rsidR="0047034A" w:rsidRDefault="0047034A" w:rsidP="0047034A">
      <w:pPr>
        <w:pStyle w:val="FootnoteText"/>
        <w:jc w:val="left"/>
      </w:pPr>
      <w:r>
        <w:rPr>
          <w:rStyle w:val="FootnoteReference"/>
        </w:rPr>
        <w:footnoteRef/>
      </w:r>
      <w:r>
        <w:t xml:space="preserve"> </w:t>
      </w:r>
      <w:proofErr w:type="spellStart"/>
      <w:r>
        <w:t>Hagendahl</w:t>
      </w:r>
      <w:proofErr w:type="spellEnd"/>
      <w:r>
        <w:t xml:space="preserve"> 1958: 204.</w:t>
      </w:r>
    </w:p>
  </w:footnote>
  <w:footnote w:id="4">
    <w:p w14:paraId="2AF0A194" w14:textId="6078E9D6" w:rsidR="00CE1C8A" w:rsidRDefault="00CE1C8A" w:rsidP="00CE1C8A">
      <w:pPr>
        <w:pStyle w:val="FootnoteText"/>
        <w:jc w:val="left"/>
      </w:pPr>
      <w:r>
        <w:rPr>
          <w:rStyle w:val="FootnoteReference"/>
        </w:rPr>
        <w:footnoteRef/>
      </w:r>
      <w:r>
        <w:t xml:space="preserve"> Edmunds 2001: 166</w:t>
      </w:r>
      <w:r w:rsidR="00BC70F3">
        <w:t>.</w:t>
      </w:r>
    </w:p>
  </w:footnote>
  <w:footnote w:id="5">
    <w:p w14:paraId="0CD942D1" w14:textId="23BBDBFC" w:rsidR="00351BB5" w:rsidRDefault="00351BB5" w:rsidP="00351BB5">
      <w:pPr>
        <w:pStyle w:val="FootnoteText"/>
        <w:jc w:val="left"/>
      </w:pPr>
      <w:r>
        <w:rPr>
          <w:rStyle w:val="FootnoteReference"/>
        </w:rPr>
        <w:footnoteRef/>
      </w:r>
      <w:r>
        <w:t xml:space="preserve"> In Gal., III, </w:t>
      </w:r>
      <w:proofErr w:type="spellStart"/>
      <w:r>
        <w:t>praefatio</w:t>
      </w:r>
      <w:proofErr w:type="spellEnd"/>
      <w:r>
        <w:t>.</w:t>
      </w:r>
    </w:p>
  </w:footnote>
  <w:footnote w:id="6">
    <w:p w14:paraId="0411A73F" w14:textId="5DE2B85A" w:rsidR="00665583" w:rsidRPr="00F42E9F" w:rsidRDefault="00665583" w:rsidP="00665583">
      <w:pPr>
        <w:pStyle w:val="FootnoteText"/>
        <w:jc w:val="left"/>
        <w:rPr>
          <w:lang w:val="es-US"/>
        </w:rPr>
      </w:pPr>
      <w:r>
        <w:rPr>
          <w:rStyle w:val="FootnoteReference"/>
        </w:rPr>
        <w:footnoteRef/>
      </w:r>
      <w:r w:rsidRPr="00F42E9F">
        <w:rPr>
          <w:lang w:val="es-US"/>
        </w:rPr>
        <w:t xml:space="preserve"> J. Hritzu 1939: 9</w:t>
      </w:r>
      <w:r w:rsidR="004D48EE" w:rsidRPr="00F42E9F">
        <w:rPr>
          <w:lang w:val="es-US"/>
        </w:rPr>
        <w:t>, 116</w:t>
      </w:r>
      <w:r w:rsidRPr="00F42E9F">
        <w:rPr>
          <w:lang w:val="es-US"/>
        </w:rPr>
        <w:t xml:space="preserve">. </w:t>
      </w:r>
    </w:p>
  </w:footnote>
  <w:footnote w:id="7">
    <w:p w14:paraId="1C3F8890" w14:textId="60DBF058" w:rsidR="000D7F2C" w:rsidRPr="00F42E9F" w:rsidRDefault="000D7F2C" w:rsidP="000D7F2C">
      <w:pPr>
        <w:pStyle w:val="FootnoteText"/>
        <w:jc w:val="left"/>
        <w:rPr>
          <w:lang w:val="es-US"/>
        </w:rPr>
      </w:pPr>
      <w:r>
        <w:rPr>
          <w:rStyle w:val="FootnoteReference"/>
        </w:rPr>
        <w:footnoteRef/>
      </w:r>
      <w:r w:rsidRPr="00F42E9F">
        <w:rPr>
          <w:lang w:val="es-US"/>
        </w:rPr>
        <w:t xml:space="preserve"> I. Marchesi 2013: 103-105.</w:t>
      </w:r>
    </w:p>
  </w:footnote>
  <w:footnote w:id="8">
    <w:p w14:paraId="15768EFE" w14:textId="37DFA56A" w:rsidR="00435242" w:rsidRDefault="00435242" w:rsidP="00435242">
      <w:pPr>
        <w:pStyle w:val="FootnoteText"/>
        <w:jc w:val="left"/>
      </w:pPr>
      <w:r>
        <w:rPr>
          <w:rStyle w:val="FootnoteReference"/>
        </w:rPr>
        <w:footnoteRef/>
      </w:r>
      <w:r w:rsidRPr="00F42E9F">
        <w:rPr>
          <w:lang w:val="es-US"/>
        </w:rPr>
        <w:t xml:space="preserve"> Sogno et al. 2017. </w:t>
      </w:r>
      <w:r>
        <w:t>See especially the Introduction, 4-5.</w:t>
      </w:r>
    </w:p>
  </w:footnote>
  <w:footnote w:id="9">
    <w:p w14:paraId="04A4C6A7" w14:textId="49F094CC" w:rsidR="00ED008A" w:rsidRDefault="00ED008A" w:rsidP="00ED008A">
      <w:pPr>
        <w:pStyle w:val="FootnoteText"/>
        <w:jc w:val="left"/>
      </w:pPr>
      <w:r>
        <w:rPr>
          <w:rStyle w:val="FootnoteReference"/>
        </w:rPr>
        <w:footnoteRef/>
      </w:r>
      <w:r>
        <w:t xml:space="preserve"> A. Cain 2017: 221. See also A. Cain 2010.</w:t>
      </w:r>
    </w:p>
  </w:footnote>
  <w:footnote w:id="10">
    <w:p w14:paraId="30605E26" w14:textId="0B4CD7B1" w:rsidR="00ED008A" w:rsidRDefault="00ED008A" w:rsidP="00ED008A">
      <w:pPr>
        <w:pStyle w:val="FootnoteText"/>
        <w:jc w:val="left"/>
      </w:pPr>
      <w:r>
        <w:rPr>
          <w:rStyle w:val="FootnoteReference"/>
        </w:rPr>
        <w:footnoteRef/>
      </w:r>
      <w:r>
        <w:t xml:space="preserve"> Ibid., 225. </w:t>
      </w:r>
    </w:p>
  </w:footnote>
  <w:footnote w:id="11">
    <w:p w14:paraId="088F0F18" w14:textId="3B40DE70" w:rsidR="00433432" w:rsidRDefault="00433432" w:rsidP="00433432">
      <w:pPr>
        <w:pStyle w:val="FootnoteText"/>
        <w:jc w:val="left"/>
      </w:pPr>
      <w:r>
        <w:rPr>
          <w:rStyle w:val="FootnoteReference"/>
        </w:rPr>
        <w:footnoteRef/>
      </w:r>
      <w:r>
        <w:t xml:space="preserve"> Ibid., 231.</w:t>
      </w:r>
    </w:p>
  </w:footnote>
  <w:footnote w:id="12">
    <w:p w14:paraId="62BD765F" w14:textId="5D5D536F" w:rsidR="00BC70F3" w:rsidRDefault="00BC70F3" w:rsidP="00BC70F3">
      <w:pPr>
        <w:pStyle w:val="FootnoteText"/>
        <w:jc w:val="left"/>
      </w:pPr>
      <w:r>
        <w:rPr>
          <w:rStyle w:val="FootnoteReference"/>
        </w:rPr>
        <w:footnoteRef/>
      </w:r>
      <w:r>
        <w:t xml:space="preserve"> Edmunds 2001: 63.</w:t>
      </w:r>
    </w:p>
  </w:footnote>
  <w:footnote w:id="13">
    <w:p w14:paraId="55F5DDA1" w14:textId="3E619742" w:rsidR="00FD118C" w:rsidRDefault="00FD118C" w:rsidP="00FD118C">
      <w:pPr>
        <w:pStyle w:val="FootnoteText"/>
        <w:jc w:val="left"/>
      </w:pPr>
      <w:r>
        <w:rPr>
          <w:rStyle w:val="FootnoteReference"/>
        </w:rPr>
        <w:footnoteRef/>
      </w:r>
      <w:r>
        <w:t xml:space="preserve"> J. Lieu 2016: 175.</w:t>
      </w:r>
    </w:p>
  </w:footnote>
  <w:footnote w:id="14">
    <w:p w14:paraId="01D8CB0D" w14:textId="0C731EE3" w:rsidR="00C1165A" w:rsidRDefault="00C1165A" w:rsidP="00C1165A">
      <w:pPr>
        <w:pStyle w:val="FootnoteText"/>
        <w:jc w:val="left"/>
      </w:pPr>
      <w:r>
        <w:rPr>
          <w:rStyle w:val="FootnoteReference"/>
        </w:rPr>
        <w:footnoteRef/>
      </w:r>
      <w:r>
        <w:t xml:space="preserve"> Edmunds 2001: 62.</w:t>
      </w:r>
    </w:p>
  </w:footnote>
  <w:footnote w:id="15">
    <w:p w14:paraId="3B32F8D0" w14:textId="68C84B52" w:rsidR="007105B9" w:rsidRDefault="007105B9" w:rsidP="007105B9">
      <w:pPr>
        <w:pStyle w:val="FootnoteText"/>
        <w:jc w:val="left"/>
      </w:pPr>
      <w:r>
        <w:rPr>
          <w:rStyle w:val="FootnoteReference"/>
        </w:rPr>
        <w:footnoteRef/>
      </w:r>
      <w:r>
        <w:t xml:space="preserve"> Ibid., 43.</w:t>
      </w:r>
    </w:p>
  </w:footnote>
  <w:footnote w:id="16">
    <w:p w14:paraId="1BAD5C17" w14:textId="5D7E0022" w:rsidR="000553D8" w:rsidRDefault="000553D8" w:rsidP="000553D8">
      <w:pPr>
        <w:pStyle w:val="FootnoteText"/>
        <w:jc w:val="left"/>
      </w:pPr>
      <w:r>
        <w:rPr>
          <w:rStyle w:val="FootnoteReference"/>
        </w:rPr>
        <w:footnoteRef/>
      </w:r>
      <w:r>
        <w:t xml:space="preserve"> Ibid., 46-47.</w:t>
      </w:r>
    </w:p>
  </w:footnote>
  <w:footnote w:id="17">
    <w:p w14:paraId="6329B8A0" w14:textId="370C858B" w:rsidR="00A744CB" w:rsidRDefault="00A744CB" w:rsidP="00A744CB">
      <w:pPr>
        <w:pStyle w:val="FootnoteText"/>
        <w:jc w:val="left"/>
      </w:pPr>
      <w:r>
        <w:rPr>
          <w:rStyle w:val="FootnoteReference"/>
        </w:rPr>
        <w:footnoteRef/>
      </w:r>
      <w:r>
        <w:t xml:space="preserve"> </w:t>
      </w:r>
      <w:proofErr w:type="spellStart"/>
      <w:r>
        <w:t>Hagendahl</w:t>
      </w:r>
      <w:proofErr w:type="spellEnd"/>
      <w:r>
        <w:t xml:space="preserve"> 1958: 208.</w:t>
      </w:r>
    </w:p>
  </w:footnote>
  <w:footnote w:id="18">
    <w:p w14:paraId="65A1D852" w14:textId="6FFB483D" w:rsidR="0032007B" w:rsidRDefault="0032007B" w:rsidP="0032007B">
      <w:pPr>
        <w:pStyle w:val="FootnoteText"/>
        <w:jc w:val="left"/>
      </w:pPr>
      <w:r>
        <w:rPr>
          <w:rStyle w:val="FootnoteReference"/>
        </w:rPr>
        <w:footnoteRef/>
      </w:r>
      <w:r>
        <w:t xml:space="preserve"> Cf. Letter LXVI, 13; and Letter CVIII, 14.</w:t>
      </w:r>
    </w:p>
  </w:footnote>
  <w:footnote w:id="19">
    <w:p w14:paraId="7FB910F9" w14:textId="7135E27E" w:rsidR="0032007B" w:rsidRDefault="0032007B" w:rsidP="0032007B">
      <w:pPr>
        <w:pStyle w:val="FootnoteText"/>
        <w:jc w:val="left"/>
      </w:pPr>
      <w:r>
        <w:rPr>
          <w:rStyle w:val="FootnoteReference"/>
        </w:rPr>
        <w:footnoteRef/>
      </w:r>
      <w:r>
        <w:t xml:space="preserve"> Cf. Letter LXXVII, 3: “</w:t>
      </w:r>
      <w:proofErr w:type="spellStart"/>
      <w:r>
        <w:t>Apud</w:t>
      </w:r>
      <w:proofErr w:type="spellEnd"/>
      <w:r>
        <w:t xml:space="preserve"> </w:t>
      </w:r>
      <w:proofErr w:type="spellStart"/>
      <w:r>
        <w:t>nos</w:t>
      </w:r>
      <w:proofErr w:type="spellEnd"/>
      <w:r>
        <w:t xml:space="preserve">, quod non licet </w:t>
      </w:r>
      <w:proofErr w:type="spellStart"/>
      <w:r>
        <w:t>feminis</w:t>
      </w:r>
      <w:proofErr w:type="spellEnd"/>
      <w:r>
        <w:t xml:space="preserve">, </w:t>
      </w:r>
      <w:proofErr w:type="spellStart"/>
      <w:r>
        <w:t>aeque</w:t>
      </w:r>
      <w:proofErr w:type="spellEnd"/>
      <w:r>
        <w:t xml:space="preserve"> non licet </w:t>
      </w:r>
      <w:proofErr w:type="spellStart"/>
      <w:r>
        <w:t>viris</w:t>
      </w:r>
      <w:proofErr w:type="spellEnd"/>
      <w:r>
        <w:t xml:space="preserve">; et </w:t>
      </w:r>
      <w:proofErr w:type="spellStart"/>
      <w:r>
        <w:t>eadem</w:t>
      </w:r>
      <w:proofErr w:type="spellEnd"/>
      <w:r>
        <w:t xml:space="preserve"> </w:t>
      </w:r>
      <w:proofErr w:type="spellStart"/>
      <w:r>
        <w:t>servitus</w:t>
      </w:r>
      <w:proofErr w:type="spellEnd"/>
      <w:r>
        <w:t xml:space="preserve"> </w:t>
      </w:r>
      <w:proofErr w:type="spellStart"/>
      <w:r>
        <w:t>pari</w:t>
      </w:r>
      <w:proofErr w:type="spellEnd"/>
      <w:r>
        <w:t xml:space="preserve"> </w:t>
      </w:r>
      <w:proofErr w:type="spellStart"/>
      <w:r>
        <w:t>conditione</w:t>
      </w:r>
      <w:proofErr w:type="spellEnd"/>
      <w:r>
        <w:t xml:space="preserve"> </w:t>
      </w:r>
      <w:proofErr w:type="spellStart"/>
      <w:r>
        <w:t>consetur</w:t>
      </w:r>
      <w:proofErr w:type="spellEnd"/>
      <w:r>
        <w:t>.”</w:t>
      </w:r>
    </w:p>
  </w:footnote>
  <w:footnote w:id="20">
    <w:p w14:paraId="6437DC24" w14:textId="6498CB86" w:rsidR="0070406E" w:rsidRDefault="0070406E" w:rsidP="0070406E">
      <w:pPr>
        <w:pStyle w:val="FootnoteText"/>
        <w:jc w:val="left"/>
      </w:pPr>
      <w:r>
        <w:rPr>
          <w:rStyle w:val="FootnoteReference"/>
        </w:rPr>
        <w:footnoteRef/>
      </w:r>
      <w:r>
        <w:t xml:space="preserve"> Hinds 1998: 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EC1CBE" w14:textId="32C4613F" w:rsidR="00182F1D" w:rsidRDefault="00182F1D" w:rsidP="00182F1D">
    <w:pPr>
      <w:pStyle w:val="Header"/>
      <w:jc w:val="right"/>
    </w:pPr>
    <w:r>
      <w:t xml:space="preserve">Virgilian </w:t>
    </w:r>
    <w:r w:rsidR="003B43B5">
      <w:t>Allusions</w:t>
    </w:r>
    <w:r>
      <w:t xml:space="preserve"> in Jerome: </w:t>
    </w:r>
    <w:r w:rsidR="00FB14B9">
      <w:t>Methodology Discussion</w:t>
    </w:r>
    <w:r>
      <w:t xml:space="preserve"> </w:t>
    </w:r>
    <w:r>
      <w:fldChar w:fldCharType="begin"/>
    </w:r>
    <w:r>
      <w:instrText xml:space="preserve"> PAGE   \* MERGEFORMAT </w:instrText>
    </w:r>
    <w:r>
      <w:fldChar w:fldCharType="separate"/>
    </w:r>
    <w:r w:rsidR="00E40501">
      <w:rPr>
        <w:noProof/>
      </w:rPr>
      <w:t>7</w:t>
    </w:r>
    <w:r>
      <w:rPr>
        <w:noProof/>
      </w:rPr>
      <w:fldChar w:fldCharType="end"/>
    </w:r>
  </w:p>
  <w:p w14:paraId="60B1DDA1" w14:textId="77777777" w:rsidR="00182F1D" w:rsidRDefault="00182F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F96"/>
    <w:rsid w:val="000553D8"/>
    <w:rsid w:val="00070512"/>
    <w:rsid w:val="000A53C8"/>
    <w:rsid w:val="000A684C"/>
    <w:rsid w:val="000D7F2C"/>
    <w:rsid w:val="000E15E5"/>
    <w:rsid w:val="00120D37"/>
    <w:rsid w:val="001453A5"/>
    <w:rsid w:val="00182F1D"/>
    <w:rsid w:val="001850E5"/>
    <w:rsid w:val="001D5D28"/>
    <w:rsid w:val="001E1402"/>
    <w:rsid w:val="001F7C52"/>
    <w:rsid w:val="002B5C3C"/>
    <w:rsid w:val="002C12CC"/>
    <w:rsid w:val="002F58B9"/>
    <w:rsid w:val="002F7320"/>
    <w:rsid w:val="0032007B"/>
    <w:rsid w:val="003222D4"/>
    <w:rsid w:val="00351BB5"/>
    <w:rsid w:val="003B27C7"/>
    <w:rsid w:val="003B43B5"/>
    <w:rsid w:val="003C49B3"/>
    <w:rsid w:val="003C6600"/>
    <w:rsid w:val="00433432"/>
    <w:rsid w:val="00435242"/>
    <w:rsid w:val="00455767"/>
    <w:rsid w:val="0047034A"/>
    <w:rsid w:val="0049236E"/>
    <w:rsid w:val="004A2DC6"/>
    <w:rsid w:val="004D48EE"/>
    <w:rsid w:val="004E6BBF"/>
    <w:rsid w:val="0052270B"/>
    <w:rsid w:val="005552E4"/>
    <w:rsid w:val="0056484C"/>
    <w:rsid w:val="00582F55"/>
    <w:rsid w:val="00591F45"/>
    <w:rsid w:val="005E42A9"/>
    <w:rsid w:val="006034F1"/>
    <w:rsid w:val="00603E8B"/>
    <w:rsid w:val="0062660A"/>
    <w:rsid w:val="00626BCB"/>
    <w:rsid w:val="00642498"/>
    <w:rsid w:val="006564D4"/>
    <w:rsid w:val="00665583"/>
    <w:rsid w:val="0068487B"/>
    <w:rsid w:val="006A75CC"/>
    <w:rsid w:val="006C6FD9"/>
    <w:rsid w:val="006F08C2"/>
    <w:rsid w:val="0070406E"/>
    <w:rsid w:val="007105B9"/>
    <w:rsid w:val="00736DF0"/>
    <w:rsid w:val="0075682B"/>
    <w:rsid w:val="0077484D"/>
    <w:rsid w:val="00775F13"/>
    <w:rsid w:val="007967C5"/>
    <w:rsid w:val="007C3870"/>
    <w:rsid w:val="00817974"/>
    <w:rsid w:val="00852460"/>
    <w:rsid w:val="0087413C"/>
    <w:rsid w:val="00875945"/>
    <w:rsid w:val="00883573"/>
    <w:rsid w:val="00893068"/>
    <w:rsid w:val="008B0777"/>
    <w:rsid w:val="008E30DB"/>
    <w:rsid w:val="0091656C"/>
    <w:rsid w:val="00934FDD"/>
    <w:rsid w:val="00972473"/>
    <w:rsid w:val="00976FA1"/>
    <w:rsid w:val="0099782A"/>
    <w:rsid w:val="009B4311"/>
    <w:rsid w:val="009D0807"/>
    <w:rsid w:val="009E089F"/>
    <w:rsid w:val="00A57A34"/>
    <w:rsid w:val="00A744CB"/>
    <w:rsid w:val="00A80190"/>
    <w:rsid w:val="00A80690"/>
    <w:rsid w:val="00A9254D"/>
    <w:rsid w:val="00AA2C2E"/>
    <w:rsid w:val="00AB5488"/>
    <w:rsid w:val="00B14380"/>
    <w:rsid w:val="00B30120"/>
    <w:rsid w:val="00B36A8E"/>
    <w:rsid w:val="00B4258F"/>
    <w:rsid w:val="00B44E88"/>
    <w:rsid w:val="00B52BA3"/>
    <w:rsid w:val="00B73E43"/>
    <w:rsid w:val="00B777BA"/>
    <w:rsid w:val="00BC70F3"/>
    <w:rsid w:val="00C1165A"/>
    <w:rsid w:val="00C12562"/>
    <w:rsid w:val="00C37567"/>
    <w:rsid w:val="00C94C17"/>
    <w:rsid w:val="00CA5F96"/>
    <w:rsid w:val="00CC19D2"/>
    <w:rsid w:val="00CE1C8A"/>
    <w:rsid w:val="00CF3776"/>
    <w:rsid w:val="00D1214F"/>
    <w:rsid w:val="00D41188"/>
    <w:rsid w:val="00D970D3"/>
    <w:rsid w:val="00DC2B63"/>
    <w:rsid w:val="00E40501"/>
    <w:rsid w:val="00E44FAC"/>
    <w:rsid w:val="00E73F82"/>
    <w:rsid w:val="00E77DD7"/>
    <w:rsid w:val="00E8777F"/>
    <w:rsid w:val="00E92566"/>
    <w:rsid w:val="00E92E9E"/>
    <w:rsid w:val="00EC12D8"/>
    <w:rsid w:val="00ED008A"/>
    <w:rsid w:val="00ED6263"/>
    <w:rsid w:val="00EF44BC"/>
    <w:rsid w:val="00F05AF8"/>
    <w:rsid w:val="00F12CA0"/>
    <w:rsid w:val="00F20765"/>
    <w:rsid w:val="00F42E9F"/>
    <w:rsid w:val="00F575F9"/>
    <w:rsid w:val="00F833AF"/>
    <w:rsid w:val="00F867C6"/>
    <w:rsid w:val="00FB14B9"/>
    <w:rsid w:val="00FD1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1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F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E42A9"/>
    <w:rPr>
      <w:sz w:val="20"/>
      <w:szCs w:val="20"/>
    </w:rPr>
  </w:style>
  <w:style w:type="character" w:customStyle="1" w:styleId="FootnoteTextChar">
    <w:name w:val="Footnote Text Char"/>
    <w:basedOn w:val="DefaultParagraphFont"/>
    <w:link w:val="FootnoteText"/>
    <w:uiPriority w:val="99"/>
    <w:semiHidden/>
    <w:rsid w:val="005E42A9"/>
    <w:rPr>
      <w:sz w:val="20"/>
      <w:szCs w:val="20"/>
    </w:rPr>
  </w:style>
  <w:style w:type="character" w:styleId="FootnoteReference">
    <w:name w:val="footnote reference"/>
    <w:basedOn w:val="DefaultParagraphFont"/>
    <w:uiPriority w:val="99"/>
    <w:semiHidden/>
    <w:unhideWhenUsed/>
    <w:rsid w:val="005E42A9"/>
    <w:rPr>
      <w:vertAlign w:val="superscript"/>
    </w:rPr>
  </w:style>
  <w:style w:type="paragraph" w:styleId="Header">
    <w:name w:val="header"/>
    <w:basedOn w:val="Normal"/>
    <w:link w:val="HeaderChar"/>
    <w:uiPriority w:val="99"/>
    <w:unhideWhenUsed/>
    <w:rsid w:val="00182F1D"/>
    <w:pPr>
      <w:tabs>
        <w:tab w:val="center" w:pos="4680"/>
        <w:tab w:val="right" w:pos="9360"/>
      </w:tabs>
    </w:pPr>
  </w:style>
  <w:style w:type="character" w:customStyle="1" w:styleId="HeaderChar">
    <w:name w:val="Header Char"/>
    <w:basedOn w:val="DefaultParagraphFont"/>
    <w:link w:val="Header"/>
    <w:uiPriority w:val="99"/>
    <w:rsid w:val="00182F1D"/>
  </w:style>
  <w:style w:type="paragraph" w:styleId="Footer">
    <w:name w:val="footer"/>
    <w:basedOn w:val="Normal"/>
    <w:link w:val="FooterChar"/>
    <w:uiPriority w:val="99"/>
    <w:unhideWhenUsed/>
    <w:rsid w:val="00182F1D"/>
    <w:pPr>
      <w:tabs>
        <w:tab w:val="center" w:pos="4680"/>
        <w:tab w:val="right" w:pos="9360"/>
      </w:tabs>
    </w:pPr>
  </w:style>
  <w:style w:type="character" w:customStyle="1" w:styleId="FooterChar">
    <w:name w:val="Footer Char"/>
    <w:basedOn w:val="DefaultParagraphFont"/>
    <w:link w:val="Footer"/>
    <w:uiPriority w:val="99"/>
    <w:rsid w:val="00182F1D"/>
  </w:style>
  <w:style w:type="character" w:styleId="Emphasis">
    <w:name w:val="Emphasis"/>
    <w:basedOn w:val="DefaultParagraphFont"/>
    <w:uiPriority w:val="20"/>
    <w:qFormat/>
    <w:rsid w:val="00934FDD"/>
    <w:rPr>
      <w:i/>
      <w:iCs/>
    </w:rPr>
  </w:style>
  <w:style w:type="character" w:styleId="Hyperlink">
    <w:name w:val="Hyperlink"/>
    <w:basedOn w:val="DefaultParagraphFont"/>
    <w:uiPriority w:val="99"/>
    <w:semiHidden/>
    <w:unhideWhenUsed/>
    <w:rsid w:val="00934FD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F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E42A9"/>
    <w:rPr>
      <w:sz w:val="20"/>
      <w:szCs w:val="20"/>
    </w:rPr>
  </w:style>
  <w:style w:type="character" w:customStyle="1" w:styleId="FootnoteTextChar">
    <w:name w:val="Footnote Text Char"/>
    <w:basedOn w:val="DefaultParagraphFont"/>
    <w:link w:val="FootnoteText"/>
    <w:uiPriority w:val="99"/>
    <w:semiHidden/>
    <w:rsid w:val="005E42A9"/>
    <w:rPr>
      <w:sz w:val="20"/>
      <w:szCs w:val="20"/>
    </w:rPr>
  </w:style>
  <w:style w:type="character" w:styleId="FootnoteReference">
    <w:name w:val="footnote reference"/>
    <w:basedOn w:val="DefaultParagraphFont"/>
    <w:uiPriority w:val="99"/>
    <w:semiHidden/>
    <w:unhideWhenUsed/>
    <w:rsid w:val="005E42A9"/>
    <w:rPr>
      <w:vertAlign w:val="superscript"/>
    </w:rPr>
  </w:style>
  <w:style w:type="paragraph" w:styleId="Header">
    <w:name w:val="header"/>
    <w:basedOn w:val="Normal"/>
    <w:link w:val="HeaderChar"/>
    <w:uiPriority w:val="99"/>
    <w:unhideWhenUsed/>
    <w:rsid w:val="00182F1D"/>
    <w:pPr>
      <w:tabs>
        <w:tab w:val="center" w:pos="4680"/>
        <w:tab w:val="right" w:pos="9360"/>
      </w:tabs>
    </w:pPr>
  </w:style>
  <w:style w:type="character" w:customStyle="1" w:styleId="HeaderChar">
    <w:name w:val="Header Char"/>
    <w:basedOn w:val="DefaultParagraphFont"/>
    <w:link w:val="Header"/>
    <w:uiPriority w:val="99"/>
    <w:rsid w:val="00182F1D"/>
  </w:style>
  <w:style w:type="paragraph" w:styleId="Footer">
    <w:name w:val="footer"/>
    <w:basedOn w:val="Normal"/>
    <w:link w:val="FooterChar"/>
    <w:uiPriority w:val="99"/>
    <w:unhideWhenUsed/>
    <w:rsid w:val="00182F1D"/>
    <w:pPr>
      <w:tabs>
        <w:tab w:val="center" w:pos="4680"/>
        <w:tab w:val="right" w:pos="9360"/>
      </w:tabs>
    </w:pPr>
  </w:style>
  <w:style w:type="character" w:customStyle="1" w:styleId="FooterChar">
    <w:name w:val="Footer Char"/>
    <w:basedOn w:val="DefaultParagraphFont"/>
    <w:link w:val="Footer"/>
    <w:uiPriority w:val="99"/>
    <w:rsid w:val="00182F1D"/>
  </w:style>
  <w:style w:type="character" w:styleId="Emphasis">
    <w:name w:val="Emphasis"/>
    <w:basedOn w:val="DefaultParagraphFont"/>
    <w:uiPriority w:val="20"/>
    <w:qFormat/>
    <w:rsid w:val="00934FDD"/>
    <w:rPr>
      <w:i/>
      <w:iCs/>
    </w:rPr>
  </w:style>
  <w:style w:type="character" w:styleId="Hyperlink">
    <w:name w:val="Hyperlink"/>
    <w:basedOn w:val="DefaultParagraphFont"/>
    <w:uiPriority w:val="99"/>
    <w:semiHidden/>
    <w:unhideWhenUsed/>
    <w:rsid w:val="00934F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282AB273-6059-4F9F-9015-E099B0F10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1919</Words>
  <Characters>10944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Dave</cp:lastModifiedBy>
  <cp:revision>5</cp:revision>
  <dcterms:created xsi:type="dcterms:W3CDTF">2019-01-07T16:21:00Z</dcterms:created>
  <dcterms:modified xsi:type="dcterms:W3CDTF">2019-01-11T03:37:00Z</dcterms:modified>
</cp:coreProperties>
</file>