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AF7C45" w14:textId="77777777" w:rsidR="00507F3A" w:rsidRDefault="00A47F1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5E1E7CA9" wp14:editId="52A137E2">
            <wp:extent cx="2628900" cy="1076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8900" cy="1076325"/>
                    </a:xfrm>
                    <a:prstGeom prst="rect">
                      <a:avLst/>
                    </a:prstGeom>
                    <a:ln/>
                  </pic:spPr>
                </pic:pic>
              </a:graphicData>
            </a:graphic>
          </wp:inline>
        </w:drawing>
      </w:r>
    </w:p>
    <w:p w14:paraId="7A3F3F13" w14:textId="77777777" w:rsidR="00507F3A" w:rsidRDefault="00507F3A">
      <w:pPr>
        <w:spacing w:line="360" w:lineRule="auto"/>
        <w:jc w:val="center"/>
        <w:rPr>
          <w:rFonts w:ascii="Times New Roman" w:eastAsia="Times New Roman" w:hAnsi="Times New Roman" w:cs="Times New Roman"/>
          <w:b/>
          <w:sz w:val="28"/>
          <w:szCs w:val="28"/>
        </w:rPr>
      </w:pPr>
    </w:p>
    <w:p w14:paraId="6763BE33" w14:textId="77777777" w:rsidR="00507F3A" w:rsidRDefault="00A47F1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Entrepreneurship</w:t>
      </w:r>
    </w:p>
    <w:p w14:paraId="7884A5EE" w14:textId="77777777" w:rsidR="00507F3A" w:rsidRDefault="00A47F13">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LCBB5001</w:t>
      </w:r>
    </w:p>
    <w:p w14:paraId="13DEA1E3" w14:textId="77777777" w:rsidR="00507F3A" w:rsidRDefault="00A47F1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40"/>
          <w:szCs w:val="40"/>
        </w:rPr>
        <w:t>Component 2</w:t>
      </w:r>
    </w:p>
    <w:p w14:paraId="5EF52FD8" w14:textId="77777777" w:rsidR="00507F3A" w:rsidRDefault="00507F3A">
      <w:pPr>
        <w:spacing w:line="360" w:lineRule="auto"/>
        <w:jc w:val="center"/>
        <w:rPr>
          <w:rFonts w:ascii="Times New Roman" w:eastAsia="Times New Roman" w:hAnsi="Times New Roman" w:cs="Times New Roman"/>
          <w:b/>
          <w:sz w:val="32"/>
          <w:szCs w:val="32"/>
        </w:rPr>
      </w:pPr>
    </w:p>
    <w:p w14:paraId="7F395C03" w14:textId="04BACB74" w:rsidR="00507F3A" w:rsidRDefault="00A47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Name:Laura</w:t>
      </w:r>
      <w:proofErr w:type="gramEnd"/>
      <w:r>
        <w:rPr>
          <w:rFonts w:ascii="Times New Roman" w:eastAsia="Times New Roman" w:hAnsi="Times New Roman" w:cs="Times New Roman"/>
          <w:b/>
          <w:sz w:val="32"/>
          <w:szCs w:val="32"/>
        </w:rPr>
        <w:t xml:space="preserve"> Bolca</w:t>
      </w:r>
    </w:p>
    <w:p w14:paraId="568BEA88" w14:textId="5EDEC6B1" w:rsidR="00507F3A" w:rsidRDefault="00A47F1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32"/>
          <w:szCs w:val="32"/>
        </w:rPr>
        <w:t>Student ID:2112586</w:t>
      </w:r>
      <w:r>
        <w:br w:type="page"/>
      </w:r>
    </w:p>
    <w:p w14:paraId="50B13E98" w14:textId="77777777" w:rsidR="00507F3A" w:rsidRDefault="00A47F13">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3ABB293B" w14:textId="77777777" w:rsidR="00507F3A" w:rsidRDefault="00507F3A">
      <w:pPr>
        <w:spacing w:before="240" w:after="240" w:line="360" w:lineRule="auto"/>
        <w:jc w:val="both"/>
        <w:rPr>
          <w:rFonts w:ascii="Times New Roman" w:eastAsia="Times New Roman" w:hAnsi="Times New Roman" w:cs="Times New Roman"/>
          <w:sz w:val="24"/>
          <w:szCs w:val="24"/>
        </w:rPr>
      </w:pPr>
    </w:p>
    <w:sdt>
      <w:sdtPr>
        <w:id w:val="-1523469217"/>
        <w:docPartObj>
          <w:docPartGallery w:val="Table of Contents"/>
          <w:docPartUnique/>
        </w:docPartObj>
      </w:sdtPr>
      <w:sdtEndPr/>
      <w:sdtContent>
        <w:p w14:paraId="3929985F"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7gzgmfqtd7k4">
            <w:r>
              <w:rPr>
                <w:rFonts w:ascii="Times New Roman" w:eastAsia="Times New Roman" w:hAnsi="Times New Roman" w:cs="Times New Roman"/>
                <w:color w:val="000000"/>
                <w:sz w:val="24"/>
                <w:szCs w:val="24"/>
              </w:rPr>
              <w:t>Task A: Pitch</w:t>
            </w:r>
            <w:r>
              <w:rPr>
                <w:rFonts w:ascii="Times New Roman" w:eastAsia="Times New Roman" w:hAnsi="Times New Roman" w:cs="Times New Roman"/>
                <w:color w:val="000000"/>
                <w:sz w:val="24"/>
                <w:szCs w:val="24"/>
              </w:rPr>
              <w:tab/>
            </w:r>
          </w:hyperlink>
          <w:r>
            <w:fldChar w:fldCharType="begin"/>
          </w:r>
          <w:r>
            <w:instrText xml:space="preserve"> PAGEREF _7gzgmfqtd7k4 \h </w:instrText>
          </w:r>
          <w:r>
            <w:fldChar w:fldCharType="separate"/>
          </w:r>
          <w:r>
            <w:rPr>
              <w:rFonts w:ascii="Times New Roman" w:eastAsia="Times New Roman" w:hAnsi="Times New Roman" w:cs="Times New Roman"/>
              <w:sz w:val="24"/>
              <w:szCs w:val="24"/>
            </w:rPr>
            <w:t>3</w:t>
          </w:r>
          <w:r>
            <w:fldChar w:fldCharType="end"/>
          </w:r>
        </w:p>
        <w:p w14:paraId="0BC7497C"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6nw26mbb0rjf">
            <w:r>
              <w:rPr>
                <w:rFonts w:ascii="Times New Roman" w:eastAsia="Times New Roman" w:hAnsi="Times New Roman" w:cs="Times New Roman"/>
                <w:color w:val="000000"/>
                <w:sz w:val="24"/>
                <w:szCs w:val="24"/>
              </w:rPr>
              <w:t>Slide 1: Cover page</w:t>
            </w:r>
            <w:r>
              <w:rPr>
                <w:rFonts w:ascii="Times New Roman" w:eastAsia="Times New Roman" w:hAnsi="Times New Roman" w:cs="Times New Roman"/>
                <w:color w:val="000000"/>
                <w:sz w:val="24"/>
                <w:szCs w:val="24"/>
              </w:rPr>
              <w:tab/>
            </w:r>
          </w:hyperlink>
          <w:r>
            <w:fldChar w:fldCharType="begin"/>
          </w:r>
          <w:r>
            <w:instrText xml:space="preserve"> PAGEREF _6nw26mbb0rjf \h </w:instrText>
          </w:r>
          <w:r>
            <w:fldChar w:fldCharType="separate"/>
          </w:r>
          <w:r>
            <w:rPr>
              <w:rFonts w:ascii="Times New Roman" w:eastAsia="Times New Roman" w:hAnsi="Times New Roman" w:cs="Times New Roman"/>
              <w:sz w:val="24"/>
              <w:szCs w:val="24"/>
            </w:rPr>
            <w:t>3</w:t>
          </w:r>
          <w:r>
            <w:fldChar w:fldCharType="end"/>
          </w:r>
        </w:p>
        <w:p w14:paraId="775ACCC5"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7d3voyybtybv">
            <w:r>
              <w:rPr>
                <w:rFonts w:ascii="Times New Roman" w:eastAsia="Times New Roman" w:hAnsi="Times New Roman" w:cs="Times New Roman"/>
                <w:color w:val="000000"/>
                <w:sz w:val="24"/>
                <w:szCs w:val="24"/>
              </w:rPr>
              <w:t xml:space="preserve">Slide 2: Contents of the </w:t>
            </w:r>
          </w:hyperlink>
          <w:hyperlink w:anchor="_7d3voyybtybv">
            <w:r>
              <w:rPr>
                <w:rFonts w:ascii="Times New Roman" w:eastAsia="Times New Roman" w:hAnsi="Times New Roman" w:cs="Times New Roman"/>
                <w:sz w:val="24"/>
                <w:szCs w:val="24"/>
              </w:rPr>
              <w:t>Presentation</w:t>
            </w:r>
          </w:hyperlink>
          <w:hyperlink w:anchor="_7d3voyybtybv">
            <w:r>
              <w:rPr>
                <w:rFonts w:ascii="Times New Roman" w:eastAsia="Times New Roman" w:hAnsi="Times New Roman" w:cs="Times New Roman"/>
                <w:color w:val="000000"/>
                <w:sz w:val="24"/>
                <w:szCs w:val="24"/>
              </w:rPr>
              <w:tab/>
            </w:r>
          </w:hyperlink>
          <w:r>
            <w:fldChar w:fldCharType="begin"/>
          </w:r>
          <w:r>
            <w:instrText xml:space="preserve"> PAGEREF _7d3voyybtybv \h </w:instrText>
          </w:r>
          <w:r>
            <w:fldChar w:fldCharType="separate"/>
          </w:r>
          <w:r>
            <w:rPr>
              <w:rFonts w:ascii="Times New Roman" w:eastAsia="Times New Roman" w:hAnsi="Times New Roman" w:cs="Times New Roman"/>
              <w:sz w:val="24"/>
              <w:szCs w:val="24"/>
            </w:rPr>
            <w:t>3</w:t>
          </w:r>
          <w:r>
            <w:fldChar w:fldCharType="end"/>
          </w:r>
        </w:p>
        <w:p w14:paraId="716EA0A4"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3cvzjtu2fsqr">
            <w:r>
              <w:rPr>
                <w:rFonts w:ascii="Times New Roman" w:eastAsia="Times New Roman" w:hAnsi="Times New Roman" w:cs="Times New Roman"/>
                <w:color w:val="000000"/>
                <w:sz w:val="24"/>
                <w:szCs w:val="24"/>
              </w:rPr>
              <w:t>Slide 3: Introduction</w:t>
            </w:r>
            <w:r>
              <w:rPr>
                <w:rFonts w:ascii="Times New Roman" w:eastAsia="Times New Roman" w:hAnsi="Times New Roman" w:cs="Times New Roman"/>
                <w:color w:val="000000"/>
                <w:sz w:val="24"/>
                <w:szCs w:val="24"/>
              </w:rPr>
              <w:tab/>
            </w:r>
          </w:hyperlink>
          <w:r>
            <w:fldChar w:fldCharType="begin"/>
          </w:r>
          <w:r>
            <w:instrText xml:space="preserve"> PAGEREF _3cvzjtu2fsqr \h </w:instrText>
          </w:r>
          <w:r>
            <w:fldChar w:fldCharType="separate"/>
          </w:r>
          <w:r>
            <w:rPr>
              <w:rFonts w:ascii="Times New Roman" w:eastAsia="Times New Roman" w:hAnsi="Times New Roman" w:cs="Times New Roman"/>
              <w:sz w:val="24"/>
              <w:szCs w:val="24"/>
            </w:rPr>
            <w:t>3</w:t>
          </w:r>
          <w:r>
            <w:fldChar w:fldCharType="end"/>
          </w:r>
        </w:p>
        <w:p w14:paraId="3C15B62E"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tnx4ayotw9zg">
            <w:r>
              <w:rPr>
                <w:rFonts w:ascii="Times New Roman" w:eastAsia="Times New Roman" w:hAnsi="Times New Roman" w:cs="Times New Roman"/>
                <w:color w:val="000000"/>
                <w:sz w:val="24"/>
                <w:szCs w:val="24"/>
              </w:rPr>
              <w:t>Slide 4: Overview of the business idea</w:t>
            </w:r>
            <w:r>
              <w:rPr>
                <w:rFonts w:ascii="Times New Roman" w:eastAsia="Times New Roman" w:hAnsi="Times New Roman" w:cs="Times New Roman"/>
                <w:color w:val="000000"/>
                <w:sz w:val="24"/>
                <w:szCs w:val="24"/>
              </w:rPr>
              <w:tab/>
            </w:r>
          </w:hyperlink>
          <w:r>
            <w:fldChar w:fldCharType="begin"/>
          </w:r>
          <w:r>
            <w:instrText xml:space="preserve"> PAGEREF _tnx4ayotw9zg \h </w:instrText>
          </w:r>
          <w:r>
            <w:fldChar w:fldCharType="separate"/>
          </w:r>
          <w:r>
            <w:rPr>
              <w:rFonts w:ascii="Times New Roman" w:eastAsia="Times New Roman" w:hAnsi="Times New Roman" w:cs="Times New Roman"/>
              <w:sz w:val="24"/>
              <w:szCs w:val="24"/>
            </w:rPr>
            <w:t>4</w:t>
          </w:r>
          <w:r>
            <w:fldChar w:fldCharType="end"/>
          </w:r>
        </w:p>
        <w:p w14:paraId="27FACD44"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txr7z6ppyats">
            <w:r>
              <w:rPr>
                <w:rFonts w:ascii="Times New Roman" w:eastAsia="Times New Roman" w:hAnsi="Times New Roman" w:cs="Times New Roman"/>
                <w:color w:val="000000"/>
                <w:sz w:val="24"/>
                <w:szCs w:val="24"/>
              </w:rPr>
              <w:t>Slide 5: Management Team Plan</w:t>
            </w:r>
            <w:r>
              <w:rPr>
                <w:rFonts w:ascii="Times New Roman" w:eastAsia="Times New Roman" w:hAnsi="Times New Roman" w:cs="Times New Roman"/>
                <w:color w:val="000000"/>
                <w:sz w:val="24"/>
                <w:szCs w:val="24"/>
              </w:rPr>
              <w:tab/>
            </w:r>
          </w:hyperlink>
          <w:r>
            <w:fldChar w:fldCharType="begin"/>
          </w:r>
          <w:r>
            <w:instrText xml:space="preserve"> PAGEREF _txr7z6ppyats \h </w:instrText>
          </w:r>
          <w:r>
            <w:fldChar w:fldCharType="separate"/>
          </w:r>
          <w:r>
            <w:rPr>
              <w:rFonts w:ascii="Times New Roman" w:eastAsia="Times New Roman" w:hAnsi="Times New Roman" w:cs="Times New Roman"/>
              <w:sz w:val="24"/>
              <w:szCs w:val="24"/>
            </w:rPr>
            <w:t>5</w:t>
          </w:r>
          <w:r>
            <w:fldChar w:fldCharType="end"/>
          </w:r>
        </w:p>
        <w:p w14:paraId="5BA17947"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4t99wkn50doq">
            <w:r>
              <w:rPr>
                <w:rFonts w:ascii="Times New Roman" w:eastAsia="Times New Roman" w:hAnsi="Times New Roman" w:cs="Times New Roman"/>
                <w:color w:val="000000"/>
                <w:sz w:val="24"/>
                <w:szCs w:val="24"/>
              </w:rPr>
              <w:t>Slide 6: Ideal Business Customer and Marketing Strategies</w:t>
            </w:r>
            <w:r>
              <w:rPr>
                <w:rFonts w:ascii="Times New Roman" w:eastAsia="Times New Roman" w:hAnsi="Times New Roman" w:cs="Times New Roman"/>
                <w:color w:val="000000"/>
                <w:sz w:val="24"/>
                <w:szCs w:val="24"/>
              </w:rPr>
              <w:tab/>
            </w:r>
          </w:hyperlink>
          <w:r>
            <w:fldChar w:fldCharType="begin"/>
          </w:r>
          <w:r>
            <w:instrText xml:space="preserve"> PAGEREF _4t99wkn50doq \h </w:instrText>
          </w:r>
          <w:r>
            <w:fldChar w:fldCharType="separate"/>
          </w:r>
          <w:r>
            <w:rPr>
              <w:rFonts w:ascii="Times New Roman" w:eastAsia="Times New Roman" w:hAnsi="Times New Roman" w:cs="Times New Roman"/>
              <w:sz w:val="24"/>
              <w:szCs w:val="24"/>
            </w:rPr>
            <w:t>5</w:t>
          </w:r>
          <w:r>
            <w:fldChar w:fldCharType="end"/>
          </w:r>
        </w:p>
        <w:p w14:paraId="5CB66EE2"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9ghfcby6iaol">
            <w:r>
              <w:rPr>
                <w:rFonts w:ascii="Times New Roman" w:eastAsia="Times New Roman" w:hAnsi="Times New Roman" w:cs="Times New Roman"/>
                <w:color w:val="000000"/>
                <w:sz w:val="24"/>
                <w:szCs w:val="24"/>
              </w:rPr>
              <w:t>Slide 7: Competition and Differentiation Strategies</w:t>
            </w:r>
            <w:r>
              <w:rPr>
                <w:rFonts w:ascii="Times New Roman" w:eastAsia="Times New Roman" w:hAnsi="Times New Roman" w:cs="Times New Roman"/>
                <w:color w:val="000000"/>
                <w:sz w:val="24"/>
                <w:szCs w:val="24"/>
              </w:rPr>
              <w:tab/>
            </w:r>
          </w:hyperlink>
          <w:r>
            <w:fldChar w:fldCharType="begin"/>
          </w:r>
          <w:r>
            <w:instrText xml:space="preserve"> PAGEREF _9ghfcby6iaol \h </w:instrText>
          </w:r>
          <w:r>
            <w:fldChar w:fldCharType="separate"/>
          </w:r>
          <w:r>
            <w:rPr>
              <w:rFonts w:ascii="Times New Roman" w:eastAsia="Times New Roman" w:hAnsi="Times New Roman" w:cs="Times New Roman"/>
              <w:sz w:val="24"/>
              <w:szCs w:val="24"/>
            </w:rPr>
            <w:t>6</w:t>
          </w:r>
          <w:r>
            <w:fldChar w:fldCharType="end"/>
          </w:r>
        </w:p>
        <w:p w14:paraId="5DC8C8FD"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4p9x2n97iur0">
            <w:r>
              <w:rPr>
                <w:rFonts w:ascii="Times New Roman" w:eastAsia="Times New Roman" w:hAnsi="Times New Roman" w:cs="Times New Roman"/>
                <w:color w:val="000000"/>
                <w:sz w:val="24"/>
                <w:szCs w:val="24"/>
              </w:rPr>
              <w:t>Slide 8: Funding Demands and Budgeting</w:t>
            </w:r>
            <w:r>
              <w:rPr>
                <w:rFonts w:ascii="Times New Roman" w:eastAsia="Times New Roman" w:hAnsi="Times New Roman" w:cs="Times New Roman"/>
                <w:color w:val="000000"/>
                <w:sz w:val="24"/>
                <w:szCs w:val="24"/>
              </w:rPr>
              <w:tab/>
            </w:r>
          </w:hyperlink>
          <w:r>
            <w:fldChar w:fldCharType="begin"/>
          </w:r>
          <w:r>
            <w:instrText xml:space="preserve"> PAGEREF _4p9x2n97iur0 \h </w:instrText>
          </w:r>
          <w:r>
            <w:fldChar w:fldCharType="separate"/>
          </w:r>
          <w:r>
            <w:rPr>
              <w:rFonts w:ascii="Times New Roman" w:eastAsia="Times New Roman" w:hAnsi="Times New Roman" w:cs="Times New Roman"/>
              <w:sz w:val="24"/>
              <w:szCs w:val="24"/>
            </w:rPr>
            <w:t>7</w:t>
          </w:r>
          <w:r>
            <w:fldChar w:fldCharType="end"/>
          </w:r>
        </w:p>
        <w:p w14:paraId="7AD37988"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oyqsel4lp6tv">
            <w:r>
              <w:rPr>
                <w:rFonts w:ascii="Times New Roman" w:eastAsia="Times New Roman" w:hAnsi="Times New Roman" w:cs="Times New Roman"/>
                <w:color w:val="000000"/>
                <w:sz w:val="24"/>
                <w:szCs w:val="24"/>
              </w:rPr>
              <w:t>Slide 9: Conclusion</w:t>
            </w:r>
            <w:r>
              <w:rPr>
                <w:rFonts w:ascii="Times New Roman" w:eastAsia="Times New Roman" w:hAnsi="Times New Roman" w:cs="Times New Roman"/>
                <w:color w:val="000000"/>
                <w:sz w:val="24"/>
                <w:szCs w:val="24"/>
              </w:rPr>
              <w:tab/>
            </w:r>
          </w:hyperlink>
          <w:r>
            <w:fldChar w:fldCharType="begin"/>
          </w:r>
          <w:r>
            <w:instrText xml:space="preserve"> PAGEREF _oyqsel4lp6tv \h </w:instrText>
          </w:r>
          <w:r>
            <w:fldChar w:fldCharType="separate"/>
          </w:r>
          <w:r>
            <w:rPr>
              <w:rFonts w:ascii="Times New Roman" w:eastAsia="Times New Roman" w:hAnsi="Times New Roman" w:cs="Times New Roman"/>
              <w:sz w:val="24"/>
              <w:szCs w:val="24"/>
            </w:rPr>
            <w:t>7</w:t>
          </w:r>
          <w:r>
            <w:fldChar w:fldCharType="end"/>
          </w:r>
        </w:p>
        <w:p w14:paraId="1DEA5EA1"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3xlcu5wckvfw">
            <w:r>
              <w:rPr>
                <w:rFonts w:ascii="Times New Roman" w:eastAsia="Times New Roman" w:hAnsi="Times New Roman" w:cs="Times New Roman"/>
                <w:color w:val="000000"/>
                <w:sz w:val="24"/>
                <w:szCs w:val="24"/>
              </w:rPr>
              <w:t>Slide 10: References</w:t>
            </w:r>
            <w:r>
              <w:rPr>
                <w:rFonts w:ascii="Times New Roman" w:eastAsia="Times New Roman" w:hAnsi="Times New Roman" w:cs="Times New Roman"/>
                <w:color w:val="000000"/>
                <w:sz w:val="24"/>
                <w:szCs w:val="24"/>
              </w:rPr>
              <w:tab/>
            </w:r>
          </w:hyperlink>
          <w:r>
            <w:fldChar w:fldCharType="begin"/>
          </w:r>
          <w:r>
            <w:instrText xml:space="preserve"> PAGEREF _3xlcu5wckvfw \h </w:instrText>
          </w:r>
          <w:r>
            <w:fldChar w:fldCharType="separate"/>
          </w:r>
          <w:r>
            <w:rPr>
              <w:rFonts w:ascii="Times New Roman" w:eastAsia="Times New Roman" w:hAnsi="Times New Roman" w:cs="Times New Roman"/>
              <w:sz w:val="24"/>
              <w:szCs w:val="24"/>
            </w:rPr>
            <w:t>9</w:t>
          </w:r>
          <w:r>
            <w:fldChar w:fldCharType="end"/>
          </w:r>
        </w:p>
        <w:p w14:paraId="433D02A8"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k3q21y7hxcrf">
            <w:r>
              <w:rPr>
                <w:rFonts w:ascii="Times New Roman" w:eastAsia="Times New Roman" w:hAnsi="Times New Roman" w:cs="Times New Roman"/>
                <w:color w:val="000000"/>
                <w:sz w:val="24"/>
                <w:szCs w:val="24"/>
              </w:rPr>
              <w:t>Slide 11: Thank You</w:t>
            </w:r>
            <w:r>
              <w:rPr>
                <w:rFonts w:ascii="Times New Roman" w:eastAsia="Times New Roman" w:hAnsi="Times New Roman" w:cs="Times New Roman"/>
                <w:color w:val="000000"/>
                <w:sz w:val="24"/>
                <w:szCs w:val="24"/>
              </w:rPr>
              <w:tab/>
            </w:r>
          </w:hyperlink>
          <w:r>
            <w:fldChar w:fldCharType="begin"/>
          </w:r>
          <w:r>
            <w:instrText xml:space="preserve"> PAGEREF _k3q21y7hxcrf \h </w:instrText>
          </w:r>
          <w:r>
            <w:fldChar w:fldCharType="separate"/>
          </w:r>
          <w:r>
            <w:rPr>
              <w:rFonts w:ascii="Times New Roman" w:eastAsia="Times New Roman" w:hAnsi="Times New Roman" w:cs="Times New Roman"/>
              <w:sz w:val="24"/>
              <w:szCs w:val="24"/>
            </w:rPr>
            <w:t>10</w:t>
          </w:r>
          <w:r>
            <w:fldChar w:fldCharType="end"/>
          </w:r>
        </w:p>
        <w:p w14:paraId="169BBB67"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4eaeuzmmunvm">
            <w:r>
              <w:rPr>
                <w:rFonts w:ascii="Times New Roman" w:eastAsia="Times New Roman" w:hAnsi="Times New Roman" w:cs="Times New Roman"/>
                <w:color w:val="000000"/>
                <w:sz w:val="24"/>
                <w:szCs w:val="24"/>
              </w:rPr>
              <w:t>Task B: Evaluation Report</w:t>
            </w:r>
            <w:r>
              <w:rPr>
                <w:rFonts w:ascii="Times New Roman" w:eastAsia="Times New Roman" w:hAnsi="Times New Roman" w:cs="Times New Roman"/>
                <w:color w:val="000000"/>
                <w:sz w:val="24"/>
                <w:szCs w:val="24"/>
              </w:rPr>
              <w:tab/>
            </w:r>
          </w:hyperlink>
          <w:r>
            <w:fldChar w:fldCharType="begin"/>
          </w:r>
          <w:r>
            <w:instrText xml:space="preserve"> PAGEREF _4eaeuzmmunvm \h </w:instrText>
          </w:r>
          <w:r>
            <w:fldChar w:fldCharType="separate"/>
          </w:r>
          <w:r>
            <w:rPr>
              <w:rFonts w:ascii="Times New Roman" w:eastAsia="Times New Roman" w:hAnsi="Times New Roman" w:cs="Times New Roman"/>
              <w:sz w:val="24"/>
              <w:szCs w:val="24"/>
            </w:rPr>
            <w:t>11</w:t>
          </w:r>
          <w:r>
            <w:fldChar w:fldCharType="end"/>
          </w:r>
        </w:p>
        <w:p w14:paraId="6F71261F" w14:textId="77777777" w:rsidR="00507F3A" w:rsidRDefault="00A47F13">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2c3sra7dh5vx">
            <w:r>
              <w:rPr>
                <w:rFonts w:ascii="Times New Roman" w:eastAsia="Times New Roman" w:hAnsi="Times New Roman" w:cs="Times New Roman"/>
                <w:color w:val="000000"/>
                <w:sz w:val="24"/>
                <w:szCs w:val="24"/>
              </w:rPr>
              <w:t>Business idea and the motivational factors</w:t>
            </w:r>
            <w:r>
              <w:rPr>
                <w:rFonts w:ascii="Times New Roman" w:eastAsia="Times New Roman" w:hAnsi="Times New Roman" w:cs="Times New Roman"/>
                <w:color w:val="000000"/>
                <w:sz w:val="24"/>
                <w:szCs w:val="24"/>
              </w:rPr>
              <w:tab/>
            </w:r>
          </w:hyperlink>
          <w:r>
            <w:fldChar w:fldCharType="begin"/>
          </w:r>
          <w:r>
            <w:instrText xml:space="preserve"> PAGEREF _2c3sra7dh5vx \h </w:instrText>
          </w:r>
          <w:r>
            <w:fldChar w:fldCharType="separate"/>
          </w:r>
          <w:r>
            <w:rPr>
              <w:rFonts w:ascii="Times New Roman" w:eastAsia="Times New Roman" w:hAnsi="Times New Roman" w:cs="Times New Roman"/>
              <w:sz w:val="24"/>
              <w:szCs w:val="24"/>
            </w:rPr>
            <w:t>11</w:t>
          </w:r>
          <w:r>
            <w:fldChar w:fldCharType="end"/>
          </w:r>
        </w:p>
        <w:p w14:paraId="62D06CF2" w14:textId="77777777" w:rsidR="00507F3A" w:rsidRDefault="00A47F13">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2c3sra7dh5vx">
            <w:r>
              <w:rPr>
                <w:rFonts w:ascii="Times New Roman" w:eastAsia="Times New Roman" w:hAnsi="Times New Roman" w:cs="Times New Roman"/>
                <w:color w:val="000000"/>
                <w:sz w:val="24"/>
                <w:szCs w:val="24"/>
              </w:rPr>
              <w:t>Identify and explain five entrepreneurship skills</w:t>
            </w:r>
            <w:r>
              <w:rPr>
                <w:rFonts w:ascii="Times New Roman" w:eastAsia="Times New Roman" w:hAnsi="Times New Roman" w:cs="Times New Roman"/>
                <w:color w:val="000000"/>
                <w:sz w:val="24"/>
                <w:szCs w:val="24"/>
              </w:rPr>
              <w:tab/>
            </w:r>
          </w:hyperlink>
          <w:r>
            <w:fldChar w:fldCharType="begin"/>
          </w:r>
          <w:r>
            <w:instrText xml:space="preserve"> PAGEREF _2c3sra7dh5vx \h </w:instrText>
          </w:r>
          <w:r>
            <w:fldChar w:fldCharType="separate"/>
          </w:r>
          <w:r>
            <w:rPr>
              <w:rFonts w:ascii="Times New Roman" w:eastAsia="Times New Roman" w:hAnsi="Times New Roman" w:cs="Times New Roman"/>
              <w:sz w:val="24"/>
              <w:szCs w:val="24"/>
            </w:rPr>
            <w:t>12</w:t>
          </w:r>
          <w:r>
            <w:fldChar w:fldCharType="end"/>
          </w:r>
        </w:p>
        <w:p w14:paraId="70F05927" w14:textId="77777777" w:rsidR="00507F3A" w:rsidRDefault="00A47F13">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2c3sra7dh5vx">
            <w:r>
              <w:rPr>
                <w:rFonts w:ascii="Times New Roman" w:eastAsia="Times New Roman" w:hAnsi="Times New Roman" w:cs="Times New Roman"/>
                <w:color w:val="000000"/>
                <w:sz w:val="24"/>
                <w:szCs w:val="24"/>
              </w:rPr>
              <w:t>An evidence-based self-assessment</w:t>
            </w:r>
            <w:r>
              <w:rPr>
                <w:rFonts w:ascii="Times New Roman" w:eastAsia="Times New Roman" w:hAnsi="Times New Roman" w:cs="Times New Roman"/>
                <w:color w:val="000000"/>
                <w:sz w:val="24"/>
                <w:szCs w:val="24"/>
              </w:rPr>
              <w:tab/>
            </w:r>
          </w:hyperlink>
          <w:r>
            <w:fldChar w:fldCharType="begin"/>
          </w:r>
          <w:r>
            <w:instrText xml:space="preserve"> PAGEREF _2c3sra7dh5vx \h </w:instrText>
          </w:r>
          <w:r>
            <w:fldChar w:fldCharType="separate"/>
          </w:r>
          <w:r>
            <w:rPr>
              <w:rFonts w:ascii="Times New Roman" w:eastAsia="Times New Roman" w:hAnsi="Times New Roman" w:cs="Times New Roman"/>
              <w:sz w:val="24"/>
              <w:szCs w:val="24"/>
            </w:rPr>
            <w:t>14</w:t>
          </w:r>
          <w:r>
            <w:fldChar w:fldCharType="end"/>
          </w:r>
        </w:p>
        <w:p w14:paraId="4F9913D2" w14:textId="77777777" w:rsidR="00507F3A" w:rsidRDefault="00A47F13">
          <w:pPr>
            <w:widowControl w:val="0"/>
            <w:tabs>
              <w:tab w:val="right" w:pos="9360"/>
            </w:tabs>
            <w:spacing w:before="60" w:line="360" w:lineRule="auto"/>
            <w:ind w:left="360"/>
            <w:rPr>
              <w:rFonts w:ascii="Times New Roman" w:eastAsia="Times New Roman" w:hAnsi="Times New Roman" w:cs="Times New Roman"/>
              <w:color w:val="000000"/>
              <w:sz w:val="24"/>
              <w:szCs w:val="24"/>
            </w:rPr>
          </w:pPr>
          <w:hyperlink w:anchor="_2tikescsb6cs">
            <w:r>
              <w:rPr>
                <w:rFonts w:ascii="Times New Roman" w:eastAsia="Times New Roman" w:hAnsi="Times New Roman" w:cs="Times New Roman"/>
                <w:color w:val="000000"/>
                <w:sz w:val="24"/>
                <w:szCs w:val="24"/>
              </w:rPr>
              <w:t>Extensive market research</w:t>
            </w:r>
            <w:r>
              <w:rPr>
                <w:rFonts w:ascii="Times New Roman" w:eastAsia="Times New Roman" w:hAnsi="Times New Roman" w:cs="Times New Roman"/>
                <w:color w:val="000000"/>
                <w:sz w:val="24"/>
                <w:szCs w:val="24"/>
              </w:rPr>
              <w:tab/>
            </w:r>
          </w:hyperlink>
          <w:r>
            <w:fldChar w:fldCharType="begin"/>
          </w:r>
          <w:r>
            <w:instrText xml:space="preserve"> PAGEREF _2tikescsb6cs \h </w:instrText>
          </w:r>
          <w:r>
            <w:fldChar w:fldCharType="separate"/>
          </w:r>
          <w:r>
            <w:rPr>
              <w:rFonts w:ascii="Times New Roman" w:eastAsia="Times New Roman" w:hAnsi="Times New Roman" w:cs="Times New Roman"/>
              <w:sz w:val="24"/>
              <w:szCs w:val="24"/>
            </w:rPr>
            <w:t>15</w:t>
          </w:r>
          <w:r>
            <w:fldChar w:fldCharType="end"/>
          </w:r>
        </w:p>
        <w:p w14:paraId="3E9A336F" w14:textId="77777777" w:rsidR="00507F3A" w:rsidRDefault="00A47F13">
          <w:pPr>
            <w:widowControl w:val="0"/>
            <w:tabs>
              <w:tab w:val="right" w:pos="9360"/>
            </w:tabs>
            <w:spacing w:before="60" w:line="360" w:lineRule="auto"/>
            <w:rPr>
              <w:rFonts w:ascii="Times New Roman" w:eastAsia="Times New Roman" w:hAnsi="Times New Roman" w:cs="Times New Roman"/>
              <w:color w:val="000000"/>
              <w:sz w:val="24"/>
              <w:szCs w:val="24"/>
            </w:rPr>
          </w:pPr>
          <w:hyperlink w:anchor="_k4gzbw60mgtx">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_k4gzbw60mgtx \h </w:instrText>
          </w:r>
          <w:r>
            <w:fldChar w:fldCharType="separate"/>
          </w:r>
          <w:r>
            <w:rPr>
              <w:rFonts w:ascii="Times New Roman" w:eastAsia="Times New Roman" w:hAnsi="Times New Roman" w:cs="Times New Roman"/>
              <w:sz w:val="24"/>
              <w:szCs w:val="24"/>
            </w:rPr>
            <w:t>17</w:t>
          </w:r>
          <w:r>
            <w:fldChar w:fldCharType="end"/>
          </w:r>
          <w:r>
            <w:fldChar w:fldCharType="end"/>
          </w:r>
        </w:p>
      </w:sdtContent>
    </w:sdt>
    <w:p w14:paraId="3CB4027D" w14:textId="77777777" w:rsidR="00507F3A" w:rsidRDefault="00507F3A">
      <w:pPr>
        <w:spacing w:before="240" w:after="240" w:line="360" w:lineRule="auto"/>
        <w:jc w:val="both"/>
        <w:rPr>
          <w:rFonts w:ascii="Times New Roman" w:eastAsia="Times New Roman" w:hAnsi="Times New Roman" w:cs="Times New Roman"/>
          <w:sz w:val="24"/>
          <w:szCs w:val="24"/>
        </w:rPr>
      </w:pPr>
    </w:p>
    <w:p w14:paraId="60D05518" w14:textId="77777777" w:rsidR="00507F3A" w:rsidRDefault="00A47F13">
      <w:pPr>
        <w:spacing w:line="360" w:lineRule="auto"/>
        <w:jc w:val="center"/>
        <w:rPr>
          <w:rFonts w:ascii="Times New Roman" w:eastAsia="Times New Roman" w:hAnsi="Times New Roman" w:cs="Times New Roman"/>
          <w:b/>
          <w:sz w:val="28"/>
          <w:szCs w:val="28"/>
        </w:rPr>
      </w:pPr>
      <w:r>
        <w:br w:type="page"/>
      </w:r>
    </w:p>
    <w:p w14:paraId="335D51D6"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0" w:name="_7gzgmfqtd7k4" w:colFirst="0" w:colLast="0"/>
      <w:bookmarkEnd w:id="0"/>
      <w:r>
        <w:rPr>
          <w:rFonts w:ascii="Times New Roman" w:eastAsia="Times New Roman" w:hAnsi="Times New Roman" w:cs="Times New Roman"/>
          <w:b/>
          <w:sz w:val="28"/>
          <w:szCs w:val="28"/>
        </w:rPr>
        <w:lastRenderedPageBreak/>
        <w:t>Task A: Pitch</w:t>
      </w:r>
    </w:p>
    <w:p w14:paraId="1E194999"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1" w:name="_6nw26mbb0rjf" w:colFirst="0" w:colLast="0"/>
      <w:bookmarkEnd w:id="1"/>
      <w:r>
        <w:rPr>
          <w:rFonts w:ascii="Times New Roman" w:eastAsia="Times New Roman" w:hAnsi="Times New Roman" w:cs="Times New Roman"/>
          <w:b/>
          <w:sz w:val="28"/>
          <w:szCs w:val="28"/>
        </w:rPr>
        <w:t xml:space="preserve">Slide 1: Cover page </w:t>
      </w:r>
    </w:p>
    <w:p w14:paraId="4B2937AA" w14:textId="77777777" w:rsidR="00507F3A" w:rsidRDefault="00A47F13">
      <w:pPr>
        <w:pStyle w:val="Heading1"/>
        <w:spacing w:line="360" w:lineRule="auto"/>
        <w:jc w:val="both"/>
        <w:rPr>
          <w:rFonts w:ascii="Times New Roman" w:eastAsia="Times New Roman" w:hAnsi="Times New Roman" w:cs="Times New Roman"/>
          <w:sz w:val="24"/>
          <w:szCs w:val="24"/>
        </w:rPr>
      </w:pPr>
      <w:bookmarkStart w:id="2" w:name="_7d3voyybtybv" w:colFirst="0" w:colLast="0"/>
      <w:bookmarkEnd w:id="2"/>
      <w:r>
        <w:rPr>
          <w:rFonts w:ascii="Times New Roman" w:eastAsia="Times New Roman" w:hAnsi="Times New Roman" w:cs="Times New Roman"/>
          <w:b/>
          <w:sz w:val="28"/>
          <w:szCs w:val="28"/>
        </w:rPr>
        <w:t>Slide 2: Contents of the Presentation</w:t>
      </w:r>
    </w:p>
    <w:p w14:paraId="074960BC"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3" w:name="_3cvzjtu2fsqr" w:colFirst="0" w:colLast="0"/>
      <w:bookmarkEnd w:id="3"/>
      <w:r>
        <w:rPr>
          <w:rFonts w:ascii="Times New Roman" w:eastAsia="Times New Roman" w:hAnsi="Times New Roman" w:cs="Times New Roman"/>
          <w:b/>
          <w:sz w:val="28"/>
          <w:szCs w:val="28"/>
        </w:rPr>
        <w:t>Slide 3: Introduction</w:t>
      </w:r>
    </w:p>
    <w:p w14:paraId="2510B5F5" w14:textId="77777777" w:rsidR="00507F3A" w:rsidRDefault="00507F3A">
      <w:pPr>
        <w:spacing w:line="360" w:lineRule="auto"/>
        <w:jc w:val="both"/>
        <w:rPr>
          <w:rFonts w:ascii="Times New Roman" w:eastAsia="Times New Roman" w:hAnsi="Times New Roman" w:cs="Times New Roman"/>
          <w:sz w:val="24"/>
          <w:szCs w:val="24"/>
        </w:rPr>
      </w:pPr>
    </w:p>
    <w:p w14:paraId="0D21518C"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Bulletin Points</w:t>
      </w:r>
    </w:p>
    <w:p w14:paraId="52421DA8" w14:textId="77777777" w:rsidR="00507F3A" w:rsidRDefault="00A47F13">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Business Idea:</w:t>
      </w:r>
      <w:r>
        <w:rPr>
          <w:rFonts w:ascii="Times New Roman" w:eastAsia="Times New Roman" w:hAnsi="Times New Roman" w:cs="Times New Roman"/>
          <w:sz w:val="24"/>
          <w:szCs w:val="24"/>
        </w:rPr>
        <w:t xml:space="preserve"> ViFit is going to lead the drive for an altogether different way of how people engage with fitness. The ViFit business approach stems from the fact that the team will have developed a multi-functional virtual reality platform to revolutionize both the fitness experience and associated activities.</w:t>
      </w:r>
    </w:p>
    <w:p w14:paraId="4D789FE8" w14:textId="77777777" w:rsidR="00507F3A" w:rsidRDefault="00A47F1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Strengths: </w:t>
      </w:r>
      <w:r>
        <w:rPr>
          <w:rFonts w:ascii="Times New Roman" w:eastAsia="Times New Roman" w:hAnsi="Times New Roman" w:cs="Times New Roman"/>
          <w:sz w:val="24"/>
          <w:szCs w:val="24"/>
        </w:rPr>
        <w:t>ViFit club takes advantage of the most recent virtual reality technologies to change the fitness industry dramatically, owing to exciting classes for everyone irrespective of health background.</w:t>
      </w:r>
    </w:p>
    <w:p w14:paraId="279B5402" w14:textId="77777777" w:rsidR="00507F3A" w:rsidRDefault="00A47F1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Weaknesses:</w:t>
      </w:r>
      <w:r>
        <w:rPr>
          <w:rFonts w:ascii="Times New Roman" w:eastAsia="Times New Roman" w:hAnsi="Times New Roman" w:cs="Times New Roman"/>
          <w:sz w:val="24"/>
          <w:szCs w:val="24"/>
        </w:rPr>
        <w:t xml:space="preserve"> Even though ViFit enjoys the most innovative IoT(Internet of Things) products, entertaining content and mobile software apps, it can be confronted with funding constraints and difficulties in market penetration outlay (</w:t>
      </w:r>
      <w:r>
        <w:rPr>
          <w:rFonts w:ascii="Times New Roman" w:eastAsia="Times New Roman" w:hAnsi="Times New Roman" w:cs="Times New Roman"/>
          <w:color w:val="222222"/>
          <w:sz w:val="24"/>
          <w:szCs w:val="24"/>
          <w:highlight w:val="white"/>
        </w:rPr>
        <w:t>Subramaniam, Heng and Chong, 2020)</w:t>
      </w:r>
      <w:r>
        <w:rPr>
          <w:rFonts w:ascii="Times New Roman" w:eastAsia="Times New Roman" w:hAnsi="Times New Roman" w:cs="Times New Roman"/>
          <w:sz w:val="24"/>
          <w:szCs w:val="24"/>
        </w:rPr>
        <w:t>.</w:t>
      </w:r>
    </w:p>
    <w:p w14:paraId="0CF2AA92" w14:textId="77777777" w:rsidR="00507F3A" w:rsidRDefault="00A47F1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Opportunities:</w:t>
      </w:r>
      <w:r>
        <w:rPr>
          <w:rFonts w:ascii="Times New Roman" w:eastAsia="Times New Roman" w:hAnsi="Times New Roman" w:cs="Times New Roman"/>
          <w:sz w:val="24"/>
          <w:szCs w:val="24"/>
        </w:rPr>
        <w:t xml:space="preserve"> With a growing consumer torrent for original fitness solutions and widespread empowerment of VR tech, ViFit is prepared to bring the power and take the market domination.</w:t>
      </w:r>
    </w:p>
    <w:p w14:paraId="54864E59" w14:textId="77777777" w:rsidR="00507F3A" w:rsidRDefault="00A47F13">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Threats: </w:t>
      </w:r>
      <w:r>
        <w:rPr>
          <w:rFonts w:ascii="Times New Roman" w:eastAsia="Times New Roman" w:hAnsi="Times New Roman" w:cs="Times New Roman"/>
          <w:sz w:val="24"/>
          <w:szCs w:val="24"/>
        </w:rPr>
        <w:t xml:space="preserve">The ViFit company should not stop at that projection because it risks losing its position in the market and not keeping pace with the industry advancements. </w:t>
      </w:r>
    </w:p>
    <w:p w14:paraId="3F7885B9" w14:textId="77777777" w:rsidR="00507F3A" w:rsidRDefault="00507F3A">
      <w:pPr>
        <w:spacing w:line="360" w:lineRule="auto"/>
        <w:jc w:val="both"/>
        <w:rPr>
          <w:rFonts w:ascii="Times New Roman" w:eastAsia="Times New Roman" w:hAnsi="Times New Roman" w:cs="Times New Roman"/>
          <w:sz w:val="24"/>
          <w:szCs w:val="24"/>
        </w:rPr>
      </w:pPr>
    </w:p>
    <w:p w14:paraId="0DAED870"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Speaker Note</w:t>
      </w:r>
    </w:p>
    <w:p w14:paraId="07B1E615"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a step towards the direction of business with ViFit is an inspiration for a journey toward advancement and innovations. Furthermore, the economic instabilities and regulatory hurdles provide another site for risks to the operation of the business.  This summary of the SWOT analysis </w:t>
      </w:r>
      <w:r>
        <w:rPr>
          <w:rFonts w:ascii="Times New Roman" w:eastAsia="Times New Roman" w:hAnsi="Times New Roman" w:cs="Times New Roman"/>
          <w:sz w:val="24"/>
          <w:szCs w:val="24"/>
        </w:rPr>
        <w:lastRenderedPageBreak/>
        <w:t>is based on a strategic view of ViFit's entrepreneurial journey revealing vital factors that are contributing to success nowadays, in competing markets. The existence of the capable top management team including the charismatic CEO, Emily Chen, makes sure the team is led well and focuses on the right direction.  Furthermore, carrying out a smooth user experience and handling technical issues are perfect examples of the ongoing hurdles associated with this.</w:t>
      </w:r>
    </w:p>
    <w:p w14:paraId="4ED4593E" w14:textId="77777777" w:rsidR="00507F3A" w:rsidRDefault="00507F3A">
      <w:pPr>
        <w:spacing w:line="360" w:lineRule="auto"/>
        <w:jc w:val="both"/>
        <w:rPr>
          <w:rFonts w:ascii="Times New Roman" w:eastAsia="Times New Roman" w:hAnsi="Times New Roman" w:cs="Times New Roman"/>
          <w:sz w:val="24"/>
          <w:szCs w:val="24"/>
        </w:rPr>
      </w:pPr>
    </w:p>
    <w:p w14:paraId="43708068"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4" w:name="_tnx4ayotw9zg" w:colFirst="0" w:colLast="0"/>
      <w:bookmarkEnd w:id="4"/>
      <w:r>
        <w:rPr>
          <w:rFonts w:ascii="Times New Roman" w:eastAsia="Times New Roman" w:hAnsi="Times New Roman" w:cs="Times New Roman"/>
          <w:b/>
          <w:sz w:val="28"/>
          <w:szCs w:val="28"/>
        </w:rPr>
        <w:t>Slide 4: Overview of the business idea</w:t>
      </w:r>
    </w:p>
    <w:p w14:paraId="4DFAEA4D"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Bulletin Points</w:t>
      </w:r>
    </w:p>
    <w:p w14:paraId="2DFB619E" w14:textId="77777777" w:rsidR="00507F3A" w:rsidRDefault="00507F3A">
      <w:pPr>
        <w:spacing w:line="360" w:lineRule="auto"/>
        <w:jc w:val="both"/>
        <w:rPr>
          <w:rFonts w:ascii="Times New Roman" w:eastAsia="Times New Roman" w:hAnsi="Times New Roman" w:cs="Times New Roman"/>
          <w:b/>
          <w:i/>
          <w:sz w:val="24"/>
          <w:szCs w:val="24"/>
        </w:rPr>
      </w:pPr>
    </w:p>
    <w:p w14:paraId="1FDCB57B" w14:textId="77777777" w:rsidR="00507F3A" w:rsidRDefault="00A47F13">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Innovative Concept:</w:t>
      </w:r>
      <w:r>
        <w:rPr>
          <w:rFonts w:ascii="Times New Roman" w:eastAsia="Times New Roman" w:hAnsi="Times New Roman" w:cs="Times New Roman"/>
          <w:sz w:val="24"/>
          <w:szCs w:val="24"/>
        </w:rPr>
        <w:t xml:space="preserve"> ViFit creatively implements a brand new technology that integrates the elements of virtual reality into the fitness industry, turning old bore routines into somehow amazing operations.</w:t>
      </w:r>
    </w:p>
    <w:p w14:paraId="712AE34E" w14:textId="77777777" w:rsidR="00507F3A" w:rsidRDefault="00A47F13">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Product and Services: </w:t>
      </w:r>
      <w:r>
        <w:rPr>
          <w:rFonts w:ascii="Times New Roman" w:eastAsia="Times New Roman" w:hAnsi="Times New Roman" w:cs="Times New Roman"/>
          <w:sz w:val="24"/>
          <w:szCs w:val="24"/>
        </w:rPr>
        <w:t>ViFit's platform is not only going to provide diversified virtual reality fitness programs according to the various fitness levels and tastes of the consumers but also to their ranges and tastes as fitness consumers. Exercises to enjoy, therefore ensuring a customised as well as satisfying fitness journey (</w:t>
      </w:r>
      <w:r>
        <w:rPr>
          <w:rFonts w:ascii="Times New Roman" w:eastAsia="Times New Roman" w:hAnsi="Times New Roman" w:cs="Times New Roman"/>
          <w:color w:val="222222"/>
          <w:sz w:val="24"/>
          <w:szCs w:val="24"/>
          <w:highlight w:val="white"/>
        </w:rPr>
        <w:t>World Health Organization, 2022)</w:t>
      </w:r>
      <w:r>
        <w:rPr>
          <w:rFonts w:ascii="Times New Roman" w:eastAsia="Times New Roman" w:hAnsi="Times New Roman" w:cs="Times New Roman"/>
          <w:sz w:val="24"/>
          <w:szCs w:val="24"/>
        </w:rPr>
        <w:t>.</w:t>
      </w:r>
    </w:p>
    <w:p w14:paraId="155F2D50" w14:textId="77777777" w:rsidR="00507F3A" w:rsidRDefault="00A47F13">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Value Proposition:</w:t>
      </w:r>
      <w:r>
        <w:rPr>
          <w:rFonts w:ascii="Times New Roman" w:eastAsia="Times New Roman" w:hAnsi="Times New Roman" w:cs="Times New Roman"/>
          <w:sz w:val="24"/>
          <w:szCs w:val="24"/>
        </w:rPr>
        <w:t xml:space="preserve"> The management is now going to introduce the latest VR technology as well as the best-tailored workouts which ViFit provides. It offers a unique explanation to the consumers. </w:t>
      </w:r>
    </w:p>
    <w:p w14:paraId="7F5A00D8" w14:textId="77777777" w:rsidR="00507F3A" w:rsidRDefault="00507F3A">
      <w:pPr>
        <w:spacing w:line="360" w:lineRule="auto"/>
        <w:jc w:val="both"/>
        <w:rPr>
          <w:rFonts w:ascii="Times New Roman" w:eastAsia="Times New Roman" w:hAnsi="Times New Roman" w:cs="Times New Roman"/>
          <w:sz w:val="24"/>
          <w:szCs w:val="24"/>
        </w:rPr>
      </w:pPr>
    </w:p>
    <w:p w14:paraId="3ADF53CF"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Speaker Note</w:t>
      </w:r>
    </w:p>
    <w:p w14:paraId="249EF10F" w14:textId="77777777" w:rsidR="00507F3A" w:rsidRDefault="00A47F13">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By combining VR technologies and captivating content, fitness will become joyful, approachable, and gratifying for everyone.  In addition to yoga and meditation sessions, the users have top-quality cardio workouts like High-Intensity  ViFit's idea strikes a novel business angle and takes onboard the potential customers' interests as a means of radically changing the old fitness provider notion and starting a new age of practical and high-quality workouts for people who are into fitness the world over. The p</w:t>
      </w:r>
      <w:r>
        <w:rPr>
          <w:rFonts w:ascii="Times New Roman" w:eastAsia="Times New Roman" w:hAnsi="Times New Roman" w:cs="Times New Roman"/>
          <w:sz w:val="24"/>
          <w:szCs w:val="24"/>
        </w:rPr>
        <w:t>latform emphasizes on user's experience, providing immersive operation, interesting leads, and feedback in real-time, to increase involvement as well as motivation.</w:t>
      </w:r>
    </w:p>
    <w:p w14:paraId="0092A385"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5" w:name="_txr7z6ppyats" w:colFirst="0" w:colLast="0"/>
      <w:bookmarkEnd w:id="5"/>
      <w:r>
        <w:rPr>
          <w:rFonts w:ascii="Times New Roman" w:eastAsia="Times New Roman" w:hAnsi="Times New Roman" w:cs="Times New Roman"/>
          <w:b/>
          <w:sz w:val="28"/>
          <w:szCs w:val="28"/>
        </w:rPr>
        <w:lastRenderedPageBreak/>
        <w:t>Slide 5: Management Team Plan</w:t>
      </w:r>
    </w:p>
    <w:p w14:paraId="1497DB58"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Bulletin Points</w:t>
      </w:r>
    </w:p>
    <w:p w14:paraId="20C67106" w14:textId="77777777" w:rsidR="00507F3A" w:rsidRDefault="00507F3A">
      <w:pPr>
        <w:spacing w:line="360" w:lineRule="auto"/>
        <w:jc w:val="both"/>
        <w:rPr>
          <w:rFonts w:ascii="Times New Roman" w:eastAsia="Times New Roman" w:hAnsi="Times New Roman" w:cs="Times New Roman"/>
          <w:sz w:val="24"/>
          <w:szCs w:val="24"/>
        </w:rPr>
      </w:pPr>
    </w:p>
    <w:p w14:paraId="77EABF0B" w14:textId="77777777" w:rsidR="00507F3A" w:rsidRDefault="00A47F1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CEO and Founder - Emily Chen: </w:t>
      </w:r>
      <w:r>
        <w:rPr>
          <w:rFonts w:ascii="Times New Roman" w:eastAsia="Times New Roman" w:hAnsi="Times New Roman" w:cs="Times New Roman"/>
          <w:sz w:val="24"/>
          <w:szCs w:val="24"/>
        </w:rPr>
        <w:t>Empowering and managing the daily operations at ViFit in terms of marketing strategy is Emily's position. Emily, with her long-time experience in the wellness industry and prior achievements in the field of entrepreneurship, has the credibility to guide the company to new levels.</w:t>
      </w:r>
    </w:p>
    <w:p w14:paraId="03AFF29D" w14:textId="77777777" w:rsidR="00507F3A" w:rsidRDefault="00A47F1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CTO - Mark Johnson: </w:t>
      </w:r>
      <w:r>
        <w:rPr>
          <w:rFonts w:ascii="Times New Roman" w:eastAsia="Times New Roman" w:hAnsi="Times New Roman" w:cs="Times New Roman"/>
          <w:sz w:val="24"/>
          <w:szCs w:val="24"/>
        </w:rPr>
        <w:t>Mark's tasks include monitoring the technological innovations that go into the platform of ViFit's virtual world. Mark is an expert in creating software and deploying fully engaging users with the principle of immersive technology (</w:t>
      </w:r>
      <w:r>
        <w:rPr>
          <w:rFonts w:ascii="Times New Roman" w:eastAsia="Times New Roman" w:hAnsi="Times New Roman" w:cs="Times New Roman"/>
          <w:color w:val="222222"/>
          <w:sz w:val="24"/>
          <w:szCs w:val="24"/>
          <w:highlight w:val="white"/>
        </w:rPr>
        <w:t>Chan, Lee and Low, 2018)</w:t>
      </w:r>
      <w:r>
        <w:rPr>
          <w:rFonts w:ascii="Times New Roman" w:eastAsia="Times New Roman" w:hAnsi="Times New Roman" w:cs="Times New Roman"/>
          <w:sz w:val="24"/>
          <w:szCs w:val="24"/>
        </w:rPr>
        <w:t>.</w:t>
      </w:r>
    </w:p>
    <w:p w14:paraId="0FFB123B" w14:textId="77777777" w:rsidR="00507F3A" w:rsidRDefault="00A47F13">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Head of Content - Sarah Davis: </w:t>
      </w:r>
      <w:r>
        <w:rPr>
          <w:rFonts w:ascii="Times New Roman" w:eastAsia="Times New Roman" w:hAnsi="Times New Roman" w:cs="Times New Roman"/>
          <w:sz w:val="24"/>
          <w:szCs w:val="24"/>
        </w:rPr>
        <w:t>The most important function performed by Sarah is to work out the design and develop diverse workout plans that the VIfit platform has to offer. With her degree in exercise science and her practice as a fitness instructor, she will provide ViFit's content with healthy and cutting-edge exercises that users will get the results they are looking for.</w:t>
      </w:r>
    </w:p>
    <w:p w14:paraId="2DF726D2" w14:textId="77777777" w:rsidR="00507F3A" w:rsidRDefault="00507F3A">
      <w:pPr>
        <w:spacing w:line="360" w:lineRule="auto"/>
        <w:jc w:val="both"/>
        <w:rPr>
          <w:rFonts w:ascii="Times New Roman" w:eastAsia="Times New Roman" w:hAnsi="Times New Roman" w:cs="Times New Roman"/>
          <w:sz w:val="24"/>
          <w:szCs w:val="24"/>
        </w:rPr>
      </w:pPr>
    </w:p>
    <w:p w14:paraId="7D990167"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Speaker Note: </w:t>
      </w:r>
    </w:p>
    <w:p w14:paraId="71D7D8AE"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ViFit is led by a team of visionary individuals, all with vast experiences in wellness, technology, and content creation. Together, this best team provides the company's inner strengths and will move it to the top in the fitness market.</w:t>
      </w:r>
    </w:p>
    <w:p w14:paraId="00A08C9E" w14:textId="77777777" w:rsidR="00507F3A" w:rsidRDefault="00507F3A">
      <w:pPr>
        <w:spacing w:line="360" w:lineRule="auto"/>
        <w:jc w:val="both"/>
        <w:rPr>
          <w:rFonts w:ascii="Times New Roman" w:eastAsia="Times New Roman" w:hAnsi="Times New Roman" w:cs="Times New Roman"/>
          <w:sz w:val="24"/>
          <w:szCs w:val="24"/>
        </w:rPr>
      </w:pPr>
    </w:p>
    <w:p w14:paraId="2A3F3130"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6" w:name="_4t99wkn50doq" w:colFirst="0" w:colLast="0"/>
      <w:bookmarkEnd w:id="6"/>
      <w:r>
        <w:rPr>
          <w:rFonts w:ascii="Times New Roman" w:eastAsia="Times New Roman" w:hAnsi="Times New Roman" w:cs="Times New Roman"/>
          <w:b/>
          <w:sz w:val="28"/>
          <w:szCs w:val="28"/>
        </w:rPr>
        <w:t>Slide 6: Ideal Business Customer and Marketing Strategies</w:t>
      </w:r>
    </w:p>
    <w:p w14:paraId="554EC339"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Bulletin Points</w:t>
      </w:r>
    </w:p>
    <w:p w14:paraId="49A43D4E" w14:textId="77777777" w:rsidR="00507F3A" w:rsidRDefault="00507F3A">
      <w:pPr>
        <w:spacing w:line="360" w:lineRule="auto"/>
        <w:jc w:val="both"/>
        <w:rPr>
          <w:rFonts w:ascii="Times New Roman" w:eastAsia="Times New Roman" w:hAnsi="Times New Roman" w:cs="Times New Roman"/>
          <w:b/>
          <w:i/>
          <w:sz w:val="24"/>
          <w:szCs w:val="24"/>
        </w:rPr>
      </w:pPr>
    </w:p>
    <w:p w14:paraId="3CD0C888" w14:textId="77777777" w:rsidR="00507F3A" w:rsidRDefault="00A47F13">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Primary Customers:</w:t>
      </w:r>
      <w:r>
        <w:rPr>
          <w:rFonts w:ascii="Times New Roman" w:eastAsia="Times New Roman" w:hAnsi="Times New Roman" w:cs="Times New Roman"/>
          <w:sz w:val="24"/>
          <w:szCs w:val="24"/>
        </w:rPr>
        <w:t xml:space="preserve"> It is the customers of ViFit who are passionate about health and searching for self-orientated and comprehensive fitness activities. Such customers enjoy a mixed workout protocol that is aimed at convenience, efficacy, and variety when they are exercising.</w:t>
      </w:r>
    </w:p>
    <w:p w14:paraId="30A9D22A" w14:textId="77777777" w:rsidR="00507F3A" w:rsidRDefault="00A47F13">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Unique Selling Point (USP): </w:t>
      </w:r>
      <w:r>
        <w:rPr>
          <w:rFonts w:ascii="Times New Roman" w:eastAsia="Times New Roman" w:hAnsi="Times New Roman" w:cs="Times New Roman"/>
          <w:sz w:val="24"/>
          <w:szCs w:val="24"/>
        </w:rPr>
        <w:t>The unique marketing proposition(USP) of ViFit is in its capability to transmute ordinary workout schedules into heart-stopping virtual reality environments. ViFit has developed a solution with varied types of exercises including those that are suitable for any fitness level. The viFit is a unique fitness solution in the competitive market (</w:t>
      </w:r>
      <w:r>
        <w:rPr>
          <w:rFonts w:ascii="Times New Roman" w:eastAsia="Times New Roman" w:hAnsi="Times New Roman" w:cs="Times New Roman"/>
          <w:color w:val="222222"/>
          <w:sz w:val="24"/>
          <w:szCs w:val="24"/>
          <w:highlight w:val="white"/>
        </w:rPr>
        <w:t xml:space="preserve">Subramaniam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7DF0570B" w14:textId="77777777" w:rsidR="00507F3A" w:rsidRDefault="00507F3A">
      <w:pPr>
        <w:spacing w:line="360" w:lineRule="auto"/>
        <w:jc w:val="both"/>
        <w:rPr>
          <w:rFonts w:ascii="Times New Roman" w:eastAsia="Times New Roman" w:hAnsi="Times New Roman" w:cs="Times New Roman"/>
          <w:sz w:val="24"/>
          <w:szCs w:val="24"/>
        </w:rPr>
      </w:pPr>
    </w:p>
    <w:p w14:paraId="08482D45"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Speaker Note </w:t>
      </w:r>
    </w:p>
    <w:p w14:paraId="53FD75AD"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ViFit's target market is comprised of health-conscious people who want to stay engaged with physically challenging exercises. As the demand for futuristic fitness solutions continues to be a trend, ViFit is right here, set to conquer the world, step by step becoming a recognized dominant player in the virtual fitness market</w:t>
      </w:r>
    </w:p>
    <w:p w14:paraId="3D983DDF" w14:textId="77777777" w:rsidR="00507F3A" w:rsidRDefault="00507F3A">
      <w:pPr>
        <w:spacing w:line="360" w:lineRule="auto"/>
        <w:jc w:val="both"/>
        <w:rPr>
          <w:rFonts w:ascii="Times New Roman" w:eastAsia="Times New Roman" w:hAnsi="Times New Roman" w:cs="Times New Roman"/>
          <w:sz w:val="24"/>
          <w:szCs w:val="24"/>
        </w:rPr>
      </w:pPr>
    </w:p>
    <w:p w14:paraId="148A6D8E"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7" w:name="_9ghfcby6iaol" w:colFirst="0" w:colLast="0"/>
      <w:bookmarkEnd w:id="7"/>
      <w:r>
        <w:rPr>
          <w:rFonts w:ascii="Times New Roman" w:eastAsia="Times New Roman" w:hAnsi="Times New Roman" w:cs="Times New Roman"/>
          <w:b/>
          <w:sz w:val="28"/>
          <w:szCs w:val="28"/>
        </w:rPr>
        <w:t>Slide 7: Competition and Differentiation Strategies</w:t>
      </w:r>
    </w:p>
    <w:p w14:paraId="1D999663"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Bulletin Points</w:t>
      </w:r>
    </w:p>
    <w:p w14:paraId="282B177A" w14:textId="77777777" w:rsidR="00507F3A" w:rsidRDefault="00A47F13">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Major Competitors:</w:t>
      </w:r>
      <w:r>
        <w:rPr>
          <w:rFonts w:ascii="Times New Roman" w:eastAsia="Times New Roman" w:hAnsi="Times New Roman" w:cs="Times New Roman"/>
          <w:sz w:val="24"/>
          <w:szCs w:val="24"/>
        </w:rPr>
        <w:t xml:space="preserve"> Primarily, ViFit's rivals uncover themselves to be VR Fitness Co., FitVR and VirtuaGym. This type of corporation provides a wide range of virtual reality fitness systems that are differentiated by personalised exercises, engaging social interactions and general fitness platforms (</w:t>
      </w:r>
      <w:r>
        <w:rPr>
          <w:rFonts w:ascii="Times New Roman" w:eastAsia="Times New Roman" w:hAnsi="Times New Roman" w:cs="Times New Roman"/>
          <w:color w:val="222222"/>
          <w:sz w:val="24"/>
          <w:szCs w:val="24"/>
          <w:highlight w:val="white"/>
        </w:rPr>
        <w:t>Frąckiewicz, Szymlet and Sobolewska, 2024)</w:t>
      </w:r>
      <w:r>
        <w:rPr>
          <w:rFonts w:ascii="Times New Roman" w:eastAsia="Times New Roman" w:hAnsi="Times New Roman" w:cs="Times New Roman"/>
          <w:sz w:val="24"/>
          <w:szCs w:val="24"/>
        </w:rPr>
        <w:t>.</w:t>
      </w:r>
    </w:p>
    <w:p w14:paraId="1830700D" w14:textId="77777777" w:rsidR="00507F3A" w:rsidRDefault="00A47F13">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Competitive Advantage:</w:t>
      </w:r>
      <w:r>
        <w:rPr>
          <w:rFonts w:ascii="Times New Roman" w:eastAsia="Times New Roman" w:hAnsi="Times New Roman" w:cs="Times New Roman"/>
          <w:sz w:val="24"/>
          <w:szCs w:val="24"/>
        </w:rPr>
        <w:t xml:space="preserve"> VFit sets itself apart by giving its VR workouts a sense of immersion and customized content that includes a variety of experiences and levels fitting to every fitness level. Through the strategic use of engaged content, accessibility, and flexibility, ViFit tries to make its product stand out from the rest and be eaten by a particular slice of the market.</w:t>
      </w:r>
    </w:p>
    <w:p w14:paraId="15475634" w14:textId="77777777" w:rsidR="00507F3A" w:rsidRDefault="00507F3A">
      <w:pPr>
        <w:spacing w:line="360" w:lineRule="auto"/>
        <w:jc w:val="both"/>
        <w:rPr>
          <w:rFonts w:ascii="Times New Roman" w:eastAsia="Times New Roman" w:hAnsi="Times New Roman" w:cs="Times New Roman"/>
          <w:sz w:val="24"/>
          <w:szCs w:val="24"/>
        </w:rPr>
      </w:pPr>
    </w:p>
    <w:p w14:paraId="6CC2B432"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Speaker Note</w:t>
      </w:r>
    </w:p>
    <w:p w14:paraId="0487E1EC"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tough competition, ViFit sets itself apart and thrives through its practicality of VR workouts and being able to cater to all fitness levels. The only difference here with the competitors will not be in the personalization of the workouts or the social features but in the type of exercises offered. The diversity of exercises is the major differentiator which puts ViFit at the front of the VR fitness</w:t>
      </w:r>
    </w:p>
    <w:p w14:paraId="6BF2C2AB" w14:textId="77777777" w:rsidR="00507F3A" w:rsidRDefault="00507F3A">
      <w:pPr>
        <w:spacing w:line="360" w:lineRule="auto"/>
        <w:jc w:val="both"/>
        <w:rPr>
          <w:rFonts w:ascii="Times New Roman" w:eastAsia="Times New Roman" w:hAnsi="Times New Roman" w:cs="Times New Roman"/>
          <w:sz w:val="24"/>
          <w:szCs w:val="24"/>
        </w:rPr>
      </w:pPr>
    </w:p>
    <w:p w14:paraId="5B231334"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8" w:name="_4p9x2n97iur0" w:colFirst="0" w:colLast="0"/>
      <w:bookmarkEnd w:id="8"/>
      <w:r>
        <w:rPr>
          <w:rFonts w:ascii="Times New Roman" w:eastAsia="Times New Roman" w:hAnsi="Times New Roman" w:cs="Times New Roman"/>
          <w:b/>
          <w:sz w:val="28"/>
          <w:szCs w:val="28"/>
        </w:rPr>
        <w:lastRenderedPageBreak/>
        <w:t>Slide 8: Funding Demands and Budgeting</w:t>
      </w:r>
    </w:p>
    <w:p w14:paraId="6BA4A01C"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Bulletin Points</w:t>
      </w:r>
    </w:p>
    <w:p w14:paraId="259F336E" w14:textId="77777777" w:rsidR="00507F3A" w:rsidRDefault="00A47F13">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Funding Amount:</w:t>
      </w:r>
      <w:r>
        <w:rPr>
          <w:rFonts w:ascii="Times New Roman" w:eastAsia="Times New Roman" w:hAnsi="Times New Roman" w:cs="Times New Roman"/>
          <w:sz w:val="24"/>
          <w:szCs w:val="24"/>
        </w:rPr>
        <w:t xml:space="preserve"> The startup is targeting to acquire funding for $335,000 to back the kickoff of its business and business development projects.</w:t>
      </w:r>
    </w:p>
    <w:p w14:paraId="6784D41B" w14:textId="77777777" w:rsidR="00507F3A" w:rsidRDefault="00A47F13">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Utilization of Funds: </w:t>
      </w:r>
      <w:r>
        <w:rPr>
          <w:rFonts w:ascii="Times New Roman" w:eastAsia="Times New Roman" w:hAnsi="Times New Roman" w:cs="Times New Roman"/>
          <w:sz w:val="24"/>
          <w:szCs w:val="24"/>
        </w:rPr>
        <w:t>The money will be dispensed for acquiring equipment, technology improvements, marketing and advertising, operational overheads, and emergencies that can prevent impending problems as well as stimulate progress (</w:t>
      </w:r>
      <w:r>
        <w:rPr>
          <w:rFonts w:ascii="Times New Roman" w:eastAsia="Times New Roman" w:hAnsi="Times New Roman" w:cs="Times New Roman"/>
          <w:color w:val="222222"/>
          <w:sz w:val="24"/>
          <w:szCs w:val="24"/>
          <w:highlight w:val="white"/>
        </w:rPr>
        <w:t>Zamudio-Sánchez, Gómez-Salgado and Romero, 2024)</w:t>
      </w:r>
      <w:r>
        <w:rPr>
          <w:rFonts w:ascii="Times New Roman" w:eastAsia="Times New Roman" w:hAnsi="Times New Roman" w:cs="Times New Roman"/>
          <w:sz w:val="24"/>
          <w:szCs w:val="24"/>
        </w:rPr>
        <w:t>.</w:t>
      </w:r>
    </w:p>
    <w:p w14:paraId="6DCA0525" w14:textId="77777777" w:rsidR="00507F3A" w:rsidRDefault="00A47F13">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Expected Milestones:</w:t>
      </w:r>
      <w:r>
        <w:rPr>
          <w:rFonts w:ascii="Times New Roman" w:eastAsia="Times New Roman" w:hAnsi="Times New Roman" w:cs="Times New Roman"/>
          <w:sz w:val="24"/>
          <w:szCs w:val="24"/>
        </w:rPr>
        <w:t xml:space="preserve"> Through the funded VilFit, major milestones can be achieved. Those include the development of a virtual reality platform, acquiring a massive base of users, creating partnerships with big companies and making a profit through subscription and workout gear sales.</w:t>
      </w:r>
    </w:p>
    <w:p w14:paraId="7A344783" w14:textId="77777777" w:rsidR="00507F3A" w:rsidRDefault="00507F3A">
      <w:pPr>
        <w:spacing w:line="360" w:lineRule="auto"/>
        <w:jc w:val="both"/>
        <w:rPr>
          <w:rFonts w:ascii="Times New Roman" w:eastAsia="Times New Roman" w:hAnsi="Times New Roman" w:cs="Times New Roman"/>
          <w:sz w:val="24"/>
          <w:szCs w:val="24"/>
        </w:rPr>
      </w:pPr>
    </w:p>
    <w:p w14:paraId="42A85C29" w14:textId="77777777" w:rsidR="00507F3A" w:rsidRDefault="00A47F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Speaker Note</w:t>
      </w:r>
    </w:p>
    <w:p w14:paraId="4FE45634"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ViFit is looking to raise $335,000 to take care of several activities that function as vital factors for the company. Part of this pool of funds will be used for the development of technological aspects, advertising campaigns and day-to-day operations. This fund will guarantee the sustainability of the business and will enable the company to achieve all the milestones from developing the platform</w:t>
      </w:r>
    </w:p>
    <w:p w14:paraId="05CBE368" w14:textId="77777777" w:rsidR="00507F3A" w:rsidRDefault="00507F3A">
      <w:pPr>
        <w:spacing w:line="360" w:lineRule="auto"/>
        <w:jc w:val="both"/>
        <w:rPr>
          <w:rFonts w:ascii="Times New Roman" w:eastAsia="Times New Roman" w:hAnsi="Times New Roman" w:cs="Times New Roman"/>
          <w:sz w:val="24"/>
          <w:szCs w:val="24"/>
        </w:rPr>
      </w:pPr>
    </w:p>
    <w:p w14:paraId="79DFD070"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9" w:name="_oyqsel4lp6tv" w:colFirst="0" w:colLast="0"/>
      <w:bookmarkEnd w:id="9"/>
      <w:r>
        <w:rPr>
          <w:rFonts w:ascii="Times New Roman" w:eastAsia="Times New Roman" w:hAnsi="Times New Roman" w:cs="Times New Roman"/>
          <w:b/>
          <w:sz w:val="28"/>
          <w:szCs w:val="28"/>
        </w:rPr>
        <w:t>Slide 9: Conclusion</w:t>
      </w:r>
    </w:p>
    <w:p w14:paraId="1A4C59B7" w14:textId="77777777" w:rsidR="00507F3A" w:rsidRDefault="00507F3A"/>
    <w:p w14:paraId="7E1A9339" w14:textId="77777777" w:rsidR="00507F3A" w:rsidRDefault="00A47F13">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Bulletin Points</w:t>
      </w:r>
    </w:p>
    <w:p w14:paraId="5C8EF86D" w14:textId="77777777" w:rsidR="00507F3A" w:rsidRDefault="00507F3A"/>
    <w:p w14:paraId="73DD5E36" w14:textId="77777777" w:rsidR="00507F3A" w:rsidRDefault="00A47F13">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advent of ViFit, an early entrant within the realm of the fitness industry profiting from the advantages 3D devices offer to formulate the reimagination of how workouts look like.</w:t>
      </w:r>
    </w:p>
    <w:p w14:paraId="0E743E0C" w14:textId="77777777" w:rsidR="00507F3A" w:rsidRDefault="00A47F13">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team of veterans with CEO Emily Chen leading, False Fitness shall not crave any challenge to achieve its goals. </w:t>
      </w:r>
    </w:p>
    <w:p w14:paraId="1C7D12BA" w14:textId="77777777" w:rsidR="00507F3A" w:rsidRDefault="00A47F13">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Through using innovative VR technology ViFit can provide workouts full of different exciting exercises and target those who are beginners or experienced at the same time which makes it stand out from the competitors (</w:t>
      </w:r>
      <w:r>
        <w:rPr>
          <w:rFonts w:ascii="Times New Roman" w:eastAsia="Times New Roman" w:hAnsi="Times New Roman" w:cs="Times New Roman"/>
          <w:color w:val="222222"/>
          <w:sz w:val="24"/>
          <w:szCs w:val="24"/>
          <w:highlight w:val="white"/>
        </w:rPr>
        <w:t>Zhang, Zhu and Zhou, 2023)</w:t>
      </w:r>
      <w:r>
        <w:rPr>
          <w:rFonts w:ascii="Times New Roman" w:eastAsia="Times New Roman" w:hAnsi="Times New Roman" w:cs="Times New Roman"/>
          <w:sz w:val="24"/>
          <w:szCs w:val="24"/>
        </w:rPr>
        <w:t xml:space="preserve">. </w:t>
      </w:r>
    </w:p>
    <w:p w14:paraId="05441E2D" w14:textId="77777777" w:rsidR="00507F3A" w:rsidRDefault="00507F3A">
      <w:pPr>
        <w:rPr>
          <w:rFonts w:ascii="Times New Roman" w:eastAsia="Times New Roman" w:hAnsi="Times New Roman" w:cs="Times New Roman"/>
          <w:b/>
          <w:i/>
          <w:sz w:val="24"/>
          <w:szCs w:val="24"/>
        </w:rPr>
      </w:pPr>
    </w:p>
    <w:p w14:paraId="21464518" w14:textId="77777777" w:rsidR="00507F3A" w:rsidRDefault="00A47F13">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Speaker Note</w:t>
      </w:r>
    </w:p>
    <w:p w14:paraId="1FD56BA8" w14:textId="77777777" w:rsidR="00507F3A" w:rsidRDefault="00507F3A">
      <w:pPr>
        <w:rPr>
          <w:rFonts w:ascii="Times New Roman" w:eastAsia="Times New Roman" w:hAnsi="Times New Roman" w:cs="Times New Roman"/>
          <w:b/>
          <w:i/>
          <w:sz w:val="24"/>
          <w:szCs w:val="24"/>
        </w:rPr>
      </w:pPr>
    </w:p>
    <w:p w14:paraId="598FDFE0" w14:textId="77777777" w:rsidR="00507F3A" w:rsidRDefault="00A47F13">
      <w:pPr>
        <w:spacing w:line="360" w:lineRule="auto"/>
        <w:jc w:val="both"/>
      </w:pPr>
      <w:r>
        <w:rPr>
          <w:rFonts w:ascii="Times New Roman" w:eastAsia="Times New Roman" w:hAnsi="Times New Roman" w:cs="Times New Roman"/>
          <w:sz w:val="24"/>
          <w:szCs w:val="24"/>
        </w:rPr>
        <w:t>ViFit will endeavour to have strategic marketing and go-to-market strategy as well as partnership programs to attain a sectioned market share and make revenue through subscriptions and equipment sales. A comprehensive coherent financial plan is now made available so this fitness company can be sustained and which can grow. Vision and quality are two defining characteristics of ViFit that will guarantee a progressive fitness industry where the management will encounter novel workouts that will push the bound</w:t>
      </w:r>
      <w:r>
        <w:rPr>
          <w:rFonts w:ascii="Times New Roman" w:eastAsia="Times New Roman" w:hAnsi="Times New Roman" w:cs="Times New Roman"/>
          <w:sz w:val="24"/>
          <w:szCs w:val="24"/>
        </w:rPr>
        <w:t>aries of performance and the body-mind connection.</w:t>
      </w:r>
      <w:r>
        <w:br w:type="page"/>
      </w:r>
    </w:p>
    <w:p w14:paraId="7F8C7807"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10" w:name="_3xlcu5wckvfw" w:colFirst="0" w:colLast="0"/>
      <w:bookmarkEnd w:id="10"/>
      <w:r>
        <w:rPr>
          <w:rFonts w:ascii="Times New Roman" w:eastAsia="Times New Roman" w:hAnsi="Times New Roman" w:cs="Times New Roman"/>
          <w:b/>
          <w:sz w:val="28"/>
          <w:szCs w:val="28"/>
        </w:rPr>
        <w:lastRenderedPageBreak/>
        <w:t>Slide 10: References</w:t>
      </w:r>
    </w:p>
    <w:p w14:paraId="4AE594B6" w14:textId="77777777" w:rsidR="00507F3A" w:rsidRDefault="00A47F13">
      <w:pPr>
        <w:spacing w:before="240" w:after="240" w:line="480" w:lineRule="auto"/>
        <w:ind w:left="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Subramaniam, M., Abdin, E., Vaingankar, J.A., Shafie, S., Chua, H.C., Tan, W.M., Tan, K.B., Verma, S., Heng, D. and Chong, S.A., 2020. Minding the treatment gap: results of the Singapore Mental Health Study. </w:t>
      </w:r>
      <w:r>
        <w:rPr>
          <w:rFonts w:ascii="Times New Roman" w:eastAsia="Times New Roman" w:hAnsi="Times New Roman" w:cs="Times New Roman"/>
          <w:i/>
          <w:color w:val="222222"/>
          <w:sz w:val="24"/>
          <w:szCs w:val="24"/>
          <w:highlight w:val="white"/>
        </w:rPr>
        <w:t>Social psychiatry and psychiatric epidemiology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xml:space="preserve">, pp.1415-1424. Available at: </w:t>
      </w:r>
      <w:hyperlink r:id="rId8">
        <w:r>
          <w:rPr>
            <w:rFonts w:ascii="Times New Roman" w:eastAsia="Times New Roman" w:hAnsi="Times New Roman" w:cs="Times New Roman"/>
            <w:color w:val="222222"/>
            <w:sz w:val="24"/>
            <w:szCs w:val="24"/>
            <w:highlight w:val="white"/>
          </w:rPr>
          <w:t xml:space="preserve"> </w:t>
        </w:r>
      </w:hyperlink>
      <w:hyperlink r:id="rId9">
        <w:r>
          <w:rPr>
            <w:rFonts w:ascii="Times New Roman" w:eastAsia="Times New Roman" w:hAnsi="Times New Roman" w:cs="Times New Roman"/>
            <w:color w:val="1155CC"/>
            <w:sz w:val="24"/>
            <w:szCs w:val="24"/>
            <w:highlight w:val="white"/>
            <w:u w:val="single"/>
          </w:rPr>
          <w:t>https://doi.org/10.1007/s00127-019-01748-0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6486E0CF" w14:textId="77777777" w:rsidR="00507F3A" w:rsidRDefault="00A47F13">
      <w:pPr>
        <w:spacing w:after="240" w:line="480" w:lineRule="auto"/>
        <w:ind w:left="720"/>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World Health Organization, 2022. World mental health report: Transforming mental health for all.  Available at: </w:t>
      </w:r>
      <w:hyperlink r:id="rId10">
        <w:r>
          <w:rPr>
            <w:rFonts w:ascii="Times New Roman" w:eastAsia="Times New Roman" w:hAnsi="Times New Roman" w:cs="Times New Roman"/>
            <w:color w:val="1155CC"/>
            <w:sz w:val="24"/>
            <w:szCs w:val="24"/>
            <w:highlight w:val="white"/>
            <w:u w:val="single"/>
          </w:rPr>
          <w:t>https://www.who.int/publications/i/item/9789240049338</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256B451C" w14:textId="77777777" w:rsidR="00507F3A" w:rsidRDefault="00A47F13">
      <w:pPr>
        <w:spacing w:before="240" w:after="240" w:line="480" w:lineRule="auto"/>
        <w:ind w:left="720"/>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Chan, C.Q.H., Lee, K.H. and Low, L.L., 2018. A systematic review of health status, health seeking behaviour and healthcare utilization of low socioeconomic status populations in urban Singapore. </w:t>
      </w:r>
      <w:r>
        <w:rPr>
          <w:rFonts w:ascii="Times New Roman" w:eastAsia="Times New Roman" w:hAnsi="Times New Roman" w:cs="Times New Roman"/>
          <w:i/>
          <w:color w:val="222222"/>
          <w:sz w:val="24"/>
          <w:szCs w:val="24"/>
          <w:highlight w:val="white"/>
        </w:rPr>
        <w:t>International journal for equity in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 pp.1-21.  Available at: </w:t>
      </w:r>
      <w:hyperlink r:id="rId11">
        <w:r>
          <w:rPr>
            <w:rFonts w:ascii="Times New Roman" w:eastAsia="Times New Roman" w:hAnsi="Times New Roman" w:cs="Times New Roman"/>
            <w:color w:val="222222"/>
            <w:sz w:val="24"/>
            <w:szCs w:val="24"/>
            <w:highlight w:val="white"/>
          </w:rPr>
          <w:t xml:space="preserve"> </w:t>
        </w:r>
      </w:hyperlink>
      <w:hyperlink r:id="rId12">
        <w:r>
          <w:rPr>
            <w:rFonts w:ascii="Times New Roman" w:eastAsia="Times New Roman" w:hAnsi="Times New Roman" w:cs="Times New Roman"/>
            <w:color w:val="1155CC"/>
            <w:sz w:val="24"/>
            <w:szCs w:val="24"/>
            <w:highlight w:val="white"/>
            <w:u w:val="single"/>
          </w:rPr>
          <w:t>https://doi.org/10.1186/s12939-018-0751-y</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1F4709D5" w14:textId="77777777" w:rsidR="00507F3A" w:rsidRDefault="00A47F13">
      <w:pPr>
        <w:spacing w:before="240" w:after="240" w:line="480" w:lineRule="auto"/>
        <w:ind w:left="720"/>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Subramaniam, M., Abdin, E., Vaingankar, J.A., Shafie, S., Chua, B.Y., Sambasivam, R., Zhang, Y.J., Shahwan, S., Chang, S., Chua, H.C. and Verma, S., 2020. Tracking the mental health of a nation: prevalence and correlates of mental disorders in the second Singapore mental health study. </w:t>
      </w:r>
      <w:r>
        <w:rPr>
          <w:rFonts w:ascii="Times New Roman" w:eastAsia="Times New Roman" w:hAnsi="Times New Roman" w:cs="Times New Roman"/>
          <w:i/>
          <w:color w:val="222222"/>
          <w:sz w:val="24"/>
          <w:szCs w:val="24"/>
          <w:highlight w:val="white"/>
        </w:rPr>
        <w:t>Epidemiology and psychiatric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 xml:space="preserve">, p.e29.  Available at: </w:t>
      </w:r>
      <w:hyperlink r:id="rId13">
        <w:r>
          <w:rPr>
            <w:rFonts w:ascii="Times New Roman" w:eastAsia="Times New Roman" w:hAnsi="Times New Roman" w:cs="Times New Roman"/>
            <w:color w:val="1155CC"/>
            <w:sz w:val="24"/>
            <w:szCs w:val="24"/>
            <w:highlight w:val="white"/>
            <w:u w:val="single"/>
          </w:rPr>
          <w:t>https://doi.org/10.1017/S2045796019000179</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0350EEE0" w14:textId="77777777" w:rsidR="00507F3A" w:rsidRDefault="00A47F13">
      <w:pPr>
        <w:spacing w:before="240" w:after="240" w:line="480" w:lineRule="auto"/>
        <w:ind w:left="720"/>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Frąckiewicz, W., Pruss, A., Królikowski, M., Szymlet, P., and Sobolewska, E. (2024). Comparison of the Intensity of Biofilm Production by Oral Microflora and Its Adhesion on the Surface of Zirconia Produced in Additive and Subtractive Technology: An In Vitro </w:t>
      </w:r>
      <w:r>
        <w:rPr>
          <w:rFonts w:ascii="Times New Roman" w:eastAsia="Times New Roman" w:hAnsi="Times New Roman" w:cs="Times New Roman"/>
          <w:color w:val="222222"/>
          <w:sz w:val="24"/>
          <w:szCs w:val="24"/>
          <w:highlight w:val="white"/>
        </w:rPr>
        <w:lastRenderedPageBreak/>
        <w:t xml:space="preserve">Study. </w:t>
      </w:r>
      <w:r>
        <w:rPr>
          <w:rFonts w:ascii="Times New Roman" w:eastAsia="Times New Roman" w:hAnsi="Times New Roman" w:cs="Times New Roman"/>
          <w:i/>
          <w:color w:val="222222"/>
          <w:sz w:val="24"/>
          <w:szCs w:val="24"/>
          <w:highlight w:val="white"/>
        </w:rPr>
        <w:t>Materials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(6), 1231. Available at: </w:t>
      </w:r>
      <w:hyperlink r:id="rId14">
        <w:r>
          <w:rPr>
            <w:rFonts w:ascii="Times New Roman" w:eastAsia="Times New Roman" w:hAnsi="Times New Roman" w:cs="Times New Roman"/>
            <w:color w:val="1155CC"/>
            <w:sz w:val="24"/>
            <w:szCs w:val="24"/>
            <w:highlight w:val="white"/>
            <w:u w:val="single"/>
          </w:rPr>
          <w:t>https://doi.org/10.3390/ma17061231</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52E8A738" w14:textId="77777777" w:rsidR="00507F3A" w:rsidRDefault="00A47F13">
      <w:pPr>
        <w:spacing w:before="240" w:after="240" w:line="480" w:lineRule="auto"/>
        <w:ind w:left="720"/>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Zamudio-Sánchez, A., Camarero-Gómez, P., Rodríguez-Manjón, E., Iglesias-Parra, M. R., Gómez-Salgado, J., and Romero, A. (2024). Needs and Expectations of Long-Term Cancer Survivors: Multi-Centre Study Protocol. </w:t>
      </w:r>
      <w:r>
        <w:rPr>
          <w:rFonts w:ascii="Times New Roman" w:eastAsia="Times New Roman" w:hAnsi="Times New Roman" w:cs="Times New Roman"/>
          <w:i/>
          <w:color w:val="222222"/>
          <w:sz w:val="24"/>
          <w:szCs w:val="24"/>
          <w:highlight w:val="white"/>
        </w:rPr>
        <w:t>Journal of Personalized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(1), 64. Available at: </w:t>
      </w:r>
      <w:hyperlink r:id="rId15">
        <w:r>
          <w:rPr>
            <w:rFonts w:ascii="Times New Roman" w:eastAsia="Times New Roman" w:hAnsi="Times New Roman" w:cs="Times New Roman"/>
            <w:color w:val="1155CC"/>
            <w:sz w:val="24"/>
            <w:szCs w:val="24"/>
            <w:highlight w:val="white"/>
            <w:u w:val="single"/>
          </w:rPr>
          <w:t>https://doi.org/10.3390/jpm14010064</w:t>
        </w:r>
      </w:hyperlink>
    </w:p>
    <w:p w14:paraId="4263F0C1" w14:textId="77777777" w:rsidR="00507F3A" w:rsidRDefault="00A47F13">
      <w:pPr>
        <w:spacing w:before="240" w:after="240" w:line="480" w:lineRule="auto"/>
        <w:ind w:left="720"/>
        <w:jc w:val="both"/>
      </w:pPr>
      <w:r>
        <w:rPr>
          <w:rFonts w:ascii="Times New Roman" w:eastAsia="Times New Roman" w:hAnsi="Times New Roman" w:cs="Times New Roman"/>
          <w:color w:val="222222"/>
          <w:sz w:val="24"/>
          <w:szCs w:val="24"/>
          <w:highlight w:val="white"/>
        </w:rPr>
        <w:t xml:space="preserve">Zhang, Y., Wu, X., Zhu, C. and Zhou, J., 2023. Classroom Quantitative Evaluation: A Method of Both Formative and Summative Evaluation.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(3), p.1783. Available at: </w:t>
      </w:r>
      <w:hyperlink r:id="rId16">
        <w:r>
          <w:rPr>
            <w:rFonts w:ascii="Times New Roman" w:eastAsia="Times New Roman" w:hAnsi="Times New Roman" w:cs="Times New Roman"/>
            <w:color w:val="1155CC"/>
            <w:sz w:val="24"/>
            <w:szCs w:val="24"/>
            <w:highlight w:val="white"/>
            <w:u w:val="single"/>
          </w:rPr>
          <w:t>https://doi.org/10.3390/su15031783</w:t>
        </w:r>
      </w:hyperlink>
    </w:p>
    <w:p w14:paraId="0F17EBB1"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11" w:name="_k3q21y7hxcrf" w:colFirst="0" w:colLast="0"/>
      <w:bookmarkEnd w:id="11"/>
      <w:r>
        <w:rPr>
          <w:rFonts w:ascii="Times New Roman" w:eastAsia="Times New Roman" w:hAnsi="Times New Roman" w:cs="Times New Roman"/>
          <w:b/>
          <w:sz w:val="28"/>
          <w:szCs w:val="28"/>
        </w:rPr>
        <w:t>Slide 11: Thank You</w:t>
      </w:r>
      <w:r>
        <w:br w:type="page"/>
      </w:r>
    </w:p>
    <w:p w14:paraId="23B99508"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12" w:name="_4eaeuzmmunvm" w:colFirst="0" w:colLast="0"/>
      <w:bookmarkEnd w:id="12"/>
      <w:r>
        <w:rPr>
          <w:rFonts w:ascii="Times New Roman" w:eastAsia="Times New Roman" w:hAnsi="Times New Roman" w:cs="Times New Roman"/>
          <w:b/>
          <w:sz w:val="28"/>
          <w:szCs w:val="28"/>
        </w:rPr>
        <w:lastRenderedPageBreak/>
        <w:t>Task B: Evaluation Report</w:t>
      </w:r>
    </w:p>
    <w:p w14:paraId="2197226F" w14:textId="77777777" w:rsidR="00507F3A" w:rsidRDefault="00A47F13">
      <w:pPr>
        <w:pStyle w:val="Heading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Business idea and the motivational factors </w:t>
      </w:r>
    </w:p>
    <w:p w14:paraId="3E10BD96"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idea for ViFit, a VR-based fitness company, has seen remarkable potential to excel in terms of market success for the present fitness industry. Several motivational factors contribute to the choice of pursuing this innovative venture: </w:t>
      </w:r>
    </w:p>
    <w:p w14:paraId="2346055A" w14:textId="77777777" w:rsidR="00507F3A" w:rsidRDefault="00507F3A">
      <w:pPr>
        <w:spacing w:line="360" w:lineRule="auto"/>
        <w:jc w:val="both"/>
        <w:rPr>
          <w:rFonts w:ascii="Times New Roman" w:eastAsia="Times New Roman" w:hAnsi="Times New Roman" w:cs="Times New Roman"/>
          <w:sz w:val="24"/>
          <w:szCs w:val="24"/>
        </w:rPr>
      </w:pPr>
    </w:p>
    <w:p w14:paraId="504809B6" w14:textId="77777777" w:rsidR="00507F3A" w:rsidRDefault="00A47F1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Market Opportunity:</w:t>
      </w:r>
      <w:r>
        <w:rPr>
          <w:rFonts w:ascii="Times New Roman" w:eastAsia="Times New Roman" w:hAnsi="Times New Roman" w:cs="Times New Roman"/>
          <w:sz w:val="24"/>
          <w:szCs w:val="24"/>
        </w:rPr>
        <w:t xml:space="preserve"> Both the young and older generations are more willing to derive benefits from virtual reality technology and take better care of their health. Thus, ViFit is provided with a promising market for its `one of a kind tool`. The goal for the company in this stratagem is to cater to this segment of the market by offering participants this type of immersive workout experience, which will make exercise more joyous and exciting even to those who think they dislike it.</w:t>
      </w:r>
    </w:p>
    <w:p w14:paraId="76A977E9" w14:textId="77777777" w:rsidR="00507F3A" w:rsidRDefault="00A47F1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Innovation and Uniqueness:</w:t>
      </w:r>
      <w:r>
        <w:rPr>
          <w:rFonts w:ascii="Times New Roman" w:eastAsia="Times New Roman" w:hAnsi="Times New Roman" w:cs="Times New Roman"/>
          <w:sz w:val="24"/>
          <w:szCs w:val="24"/>
        </w:rPr>
        <w:t xml:space="preserve"> ViFit has focused on providing a workout experience through virtual reality technology, which turns tedious workouts into remarkable emotions. Therefore, ViFit being the first contender to include such an innovative approach is showing a way to the potential rivals and as well meeting the customer’s demand for a novel fitness solution that fits their modern preferences.</w:t>
      </w:r>
    </w:p>
    <w:p w14:paraId="5E6A1BF4" w14:textId="77777777" w:rsidR="00507F3A" w:rsidRDefault="00A47F1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Entrepreneurial Vision:</w:t>
      </w:r>
      <w:r>
        <w:rPr>
          <w:rFonts w:ascii="Times New Roman" w:eastAsia="Times New Roman" w:hAnsi="Times New Roman" w:cs="Times New Roman"/>
          <w:sz w:val="24"/>
          <w:szCs w:val="24"/>
        </w:rPr>
        <w:t xml:space="preserve"> Definitely, the notion of ViFit as an entrepreneurial precedent stems from an ambitious founder - Emily Chen with a remarkable career background in the fitness industry and a BA in business administration. Through her leadership qualities and innovation passion, the CEO leads the movement to overturn the fitness industry, allowing players to be absorbed by immersive VR technologies.</w:t>
      </w:r>
    </w:p>
    <w:p w14:paraId="27BF58A7" w14:textId="77777777" w:rsidR="00507F3A" w:rsidRDefault="00A47F1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Team Expertise:</w:t>
      </w:r>
      <w:r>
        <w:rPr>
          <w:rFonts w:ascii="Times New Roman" w:eastAsia="Times New Roman" w:hAnsi="Times New Roman" w:cs="Times New Roman"/>
          <w:sz w:val="24"/>
          <w:szCs w:val="24"/>
        </w:rPr>
        <w:t xml:space="preserve"> The tongue shape of ViFit’s management team, on top of the business idea, also improves the chance of making the business successful. Through its qualified engineers and fitness trainers, software developers and content creators, ViFit has the required skills to build up training routines in virtual reality and to meet the expectations of the customers always and everywhere (</w:t>
      </w:r>
      <w:r>
        <w:rPr>
          <w:rFonts w:ascii="Times New Roman" w:eastAsia="Times New Roman" w:hAnsi="Times New Roman" w:cs="Times New Roman"/>
          <w:color w:val="222222"/>
          <w:sz w:val="24"/>
          <w:szCs w:val="24"/>
          <w:highlight w:val="white"/>
        </w:rPr>
        <w:t>Tran, Pham and Huynh-Tuong, 2023)</w:t>
      </w:r>
      <w:r>
        <w:rPr>
          <w:rFonts w:ascii="Times New Roman" w:eastAsia="Times New Roman" w:hAnsi="Times New Roman" w:cs="Times New Roman"/>
          <w:sz w:val="24"/>
          <w:szCs w:val="24"/>
        </w:rPr>
        <w:t>.</w:t>
      </w:r>
    </w:p>
    <w:p w14:paraId="72B8BF8E" w14:textId="77777777" w:rsidR="00507F3A" w:rsidRDefault="00A47F1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Market Trends and Demand: </w:t>
      </w:r>
      <w:r>
        <w:rPr>
          <w:rFonts w:ascii="Times New Roman" w:eastAsia="Times New Roman" w:hAnsi="Times New Roman" w:cs="Times New Roman"/>
          <w:sz w:val="24"/>
          <w:szCs w:val="24"/>
        </w:rPr>
        <w:t xml:space="preserve">The fact that virtual reality technology is being adopted more often in different industries and that people's high idea of comfort and engagement in terms of fitness is growing, shows that the business proposition of ViFit is indeed a viable </w:t>
      </w:r>
      <w:r>
        <w:rPr>
          <w:rFonts w:ascii="Times New Roman" w:eastAsia="Times New Roman" w:hAnsi="Times New Roman" w:cs="Times New Roman"/>
          <w:sz w:val="24"/>
          <w:szCs w:val="24"/>
        </w:rPr>
        <w:lastRenderedPageBreak/>
        <w:t>proposition. ViFit, through this bid, is taking full advantage of the healthy growth trends in the category, and is, therefore, moving itself towards long-term growth and expansion.</w:t>
      </w:r>
    </w:p>
    <w:p w14:paraId="34998FF7" w14:textId="77777777" w:rsidR="00507F3A" w:rsidRDefault="00507F3A">
      <w:pPr>
        <w:spacing w:line="360" w:lineRule="auto"/>
        <w:jc w:val="both"/>
        <w:rPr>
          <w:rFonts w:ascii="Times New Roman" w:eastAsia="Times New Roman" w:hAnsi="Times New Roman" w:cs="Times New Roman"/>
          <w:sz w:val="24"/>
          <w:szCs w:val="24"/>
        </w:rPr>
      </w:pPr>
    </w:p>
    <w:p w14:paraId="0234C76F" w14:textId="77777777" w:rsidR="00507F3A" w:rsidRDefault="00A47F13">
      <w:pPr>
        <w:spacing w:line="360" w:lineRule="auto"/>
        <w:jc w:val="both"/>
      </w:pPr>
      <w:r>
        <w:rPr>
          <w:rFonts w:ascii="Times New Roman" w:eastAsia="Times New Roman" w:hAnsi="Times New Roman" w:cs="Times New Roman"/>
          <w:sz w:val="24"/>
          <w:szCs w:val="24"/>
        </w:rPr>
        <w:t>The campaign is a great proposition based on the fitness industry and the drivers that power it: demand from consumers, innovation, entrepreneurial vision and experience. The ViFit operations are centred around making use of virtual reality technology for redefining the fitness experience which makes them stand out from the crowd and attract many fitness enthusiasts, thereby positioning them as a powerful brand with a high reputation in this emerging VR fitness market.</w:t>
      </w:r>
    </w:p>
    <w:p w14:paraId="3DD3927D" w14:textId="77777777" w:rsidR="00507F3A" w:rsidRDefault="00A47F13">
      <w:pPr>
        <w:pStyle w:val="Heading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Identify and explain five entrepreneurship skills</w:t>
      </w:r>
    </w:p>
    <w:p w14:paraId="78A7A2D8" w14:textId="77777777" w:rsidR="00507F3A" w:rsidRDefault="00507F3A">
      <w:pPr>
        <w:spacing w:line="360" w:lineRule="auto"/>
        <w:jc w:val="both"/>
        <w:rPr>
          <w:rFonts w:ascii="Times New Roman" w:eastAsia="Times New Roman" w:hAnsi="Times New Roman" w:cs="Times New Roman"/>
          <w:sz w:val="24"/>
          <w:szCs w:val="24"/>
        </w:rPr>
      </w:pPr>
    </w:p>
    <w:p w14:paraId="521F3CB7"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is, by definition, a multi-dimensional career that to be exercised requires a combined set of competencies, inclinations, and behavioural patterns to face the challenges and harness the opportunities arising from business start-up and continuity growth. Here are five essential entrepreneurship skills, traits, and behaviours and why they are important for businesses:</w:t>
      </w:r>
    </w:p>
    <w:p w14:paraId="13692940" w14:textId="77777777" w:rsidR="00507F3A" w:rsidRDefault="00507F3A">
      <w:pPr>
        <w:spacing w:line="360" w:lineRule="auto"/>
        <w:jc w:val="both"/>
        <w:rPr>
          <w:rFonts w:ascii="Times New Roman" w:eastAsia="Times New Roman" w:hAnsi="Times New Roman" w:cs="Times New Roman"/>
          <w:sz w:val="24"/>
          <w:szCs w:val="24"/>
        </w:rPr>
      </w:pPr>
    </w:p>
    <w:p w14:paraId="44603DE3" w14:textId="77777777" w:rsidR="00507F3A" w:rsidRDefault="00A47F1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Creativity and Innovation: </w:t>
      </w:r>
      <w:r>
        <w:rPr>
          <w:rFonts w:ascii="Times New Roman" w:eastAsia="Times New Roman" w:hAnsi="Times New Roman" w:cs="Times New Roman"/>
          <w:sz w:val="24"/>
          <w:szCs w:val="24"/>
        </w:rPr>
        <w:t xml:space="preserve">Creativity and innovation are crucial for entrepreneurs to have an invention, employment or continuous improvement of current processes which distinguish entrepreneurial initiatives in the market. According to </w:t>
      </w:r>
      <w:r>
        <w:rPr>
          <w:rFonts w:ascii="Times New Roman" w:eastAsia="Times New Roman" w:hAnsi="Times New Roman" w:cs="Times New Roman"/>
          <w:color w:val="222222"/>
          <w:sz w:val="24"/>
          <w:szCs w:val="24"/>
          <w:highlight w:val="white"/>
        </w:rPr>
        <w:t>Olteanu (2020),</w:t>
      </w:r>
      <w:r>
        <w:rPr>
          <w:rFonts w:ascii="Times New Roman" w:eastAsia="Times New Roman" w:hAnsi="Times New Roman" w:cs="Times New Roman"/>
          <w:sz w:val="24"/>
          <w:szCs w:val="24"/>
        </w:rPr>
        <w:t xml:space="preserve"> creative thinking is characteristic of entrepreneurs as it opens up a veritable world of opportunities beyond what is obvious to others and yet it helps them to come up with novel ways of exploiting these opportunities. In a tough market situation, where companies fight for more custom</w:t>
      </w:r>
      <w:r>
        <w:rPr>
          <w:rFonts w:ascii="Times New Roman" w:eastAsia="Times New Roman" w:hAnsi="Times New Roman" w:cs="Times New Roman"/>
          <w:sz w:val="24"/>
          <w:szCs w:val="24"/>
        </w:rPr>
        <w:t>ers, innovation is a main driver of success forcing entrepreneurs to consistently stay ahead of competitors by developing and implementing new ideas.</w:t>
      </w:r>
    </w:p>
    <w:p w14:paraId="3B330BCD" w14:textId="77777777" w:rsidR="00507F3A" w:rsidRDefault="00A47F1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Resilience and Perseverance: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voyage of entrepreneurship is littered with declivity, fallacy, and bumps that can put your willpower to the test. Adaptability and resiliency in the face of adversity should be entrepreneurs’ main characteristics and ideas that help them move forward without losing heart (</w:t>
      </w:r>
      <w:r>
        <w:rPr>
          <w:rFonts w:ascii="Times New Roman" w:eastAsia="Times New Roman" w:hAnsi="Times New Roman" w:cs="Times New Roman"/>
          <w:color w:val="222222"/>
          <w:sz w:val="24"/>
          <w:szCs w:val="24"/>
          <w:highlight w:val="white"/>
        </w:rPr>
        <w:t>Otoo, 2019)</w:t>
      </w:r>
      <w:r>
        <w:rPr>
          <w:rFonts w:ascii="Times New Roman" w:eastAsia="Times New Roman" w:hAnsi="Times New Roman" w:cs="Times New Roman"/>
          <w:sz w:val="24"/>
          <w:szCs w:val="24"/>
        </w:rPr>
        <w:t>. They are the types of entrepreneurs who deal with rejection, do their best to solve financial problems, and go ahead and get through times of uncertainty, being stubborn and focused on the business goal despite the drawb</w:t>
      </w:r>
      <w:r>
        <w:rPr>
          <w:rFonts w:ascii="Times New Roman" w:eastAsia="Times New Roman" w:hAnsi="Times New Roman" w:cs="Times New Roman"/>
          <w:sz w:val="24"/>
          <w:szCs w:val="24"/>
        </w:rPr>
        <w:t>acks or failure.</w:t>
      </w:r>
    </w:p>
    <w:p w14:paraId="30588540" w14:textId="77777777" w:rsidR="00507F3A" w:rsidRDefault="00A47F1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Adaptability and Flexibility:</w:t>
      </w:r>
      <w:r>
        <w:rPr>
          <w:rFonts w:ascii="Times New Roman" w:eastAsia="Times New Roman" w:hAnsi="Times New Roman" w:cs="Times New Roman"/>
          <w:sz w:val="24"/>
          <w:szCs w:val="24"/>
        </w:rPr>
        <w:t xml:space="preserve"> In light of the speed at which the business world, today, is moving, flexibility in being able to respond quickly to changes in the market, the emergence of trends and the unexpected challenges, that crop up, play a very important role. Often it is the winners who adapt quickly when the circumstances justify it be it revising the business model, updating marketing activities or seeking new revenue-generating methods. By being fluid and being able to cope with any change entrepreneurs can shroud themselves </w:t>
      </w:r>
      <w:r>
        <w:rPr>
          <w:rFonts w:ascii="Times New Roman" w:eastAsia="Times New Roman" w:hAnsi="Times New Roman" w:cs="Times New Roman"/>
          <w:sz w:val="24"/>
          <w:szCs w:val="24"/>
        </w:rPr>
        <w:t>with some jacket of flexibility hence positioning their businesses for long-term success (</w:t>
      </w:r>
      <w:r>
        <w:rPr>
          <w:rFonts w:ascii="Times New Roman" w:eastAsia="Times New Roman" w:hAnsi="Times New Roman" w:cs="Times New Roman"/>
          <w:color w:val="222222"/>
          <w:sz w:val="24"/>
          <w:szCs w:val="24"/>
          <w:highlight w:val="white"/>
        </w:rPr>
        <w:t>Raid and Alzoubi, 2021)</w:t>
      </w:r>
      <w:r>
        <w:rPr>
          <w:rFonts w:ascii="Times New Roman" w:eastAsia="Times New Roman" w:hAnsi="Times New Roman" w:cs="Times New Roman"/>
          <w:sz w:val="24"/>
          <w:szCs w:val="24"/>
        </w:rPr>
        <w:t>.</w:t>
      </w:r>
    </w:p>
    <w:p w14:paraId="4EFCB08E" w14:textId="77777777" w:rsidR="00507F3A" w:rsidRDefault="00A47F1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Risk-Taking and Decision-Making:</w:t>
      </w:r>
      <w:r>
        <w:rPr>
          <w:rFonts w:ascii="Times New Roman" w:eastAsia="Times New Roman" w:hAnsi="Times New Roman" w:cs="Times New Roman"/>
          <w:sz w:val="24"/>
          <w:szCs w:val="24"/>
        </w:rPr>
        <w:t xml:space="preserve"> The germ of entrepreneurship is to take risks, either you invest in revenues, pursue new opportunities or make strategic decisions with uncertain outcomes. Successful entrepreneurs show the well-developed skill of assessing risks, they can decide whether the display of a given activity is more positive than its negative consequences, and they can make a conscious decision in times of uncertainty (</w:t>
      </w:r>
      <w:r>
        <w:rPr>
          <w:rFonts w:ascii="Times New Roman" w:eastAsia="Times New Roman" w:hAnsi="Times New Roman" w:cs="Times New Roman"/>
          <w:color w:val="222222"/>
          <w:sz w:val="24"/>
          <w:szCs w:val="24"/>
          <w:highlight w:val="white"/>
        </w:rPr>
        <w:t>Silva, Imtiaz and Chisholm, 2021)</w:t>
      </w:r>
      <w:r>
        <w:rPr>
          <w:rFonts w:ascii="Times New Roman" w:eastAsia="Times New Roman" w:hAnsi="Times New Roman" w:cs="Times New Roman"/>
          <w:sz w:val="24"/>
          <w:szCs w:val="24"/>
        </w:rPr>
        <w:t>. It is often necessary to dare risk-taking, and only those entrepreneurs read</w:t>
      </w:r>
      <w:r>
        <w:rPr>
          <w:rFonts w:ascii="Times New Roman" w:eastAsia="Times New Roman" w:hAnsi="Times New Roman" w:cs="Times New Roman"/>
          <w:sz w:val="24"/>
          <w:szCs w:val="24"/>
        </w:rPr>
        <w:t>y for some calculated risks are the ones who get greater heights of innovation and success.</w:t>
      </w:r>
    </w:p>
    <w:p w14:paraId="4F0E1C4A" w14:textId="77777777" w:rsidR="00507F3A" w:rsidRDefault="00A47F13">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Networking and Relationship Building: </w:t>
      </w:r>
      <w:r>
        <w:rPr>
          <w:rFonts w:ascii="Times New Roman" w:eastAsia="Times New Roman" w:hAnsi="Times New Roman" w:cs="Times New Roman"/>
          <w:sz w:val="24"/>
          <w:szCs w:val="24"/>
        </w:rPr>
        <w:t>Networking and building relationships must be prioritized by entrepreneurs to have sturdy connections that will unlock doors to critical resources, expert advice and opportunities to propel the business channels. Whatever it may be for you - building partnerships among suppliers, improving collaboration steps with peers within your professional field or building loyal connections among your potential customers and investors, networking plays an important role in your business life as is the key to new oppor</w:t>
      </w:r>
      <w:r>
        <w:rPr>
          <w:rFonts w:ascii="Times New Roman" w:eastAsia="Times New Roman" w:hAnsi="Times New Roman" w:cs="Times New Roman"/>
          <w:sz w:val="24"/>
          <w:szCs w:val="24"/>
        </w:rPr>
        <w:t>tunities and markets (</w:t>
      </w:r>
      <w:r>
        <w:rPr>
          <w:rFonts w:ascii="Times New Roman" w:eastAsia="Times New Roman" w:hAnsi="Times New Roman" w:cs="Times New Roman"/>
          <w:color w:val="222222"/>
          <w:sz w:val="24"/>
          <w:szCs w:val="24"/>
          <w:highlight w:val="white"/>
        </w:rPr>
        <w:t>Ade and Rehm, 2020)</w:t>
      </w:r>
      <w:r>
        <w:rPr>
          <w:rFonts w:ascii="Times New Roman" w:eastAsia="Times New Roman" w:hAnsi="Times New Roman" w:cs="Times New Roman"/>
          <w:sz w:val="24"/>
          <w:szCs w:val="24"/>
        </w:rPr>
        <w:t>. Entrepreneurs who understand the importance of relationship building will enjoy ease of access to opinions, a sympathetic ear, and answers to challenges.</w:t>
      </w:r>
    </w:p>
    <w:p w14:paraId="6B602184" w14:textId="77777777" w:rsidR="00507F3A" w:rsidRDefault="00507F3A">
      <w:pPr>
        <w:spacing w:line="360" w:lineRule="auto"/>
        <w:jc w:val="both"/>
        <w:rPr>
          <w:rFonts w:ascii="Times New Roman" w:eastAsia="Times New Roman" w:hAnsi="Times New Roman" w:cs="Times New Roman"/>
          <w:sz w:val="24"/>
          <w:szCs w:val="24"/>
        </w:rPr>
      </w:pPr>
    </w:p>
    <w:p w14:paraId="61F2AE9A"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start and develop the business, entrepreneurship includes behavioural skills, traits and the ability to deal with different situations and problems. Entrepreneurs who are innovative, creative, agile and resilient practically utilize all these traits to grow their businesses and attain greater success. By working on those crucial attributes and capabilities, entrepreneurs can raise their success rates in the present economic setting which is full of turbulence and competition.</w:t>
      </w:r>
    </w:p>
    <w:p w14:paraId="36212848" w14:textId="77777777" w:rsidR="00507F3A" w:rsidRDefault="00A47F13">
      <w:pPr>
        <w:pStyle w:val="Heading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An evidence-based self-assessment </w:t>
      </w:r>
    </w:p>
    <w:p w14:paraId="31131FEF" w14:textId="77777777" w:rsidR="00507F3A" w:rsidRDefault="00507F3A">
      <w:pPr>
        <w:pStyle w:val="Heading2"/>
        <w:spacing w:line="360" w:lineRule="auto"/>
        <w:jc w:val="both"/>
        <w:rPr>
          <w:rFonts w:ascii="Times New Roman" w:eastAsia="Times New Roman" w:hAnsi="Times New Roman" w:cs="Times New Roman"/>
          <w:b/>
          <w:sz w:val="24"/>
          <w:szCs w:val="24"/>
        </w:rPr>
      </w:pPr>
      <w:bookmarkStart w:id="13" w:name="_v4q4lj5mbsfr" w:colFirst="0" w:colLast="0"/>
      <w:bookmarkEnd w:id="1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07F3A" w14:paraId="6A1ADEEF" w14:textId="77777777">
        <w:tc>
          <w:tcPr>
            <w:tcW w:w="4680" w:type="dxa"/>
            <w:shd w:val="clear" w:color="auto" w:fill="auto"/>
            <w:tcMar>
              <w:top w:w="100" w:type="dxa"/>
              <w:left w:w="100" w:type="dxa"/>
              <w:bottom w:w="100" w:type="dxa"/>
              <w:right w:w="100" w:type="dxa"/>
            </w:tcMar>
          </w:tcPr>
          <w:p w14:paraId="45BCDC21" w14:textId="77777777" w:rsidR="00507F3A" w:rsidRDefault="00A47F13">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shd w:val="clear" w:color="auto" w:fill="auto"/>
            <w:tcMar>
              <w:top w:w="100" w:type="dxa"/>
              <w:left w:w="100" w:type="dxa"/>
              <w:bottom w:w="100" w:type="dxa"/>
              <w:right w:w="100" w:type="dxa"/>
            </w:tcMar>
          </w:tcPr>
          <w:p w14:paraId="7955C2B0" w14:textId="77777777" w:rsidR="00507F3A" w:rsidRDefault="00A47F13">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507F3A" w14:paraId="6C6A4C6A" w14:textId="77777777">
        <w:tc>
          <w:tcPr>
            <w:tcW w:w="4680" w:type="dxa"/>
            <w:shd w:val="clear" w:color="auto" w:fill="auto"/>
            <w:tcMar>
              <w:top w:w="100" w:type="dxa"/>
              <w:left w:w="100" w:type="dxa"/>
              <w:bottom w:w="100" w:type="dxa"/>
              <w:right w:w="100" w:type="dxa"/>
            </w:tcMar>
          </w:tcPr>
          <w:p w14:paraId="23E7608D" w14:textId="77777777" w:rsidR="00507F3A" w:rsidRDefault="00A47F13">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Business Management Education:</w:t>
            </w:r>
            <w:r>
              <w:rPr>
                <w:rFonts w:ascii="Times New Roman" w:eastAsia="Times New Roman" w:hAnsi="Times New Roman" w:cs="Times New Roman"/>
                <w:sz w:val="24"/>
                <w:szCs w:val="24"/>
              </w:rPr>
              <w:t xml:space="preserve"> Awarded a degree in Business Management or a Bachelor of Arts degree. This educational background provides a strong foundation for the great principles of business (</w:t>
            </w:r>
            <w:r>
              <w:rPr>
                <w:rFonts w:ascii="Times New Roman" w:eastAsia="Times New Roman" w:hAnsi="Times New Roman" w:cs="Times New Roman"/>
                <w:color w:val="222222"/>
                <w:sz w:val="24"/>
                <w:szCs w:val="24"/>
                <w:highlight w:val="white"/>
              </w:rPr>
              <w:t>Oukennou, Beidouri and Bouksour, 2021)</w:t>
            </w:r>
            <w:r>
              <w:rPr>
                <w:rFonts w:ascii="Times New Roman" w:eastAsia="Times New Roman" w:hAnsi="Times New Roman" w:cs="Times New Roman"/>
                <w:sz w:val="24"/>
                <w:szCs w:val="24"/>
              </w:rPr>
              <w:t>.</w:t>
            </w:r>
          </w:p>
          <w:p w14:paraId="7E6FC002" w14:textId="77777777" w:rsidR="00507F3A" w:rsidRDefault="00A47F13">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Industry Knowledge: </w:t>
            </w:r>
            <w:r>
              <w:rPr>
                <w:rFonts w:ascii="Times New Roman" w:eastAsia="Times New Roman" w:hAnsi="Times New Roman" w:cs="Times New Roman"/>
                <w:sz w:val="24"/>
                <w:szCs w:val="24"/>
              </w:rPr>
              <w:t>Gained relevant experience in the fitness marketplace, understanding consumer behaviour and the latest trends hit.</w:t>
            </w:r>
          </w:p>
          <w:p w14:paraId="2026152C" w14:textId="77777777" w:rsidR="00507F3A" w:rsidRDefault="00A47F13">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Leadership Skills:</w:t>
            </w:r>
            <w:r>
              <w:rPr>
                <w:rFonts w:ascii="Times New Roman" w:eastAsia="Times New Roman" w:hAnsi="Times New Roman" w:cs="Times New Roman"/>
                <w:sz w:val="24"/>
                <w:szCs w:val="24"/>
              </w:rPr>
              <w:t xml:space="preserve"> Proven leadership as CEO and founder of ViFit, responsible for the vision, mission, and strategy development of the company.</w:t>
            </w:r>
          </w:p>
          <w:p w14:paraId="700709FB" w14:textId="77777777" w:rsidR="00507F3A" w:rsidRDefault="00507F3A">
            <w:pPr>
              <w:spacing w:line="36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916C995" w14:textId="77777777" w:rsidR="00507F3A" w:rsidRDefault="00A47F13">
            <w:pPr>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Lack of Entrepreneurial Experience:</w:t>
            </w:r>
            <w:r>
              <w:rPr>
                <w:rFonts w:ascii="Times New Roman" w:eastAsia="Times New Roman" w:hAnsi="Times New Roman" w:cs="Times New Roman"/>
                <w:sz w:val="24"/>
                <w:szCs w:val="24"/>
              </w:rPr>
              <w:t xml:space="preserve"> Limited experience as the head of business may confront the most challenges with taking care of intricate tasks.</w:t>
            </w:r>
          </w:p>
          <w:p w14:paraId="5A404C71" w14:textId="77777777" w:rsidR="00507F3A" w:rsidRDefault="00A47F13">
            <w:pPr>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 xml:space="preserve">Financial Constraints: </w:t>
            </w:r>
            <w:r>
              <w:rPr>
                <w:rFonts w:ascii="Times New Roman" w:eastAsia="Times New Roman" w:hAnsi="Times New Roman" w:cs="Times New Roman"/>
                <w:sz w:val="24"/>
                <w:szCs w:val="24"/>
              </w:rPr>
              <w:t>Restriction of savings for the very purpose of funding which may shortfall in initial investment and growth chances (</w:t>
            </w:r>
            <w:r>
              <w:rPr>
                <w:rFonts w:ascii="Times New Roman" w:eastAsia="Times New Roman" w:hAnsi="Times New Roman" w:cs="Times New Roman"/>
                <w:color w:val="222222"/>
                <w:sz w:val="24"/>
                <w:szCs w:val="24"/>
                <w:highlight w:val="white"/>
              </w:rPr>
              <w:t>Khoza, 2021)</w:t>
            </w:r>
            <w:r>
              <w:rPr>
                <w:rFonts w:ascii="Times New Roman" w:eastAsia="Times New Roman" w:hAnsi="Times New Roman" w:cs="Times New Roman"/>
                <w:sz w:val="24"/>
                <w:szCs w:val="24"/>
              </w:rPr>
              <w:t>.</w:t>
            </w:r>
          </w:p>
          <w:p w14:paraId="6FC179CB" w14:textId="77777777" w:rsidR="00507F3A" w:rsidRDefault="00A47F13">
            <w:pPr>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Limited Network:</w:t>
            </w:r>
            <w:r>
              <w:rPr>
                <w:rFonts w:ascii="Times New Roman" w:eastAsia="Times New Roman" w:hAnsi="Times New Roman" w:cs="Times New Roman"/>
                <w:sz w:val="24"/>
                <w:szCs w:val="24"/>
              </w:rPr>
              <w:t xml:space="preserve"> As the entrepreneurial system is not highly organized with a wide range of networks, then this can be a brake for connection, hence, limiting opportunities and key resources.</w:t>
            </w:r>
          </w:p>
        </w:tc>
      </w:tr>
      <w:tr w:rsidR="00507F3A" w14:paraId="42E36A8D" w14:textId="77777777">
        <w:tc>
          <w:tcPr>
            <w:tcW w:w="4680" w:type="dxa"/>
            <w:shd w:val="clear" w:color="auto" w:fill="auto"/>
            <w:tcMar>
              <w:top w:w="100" w:type="dxa"/>
              <w:left w:w="100" w:type="dxa"/>
              <w:bottom w:w="100" w:type="dxa"/>
              <w:right w:w="100" w:type="dxa"/>
            </w:tcMar>
          </w:tcPr>
          <w:p w14:paraId="45027F76" w14:textId="77777777" w:rsidR="00507F3A" w:rsidRDefault="00A47F13">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auto"/>
            <w:tcMar>
              <w:top w:w="100" w:type="dxa"/>
              <w:left w:w="100" w:type="dxa"/>
              <w:bottom w:w="100" w:type="dxa"/>
              <w:right w:w="100" w:type="dxa"/>
            </w:tcMar>
          </w:tcPr>
          <w:p w14:paraId="0BE09C93" w14:textId="77777777" w:rsidR="00507F3A" w:rsidRDefault="00A47F13">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507F3A" w14:paraId="5E23764C" w14:textId="77777777">
        <w:tc>
          <w:tcPr>
            <w:tcW w:w="4680" w:type="dxa"/>
            <w:shd w:val="clear" w:color="auto" w:fill="auto"/>
            <w:tcMar>
              <w:top w:w="100" w:type="dxa"/>
              <w:left w:w="100" w:type="dxa"/>
              <w:bottom w:w="100" w:type="dxa"/>
              <w:right w:w="100" w:type="dxa"/>
            </w:tcMar>
          </w:tcPr>
          <w:p w14:paraId="297B7113" w14:textId="77777777" w:rsidR="00507F3A" w:rsidRDefault="00A47F13">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Growing VR Fitness Market: </w:t>
            </w:r>
            <w:r>
              <w:rPr>
                <w:rFonts w:ascii="Times New Roman" w:eastAsia="Times New Roman" w:hAnsi="Times New Roman" w:cs="Times New Roman"/>
                <w:sz w:val="24"/>
                <w:szCs w:val="24"/>
              </w:rPr>
              <w:t>Seize the momentum and in the fast-growing virtual reality fitness business space, trained on developing technology and changing customer habits.</w:t>
            </w:r>
          </w:p>
          <w:p w14:paraId="7FADB52C" w14:textId="77777777" w:rsidR="00507F3A" w:rsidRDefault="00A47F13">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Strategic Partnerships:</w:t>
            </w:r>
            <w:r>
              <w:rPr>
                <w:rFonts w:ascii="Times New Roman" w:eastAsia="Times New Roman" w:hAnsi="Times New Roman" w:cs="Times New Roman"/>
                <w:sz w:val="24"/>
                <w:szCs w:val="24"/>
              </w:rPr>
              <w:t xml:space="preserve"> Capitalize on fruitful collaborations with fitness specialists, VR technology firms as </w:t>
            </w:r>
            <w:r>
              <w:rPr>
                <w:rFonts w:ascii="Times New Roman" w:eastAsia="Times New Roman" w:hAnsi="Times New Roman" w:cs="Times New Roman"/>
                <w:sz w:val="24"/>
                <w:szCs w:val="24"/>
              </w:rPr>
              <w:lastRenderedPageBreak/>
              <w:t>well as influencers to increase brand posture and extend marketing lines.</w:t>
            </w:r>
          </w:p>
          <w:p w14:paraId="460C5FEE" w14:textId="77777777" w:rsidR="00507F3A" w:rsidRDefault="00A47F13">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Consumer Demand for Immersive Experiences: </w:t>
            </w:r>
            <w:r>
              <w:rPr>
                <w:rFonts w:ascii="Times New Roman" w:eastAsia="Times New Roman" w:hAnsi="Times New Roman" w:cs="Times New Roman"/>
                <w:sz w:val="24"/>
                <w:szCs w:val="24"/>
              </w:rPr>
              <w:t>Develop interactive fitness products that are adapted to widely diversified active levels, ranging from gentle exercises to hard-core challenges (</w:t>
            </w:r>
            <w:r>
              <w:rPr>
                <w:rFonts w:ascii="Times New Roman" w:eastAsia="Times New Roman" w:hAnsi="Times New Roman" w:cs="Times New Roman"/>
                <w:color w:val="222222"/>
                <w:sz w:val="24"/>
                <w:szCs w:val="24"/>
                <w:highlight w:val="white"/>
              </w:rPr>
              <w:t>Xue, Lin and Xue, 2020)</w:t>
            </w:r>
          </w:p>
        </w:tc>
        <w:tc>
          <w:tcPr>
            <w:tcW w:w="4680" w:type="dxa"/>
            <w:shd w:val="clear" w:color="auto" w:fill="auto"/>
            <w:tcMar>
              <w:top w:w="100" w:type="dxa"/>
              <w:left w:w="100" w:type="dxa"/>
              <w:bottom w:w="100" w:type="dxa"/>
              <w:right w:w="100" w:type="dxa"/>
            </w:tcMar>
          </w:tcPr>
          <w:p w14:paraId="63C90C8B" w14:textId="77777777" w:rsidR="00507F3A" w:rsidRDefault="00A47F13">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lastRenderedPageBreak/>
              <w:t>Intense Competition:</w:t>
            </w:r>
            <w:r>
              <w:rPr>
                <w:rFonts w:ascii="Times New Roman" w:eastAsia="Times New Roman" w:hAnsi="Times New Roman" w:cs="Times New Roman"/>
                <w:sz w:val="24"/>
                <w:szCs w:val="24"/>
              </w:rPr>
              <w:t xml:space="preserve"> To face the challenge that will come from existing players or entrants in the VR fitness market, strong differentiation and strategic positioning become a must.</w:t>
            </w:r>
          </w:p>
          <w:p w14:paraId="32F31D98" w14:textId="77777777" w:rsidR="00507F3A" w:rsidRDefault="00A47F13">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 xml:space="preserve">Economic Uncertainty: </w:t>
            </w:r>
            <w:r>
              <w:rPr>
                <w:rFonts w:ascii="Times New Roman" w:eastAsia="Times New Roman" w:hAnsi="Times New Roman" w:cs="Times New Roman"/>
                <w:sz w:val="24"/>
                <w:szCs w:val="24"/>
              </w:rPr>
              <w:t xml:space="preserve">Just as an economic depression or market variations can affect consumers’ </w:t>
            </w:r>
            <w:r>
              <w:rPr>
                <w:rFonts w:ascii="Times New Roman" w:eastAsia="Times New Roman" w:hAnsi="Times New Roman" w:cs="Times New Roman"/>
                <w:sz w:val="24"/>
                <w:szCs w:val="24"/>
              </w:rPr>
              <w:lastRenderedPageBreak/>
              <w:t>buying patterns and investing confidence, which may hurt ViFit’s growth opportunity.</w:t>
            </w:r>
          </w:p>
          <w:p w14:paraId="33C315AE" w14:textId="77777777" w:rsidR="00507F3A" w:rsidRDefault="00A47F13">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Technological Obsolescence:</w:t>
            </w:r>
            <w:r>
              <w:rPr>
                <w:rFonts w:ascii="Times New Roman" w:eastAsia="Times New Roman" w:hAnsi="Times New Roman" w:cs="Times New Roman"/>
                <w:sz w:val="24"/>
                <w:szCs w:val="24"/>
              </w:rPr>
              <w:t xml:space="preserve"> The status of VR technology is accelerating so fast that the product that is created today might be overtaken by another product tomorrow and manufacturers have to maintain enthusiasm and be competitive.</w:t>
            </w:r>
          </w:p>
        </w:tc>
      </w:tr>
    </w:tbl>
    <w:p w14:paraId="117E2365" w14:textId="77777777" w:rsidR="00507F3A" w:rsidRDefault="00A47F13">
      <w:pPr>
        <w:pStyle w:val="Heading2"/>
        <w:spacing w:line="360" w:lineRule="auto"/>
        <w:jc w:val="both"/>
        <w:rPr>
          <w:rFonts w:ascii="Times New Roman" w:eastAsia="Times New Roman" w:hAnsi="Times New Roman" w:cs="Times New Roman"/>
          <w:b/>
          <w:sz w:val="24"/>
          <w:szCs w:val="24"/>
        </w:rPr>
      </w:pPr>
      <w:bookmarkStart w:id="14" w:name="_2tikescsb6cs" w:colFirst="0" w:colLast="0"/>
      <w:bookmarkEnd w:id="14"/>
      <w:r>
        <w:rPr>
          <w:rFonts w:ascii="Times New Roman" w:eastAsia="Times New Roman" w:hAnsi="Times New Roman" w:cs="Times New Roman"/>
          <w:b/>
          <w:sz w:val="24"/>
          <w:szCs w:val="24"/>
        </w:rPr>
        <w:lastRenderedPageBreak/>
        <w:t>Extensive market research</w:t>
      </w:r>
    </w:p>
    <w:p w14:paraId="2F208EBE" w14:textId="77777777" w:rsidR="00507F3A" w:rsidRDefault="00A47F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research is a must for every business, without exception, including ViFit, to know the exterior variables that may influence its operations and market activities. For instance, in the case of ViFit which targets UK customers, an extensive PEST analysis could come in handy as it gives an in-depth knowledge of the political, economic, social, and technological events dictating the market. Here's an overview of each aspect: Here's an overview of each aspect:</w:t>
      </w:r>
    </w:p>
    <w:p w14:paraId="0F10D995" w14:textId="77777777" w:rsidR="00507F3A" w:rsidRDefault="00507F3A">
      <w:pPr>
        <w:spacing w:line="360" w:lineRule="auto"/>
        <w:jc w:val="both"/>
        <w:rPr>
          <w:rFonts w:ascii="Times New Roman" w:eastAsia="Times New Roman" w:hAnsi="Times New Roman" w:cs="Times New Roman"/>
          <w:sz w:val="24"/>
          <w:szCs w:val="24"/>
        </w:rPr>
      </w:pPr>
    </w:p>
    <w:p w14:paraId="1477D258" w14:textId="77777777" w:rsidR="00507F3A" w:rsidRDefault="00A47F1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 Factors:</w:t>
      </w:r>
      <w:r>
        <w:rPr>
          <w:rFonts w:ascii="Times New Roman" w:eastAsia="Times New Roman" w:hAnsi="Times New Roman" w:cs="Times New Roman"/>
          <w:sz w:val="24"/>
          <w:szCs w:val="24"/>
        </w:rPr>
        <w:t xml:space="preserve"> The political framework of the UK becomes very important in determining the atmosphere that companies face. Factors like government stability, Brexit regulations and policies, tariffs and other trade agreements may generally distort ViFit's processes. In this regard, fitness and wellness-related policies can have a great impact by getting customers hooked on virtual reality fitness programs (</w:t>
      </w:r>
      <w:r>
        <w:rPr>
          <w:rFonts w:ascii="Times New Roman" w:eastAsia="Times New Roman" w:hAnsi="Times New Roman" w:cs="Times New Roman"/>
          <w:color w:val="222222"/>
          <w:sz w:val="24"/>
          <w:szCs w:val="24"/>
          <w:highlight w:val="white"/>
        </w:rPr>
        <w:t>Hamzeh, El Samad and Emdanat, 2019)</w:t>
      </w:r>
      <w:r>
        <w:rPr>
          <w:rFonts w:ascii="Times New Roman" w:eastAsia="Times New Roman" w:hAnsi="Times New Roman" w:cs="Times New Roman"/>
          <w:sz w:val="24"/>
          <w:szCs w:val="24"/>
        </w:rPr>
        <w:t xml:space="preserve">. Moreover, reforms in tax laws or government rebates for startup companies that </w:t>
      </w:r>
      <w:r>
        <w:rPr>
          <w:rFonts w:ascii="Times New Roman" w:eastAsia="Times New Roman" w:hAnsi="Times New Roman" w:cs="Times New Roman"/>
          <w:sz w:val="24"/>
          <w:szCs w:val="24"/>
        </w:rPr>
        <w:t>consider nose advancement as a triggering factor may impact Vifit’s financial planning and the profit made.</w:t>
      </w:r>
    </w:p>
    <w:p w14:paraId="53CD29B2" w14:textId="77777777" w:rsidR="00507F3A" w:rsidRDefault="00A47F1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Economic Factors: </w:t>
      </w:r>
      <w:r>
        <w:rPr>
          <w:rFonts w:ascii="Times New Roman" w:eastAsia="Times New Roman" w:hAnsi="Times New Roman" w:cs="Times New Roman"/>
          <w:sz w:val="24"/>
          <w:szCs w:val="24"/>
        </w:rPr>
        <w:t xml:space="preserve">The ability of consumers to exchange money for services and goods is dependent on the economic situation. This affects their spending patterns and market demand. It is decisive for ViFit to take such factors as GDP growth rates, inflation rhythm, employment form, and variations in currency rates into account. The event of economic </w:t>
      </w:r>
      <w:r>
        <w:rPr>
          <w:rFonts w:ascii="Times New Roman" w:eastAsia="Times New Roman" w:hAnsi="Times New Roman" w:cs="Times New Roman"/>
          <w:sz w:val="24"/>
          <w:szCs w:val="24"/>
        </w:rPr>
        <w:lastRenderedPageBreak/>
        <w:t>downturns could drive away consumers and trigger them to select less luxurious fitness services and economic euphoria spurs up demand and makes people pick up health-conscious pro</w:t>
      </w:r>
      <w:r>
        <w:rPr>
          <w:rFonts w:ascii="Times New Roman" w:eastAsia="Times New Roman" w:hAnsi="Times New Roman" w:cs="Times New Roman"/>
          <w:sz w:val="24"/>
          <w:szCs w:val="24"/>
        </w:rPr>
        <w:t>ducts and services (</w:t>
      </w:r>
      <w:r>
        <w:rPr>
          <w:rFonts w:ascii="Times New Roman" w:eastAsia="Times New Roman" w:hAnsi="Times New Roman" w:cs="Times New Roman"/>
          <w:color w:val="222222"/>
          <w:sz w:val="24"/>
          <w:szCs w:val="24"/>
          <w:highlight w:val="white"/>
        </w:rPr>
        <w:t>Ballard and Tommelein, 2021)</w:t>
      </w:r>
      <w:r>
        <w:rPr>
          <w:rFonts w:ascii="Times New Roman" w:eastAsia="Times New Roman" w:hAnsi="Times New Roman" w:cs="Times New Roman"/>
          <w:sz w:val="24"/>
          <w:szCs w:val="24"/>
        </w:rPr>
        <w:t>. Moreover, funding options may also influence financing funds with interest rates thereby affecting ViFit's funding strategy and cost of capital.</w:t>
      </w:r>
    </w:p>
    <w:p w14:paraId="00C5868E" w14:textId="77777777" w:rsidR="00507F3A" w:rsidRDefault="00A47F1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 Factors:</w:t>
      </w:r>
      <w:r>
        <w:rPr>
          <w:rFonts w:ascii="Times New Roman" w:eastAsia="Times New Roman" w:hAnsi="Times New Roman" w:cs="Times New Roman"/>
          <w:sz w:val="24"/>
          <w:szCs w:val="24"/>
        </w:rPr>
        <w:t xml:space="preserve"> Discovering the societal tendencies, cultural norms, and social shifts is big and integral for ViFit to be able to develop its offerings distinctively. To clarify, consumer tendency to be health-conscious and live good lifestyles in the UK gives ViFit's immersive fitness experiences a strategic competitive position. Additionally, demographic trends including an ageing population and higher density of towns can influence your market and the fitness solution needs (</w:t>
      </w:r>
      <w:r>
        <w:rPr>
          <w:rFonts w:ascii="Times New Roman" w:eastAsia="Times New Roman" w:hAnsi="Times New Roman" w:cs="Times New Roman"/>
          <w:color w:val="222222"/>
          <w:sz w:val="24"/>
          <w:szCs w:val="24"/>
          <w:highlight w:val="white"/>
        </w:rPr>
        <w:t>Xue, Lin and Xue, 2020)</w:t>
      </w:r>
      <w:r>
        <w:rPr>
          <w:rFonts w:ascii="Times New Roman" w:eastAsia="Times New Roman" w:hAnsi="Times New Roman" w:cs="Times New Roman"/>
          <w:sz w:val="24"/>
          <w:szCs w:val="24"/>
        </w:rPr>
        <w:t>. Besides, ViFit nee</w:t>
      </w:r>
      <w:r>
        <w:rPr>
          <w:rFonts w:ascii="Times New Roman" w:eastAsia="Times New Roman" w:hAnsi="Times New Roman" w:cs="Times New Roman"/>
          <w:sz w:val="24"/>
          <w:szCs w:val="24"/>
        </w:rPr>
        <w:t>ds to reckon with consumer behaviours that influence fitness lifestyle decisions, movements in fitness trends, and the pace of digital adoption across different consumer segments.</w:t>
      </w:r>
    </w:p>
    <w:p w14:paraId="34C7B6D9" w14:textId="77777777" w:rsidR="00507F3A" w:rsidRDefault="00A47F13">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 Factors:</w:t>
      </w:r>
      <w:r>
        <w:rPr>
          <w:rFonts w:ascii="Times New Roman" w:eastAsia="Times New Roman" w:hAnsi="Times New Roman" w:cs="Times New Roman"/>
          <w:sz w:val="24"/>
          <w:szCs w:val="24"/>
        </w:rPr>
        <w:t xml:space="preserve"> As ViFit is a technology-driven company, it has to keep adjusting to the constantly changing technological landscape shaped by technological advancements. It should distinctively change as virtual reality technology moves forward, and wearable devices and digital platforms grow. Besides, to realize the online distribution and user involvement plans, equality of high-speed Internet connectivity and affordability of mobile devices are the enablers as well. In addition, data privacy legislation and cybersecur</w:t>
      </w:r>
      <w:r>
        <w:rPr>
          <w:rFonts w:ascii="Times New Roman" w:eastAsia="Times New Roman" w:hAnsi="Times New Roman" w:cs="Times New Roman"/>
          <w:sz w:val="24"/>
          <w:szCs w:val="24"/>
        </w:rPr>
        <w:t>ity considerations are additional issues for ViFit that must be addressed due to the company’s which heavily depends on digital platforms and users’ data.</w:t>
      </w:r>
    </w:p>
    <w:p w14:paraId="6CBE84B0" w14:textId="77777777" w:rsidR="00507F3A" w:rsidRDefault="00507F3A"/>
    <w:p w14:paraId="63F541D1" w14:textId="77777777" w:rsidR="00507F3A" w:rsidRDefault="00A47F13">
      <w:pPr>
        <w:pStyle w:val="Heading1"/>
        <w:rPr>
          <w:rFonts w:ascii="Times New Roman" w:eastAsia="Times New Roman" w:hAnsi="Times New Roman" w:cs="Times New Roman"/>
          <w:b/>
          <w:sz w:val="28"/>
          <w:szCs w:val="28"/>
        </w:rPr>
      </w:pPr>
      <w:bookmarkStart w:id="15" w:name="_k4gzbw60mgtx" w:colFirst="0" w:colLast="0"/>
      <w:bookmarkEnd w:id="15"/>
      <w:r>
        <w:rPr>
          <w:rFonts w:ascii="Times New Roman" w:eastAsia="Times New Roman" w:hAnsi="Times New Roman" w:cs="Times New Roman"/>
          <w:b/>
          <w:sz w:val="28"/>
          <w:szCs w:val="28"/>
        </w:rPr>
        <w:t>References</w:t>
      </w:r>
    </w:p>
    <w:p w14:paraId="52EAEA7B" w14:textId="77777777" w:rsidR="00507F3A" w:rsidRDefault="00507F3A"/>
    <w:p w14:paraId="19325EAE" w14:textId="77777777" w:rsidR="00507F3A" w:rsidRDefault="00A47F13">
      <w:pPr>
        <w:spacing w:before="240" w:after="240" w:line="48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Tran, H., Vu-Van, T., Bang, T., Le, T. V., Pham, H. A., and Huynh-Tuong, N. (2023). Data Mining of Formative and Summative Assessments for Improving Teaching Materials towards Adaptive Learning: A Case Study of Programming Courses at the University Level. </w:t>
      </w:r>
      <w:r>
        <w:rPr>
          <w:rFonts w:ascii="Times New Roman" w:eastAsia="Times New Roman" w:hAnsi="Times New Roman" w:cs="Times New Roman"/>
          <w:i/>
          <w:color w:val="222222"/>
          <w:sz w:val="24"/>
          <w:szCs w:val="24"/>
          <w:highlight w:val="white"/>
        </w:rPr>
        <w:t>Electronics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(14), 3135. Available at: </w:t>
      </w:r>
      <w:hyperlink r:id="rId17">
        <w:r>
          <w:rPr>
            <w:rFonts w:ascii="Times New Roman" w:eastAsia="Times New Roman" w:hAnsi="Times New Roman" w:cs="Times New Roman"/>
            <w:color w:val="1155CC"/>
            <w:sz w:val="24"/>
            <w:szCs w:val="24"/>
            <w:highlight w:val="white"/>
            <w:u w:val="single"/>
          </w:rPr>
          <w:t>https://doi.org/10.3390/electronics12143135</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3C670590" w14:textId="77777777" w:rsidR="00507F3A" w:rsidRDefault="00A47F13">
      <w:pPr>
        <w:spacing w:before="240" w:after="240" w:line="48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lastRenderedPageBreak/>
        <w:t xml:space="preserve">Olteanu, L., 2020. Rebranding strategies and their boomerang effect—The curious case of Burberry. </w:t>
      </w:r>
      <w:r>
        <w:rPr>
          <w:rFonts w:ascii="Times New Roman" w:eastAsia="Times New Roman" w:hAnsi="Times New Roman" w:cs="Times New Roman"/>
          <w:i/>
          <w:color w:val="222222"/>
          <w:sz w:val="24"/>
          <w:szCs w:val="24"/>
          <w:highlight w:val="white"/>
        </w:rPr>
        <w:t>The Journal of World Intellectual Property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 xml:space="preserve">(5-6), pp.777-797.  Available at: </w:t>
      </w:r>
      <w:hyperlink r:id="rId18">
        <w:r>
          <w:rPr>
            <w:rFonts w:ascii="Times New Roman" w:eastAsia="Times New Roman" w:hAnsi="Times New Roman" w:cs="Times New Roman"/>
            <w:color w:val="222222"/>
            <w:sz w:val="24"/>
            <w:szCs w:val="24"/>
            <w:highlight w:val="white"/>
          </w:rPr>
          <w:t xml:space="preserve"> </w:t>
        </w:r>
      </w:hyperlink>
      <w:hyperlink r:id="rId19">
        <w:r>
          <w:rPr>
            <w:rFonts w:ascii="Times New Roman" w:eastAsia="Times New Roman" w:hAnsi="Times New Roman" w:cs="Times New Roman"/>
            <w:color w:val="1155CC"/>
            <w:sz w:val="24"/>
            <w:szCs w:val="24"/>
            <w:highlight w:val="white"/>
            <w:u w:val="single"/>
          </w:rPr>
          <w:t>https://onlinelibrary.wiley.com/doi/abs/10.1111/jwip.12173</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574D42AC" w14:textId="77777777" w:rsidR="00507F3A" w:rsidRDefault="00A47F13">
      <w:pPr>
        <w:spacing w:before="240" w:after="240"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Otoo, F.N.K., 2019. Human resource management (HRM) practices and organisational performance: The mediating role of employee competencies. </w:t>
      </w:r>
      <w:r>
        <w:rPr>
          <w:rFonts w:ascii="Times New Roman" w:eastAsia="Times New Roman" w:hAnsi="Times New Roman" w:cs="Times New Roman"/>
          <w:i/>
          <w:color w:val="222222"/>
          <w:sz w:val="24"/>
          <w:szCs w:val="24"/>
          <w:highlight w:val="white"/>
        </w:rPr>
        <w:t>Employee Relations: The International Journal</w:t>
      </w:r>
      <w:r>
        <w:rPr>
          <w:rFonts w:ascii="Times New Roman" w:eastAsia="Times New Roman" w:hAnsi="Times New Roman" w:cs="Times New Roman"/>
          <w:color w:val="222222"/>
          <w:sz w:val="24"/>
          <w:szCs w:val="24"/>
          <w:highlight w:val="white"/>
        </w:rPr>
        <w:t xml:space="preserve">.  Available at: </w:t>
      </w:r>
      <w:hyperlink r:id="rId20">
        <w:r>
          <w:rPr>
            <w:rFonts w:ascii="Times New Roman" w:eastAsia="Times New Roman" w:hAnsi="Times New Roman" w:cs="Times New Roman"/>
            <w:color w:val="222222"/>
            <w:sz w:val="24"/>
            <w:szCs w:val="24"/>
            <w:highlight w:val="white"/>
          </w:rPr>
          <w:t xml:space="preserve"> </w:t>
        </w:r>
      </w:hyperlink>
      <w:hyperlink r:id="rId21">
        <w:r>
          <w:rPr>
            <w:rFonts w:ascii="Times New Roman" w:eastAsia="Times New Roman" w:hAnsi="Times New Roman" w:cs="Times New Roman"/>
            <w:color w:val="1155CC"/>
            <w:sz w:val="24"/>
            <w:szCs w:val="24"/>
            <w:highlight w:val="white"/>
            <w:u w:val="single"/>
          </w:rPr>
          <w:t>https://www.emerald.com/insight/content/doi/10.1108/ER-02-2018-0053/full/html</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 xml:space="preserve">(Accessed 23 March 2024) </w:t>
      </w:r>
    </w:p>
    <w:p w14:paraId="4A03A6C3" w14:textId="77777777" w:rsidR="00507F3A" w:rsidRDefault="00A47F13">
      <w:pPr>
        <w:spacing w:before="240" w:after="24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Raid, M.A. and Alzoubi, H.M., 2021. The interplay among HRM practices, job satisfaction and intention to leave: An empirical investigation. </w:t>
      </w:r>
      <w:r>
        <w:rPr>
          <w:rFonts w:ascii="Times New Roman" w:eastAsia="Times New Roman" w:hAnsi="Times New Roman" w:cs="Times New Roman"/>
          <w:i/>
          <w:color w:val="222222"/>
          <w:sz w:val="24"/>
          <w:szCs w:val="24"/>
          <w:highlight w:val="white"/>
        </w:rPr>
        <w:t>Journal of Legal, Ethical and Regulatory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(1).  Available at: </w:t>
      </w:r>
      <w:hyperlink r:id="rId22">
        <w:r>
          <w:rPr>
            <w:rFonts w:ascii="Times New Roman" w:eastAsia="Times New Roman" w:hAnsi="Times New Roman" w:cs="Times New Roman"/>
            <w:color w:val="222222"/>
            <w:sz w:val="24"/>
            <w:szCs w:val="24"/>
            <w:highlight w:val="white"/>
          </w:rPr>
          <w:t xml:space="preserve"> </w:t>
        </w:r>
      </w:hyperlink>
      <w:hyperlink r:id="rId23">
        <w:r>
          <w:rPr>
            <w:rFonts w:ascii="Times New Roman" w:eastAsia="Times New Roman" w:hAnsi="Times New Roman" w:cs="Times New Roman"/>
            <w:color w:val="1155CC"/>
            <w:sz w:val="24"/>
            <w:szCs w:val="24"/>
            <w:highlight w:val="white"/>
            <w:u w:val="single"/>
          </w:rPr>
          <w:t>http://research.skylineuniversity.ac.ae/id/eprint/137/</w:t>
        </w:r>
      </w:hyperlink>
      <w:r>
        <w:rPr>
          <w:rFonts w:ascii="Times New Roman" w:eastAsia="Times New Roman" w:hAnsi="Times New Roman" w:cs="Times New Roman"/>
          <w:color w:val="1155CC"/>
          <w:sz w:val="24"/>
          <w:szCs w:val="24"/>
          <w:highlight w:val="white"/>
          <w:u w:val="single"/>
        </w:rPr>
        <w:t xml:space="preserve">  </w:t>
      </w:r>
      <w:r>
        <w:rPr>
          <w:rFonts w:ascii="Times New Roman" w:eastAsia="Times New Roman" w:hAnsi="Times New Roman" w:cs="Times New Roman"/>
          <w:sz w:val="24"/>
          <w:szCs w:val="24"/>
          <w:highlight w:val="white"/>
        </w:rPr>
        <w:t>(Accessed 23 March 2024)</w:t>
      </w:r>
    </w:p>
    <w:p w14:paraId="09215E5C"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Silva, G., Yam, A., Imtiaz, R. and Chisholm, C., 2021. Constructing high-quality rest facilities to maximise performance and ensure patient safety. </w:t>
      </w:r>
      <w:r>
        <w:rPr>
          <w:rFonts w:ascii="Times New Roman" w:eastAsia="Times New Roman" w:hAnsi="Times New Roman" w:cs="Times New Roman"/>
          <w:i/>
          <w:color w:val="222222"/>
          <w:sz w:val="24"/>
          <w:szCs w:val="24"/>
          <w:highlight w:val="white"/>
        </w:rPr>
        <w:t>BMJ Open Quality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 p.e001403. Available at:</w:t>
      </w:r>
      <w:hyperlink r:id="rId24">
        <w:r>
          <w:rPr>
            <w:rFonts w:ascii="Times New Roman" w:eastAsia="Times New Roman" w:hAnsi="Times New Roman" w:cs="Times New Roman"/>
            <w:color w:val="222222"/>
            <w:sz w:val="24"/>
            <w:szCs w:val="24"/>
            <w:highlight w:val="white"/>
          </w:rPr>
          <w:t xml:space="preserve"> </w:t>
        </w:r>
      </w:hyperlink>
      <w:hyperlink r:id="rId25">
        <w:r>
          <w:rPr>
            <w:rFonts w:ascii="Times New Roman" w:eastAsia="Times New Roman" w:hAnsi="Times New Roman" w:cs="Times New Roman"/>
            <w:color w:val="1155CC"/>
            <w:sz w:val="24"/>
            <w:szCs w:val="24"/>
            <w:highlight w:val="white"/>
            <w:u w:val="single"/>
          </w:rPr>
          <w:t>https://</w:t>
        </w:r>
      </w:hyperlink>
      <w:hyperlink r:id="rId26" w:anchor="page=199">
        <w:r>
          <w:rPr>
            <w:rFonts w:ascii="Times New Roman" w:eastAsia="Times New Roman" w:hAnsi="Times New Roman" w:cs="Times New Roman"/>
            <w:color w:val="1155CC"/>
            <w:sz w:val="24"/>
            <w:szCs w:val="24"/>
            <w:highlight w:val="white"/>
            <w:u w:val="single"/>
          </w:rPr>
          <w:t>doi</w:t>
        </w:r>
      </w:hyperlink>
      <w:hyperlink r:id="rId27">
        <w:r>
          <w:rPr>
            <w:rFonts w:ascii="Times New Roman" w:eastAsia="Times New Roman" w:hAnsi="Times New Roman" w:cs="Times New Roman"/>
            <w:color w:val="1155CC"/>
            <w:sz w:val="24"/>
            <w:szCs w:val="24"/>
            <w:highlight w:val="white"/>
            <w:u w:val="single"/>
          </w:rPr>
          <w:t>/10/3/e001403.abstract</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602DA8E4"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 R. and Rehm, M., 2020. The unwritten history of green building rating tools: A personal view from some of the ‘founding fathers’. </w:t>
      </w:r>
      <w:r>
        <w:rPr>
          <w:rFonts w:ascii="Times New Roman" w:eastAsia="Times New Roman" w:hAnsi="Times New Roman" w:cs="Times New Roman"/>
          <w:i/>
          <w:color w:val="222222"/>
          <w:sz w:val="24"/>
          <w:szCs w:val="24"/>
          <w:highlight w:val="white"/>
        </w:rPr>
        <w:t>Building Research and Information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(1), pp.1-17. Available at:</w:t>
      </w:r>
      <w:hyperlink r:id="rId28">
        <w:r>
          <w:rPr>
            <w:rFonts w:ascii="Times New Roman" w:eastAsia="Times New Roman" w:hAnsi="Times New Roman" w:cs="Times New Roman"/>
            <w:color w:val="222222"/>
            <w:sz w:val="24"/>
            <w:szCs w:val="24"/>
            <w:highlight w:val="white"/>
          </w:rPr>
          <w:t xml:space="preserve"> </w:t>
        </w:r>
      </w:hyperlink>
      <w:hyperlink r:id="rId29">
        <w:r>
          <w:rPr>
            <w:rFonts w:ascii="Times New Roman" w:eastAsia="Times New Roman" w:hAnsi="Times New Roman" w:cs="Times New Roman"/>
            <w:color w:val="1155CC"/>
            <w:sz w:val="24"/>
            <w:szCs w:val="24"/>
            <w:highlight w:val="white"/>
            <w:u w:val="single"/>
          </w:rPr>
          <w:t>https://www.tandfonline/doi/abs/10.1080/09613218.2019.1627179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52B518E1"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Oukennou, A., El Oumami, M., Beidouri, Z. and Bouksour, O., 2021. SMEs Project Management in African Context: Moroccan Quantitative Approach. </w:t>
      </w:r>
      <w:r>
        <w:rPr>
          <w:rFonts w:ascii="Times New Roman" w:eastAsia="Times New Roman" w:hAnsi="Times New Roman" w:cs="Times New Roman"/>
          <w:i/>
          <w:color w:val="222222"/>
          <w:sz w:val="24"/>
          <w:szCs w:val="24"/>
          <w:highlight w:val="white"/>
        </w:rPr>
        <w:t>Calitatea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(181), pp.129-136.</w:t>
      </w:r>
      <w:hyperlink r:id="rId30">
        <w:r>
          <w:rPr>
            <w:rFonts w:ascii="Times New Roman" w:eastAsia="Times New Roman" w:hAnsi="Times New Roman" w:cs="Times New Roman"/>
            <w:color w:val="222222"/>
            <w:sz w:val="24"/>
            <w:szCs w:val="24"/>
            <w:highlight w:val="white"/>
          </w:rPr>
          <w:t xml:space="preserve"> </w:t>
        </w:r>
      </w:hyperlink>
      <w:hyperlink r:id="rId31">
        <w:r>
          <w:rPr>
            <w:rFonts w:ascii="Times New Roman" w:eastAsia="Times New Roman" w:hAnsi="Times New Roman" w:cs="Times New Roman"/>
            <w:color w:val="1155CC"/>
            <w:sz w:val="24"/>
            <w:szCs w:val="24"/>
            <w:highlight w:val="white"/>
            <w:u w:val="single"/>
          </w:rPr>
          <w:t>https://www.</w:t>
        </w:r>
      </w:hyperlink>
      <w:hyperlink r:id="rId32" w:anchor="page=199">
        <w:r>
          <w:rPr>
            <w:rFonts w:ascii="Times New Roman" w:eastAsia="Times New Roman" w:hAnsi="Times New Roman" w:cs="Times New Roman"/>
            <w:color w:val="1155CC"/>
            <w:sz w:val="24"/>
            <w:szCs w:val="24"/>
            <w:highlight w:val="white"/>
            <w:u w:val="single"/>
          </w:rPr>
          <w:t>doi</w:t>
        </w:r>
      </w:hyperlink>
      <w:hyperlink r:id="rId33">
        <w:r>
          <w:rPr>
            <w:rFonts w:ascii="Times New Roman" w:eastAsia="Times New Roman" w:hAnsi="Times New Roman" w:cs="Times New Roman"/>
            <w:color w:val="1155CC"/>
            <w:sz w:val="24"/>
            <w:szCs w:val="24"/>
            <w:highlight w:val="white"/>
            <w:u w:val="single"/>
          </w:rPr>
          <w:t>/353526200_</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088858B7"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Khoza, S., 2021. INVESTIGATING THE POTENTIAL USE OF PUBLIC-PRIVATE PARTNERSHIPS TO FUND GREEN BUILDING INITIATIVES: THE CASE OF THE DEPARTMENT OF ENVIRONMENTAL AFFAIRS. Available at:</w:t>
      </w:r>
      <w:hyperlink r:id="rId34">
        <w:r>
          <w:rPr>
            <w:rFonts w:ascii="Times New Roman" w:eastAsia="Times New Roman" w:hAnsi="Times New Roman" w:cs="Times New Roman"/>
            <w:color w:val="222222"/>
            <w:sz w:val="24"/>
            <w:szCs w:val="24"/>
            <w:highlight w:val="white"/>
          </w:rPr>
          <w:t xml:space="preserve"> </w:t>
        </w:r>
      </w:hyperlink>
      <w:hyperlink r:id="rId35">
        <w:r>
          <w:rPr>
            <w:rFonts w:ascii="Times New Roman" w:eastAsia="Times New Roman" w:hAnsi="Times New Roman" w:cs="Times New Roman"/>
            <w:color w:val="1155CC"/>
            <w:sz w:val="24"/>
            <w:szCs w:val="24"/>
            <w:highlight w:val="white"/>
            <w:u w:val="single"/>
          </w:rPr>
          <w:t>https://scholar.</w:t>
        </w:r>
      </w:hyperlink>
      <w:hyperlink r:id="rId36" w:anchor="page=199">
        <w:r>
          <w:rPr>
            <w:rFonts w:ascii="Times New Roman" w:eastAsia="Times New Roman" w:hAnsi="Times New Roman" w:cs="Times New Roman"/>
            <w:color w:val="1155CC"/>
            <w:sz w:val="24"/>
            <w:szCs w:val="24"/>
            <w:highlight w:val="white"/>
            <w:u w:val="single"/>
          </w:rPr>
          <w:t>doi</w:t>
        </w:r>
      </w:hyperlink>
      <w:hyperlink r:id="rId37">
        <w:r>
          <w:rPr>
            <w:rFonts w:ascii="Times New Roman" w:eastAsia="Times New Roman" w:hAnsi="Times New Roman" w:cs="Times New Roman"/>
            <w:color w:val="1155CC"/>
            <w:sz w:val="24"/>
            <w:szCs w:val="24"/>
            <w:highlight w:val="white"/>
            <w:u w:val="single"/>
          </w:rPr>
          <w:t>/10019.1/123986</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71C02A50"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Xue, J., Shen, G.Q., Yang, R.J., Wu, H., Li, X., Lin, X. and Xue, F., 2020. Mapping the knowledge domain of stakeholder perspective studies in construction projects: A bibliometric approach.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(6), pp.313-326. Available at:</w:t>
      </w:r>
      <w:hyperlink r:id="rId38">
        <w:r>
          <w:rPr>
            <w:rFonts w:ascii="Times New Roman" w:eastAsia="Times New Roman" w:hAnsi="Times New Roman" w:cs="Times New Roman"/>
            <w:color w:val="222222"/>
            <w:sz w:val="24"/>
            <w:szCs w:val="24"/>
            <w:highlight w:val="white"/>
          </w:rPr>
          <w:t xml:space="preserve"> </w:t>
        </w:r>
      </w:hyperlink>
      <w:hyperlink r:id="rId39">
        <w:r>
          <w:rPr>
            <w:rFonts w:ascii="Times New Roman" w:eastAsia="Times New Roman" w:hAnsi="Times New Roman" w:cs="Times New Roman"/>
            <w:color w:val="1155CC"/>
            <w:sz w:val="24"/>
            <w:szCs w:val="24"/>
            <w:highlight w:val="white"/>
            <w:u w:val="single"/>
          </w:rPr>
          <w:t>https://www.</w:t>
        </w:r>
      </w:hyperlink>
      <w:hyperlink r:id="rId40" w:anchor="page=199">
        <w:r>
          <w:rPr>
            <w:rFonts w:ascii="Times New Roman" w:eastAsia="Times New Roman" w:hAnsi="Times New Roman" w:cs="Times New Roman"/>
            <w:color w:val="1155CC"/>
            <w:sz w:val="24"/>
            <w:szCs w:val="24"/>
            <w:highlight w:val="white"/>
            <w:u w:val="single"/>
          </w:rPr>
          <w:t>doi</w:t>
        </w:r>
      </w:hyperlink>
      <w:hyperlink r:id="rId41">
        <w:r>
          <w:rPr>
            <w:rFonts w:ascii="Times New Roman" w:eastAsia="Times New Roman" w:hAnsi="Times New Roman" w:cs="Times New Roman"/>
            <w:color w:val="1155CC"/>
            <w:sz w:val="24"/>
            <w:szCs w:val="24"/>
            <w:highlight w:val="white"/>
            <w:u w:val="single"/>
          </w:rPr>
          <w:t>/pii/S0263786320300570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742423FD"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Hamzeh, F., Al Hattab, M., Rizk, L., El Samad, G. and Emdanat, S., 2019. Developing new metrics to evaluate the performance of capacity planning towards sustainable construction.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225</w:t>
      </w:r>
      <w:r>
        <w:rPr>
          <w:rFonts w:ascii="Times New Roman" w:eastAsia="Times New Roman" w:hAnsi="Times New Roman" w:cs="Times New Roman"/>
          <w:color w:val="222222"/>
          <w:sz w:val="24"/>
          <w:szCs w:val="24"/>
          <w:highlight w:val="white"/>
        </w:rPr>
        <w:t>, pp.868-882. Available at:</w:t>
      </w:r>
      <w:hyperlink r:id="rId42">
        <w:r>
          <w:rPr>
            <w:rFonts w:ascii="Times New Roman" w:eastAsia="Times New Roman" w:hAnsi="Times New Roman" w:cs="Times New Roman"/>
            <w:color w:val="222222"/>
            <w:sz w:val="24"/>
            <w:szCs w:val="24"/>
            <w:highlight w:val="white"/>
          </w:rPr>
          <w:t xml:space="preserve"> </w:t>
        </w:r>
      </w:hyperlink>
      <w:hyperlink r:id="rId43">
        <w:r>
          <w:rPr>
            <w:rFonts w:ascii="Times New Roman" w:eastAsia="Times New Roman" w:hAnsi="Times New Roman" w:cs="Times New Roman"/>
            <w:color w:val="1155CC"/>
            <w:sz w:val="24"/>
            <w:szCs w:val="24"/>
            <w:highlight w:val="white"/>
            <w:u w:val="single"/>
          </w:rPr>
          <w:t>https://www.</w:t>
        </w:r>
      </w:hyperlink>
      <w:hyperlink r:id="rId44" w:anchor="page=199">
        <w:r>
          <w:rPr>
            <w:rFonts w:ascii="Times New Roman" w:eastAsia="Times New Roman" w:hAnsi="Times New Roman" w:cs="Times New Roman"/>
            <w:color w:val="1155CC"/>
            <w:sz w:val="24"/>
            <w:szCs w:val="24"/>
            <w:highlight w:val="white"/>
            <w:u w:val="single"/>
          </w:rPr>
          <w:t>doi</w:t>
        </w:r>
      </w:hyperlink>
      <w:hyperlink r:id="rId45">
        <w:r>
          <w:rPr>
            <w:rFonts w:ascii="Times New Roman" w:eastAsia="Times New Roman" w:hAnsi="Times New Roman" w:cs="Times New Roman"/>
            <w:color w:val="1155CC"/>
            <w:sz w:val="24"/>
            <w:szCs w:val="24"/>
            <w:highlight w:val="white"/>
            <w:u w:val="single"/>
          </w:rPr>
          <w:t>pii/S0959652619310911</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29859487" w14:textId="77777777" w:rsidR="00507F3A" w:rsidRDefault="00A47F1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Ballard, G. and Tommelein, I., 2021. 2020 Current Process Benchmark for the Last Planner (R) System of Project Planning and Control. Available at:</w:t>
      </w:r>
      <w:hyperlink r:id="rId46">
        <w:r>
          <w:rPr>
            <w:rFonts w:ascii="Times New Roman" w:eastAsia="Times New Roman" w:hAnsi="Times New Roman" w:cs="Times New Roman"/>
            <w:color w:val="222222"/>
            <w:sz w:val="24"/>
            <w:szCs w:val="24"/>
            <w:highlight w:val="white"/>
          </w:rPr>
          <w:t xml:space="preserve"> </w:t>
        </w:r>
      </w:hyperlink>
      <w:hyperlink r:id="rId47">
        <w:r>
          <w:rPr>
            <w:rFonts w:ascii="Times New Roman" w:eastAsia="Times New Roman" w:hAnsi="Times New Roman" w:cs="Times New Roman"/>
            <w:color w:val="1155CC"/>
            <w:sz w:val="24"/>
            <w:szCs w:val="24"/>
            <w:highlight w:val="white"/>
            <w:u w:val="single"/>
          </w:rPr>
          <w:t>https://</w:t>
        </w:r>
      </w:hyperlink>
      <w:hyperlink r:id="rId48" w:anchor="page=199">
        <w:r>
          <w:rPr>
            <w:rFonts w:ascii="Times New Roman" w:eastAsia="Times New Roman" w:hAnsi="Times New Roman" w:cs="Times New Roman"/>
            <w:color w:val="1155CC"/>
            <w:sz w:val="24"/>
            <w:szCs w:val="24"/>
            <w:highlight w:val="white"/>
            <w:u w:val="single"/>
          </w:rPr>
          <w:t>doi</w:t>
        </w:r>
      </w:hyperlink>
      <w:hyperlink r:id="rId49">
        <w:r>
          <w:rPr>
            <w:rFonts w:ascii="Times New Roman" w:eastAsia="Times New Roman" w:hAnsi="Times New Roman" w:cs="Times New Roman"/>
            <w:color w:val="1155CC"/>
            <w:sz w:val="24"/>
            <w:szCs w:val="24"/>
            <w:highlight w:val="white"/>
            <w:u w:val="single"/>
          </w:rPr>
          <w:t>/item/5t90q8q9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(Accessed 23 March 2024)</w:t>
      </w:r>
    </w:p>
    <w:p w14:paraId="049FBD03" w14:textId="77777777" w:rsidR="00507F3A" w:rsidRDefault="00507F3A"/>
    <w:p w14:paraId="7F22D7E1" w14:textId="77777777" w:rsidR="00507F3A" w:rsidRDefault="00A47F13">
      <w:pPr>
        <w:pStyle w:val="Heading1"/>
        <w:spacing w:line="360" w:lineRule="auto"/>
        <w:jc w:val="both"/>
        <w:rPr>
          <w:rFonts w:ascii="Times New Roman" w:eastAsia="Times New Roman" w:hAnsi="Times New Roman" w:cs="Times New Roman"/>
          <w:b/>
          <w:sz w:val="28"/>
          <w:szCs w:val="28"/>
        </w:rPr>
      </w:pPr>
      <w:bookmarkStart w:id="16" w:name="_2c3sra7dh5vx" w:colFirst="0" w:colLast="0"/>
      <w:bookmarkEnd w:id="16"/>
      <w:r>
        <w:br w:type="page"/>
      </w:r>
    </w:p>
    <w:p w14:paraId="76C0D0FD" w14:textId="77777777" w:rsidR="00507F3A" w:rsidRDefault="00507F3A">
      <w:pPr>
        <w:spacing w:line="360" w:lineRule="auto"/>
        <w:jc w:val="both"/>
      </w:pPr>
    </w:p>
    <w:sectPr w:rsidR="00507F3A">
      <w:footerReference w:type="default" r:id="rId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C8DC54" w14:textId="77777777" w:rsidR="00A47F13" w:rsidRDefault="00A47F13">
      <w:pPr>
        <w:spacing w:line="240" w:lineRule="auto"/>
      </w:pPr>
      <w:r>
        <w:separator/>
      </w:r>
    </w:p>
  </w:endnote>
  <w:endnote w:type="continuationSeparator" w:id="0">
    <w:p w14:paraId="610E3ACC" w14:textId="77777777" w:rsidR="00A47F13" w:rsidRDefault="00A47F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B7655" w14:textId="77777777" w:rsidR="00507F3A" w:rsidRDefault="00A47F13">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C56F3" w14:textId="77777777" w:rsidR="00A47F13" w:rsidRDefault="00A47F13">
      <w:pPr>
        <w:spacing w:line="240" w:lineRule="auto"/>
      </w:pPr>
      <w:r>
        <w:separator/>
      </w:r>
    </w:p>
  </w:footnote>
  <w:footnote w:type="continuationSeparator" w:id="0">
    <w:p w14:paraId="622C080A" w14:textId="77777777" w:rsidR="00A47F13" w:rsidRDefault="00A47F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71A85"/>
    <w:multiLevelType w:val="multilevel"/>
    <w:tmpl w:val="3D625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9F197D"/>
    <w:multiLevelType w:val="multilevel"/>
    <w:tmpl w:val="09A43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6069C3"/>
    <w:multiLevelType w:val="multilevel"/>
    <w:tmpl w:val="5490A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FF4020"/>
    <w:multiLevelType w:val="multilevel"/>
    <w:tmpl w:val="86C6D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4F34FD"/>
    <w:multiLevelType w:val="multilevel"/>
    <w:tmpl w:val="37507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576C36"/>
    <w:multiLevelType w:val="multilevel"/>
    <w:tmpl w:val="3CA02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B73524"/>
    <w:multiLevelType w:val="multilevel"/>
    <w:tmpl w:val="DFE60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855908"/>
    <w:multiLevelType w:val="multilevel"/>
    <w:tmpl w:val="BD46B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B75108"/>
    <w:multiLevelType w:val="multilevel"/>
    <w:tmpl w:val="A7888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17A5E39"/>
    <w:multiLevelType w:val="multilevel"/>
    <w:tmpl w:val="ECF2BE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1017B9"/>
    <w:multiLevelType w:val="multilevel"/>
    <w:tmpl w:val="7834D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9900796"/>
    <w:multiLevelType w:val="multilevel"/>
    <w:tmpl w:val="7ED2B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C13C99"/>
    <w:multiLevelType w:val="multilevel"/>
    <w:tmpl w:val="F8349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BBF3176"/>
    <w:multiLevelType w:val="multilevel"/>
    <w:tmpl w:val="8DFA3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6698039">
    <w:abstractNumId w:val="0"/>
  </w:num>
  <w:num w:numId="2" w16cid:durableId="1684547435">
    <w:abstractNumId w:val="13"/>
  </w:num>
  <w:num w:numId="3" w16cid:durableId="56321167">
    <w:abstractNumId w:val="6"/>
  </w:num>
  <w:num w:numId="4" w16cid:durableId="632246509">
    <w:abstractNumId w:val="7"/>
  </w:num>
  <w:num w:numId="5" w16cid:durableId="585965077">
    <w:abstractNumId w:val="4"/>
  </w:num>
  <w:num w:numId="6" w16cid:durableId="1013339168">
    <w:abstractNumId w:val="2"/>
  </w:num>
  <w:num w:numId="7" w16cid:durableId="291061762">
    <w:abstractNumId w:val="3"/>
  </w:num>
  <w:num w:numId="8" w16cid:durableId="427819641">
    <w:abstractNumId w:val="12"/>
  </w:num>
  <w:num w:numId="9" w16cid:durableId="537819823">
    <w:abstractNumId w:val="5"/>
  </w:num>
  <w:num w:numId="10" w16cid:durableId="711350328">
    <w:abstractNumId w:val="1"/>
  </w:num>
  <w:num w:numId="11" w16cid:durableId="220214090">
    <w:abstractNumId w:val="11"/>
  </w:num>
  <w:num w:numId="12" w16cid:durableId="1980526725">
    <w:abstractNumId w:val="10"/>
  </w:num>
  <w:num w:numId="13" w16cid:durableId="1710573308">
    <w:abstractNumId w:val="8"/>
  </w:num>
  <w:num w:numId="14" w16cid:durableId="1305571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F3A"/>
    <w:rsid w:val="00507F3A"/>
    <w:rsid w:val="00A4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E711"/>
  <w15:docId w15:val="{EC7A83FB-1061-438B-B453-D8F52A635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doi.org/10.1017/S2045796019000179" TargetMode="External"/><Relationship Id="rId18" Type="http://schemas.openxmlformats.org/officeDocument/2006/relationships/hyperlink" Target="https://onlinelibrary.wiley.com/doi/abs/10.1111/jwip.12173" TargetMode="External"/><Relationship Id="rId26"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39" Type="http://schemas.openxmlformats.org/officeDocument/2006/relationships/hyperlink" Target="https://www.sciencedirect.com/science/article/pii/S0263786320300570" TargetMode="External"/><Relationship Id="rId21" Type="http://schemas.openxmlformats.org/officeDocument/2006/relationships/hyperlink" Target="https://www.emerald.com/insight/content/doi/10.1108/ER-02-2018-0053/full/html" TargetMode="External"/><Relationship Id="rId34" Type="http://schemas.openxmlformats.org/officeDocument/2006/relationships/hyperlink" Target="https://scholar.sun.ac.za/bitstream/handle/10019.1/123986/khoza_potential_2021.pdf?sequence=2" TargetMode="External"/><Relationship Id="rId42" Type="http://schemas.openxmlformats.org/officeDocument/2006/relationships/hyperlink" Target="https://www.sciencedirect.com/science/article/pii/S0959652619310911" TargetMode="External"/><Relationship Id="rId47" Type="http://schemas.openxmlformats.org/officeDocument/2006/relationships/hyperlink" Target="https://escholarship.org/uc/item/5t90q8q9"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90/su15031783" TargetMode="External"/><Relationship Id="rId29" Type="http://schemas.openxmlformats.org/officeDocument/2006/relationships/hyperlink" Target="https://www.tandfonline.com/doi/abs/10.1080/09613218.2019.1627179" TargetMode="External"/><Relationship Id="rId11" Type="http://schemas.openxmlformats.org/officeDocument/2006/relationships/hyperlink" Target="https://doi.org/10.1186/s12939-018-0751-y" TargetMode="External"/><Relationship Id="rId24" Type="http://schemas.openxmlformats.org/officeDocument/2006/relationships/hyperlink" Target="https://bmjopenquality.bmj.com/content/10/3/e001403.abstract" TargetMode="External"/><Relationship Id="rId32"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37" Type="http://schemas.openxmlformats.org/officeDocument/2006/relationships/hyperlink" Target="https://scholar.sun.ac.za/bitstream/handle/10019.1/123986/khoza_potential_2021.pdf?sequence=2" TargetMode="External"/><Relationship Id="rId40"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45" Type="http://schemas.openxmlformats.org/officeDocument/2006/relationships/hyperlink" Target="https://www.sciencedirect.com/science/article/pii/S0959652619310911" TargetMode="External"/><Relationship Id="rId5" Type="http://schemas.openxmlformats.org/officeDocument/2006/relationships/footnotes" Target="footnotes.xml"/><Relationship Id="rId15" Type="http://schemas.openxmlformats.org/officeDocument/2006/relationships/hyperlink" Target="https://doi.org/10.3390/jpm14010064" TargetMode="External"/><Relationship Id="rId23" Type="http://schemas.openxmlformats.org/officeDocument/2006/relationships/hyperlink" Target="http://research.skylineuniversity.ac.ae/id/eprint/137/" TargetMode="External"/><Relationship Id="rId28" Type="http://schemas.openxmlformats.org/officeDocument/2006/relationships/hyperlink" Target="https://www.tandfonline.com/doi/abs/10.1080/09613218.2019.1627179" TargetMode="External"/><Relationship Id="rId36"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49" Type="http://schemas.openxmlformats.org/officeDocument/2006/relationships/hyperlink" Target="https://escholarship.org/uc/item/5t90q8q9" TargetMode="External"/><Relationship Id="rId10" Type="http://schemas.openxmlformats.org/officeDocument/2006/relationships/hyperlink" Target="https://www.who.int/publications/i/item/9789240049338" TargetMode="External"/><Relationship Id="rId19" Type="http://schemas.openxmlformats.org/officeDocument/2006/relationships/hyperlink" Target="https://onlinelibrary.wiley.com/doi/abs/10.1111/jwip.12173" TargetMode="External"/><Relationship Id="rId31" Type="http://schemas.openxmlformats.org/officeDocument/2006/relationships/hyperlink" Target="https://www.researchgate.net/profile/Amina-Oukennou/publication/353526200_Smes_project_management_in_african_context_Moroccan_quantitative_approach/links/618e40dc61f09877208841ed/Smes-project-management-in-african-context-Moroccan-quantitative-approach.pdf" TargetMode="External"/><Relationship Id="rId44"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07/s00127-019-01748-0" TargetMode="External"/><Relationship Id="rId14" Type="http://schemas.openxmlformats.org/officeDocument/2006/relationships/hyperlink" Target="https://doi.org/10.3390/ma17061231" TargetMode="External"/><Relationship Id="rId22" Type="http://schemas.openxmlformats.org/officeDocument/2006/relationships/hyperlink" Target="http://research.skylineuniversity.ac.ae/id/eprint/137/" TargetMode="External"/><Relationship Id="rId27" Type="http://schemas.openxmlformats.org/officeDocument/2006/relationships/hyperlink" Target="https://bmjopenquality.bmj.com/content/10/3/e001403.abstract" TargetMode="External"/><Relationship Id="rId30" Type="http://schemas.openxmlformats.org/officeDocument/2006/relationships/hyperlink" Target="https://www.researchgate.net/profile/Amina-Oukennou/publication/353526200_Smes_project_management_in_african_context_Moroccan_quantitative_approach/links/618e40dc61f09877208841ed/Smes-project-management-in-african-context-Moroccan-quantitative-approach.pdf" TargetMode="External"/><Relationship Id="rId35" Type="http://schemas.openxmlformats.org/officeDocument/2006/relationships/hyperlink" Target="https://scholar.sun.ac.za/bitstream/handle/10019.1/123986/khoza_potential_2021.pdf?sequence=2" TargetMode="External"/><Relationship Id="rId43" Type="http://schemas.openxmlformats.org/officeDocument/2006/relationships/hyperlink" Target="https://www.sciencedirect.com/science/article/pii/S0959652619310911" TargetMode="External"/><Relationship Id="rId48" Type="http://schemas.openxmlformats.org/officeDocument/2006/relationships/hyperlink" Target="https://www.researchgate.net/profile/Annuska-Derks/publication/360834656_The_Taste_of_Cinnamon_Making_a_Specialty_Product_in_Northern_Vietnam/links/62988ee2c660ab61f85aebf3/The-Taste-of-Cinnamon-Making-a-Specialty-Product-in-Northern-Vietnam.pdf" TargetMode="External"/><Relationship Id="rId8" Type="http://schemas.openxmlformats.org/officeDocument/2006/relationships/hyperlink" Target="https://doi.org/10.1007/s00127-019-01748-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86/s12939-018-0751-y" TargetMode="External"/><Relationship Id="rId17" Type="http://schemas.openxmlformats.org/officeDocument/2006/relationships/hyperlink" Target="https://doi.org/10.3390/electronics12143135" TargetMode="External"/><Relationship Id="rId25" Type="http://schemas.openxmlformats.org/officeDocument/2006/relationships/hyperlink" Target="https://bmjopenquality.bmj.com/content/10/3/e001403.abstract" TargetMode="External"/><Relationship Id="rId33" Type="http://schemas.openxmlformats.org/officeDocument/2006/relationships/hyperlink" Target="https://www.researchgate.net/profile/Amina-Oukennou/publication/353526200_Smes_project_management_in_african_context_Moroccan_quantitative_approach/links/618e40dc61f09877208841ed/Smes-project-management-in-african-context-Moroccan-quantitative-approach.pdf" TargetMode="External"/><Relationship Id="rId38" Type="http://schemas.openxmlformats.org/officeDocument/2006/relationships/hyperlink" Target="https://www.sciencedirect.com/science/article/pii/S0263786320300570" TargetMode="External"/><Relationship Id="rId46" Type="http://schemas.openxmlformats.org/officeDocument/2006/relationships/hyperlink" Target="https://escholarship.org/uc/item/5t90q8q9" TargetMode="External"/><Relationship Id="rId20" Type="http://schemas.openxmlformats.org/officeDocument/2006/relationships/hyperlink" Target="https://www.emerald.com/insight/content/doi/10.1108/ER-02-2018-0053/full/html" TargetMode="External"/><Relationship Id="rId41" Type="http://schemas.openxmlformats.org/officeDocument/2006/relationships/hyperlink" Target="https://www.sciencedirect.com/science/article/pii/S0263786320300570"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5157</Words>
  <Characters>29396</Characters>
  <Application>Microsoft Office Word</Application>
  <DocSecurity>4</DocSecurity>
  <Lines>244</Lines>
  <Paragraphs>68</Paragraphs>
  <ScaleCrop>false</ScaleCrop>
  <Company/>
  <LinksUpToDate>false</LinksUpToDate>
  <CharactersWithSpaces>34485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Bolca</dc:creator>
  <cp:lastModifiedBy>Laura Bolca</cp:lastModifiedBy>
  <cp:revision>2</cp:revision>
  <dcterms:created xsi:type="dcterms:W3CDTF">2024-03-23T12:36:00Z</dcterms:created>
  <dcterms:modified xsi:type="dcterms:W3CDTF">2024-03-23T12:36:00Z</dcterms:modified>
</cp:coreProperties>
</file>