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BA04C" w14:textId="77777777" w:rsidR="00D57181" w:rsidRPr="001D4C29" w:rsidRDefault="00D57181">
      <w:pPr>
        <w:rPr>
          <w:lang w:val="en-GB"/>
        </w:rPr>
      </w:pPr>
    </w:p>
    <w:p w14:paraId="710146F8" w14:textId="77777777" w:rsidR="00D57181" w:rsidRPr="001D4C29" w:rsidRDefault="00F3466A">
      <w:pPr>
        <w:jc w:val="center"/>
        <w:rPr>
          <w:b/>
          <w:bCs/>
          <w:lang w:val="en-GB"/>
        </w:rPr>
      </w:pPr>
      <w:r w:rsidRPr="001D4C29">
        <w:rPr>
          <w:b/>
          <w:bCs/>
          <w:noProof/>
          <w:lang w:val="en-GB" w:eastAsia="en-US"/>
        </w:rPr>
        <w:drawing>
          <wp:inline distT="0" distB="0" distL="0" distR="0" wp14:anchorId="7BCBE633" wp14:editId="584B1A14">
            <wp:extent cx="3093720" cy="1255395"/>
            <wp:effectExtent l="1905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094152" cy="1255570"/>
                    </a:xfrm>
                    <a:prstGeom prst="rect">
                      <a:avLst/>
                    </a:prstGeom>
                    <a:ln/>
                  </pic:spPr>
                </pic:pic>
              </a:graphicData>
            </a:graphic>
          </wp:inline>
        </w:drawing>
      </w:r>
    </w:p>
    <w:p w14:paraId="590C7D3F" w14:textId="77777777" w:rsidR="00D57181" w:rsidRPr="001D4C29" w:rsidRDefault="00F3466A">
      <w:pPr>
        <w:jc w:val="center"/>
        <w:rPr>
          <w:sz w:val="32"/>
          <w:szCs w:val="32"/>
          <w:lang w:val="en-GB"/>
        </w:rPr>
      </w:pPr>
      <w:r w:rsidRPr="001D4C29">
        <w:rPr>
          <w:b/>
          <w:bCs/>
          <w:sz w:val="32"/>
          <w:szCs w:val="32"/>
          <w:lang w:val="en-GB"/>
        </w:rPr>
        <w:t>PROGRAMME: MSC PUBLIC HEALTH AND SOCIAL CARE IN PRACTICE</w:t>
      </w:r>
    </w:p>
    <w:p w14:paraId="4F2DBC1E" w14:textId="77777777" w:rsidR="00D57181" w:rsidRPr="001D4C29" w:rsidRDefault="00F3466A">
      <w:pPr>
        <w:jc w:val="center"/>
        <w:rPr>
          <w:sz w:val="32"/>
          <w:szCs w:val="32"/>
          <w:lang w:val="en-GB"/>
        </w:rPr>
      </w:pPr>
      <w:r w:rsidRPr="001D4C29">
        <w:rPr>
          <w:b/>
          <w:bCs/>
          <w:sz w:val="32"/>
          <w:szCs w:val="32"/>
          <w:lang w:val="en-GB"/>
        </w:rPr>
        <w:t>MODULE: HEALTH CARE SYSTEM ORGANISATION AND LEADERSHIP</w:t>
      </w:r>
    </w:p>
    <w:p w14:paraId="2896A9C2" w14:textId="77777777" w:rsidR="00D57181" w:rsidRPr="001D4C29" w:rsidRDefault="00F3466A">
      <w:pPr>
        <w:jc w:val="center"/>
        <w:rPr>
          <w:sz w:val="32"/>
          <w:szCs w:val="32"/>
          <w:lang w:val="en-GB"/>
        </w:rPr>
      </w:pPr>
      <w:r w:rsidRPr="001D4C29">
        <w:rPr>
          <w:b/>
          <w:bCs/>
          <w:sz w:val="32"/>
          <w:szCs w:val="32"/>
          <w:lang w:val="en-GB"/>
        </w:rPr>
        <w:t>MODULE CODE: LCHS7002</w:t>
      </w:r>
    </w:p>
    <w:p w14:paraId="36FB4FAB" w14:textId="77777777" w:rsidR="00D57181" w:rsidRPr="001D4C29" w:rsidRDefault="00F3466A">
      <w:pPr>
        <w:jc w:val="center"/>
        <w:rPr>
          <w:sz w:val="32"/>
          <w:szCs w:val="32"/>
          <w:lang w:val="en-GB"/>
        </w:rPr>
      </w:pPr>
      <w:r w:rsidRPr="001D4C29">
        <w:rPr>
          <w:b/>
          <w:bCs/>
          <w:sz w:val="32"/>
          <w:szCs w:val="32"/>
          <w:lang w:val="en-GB"/>
        </w:rPr>
        <w:t>LECTURER: INTERNAL VERIFIER: DR HAMDI HUSSAIN</w:t>
      </w:r>
    </w:p>
    <w:p w14:paraId="622C24F1" w14:textId="77777777" w:rsidR="00D57181" w:rsidRPr="001D4C29" w:rsidRDefault="00F3466A">
      <w:pPr>
        <w:jc w:val="center"/>
        <w:rPr>
          <w:b/>
          <w:bCs/>
          <w:sz w:val="32"/>
          <w:szCs w:val="32"/>
          <w:lang w:val="en-GB"/>
        </w:rPr>
      </w:pPr>
      <w:r w:rsidRPr="001D4C29">
        <w:rPr>
          <w:b/>
          <w:bCs/>
          <w:sz w:val="32"/>
          <w:szCs w:val="32"/>
          <w:lang w:val="en-GB"/>
        </w:rPr>
        <w:t>ASSIGNMENT TITLE: CASE STUDY ANALYSIS REPORT</w:t>
      </w:r>
    </w:p>
    <w:p w14:paraId="529218E0" w14:textId="77777777" w:rsidR="00D57181" w:rsidRPr="001D4C29" w:rsidRDefault="00F3466A">
      <w:pPr>
        <w:jc w:val="center"/>
        <w:rPr>
          <w:b/>
          <w:bCs/>
          <w:sz w:val="32"/>
          <w:szCs w:val="32"/>
          <w:lang w:val="en-GB"/>
        </w:rPr>
      </w:pPr>
      <w:r w:rsidRPr="001D4C29">
        <w:rPr>
          <w:b/>
          <w:bCs/>
          <w:sz w:val="32"/>
          <w:szCs w:val="32"/>
          <w:lang w:val="en-GB"/>
        </w:rPr>
        <w:t>CASE STUDY 2</w:t>
      </w:r>
    </w:p>
    <w:p w14:paraId="41883FCC" w14:textId="77777777" w:rsidR="00A52DF5" w:rsidRDefault="00A52DF5" w:rsidP="00A52DF5">
      <w:pPr>
        <w:jc w:val="center"/>
        <w:rPr>
          <w:b/>
          <w:bCs/>
          <w:sz w:val="32"/>
          <w:szCs w:val="32"/>
          <w:lang w:val="en-US"/>
        </w:rPr>
      </w:pPr>
      <w:r w:rsidRPr="00A52DF5">
        <w:rPr>
          <w:b/>
          <w:bCs/>
          <w:sz w:val="32"/>
          <w:szCs w:val="32"/>
          <w:lang w:val="en-US"/>
        </w:rPr>
        <w:t xml:space="preserve">Student name: Seema Saxena </w:t>
      </w:r>
      <w:r w:rsidRPr="00A52DF5">
        <w:rPr>
          <w:b/>
          <w:bCs/>
          <w:sz w:val="32"/>
          <w:szCs w:val="32"/>
          <w:lang w:val="en-US"/>
        </w:rPr>
        <w:br/>
        <w:t xml:space="preserve">Lecture name: </w:t>
      </w:r>
      <w:r w:rsidRPr="00A52DF5">
        <w:rPr>
          <w:b/>
          <w:bCs/>
          <w:sz w:val="32"/>
          <w:szCs w:val="32"/>
          <w:lang w:val="en-US"/>
        </w:rPr>
        <w:t>Pascal Navelle</w:t>
      </w:r>
    </w:p>
    <w:p w14:paraId="6F656B2A" w14:textId="24007B55" w:rsidR="00A52DF5" w:rsidRPr="00A52DF5" w:rsidRDefault="00A52DF5" w:rsidP="00A52DF5">
      <w:pPr>
        <w:jc w:val="center"/>
        <w:rPr>
          <w:b/>
          <w:bCs/>
          <w:sz w:val="32"/>
          <w:szCs w:val="32"/>
          <w:lang w:val="en-GB"/>
        </w:rPr>
      </w:pPr>
      <w:r w:rsidRPr="00A52DF5">
        <w:rPr>
          <w:b/>
          <w:bCs/>
          <w:sz w:val="32"/>
          <w:szCs w:val="32"/>
          <w:lang w:val="en-US"/>
        </w:rPr>
        <w:t>Student id: 2542707</w:t>
      </w:r>
    </w:p>
    <w:p w14:paraId="7A06C6B5" w14:textId="77777777" w:rsidR="00D57181" w:rsidRPr="001D4C29" w:rsidRDefault="00D57181">
      <w:pPr>
        <w:jc w:val="center"/>
        <w:rPr>
          <w:lang w:val="en-GB"/>
        </w:rPr>
      </w:pPr>
    </w:p>
    <w:p w14:paraId="7101F90C" w14:textId="77777777" w:rsidR="00D57181" w:rsidRPr="001D4C29" w:rsidRDefault="00F3466A">
      <w:pPr>
        <w:jc w:val="center"/>
        <w:rPr>
          <w:b/>
          <w:bCs/>
          <w:lang w:val="en-GB"/>
        </w:rPr>
      </w:pPr>
      <w:r w:rsidRPr="001D4C29">
        <w:rPr>
          <w:lang w:val="en-GB"/>
        </w:rPr>
        <w:br w:type="page"/>
      </w:r>
    </w:p>
    <w:p w14:paraId="73BC45C1" w14:textId="77777777" w:rsidR="00D57181" w:rsidRPr="001D4C29" w:rsidRDefault="00F3466A">
      <w:pPr>
        <w:jc w:val="center"/>
        <w:rPr>
          <w:b/>
          <w:bCs/>
          <w:lang w:val="en-GB"/>
        </w:rPr>
      </w:pPr>
      <w:r w:rsidRPr="001D4C29">
        <w:rPr>
          <w:b/>
          <w:bCs/>
          <w:lang w:val="en-GB"/>
        </w:rPr>
        <w:lastRenderedPageBreak/>
        <w:t>Executive Summary</w:t>
      </w:r>
    </w:p>
    <w:p w14:paraId="18CCFBD2" w14:textId="77777777" w:rsidR="00D57181" w:rsidRPr="001D4C29" w:rsidRDefault="00F3466A">
      <w:pPr>
        <w:rPr>
          <w:lang w:val="en-GB"/>
        </w:rPr>
      </w:pPr>
      <w:r w:rsidRPr="001D4C29">
        <w:rPr>
          <w:lang w:val="en-GB"/>
        </w:rPr>
        <w:t xml:space="preserve">The context of the report and the background information </w:t>
      </w:r>
      <w:r w:rsidR="0071154C" w:rsidRPr="001D4C29">
        <w:rPr>
          <w:lang w:val="en-GB"/>
        </w:rPr>
        <w:t>have</w:t>
      </w:r>
      <w:r w:rsidRPr="001D4C29">
        <w:rPr>
          <w:lang w:val="en-GB"/>
        </w:rPr>
        <w:t xml:space="preserve"> been discussed that focus on the case study analysis of patient X that experienced a medical emergency. The global and national statistics on medical negligence and treatment delays has been discussed. The report discusses the leadership theories used in the NHS case study regarding the management of the anticoagulant medicines. </w:t>
      </w:r>
      <w:r w:rsidR="0071154C" w:rsidRPr="001D4C29">
        <w:rPr>
          <w:lang w:val="en-GB"/>
        </w:rPr>
        <w:t xml:space="preserve">Furthermore, this report has been provided insights on both centralised and decentralised approach by mentioning both advantages and disadvantages of the organisation. </w:t>
      </w:r>
      <w:r w:rsidRPr="001D4C29">
        <w:rPr>
          <w:lang w:val="en-GB"/>
        </w:rPr>
        <w:t xml:space="preserve">This report exhibits poor transformational leadership, lack of adaptive leadership, and dominance of reactivity, which lead to patient harm. Communication, governance, as well as </w:t>
      </w:r>
      <w:r w:rsidR="00DF68F1" w:rsidRPr="001D4C29">
        <w:rPr>
          <w:lang w:val="en-GB"/>
        </w:rPr>
        <w:t>proactively</w:t>
      </w:r>
      <w:r w:rsidRPr="001D4C29">
        <w:rPr>
          <w:lang w:val="en-GB"/>
        </w:rPr>
        <w:t xml:space="preserve"> in the safety culture have been pointed out as areas of weakness. The lessons from the case include integrating transformational vision, adaptive systems thinking, and emotional intelligence. Evidence-based solutions recommend electronic alerts, 48-hour review rules, along with stronger accountability to improve patient safety are covered in this report. </w:t>
      </w:r>
    </w:p>
    <w:p w14:paraId="0AE560C3" w14:textId="77777777" w:rsidR="00D57181" w:rsidRPr="001D4C29" w:rsidRDefault="00F3466A">
      <w:pPr>
        <w:jc w:val="left"/>
        <w:rPr>
          <w:b/>
          <w:bCs/>
          <w:lang w:val="en-GB"/>
        </w:rPr>
      </w:pPr>
      <w:r w:rsidRPr="001D4C29">
        <w:rPr>
          <w:lang w:val="en-GB"/>
        </w:rPr>
        <w:br w:type="page"/>
      </w:r>
    </w:p>
    <w:p w14:paraId="1CBDD888" w14:textId="77777777" w:rsidR="00D57181" w:rsidRPr="001D4C29" w:rsidRDefault="00F3466A">
      <w:pPr>
        <w:keepNext/>
        <w:keepLines/>
        <w:pBdr>
          <w:top w:val="nil"/>
          <w:left w:val="nil"/>
          <w:bottom w:val="nil"/>
          <w:right w:val="nil"/>
          <w:between w:val="nil"/>
        </w:pBdr>
        <w:spacing w:before="240" w:after="0"/>
        <w:jc w:val="center"/>
        <w:rPr>
          <w:b/>
          <w:bCs/>
          <w:color w:val="000000"/>
          <w:lang w:val="en-GB"/>
        </w:rPr>
      </w:pPr>
      <w:r w:rsidRPr="001D4C29">
        <w:rPr>
          <w:b/>
          <w:bCs/>
          <w:color w:val="000000"/>
          <w:lang w:val="en-GB"/>
        </w:rPr>
        <w:lastRenderedPageBreak/>
        <w:t>Table of Contents</w:t>
      </w:r>
    </w:p>
    <w:sdt>
      <w:sdtPr>
        <w:rPr>
          <w:lang w:val="en-GB"/>
        </w:rPr>
        <w:id w:val="-393189224"/>
        <w:docPartObj>
          <w:docPartGallery w:val="Table of Contents"/>
          <w:docPartUnique/>
        </w:docPartObj>
      </w:sdtPr>
      <w:sdtEndPr/>
      <w:sdtContent>
        <w:p w14:paraId="3A289C05" w14:textId="77777777" w:rsidR="00F3466A" w:rsidRPr="001D4C29" w:rsidRDefault="00DA2333">
          <w:pPr>
            <w:pStyle w:val="TOC1"/>
            <w:tabs>
              <w:tab w:val="right" w:leader="dot" w:pos="9016"/>
            </w:tabs>
            <w:rPr>
              <w:rFonts w:asciiTheme="minorHAnsi" w:eastAsiaTheme="minorEastAsia" w:hAnsiTheme="minorHAnsi" w:cstheme="minorBidi"/>
              <w:noProof/>
              <w:lang w:val="en-GB"/>
            </w:rPr>
          </w:pPr>
          <w:r w:rsidRPr="001D4C29">
            <w:rPr>
              <w:lang w:val="en-GB"/>
            </w:rPr>
            <w:fldChar w:fldCharType="begin"/>
          </w:r>
          <w:r w:rsidR="00F3466A" w:rsidRPr="001D4C29">
            <w:rPr>
              <w:lang w:val="en-GB"/>
            </w:rPr>
            <w:instrText xml:space="preserve"> TOC \h \u \z \t "Heading 1,1,Heading 2,2,Heading 3,3,"</w:instrText>
          </w:r>
          <w:r w:rsidRPr="001D4C29">
            <w:rPr>
              <w:lang w:val="en-GB"/>
            </w:rPr>
            <w:fldChar w:fldCharType="separate"/>
          </w:r>
          <w:hyperlink w:anchor="_Toc236488380" w:history="1">
            <w:r w:rsidR="00F3466A" w:rsidRPr="001D4C29">
              <w:rPr>
                <w:rStyle w:val="Hyperlink"/>
                <w:noProof/>
                <w:lang w:val="en-GB"/>
              </w:rPr>
              <w:t>Introduction</w:t>
            </w:r>
            <w:r w:rsidR="00F3466A" w:rsidRPr="001D4C29">
              <w:rPr>
                <w:noProof/>
                <w:webHidden/>
                <w:lang w:val="en-GB"/>
              </w:rPr>
              <w:tab/>
            </w:r>
            <w:r w:rsidRPr="001D4C29">
              <w:rPr>
                <w:noProof/>
                <w:webHidden/>
                <w:lang w:val="en-GB"/>
              </w:rPr>
              <w:fldChar w:fldCharType="begin"/>
            </w:r>
            <w:r w:rsidR="00F3466A" w:rsidRPr="001D4C29">
              <w:rPr>
                <w:noProof/>
                <w:webHidden/>
                <w:lang w:val="en-GB"/>
              </w:rPr>
              <w:instrText xml:space="preserve"> PAGEREF _Toc236488380 \h </w:instrText>
            </w:r>
            <w:r w:rsidRPr="001D4C29">
              <w:rPr>
                <w:noProof/>
                <w:webHidden/>
                <w:lang w:val="en-GB"/>
              </w:rPr>
            </w:r>
            <w:r w:rsidRPr="001D4C29">
              <w:rPr>
                <w:noProof/>
                <w:webHidden/>
                <w:lang w:val="en-GB"/>
              </w:rPr>
              <w:fldChar w:fldCharType="separate"/>
            </w:r>
            <w:r w:rsidR="00F3466A" w:rsidRPr="001D4C29">
              <w:rPr>
                <w:noProof/>
                <w:webHidden/>
                <w:lang w:val="en-GB"/>
              </w:rPr>
              <w:t>1</w:t>
            </w:r>
            <w:r w:rsidRPr="001D4C29">
              <w:rPr>
                <w:noProof/>
                <w:webHidden/>
                <w:lang w:val="en-GB"/>
              </w:rPr>
              <w:fldChar w:fldCharType="end"/>
            </w:r>
          </w:hyperlink>
        </w:p>
        <w:p w14:paraId="42F631A6"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81" w:history="1">
            <w:r w:rsidR="00F3466A" w:rsidRPr="001D4C29">
              <w:rPr>
                <w:rStyle w:val="Hyperlink"/>
                <w:noProof/>
                <w:lang w:val="en-GB"/>
              </w:rPr>
              <w:t>Background and purpose</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_Toc236488381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79DB923B"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82" w:history="1">
            <w:r w:rsidR="00F3466A" w:rsidRPr="001D4C29">
              <w:rPr>
                <w:rStyle w:val="Hyperlink"/>
                <w:noProof/>
                <w:lang w:val="en-GB"/>
              </w:rPr>
              <w:t>Leadership significance</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_Toc236488382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7785D4F8"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83" w:history="1">
            <w:r w:rsidR="00F3466A" w:rsidRPr="001D4C29">
              <w:rPr>
                <w:rStyle w:val="Hyperlink"/>
                <w:noProof/>
                <w:lang w:val="en-GB"/>
              </w:rPr>
              <w:t>Describing centralization and decentralization and key leadership theories</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_Toc236488383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644831E4"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84" w:history="1">
            <w:r w:rsidR="00F3466A" w:rsidRPr="001D4C29">
              <w:rPr>
                <w:rStyle w:val="Hyperlink"/>
                <w:noProof/>
                <w:lang w:val="en-GB"/>
              </w:rPr>
              <w:t>Significance of selecting the right leadership style and report context</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_Toc236488384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40AEE526"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385" w:history="1">
            <w:r w:rsidR="00F3466A" w:rsidRPr="001D4C29">
              <w:rPr>
                <w:rStyle w:val="Hyperlink"/>
                <w:noProof/>
                <w:lang w:val="en-GB"/>
              </w:rPr>
              <w:t>Main Body and Analysis</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_Toc236488385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1099BD2C"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386" w:history="1">
            <w:r w:rsidR="00F3466A" w:rsidRPr="001D4C29">
              <w:rPr>
                <w:rStyle w:val="Hyperlink"/>
                <w:noProof/>
                <w:lang w:val="en-GB"/>
              </w:rPr>
              <w:t>a. Identifying the Problem and Setting the System Context</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_Toc236488386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74FAF6B4"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87" w:history="1">
            <w:r w:rsidR="00F3466A" w:rsidRPr="001D4C29">
              <w:rPr>
                <w:rStyle w:val="Hyperlink"/>
                <w:noProof/>
                <w:lang w:val="en-GB"/>
              </w:rPr>
              <w:t>Global statistical information about the issue</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_Toc236488387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5AD760A8"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88" w:history="1">
            <w:r w:rsidR="00F3466A" w:rsidRPr="001D4C29">
              <w:rPr>
                <w:rStyle w:val="Hyperlink"/>
                <w:noProof/>
                <w:lang w:val="en-GB"/>
              </w:rPr>
              <w:t>National statistical information about the issue</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_Toc236488388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13A4043F"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89" w:history="1">
            <w:r w:rsidR="00F3466A" w:rsidRPr="001D4C29">
              <w:rPr>
                <w:rStyle w:val="Hyperlink"/>
                <w:noProof/>
                <w:lang w:val="en-GB"/>
              </w:rPr>
              <w:t>Figures from national organisations revelation in connection to worldwide presentation</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_Toc236488389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164397FE"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0" w:history="1">
            <w:r w:rsidR="00F3466A" w:rsidRPr="001D4C29">
              <w:rPr>
                <w:rStyle w:val="Hyperlink"/>
                <w:noProof/>
                <w:lang w:val="en-GB"/>
              </w:rPr>
              <w:t>Systemic weaknesses reflected from the problem</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_Toc236488390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3A2A9A1B"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1" w:history="1">
            <w:r w:rsidR="00F3466A" w:rsidRPr="001D4C29">
              <w:rPr>
                <w:rStyle w:val="Hyperlink"/>
                <w:noProof/>
                <w:lang w:val="en-GB"/>
              </w:rPr>
              <w:t>Identifying the level of governance influence on the problem</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_Toc236488391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0F66C571"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2" w:history="1">
            <w:r w:rsidR="00F3466A" w:rsidRPr="001D4C29">
              <w:rPr>
                <w:rStyle w:val="Hyperlink"/>
                <w:noProof/>
                <w:lang w:val="en-GB"/>
              </w:rPr>
              <w:t>Data on underlying challenges</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_Toc236488392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74B14C66"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393" w:history="1">
            <w:r w:rsidR="00F3466A" w:rsidRPr="001D4C29">
              <w:rPr>
                <w:rStyle w:val="Hyperlink"/>
                <w:noProof/>
                <w:lang w:val="en-GB"/>
              </w:rPr>
              <w:t>b. Centralisation or Decentralisation within the Case Study</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_Toc236488393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50CCE8C7"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4" w:history="1">
            <w:r w:rsidR="00F3466A" w:rsidRPr="001D4C29">
              <w:rPr>
                <w:rStyle w:val="Hyperlink"/>
                <w:noProof/>
                <w:lang w:val="en-GB"/>
              </w:rPr>
              <w:t>Organisational structure and decision-making in the case study</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_Toc236488394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600B00B8"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5" w:history="1">
            <w:r w:rsidR="00F3466A" w:rsidRPr="001D4C29">
              <w:rPr>
                <w:rStyle w:val="Hyperlink"/>
                <w:noProof/>
                <w:lang w:val="en-GB"/>
              </w:rPr>
              <w:t>Centralised decision-making: Application to the Case study 2</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_Toc236488395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2127784D"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6" w:history="1">
            <w:r w:rsidR="00F3466A" w:rsidRPr="001D4C29">
              <w:rPr>
                <w:rStyle w:val="Hyperlink"/>
                <w:noProof/>
                <w:lang w:val="en-GB"/>
              </w:rPr>
              <w:t>Decentralised decision-making: Application to the Case study 2</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_Toc236488396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023ED334"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7" w:history="1">
            <w:r w:rsidR="00F3466A" w:rsidRPr="001D4C29">
              <w:rPr>
                <w:rStyle w:val="Hyperlink"/>
                <w:noProof/>
                <w:lang w:val="en-GB"/>
              </w:rPr>
              <w:t>Critical comparison of the effectiveness of crisis management, decision-making procedure and accountability</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_Toc236488397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3F393254"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8" w:history="1">
            <w:r w:rsidR="00F3466A" w:rsidRPr="001D4C29">
              <w:rPr>
                <w:rStyle w:val="Hyperlink"/>
                <w:noProof/>
                <w:lang w:val="en-GB"/>
              </w:rPr>
              <w:t>Evaluating using workforce and organisational data</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_Toc236488398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104CA274"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399" w:history="1">
            <w:r w:rsidR="00F3466A" w:rsidRPr="001D4C29">
              <w:rPr>
                <w:rStyle w:val="Hyperlink"/>
                <w:noProof/>
                <w:lang w:val="en-GB"/>
              </w:rPr>
              <w:t>Summary of the organisational structure</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_Toc236488399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6700EFC4"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400" w:history="1">
            <w:r w:rsidR="00F3466A" w:rsidRPr="001D4C29">
              <w:rPr>
                <w:rStyle w:val="Hyperlink"/>
                <w:noProof/>
                <w:lang w:val="en-GB"/>
              </w:rPr>
              <w:t>c. Leadership Theories and Application to the Case Study</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_Toc236488400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29FB11D0"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1" w:history="1">
            <w:r w:rsidR="00F3466A" w:rsidRPr="001D4C29">
              <w:rPr>
                <w:rStyle w:val="Hyperlink"/>
                <w:noProof/>
                <w:lang w:val="en-GB"/>
              </w:rPr>
              <w:t>Transformational Leadership</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_Toc236488401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1FE729B6"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2" w:history="1">
            <w:r w:rsidR="00F3466A" w:rsidRPr="001D4C29">
              <w:rPr>
                <w:rStyle w:val="Hyperlink"/>
                <w:noProof/>
                <w:lang w:val="en-GB"/>
              </w:rPr>
              <w:t>Adaptive Leadership</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_Toc236488402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0237FA19"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3" w:history="1">
            <w:r w:rsidR="00F3466A" w:rsidRPr="001D4C29">
              <w:rPr>
                <w:rStyle w:val="Hyperlink"/>
                <w:noProof/>
                <w:lang w:val="en-GB"/>
              </w:rPr>
              <w:t>Reactive vs. Proactive Leadership</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_Toc236488403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38822F6E"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4" w:history="1">
            <w:r w:rsidR="00F3466A" w:rsidRPr="001D4C29">
              <w:rPr>
                <w:rStyle w:val="Hyperlink"/>
                <w:noProof/>
                <w:lang w:val="en-GB"/>
              </w:rPr>
              <w:t>What Could Have Been Done Differently?</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_Toc236488404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75625817"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405" w:history="1">
            <w:r w:rsidR="00F3466A" w:rsidRPr="001D4C29">
              <w:rPr>
                <w:rStyle w:val="Hyperlink"/>
                <w:noProof/>
                <w:lang w:val="en-GB"/>
              </w:rPr>
              <w:t>d. Improvement and Lessons Learned</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_Toc236488405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58DA65FC"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6" w:history="1">
            <w:r w:rsidR="00F3466A" w:rsidRPr="001D4C29">
              <w:rPr>
                <w:rStyle w:val="Hyperlink"/>
                <w:noProof/>
                <w:lang w:val="en-GB"/>
              </w:rPr>
              <w:t>Critical evaluation of how leadership and governance interacted</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_Toc236488406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4D8769A9"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7" w:history="1">
            <w:r w:rsidR="00F3466A" w:rsidRPr="001D4C29">
              <w:rPr>
                <w:rStyle w:val="Hyperlink"/>
                <w:noProof/>
                <w:lang w:val="en-GB"/>
              </w:rPr>
              <w:t>Identifying missed opportunities and evidence-based solutions and presenting a discussion highlighting the problems and solutions.</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_Toc236488407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5EED4E8F"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8" w:history="1">
            <w:r w:rsidR="00F3466A" w:rsidRPr="001D4C29">
              <w:rPr>
                <w:rStyle w:val="Hyperlink"/>
                <w:noProof/>
                <w:lang w:val="en-GB"/>
              </w:rPr>
              <w:t>System structure, leadership style, and system feedback interaction</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_Toc236488408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50EBBFCE"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09" w:history="1">
            <w:r w:rsidR="00F3466A" w:rsidRPr="001D4C29">
              <w:rPr>
                <w:rStyle w:val="Hyperlink"/>
                <w:noProof/>
                <w:lang w:val="en-GB"/>
              </w:rPr>
              <w:t>Lessons learned for health organisations from this case</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_Toc236488409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7F2A2556"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0" w:history="1">
            <w:r w:rsidR="00F3466A" w:rsidRPr="001D4C29">
              <w:rPr>
                <w:rStyle w:val="Hyperlink"/>
                <w:noProof/>
                <w:lang w:val="en-GB"/>
              </w:rPr>
              <w:t>Evidence and data be used to ensure continuous improvement and accountability</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_Toc236488410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0EE75CD7"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411" w:history="1">
            <w:r w:rsidR="00F3466A" w:rsidRPr="001D4C29">
              <w:rPr>
                <w:rStyle w:val="Hyperlink"/>
                <w:noProof/>
                <w:lang w:val="en-GB"/>
              </w:rPr>
              <w:t>Recommendation</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_Toc236488411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5CE15CAD"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2" w:history="1">
            <w:r w:rsidR="00F3466A" w:rsidRPr="001D4C29">
              <w:rPr>
                <w:rStyle w:val="Hyperlink"/>
                <w:iCs/>
                <w:noProof/>
                <w:lang w:val="en-GB"/>
              </w:rPr>
              <w:t>Summarising what should be done next in the chosen organisation</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_Toc236488412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4CAD3802"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3" w:history="1">
            <w:r w:rsidR="00F3466A" w:rsidRPr="001D4C29">
              <w:rPr>
                <w:rStyle w:val="Hyperlink"/>
                <w:iCs/>
                <w:noProof/>
                <w:lang w:val="en-GB"/>
              </w:rPr>
              <w:t>Recommending effective leadership style for sustaining improvement</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_Toc236488413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2C4A726E"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4" w:history="1">
            <w:r w:rsidR="00F3466A" w:rsidRPr="001D4C29">
              <w:rPr>
                <w:rStyle w:val="Hyperlink"/>
                <w:iCs/>
                <w:noProof/>
                <w:lang w:val="en-GB"/>
              </w:rPr>
              <w:t>Suggesting ways for improving communication, governance and system integration</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_Toc236488414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3F14A74C"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5" w:history="1">
            <w:r w:rsidR="00F3466A" w:rsidRPr="001D4C29">
              <w:rPr>
                <w:rStyle w:val="Hyperlink"/>
                <w:iCs/>
                <w:noProof/>
                <w:lang w:val="en-GB"/>
              </w:rPr>
              <w:t>Proposing actions for enhancing allocative efficiency and technical effectiveness</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_Toc236488415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1662F770"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6" w:history="1">
            <w:r w:rsidR="00F3466A" w:rsidRPr="001D4C29">
              <w:rPr>
                <w:rStyle w:val="Hyperlink"/>
                <w:iCs/>
                <w:noProof/>
                <w:lang w:val="en-GB"/>
              </w:rPr>
              <w:t>Method for stakeholder engagement, continuous learning and co-production</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_Toc236488416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6DBB3B95"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417" w:history="1">
            <w:r w:rsidR="00F3466A" w:rsidRPr="001D4C29">
              <w:rPr>
                <w:rStyle w:val="Hyperlink"/>
                <w:noProof/>
                <w:lang w:val="en-GB"/>
              </w:rPr>
              <w:t>Conclusion</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_Toc236488417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42E9B04D"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8" w:history="1">
            <w:r w:rsidR="00F3466A" w:rsidRPr="001D4C29">
              <w:rPr>
                <w:rStyle w:val="Hyperlink"/>
                <w:iCs/>
                <w:noProof/>
                <w:lang w:val="en-GB"/>
              </w:rPr>
              <w:t>Summarising mean finding of the case study and analysis</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_Toc236488418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1A1D467A" w14:textId="77777777" w:rsidR="00F3466A" w:rsidRPr="001D4C29" w:rsidRDefault="003B163E">
          <w:pPr>
            <w:pStyle w:val="TOC2"/>
            <w:tabs>
              <w:tab w:val="right" w:leader="dot" w:pos="9016"/>
            </w:tabs>
            <w:rPr>
              <w:rFonts w:asciiTheme="minorHAnsi" w:eastAsiaTheme="minorEastAsia" w:hAnsiTheme="minorHAnsi" w:cstheme="minorBidi"/>
              <w:noProof/>
              <w:lang w:val="en-GB"/>
            </w:rPr>
          </w:pPr>
          <w:hyperlink w:anchor="_Toc236488419" w:history="1">
            <w:r w:rsidR="00F3466A" w:rsidRPr="001D4C29">
              <w:rPr>
                <w:rStyle w:val="Hyperlink"/>
                <w:iCs/>
                <w:noProof/>
                <w:lang w:val="en-GB"/>
              </w:rPr>
              <w:t>Highlighting the importance of leadership, governance and system thinking in driving change</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_Toc236488419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70257B40" w14:textId="77777777" w:rsidR="00F3466A" w:rsidRPr="001D4C29" w:rsidRDefault="003B163E">
          <w:pPr>
            <w:pStyle w:val="TOC1"/>
            <w:tabs>
              <w:tab w:val="right" w:leader="dot" w:pos="9016"/>
            </w:tabs>
            <w:rPr>
              <w:rFonts w:asciiTheme="minorHAnsi" w:eastAsiaTheme="minorEastAsia" w:hAnsiTheme="minorHAnsi" w:cstheme="minorBidi"/>
              <w:noProof/>
              <w:lang w:val="en-GB"/>
            </w:rPr>
          </w:pPr>
          <w:hyperlink w:anchor="_Toc236488420" w:history="1">
            <w:r w:rsidR="00F3466A" w:rsidRPr="001D4C29">
              <w:rPr>
                <w:rStyle w:val="Hyperlink"/>
                <w:noProof/>
                <w:lang w:val="en-GB"/>
              </w:rPr>
              <w:t>References</w:t>
            </w:r>
            <w:r w:rsidR="00F3466A" w:rsidRPr="001D4C29">
              <w:rPr>
                <w:noProof/>
                <w:webHidden/>
                <w:lang w:val="en-GB"/>
              </w:rPr>
              <w:tab/>
            </w:r>
            <w:r w:rsidR="00DA2333" w:rsidRPr="001D4C29">
              <w:rPr>
                <w:noProof/>
                <w:webHidden/>
                <w:lang w:val="en-GB"/>
              </w:rPr>
              <w:fldChar w:fldCharType="begin"/>
            </w:r>
            <w:r w:rsidR="00F3466A" w:rsidRPr="001D4C29">
              <w:rPr>
                <w:noProof/>
                <w:webHidden/>
                <w:lang w:val="en-GB"/>
              </w:rPr>
              <w:instrText xml:space="preserve"> PAGEREF _Toc236488420 \h </w:instrText>
            </w:r>
            <w:r w:rsidR="00DA2333" w:rsidRPr="001D4C29">
              <w:rPr>
                <w:noProof/>
                <w:webHidden/>
                <w:lang w:val="en-GB"/>
              </w:rPr>
            </w:r>
            <w:r w:rsidR="00DA2333" w:rsidRPr="001D4C29">
              <w:rPr>
                <w:noProof/>
                <w:webHidden/>
                <w:lang w:val="en-GB"/>
              </w:rPr>
              <w:fldChar w:fldCharType="separate"/>
            </w:r>
            <w:r w:rsidR="00F3466A" w:rsidRPr="001D4C29">
              <w:rPr>
                <w:noProof/>
                <w:webHidden/>
                <w:lang w:val="en-GB"/>
              </w:rPr>
              <w:t>1</w:t>
            </w:r>
            <w:r w:rsidR="00DA2333" w:rsidRPr="001D4C29">
              <w:rPr>
                <w:noProof/>
                <w:webHidden/>
                <w:lang w:val="en-GB"/>
              </w:rPr>
              <w:fldChar w:fldCharType="end"/>
            </w:r>
          </w:hyperlink>
        </w:p>
        <w:p w14:paraId="68F64AA5" w14:textId="77777777" w:rsidR="00D57181" w:rsidRPr="001D4C29" w:rsidRDefault="00DA2333">
          <w:pPr>
            <w:rPr>
              <w:lang w:val="en-GB"/>
            </w:rPr>
          </w:pPr>
          <w:r w:rsidRPr="001D4C29">
            <w:rPr>
              <w:lang w:val="en-GB"/>
            </w:rPr>
            <w:fldChar w:fldCharType="end"/>
          </w:r>
        </w:p>
      </w:sdtContent>
    </w:sdt>
    <w:p w14:paraId="4B9A9AA5" w14:textId="77777777" w:rsidR="00D57181" w:rsidRPr="001D4C29" w:rsidRDefault="00F3466A">
      <w:pPr>
        <w:jc w:val="left"/>
        <w:rPr>
          <w:b/>
          <w:bCs/>
          <w:lang w:val="en-GB"/>
        </w:rPr>
      </w:pPr>
      <w:r w:rsidRPr="001D4C29">
        <w:rPr>
          <w:lang w:val="en-GB"/>
        </w:rPr>
        <w:br w:type="page"/>
      </w:r>
    </w:p>
    <w:p w14:paraId="052B8BB4" w14:textId="77777777" w:rsidR="00D57181" w:rsidRPr="001D4C29" w:rsidRDefault="00F3466A">
      <w:pPr>
        <w:pStyle w:val="Heading1"/>
        <w:rPr>
          <w:lang w:val="en-GB"/>
        </w:rPr>
      </w:pPr>
      <w:bookmarkStart w:id="0" w:name="_Toc236488380"/>
      <w:r w:rsidRPr="001D4C29">
        <w:rPr>
          <w:lang w:val="en-GB"/>
        </w:rPr>
        <w:lastRenderedPageBreak/>
        <w:t>Introduction</w:t>
      </w:r>
      <w:bookmarkEnd w:id="0"/>
    </w:p>
    <w:p w14:paraId="729B311C" w14:textId="77777777" w:rsidR="00D57181" w:rsidRPr="001D4C29" w:rsidRDefault="00F3466A">
      <w:pPr>
        <w:pStyle w:val="Heading2"/>
        <w:rPr>
          <w:lang w:val="en-GB"/>
        </w:rPr>
      </w:pPr>
      <w:bookmarkStart w:id="1" w:name="_Toc236488381"/>
      <w:r w:rsidRPr="001D4C29">
        <w:rPr>
          <w:lang w:val="en-GB"/>
        </w:rPr>
        <w:t>Background and purpose</w:t>
      </w:r>
      <w:bookmarkEnd w:id="1"/>
    </w:p>
    <w:p w14:paraId="46B7EC44" w14:textId="77777777" w:rsidR="00D57181" w:rsidRPr="001D4C29" w:rsidRDefault="00F3466A">
      <w:pPr>
        <w:spacing w:after="0"/>
        <w:rPr>
          <w:lang w:val="en-GB"/>
        </w:rPr>
      </w:pPr>
      <w:r w:rsidRPr="001D4C29">
        <w:rPr>
          <w:lang w:val="en-GB"/>
        </w:rPr>
        <w:t xml:space="preserve">The case study of Patient X is analysed and experienced a healthcare emergency and was taken to hospitals due to shortness of breath and nose bleeds. The medical team paused patient X’s regular apixaban due to his nose bleeds and the procedure was delayed due to poor engagement and communication between the teams, leading to the death of patient X. The report evaluates the case study of Patient X for identifying the leadership issues and poor team engagement that caused fatal consequences for Patient X. The leadership theories and style </w:t>
      </w:r>
      <w:r w:rsidR="0071154C" w:rsidRPr="001D4C29">
        <w:rPr>
          <w:lang w:val="en-GB"/>
        </w:rPr>
        <w:t>are</w:t>
      </w:r>
      <w:r w:rsidRPr="001D4C29">
        <w:rPr>
          <w:lang w:val="en-GB"/>
        </w:rPr>
        <w:t xml:space="preserve"> also discussed that are effective for guiding the team engagement and improve overall patient outcome. </w:t>
      </w:r>
    </w:p>
    <w:p w14:paraId="18EFD887" w14:textId="77777777" w:rsidR="00D57181" w:rsidRPr="001D4C29" w:rsidRDefault="00F3466A">
      <w:pPr>
        <w:pStyle w:val="Heading2"/>
        <w:rPr>
          <w:lang w:val="en-GB"/>
        </w:rPr>
      </w:pPr>
      <w:bookmarkStart w:id="2" w:name="_Toc236488382"/>
      <w:r w:rsidRPr="001D4C29">
        <w:rPr>
          <w:lang w:val="en-GB"/>
        </w:rPr>
        <w:t>Leadership significance</w:t>
      </w:r>
      <w:bookmarkEnd w:id="2"/>
    </w:p>
    <w:p w14:paraId="44527521" w14:textId="77777777" w:rsidR="00D57181" w:rsidRPr="001D4C29" w:rsidRDefault="00F3466A">
      <w:pPr>
        <w:spacing w:after="0"/>
        <w:rPr>
          <w:lang w:val="en-GB"/>
        </w:rPr>
      </w:pPr>
      <w:r w:rsidRPr="001D4C29">
        <w:rPr>
          <w:lang w:val="en-GB"/>
        </w:rPr>
        <w:t xml:space="preserve">Leadership is significant in the healthcare setting for strengthening patient outcomes through enhancing team engagement, communication and driving individual adaptability. Giallouros </w:t>
      </w:r>
      <w:r w:rsidRPr="001D4C29">
        <w:rPr>
          <w:i/>
          <w:iCs/>
          <w:lang w:val="en-GB"/>
        </w:rPr>
        <w:t>et al.</w:t>
      </w:r>
      <w:r w:rsidRPr="001D4C29">
        <w:rPr>
          <w:lang w:val="en-GB"/>
        </w:rPr>
        <w:t xml:space="preserve"> (2024) outlined that leadership assists in achieving shared goals and elicit greater engagement among healthcare professionals based on leadership factors including shared decision making and organizational vision. In case of Patient X, the poor engagement and collaboration between the medical team led to delay in apixaban and caused a fatal stroke. </w:t>
      </w:r>
    </w:p>
    <w:p w14:paraId="2A6454C5" w14:textId="77777777" w:rsidR="00D57181" w:rsidRPr="001D4C29" w:rsidRDefault="00F3466A">
      <w:pPr>
        <w:pStyle w:val="Heading2"/>
        <w:rPr>
          <w:lang w:val="en-GB"/>
        </w:rPr>
      </w:pPr>
      <w:bookmarkStart w:id="3" w:name="_Toc236488383"/>
      <w:r w:rsidRPr="001D4C29">
        <w:rPr>
          <w:lang w:val="en-GB"/>
        </w:rPr>
        <w:t>Describing centralization and decentralization and key leadership theories</w:t>
      </w:r>
      <w:bookmarkEnd w:id="3"/>
    </w:p>
    <w:p w14:paraId="6614E4FA" w14:textId="77777777" w:rsidR="00D57181" w:rsidRPr="001D4C29" w:rsidRDefault="00F3466A">
      <w:pPr>
        <w:spacing w:after="0"/>
        <w:rPr>
          <w:lang w:val="en-GB"/>
        </w:rPr>
      </w:pPr>
      <w:r w:rsidRPr="001D4C29">
        <w:rPr>
          <w:lang w:val="en-GB"/>
        </w:rPr>
        <w:t xml:space="preserve">The centralisation and decentralization represent two contrasting governance models in healthcare that influence healthcare decision management and improve team engagement and collaboration. Shishkin </w:t>
      </w:r>
      <w:r w:rsidRPr="001D4C29">
        <w:rPr>
          <w:i/>
          <w:iCs/>
          <w:lang w:val="en-GB"/>
        </w:rPr>
        <w:t>et al.</w:t>
      </w:r>
      <w:r w:rsidRPr="001D4C29">
        <w:rPr>
          <w:lang w:val="en-GB"/>
        </w:rPr>
        <w:t xml:space="preserve"> (2025) outlined that the use of centralized governance systems in healthcare integrates a multi-level system of medical care, focusing on centralized decision making. On the other hand, Ferrario</w:t>
      </w:r>
      <w:r w:rsidRPr="001D4C29">
        <w:rPr>
          <w:i/>
          <w:iCs/>
          <w:lang w:val="en-GB"/>
        </w:rPr>
        <w:t xml:space="preserve"> et al.</w:t>
      </w:r>
      <w:r w:rsidRPr="001D4C29">
        <w:rPr>
          <w:lang w:val="en-GB"/>
        </w:rPr>
        <w:t xml:space="preserve"> (2023) outlined that decentralisation governance processes divide distinct aspects of healthcare processes to enhance efficiency and reduce decision making burden on unified elements. Several leadership theories are related to this case such as transformation leadership, transactional leadership, emphasis on embracing change, and improving safety culture. </w:t>
      </w:r>
    </w:p>
    <w:p w14:paraId="4AA13BBD" w14:textId="77777777" w:rsidR="00D57181" w:rsidRPr="001D4C29" w:rsidRDefault="00F3466A">
      <w:pPr>
        <w:pStyle w:val="Heading2"/>
        <w:rPr>
          <w:lang w:val="en-GB"/>
        </w:rPr>
      </w:pPr>
      <w:bookmarkStart w:id="4" w:name="_Toc236488384"/>
      <w:r w:rsidRPr="001D4C29">
        <w:rPr>
          <w:lang w:val="en-GB"/>
        </w:rPr>
        <w:t>Significance of selecting the right leadership style and report context</w:t>
      </w:r>
      <w:bookmarkEnd w:id="4"/>
    </w:p>
    <w:p w14:paraId="267D913C" w14:textId="77777777" w:rsidR="00D57181" w:rsidRPr="001D4C29" w:rsidRDefault="00F3466A">
      <w:pPr>
        <w:spacing w:after="0"/>
        <w:rPr>
          <w:lang w:val="en-GB"/>
        </w:rPr>
      </w:pPr>
      <w:r w:rsidRPr="001D4C29">
        <w:rPr>
          <w:lang w:val="en-GB"/>
        </w:rPr>
        <w:t>Selecting an appropriate leadership style and approach in the healthcare setting is critical for managing change and responding to crises such as in the case of patient X. Thompson</w:t>
      </w:r>
      <w:r w:rsidRPr="001D4C29">
        <w:rPr>
          <w:i/>
          <w:iCs/>
          <w:lang w:val="en-GB"/>
        </w:rPr>
        <w:t xml:space="preserve"> et al. </w:t>
      </w:r>
      <w:r w:rsidRPr="001D4C29">
        <w:rPr>
          <w:lang w:val="en-GB"/>
        </w:rPr>
        <w:t xml:space="preserve">(2025) have defined that ineffective leadership reflects a lack of self-awareness, social awareness, poor engagement and collaboration, causing destruction and poor team-working capabilities. In contrast, strong leadership is associated with promoting teamwork, clarity and timely intentions for enhancing patient outcomes. Thus, the report analyses leadership styles effectiveness, analysing governance structures such as centralisation and decentralization and provides recommendations for improving leadership practices. </w:t>
      </w:r>
    </w:p>
    <w:p w14:paraId="3A3980E4" w14:textId="77777777" w:rsidR="00D57181" w:rsidRPr="001D4C29" w:rsidRDefault="00F3466A">
      <w:pPr>
        <w:pStyle w:val="Heading1"/>
        <w:rPr>
          <w:lang w:val="en-GB"/>
        </w:rPr>
      </w:pPr>
      <w:bookmarkStart w:id="5" w:name="_Toc236488385"/>
      <w:r w:rsidRPr="001D4C29">
        <w:rPr>
          <w:lang w:val="en-GB"/>
        </w:rPr>
        <w:lastRenderedPageBreak/>
        <w:t>Main Body and Analysis</w:t>
      </w:r>
      <w:bookmarkEnd w:id="5"/>
    </w:p>
    <w:p w14:paraId="4B12795A" w14:textId="77777777" w:rsidR="00D57181" w:rsidRPr="001D4C29" w:rsidRDefault="00F3466A">
      <w:pPr>
        <w:pStyle w:val="Heading1"/>
        <w:rPr>
          <w:lang w:val="en-GB"/>
        </w:rPr>
      </w:pPr>
      <w:bookmarkStart w:id="6" w:name="_Toc236488386"/>
      <w:r w:rsidRPr="001D4C29">
        <w:rPr>
          <w:lang w:val="en-GB"/>
        </w:rPr>
        <w:t>a. Identifying the Problem and Setting the System Context</w:t>
      </w:r>
      <w:bookmarkEnd w:id="6"/>
    </w:p>
    <w:p w14:paraId="1EC65953" w14:textId="77777777" w:rsidR="00BC3252" w:rsidRPr="001D4C29" w:rsidRDefault="00BC3252" w:rsidP="00BC3252">
      <w:pPr>
        <w:rPr>
          <w:lang w:val="en-GB"/>
        </w:rPr>
      </w:pPr>
      <w:r w:rsidRPr="001D4C29">
        <w:rPr>
          <w:lang w:val="en-GB"/>
        </w:rPr>
        <w:t>The major problem from the case study has been prolonged interruption and subsequent failure to restart an 87-years old patient’s anticoagulant medication such as Apixaban. However, the initial decision to pause the medication was clinically suitable because of negative side effects such as nose bleeding. However, the lack of repeated risk assessment, delayed specialist interventions, fragmented communication and insufficient electronic prompts contributed to Patient X without apixaban for 10 days. Likewise, the medication was not restarted and the patient experienced a stroke and later died due to not restarting the medicine.</w:t>
      </w:r>
    </w:p>
    <w:p w14:paraId="3A5D80A5" w14:textId="77777777" w:rsidR="00D57181" w:rsidRPr="001D4C29" w:rsidRDefault="00F3466A">
      <w:pPr>
        <w:pStyle w:val="Heading2"/>
        <w:rPr>
          <w:lang w:val="en-GB"/>
        </w:rPr>
      </w:pPr>
      <w:bookmarkStart w:id="7" w:name="_Toc236488387"/>
      <w:r w:rsidRPr="001D4C29">
        <w:rPr>
          <w:lang w:val="en-GB"/>
        </w:rPr>
        <w:t>Global statistical information about the issue</w:t>
      </w:r>
      <w:bookmarkEnd w:id="7"/>
    </w:p>
    <w:p w14:paraId="301D1C53" w14:textId="77777777" w:rsidR="00D57181" w:rsidRPr="001D4C29" w:rsidRDefault="00F3466A">
      <w:pPr>
        <w:rPr>
          <w:lang w:val="en-GB"/>
        </w:rPr>
      </w:pPr>
      <w:r w:rsidRPr="001D4C29">
        <w:rPr>
          <w:lang w:val="en-GB"/>
        </w:rPr>
        <w:t xml:space="preserve">The treatment delays and preventative issues affecting patients has become a major concern in the global healthcare sector that is affecting patient safety and reflecting on poor healthcare organizations accountability. As per the statistics of WHO, around 1 in 20 patients that is around 50% of harm, experience significant harm due to medication negligence that is preventable (WHO, 2023). The patient safety risks and harm are derived majorly from the medication negligence and poor management of the patient. 4 in 10 patients experience medical negligence related harm that is 80% avoidable through active engagement between patents and medical professionals (WHO, 2023). </w:t>
      </w:r>
    </w:p>
    <w:p w14:paraId="67D46295" w14:textId="77777777" w:rsidR="00D57181" w:rsidRPr="001D4C29" w:rsidRDefault="00F3466A">
      <w:pPr>
        <w:jc w:val="center"/>
        <w:rPr>
          <w:lang w:val="en-GB"/>
        </w:rPr>
      </w:pPr>
      <w:r w:rsidRPr="001D4C29">
        <w:rPr>
          <w:noProof/>
          <w:lang w:val="en-GB" w:eastAsia="en-US"/>
        </w:rPr>
        <w:drawing>
          <wp:inline distT="114300" distB="114300" distL="114300" distR="114300" wp14:anchorId="54344C4D" wp14:editId="75601A69">
            <wp:extent cx="6200775" cy="2191988"/>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6200775" cy="2191988"/>
                    </a:xfrm>
                    <a:prstGeom prst="rect">
                      <a:avLst/>
                    </a:prstGeom>
                    <a:ln w="12700">
                      <a:solidFill>
                        <a:srgbClr val="000000"/>
                      </a:solidFill>
                      <a:prstDash val="solid"/>
                    </a:ln>
                  </pic:spPr>
                </pic:pic>
              </a:graphicData>
            </a:graphic>
          </wp:inline>
        </w:drawing>
      </w:r>
    </w:p>
    <w:p w14:paraId="59D6E470" w14:textId="77777777" w:rsidR="00D57181" w:rsidRPr="001D4C29" w:rsidRDefault="00F3466A">
      <w:pPr>
        <w:jc w:val="center"/>
        <w:rPr>
          <w:b/>
          <w:bCs/>
          <w:lang w:val="en-GB"/>
        </w:rPr>
      </w:pPr>
      <w:r w:rsidRPr="001D4C29">
        <w:rPr>
          <w:b/>
          <w:bCs/>
          <w:lang w:val="en-GB"/>
        </w:rPr>
        <w:t xml:space="preserve">Figure 1: Excess death rates due to intervention delays </w:t>
      </w:r>
    </w:p>
    <w:p w14:paraId="240695A0" w14:textId="77777777" w:rsidR="00D57181" w:rsidRPr="001D4C29" w:rsidRDefault="00F3466A">
      <w:pPr>
        <w:jc w:val="center"/>
        <w:rPr>
          <w:lang w:val="en-GB"/>
        </w:rPr>
      </w:pPr>
      <w:r w:rsidRPr="001D4C29">
        <w:rPr>
          <w:lang w:val="en-GB"/>
        </w:rPr>
        <w:t>(Source: WHO, 2026)</w:t>
      </w:r>
    </w:p>
    <w:p w14:paraId="2BA6D50C" w14:textId="77777777" w:rsidR="00D57181" w:rsidRPr="001D4C29" w:rsidRDefault="00F3466A">
      <w:pPr>
        <w:pStyle w:val="Heading2"/>
        <w:rPr>
          <w:lang w:val="en-GB"/>
        </w:rPr>
      </w:pPr>
      <w:bookmarkStart w:id="8" w:name="_Toc236488388"/>
      <w:r w:rsidRPr="001D4C29">
        <w:rPr>
          <w:lang w:val="en-GB"/>
        </w:rPr>
        <w:t>National statistical information about the issue</w:t>
      </w:r>
      <w:bookmarkEnd w:id="8"/>
    </w:p>
    <w:p w14:paraId="3A47F07F" w14:textId="77777777" w:rsidR="00D57181" w:rsidRPr="001D4C29" w:rsidRDefault="00F3466A">
      <w:pPr>
        <w:rPr>
          <w:lang w:val="en-GB"/>
        </w:rPr>
      </w:pPr>
      <w:r w:rsidRPr="001D4C29">
        <w:rPr>
          <w:lang w:val="en-GB"/>
        </w:rPr>
        <w:t xml:space="preserve">The treatment delays and medical negligence is a systematic issue in the UK that directly impacts the wellbeing and safety of the patient in the healthcare setting. The issue of </w:t>
      </w:r>
      <w:r w:rsidRPr="001D4C29">
        <w:rPr>
          <w:lang w:val="en-GB"/>
        </w:rPr>
        <w:lastRenderedPageBreak/>
        <w:t xml:space="preserve">treatment delays in the UK accounts for 14.8% of total treatment times in 2024 that was even higher in 2021 with 19.3% (GOV, 2026). The rate of treatment delays in UK healthcare settings may exceed to over 4 to 6 months. Similarly, in case of patient X, the treatment delays and negligence of the patient's condition was a major factor that caused fatal stroke to patient X. </w:t>
      </w:r>
    </w:p>
    <w:p w14:paraId="74E20862" w14:textId="77777777" w:rsidR="00D57181" w:rsidRPr="001D4C29" w:rsidRDefault="00F3466A">
      <w:pPr>
        <w:jc w:val="center"/>
        <w:rPr>
          <w:lang w:val="en-GB"/>
        </w:rPr>
      </w:pPr>
      <w:r w:rsidRPr="001D4C29">
        <w:rPr>
          <w:noProof/>
          <w:lang w:val="en-GB" w:eastAsia="en-US"/>
        </w:rPr>
        <w:drawing>
          <wp:inline distT="114300" distB="114300" distL="114300" distR="114300" wp14:anchorId="02E21254" wp14:editId="35E5CE73">
            <wp:extent cx="5943600" cy="39116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911600"/>
                    </a:xfrm>
                    <a:prstGeom prst="rect">
                      <a:avLst/>
                    </a:prstGeom>
                    <a:ln w="12700">
                      <a:solidFill>
                        <a:srgbClr val="000000"/>
                      </a:solidFill>
                      <a:prstDash val="solid"/>
                    </a:ln>
                  </pic:spPr>
                </pic:pic>
              </a:graphicData>
            </a:graphic>
          </wp:inline>
        </w:drawing>
      </w:r>
    </w:p>
    <w:p w14:paraId="1E68860C" w14:textId="77777777" w:rsidR="00D57181" w:rsidRPr="001D4C29" w:rsidRDefault="00F3466A">
      <w:pPr>
        <w:jc w:val="center"/>
        <w:rPr>
          <w:b/>
          <w:bCs/>
          <w:lang w:val="en-GB"/>
        </w:rPr>
      </w:pPr>
      <w:r w:rsidRPr="001D4C29">
        <w:rPr>
          <w:b/>
          <w:bCs/>
          <w:lang w:val="en-GB"/>
        </w:rPr>
        <w:t xml:space="preserve">Figure 2: Treatment delays issues in UK healthcare </w:t>
      </w:r>
    </w:p>
    <w:p w14:paraId="2AEB4A4F" w14:textId="77777777" w:rsidR="00D57181" w:rsidRPr="001D4C29" w:rsidRDefault="00F3466A">
      <w:pPr>
        <w:jc w:val="center"/>
        <w:rPr>
          <w:lang w:val="en-GB"/>
        </w:rPr>
      </w:pPr>
      <w:r w:rsidRPr="001D4C29">
        <w:rPr>
          <w:lang w:val="en-GB"/>
        </w:rPr>
        <w:t>(Source: GOV, 2026)</w:t>
      </w:r>
    </w:p>
    <w:p w14:paraId="1F8E8B46" w14:textId="77777777" w:rsidR="00D57181" w:rsidRPr="001D4C29" w:rsidRDefault="00F3466A">
      <w:pPr>
        <w:pStyle w:val="Heading2"/>
        <w:rPr>
          <w:lang w:val="en-GB"/>
        </w:rPr>
      </w:pPr>
      <w:bookmarkStart w:id="9" w:name="_Toc236488389"/>
      <w:r w:rsidRPr="001D4C29">
        <w:rPr>
          <w:lang w:val="en-GB"/>
        </w:rPr>
        <w:t>Figures from national organisations revelation in connection to worldwide presentation</w:t>
      </w:r>
      <w:bookmarkEnd w:id="9"/>
    </w:p>
    <w:p w14:paraId="3A81B65A" w14:textId="77777777" w:rsidR="00D57181" w:rsidRPr="001D4C29" w:rsidRDefault="00F3466A">
      <w:pPr>
        <w:rPr>
          <w:lang w:val="en-GB"/>
        </w:rPr>
      </w:pPr>
      <w:r w:rsidRPr="001D4C29">
        <w:rPr>
          <w:lang w:val="en-GB"/>
        </w:rPr>
        <w:t xml:space="preserve">The national organizations for healthcare in the UK such as the Institute for Healthcare Improvement (IHI) for patient safety and care consider medication errors and delays as a major factor impacting patient outcome. Mira </w:t>
      </w:r>
      <w:r w:rsidRPr="001D4C29">
        <w:rPr>
          <w:i/>
          <w:iCs/>
          <w:lang w:val="en-GB"/>
        </w:rPr>
        <w:t>et al.</w:t>
      </w:r>
      <w:r w:rsidRPr="001D4C29">
        <w:rPr>
          <w:lang w:val="en-GB"/>
        </w:rPr>
        <w:t xml:space="preserve"> (2025) outlined that IHI has integrated Framework for Safe, Reliable and Effective Care for supporting learning based approach for error management, integrating clinical errors and team engagement. Moreover, Camacho </w:t>
      </w:r>
      <w:r w:rsidRPr="001D4C29">
        <w:rPr>
          <w:i/>
          <w:iCs/>
          <w:lang w:val="en-GB"/>
        </w:rPr>
        <w:t xml:space="preserve">et al. </w:t>
      </w:r>
      <w:r w:rsidRPr="001D4C29">
        <w:rPr>
          <w:lang w:val="en-GB"/>
        </w:rPr>
        <w:t xml:space="preserve">(2024) have also argued that around 237 million errors are occurring in the national healthcare systems in England, causing £98 million to the NHS every year. Thus, the management of these issues including the medical negligence and treatment delays are significant for reducing healthcare costs and improving patient safety. </w:t>
      </w:r>
    </w:p>
    <w:p w14:paraId="1D3D5DD5" w14:textId="77777777" w:rsidR="00D57181" w:rsidRPr="001D4C29" w:rsidRDefault="00F3466A">
      <w:pPr>
        <w:pStyle w:val="Heading2"/>
        <w:rPr>
          <w:lang w:val="en-GB"/>
        </w:rPr>
      </w:pPr>
      <w:bookmarkStart w:id="10" w:name="_Toc236488390"/>
      <w:r w:rsidRPr="001D4C29">
        <w:rPr>
          <w:lang w:val="en-GB"/>
        </w:rPr>
        <w:lastRenderedPageBreak/>
        <w:t>Systemic weaknesses reflected from the problem</w:t>
      </w:r>
      <w:bookmarkEnd w:id="10"/>
    </w:p>
    <w:p w14:paraId="564584A0" w14:textId="77777777" w:rsidR="00D57181" w:rsidRPr="001D4C29" w:rsidRDefault="00F3466A">
      <w:pPr>
        <w:rPr>
          <w:lang w:val="en-GB"/>
        </w:rPr>
      </w:pPr>
      <w:r w:rsidRPr="001D4C29">
        <w:rPr>
          <w:lang w:val="en-GB"/>
        </w:rPr>
        <w:t xml:space="preserve">As mentioned in the below figure, the key causes of medical errors and delays that was also seen in Patient X’s case was poor communication, negligence and poor leadership. The view of Alhewiti (2025) argued that around 84% of patients consider medical errors as a real problem as it causes treatment delays and misdiagnosis. Poor </w:t>
      </w:r>
      <w:r w:rsidR="001D4C29" w:rsidRPr="001D4C29">
        <w:rPr>
          <w:lang w:val="en-GB"/>
        </w:rPr>
        <w:t>communication along with ineffective leadership is</w:t>
      </w:r>
      <w:r w:rsidRPr="001D4C29">
        <w:rPr>
          <w:lang w:val="en-GB"/>
        </w:rPr>
        <w:t xml:space="preserve"> major weaknesses that cause the risks of medical negligence in the healthcare systems. Ogueji</w:t>
      </w:r>
      <w:r w:rsidRPr="001D4C29">
        <w:rPr>
          <w:i/>
          <w:iCs/>
          <w:lang w:val="en-GB"/>
        </w:rPr>
        <w:t xml:space="preserve"> et al.</w:t>
      </w:r>
      <w:r w:rsidRPr="001D4C29">
        <w:rPr>
          <w:lang w:val="en-GB"/>
        </w:rPr>
        <w:t xml:space="preserve"> (2024) emphasised that poor communication among healthcare providers during multidisciplinary management of patients causes misunderstanding and failure in care. In case of patient X, the poor engagement and communication between the medical team leads to the treatment delays of patient by 10 days and causes fatal stroke. Thus, leadership and governance inefficiency weakened policies and legal interventions for addressing medical negligence and delayed patients' access to care. </w:t>
      </w:r>
    </w:p>
    <w:p w14:paraId="43FDDC92" w14:textId="77777777" w:rsidR="00D57181" w:rsidRPr="001D4C29" w:rsidRDefault="00F3466A">
      <w:pPr>
        <w:jc w:val="center"/>
        <w:rPr>
          <w:lang w:val="en-GB"/>
        </w:rPr>
      </w:pPr>
      <w:r w:rsidRPr="001D4C29">
        <w:rPr>
          <w:noProof/>
          <w:lang w:val="en-GB" w:eastAsia="en-US"/>
        </w:rPr>
        <w:drawing>
          <wp:inline distT="114300" distB="114300" distL="114300" distR="114300" wp14:anchorId="4C2DD284" wp14:editId="14F20066">
            <wp:extent cx="5190122" cy="4619209"/>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190122" cy="4619209"/>
                    </a:xfrm>
                    <a:prstGeom prst="rect">
                      <a:avLst/>
                    </a:prstGeom>
                    <a:ln w="12700">
                      <a:solidFill>
                        <a:srgbClr val="000000"/>
                      </a:solidFill>
                      <a:prstDash val="solid"/>
                    </a:ln>
                  </pic:spPr>
                </pic:pic>
              </a:graphicData>
            </a:graphic>
          </wp:inline>
        </w:drawing>
      </w:r>
    </w:p>
    <w:p w14:paraId="7D039CD6" w14:textId="77777777" w:rsidR="00D57181" w:rsidRPr="001D4C29" w:rsidRDefault="00F3466A">
      <w:pPr>
        <w:jc w:val="center"/>
        <w:rPr>
          <w:b/>
          <w:bCs/>
          <w:lang w:val="en-GB"/>
        </w:rPr>
      </w:pPr>
      <w:r w:rsidRPr="001D4C29">
        <w:rPr>
          <w:b/>
          <w:bCs/>
          <w:lang w:val="en-GB"/>
        </w:rPr>
        <w:t xml:space="preserve">Figure 3: Different causes of medical errors </w:t>
      </w:r>
    </w:p>
    <w:p w14:paraId="0EA4A8BE" w14:textId="77777777" w:rsidR="00D57181" w:rsidRPr="001D4C29" w:rsidRDefault="00F3466A">
      <w:pPr>
        <w:jc w:val="center"/>
        <w:rPr>
          <w:lang w:val="en-GB"/>
        </w:rPr>
      </w:pPr>
      <w:r w:rsidRPr="001D4C29">
        <w:rPr>
          <w:lang w:val="en-GB"/>
        </w:rPr>
        <w:t>(Source: Alhewiti, 2025)</w:t>
      </w:r>
    </w:p>
    <w:p w14:paraId="5DEA432F" w14:textId="77777777" w:rsidR="00D57181" w:rsidRPr="001D4C29" w:rsidRDefault="00F3466A">
      <w:pPr>
        <w:pStyle w:val="Heading2"/>
        <w:rPr>
          <w:lang w:val="en-GB"/>
        </w:rPr>
      </w:pPr>
      <w:bookmarkStart w:id="11" w:name="_Toc236488391"/>
      <w:r w:rsidRPr="001D4C29">
        <w:rPr>
          <w:lang w:val="en-GB"/>
        </w:rPr>
        <w:lastRenderedPageBreak/>
        <w:t>Identifying the level of governance influence on the problem</w:t>
      </w:r>
      <w:bookmarkEnd w:id="11"/>
    </w:p>
    <w:p w14:paraId="7F204AD2" w14:textId="77777777" w:rsidR="00D57181" w:rsidRPr="001D4C29" w:rsidRDefault="00F3466A">
      <w:pPr>
        <w:rPr>
          <w:lang w:val="en-GB"/>
        </w:rPr>
      </w:pPr>
      <w:r w:rsidRPr="001D4C29">
        <w:rPr>
          <w:lang w:val="en-GB"/>
        </w:rPr>
        <w:t xml:space="preserve">The level of governance inducing the issues of medical errors and treatment delays to span both national and local dimension. As per the case study NHS Trust two was responsible for implementing policies, ensuring safe clinical practices and staff compliance. The NHS has integrated the NHS Patient Safety Strategy that ensures continuous patient monitoring for building patient safety culture along with investing £100 million in care costs (NHS, 2026). </w:t>
      </w:r>
    </w:p>
    <w:p w14:paraId="14E357F2" w14:textId="77777777" w:rsidR="00D57181" w:rsidRPr="001D4C29" w:rsidRDefault="00F3466A">
      <w:pPr>
        <w:jc w:val="center"/>
        <w:rPr>
          <w:lang w:val="en-GB"/>
        </w:rPr>
      </w:pPr>
      <w:r w:rsidRPr="001D4C29">
        <w:rPr>
          <w:noProof/>
          <w:lang w:val="en-GB" w:eastAsia="en-US"/>
        </w:rPr>
        <w:drawing>
          <wp:inline distT="114300" distB="114300" distL="114300" distR="114300" wp14:anchorId="230618DB" wp14:editId="3BF44E32">
            <wp:extent cx="5738813" cy="45720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l="3511"/>
                    <a:stretch>
                      <a:fillRect/>
                    </a:stretch>
                  </pic:blipFill>
                  <pic:spPr>
                    <a:xfrm>
                      <a:off x="0" y="0"/>
                      <a:ext cx="5738813" cy="4572000"/>
                    </a:xfrm>
                    <a:prstGeom prst="rect">
                      <a:avLst/>
                    </a:prstGeom>
                    <a:ln w="12700">
                      <a:solidFill>
                        <a:srgbClr val="000000"/>
                      </a:solidFill>
                      <a:prstDash val="solid"/>
                    </a:ln>
                  </pic:spPr>
                </pic:pic>
              </a:graphicData>
            </a:graphic>
          </wp:inline>
        </w:drawing>
      </w:r>
    </w:p>
    <w:p w14:paraId="70B1A9EA" w14:textId="77777777" w:rsidR="00D57181" w:rsidRPr="001D4C29" w:rsidRDefault="001D4C29">
      <w:pPr>
        <w:jc w:val="center"/>
        <w:rPr>
          <w:b/>
          <w:bCs/>
          <w:lang w:val="en-GB"/>
        </w:rPr>
      </w:pPr>
      <w:r>
        <w:rPr>
          <w:b/>
          <w:bCs/>
          <w:lang w:val="en-GB"/>
        </w:rPr>
        <w:t>Figure 4</w:t>
      </w:r>
      <w:r w:rsidR="00F3466A" w:rsidRPr="001D4C29">
        <w:rPr>
          <w:b/>
          <w:bCs/>
          <w:lang w:val="en-GB"/>
        </w:rPr>
        <w:t xml:space="preserve">: Clinical audit cycle by NICE in UK </w:t>
      </w:r>
    </w:p>
    <w:p w14:paraId="6AD06F64" w14:textId="77777777" w:rsidR="00D57181" w:rsidRPr="001D4C29" w:rsidRDefault="00F3466A">
      <w:pPr>
        <w:jc w:val="center"/>
        <w:rPr>
          <w:lang w:val="en-GB"/>
        </w:rPr>
      </w:pPr>
      <w:r w:rsidRPr="001D4C29">
        <w:rPr>
          <w:lang w:val="en-GB"/>
        </w:rPr>
        <w:t>(Source: NICE, 2026)</w:t>
      </w:r>
    </w:p>
    <w:p w14:paraId="594E330E" w14:textId="77777777" w:rsidR="00D57181" w:rsidRPr="001D4C29" w:rsidRDefault="00F3466A">
      <w:pPr>
        <w:rPr>
          <w:lang w:val="en-GB"/>
        </w:rPr>
      </w:pPr>
      <w:r w:rsidRPr="001D4C29">
        <w:rPr>
          <w:lang w:val="en-GB"/>
        </w:rPr>
        <w:t xml:space="preserve">On national levels, regulatory organizations including NICE have integrated Principles for Best Practice in Clinical Audit for conducting investigation on medical errors and medical negligence cases to enhance outcome. NICE provides strategic guidelines for conducting audits for medical negligence under IHI to patient safety resources and standards to investigate underlying issues (NICE, 2026). Moreover, a recent national survey on 1800 adults in the UK has outlined that around 23% of patients experience a form of medical errors putting patient life at risk by missing out on treatments (Campbell, 2025). Thus, governance of the issues based on decentralized governance structure is effective and </w:t>
      </w:r>
      <w:r w:rsidRPr="001D4C29">
        <w:rPr>
          <w:lang w:val="en-GB"/>
        </w:rPr>
        <w:lastRenderedPageBreak/>
        <w:t xml:space="preserve">associated with boosting internal engagement and continuous tracking of patient treatment and medical conduction through information flow. </w:t>
      </w:r>
    </w:p>
    <w:p w14:paraId="2809974C" w14:textId="77777777" w:rsidR="00D57181" w:rsidRPr="001D4C29" w:rsidRDefault="00F3466A">
      <w:pPr>
        <w:pStyle w:val="Heading2"/>
        <w:rPr>
          <w:lang w:val="en-GB"/>
        </w:rPr>
      </w:pPr>
      <w:bookmarkStart w:id="12" w:name="_Toc236488392"/>
      <w:r w:rsidRPr="001D4C29">
        <w:rPr>
          <w:lang w:val="en-GB"/>
        </w:rPr>
        <w:t>Data on underlying challenges</w:t>
      </w:r>
      <w:bookmarkEnd w:id="12"/>
    </w:p>
    <w:p w14:paraId="12FE1814" w14:textId="77777777" w:rsidR="00D57181" w:rsidRPr="001D4C29" w:rsidRDefault="00F3466A">
      <w:pPr>
        <w:rPr>
          <w:lang w:val="en-GB"/>
        </w:rPr>
      </w:pPr>
      <w:r w:rsidRPr="001D4C29">
        <w:rPr>
          <w:lang w:val="en-GB"/>
        </w:rPr>
        <w:t>The treatment delays in the NHS Trust emergency department that caused delays in treatment of patient X can be caused by various underlying issues. For example, staff shortage is a major concern in UK healthcare systems as the NHS is currently experiencing a shortage of 7,474 secondary tax care medical staff shortage (BMA, 2026). Moreover, NHS is also facing a budget deficit of £4.4 billion that will impact the positive response of leadership in improving working culture and managing medical resources (NHS, 2026). Thus, financial inefficiencies and staff shortage are a major concern and issues faced by healthcare organizations that impact patient outcomes.</w:t>
      </w:r>
    </w:p>
    <w:p w14:paraId="38EE6619" w14:textId="77777777" w:rsidR="00D57181" w:rsidRPr="001D4C29" w:rsidRDefault="00F3466A">
      <w:pPr>
        <w:pStyle w:val="Heading1"/>
        <w:spacing w:before="0"/>
        <w:rPr>
          <w:lang w:val="en-GB"/>
        </w:rPr>
      </w:pPr>
      <w:bookmarkStart w:id="13" w:name="_heading=h.6fkwzowlirmb" w:colFirst="0" w:colLast="0"/>
      <w:bookmarkStart w:id="14" w:name="_Toc236488393"/>
      <w:bookmarkEnd w:id="13"/>
      <w:r w:rsidRPr="001D4C29">
        <w:rPr>
          <w:lang w:val="en-GB"/>
        </w:rPr>
        <w:t>b. Centralisation or Decentralisation within the Case Study</w:t>
      </w:r>
      <w:bookmarkEnd w:id="14"/>
    </w:p>
    <w:p w14:paraId="2CCF94B7" w14:textId="77777777" w:rsidR="00D57181" w:rsidRPr="001D4C29" w:rsidRDefault="00F3466A">
      <w:pPr>
        <w:pStyle w:val="Heading2"/>
        <w:spacing w:before="0"/>
        <w:rPr>
          <w:lang w:val="en-GB"/>
        </w:rPr>
      </w:pPr>
      <w:bookmarkStart w:id="15" w:name="_heading=h.307bg24qav0e" w:colFirst="0" w:colLast="0"/>
      <w:bookmarkStart w:id="16" w:name="_Toc236488394"/>
      <w:bookmarkEnd w:id="15"/>
      <w:r w:rsidRPr="001D4C29">
        <w:rPr>
          <w:lang w:val="en-GB"/>
        </w:rPr>
        <w:t>Organisational structure and decision-making in the case study</w:t>
      </w:r>
      <w:bookmarkEnd w:id="16"/>
    </w:p>
    <w:p w14:paraId="3288FCD5" w14:textId="77777777" w:rsidR="00D57181" w:rsidRPr="001D4C29" w:rsidRDefault="00F3466A">
      <w:pPr>
        <w:spacing w:after="0"/>
        <w:rPr>
          <w:lang w:val="en-GB"/>
        </w:rPr>
      </w:pPr>
      <w:r w:rsidRPr="001D4C29">
        <w:rPr>
          <w:lang w:val="en-GB"/>
        </w:rPr>
        <w:t xml:space="preserve">The organisation operates through a hybrid structure combining both centralised governance and decentralised clinical delivery. The centralised arrangements controlled specialist capacity, patient flow, digital systems and organisational policies. On the other </w:t>
      </w:r>
      <w:r w:rsidR="0071154C" w:rsidRPr="001D4C29">
        <w:rPr>
          <w:lang w:val="en-GB"/>
        </w:rPr>
        <w:t>hand,</w:t>
      </w:r>
      <w:r w:rsidRPr="001D4C29">
        <w:rPr>
          <w:lang w:val="en-GB"/>
        </w:rPr>
        <w:t xml:space="preserve"> ward teams retained responsibility for regular assessment and treatment through clinical delivery in a decentralised way. However, responsibilities were </w:t>
      </w:r>
      <w:r w:rsidR="001D4C29" w:rsidRPr="001D4C29">
        <w:rPr>
          <w:lang w:val="en-GB"/>
        </w:rPr>
        <w:t>distributed;</w:t>
      </w:r>
      <w:r w:rsidRPr="001D4C29">
        <w:rPr>
          <w:lang w:val="en-GB"/>
        </w:rPr>
        <w:t xml:space="preserve"> accountability for reviewing Patient X’s anticoagulation during delays was insufficiently integrated. This interaction between organisational levels influenced crisis management, decision-making and patient safety throughout the case.</w:t>
      </w:r>
    </w:p>
    <w:p w14:paraId="4C5854BD" w14:textId="77777777" w:rsidR="00D57181" w:rsidRPr="001D4C29" w:rsidRDefault="00F3466A">
      <w:pPr>
        <w:pStyle w:val="Heading2"/>
        <w:spacing w:before="0"/>
        <w:rPr>
          <w:lang w:val="en-GB"/>
        </w:rPr>
      </w:pPr>
      <w:bookmarkStart w:id="17" w:name="_heading=h.4r8m32yl03hi" w:colFirst="0" w:colLast="0"/>
      <w:bookmarkStart w:id="18" w:name="_Toc236488395"/>
      <w:bookmarkEnd w:id="17"/>
      <w:r w:rsidRPr="001D4C29">
        <w:rPr>
          <w:lang w:val="en-GB"/>
        </w:rPr>
        <w:t>Centralised decision-making: Application to the Case study 2</w:t>
      </w:r>
      <w:bookmarkEnd w:id="18"/>
    </w:p>
    <w:p w14:paraId="73B7BCEF" w14:textId="77777777" w:rsidR="00D57181" w:rsidRPr="001D4C29" w:rsidRDefault="00F3466A">
      <w:pPr>
        <w:spacing w:after="0"/>
        <w:rPr>
          <w:lang w:val="en-GB"/>
        </w:rPr>
      </w:pPr>
      <w:r w:rsidRPr="001D4C29">
        <w:rPr>
          <w:lang w:val="en-GB"/>
        </w:rPr>
        <w:t>The centralisation occurs when authority over major decisions, policies and resources are focused at senior organisational levels. The respiratory specialists controlled acceptance to the service, specialist beds and pleural procedures, however site-management teams coordinated the patient flow in this case. The patient was accepted by respiratory services but remained under the AGM consultant as no respiratory bed was available. In line with this, Mantzourani</w:t>
      </w:r>
      <w:r w:rsidRPr="001D4C29">
        <w:rPr>
          <w:i/>
          <w:iCs/>
          <w:lang w:val="en-GB"/>
        </w:rPr>
        <w:t xml:space="preserve"> et al.</w:t>
      </w:r>
      <w:r w:rsidRPr="001D4C29">
        <w:rPr>
          <w:lang w:val="en-GB"/>
        </w:rPr>
        <w:t xml:space="preserve"> (2022) stated that the implementation of EPR/ePMA systems was done centrally to standardise the medication information across the organisation. However, their design did not prompt staff to review paused medicine like Apixaban by describing that centralised technology might record information without ensuring the actions.</w:t>
      </w:r>
    </w:p>
    <w:p w14:paraId="6AD81AB4" w14:textId="77777777" w:rsidR="00D57181" w:rsidRPr="001D4C29" w:rsidRDefault="00F3466A">
      <w:pPr>
        <w:spacing w:after="0"/>
        <w:rPr>
          <w:b/>
          <w:bCs/>
          <w:i/>
          <w:iCs/>
          <w:lang w:val="en-GB"/>
        </w:rPr>
      </w:pPr>
      <w:r w:rsidRPr="001D4C29">
        <w:rPr>
          <w:b/>
          <w:bCs/>
          <w:i/>
          <w:iCs/>
          <w:lang w:val="en-GB"/>
        </w:rPr>
        <w:t>Advantages of centralisation</w:t>
      </w:r>
    </w:p>
    <w:p w14:paraId="7F854B38" w14:textId="77777777" w:rsidR="00D57181" w:rsidRPr="001D4C29" w:rsidRDefault="00F3466A">
      <w:pPr>
        <w:spacing w:after="0"/>
        <w:rPr>
          <w:lang w:val="en-GB"/>
        </w:rPr>
      </w:pPr>
      <w:r w:rsidRPr="001D4C29">
        <w:rPr>
          <w:lang w:val="en-GB"/>
        </w:rPr>
        <w:t xml:space="preserve">Centralisation supported consistency by enabling specialist expertise, common policies and standardised digital records. Regarding this, Darbyshire </w:t>
      </w:r>
      <w:r w:rsidRPr="001D4C29">
        <w:rPr>
          <w:i/>
          <w:iCs/>
          <w:lang w:val="en-GB"/>
        </w:rPr>
        <w:t>et al.</w:t>
      </w:r>
      <w:r w:rsidRPr="001D4C29">
        <w:rPr>
          <w:lang w:val="en-GB"/>
        </w:rPr>
        <w:t xml:space="preserve"> (2024) mentioned that the specialist-led process could enhance clinical quality as decisions were supported by professionals with relevant respiratory knowledge. The EPR/ePMA system also made an </w:t>
      </w:r>
      <w:r w:rsidRPr="001D4C29">
        <w:rPr>
          <w:lang w:val="en-GB"/>
        </w:rPr>
        <w:lastRenderedPageBreak/>
        <w:t xml:space="preserve">accessible medication record and audit trail by allowing staff to find that Apixaban had been paused. This was important as Patient X experienced competing physical risks such as bleeding, stroke </w:t>
      </w:r>
      <w:r w:rsidR="001D4C29" w:rsidRPr="001D4C29">
        <w:rPr>
          <w:lang w:val="en-GB"/>
        </w:rPr>
        <w:t>and other</w:t>
      </w:r>
      <w:r w:rsidRPr="001D4C29">
        <w:rPr>
          <w:lang w:val="en-GB"/>
        </w:rPr>
        <w:t xml:space="preserve"> symptoms through the procedure. The centralised medicines governance is significant nationally because NHS England estimated that around 237 million medication errors annually in England including 66 million potentially clinically significant errors (CPD, 2026). Therefore, standardised prescribing systems and centrally governed safety procedures can reduce variation by enhancing organisational oversight.</w:t>
      </w:r>
    </w:p>
    <w:p w14:paraId="37A3AFD6" w14:textId="77777777" w:rsidR="00D57181" w:rsidRPr="001D4C29" w:rsidRDefault="00F3466A">
      <w:pPr>
        <w:spacing w:after="0"/>
        <w:rPr>
          <w:b/>
          <w:bCs/>
          <w:i/>
          <w:iCs/>
          <w:lang w:val="en-GB"/>
        </w:rPr>
      </w:pPr>
      <w:r w:rsidRPr="001D4C29">
        <w:rPr>
          <w:b/>
          <w:bCs/>
          <w:i/>
          <w:iCs/>
          <w:lang w:val="en-GB"/>
        </w:rPr>
        <w:t>Disadvantages of centralisation</w:t>
      </w:r>
    </w:p>
    <w:p w14:paraId="1D9D6E66" w14:textId="77777777" w:rsidR="00D57181" w:rsidRPr="001D4C29" w:rsidRDefault="00F3466A">
      <w:pPr>
        <w:spacing w:after="0"/>
        <w:rPr>
          <w:lang w:val="en-GB"/>
        </w:rPr>
      </w:pPr>
      <w:r w:rsidRPr="001D4C29">
        <w:rPr>
          <w:lang w:val="en-GB"/>
        </w:rPr>
        <w:t>Centralised control also contributed to delays by reducing responsiveness. The respiratory bed availability constrained access to specialist care such as one male bed was available on the second day, followed by no further availability before the procedure. The respiratory responsibility remained with the local ward consultant. This made a structure gap between specialist authority and ongoing monitoring. The ePMA system displayed the medication pause but provided no automatic reassessment prompt. Furthermore, some local guidance was overdue, difficult to access and did not reflect updated UK data. Likewise, central policies and systems were not sufficiently responsive to changing clinical circumstances.</w:t>
      </w:r>
    </w:p>
    <w:p w14:paraId="3BA107BC" w14:textId="77777777" w:rsidR="00D57181" w:rsidRPr="001D4C29" w:rsidRDefault="00F3466A">
      <w:pPr>
        <w:pStyle w:val="Heading2"/>
        <w:spacing w:before="0"/>
        <w:rPr>
          <w:lang w:val="en-GB"/>
        </w:rPr>
      </w:pPr>
      <w:bookmarkStart w:id="19" w:name="_heading=h.csdkrqiqh9w3" w:colFirst="0" w:colLast="0"/>
      <w:bookmarkStart w:id="20" w:name="_Toc236488396"/>
      <w:bookmarkEnd w:id="19"/>
      <w:r w:rsidRPr="001D4C29">
        <w:rPr>
          <w:lang w:val="en-GB"/>
        </w:rPr>
        <w:t>Decentralised decision-making: Application to the Case study 2</w:t>
      </w:r>
      <w:bookmarkEnd w:id="20"/>
    </w:p>
    <w:p w14:paraId="2BB2987B" w14:textId="77777777" w:rsidR="00D57181" w:rsidRPr="001D4C29" w:rsidRDefault="00F3466A">
      <w:pPr>
        <w:spacing w:after="0"/>
        <w:rPr>
          <w:lang w:val="en-GB"/>
        </w:rPr>
      </w:pPr>
      <w:r w:rsidRPr="001D4C29">
        <w:rPr>
          <w:lang w:val="en-GB"/>
        </w:rPr>
        <w:t xml:space="preserve">Decentralisation distributes decision-making authority to frontline teams closest to patients. AGM clinicians retained responsibility for daily treatment while patients awaited respiratory transfer in this case study. The initial decision to pause Apixaban was made locally because of severe </w:t>
      </w:r>
      <w:r w:rsidR="0071154C" w:rsidRPr="001D4C29">
        <w:rPr>
          <w:lang w:val="en-GB"/>
        </w:rPr>
        <w:t>nose bleeding</w:t>
      </w:r>
      <w:r w:rsidRPr="001D4C29">
        <w:rPr>
          <w:lang w:val="en-GB"/>
        </w:rPr>
        <w:t xml:space="preserve"> which was clinically suitable for Patient X. Later, clinicians continued to pause as they expected the pleural procedure across one or two days. However, the changing reason for withholding medication was not followed by repeated assessment of bleeding and thrombotic risks. Decentralised decision-making was </w:t>
      </w:r>
      <w:r w:rsidR="001D4C29" w:rsidRPr="001D4C29">
        <w:rPr>
          <w:lang w:val="en-GB"/>
        </w:rPr>
        <w:t>present;</w:t>
      </w:r>
      <w:r w:rsidRPr="001D4C29">
        <w:rPr>
          <w:lang w:val="en-GB"/>
        </w:rPr>
        <w:t xml:space="preserve"> however, this highlighted poor clear ownership and systematic feedback as well.</w:t>
      </w:r>
    </w:p>
    <w:p w14:paraId="7D9070B6" w14:textId="77777777" w:rsidR="00D57181" w:rsidRPr="001D4C29" w:rsidRDefault="00F3466A">
      <w:pPr>
        <w:spacing w:after="0"/>
        <w:rPr>
          <w:b/>
          <w:bCs/>
          <w:i/>
          <w:iCs/>
          <w:lang w:val="en-GB"/>
        </w:rPr>
      </w:pPr>
      <w:r w:rsidRPr="001D4C29">
        <w:rPr>
          <w:b/>
          <w:bCs/>
          <w:i/>
          <w:iCs/>
          <w:lang w:val="en-GB"/>
        </w:rPr>
        <w:t>Advantages of decentralisation</w:t>
      </w:r>
    </w:p>
    <w:p w14:paraId="2940E1A4" w14:textId="77777777" w:rsidR="00D57181" w:rsidRPr="001D4C29" w:rsidRDefault="00F3466A">
      <w:pPr>
        <w:spacing w:after="0"/>
        <w:rPr>
          <w:lang w:val="en-GB"/>
        </w:rPr>
      </w:pPr>
      <w:r w:rsidRPr="001D4C29">
        <w:rPr>
          <w:lang w:val="en-GB"/>
        </w:rPr>
        <w:t xml:space="preserve">Decentralisation can enhance responsiveness as frontline clinicians may act without waiting for every decision to receive central approval. Ward clinicians could contact radiology, re-refer the patient and plan to restart Apixaban after stable haemoglobin results. Local professional judgement can support personalised and timely care which is significant as anticoagulation is widely used across England (Parekh </w:t>
      </w:r>
      <w:r w:rsidRPr="001D4C29">
        <w:rPr>
          <w:i/>
          <w:iCs/>
          <w:lang w:val="en-GB"/>
        </w:rPr>
        <w:t xml:space="preserve">et al., </w:t>
      </w:r>
      <w:r w:rsidRPr="001D4C29">
        <w:rPr>
          <w:lang w:val="en-GB"/>
        </w:rPr>
        <w:t>2024). As per the report given by NHS England (2024), around 1 million people with atrial fibrillation were prescribed anticoagulant medication during 2023-2024. However, NHS estimates indicated that around 40 strokes daily were associated with atrial fibrillation.</w:t>
      </w:r>
    </w:p>
    <w:p w14:paraId="391D1D3B" w14:textId="77777777" w:rsidR="00D57181" w:rsidRPr="001D4C29" w:rsidRDefault="00F3466A">
      <w:pPr>
        <w:spacing w:after="0"/>
        <w:rPr>
          <w:b/>
          <w:bCs/>
          <w:i/>
          <w:iCs/>
          <w:lang w:val="en-GB"/>
        </w:rPr>
      </w:pPr>
      <w:r w:rsidRPr="001D4C29">
        <w:rPr>
          <w:b/>
          <w:bCs/>
          <w:i/>
          <w:iCs/>
          <w:lang w:val="en-GB"/>
        </w:rPr>
        <w:t>Disadvantages of decentralisation</w:t>
      </w:r>
    </w:p>
    <w:p w14:paraId="2CF7334E" w14:textId="77777777" w:rsidR="00D57181" w:rsidRPr="001D4C29" w:rsidRDefault="00F3466A">
      <w:pPr>
        <w:spacing w:after="0"/>
        <w:rPr>
          <w:lang w:val="en-GB"/>
        </w:rPr>
      </w:pPr>
      <w:r w:rsidRPr="001D4C29">
        <w:rPr>
          <w:lang w:val="en-GB"/>
        </w:rPr>
        <w:t xml:space="preserve">The distribution of care across several teams enhances the risk of poor communication and unclear ownership. No single team was explicitly accountable for </w:t>
      </w:r>
      <w:r w:rsidR="001D4C29" w:rsidRPr="001D4C29">
        <w:rPr>
          <w:lang w:val="en-GB"/>
        </w:rPr>
        <w:t>revaluating</w:t>
      </w:r>
      <w:r w:rsidRPr="001D4C29">
        <w:rPr>
          <w:lang w:val="en-GB"/>
        </w:rPr>
        <w:t xml:space="preserve"> Apixaban </w:t>
      </w:r>
      <w:r w:rsidRPr="001D4C29">
        <w:rPr>
          <w:lang w:val="en-GB"/>
        </w:rPr>
        <w:lastRenderedPageBreak/>
        <w:t xml:space="preserve">during the prolonged wait. The respiratory team relied on re-referral when delays became </w:t>
      </w:r>
      <w:r w:rsidR="001D4C29" w:rsidRPr="001D4C29">
        <w:rPr>
          <w:lang w:val="en-GB"/>
        </w:rPr>
        <w:t>significant;</w:t>
      </w:r>
      <w:r w:rsidRPr="001D4C29">
        <w:rPr>
          <w:lang w:val="en-GB"/>
        </w:rPr>
        <w:t xml:space="preserve"> on the other hand AGM staff continued the existing plan, in which the workforce pressure reduced local capacity. As per the case study, the 28-bedded AGM ward was staffed by one consultant and three resident doctors by routinely managing one or two additional patients. Staff also reported limited senior medical leadership. Likewise, decentralised responsibility became an additional burden instead of an effective mechanism for responsive care.</w:t>
      </w:r>
    </w:p>
    <w:p w14:paraId="22780D22" w14:textId="77777777" w:rsidR="00D57181" w:rsidRPr="001D4C29" w:rsidRDefault="00F3466A">
      <w:pPr>
        <w:pStyle w:val="Heading2"/>
        <w:spacing w:before="0"/>
        <w:rPr>
          <w:lang w:val="en-GB"/>
        </w:rPr>
      </w:pPr>
      <w:bookmarkStart w:id="21" w:name="_heading=h.6hgckimdi4r5" w:colFirst="0" w:colLast="0"/>
      <w:bookmarkStart w:id="22" w:name="_Toc236488397"/>
      <w:bookmarkEnd w:id="21"/>
      <w:r w:rsidRPr="001D4C29">
        <w:rPr>
          <w:lang w:val="en-GB"/>
        </w:rPr>
        <w:t>Critical comparison of the effectiveness of crisis management, decision-making procedure and accountability</w:t>
      </w:r>
      <w:bookmarkEnd w:id="22"/>
    </w:p>
    <w:p w14:paraId="729C8400" w14:textId="77777777" w:rsidR="00D57181" w:rsidRPr="001D4C29" w:rsidRDefault="00F3466A">
      <w:pPr>
        <w:spacing w:after="0"/>
        <w:rPr>
          <w:lang w:val="en-GB"/>
        </w:rPr>
      </w:pPr>
      <w:r w:rsidRPr="001D4C29">
        <w:rPr>
          <w:lang w:val="en-GB"/>
        </w:rPr>
        <w:t xml:space="preserve">The hybrid organisational structure supported specialist expertise and local clinical decision-making procedure, however, poor crisis management for fragmented responsibilities hindered the entire clinical delivery process. Decision-making remained reactive during delayed procedure, poor accountability between respiratory and AGM teams. </w:t>
      </w:r>
    </w:p>
    <w:p w14:paraId="7980EC1B" w14:textId="77777777" w:rsidR="00D57181" w:rsidRPr="001D4C29" w:rsidRDefault="00F3466A">
      <w:pPr>
        <w:pStyle w:val="Heading2"/>
        <w:spacing w:before="0"/>
        <w:rPr>
          <w:lang w:val="en-GB"/>
        </w:rPr>
      </w:pPr>
      <w:bookmarkStart w:id="23" w:name="_heading=h.m6canwhgea9g" w:colFirst="0" w:colLast="0"/>
      <w:bookmarkStart w:id="24" w:name="_Toc236488398"/>
      <w:bookmarkEnd w:id="23"/>
      <w:r w:rsidRPr="001D4C29">
        <w:rPr>
          <w:lang w:val="en-GB"/>
        </w:rPr>
        <w:t>Evaluating using workforce and organisational data</w:t>
      </w:r>
      <w:bookmarkEnd w:id="24"/>
    </w:p>
    <w:p w14:paraId="61EECE9A" w14:textId="77777777" w:rsidR="00D57181" w:rsidRPr="001D4C29" w:rsidRDefault="00F3466A">
      <w:pPr>
        <w:spacing w:after="0"/>
        <w:rPr>
          <w:lang w:val="en-GB"/>
        </w:rPr>
      </w:pPr>
      <w:r w:rsidRPr="001D4C29">
        <w:rPr>
          <w:lang w:val="en-GB"/>
        </w:rPr>
        <w:t xml:space="preserve">Workforce and organisational data describe substantial capacity </w:t>
      </w:r>
      <w:r w:rsidR="001D4C29" w:rsidRPr="001D4C29">
        <w:rPr>
          <w:lang w:val="en-GB"/>
        </w:rPr>
        <w:t>pressures;</w:t>
      </w:r>
      <w:r w:rsidRPr="001D4C29">
        <w:rPr>
          <w:lang w:val="en-GB"/>
        </w:rPr>
        <w:t xml:space="preserve"> The 28-bedded AGM ward had one consultant and three resident doctors and routinely managed one or two additional patients. Apixaban remained paused for 10 days, despite an expected procedure across one or two days. These figures show the way limited staffing, capacity and oversight affected safety as per the case study.</w:t>
      </w:r>
    </w:p>
    <w:p w14:paraId="2178E175" w14:textId="77777777" w:rsidR="00D57181" w:rsidRPr="001D4C29" w:rsidRDefault="00F3466A">
      <w:pPr>
        <w:pStyle w:val="Heading2"/>
        <w:spacing w:before="0"/>
        <w:rPr>
          <w:lang w:val="en-GB"/>
        </w:rPr>
      </w:pPr>
      <w:bookmarkStart w:id="25" w:name="_heading=h.cipsmhkncgg2" w:colFirst="0" w:colLast="0"/>
      <w:bookmarkStart w:id="26" w:name="_Toc236488399"/>
      <w:bookmarkEnd w:id="25"/>
      <w:r w:rsidRPr="001D4C29">
        <w:rPr>
          <w:lang w:val="en-GB"/>
        </w:rPr>
        <w:t>Summary of the organisational structure</w:t>
      </w:r>
      <w:bookmarkEnd w:id="26"/>
    </w:p>
    <w:p w14:paraId="356E147B" w14:textId="77777777" w:rsidR="00D57181" w:rsidRPr="001D4C29" w:rsidRDefault="00F3466A" w:rsidP="0071154C">
      <w:pPr>
        <w:spacing w:after="0"/>
        <w:rPr>
          <w:lang w:val="en-GB"/>
        </w:rPr>
      </w:pPr>
      <w:r w:rsidRPr="001D4C29">
        <w:rPr>
          <w:lang w:val="en-GB"/>
        </w:rPr>
        <w:t>In summary, the organization operated through a hybrid structure combining centralized governance with decentralized clinical delivery. The central systems supported specialist expertise, policies and resource coordination. On the other hand, the ward teams managed the regular clinical activities and car delivery. However, weak integration made fragmented accountability and delayed reassessments. Hence, ethical and clear ownership, proactive specialist review and electronic medication alerts are needed to improve safety.</w:t>
      </w:r>
      <w:bookmarkStart w:id="27" w:name="_heading=h.dc9m2c1q2qn2" w:colFirst="0" w:colLast="0"/>
      <w:bookmarkEnd w:id="27"/>
    </w:p>
    <w:p w14:paraId="5B147764" w14:textId="77777777" w:rsidR="00D57181" w:rsidRPr="001D4C29" w:rsidRDefault="00F3466A">
      <w:pPr>
        <w:pStyle w:val="Heading1"/>
        <w:rPr>
          <w:lang w:val="en-GB"/>
        </w:rPr>
      </w:pPr>
      <w:bookmarkStart w:id="28" w:name="_Toc236488400"/>
      <w:r w:rsidRPr="001D4C29">
        <w:rPr>
          <w:lang w:val="en-GB"/>
        </w:rPr>
        <w:t>c. Leadership Theories and Application to the Case Study</w:t>
      </w:r>
      <w:bookmarkEnd w:id="28"/>
    </w:p>
    <w:p w14:paraId="3B3526D2" w14:textId="77777777" w:rsidR="00D57181" w:rsidRPr="001D4C29" w:rsidRDefault="00F3466A">
      <w:pPr>
        <w:pStyle w:val="Heading2"/>
        <w:rPr>
          <w:lang w:val="en-GB"/>
        </w:rPr>
      </w:pPr>
      <w:bookmarkStart w:id="29" w:name="_Toc236488401"/>
      <w:r w:rsidRPr="001D4C29">
        <w:rPr>
          <w:lang w:val="en-GB"/>
        </w:rPr>
        <w:t>Transformational Leadership</w:t>
      </w:r>
      <w:bookmarkEnd w:id="29"/>
    </w:p>
    <w:p w14:paraId="011F2AEC" w14:textId="77777777" w:rsidR="00D57181" w:rsidRPr="001D4C29" w:rsidRDefault="00F3466A">
      <w:pPr>
        <w:rPr>
          <w:lang w:val="en-GB"/>
        </w:rPr>
      </w:pPr>
      <w:r w:rsidRPr="001D4C29">
        <w:rPr>
          <w:lang w:val="en-GB"/>
        </w:rPr>
        <w:t xml:space="preserve">Transformational leadership means inspiring the staff towards a shared vision, motivating the innovation as well as focusing upon the patient centred outcomes in the healthcare set up (Tsapnidou </w:t>
      </w:r>
      <w:r w:rsidRPr="001D4C29">
        <w:rPr>
          <w:i/>
          <w:iCs/>
          <w:lang w:val="en-GB"/>
        </w:rPr>
        <w:t xml:space="preserve">et al., </w:t>
      </w:r>
      <w:r w:rsidRPr="001D4C29">
        <w:rPr>
          <w:lang w:val="en-GB"/>
        </w:rPr>
        <w:t xml:space="preserve">2024). For example, in the NHS, transformational leaders are expected to create a vision for safety as well as empower the teams to act in a decisive manner (Nazir </w:t>
      </w:r>
      <w:r w:rsidRPr="001D4C29">
        <w:rPr>
          <w:i/>
          <w:iCs/>
          <w:lang w:val="en-GB"/>
        </w:rPr>
        <w:t xml:space="preserve">et al., </w:t>
      </w:r>
      <w:r w:rsidRPr="001D4C29">
        <w:rPr>
          <w:lang w:val="en-GB"/>
        </w:rPr>
        <w:t>2026). They do not simply enforce the compliance, but they encourage the staff to see themselves as a part of the collective goal of the organisation.</w:t>
      </w:r>
    </w:p>
    <w:p w14:paraId="23BE510A" w14:textId="77777777" w:rsidR="00D57181" w:rsidRPr="001D4C29" w:rsidRDefault="00F3466A">
      <w:pPr>
        <w:rPr>
          <w:lang w:val="en-GB"/>
        </w:rPr>
      </w:pPr>
      <w:r w:rsidRPr="001D4C29">
        <w:rPr>
          <w:lang w:val="en-GB"/>
        </w:rPr>
        <w:lastRenderedPageBreak/>
        <w:t>In this case, the transformational leadership was very weak as the staff knew that anticoagulant medication was paused, but there was no documented reassessment or any shared discussion among the team. A transformational leader would have framed anticoagulant safety as a collective vision by embedding, continuous ward rounds, as well as electronic prescribing system for the continuous reassessment of the paused medication (Broome, 2024). This vision would have been constantly communicated during the handovers, ward rounds, along with electronic systems in order to ensure that every staff member understood the importance of reviewing the anticoagulation medicine daily and other medication errors.</w:t>
      </w:r>
    </w:p>
    <w:p w14:paraId="5737B40A" w14:textId="77777777" w:rsidR="00D57181" w:rsidRPr="001D4C29" w:rsidRDefault="00F3466A">
      <w:pPr>
        <w:rPr>
          <w:lang w:val="en-GB"/>
        </w:rPr>
      </w:pPr>
      <w:r w:rsidRPr="001D4C29">
        <w:rPr>
          <w:lang w:val="en-GB"/>
        </w:rPr>
        <w:t xml:space="preserve">The research by the NHS shows that anticoagulants are among the top three classes of drugs that are linked to preventable harm. The transformational leadership would have been beneficial here by motivating the staff to prioritise the medication safety. According to a 2024 systematic review published in BMJ Leader, transformational leadership has a moderate to strong positive impact on patient safety culture (Singh </w:t>
      </w:r>
      <w:r w:rsidRPr="001D4C29">
        <w:rPr>
          <w:i/>
          <w:iCs/>
          <w:lang w:val="en-GB"/>
        </w:rPr>
        <w:t xml:space="preserve">et al., </w:t>
      </w:r>
      <w:r w:rsidRPr="001D4C29">
        <w:rPr>
          <w:lang w:val="en-GB"/>
        </w:rPr>
        <w:t>2024). Likewise, a qualitative study conducted in NHS hospitals revealed that open door policy and brainstorming activities are some of the features of transformational leadership that increase engagement of staff and decrease safety incidents. However, the leaders failed to understand the urgency and left the staff members to follow the routine practices rather than actively reviewing the patient's safety. </w:t>
      </w:r>
    </w:p>
    <w:p w14:paraId="0F02CCF3" w14:textId="77777777" w:rsidR="00D57181" w:rsidRPr="001D4C29" w:rsidRDefault="00F3466A">
      <w:pPr>
        <w:rPr>
          <w:lang w:val="en-GB"/>
        </w:rPr>
      </w:pPr>
      <w:r w:rsidRPr="001D4C29">
        <w:rPr>
          <w:noProof/>
          <w:lang w:val="en-GB" w:eastAsia="en-US"/>
        </w:rPr>
        <w:drawing>
          <wp:inline distT="0" distB="0" distL="0" distR="0" wp14:anchorId="26689654" wp14:editId="155BD6E8">
            <wp:extent cx="5731510" cy="3778250"/>
            <wp:effectExtent l="38100" t="38100" r="38100" b="381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510" cy="3778250"/>
                    </a:xfrm>
                    <a:prstGeom prst="rect">
                      <a:avLst/>
                    </a:prstGeom>
                    <a:ln w="38100">
                      <a:solidFill>
                        <a:srgbClr val="000000"/>
                      </a:solidFill>
                      <a:prstDash val="solid"/>
                    </a:ln>
                  </pic:spPr>
                </pic:pic>
              </a:graphicData>
            </a:graphic>
          </wp:inline>
        </w:drawing>
      </w:r>
    </w:p>
    <w:p w14:paraId="797D31E2" w14:textId="77777777" w:rsidR="00D57181" w:rsidRPr="001D4C29" w:rsidRDefault="001D4C29">
      <w:pPr>
        <w:jc w:val="center"/>
        <w:rPr>
          <w:lang w:val="en-GB"/>
        </w:rPr>
      </w:pPr>
      <w:r>
        <w:rPr>
          <w:b/>
          <w:bCs/>
          <w:lang w:val="en-GB"/>
        </w:rPr>
        <w:lastRenderedPageBreak/>
        <w:t>Figure 5</w:t>
      </w:r>
      <w:r w:rsidR="00F3466A" w:rsidRPr="001D4C29">
        <w:rPr>
          <w:b/>
          <w:bCs/>
          <w:lang w:val="en-GB"/>
        </w:rPr>
        <w:t>: Medicine Negligence Claims received by NHS</w:t>
      </w:r>
    </w:p>
    <w:p w14:paraId="52EFA05D" w14:textId="77777777" w:rsidR="00D57181" w:rsidRPr="001D4C29" w:rsidRDefault="00F3466A">
      <w:pPr>
        <w:jc w:val="center"/>
        <w:rPr>
          <w:lang w:val="en-GB"/>
        </w:rPr>
      </w:pPr>
      <w:r w:rsidRPr="001D4C29">
        <w:rPr>
          <w:lang w:val="en-GB"/>
        </w:rPr>
        <w:t>(Source: Gadsby Wicks Solicitors, 2026)</w:t>
      </w:r>
    </w:p>
    <w:p w14:paraId="4DE7F3F7" w14:textId="77777777" w:rsidR="00D57181" w:rsidRPr="001D4C29" w:rsidRDefault="00F3466A">
      <w:pPr>
        <w:pStyle w:val="Heading2"/>
        <w:rPr>
          <w:lang w:val="en-GB"/>
        </w:rPr>
      </w:pPr>
      <w:bookmarkStart w:id="30" w:name="_Toc236488402"/>
      <w:r w:rsidRPr="001D4C29">
        <w:rPr>
          <w:lang w:val="en-GB"/>
        </w:rPr>
        <w:t>Adaptive Leadership</w:t>
      </w:r>
      <w:bookmarkEnd w:id="30"/>
    </w:p>
    <w:p w14:paraId="56871EF3" w14:textId="77777777" w:rsidR="00D57181" w:rsidRPr="001D4C29" w:rsidRDefault="00F3466A">
      <w:pPr>
        <w:rPr>
          <w:lang w:val="en-GB"/>
        </w:rPr>
      </w:pPr>
      <w:r w:rsidRPr="001D4C29">
        <w:rPr>
          <w:lang w:val="en-GB"/>
        </w:rPr>
        <w:t xml:space="preserve">Adaptive leadership focuses upon navigating the complex and uncertain environment by mobilising the staff to learn, adjust and to collaborate as per the situation (Robinson </w:t>
      </w:r>
      <w:r w:rsidRPr="001D4C29">
        <w:rPr>
          <w:i/>
          <w:iCs/>
          <w:lang w:val="en-GB"/>
        </w:rPr>
        <w:t xml:space="preserve">et al., </w:t>
      </w:r>
      <w:r w:rsidRPr="001D4C29">
        <w:rPr>
          <w:lang w:val="en-GB"/>
        </w:rPr>
        <w:t xml:space="preserve">2025). It is especially relevant in the healthcare set up in which the leaders must balance the risk and respond to the ever-changing situation dynamically. This case of anticoagulant medication to patient X is the best example that showcases the need for adaptive leadership. The leaders faced the uncertainty by causing the apixaban to reduce the risk of bleeding, but it directly increased the risk of stroke. The adaptive leadership would have encouraged the continuous reassessment by recognising that the situation of the patient was changing every day and to avoid the problem of delayed treatment (Aouad </w:t>
      </w:r>
      <w:r w:rsidRPr="001D4C29">
        <w:rPr>
          <w:i/>
          <w:iCs/>
          <w:lang w:val="en-GB"/>
        </w:rPr>
        <w:t xml:space="preserve">et al., </w:t>
      </w:r>
      <w:r w:rsidRPr="001D4C29">
        <w:rPr>
          <w:lang w:val="en-GB"/>
        </w:rPr>
        <w:t>2025). Instead, the leaders did not assess the pause of the apixaban medicine which led to a bigger problem of stroke. </w:t>
      </w:r>
    </w:p>
    <w:p w14:paraId="18BB306A" w14:textId="77777777" w:rsidR="00D57181" w:rsidRPr="001D4C29" w:rsidRDefault="00F3466A">
      <w:pPr>
        <w:rPr>
          <w:lang w:val="en-GB"/>
        </w:rPr>
      </w:pPr>
      <w:r w:rsidRPr="001D4C29">
        <w:rPr>
          <w:lang w:val="en-GB"/>
        </w:rPr>
        <w:t xml:space="preserve">According to a 2026 study published in the International Journal for Quality in Health Care, hierarchical styles of leadership were not effective in improving safety outcomes (Saxena </w:t>
      </w:r>
      <w:r w:rsidRPr="001D4C29">
        <w:rPr>
          <w:i/>
          <w:iCs/>
          <w:lang w:val="en-GB"/>
        </w:rPr>
        <w:t xml:space="preserve">et al., </w:t>
      </w:r>
      <w:r w:rsidRPr="001D4C29">
        <w:rPr>
          <w:lang w:val="en-GB"/>
        </w:rPr>
        <w:t>2025). Whereas, the adaptive and systems-based style of leadership was more successful in dealing with the “60:30:10 dilemma” in health care. The adaptive leadership also consists of mobilising different types of expertise. The respiratory Consultants, general medication, doctors along with the pharmacist worked in silos. And adaptive leader would have focused more upon cross speciality discussion in order to reassess the antico Bashan medication by integrating the perspective of different specialists. The HSIB reports highlight that 40% of the anticoagulant related incidents consist of poor cross team communication. Adaptive leadership is important here because it helps in creating a collaborative discussion and lead to better decision-making to eliminate the risk. For example, the adaptive leaders might have introduced a 48 hour review rule for the paused medicine in order to ensure that the risk was reassessed continuously (Össur, 2026). Instead, the absence of the adaptive leadership increased the risk and left the patient unnoticed until the patient suffered a big stroke.</w:t>
      </w:r>
    </w:p>
    <w:p w14:paraId="603D07B5" w14:textId="77777777" w:rsidR="00D57181" w:rsidRPr="001D4C29" w:rsidRDefault="00F3466A">
      <w:pPr>
        <w:pStyle w:val="Heading2"/>
        <w:rPr>
          <w:lang w:val="en-GB"/>
        </w:rPr>
      </w:pPr>
      <w:bookmarkStart w:id="31" w:name="_Toc236488403"/>
      <w:r w:rsidRPr="001D4C29">
        <w:rPr>
          <w:lang w:val="en-GB"/>
        </w:rPr>
        <w:t>Reactive vs. Proactive Leadership</w:t>
      </w:r>
      <w:bookmarkEnd w:id="31"/>
    </w:p>
    <w:p w14:paraId="205D833F" w14:textId="77777777" w:rsidR="00D57181" w:rsidRPr="001D4C29" w:rsidRDefault="00F3466A">
      <w:pPr>
        <w:rPr>
          <w:lang w:val="en-GB"/>
        </w:rPr>
      </w:pPr>
      <w:r w:rsidRPr="001D4C29">
        <w:rPr>
          <w:lang w:val="en-GB"/>
        </w:rPr>
        <w:t xml:space="preserve">Cross both the theories, this case reveals a high dominance of reactive leadership. The leaders responded to the immediate crisis like nosebleed, bed shortages, as well as procedural delays, but they failed to understand the systemic risk of prolonged cause of anticoagulation medicine for the patient (Keshavjee and Khatami, 2024). The proactive leadership would have further help in establishing the clear protocols by reassessing the </w:t>
      </w:r>
      <w:r w:rsidRPr="001D4C29">
        <w:rPr>
          <w:lang w:val="en-GB"/>
        </w:rPr>
        <w:lastRenderedPageBreak/>
        <w:t>anticoagulation every 48 hours. This would have consisted of documenting the rational and restarting the medicine after the procedure. Instead, the reactive leadership led the risk to increase until the patient suffered a stroke.</w:t>
      </w:r>
    </w:p>
    <w:p w14:paraId="3E80CF38" w14:textId="77777777" w:rsidR="00D57181" w:rsidRPr="001D4C29" w:rsidRDefault="00F3466A">
      <w:pPr>
        <w:pStyle w:val="Heading2"/>
        <w:rPr>
          <w:lang w:val="en-GB"/>
        </w:rPr>
      </w:pPr>
      <w:bookmarkStart w:id="32" w:name="_Toc236488404"/>
      <w:r w:rsidRPr="001D4C29">
        <w:rPr>
          <w:lang w:val="en-GB"/>
        </w:rPr>
        <w:t>What Could Have Been Done Differently?</w:t>
      </w:r>
      <w:bookmarkEnd w:id="32"/>
    </w:p>
    <w:p w14:paraId="6E9A6E2F" w14:textId="47E19B95" w:rsidR="00D57181" w:rsidRPr="001D4C29" w:rsidRDefault="00F3466A">
      <w:pPr>
        <w:rPr>
          <w:lang w:val="en-GB"/>
        </w:rPr>
      </w:pPr>
      <w:r w:rsidRPr="001D4C29">
        <w:rPr>
          <w:b/>
          <w:bCs/>
          <w:i/>
          <w:iCs/>
          <w:lang w:val="en-GB"/>
        </w:rPr>
        <w:t>Transformational vision</w:t>
      </w:r>
      <w:r w:rsidRPr="001D4C29">
        <w:rPr>
          <w:lang w:val="en-GB"/>
        </w:rPr>
        <w:t xml:space="preserve">: The leaders would have properly embedded the safety about anticoagulation medicines into the culture of what by inspiring the staff to treat the positive medication as the </w:t>
      </w:r>
      <w:r w:rsidR="00C11C68" w:rsidRPr="001D4C29">
        <w:rPr>
          <w:lang w:val="en-GB"/>
        </w:rPr>
        <w:t>high-risk</w:t>
      </w:r>
      <w:r w:rsidRPr="001D4C29">
        <w:rPr>
          <w:lang w:val="en-GB"/>
        </w:rPr>
        <w:t xml:space="preserve"> decision that requires continuous assessment</w:t>
      </w:r>
    </w:p>
    <w:p w14:paraId="3581EEEC" w14:textId="0C634D15" w:rsidR="00D57181" w:rsidRPr="001D4C29" w:rsidRDefault="00F3466A">
      <w:pPr>
        <w:rPr>
          <w:lang w:val="en-GB"/>
        </w:rPr>
      </w:pPr>
      <w:r w:rsidRPr="001D4C29">
        <w:rPr>
          <w:b/>
          <w:bCs/>
          <w:i/>
          <w:iCs/>
          <w:lang w:val="en-GB"/>
        </w:rPr>
        <w:t>Adaptive systems thinking:</w:t>
      </w:r>
      <w:r w:rsidRPr="001D4C29">
        <w:rPr>
          <w:lang w:val="en-GB"/>
        </w:rPr>
        <w:t xml:space="preserve"> The leaders should have anticipated the procedural delay as well as would have adopted the protocols regarding anticoagulation in a dynamic manner by consulting the </w:t>
      </w:r>
      <w:r w:rsidR="00C11C68" w:rsidRPr="001D4C29">
        <w:rPr>
          <w:lang w:val="en-GB"/>
        </w:rPr>
        <w:t>cross-speciality</w:t>
      </w:r>
      <w:r w:rsidRPr="001D4C29">
        <w:rPr>
          <w:lang w:val="en-GB"/>
        </w:rPr>
        <w:t xml:space="preserve"> experts about the restart of the medicine (Abukalusa and Oosthuizen, 2023).</w:t>
      </w:r>
    </w:p>
    <w:p w14:paraId="54B7924C" w14:textId="77777777" w:rsidR="00D57181" w:rsidRPr="001D4C29" w:rsidRDefault="00F3466A">
      <w:pPr>
        <w:rPr>
          <w:lang w:val="en-GB"/>
        </w:rPr>
      </w:pPr>
      <w:r w:rsidRPr="001D4C29">
        <w:rPr>
          <w:b/>
          <w:bCs/>
          <w:i/>
          <w:iCs/>
          <w:lang w:val="en-GB"/>
        </w:rPr>
        <w:t>Emotional Intelligence</w:t>
      </w:r>
      <w:r w:rsidRPr="001D4C29">
        <w:rPr>
          <w:lang w:val="en-GB"/>
        </w:rPr>
        <w:t xml:space="preserve">: The emotional intelligence plays an important role in the leadership in which it is important to recognise staff anxiety and should create a culture of open communication (Georgousopoulou </w:t>
      </w:r>
      <w:r w:rsidRPr="001D4C29">
        <w:rPr>
          <w:i/>
          <w:iCs/>
          <w:lang w:val="en-GB"/>
        </w:rPr>
        <w:t xml:space="preserve">et al., </w:t>
      </w:r>
      <w:r w:rsidRPr="001D4C29">
        <w:rPr>
          <w:lang w:val="en-GB"/>
        </w:rPr>
        <w:t>2025). This could have created a culture in which the concerns about the post medication were raised earlier, which would have added to patient X's safety. </w:t>
      </w:r>
    </w:p>
    <w:p w14:paraId="21746127" w14:textId="77777777" w:rsidR="00D57181" w:rsidRPr="001D4C29" w:rsidRDefault="00F3466A">
      <w:pPr>
        <w:pStyle w:val="Heading1"/>
        <w:rPr>
          <w:lang w:val="en-GB"/>
        </w:rPr>
      </w:pPr>
      <w:bookmarkStart w:id="33" w:name="_Toc236488405"/>
      <w:r w:rsidRPr="001D4C29">
        <w:rPr>
          <w:lang w:val="en-GB"/>
        </w:rPr>
        <w:t>d. Improvement and Lessons Learned</w:t>
      </w:r>
      <w:bookmarkEnd w:id="33"/>
    </w:p>
    <w:p w14:paraId="08BFCC18" w14:textId="77777777" w:rsidR="00D57181" w:rsidRPr="001D4C29" w:rsidRDefault="00F3466A">
      <w:pPr>
        <w:pStyle w:val="Heading2"/>
        <w:rPr>
          <w:lang w:val="en-GB"/>
        </w:rPr>
      </w:pPr>
      <w:bookmarkStart w:id="34" w:name="_Toc236488406"/>
      <w:r w:rsidRPr="001D4C29">
        <w:rPr>
          <w:lang w:val="en-GB"/>
        </w:rPr>
        <w:t>Critical evaluation of how leadership and governance interacted</w:t>
      </w:r>
      <w:bookmarkEnd w:id="34"/>
    </w:p>
    <w:p w14:paraId="41056DAA" w14:textId="77777777" w:rsidR="00D57181" w:rsidRPr="001D4C29" w:rsidRDefault="00F3466A">
      <w:pPr>
        <w:rPr>
          <w:lang w:val="en-GB"/>
        </w:rPr>
      </w:pPr>
      <w:r w:rsidRPr="001D4C29">
        <w:rPr>
          <w:lang w:val="en-GB"/>
        </w:rPr>
        <w:t xml:space="preserve">The anticoagulation case showcases how the leadership as well as governance failures combine to create unsafe situations for the patients. The governance structure within the hospitals was very fragmented with unclear accountability between the respiratory as well as general medicine teams. However, Lockhart </w:t>
      </w:r>
      <w:r w:rsidRPr="001D4C29">
        <w:rPr>
          <w:i/>
          <w:iCs/>
          <w:lang w:val="en-GB"/>
        </w:rPr>
        <w:t xml:space="preserve">et al. </w:t>
      </w:r>
      <w:r w:rsidRPr="001D4C29">
        <w:rPr>
          <w:lang w:val="en-GB"/>
        </w:rPr>
        <w:t xml:space="preserve">(2026) states that the weak governance creates “organisational blindspots” in which the responsibility of the safety of the patient becomes </w:t>
      </w:r>
      <w:r w:rsidR="001D4C29" w:rsidRPr="001D4C29">
        <w:rPr>
          <w:lang w:val="en-GB"/>
        </w:rPr>
        <w:t>much</w:t>
      </w:r>
      <w:r w:rsidRPr="001D4C29">
        <w:rPr>
          <w:lang w:val="en-GB"/>
        </w:rPr>
        <w:t xml:space="preserve"> diffused. This was clearly seen here as the apixaban was stopped, but not reassessed, and no one assumed to take ownership of restarting it again.</w:t>
      </w:r>
    </w:p>
    <w:p w14:paraId="084CEE66" w14:textId="77777777" w:rsidR="00D57181" w:rsidRPr="001D4C29" w:rsidRDefault="00F3466A">
      <w:pPr>
        <w:rPr>
          <w:lang w:val="en-GB"/>
        </w:rPr>
      </w:pPr>
      <w:r w:rsidRPr="001D4C29">
        <w:rPr>
          <w:noProof/>
          <w:lang w:val="en-GB" w:eastAsia="en-US"/>
        </w:rPr>
        <w:lastRenderedPageBreak/>
        <w:drawing>
          <wp:inline distT="0" distB="0" distL="0" distR="0" wp14:anchorId="7F503335" wp14:editId="42C9698C">
            <wp:extent cx="5731510" cy="404114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510" cy="4041140"/>
                    </a:xfrm>
                    <a:prstGeom prst="rect">
                      <a:avLst/>
                    </a:prstGeom>
                    <a:ln w="38100">
                      <a:solidFill>
                        <a:srgbClr val="000000"/>
                      </a:solidFill>
                      <a:prstDash val="solid"/>
                    </a:ln>
                  </pic:spPr>
                </pic:pic>
              </a:graphicData>
            </a:graphic>
          </wp:inline>
        </w:drawing>
      </w:r>
    </w:p>
    <w:p w14:paraId="0A627827" w14:textId="77777777" w:rsidR="00D57181" w:rsidRPr="001D4C29" w:rsidRDefault="001D4C29">
      <w:pPr>
        <w:jc w:val="center"/>
        <w:rPr>
          <w:lang w:val="en-GB"/>
        </w:rPr>
      </w:pPr>
      <w:r>
        <w:rPr>
          <w:b/>
          <w:bCs/>
          <w:lang w:val="en-GB"/>
        </w:rPr>
        <w:t>Figure 6</w:t>
      </w:r>
      <w:r w:rsidR="00F3466A" w:rsidRPr="001D4C29">
        <w:rPr>
          <w:b/>
          <w:bCs/>
          <w:lang w:val="en-GB"/>
        </w:rPr>
        <w:t>: Common Types of Medication Errors</w:t>
      </w:r>
    </w:p>
    <w:p w14:paraId="7EA83360" w14:textId="77777777" w:rsidR="00D57181" w:rsidRPr="001D4C29" w:rsidRDefault="00F3466A">
      <w:pPr>
        <w:jc w:val="center"/>
        <w:rPr>
          <w:lang w:val="en-GB"/>
        </w:rPr>
      </w:pPr>
      <w:r w:rsidRPr="001D4C29">
        <w:rPr>
          <w:lang w:val="en-GB"/>
        </w:rPr>
        <w:t>(Source: Gadsby Wicks Solicitors, 2026)</w:t>
      </w:r>
    </w:p>
    <w:p w14:paraId="15C7E775" w14:textId="77777777" w:rsidR="00D57181" w:rsidRPr="001D4C29" w:rsidRDefault="00F3466A">
      <w:pPr>
        <w:rPr>
          <w:lang w:val="en-GB"/>
        </w:rPr>
      </w:pPr>
      <w:r w:rsidRPr="001D4C29">
        <w:rPr>
          <w:lang w:val="en-GB"/>
        </w:rPr>
        <w:t xml:space="preserve">The leadership style for increasing these governance gaps. As per the view of Notarnicola </w:t>
      </w:r>
      <w:r w:rsidRPr="001D4C29">
        <w:rPr>
          <w:i/>
          <w:iCs/>
          <w:lang w:val="en-GB"/>
        </w:rPr>
        <w:t xml:space="preserve">et al. </w:t>
      </w:r>
      <w:r w:rsidRPr="001D4C29">
        <w:rPr>
          <w:lang w:val="en-GB"/>
        </w:rPr>
        <w:t>(2026) transformational leadership which could have created a shared vision for the safety of the patient was also absent. The patient safety strategy by NHS England focuses upon the fact that transformational leadership plays an important role in creating a culture where medication safety is highly prioritised (NHS England, 2026). Instead, the leaders acted in a reactive manner by focusing upon immediate crisis like nosebleed and bad shortages rather than actively creating a system for continuous patient review. The transformation leadership also helps in creating a strong staff engagement along with the lower error rates.</w:t>
      </w:r>
    </w:p>
    <w:p w14:paraId="31073777" w14:textId="77777777" w:rsidR="00D57181" w:rsidRPr="001D4C29" w:rsidRDefault="00F3466A">
      <w:pPr>
        <w:rPr>
          <w:lang w:val="en-GB"/>
        </w:rPr>
      </w:pPr>
      <w:r w:rsidRPr="001D4C29">
        <w:rPr>
          <w:lang w:val="en-GB"/>
        </w:rPr>
        <w:t xml:space="preserve">The adaptive leadership was also missing as the adaptive leaders play an important role in the uncertain environments by including diverse expertise and adjusting the product accordingly (Aouad </w:t>
      </w:r>
      <w:r w:rsidRPr="001D4C29">
        <w:rPr>
          <w:i/>
          <w:iCs/>
          <w:lang w:val="en-GB"/>
        </w:rPr>
        <w:t xml:space="preserve">et al., </w:t>
      </w:r>
      <w:r w:rsidRPr="001D4C29">
        <w:rPr>
          <w:lang w:val="en-GB"/>
        </w:rPr>
        <w:t>2025). In this case, the procedural delays were predictable, but the leaders still failed to adapt the management of the medicines. The Healthcare Safety Investigation Branch reported that the 40% of anticoagulant related incidents come from the poor cross team communication that showcase the importance of adaptive leadership which could have eliminated the risk through daily multidisciplinary reassessment.</w:t>
      </w:r>
    </w:p>
    <w:p w14:paraId="7CE7A066" w14:textId="77777777" w:rsidR="00D57181" w:rsidRPr="001D4C29" w:rsidRDefault="00F3466A">
      <w:pPr>
        <w:rPr>
          <w:lang w:val="en-GB"/>
        </w:rPr>
      </w:pPr>
      <w:bookmarkStart w:id="35" w:name="_heading=h.py75srlyx61j" w:colFirst="0" w:colLast="0"/>
      <w:bookmarkEnd w:id="35"/>
      <w:r w:rsidRPr="001D4C29">
        <w:rPr>
          <w:lang w:val="en-GB"/>
        </w:rPr>
        <w:lastRenderedPageBreak/>
        <w:t xml:space="preserve">The missed opportunity consists of the absence of electronic prompts in the ePMA system, which the very limited empowerment of the nurses as well as pharmacist along with the outdated local guidance (Silva </w:t>
      </w:r>
      <w:r w:rsidRPr="001D4C29">
        <w:rPr>
          <w:i/>
          <w:iCs/>
          <w:lang w:val="en-GB"/>
        </w:rPr>
        <w:t xml:space="preserve">et al., </w:t>
      </w:r>
      <w:r w:rsidRPr="001D4C29">
        <w:rPr>
          <w:lang w:val="en-GB"/>
        </w:rPr>
        <w:t>2022). The evidence based solutions consist of digital alerts for the paused medication, use of 48 hour anticoagulant review rules, as well as the centralised accountability. Ultimately, the fragmentation in the governance along with the reactive leadership created the conditions of risk that directly hinder the patient's safety.</w:t>
      </w:r>
    </w:p>
    <w:p w14:paraId="5D0176E4" w14:textId="77777777" w:rsidR="00F3466A" w:rsidRPr="001D4C29" w:rsidRDefault="00F3466A" w:rsidP="00F3466A">
      <w:pPr>
        <w:pStyle w:val="Heading2"/>
        <w:rPr>
          <w:lang w:val="en-GB"/>
        </w:rPr>
      </w:pPr>
      <w:bookmarkStart w:id="36" w:name="_Toc236488407"/>
      <w:r w:rsidRPr="001D4C29">
        <w:rPr>
          <w:lang w:val="en-GB"/>
        </w:rPr>
        <w:t>Identifying missed opportunities and evidence-based solutions and presenting a discussion highlighting the problems and solutions.</w:t>
      </w:r>
      <w:bookmarkEnd w:id="36"/>
    </w:p>
    <w:p w14:paraId="1C3B0330" w14:textId="77777777" w:rsidR="00F3466A" w:rsidRPr="001D4C29" w:rsidRDefault="00F3466A" w:rsidP="00F3466A">
      <w:pPr>
        <w:rPr>
          <w:lang w:val="en-GB"/>
        </w:rPr>
      </w:pPr>
      <w:r w:rsidRPr="001D4C29">
        <w:rPr>
          <w:lang w:val="en-GB"/>
        </w:rPr>
        <w:t xml:space="preserve">The case of Patient X demonstrates several </w:t>
      </w:r>
      <w:r w:rsidRPr="001D4C29">
        <w:rPr>
          <w:b/>
          <w:i/>
          <w:lang w:val="en-GB"/>
        </w:rPr>
        <w:t>missed opportunities</w:t>
      </w:r>
      <w:r w:rsidRPr="001D4C29">
        <w:rPr>
          <w:lang w:val="en-GB"/>
        </w:rPr>
        <w:t xml:space="preserve"> in the safe management of high-risk anticoagulant therapy. Even though apixaban was appropriately held due to an active nosebleed and an upcoming procedure, </w:t>
      </w:r>
      <w:r w:rsidRPr="001D4C29">
        <w:rPr>
          <w:b/>
          <w:i/>
          <w:lang w:val="en-GB"/>
        </w:rPr>
        <w:t>repeated delays</w:t>
      </w:r>
      <w:r w:rsidRPr="001D4C29">
        <w:rPr>
          <w:lang w:val="en-GB"/>
        </w:rPr>
        <w:t xml:space="preserve"> resulted in disconnected medication for 10 days without adequate assessment of the patient's thrombotic risk (HSSIB, 2025). Another significant missed opportunity occurred when </w:t>
      </w:r>
      <w:r w:rsidRPr="001D4C29">
        <w:rPr>
          <w:b/>
          <w:i/>
          <w:lang w:val="en-GB"/>
        </w:rPr>
        <w:t>apixaban was not restarted</w:t>
      </w:r>
      <w:r w:rsidRPr="001D4C29">
        <w:rPr>
          <w:lang w:val="en-GB"/>
        </w:rPr>
        <w:t xml:space="preserve"> after the procedure despite accountability and medication reconciliation. Medication related error causes 42 billion USD in avoidable healthcare costs globally every year (WHO, 2022). The errors are consistently identified among anticoagulant medications most frequently associated with severe patient harm. The </w:t>
      </w:r>
      <w:r w:rsidRPr="001D4C29">
        <w:rPr>
          <w:b/>
          <w:i/>
          <w:lang w:val="en-GB"/>
        </w:rPr>
        <w:t>NHS England patient safety incident response framework</w:t>
      </w:r>
      <w:r w:rsidRPr="001D4C29">
        <w:rPr>
          <w:lang w:val="en-GB"/>
        </w:rPr>
        <w:t xml:space="preserve"> also recognises anticoagulants as high risk </w:t>
      </w:r>
      <w:r w:rsidR="001D4C29" w:rsidRPr="001D4C29">
        <w:rPr>
          <w:lang w:val="en-GB"/>
        </w:rPr>
        <w:t>medicine that requires</w:t>
      </w:r>
      <w:r w:rsidRPr="001D4C29">
        <w:rPr>
          <w:lang w:val="en-GB"/>
        </w:rPr>
        <w:t xml:space="preserve"> continuous monitoring and robust governance (NHS England, 2022). </w:t>
      </w:r>
      <w:r w:rsidRPr="001D4C29">
        <w:rPr>
          <w:b/>
          <w:i/>
          <w:lang w:val="en-GB"/>
        </w:rPr>
        <w:t>Evidence-based solutions</w:t>
      </w:r>
      <w:r w:rsidRPr="001D4C29">
        <w:rPr>
          <w:lang w:val="en-GB"/>
        </w:rPr>
        <w:t xml:space="preserve"> include </w:t>
      </w:r>
      <w:r w:rsidRPr="001D4C29">
        <w:rPr>
          <w:b/>
          <w:i/>
          <w:lang w:val="en-GB"/>
        </w:rPr>
        <w:t>implementation of electronic clinical decision support systems</w:t>
      </w:r>
      <w:r w:rsidRPr="001D4C29">
        <w:rPr>
          <w:lang w:val="en-GB"/>
        </w:rPr>
        <w:t xml:space="preserve">, integrated with </w:t>
      </w:r>
      <w:r w:rsidRPr="001D4C29">
        <w:rPr>
          <w:b/>
          <w:i/>
          <w:lang w:val="en-GB"/>
        </w:rPr>
        <w:t>electronic prescribing</w:t>
      </w:r>
      <w:r w:rsidRPr="001D4C29">
        <w:rPr>
          <w:lang w:val="en-GB"/>
        </w:rPr>
        <w:t xml:space="preserve"> for generating automatic alerts when anticoagulants remain withheld for an extended period of time and require restarting after the procedure. </w:t>
      </w:r>
      <w:r w:rsidRPr="001D4C29">
        <w:rPr>
          <w:b/>
          <w:i/>
          <w:lang w:val="en-GB"/>
        </w:rPr>
        <w:t>Mayo Clinic</w:t>
      </w:r>
      <w:r w:rsidRPr="001D4C29">
        <w:rPr>
          <w:lang w:val="en-GB"/>
        </w:rPr>
        <w:t xml:space="preserve">, for example, has implemented an integrated medication safety and electronic prescribing system supporting automated clinical alerts and medication reconciliation, which contribute to the reduction in preventable adverse drug events and improved continuity of care. </w:t>
      </w:r>
    </w:p>
    <w:p w14:paraId="1EF613AB" w14:textId="77777777" w:rsidR="00F3466A" w:rsidRPr="001D4C29" w:rsidRDefault="00F3466A">
      <w:pPr>
        <w:rPr>
          <w:lang w:val="en-GB"/>
        </w:rPr>
      </w:pPr>
      <w:r w:rsidRPr="001D4C29">
        <w:rPr>
          <w:b/>
          <w:i/>
          <w:lang w:val="en-GB"/>
        </w:rPr>
        <w:t>NHS England</w:t>
      </w:r>
      <w:r w:rsidRPr="001D4C29">
        <w:rPr>
          <w:lang w:val="en-GB"/>
        </w:rPr>
        <w:t xml:space="preserve"> similarly has promoted digital medicine optimisation and standardised peri-procedural anticoagulation pathways through a medicine safety improvement program for minimising omission error (NHS England, 2023). </w:t>
      </w:r>
      <w:r w:rsidRPr="001D4C29">
        <w:rPr>
          <w:b/>
          <w:i/>
          <w:lang w:val="en-GB"/>
        </w:rPr>
        <w:t>Electronic prescribing</w:t>
      </w:r>
      <w:r w:rsidRPr="001D4C29">
        <w:rPr>
          <w:lang w:val="en-GB"/>
        </w:rPr>
        <w:t xml:space="preserve"> combined with </w:t>
      </w:r>
      <w:r w:rsidRPr="001D4C29">
        <w:rPr>
          <w:b/>
          <w:i/>
          <w:lang w:val="en-GB"/>
        </w:rPr>
        <w:t>clinical decision support</w:t>
      </w:r>
      <w:r w:rsidRPr="001D4C29">
        <w:rPr>
          <w:lang w:val="en-GB"/>
        </w:rPr>
        <w:t xml:space="preserve"> is effective to support reduction in medication dispensing error by approximately 50 to 55% (Kwan </w:t>
      </w:r>
      <w:r w:rsidRPr="001D4C29">
        <w:rPr>
          <w:i/>
          <w:iCs/>
          <w:lang w:val="en-GB"/>
        </w:rPr>
        <w:t>et al.,</w:t>
      </w:r>
      <w:r w:rsidRPr="001D4C29">
        <w:rPr>
          <w:lang w:val="en-GB"/>
        </w:rPr>
        <w:t xml:space="preserve"> 2023). Similarly, a structured medication reconciliation program is also effective in reducing medication discrepancies by 67%, which significantly improves patient safety (Mekonnen</w:t>
      </w:r>
      <w:r w:rsidR="001D4C29">
        <w:rPr>
          <w:lang w:val="en-GB"/>
        </w:rPr>
        <w:t xml:space="preserve"> </w:t>
      </w:r>
      <w:r w:rsidRPr="001D4C29">
        <w:rPr>
          <w:i/>
          <w:iCs/>
          <w:lang w:val="en-GB"/>
        </w:rPr>
        <w:t>et al</w:t>
      </w:r>
      <w:r w:rsidRPr="001D4C29">
        <w:rPr>
          <w:lang w:val="en-GB"/>
        </w:rPr>
        <w:t xml:space="preserve">., 2022). Applying the intervention to the care of Patient X could have provided timely reassessment during procedural delay. It would have also been effective in ensuring re-initiation of apixaban after surgery. Hence, the strategy would have been effective in reducing the likelihood of thromboembolic complications such as stroke. Nonetheless, the integration of the digital safety system with </w:t>
      </w:r>
      <w:r w:rsidRPr="001D4C29">
        <w:rPr>
          <w:lang w:val="en-GB"/>
        </w:rPr>
        <w:lastRenderedPageBreak/>
        <w:t>routine medication review and clear multidisciplinary responsibility represents an evidence-based strategy for improving outcomes and preventing similar incidents for patients receiving anticoagulant therapy.</w:t>
      </w:r>
    </w:p>
    <w:p w14:paraId="615D48AF" w14:textId="77777777" w:rsidR="00D57181" w:rsidRPr="001D4C29" w:rsidRDefault="00F3466A">
      <w:pPr>
        <w:pStyle w:val="Heading2"/>
        <w:spacing w:before="0"/>
        <w:rPr>
          <w:lang w:val="en-GB"/>
        </w:rPr>
      </w:pPr>
      <w:bookmarkStart w:id="37" w:name="_heading=h.r5zca919oc5q" w:colFirst="0" w:colLast="0"/>
      <w:bookmarkStart w:id="38" w:name="_Toc236488408"/>
      <w:bookmarkEnd w:id="37"/>
      <w:r w:rsidRPr="001D4C29">
        <w:rPr>
          <w:lang w:val="en-GB"/>
        </w:rPr>
        <w:t>System structure, leadership style, and system feedback interaction</w:t>
      </w:r>
      <w:bookmarkEnd w:id="38"/>
    </w:p>
    <w:p w14:paraId="52BA38F1" w14:textId="77777777" w:rsidR="00D57181" w:rsidRPr="001D4C29" w:rsidRDefault="00F3466A">
      <w:pPr>
        <w:spacing w:after="0"/>
        <w:rPr>
          <w:lang w:val="en-GB"/>
        </w:rPr>
      </w:pPr>
      <w:r w:rsidRPr="001D4C29">
        <w:rPr>
          <w:lang w:val="en-GB"/>
        </w:rPr>
        <w:t xml:space="preserve">The case describes that system </w:t>
      </w:r>
      <w:r w:rsidR="001D4C29" w:rsidRPr="001D4C29">
        <w:rPr>
          <w:lang w:val="en-GB"/>
        </w:rPr>
        <w:t>structure;</w:t>
      </w:r>
      <w:r w:rsidRPr="001D4C29">
        <w:rPr>
          <w:lang w:val="en-GB"/>
        </w:rPr>
        <w:t xml:space="preserve"> leadership and feedback mechanism were insufficiently integrated. Centralised control of specialist beds and procedures interacted with decentralised ward-based care making unclear responsibility during delayed treatment. The leadership was largely reactive as teams relied on re-referral and escalation instead of proactive review (Sott and Bender, 2025). Likewise, delayed feedback contributed to the medication error, prolonged interruption of </w:t>
      </w:r>
      <w:r w:rsidR="0071154C" w:rsidRPr="001D4C29">
        <w:rPr>
          <w:lang w:val="en-GB"/>
        </w:rPr>
        <w:t>ap</w:t>
      </w:r>
      <w:r w:rsidRPr="001D4C29">
        <w:rPr>
          <w:lang w:val="en-GB"/>
        </w:rPr>
        <w:t>ixaban and failure to restart treatment promptly.</w:t>
      </w:r>
    </w:p>
    <w:p w14:paraId="4D274772" w14:textId="77777777" w:rsidR="00D57181" w:rsidRPr="001D4C29" w:rsidRDefault="00F3466A">
      <w:pPr>
        <w:pStyle w:val="Heading2"/>
        <w:spacing w:before="0"/>
        <w:rPr>
          <w:lang w:val="en-GB"/>
        </w:rPr>
      </w:pPr>
      <w:bookmarkStart w:id="39" w:name="_heading=h.5xg8jctmwkk8" w:colFirst="0" w:colLast="0"/>
      <w:bookmarkStart w:id="40" w:name="_Toc236488409"/>
      <w:bookmarkEnd w:id="39"/>
      <w:r w:rsidRPr="001D4C29">
        <w:rPr>
          <w:lang w:val="en-GB"/>
        </w:rPr>
        <w:t>Lessons learned for health organisations from this case</w:t>
      </w:r>
      <w:bookmarkEnd w:id="40"/>
    </w:p>
    <w:p w14:paraId="76ECCEB5" w14:textId="77777777" w:rsidR="00D57181" w:rsidRPr="001D4C29" w:rsidRDefault="00F3466A">
      <w:pPr>
        <w:spacing w:after="0"/>
        <w:rPr>
          <w:lang w:val="en-GB"/>
        </w:rPr>
      </w:pPr>
      <w:r w:rsidRPr="001D4C29">
        <w:rPr>
          <w:lang w:val="en-GB"/>
        </w:rPr>
        <w:t>The other national healthcare organizations such as NHS acute trusts need to generate a shared accountability for patients' long-time wait specialist transfer. For example, NHS trusts might require the specialist respiratory teams for reviewing patient’s records on a regular basis even when the patients remain on general medical wards (NHS, 2022). Organizations from the UK such as NHS England can support improvement by promoting standardised anticoagulation protocols and electronic alerts across healthcare systems.</w:t>
      </w:r>
    </w:p>
    <w:p w14:paraId="75C2DDFA" w14:textId="77777777" w:rsidR="00D57181" w:rsidRPr="001D4C29" w:rsidRDefault="00F3466A">
      <w:pPr>
        <w:pStyle w:val="Heading2"/>
        <w:spacing w:before="0"/>
        <w:rPr>
          <w:lang w:val="en-GB"/>
        </w:rPr>
      </w:pPr>
      <w:bookmarkStart w:id="41" w:name="_heading=h.6dehs8usahqx" w:colFirst="0" w:colLast="0"/>
      <w:bookmarkStart w:id="42" w:name="_Toc236488410"/>
      <w:bookmarkEnd w:id="41"/>
      <w:r w:rsidRPr="001D4C29">
        <w:rPr>
          <w:lang w:val="en-GB"/>
        </w:rPr>
        <w:t>Evidence and data be used to ensure continuous improvement and accountability</w:t>
      </w:r>
      <w:bookmarkEnd w:id="42"/>
    </w:p>
    <w:p w14:paraId="4FCAB322" w14:textId="77777777" w:rsidR="00D57181" w:rsidRPr="001D4C29" w:rsidRDefault="00F3466A">
      <w:pPr>
        <w:spacing w:after="0"/>
        <w:rPr>
          <w:lang w:val="en-GB"/>
        </w:rPr>
      </w:pPr>
      <w:r w:rsidRPr="001D4C29">
        <w:rPr>
          <w:lang w:val="en-GB"/>
        </w:rPr>
        <w:t>The evidence and data need to support continuous improvement through audits of delayed procedures, paused high-risk medicines, medication-restart compliance and specialty-transfer waiting times. Electronic dashboards and automated alerts can find patients requiring review (GOV UK, 2025). Safety findings can be regularly discussed by multidisciplinary governance teams with actions allocated to accountable leaders. The monitoring outcomes enable organisations to evaluate whether improvements reduce medication errors and treatment delays effectively.</w:t>
      </w:r>
    </w:p>
    <w:p w14:paraId="2E470E2C" w14:textId="77777777" w:rsidR="00F3466A" w:rsidRPr="001D4C29" w:rsidRDefault="00F3466A" w:rsidP="00F3466A">
      <w:pPr>
        <w:pStyle w:val="Heading1"/>
        <w:rPr>
          <w:lang w:val="en-GB"/>
        </w:rPr>
      </w:pPr>
      <w:bookmarkStart w:id="43" w:name="_Toc236488411"/>
      <w:r w:rsidRPr="001D4C29">
        <w:rPr>
          <w:sz w:val="24"/>
          <w:szCs w:val="24"/>
          <w:lang w:val="en-GB"/>
        </w:rPr>
        <w:t>Recommendation</w:t>
      </w:r>
      <w:bookmarkEnd w:id="43"/>
    </w:p>
    <w:p w14:paraId="76F77A42" w14:textId="77777777" w:rsidR="00F3466A" w:rsidRPr="001D4C29" w:rsidRDefault="00F3466A" w:rsidP="00F3466A">
      <w:pPr>
        <w:pStyle w:val="Heading2"/>
        <w:rPr>
          <w:b w:val="0"/>
          <w:bCs w:val="0"/>
          <w:iCs/>
          <w:sz w:val="24"/>
          <w:szCs w:val="24"/>
          <w:lang w:val="en-GB"/>
        </w:rPr>
      </w:pPr>
      <w:bookmarkStart w:id="44" w:name="_o8rcilad5hz6" w:colFirst="0" w:colLast="0"/>
      <w:bookmarkStart w:id="45" w:name="_Toc236488412"/>
      <w:bookmarkEnd w:id="44"/>
      <w:r w:rsidRPr="001D4C29">
        <w:rPr>
          <w:iCs/>
          <w:sz w:val="24"/>
          <w:szCs w:val="24"/>
          <w:lang w:val="en-GB"/>
        </w:rPr>
        <w:t>Summarising what should be done next in the chosen organisation</w:t>
      </w:r>
      <w:bookmarkEnd w:id="45"/>
    </w:p>
    <w:p w14:paraId="0F1A32BC" w14:textId="77777777" w:rsidR="00F3466A" w:rsidRPr="001D4C29" w:rsidRDefault="00F3466A" w:rsidP="00F3466A">
      <w:pPr>
        <w:rPr>
          <w:lang w:val="en-GB"/>
        </w:rPr>
      </w:pPr>
      <w:r w:rsidRPr="001D4C29">
        <w:rPr>
          <w:lang w:val="en-GB"/>
        </w:rPr>
        <w:t xml:space="preserve">The organisation should prioritise implementation of standardised anticoagulant management pathways across all acute hospitals to ensure </w:t>
      </w:r>
      <w:r w:rsidRPr="001D4C29">
        <w:rPr>
          <w:b/>
          <w:i/>
          <w:lang w:val="en-GB"/>
        </w:rPr>
        <w:t>mandatory review</w:t>
      </w:r>
      <w:r w:rsidRPr="001D4C29">
        <w:rPr>
          <w:lang w:val="en-GB"/>
        </w:rPr>
        <w:t xml:space="preserve"> of paused anticoagulants every 24 hours and electronic documentation of restart decisions (Nuffield Trust, 2023). Reportedly, 11 million patients experience </w:t>
      </w:r>
      <w:r w:rsidR="001D4C29" w:rsidRPr="001D4C29">
        <w:rPr>
          <w:lang w:val="en-GB"/>
        </w:rPr>
        <w:t>medication errors annually, which reinforce</w:t>
      </w:r>
      <w:r w:rsidRPr="001D4C29">
        <w:rPr>
          <w:lang w:val="en-GB"/>
        </w:rPr>
        <w:t xml:space="preserve"> the need for systematic anticoagulant governance (NHS England, 2023). Hence, dedicated anticoagulant stewardship teams are effective to monitor high risk patients awaiting procedure and escalating prolonged medication interactions. The approach is also in alignment with the </w:t>
      </w:r>
      <w:r w:rsidRPr="001D4C29">
        <w:rPr>
          <w:b/>
          <w:bCs/>
          <w:i/>
          <w:iCs/>
          <w:lang w:val="en-GB"/>
        </w:rPr>
        <w:t xml:space="preserve">Getting It Right First Time (GIRFT) program, </w:t>
      </w:r>
      <w:r w:rsidRPr="001D4C29">
        <w:rPr>
          <w:lang w:val="en-GB"/>
        </w:rPr>
        <w:t xml:space="preserve">which has </w:t>
      </w:r>
      <w:r w:rsidRPr="001D4C29">
        <w:rPr>
          <w:lang w:val="en-GB"/>
        </w:rPr>
        <w:lastRenderedPageBreak/>
        <w:t>demonstrated that standardised clinical pathways improve patient outcomes and reduce unwarranted variation.</w:t>
      </w:r>
    </w:p>
    <w:p w14:paraId="7B191A67" w14:textId="77777777" w:rsidR="00F3466A" w:rsidRPr="001D4C29" w:rsidRDefault="00F3466A" w:rsidP="00F3466A">
      <w:pPr>
        <w:pStyle w:val="Heading2"/>
        <w:rPr>
          <w:b w:val="0"/>
          <w:bCs w:val="0"/>
          <w:iCs/>
          <w:lang w:val="en-GB"/>
        </w:rPr>
      </w:pPr>
      <w:bookmarkStart w:id="46" w:name="_vzvvp4xi92wr" w:colFirst="0" w:colLast="0"/>
      <w:bookmarkStart w:id="47" w:name="_Toc236488413"/>
      <w:bookmarkEnd w:id="46"/>
      <w:r w:rsidRPr="001D4C29">
        <w:rPr>
          <w:iCs/>
          <w:lang w:val="en-GB"/>
        </w:rPr>
        <w:t>Recommending effective leadership style for sustaining improvement</w:t>
      </w:r>
      <w:bookmarkEnd w:id="47"/>
    </w:p>
    <w:p w14:paraId="0D16E5E5" w14:textId="77777777" w:rsidR="00F3466A" w:rsidRPr="001D4C29" w:rsidRDefault="00F3466A" w:rsidP="00F3466A">
      <w:pPr>
        <w:rPr>
          <w:lang w:val="en-GB"/>
        </w:rPr>
      </w:pPr>
      <w:r w:rsidRPr="001D4C29">
        <w:rPr>
          <w:lang w:val="en-GB"/>
        </w:rPr>
        <w:t xml:space="preserve">A combination of </w:t>
      </w:r>
      <w:r w:rsidRPr="001D4C29">
        <w:rPr>
          <w:b/>
          <w:i/>
          <w:lang w:val="en-GB"/>
        </w:rPr>
        <w:t>distributed</w:t>
      </w:r>
      <w:r w:rsidRPr="001D4C29">
        <w:rPr>
          <w:lang w:val="en-GB"/>
        </w:rPr>
        <w:t xml:space="preserve"> and </w:t>
      </w:r>
      <w:r w:rsidRPr="001D4C29">
        <w:rPr>
          <w:b/>
          <w:i/>
          <w:lang w:val="en-GB"/>
        </w:rPr>
        <w:t>transformational</w:t>
      </w:r>
      <w:r w:rsidRPr="001D4C29">
        <w:rPr>
          <w:lang w:val="en-GB"/>
        </w:rPr>
        <w:t xml:space="preserve"> leadership is recommended for sustaining the medication safety improvement. Transformational leadership encourages safety culture, innovation and shared vision, while distributed leadership is effective for nurses, pharmacists and physicians to collectively own anticoagulant management decisions (Institute of Medicine, 2022). Virginia Mason Medical Centre in the USA, for example, adopted lean leadership principles for empowering multidisciplinary teams for identifying medication safety risks. It contributed to a significant reduction of preventable adverse events (AHRQ, 2023). Hospitals with stronger safety leadership reported approximately 23% lower patient safety incidents compared to organisations with weak leadership (AHRQ, 2023). Hence, such leadership is effective in promoting continuous quality improvement and accountability.</w:t>
      </w:r>
    </w:p>
    <w:p w14:paraId="427E3B10" w14:textId="77777777" w:rsidR="00F3466A" w:rsidRPr="001D4C29" w:rsidRDefault="00F3466A" w:rsidP="00F3466A">
      <w:pPr>
        <w:pStyle w:val="Heading2"/>
        <w:rPr>
          <w:b w:val="0"/>
          <w:bCs w:val="0"/>
          <w:iCs/>
          <w:lang w:val="en-GB"/>
        </w:rPr>
      </w:pPr>
      <w:bookmarkStart w:id="48" w:name="_uvpykvkb7kwb" w:colFirst="0" w:colLast="0"/>
      <w:bookmarkStart w:id="49" w:name="_Toc236488414"/>
      <w:bookmarkEnd w:id="48"/>
      <w:r w:rsidRPr="001D4C29">
        <w:rPr>
          <w:iCs/>
          <w:lang w:val="en-GB"/>
        </w:rPr>
        <w:t>Suggesting ways for improving communication, governance and system integration</w:t>
      </w:r>
      <w:bookmarkEnd w:id="49"/>
    </w:p>
    <w:p w14:paraId="7FACA97A" w14:textId="77777777" w:rsidR="00F3466A" w:rsidRPr="001D4C29" w:rsidRDefault="00F3466A" w:rsidP="00F3466A">
      <w:pPr>
        <w:rPr>
          <w:lang w:val="en-GB"/>
        </w:rPr>
      </w:pPr>
      <w:r w:rsidRPr="001D4C29">
        <w:rPr>
          <w:lang w:val="en-GB"/>
        </w:rPr>
        <w:t>Governance can be improved by introducing integrated electronic health records with mandatory multidisciplinary safety huddles and clear accountability, with a shared anticoagulant dashboard to restart high-risk medicine after the procedure. Intermountain Health in the USA, for example, has successfully integrated clinical decision support in electronic health records. The integration has reduced medication-related adverse impacts and also has improved communication across specialists through standardised workflow. According to the reports of OECD (2023), digital interoperability reduces duplicate clinical activity by up to 30% and improves operational efficiency and patient safety. Stronger governance ensures consistent communication despite procedural delays.</w:t>
      </w:r>
    </w:p>
    <w:p w14:paraId="1DEEB744" w14:textId="77777777" w:rsidR="00F3466A" w:rsidRPr="001D4C29" w:rsidRDefault="00F3466A" w:rsidP="00F3466A">
      <w:pPr>
        <w:pStyle w:val="Heading2"/>
        <w:rPr>
          <w:b w:val="0"/>
          <w:bCs w:val="0"/>
          <w:iCs/>
          <w:lang w:val="en-GB"/>
        </w:rPr>
      </w:pPr>
      <w:bookmarkStart w:id="50" w:name="_qoh9565780ia" w:colFirst="0" w:colLast="0"/>
      <w:bookmarkStart w:id="51" w:name="_Toc236488415"/>
      <w:bookmarkEnd w:id="50"/>
      <w:r w:rsidRPr="001D4C29">
        <w:rPr>
          <w:iCs/>
          <w:lang w:val="en-GB"/>
        </w:rPr>
        <w:t>Proposing actions for enhancing allocative efficiency and technical effectiveness</w:t>
      </w:r>
      <w:bookmarkEnd w:id="51"/>
    </w:p>
    <w:p w14:paraId="69F96E9D" w14:textId="77777777" w:rsidR="00F3466A" w:rsidRPr="001D4C29" w:rsidRDefault="00F3466A" w:rsidP="00F3466A">
      <w:pPr>
        <w:rPr>
          <w:lang w:val="en-GB"/>
        </w:rPr>
      </w:pPr>
      <w:r w:rsidRPr="001D4C29">
        <w:rPr>
          <w:lang w:val="en-GB"/>
        </w:rPr>
        <w:t xml:space="preserve">Technical efficiency can be improved by automatic anticoagulant monitoring through </w:t>
      </w:r>
      <w:r w:rsidRPr="001D4C29">
        <w:rPr>
          <w:b/>
          <w:i/>
          <w:lang w:val="en-GB"/>
        </w:rPr>
        <w:t>AI-supported prescribing systems</w:t>
      </w:r>
      <w:r w:rsidRPr="001D4C29">
        <w:rPr>
          <w:lang w:val="en-GB"/>
        </w:rPr>
        <w:t xml:space="preserve"> that reduce medication omission and unnecessary manual review. Nearly 20% of healthcare expenditure is vested through lack of sufficient processes, and it highlights the importance of resource optimisation (European Observatory on Health Systems and Policies, 2023). Allocative efficiency requires directing the specialist anticoagulant resources towards patients at highest thrombotic risk rather than applying identical monitoring to all the patients. Successful implementation of predictive analytics is effective in prioritising high-risk patients that improved medication management file reducing further avoidable hospital admissions.</w:t>
      </w:r>
    </w:p>
    <w:p w14:paraId="21155EBE" w14:textId="77777777" w:rsidR="00F3466A" w:rsidRPr="001D4C29" w:rsidRDefault="00F3466A" w:rsidP="00F3466A">
      <w:pPr>
        <w:pStyle w:val="Heading2"/>
        <w:rPr>
          <w:b w:val="0"/>
          <w:bCs w:val="0"/>
          <w:iCs/>
          <w:lang w:val="en-GB"/>
        </w:rPr>
      </w:pPr>
      <w:bookmarkStart w:id="52" w:name="_ht9oo26k3sfk" w:colFirst="0" w:colLast="0"/>
      <w:bookmarkStart w:id="53" w:name="_Toc236488416"/>
      <w:bookmarkEnd w:id="52"/>
      <w:r w:rsidRPr="001D4C29">
        <w:rPr>
          <w:iCs/>
          <w:lang w:val="en-GB"/>
        </w:rPr>
        <w:lastRenderedPageBreak/>
        <w:t>Method for stakeholder engagement, continuous learning and co-production</w:t>
      </w:r>
      <w:bookmarkEnd w:id="53"/>
    </w:p>
    <w:p w14:paraId="4BE07378" w14:textId="77777777" w:rsidR="00F3466A" w:rsidRPr="001D4C29" w:rsidRDefault="00F3466A" w:rsidP="00F3466A">
      <w:pPr>
        <w:rPr>
          <w:lang w:val="en-GB"/>
        </w:rPr>
      </w:pPr>
      <w:r w:rsidRPr="001D4C29">
        <w:rPr>
          <w:lang w:val="en-GB"/>
        </w:rPr>
        <w:t>Continuous improvement should involve regular medication safety audits, structured learning from patient safety incidents and simulation-based training. The stakeholder engagement should include pharmacists, clinicians, care service providers, and patients in designing anticoagulant pathways to ensure safety measures reflect the real clinical experience. Organisations that actually involve patients in the safety program reflect higher patient satisfaction and improved adherence to the treatment plan (IHI, 2024). As a result, it is effective in improving the long-term medication safety culture. Canadian patient safety institutes, for example, promote co-production through patient advisory councils that improve healthcare quality by integrating patient perspective into the safety initiative.</w:t>
      </w:r>
    </w:p>
    <w:p w14:paraId="7CBA9144" w14:textId="77777777" w:rsidR="00F3466A" w:rsidRPr="001D4C29" w:rsidRDefault="00F3466A" w:rsidP="00F3466A">
      <w:pPr>
        <w:pStyle w:val="Heading1"/>
        <w:rPr>
          <w:b w:val="0"/>
          <w:bCs w:val="0"/>
          <w:lang w:val="en-GB"/>
        </w:rPr>
      </w:pPr>
      <w:bookmarkStart w:id="54" w:name="_4xveeemk0s3s" w:colFirst="0" w:colLast="0"/>
      <w:bookmarkStart w:id="55" w:name="_Toc236488417"/>
      <w:bookmarkEnd w:id="54"/>
      <w:r w:rsidRPr="001D4C29">
        <w:rPr>
          <w:lang w:val="en-GB"/>
        </w:rPr>
        <w:t>Conclusion</w:t>
      </w:r>
      <w:bookmarkEnd w:id="55"/>
    </w:p>
    <w:p w14:paraId="1C63D345" w14:textId="77777777" w:rsidR="00F3466A" w:rsidRPr="001D4C29" w:rsidRDefault="00F3466A" w:rsidP="00F3466A">
      <w:pPr>
        <w:pStyle w:val="Heading2"/>
        <w:rPr>
          <w:b w:val="0"/>
          <w:bCs w:val="0"/>
          <w:iCs/>
          <w:lang w:val="en-GB"/>
        </w:rPr>
      </w:pPr>
      <w:bookmarkStart w:id="56" w:name="_7yltkhi495nn" w:colFirst="0" w:colLast="0"/>
      <w:bookmarkStart w:id="57" w:name="_Toc236488418"/>
      <w:bookmarkEnd w:id="56"/>
      <w:r w:rsidRPr="001D4C29">
        <w:rPr>
          <w:iCs/>
          <w:lang w:val="en-GB"/>
        </w:rPr>
        <w:t>Summarising mean finding of the case study and analysis</w:t>
      </w:r>
      <w:bookmarkEnd w:id="57"/>
    </w:p>
    <w:p w14:paraId="3CACB165" w14:textId="77777777" w:rsidR="00F3466A" w:rsidRPr="001D4C29" w:rsidRDefault="00F3466A" w:rsidP="00F3466A">
      <w:pPr>
        <w:rPr>
          <w:lang w:val="en-GB"/>
        </w:rPr>
      </w:pPr>
      <w:r w:rsidRPr="001D4C29">
        <w:rPr>
          <w:lang w:val="en-GB"/>
        </w:rPr>
        <w:t>Analysis of the case of Patient X demonstrates that the adverse outcome resulted from a combination of system failures rather than a single clinical error. Even though apixaban was appropriately withheld due to active bleeding and a planned procedure, absence of structured medication and procedural delay resulted in anticoagulants being interrupted for 10 days. Additionally, the intended restart of apixaban after the procedure was overlooked because of fragmented accountability, poor communication and lack of adequate care. The findings highlight weaknesses in multidisciplinary collaboration, medication governance and digital decision support. HSSIB concluded that effective management of high-risk medicine requires an integrated system which continuously reassesses clinical risk and the timely support of prescribing decisions for preventing avoidable patient harm.</w:t>
      </w:r>
    </w:p>
    <w:p w14:paraId="481E336D" w14:textId="77777777" w:rsidR="00F3466A" w:rsidRPr="001D4C29" w:rsidRDefault="00F3466A" w:rsidP="00F3466A">
      <w:pPr>
        <w:pStyle w:val="Heading2"/>
        <w:rPr>
          <w:b w:val="0"/>
          <w:bCs w:val="0"/>
          <w:iCs/>
          <w:lang w:val="en-GB"/>
        </w:rPr>
      </w:pPr>
      <w:bookmarkStart w:id="58" w:name="_g4yvkyja7oi6" w:colFirst="0" w:colLast="0"/>
      <w:bookmarkStart w:id="59" w:name="_Toc236488419"/>
      <w:bookmarkEnd w:id="58"/>
      <w:r w:rsidRPr="001D4C29">
        <w:rPr>
          <w:iCs/>
          <w:lang w:val="en-GB"/>
        </w:rPr>
        <w:t>Highlighting the importance of leadership, governance and system thinking in driving change</w:t>
      </w:r>
      <w:bookmarkEnd w:id="59"/>
    </w:p>
    <w:p w14:paraId="49A7BE3B" w14:textId="77777777" w:rsidR="00F3466A" w:rsidRPr="001D4C29" w:rsidRDefault="00F3466A" w:rsidP="00F3466A">
      <w:pPr>
        <w:rPr>
          <w:lang w:val="en-GB"/>
        </w:rPr>
      </w:pPr>
      <w:r w:rsidRPr="001D4C29">
        <w:rPr>
          <w:lang w:val="en-GB"/>
        </w:rPr>
        <w:t xml:space="preserve">Sustainable improvement in medication safety requires leadership which promotes collaboration, system thinking that recognises the ways in which interconnected processes influence patient outcomes, and governance which establishes clear accountability. In the case of Patient X, no individual clinician was completely responsible; rather, failure in communication, the fragmented prescribing process and the delayed procedure collectively contributed to the fatal outcome. Applying system thinking enables the company to redesign workflow rather than focusing on individual blame. Hence, leaders should encourage a just culture that promotes multidisciplinary learning, incident reporting and continuous quality improvement. A strong governance framework supported by </w:t>
      </w:r>
      <w:r w:rsidRPr="001D4C29">
        <w:rPr>
          <w:b/>
          <w:i/>
          <w:lang w:val="en-GB"/>
        </w:rPr>
        <w:t xml:space="preserve">routine audit, digital technology </w:t>
      </w:r>
      <w:r w:rsidR="001D4C29" w:rsidRPr="001D4C29">
        <w:rPr>
          <w:lang w:val="en-GB"/>
        </w:rPr>
        <w:t>and</w:t>
      </w:r>
      <w:r w:rsidR="001D4C29" w:rsidRPr="001D4C29">
        <w:rPr>
          <w:b/>
          <w:i/>
          <w:lang w:val="en-GB"/>
        </w:rPr>
        <w:t xml:space="preserve"> shared</w:t>
      </w:r>
      <w:r w:rsidRPr="001D4C29">
        <w:rPr>
          <w:b/>
          <w:i/>
          <w:lang w:val="en-GB"/>
        </w:rPr>
        <w:t xml:space="preserve"> clinical responsibility</w:t>
      </w:r>
      <w:r w:rsidRPr="001D4C29">
        <w:rPr>
          <w:lang w:val="en-GB"/>
        </w:rPr>
        <w:t xml:space="preserve"> can improve patient safety and reduce variation in practice. Such an integrated approach is in alignment with modern healthcare </w:t>
      </w:r>
      <w:r w:rsidRPr="001D4C29">
        <w:rPr>
          <w:lang w:val="en-GB"/>
        </w:rPr>
        <w:lastRenderedPageBreak/>
        <w:t>quality improvement principles and is also effective in improving organisation resilience against future medication-related harm.</w:t>
      </w:r>
    </w:p>
    <w:p w14:paraId="4339AAE9" w14:textId="77777777" w:rsidR="00D57181" w:rsidRPr="001D4C29" w:rsidRDefault="00F3466A">
      <w:pPr>
        <w:jc w:val="left"/>
        <w:rPr>
          <w:b/>
          <w:bCs/>
          <w:lang w:val="en-GB"/>
        </w:rPr>
      </w:pPr>
      <w:r w:rsidRPr="001D4C29">
        <w:rPr>
          <w:lang w:val="en-GB"/>
        </w:rPr>
        <w:br w:type="page"/>
      </w:r>
    </w:p>
    <w:p w14:paraId="165E7F71" w14:textId="77777777" w:rsidR="00D57181" w:rsidRPr="001D4C29" w:rsidRDefault="00F3466A">
      <w:pPr>
        <w:pStyle w:val="Heading1"/>
        <w:rPr>
          <w:lang w:val="en-GB"/>
        </w:rPr>
      </w:pPr>
      <w:bookmarkStart w:id="60" w:name="_Toc236488420"/>
      <w:r w:rsidRPr="001D4C29">
        <w:rPr>
          <w:lang w:val="en-GB"/>
        </w:rPr>
        <w:lastRenderedPageBreak/>
        <w:t>References</w:t>
      </w:r>
      <w:bookmarkEnd w:id="60"/>
    </w:p>
    <w:p w14:paraId="424BE0E0" w14:textId="77777777" w:rsidR="001D4C29" w:rsidRPr="001D4C29" w:rsidRDefault="001D4C29">
      <w:pPr>
        <w:spacing w:before="240"/>
        <w:rPr>
          <w:lang w:val="en-GB"/>
        </w:rPr>
      </w:pPr>
      <w:r w:rsidRPr="001D4C29">
        <w:rPr>
          <w:lang w:val="en-GB"/>
        </w:rPr>
        <w:t xml:space="preserve">Abukalusa, K. and Oosthuizen, R. (2023). ‘Organisational adaptive leadership framework through systems thinking.’ </w:t>
      </w:r>
      <w:r w:rsidRPr="001D4C29">
        <w:rPr>
          <w:i/>
          <w:iCs/>
          <w:lang w:val="en-GB"/>
        </w:rPr>
        <w:t>South African Journal of Industrial Engineering,</w:t>
      </w:r>
      <w:r w:rsidRPr="001D4C29">
        <w:rPr>
          <w:lang w:val="en-GB"/>
        </w:rPr>
        <w:t xml:space="preserve"> 34(3), pp.245–257. Available at:</w:t>
      </w:r>
      <w:hyperlink r:id="rId14">
        <w:r w:rsidRPr="001D4C29">
          <w:rPr>
            <w:color w:val="0563C1"/>
            <w:u w:val="single"/>
            <w:lang w:val="en-GB"/>
          </w:rPr>
          <w:t xml:space="preserve"> http://dx.doi.org/10.7166/34-3-2955</w:t>
        </w:r>
      </w:hyperlink>
    </w:p>
    <w:p w14:paraId="73FECE82" w14:textId="77777777" w:rsidR="001D4C29" w:rsidRPr="001D4C29" w:rsidRDefault="001D4C29" w:rsidP="00F3466A">
      <w:pPr>
        <w:rPr>
          <w:lang w:val="en-GB"/>
        </w:rPr>
      </w:pPr>
      <w:r w:rsidRPr="001D4C29">
        <w:rPr>
          <w:lang w:val="en-GB"/>
        </w:rPr>
        <w:t xml:space="preserve">AHRQ (2023) </w:t>
      </w:r>
      <w:r w:rsidRPr="001D4C29">
        <w:rPr>
          <w:i/>
          <w:iCs/>
          <w:lang w:val="en-GB"/>
        </w:rPr>
        <w:t>Surveys on Patient Safety Culture™</w:t>
      </w:r>
      <w:r w:rsidRPr="001D4C29">
        <w:rPr>
          <w:lang w:val="en-GB"/>
        </w:rPr>
        <w:t>. Available at:</w:t>
      </w:r>
      <w:hyperlink r:id="rId15"/>
      <w:hyperlink r:id="rId16">
        <w:r w:rsidRPr="001D4C29">
          <w:rPr>
            <w:color w:val="1155CC"/>
            <w:u w:val="single"/>
            <w:lang w:val="en-GB"/>
          </w:rPr>
          <w:t>https://www.ahrq.gov/sops/index.html</w:t>
        </w:r>
      </w:hyperlink>
      <w:r w:rsidRPr="001D4C29">
        <w:rPr>
          <w:lang w:val="en-GB"/>
        </w:rPr>
        <w:t xml:space="preserve"> (Accessed: 1 August 2026).</w:t>
      </w:r>
    </w:p>
    <w:p w14:paraId="114548F7" w14:textId="77777777" w:rsidR="001D4C29" w:rsidRPr="001D4C29" w:rsidRDefault="001D4C29">
      <w:pPr>
        <w:rPr>
          <w:lang w:val="en-GB"/>
        </w:rPr>
      </w:pPr>
      <w:r w:rsidRPr="001D4C29">
        <w:rPr>
          <w:lang w:val="en-GB"/>
        </w:rPr>
        <w:t xml:space="preserve">Alhewiti, A., (2025). ‘Public perception of medical errors and confusion about medical complications: implications for healthcare safety in Saudi Arabia.’ </w:t>
      </w:r>
      <w:r w:rsidRPr="001D4C29">
        <w:rPr>
          <w:i/>
          <w:iCs/>
          <w:lang w:val="en-GB"/>
        </w:rPr>
        <w:t>International Journal of General Medicine</w:t>
      </w:r>
      <w:r w:rsidRPr="001D4C29">
        <w:rPr>
          <w:lang w:val="en-GB"/>
        </w:rPr>
        <w:t xml:space="preserve">, pp.2093-2106. Available at: </w:t>
      </w:r>
      <w:hyperlink r:id="rId17">
        <w:r w:rsidRPr="001D4C29">
          <w:rPr>
            <w:color w:val="1155CC"/>
            <w:u w:val="single"/>
            <w:lang w:val="en-GB"/>
          </w:rPr>
          <w:t>https://doi.org/10.2147/IJGM.S517843</w:t>
        </w:r>
      </w:hyperlink>
    </w:p>
    <w:p w14:paraId="2A0CE966" w14:textId="77777777" w:rsidR="001D4C29" w:rsidRPr="001D4C29" w:rsidRDefault="001D4C29">
      <w:pPr>
        <w:spacing w:before="240"/>
        <w:rPr>
          <w:lang w:val="en-GB"/>
        </w:rPr>
      </w:pPr>
      <w:r w:rsidRPr="001D4C29">
        <w:rPr>
          <w:lang w:val="en-GB"/>
        </w:rPr>
        <w:t xml:space="preserve">Aouad, M., Hastie, M.J. and Karam, V.Y. (2025). ‘Adaptive leadership in crisis: a healthcare system’s resilience journey.’ </w:t>
      </w:r>
      <w:r w:rsidRPr="001D4C29">
        <w:rPr>
          <w:i/>
          <w:iCs/>
          <w:lang w:val="en-GB"/>
        </w:rPr>
        <w:t>BMJ Leader,</w:t>
      </w:r>
      <w:r w:rsidRPr="001D4C29">
        <w:rPr>
          <w:lang w:val="en-GB"/>
        </w:rPr>
        <w:t xml:space="preserve"> 9(2). Available at:</w:t>
      </w:r>
      <w:hyperlink r:id="rId18">
        <w:r w:rsidRPr="001D4C29">
          <w:rPr>
            <w:color w:val="0563C1"/>
            <w:u w:val="single"/>
            <w:lang w:val="en-GB"/>
          </w:rPr>
          <w:t xml:space="preserve"> https://doi.org/10.1136/leader-2023-000958</w:t>
        </w:r>
      </w:hyperlink>
    </w:p>
    <w:p w14:paraId="4C62B456" w14:textId="77777777" w:rsidR="001D4C29" w:rsidRPr="001D4C29" w:rsidRDefault="001D4C29">
      <w:pPr>
        <w:rPr>
          <w:lang w:val="en-GB"/>
        </w:rPr>
      </w:pPr>
      <w:r w:rsidRPr="001D4C29">
        <w:rPr>
          <w:lang w:val="en-GB"/>
        </w:rPr>
        <w:t xml:space="preserve">BMA (2026) </w:t>
      </w:r>
      <w:r w:rsidRPr="001D4C29">
        <w:rPr>
          <w:i/>
          <w:iCs/>
          <w:lang w:val="en-GB"/>
        </w:rPr>
        <w:t>Medical staffing in the NHS.</w:t>
      </w:r>
      <w:r w:rsidRPr="001D4C29">
        <w:rPr>
          <w:lang w:val="en-GB"/>
        </w:rPr>
        <w:t xml:space="preserve"> Available at: </w:t>
      </w:r>
      <w:hyperlink r:id="rId19">
        <w:r w:rsidRPr="001D4C29">
          <w:rPr>
            <w:color w:val="1155CC"/>
            <w:u w:val="single"/>
            <w:lang w:val="en-GB"/>
          </w:rPr>
          <w:t>https://www.bma.org.uk/advice-and-support/nhs-delivery-and-workforce/workforce/medical-staffing-in-the-nhs</w:t>
        </w:r>
      </w:hyperlink>
      <w:r w:rsidRPr="001D4C29">
        <w:rPr>
          <w:lang w:val="en-GB"/>
        </w:rPr>
        <w:t xml:space="preserve"> (Accessed: 1 August 2026). </w:t>
      </w:r>
    </w:p>
    <w:p w14:paraId="01AD2F9F" w14:textId="77777777" w:rsidR="001D4C29" w:rsidRPr="001D4C29" w:rsidRDefault="001D4C29">
      <w:pPr>
        <w:spacing w:before="240"/>
        <w:rPr>
          <w:lang w:val="en-GB"/>
        </w:rPr>
      </w:pPr>
      <w:r w:rsidRPr="001D4C29">
        <w:rPr>
          <w:lang w:val="en-GB"/>
        </w:rPr>
        <w:t xml:space="preserve">Broome, M.E. (2024). </w:t>
      </w:r>
      <w:r w:rsidRPr="001D4C29">
        <w:rPr>
          <w:i/>
          <w:iCs/>
          <w:lang w:val="en-GB"/>
        </w:rPr>
        <w:t>Transformational leadership in nursing: From expert clinician to influential leader.</w:t>
      </w:r>
      <w:r w:rsidRPr="001D4C29">
        <w:rPr>
          <w:lang w:val="en-GB"/>
        </w:rPr>
        <w:t xml:space="preserve"> Springer Publishing Company. Available at:</w:t>
      </w:r>
      <w:hyperlink r:id="rId20">
        <w:r w:rsidRPr="001D4C29">
          <w:rPr>
            <w:color w:val="0563C1"/>
            <w:u w:val="single"/>
            <w:lang w:val="en-GB"/>
          </w:rPr>
          <w:t xml:space="preserve"> https://www.cliffsnotes.com/cliffs-questions/5923843</w:t>
        </w:r>
      </w:hyperlink>
      <w:r w:rsidRPr="001D4C29">
        <w:rPr>
          <w:lang w:val="en-GB"/>
        </w:rPr>
        <w:t xml:space="preserve"> (Accessed: 1 August 2026).</w:t>
      </w:r>
    </w:p>
    <w:p w14:paraId="6C089B36" w14:textId="77777777" w:rsidR="001D4C29" w:rsidRPr="001D4C29" w:rsidRDefault="001D4C29">
      <w:pPr>
        <w:rPr>
          <w:lang w:val="en-GB"/>
        </w:rPr>
      </w:pPr>
      <w:r w:rsidRPr="001D4C29">
        <w:rPr>
          <w:lang w:val="en-GB"/>
        </w:rPr>
        <w:t xml:space="preserve">Camacho, E.M., Gavan, S., Keers, R.N., Chuter, A. and Elliott, R.A., (2024). ‘Estimating the impact on patient safety of enabling the digital transfer of patients’ prescription information in the English NHS.’ </w:t>
      </w:r>
      <w:r w:rsidRPr="001D4C29">
        <w:rPr>
          <w:i/>
          <w:iCs/>
          <w:lang w:val="en-GB"/>
        </w:rPr>
        <w:t>BMJ quality &amp; safety</w:t>
      </w:r>
      <w:r w:rsidRPr="001D4C29">
        <w:rPr>
          <w:lang w:val="en-GB"/>
        </w:rPr>
        <w:t xml:space="preserve">, </w:t>
      </w:r>
      <w:r w:rsidRPr="001D4C29">
        <w:rPr>
          <w:i/>
          <w:iCs/>
          <w:lang w:val="en-GB"/>
        </w:rPr>
        <w:t>33</w:t>
      </w:r>
      <w:r w:rsidRPr="001D4C29">
        <w:rPr>
          <w:lang w:val="en-GB"/>
        </w:rPr>
        <w:t xml:space="preserve">(11), pp.726-737. Available at: </w:t>
      </w:r>
      <w:hyperlink r:id="rId21">
        <w:r w:rsidRPr="001D4C29">
          <w:rPr>
            <w:color w:val="1155CC"/>
            <w:u w:val="single"/>
            <w:lang w:val="en-GB"/>
          </w:rPr>
          <w:t>https://qualitysafety.bmj.com/content/qhc/33/11/726.full.pdf</w:t>
        </w:r>
      </w:hyperlink>
    </w:p>
    <w:p w14:paraId="21374628" w14:textId="77777777" w:rsidR="001D4C29" w:rsidRPr="001D4C29" w:rsidRDefault="001D4C29">
      <w:pPr>
        <w:rPr>
          <w:lang w:val="en-GB"/>
        </w:rPr>
      </w:pPr>
      <w:r w:rsidRPr="001D4C29">
        <w:rPr>
          <w:lang w:val="en-GB"/>
        </w:rPr>
        <w:t xml:space="preserve">Campbell, D. (2025). </w:t>
      </w:r>
      <w:r w:rsidRPr="001D4C29">
        <w:rPr>
          <w:i/>
          <w:iCs/>
          <w:lang w:val="en-GB"/>
        </w:rPr>
        <w:t>One in four patients in England find errors in medical records, watchdog says.</w:t>
      </w:r>
      <w:r w:rsidRPr="001D4C29">
        <w:rPr>
          <w:lang w:val="en-GB"/>
        </w:rPr>
        <w:t xml:space="preserve"> Available at: </w:t>
      </w:r>
      <w:hyperlink r:id="rId22">
        <w:r w:rsidRPr="001D4C29">
          <w:rPr>
            <w:color w:val="1155CC"/>
            <w:u w:val="single"/>
            <w:lang w:val="en-GB"/>
          </w:rPr>
          <w:t>https://www.theguardian.com/society/2025/may/01/one-in-four-patients-in-england-find-errors-in-medical-records-watchdog-says</w:t>
        </w:r>
      </w:hyperlink>
      <w:r w:rsidRPr="001D4C29">
        <w:rPr>
          <w:lang w:val="en-GB"/>
        </w:rPr>
        <w:t xml:space="preserve"> (Accessed: 1 August 2026). </w:t>
      </w:r>
    </w:p>
    <w:p w14:paraId="608B2759" w14:textId="77777777" w:rsidR="001D4C29" w:rsidRPr="001D4C29" w:rsidRDefault="001D4C29">
      <w:pPr>
        <w:rPr>
          <w:lang w:val="en-GB"/>
        </w:rPr>
      </w:pPr>
      <w:r w:rsidRPr="001D4C29">
        <w:rPr>
          <w:lang w:val="en-GB"/>
        </w:rPr>
        <w:t xml:space="preserve">CPD (2026) </w:t>
      </w:r>
      <w:r w:rsidRPr="001D4C29">
        <w:rPr>
          <w:i/>
          <w:iCs/>
          <w:lang w:val="en-GB"/>
        </w:rPr>
        <w:t>Medication Error Statistics UK: The Definitive Guide (2026)</w:t>
      </w:r>
      <w:r w:rsidRPr="001D4C29">
        <w:rPr>
          <w:lang w:val="en-GB"/>
        </w:rPr>
        <w:t>. Available at:</w:t>
      </w:r>
      <w:hyperlink r:id="rId23"/>
      <w:hyperlink r:id="rId24">
        <w:r w:rsidRPr="001D4C29">
          <w:rPr>
            <w:color w:val="1155CC"/>
            <w:u w:val="single"/>
            <w:lang w:val="en-GB"/>
          </w:rPr>
          <w:t>https://onlinecpdacademy.co.uk/blog/medication-error-statistics-uk</w:t>
        </w:r>
      </w:hyperlink>
      <w:r w:rsidRPr="001D4C29">
        <w:rPr>
          <w:lang w:val="en-GB"/>
        </w:rPr>
        <w:t xml:space="preserve"> (Accessed 1 August 2026).</w:t>
      </w:r>
    </w:p>
    <w:p w14:paraId="557171B9" w14:textId="77777777" w:rsidR="001D4C29" w:rsidRPr="001D4C29" w:rsidRDefault="001D4C29">
      <w:pPr>
        <w:rPr>
          <w:color w:val="1155CC"/>
          <w:u w:val="single"/>
          <w:lang w:val="en-GB"/>
        </w:rPr>
      </w:pPr>
      <w:r w:rsidRPr="001D4C29">
        <w:rPr>
          <w:lang w:val="en-GB"/>
        </w:rPr>
        <w:t xml:space="preserve">Darbyshire, J., Greenhalgh, T., Bakerly, N.D., Balasundaram, K., Baley, S., Ball, M., Bullock, E., Cooper, R., Davies, H., De Kock, J.H. and Echevarria, C., (2024). ‘Improving quality in adult long covid services: Findings from the LOCOMOTION quality improvement </w:t>
      </w:r>
      <w:r w:rsidRPr="001D4C29">
        <w:rPr>
          <w:lang w:val="en-GB"/>
        </w:rPr>
        <w:lastRenderedPageBreak/>
        <w:t xml:space="preserve">collaborative’. </w:t>
      </w:r>
      <w:r w:rsidRPr="001D4C29">
        <w:rPr>
          <w:i/>
          <w:iCs/>
          <w:lang w:val="en-GB"/>
        </w:rPr>
        <w:t>Clinical Medicine</w:t>
      </w:r>
      <w:r w:rsidRPr="001D4C29">
        <w:rPr>
          <w:lang w:val="en-GB"/>
        </w:rPr>
        <w:t xml:space="preserve">, </w:t>
      </w:r>
      <w:r w:rsidRPr="001D4C29">
        <w:rPr>
          <w:i/>
          <w:iCs/>
          <w:lang w:val="en-GB"/>
        </w:rPr>
        <w:t>24</w:t>
      </w:r>
      <w:r w:rsidRPr="001D4C29">
        <w:rPr>
          <w:lang w:val="en-GB"/>
        </w:rPr>
        <w:t>(5), p.100237. Available at:</w:t>
      </w:r>
      <w:hyperlink r:id="rId25"/>
      <w:hyperlink r:id="rId26">
        <w:r w:rsidRPr="001D4C29">
          <w:rPr>
            <w:color w:val="1155CC"/>
            <w:u w:val="single"/>
            <w:lang w:val="en-GB"/>
          </w:rPr>
          <w:t>https://doi.org/10.1016/j.clinme.2024.100237</w:t>
        </w:r>
      </w:hyperlink>
    </w:p>
    <w:p w14:paraId="7C24B1BA" w14:textId="77777777" w:rsidR="001D4C29" w:rsidRPr="001D4C29" w:rsidRDefault="001D4C29" w:rsidP="00F3466A">
      <w:pPr>
        <w:rPr>
          <w:lang w:val="en-GB"/>
        </w:rPr>
      </w:pPr>
      <w:r w:rsidRPr="001D4C29">
        <w:rPr>
          <w:lang w:val="en-GB"/>
        </w:rPr>
        <w:t xml:space="preserve">European Observatory on Health Systems and Policies (2023) </w:t>
      </w:r>
      <w:r w:rsidRPr="001D4C29">
        <w:rPr>
          <w:i/>
          <w:iCs/>
          <w:lang w:val="en-GB"/>
        </w:rPr>
        <w:t>Health Systems in Transition Series</w:t>
      </w:r>
      <w:r w:rsidRPr="001D4C29">
        <w:rPr>
          <w:lang w:val="en-GB"/>
        </w:rPr>
        <w:t>. Available at:</w:t>
      </w:r>
      <w:hyperlink r:id="rId27"/>
      <w:hyperlink r:id="rId28">
        <w:r w:rsidRPr="001D4C29">
          <w:rPr>
            <w:color w:val="1155CC"/>
            <w:u w:val="single"/>
            <w:lang w:val="en-GB"/>
          </w:rPr>
          <w:t>https://eurohealthobservatory.who.int/publications/country-health-profiles/2023</w:t>
        </w:r>
      </w:hyperlink>
      <w:r w:rsidRPr="001D4C29">
        <w:rPr>
          <w:lang w:val="en-GB"/>
        </w:rPr>
        <w:t xml:space="preserve"> (Accessed: 1 August 2026).</w:t>
      </w:r>
    </w:p>
    <w:p w14:paraId="26C31F83" w14:textId="77777777" w:rsidR="001D4C29" w:rsidRPr="001D4C29" w:rsidRDefault="001D4C29">
      <w:pPr>
        <w:rPr>
          <w:lang w:val="en-GB"/>
        </w:rPr>
      </w:pPr>
      <w:r w:rsidRPr="001D4C29">
        <w:rPr>
          <w:lang w:val="en-GB"/>
        </w:rPr>
        <w:t xml:space="preserve">Ferrario, C., Levaggi, R. and Piacenza, M., (2023). ‘Efficiency and equity effects of healthcare decentralization: evidence from Italy.’ In </w:t>
      </w:r>
      <w:r w:rsidRPr="001D4C29">
        <w:rPr>
          <w:i/>
          <w:iCs/>
          <w:lang w:val="en-GB"/>
        </w:rPr>
        <w:t>Handbook on the Political Economy of Health Systems</w:t>
      </w:r>
      <w:r w:rsidRPr="001D4C29">
        <w:rPr>
          <w:lang w:val="en-GB"/>
        </w:rPr>
        <w:t xml:space="preserve"> (pp. 85-111). Edward Elgar Publishing. Available at: </w:t>
      </w:r>
      <w:hyperlink r:id="rId29">
        <w:r w:rsidRPr="001D4C29">
          <w:rPr>
            <w:color w:val="1155CC"/>
            <w:u w:val="single"/>
            <w:lang w:val="en-GB"/>
          </w:rPr>
          <w:t>https://air.unimi.it/bitstream/2434/955027/4/HC%20decentralization_published.pdf</w:t>
        </w:r>
      </w:hyperlink>
    </w:p>
    <w:p w14:paraId="269CB0A5" w14:textId="77777777" w:rsidR="001D4C29" w:rsidRPr="001D4C29" w:rsidRDefault="001D4C29">
      <w:pPr>
        <w:spacing w:before="240"/>
        <w:rPr>
          <w:lang w:val="en-GB"/>
        </w:rPr>
      </w:pPr>
      <w:r w:rsidRPr="001D4C29">
        <w:rPr>
          <w:lang w:val="en-GB"/>
        </w:rPr>
        <w:t xml:space="preserve">Gadsby Wicks Solicitors (2026). </w:t>
      </w:r>
      <w:r w:rsidRPr="001D4C29">
        <w:rPr>
          <w:i/>
          <w:iCs/>
          <w:lang w:val="en-GB"/>
        </w:rPr>
        <w:t>NHS medical negligence claims statistics.</w:t>
      </w:r>
      <w:r w:rsidRPr="001D4C29">
        <w:rPr>
          <w:lang w:val="en-GB"/>
        </w:rPr>
        <w:t xml:space="preserve"> Available at:</w:t>
      </w:r>
      <w:hyperlink r:id="rId30">
        <w:r w:rsidRPr="001D4C29">
          <w:rPr>
            <w:color w:val="0563C1"/>
            <w:u w:val="single"/>
            <w:lang w:val="en-GB"/>
          </w:rPr>
          <w:t xml:space="preserve"> https://www.gadsbywicks.co.uk/insights/medical-negligence/nhs-medical-negligence-claims-statsistics</w:t>
        </w:r>
      </w:hyperlink>
      <w:r w:rsidRPr="001D4C29">
        <w:rPr>
          <w:lang w:val="en-GB"/>
        </w:rPr>
        <w:t xml:space="preserve"> (Accessed: 1 August 2026).</w:t>
      </w:r>
    </w:p>
    <w:p w14:paraId="64316B6D" w14:textId="77777777" w:rsidR="001D4C29" w:rsidRPr="001D4C29" w:rsidRDefault="001D4C29">
      <w:pPr>
        <w:spacing w:before="240"/>
        <w:rPr>
          <w:lang w:val="en-GB"/>
        </w:rPr>
      </w:pPr>
      <w:r w:rsidRPr="001D4C29">
        <w:rPr>
          <w:lang w:val="en-GB"/>
        </w:rPr>
        <w:t xml:space="preserve">Gadsby Wicks Solicitors (2026). </w:t>
      </w:r>
      <w:r w:rsidRPr="001D4C29">
        <w:rPr>
          <w:i/>
          <w:iCs/>
          <w:lang w:val="en-GB"/>
        </w:rPr>
        <w:t>The risks and causes of prescription and medication errors explained.</w:t>
      </w:r>
      <w:r w:rsidRPr="001D4C29">
        <w:rPr>
          <w:lang w:val="en-GB"/>
        </w:rPr>
        <w:t xml:space="preserve"> Available at:</w:t>
      </w:r>
      <w:hyperlink r:id="rId31">
        <w:r w:rsidRPr="001D4C29">
          <w:rPr>
            <w:color w:val="0563C1"/>
            <w:u w:val="single"/>
            <w:lang w:val="en-GB"/>
          </w:rPr>
          <w:t xml:space="preserve"> https://www.gadsbywicks.co.uk/insights/medical-negligence/the-risks-and-causes-of-prescription-and-medication-errors-explained</w:t>
        </w:r>
      </w:hyperlink>
      <w:r w:rsidRPr="001D4C29">
        <w:rPr>
          <w:lang w:val="en-GB"/>
        </w:rPr>
        <w:t xml:space="preserve"> (Accessed: 1 August 2026).</w:t>
      </w:r>
    </w:p>
    <w:p w14:paraId="56F32B5C" w14:textId="77777777" w:rsidR="001D4C29" w:rsidRPr="001D4C29" w:rsidRDefault="001D4C29">
      <w:pPr>
        <w:spacing w:before="240"/>
        <w:rPr>
          <w:lang w:val="en-GB"/>
        </w:rPr>
      </w:pPr>
      <w:r w:rsidRPr="001D4C29">
        <w:rPr>
          <w:lang w:val="en-GB"/>
        </w:rPr>
        <w:t xml:space="preserve">Georgousopoulou, V., Amanatidou, M., Vlotinou, P., Lahana, E., Tsiakiri, A., Koutelekos, I., Koutra, E. and Manomenidis, G. (2025). ‘The role of organizational culture and emotional intelligence: enhancing healthcare professionals’ job satisfaction.’ </w:t>
      </w:r>
      <w:r w:rsidRPr="001D4C29">
        <w:rPr>
          <w:i/>
          <w:iCs/>
          <w:lang w:val="en-GB"/>
        </w:rPr>
        <w:t>Social Sciences,</w:t>
      </w:r>
      <w:r w:rsidRPr="001D4C29">
        <w:rPr>
          <w:lang w:val="en-GB"/>
        </w:rPr>
        <w:t xml:space="preserve"> 14(5), p.286. Available at:</w:t>
      </w:r>
      <w:hyperlink r:id="rId32">
        <w:r w:rsidRPr="001D4C29">
          <w:rPr>
            <w:color w:val="0563C1"/>
            <w:u w:val="single"/>
            <w:lang w:val="en-GB"/>
          </w:rPr>
          <w:t xml:space="preserve"> https://doi.org/10.3390/socsci14050286</w:t>
        </w:r>
      </w:hyperlink>
    </w:p>
    <w:p w14:paraId="49D33E70" w14:textId="77777777" w:rsidR="001D4C29" w:rsidRPr="001D4C29" w:rsidRDefault="001D4C29">
      <w:pPr>
        <w:rPr>
          <w:lang w:val="en-GB"/>
        </w:rPr>
      </w:pPr>
      <w:r w:rsidRPr="001D4C29">
        <w:rPr>
          <w:lang w:val="en-GB"/>
        </w:rPr>
        <w:t xml:space="preserve">Giallouros, G., Nicolaides, C., Gabriel, E., Economou, M., Georgiou, A., Diakourakis, M., Soteriou, A. and Nikolopoulos, G.K., (2024). ‘Enhancing employee engagement through integrating leadership and employee job resources: evidence from a public healthcare setting.’ </w:t>
      </w:r>
      <w:r w:rsidRPr="001D4C29">
        <w:rPr>
          <w:i/>
          <w:iCs/>
          <w:lang w:val="en-GB"/>
        </w:rPr>
        <w:t>International Public Management Journal</w:t>
      </w:r>
      <w:r w:rsidRPr="001D4C29">
        <w:rPr>
          <w:lang w:val="en-GB"/>
        </w:rPr>
        <w:t xml:space="preserve">, </w:t>
      </w:r>
      <w:r w:rsidRPr="001D4C29">
        <w:rPr>
          <w:i/>
          <w:iCs/>
          <w:lang w:val="en-GB"/>
        </w:rPr>
        <w:t>27</w:t>
      </w:r>
      <w:r w:rsidRPr="001D4C29">
        <w:rPr>
          <w:lang w:val="en-GB"/>
        </w:rPr>
        <w:t xml:space="preserve">(4), pp.533-558. Available at: </w:t>
      </w:r>
      <w:hyperlink r:id="rId33">
        <w:r w:rsidRPr="001D4C29">
          <w:rPr>
            <w:color w:val="1155CC"/>
            <w:u w:val="single"/>
            <w:lang w:val="en-GB"/>
          </w:rPr>
          <w:t>https://doi.org/10.1080/10967494.2023.2215754</w:t>
        </w:r>
      </w:hyperlink>
    </w:p>
    <w:p w14:paraId="480F3C9B" w14:textId="77777777" w:rsidR="001D4C29" w:rsidRPr="001D4C29" w:rsidRDefault="001D4C29">
      <w:pPr>
        <w:rPr>
          <w:lang w:val="en-GB"/>
        </w:rPr>
      </w:pPr>
      <w:r w:rsidRPr="001D4C29">
        <w:rPr>
          <w:lang w:val="en-GB"/>
        </w:rPr>
        <w:t xml:space="preserve">GOV (2026) </w:t>
      </w:r>
      <w:r w:rsidRPr="001D4C29">
        <w:rPr>
          <w:i/>
          <w:iCs/>
          <w:lang w:val="en-GB"/>
        </w:rPr>
        <w:t>4. Tuberculosis treatment and outcomes, England, 2024.</w:t>
      </w:r>
      <w:r w:rsidRPr="001D4C29">
        <w:rPr>
          <w:lang w:val="en-GB"/>
        </w:rPr>
        <w:t xml:space="preserve"> Available at: </w:t>
      </w:r>
      <w:hyperlink r:id="rId34">
        <w:r w:rsidRPr="001D4C29">
          <w:rPr>
            <w:color w:val="1155CC"/>
            <w:u w:val="single"/>
            <w:lang w:val="en-GB"/>
          </w:rPr>
          <w:t>https://www.gov.uk/government/publications/tuberculosis-in-england-2025-report/4-tuberculosis-treatment-and-outcomes-england-2024</w:t>
        </w:r>
      </w:hyperlink>
      <w:r w:rsidRPr="001D4C29">
        <w:rPr>
          <w:lang w:val="en-GB"/>
        </w:rPr>
        <w:t xml:space="preserve"> (Accessed: 1 August 2026).</w:t>
      </w:r>
    </w:p>
    <w:p w14:paraId="0B94F20F" w14:textId="77777777" w:rsidR="001D4C29" w:rsidRPr="001D4C29" w:rsidRDefault="001D4C29">
      <w:pPr>
        <w:rPr>
          <w:lang w:val="en-GB"/>
        </w:rPr>
      </w:pPr>
      <w:r w:rsidRPr="001D4C29">
        <w:rPr>
          <w:lang w:val="en-GB"/>
        </w:rPr>
        <w:t xml:space="preserve">GOV UK (2025) </w:t>
      </w:r>
      <w:r w:rsidRPr="001D4C29">
        <w:rPr>
          <w:i/>
          <w:iCs/>
          <w:lang w:val="en-GB"/>
        </w:rPr>
        <w:t>World-First AI System to Warn of NHS Patient Safety Concerns</w:t>
      </w:r>
      <w:r w:rsidRPr="001D4C29">
        <w:rPr>
          <w:lang w:val="en-GB"/>
        </w:rPr>
        <w:t>. Available at:</w:t>
      </w:r>
      <w:hyperlink r:id="rId35"/>
      <w:hyperlink r:id="rId36">
        <w:r w:rsidRPr="001D4C29">
          <w:rPr>
            <w:color w:val="1155CC"/>
            <w:u w:val="single"/>
            <w:lang w:val="en-GB"/>
          </w:rPr>
          <w:t>https://www.gov.uk/government/news/world-first-ai-system-to-warn-of-nhs-patient-safety-concerns</w:t>
        </w:r>
      </w:hyperlink>
      <w:r w:rsidRPr="001D4C29">
        <w:rPr>
          <w:lang w:val="en-GB"/>
        </w:rPr>
        <w:t xml:space="preserve"> (Accessed: 1 August 2026).</w:t>
      </w:r>
    </w:p>
    <w:p w14:paraId="6C16E491" w14:textId="77777777" w:rsidR="001D4C29" w:rsidRPr="001D4C29" w:rsidRDefault="001D4C29" w:rsidP="00F3466A">
      <w:pPr>
        <w:rPr>
          <w:lang w:val="en-GB"/>
        </w:rPr>
      </w:pPr>
      <w:r w:rsidRPr="001D4C29">
        <w:rPr>
          <w:lang w:val="en-GB"/>
        </w:rPr>
        <w:lastRenderedPageBreak/>
        <w:t xml:space="preserve">HSSIB (2025) </w:t>
      </w:r>
      <w:r w:rsidRPr="001D4C29">
        <w:rPr>
          <w:i/>
          <w:iCs/>
          <w:lang w:val="en-GB"/>
        </w:rPr>
        <w:t>Medication not given: anticoagulation before and after a procedure</w:t>
      </w:r>
      <w:r w:rsidRPr="001D4C29">
        <w:rPr>
          <w:lang w:val="en-GB"/>
        </w:rPr>
        <w:t>. Available at:</w:t>
      </w:r>
      <w:hyperlink r:id="rId37"/>
      <w:hyperlink r:id="rId38">
        <w:r w:rsidRPr="001D4C29">
          <w:rPr>
            <w:color w:val="1155CC"/>
            <w:u w:val="single"/>
            <w:lang w:val="en-GB"/>
          </w:rPr>
          <w:t>https://www.hssib.org.uk/patient-safety-investigations/medication-related-harm/second-investigation-report/</w:t>
        </w:r>
      </w:hyperlink>
      <w:r w:rsidRPr="001D4C29">
        <w:rPr>
          <w:lang w:val="en-GB"/>
        </w:rPr>
        <w:t xml:space="preserve"> (Accessed: 1 August 2026).</w:t>
      </w:r>
    </w:p>
    <w:p w14:paraId="454B7494" w14:textId="77777777" w:rsidR="001D4C29" w:rsidRPr="001D4C29" w:rsidRDefault="001D4C29" w:rsidP="00F3466A">
      <w:pPr>
        <w:rPr>
          <w:lang w:val="en-GB"/>
        </w:rPr>
      </w:pPr>
      <w:r w:rsidRPr="001D4C29">
        <w:rPr>
          <w:lang w:val="en-GB"/>
        </w:rPr>
        <w:t xml:space="preserve"> IHI (2024) </w:t>
      </w:r>
      <w:r w:rsidRPr="001D4C29">
        <w:rPr>
          <w:i/>
          <w:iCs/>
          <w:lang w:val="en-GB"/>
        </w:rPr>
        <w:t>Partnering with Patients and Families to Improve Safety</w:t>
      </w:r>
      <w:r w:rsidRPr="001D4C29">
        <w:rPr>
          <w:lang w:val="en-GB"/>
        </w:rPr>
        <w:t>. Available at:</w:t>
      </w:r>
      <w:hyperlink r:id="rId39"/>
      <w:hyperlink r:id="rId40">
        <w:r w:rsidRPr="001D4C29">
          <w:rPr>
            <w:color w:val="1155CC"/>
            <w:u w:val="single"/>
            <w:lang w:val="en-GB"/>
          </w:rPr>
          <w:t>https://events.ihi.org/2024-ihi-patient-safety-congress-focus-areas</w:t>
        </w:r>
      </w:hyperlink>
      <w:r w:rsidRPr="001D4C29">
        <w:rPr>
          <w:lang w:val="en-GB"/>
        </w:rPr>
        <w:t xml:space="preserve"> (Accessed: 1 August 2026).</w:t>
      </w:r>
    </w:p>
    <w:p w14:paraId="7AC42CCD" w14:textId="77777777" w:rsidR="001D4C29" w:rsidRPr="001D4C29" w:rsidRDefault="001D4C29" w:rsidP="00F3466A">
      <w:pPr>
        <w:rPr>
          <w:lang w:val="en-GB"/>
        </w:rPr>
      </w:pPr>
      <w:r w:rsidRPr="001D4C29">
        <w:rPr>
          <w:lang w:val="en-GB"/>
        </w:rPr>
        <w:t xml:space="preserve">Institute of Medicine (2022) </w:t>
      </w:r>
      <w:r w:rsidRPr="001D4C29">
        <w:rPr>
          <w:i/>
          <w:iCs/>
          <w:lang w:val="en-GB"/>
        </w:rPr>
        <w:t>Leadership Commitments to Improve Value in Healthcare: Finding Common Ground</w:t>
      </w:r>
      <w:r w:rsidRPr="001D4C29">
        <w:rPr>
          <w:lang w:val="en-GB"/>
        </w:rPr>
        <w:t>. Available at:</w:t>
      </w:r>
      <w:hyperlink r:id="rId41"/>
      <w:hyperlink r:id="rId42">
        <w:r w:rsidRPr="001D4C29">
          <w:rPr>
            <w:color w:val="1155CC"/>
            <w:u w:val="single"/>
            <w:lang w:val="en-GB"/>
          </w:rPr>
          <w:t>https://nam.edu/</w:t>
        </w:r>
      </w:hyperlink>
      <w:r w:rsidRPr="001D4C29">
        <w:rPr>
          <w:lang w:val="en-GB"/>
        </w:rPr>
        <w:t xml:space="preserve"> (Accessed: 1 August 2026).</w:t>
      </w:r>
    </w:p>
    <w:p w14:paraId="52F7A8E9" w14:textId="77777777" w:rsidR="001D4C29" w:rsidRPr="001D4C29" w:rsidRDefault="001D4C29">
      <w:pPr>
        <w:spacing w:before="240"/>
        <w:rPr>
          <w:lang w:val="en-GB"/>
        </w:rPr>
      </w:pPr>
      <w:r w:rsidRPr="001D4C29">
        <w:rPr>
          <w:lang w:val="en-GB"/>
        </w:rPr>
        <w:t>Keshavjee, K. and Khatami, A. (eds.) (2024). ‘The Role of Digital Health Policy and Leadership: From Reactive to Proactive</w:t>
      </w:r>
      <w:r w:rsidRPr="001D4C29">
        <w:rPr>
          <w:i/>
          <w:iCs/>
          <w:lang w:val="en-GB"/>
        </w:rPr>
        <w:t>.</w:t>
      </w:r>
      <w:r w:rsidRPr="001D4C29">
        <w:rPr>
          <w:lang w:val="en-GB"/>
        </w:rPr>
        <w:t xml:space="preserve"> London’: </w:t>
      </w:r>
      <w:r w:rsidRPr="001D4C29">
        <w:rPr>
          <w:i/>
          <w:iCs/>
          <w:lang w:val="en-GB"/>
        </w:rPr>
        <w:t>SAGE Publications</w:t>
      </w:r>
      <w:r w:rsidRPr="001D4C29">
        <w:rPr>
          <w:lang w:val="en-GB"/>
        </w:rPr>
        <w:t>. Available at:</w:t>
      </w:r>
      <w:hyperlink r:id="rId43">
        <w:r w:rsidRPr="001D4C29">
          <w:rPr>
            <w:color w:val="0563C1"/>
            <w:u w:val="single"/>
            <w:lang w:val="en-GB"/>
          </w:rPr>
          <w:t xml:space="preserve"> https://journals.sagepub.com/doi/pdf/10.3233/SHTI312_fm</w:t>
        </w:r>
      </w:hyperlink>
    </w:p>
    <w:p w14:paraId="0217D6FA" w14:textId="77777777" w:rsidR="001D4C29" w:rsidRPr="001D4C29" w:rsidRDefault="001D4C29" w:rsidP="00F3466A">
      <w:pPr>
        <w:rPr>
          <w:lang w:val="en-GB"/>
        </w:rPr>
      </w:pPr>
      <w:r w:rsidRPr="001D4C29">
        <w:rPr>
          <w:lang w:val="en-GB"/>
        </w:rPr>
        <w:t xml:space="preserve">Kwan, J.L., Lo, L., Sampson, M. and Shojania, K.G. (2023) </w:t>
      </w:r>
      <w:r w:rsidRPr="001D4C29">
        <w:rPr>
          <w:i/>
          <w:iCs/>
          <w:lang w:val="en-GB"/>
        </w:rPr>
        <w:t>Medication reconciliation during transitions of care: a systematic review and meta-analysis</w:t>
      </w:r>
      <w:r w:rsidRPr="001D4C29">
        <w:rPr>
          <w:lang w:val="en-GB"/>
        </w:rPr>
        <w:t>. BMJ Quality &amp; Safety, 32(4), pp.235–246. Available at:</w:t>
      </w:r>
      <w:hyperlink r:id="rId44"/>
      <w:hyperlink r:id="rId45">
        <w:r w:rsidRPr="001D4C29">
          <w:rPr>
            <w:color w:val="1155CC"/>
            <w:u w:val="single"/>
            <w:lang w:val="en-GB"/>
          </w:rPr>
          <w:t>https://pubmed.ncbi.nlm.nih.gov/23460096/</w:t>
        </w:r>
      </w:hyperlink>
      <w:r w:rsidRPr="001D4C29">
        <w:rPr>
          <w:lang w:val="en-GB"/>
        </w:rPr>
        <w:t xml:space="preserve"> (Accessed: 1 August 2026).</w:t>
      </w:r>
    </w:p>
    <w:p w14:paraId="679EF09C" w14:textId="77777777" w:rsidR="001D4C29" w:rsidRPr="001D4C29" w:rsidRDefault="001D4C29">
      <w:pPr>
        <w:spacing w:before="240"/>
        <w:rPr>
          <w:lang w:val="en-GB"/>
        </w:rPr>
      </w:pPr>
      <w:r w:rsidRPr="001D4C29">
        <w:rPr>
          <w:lang w:val="en-GB"/>
        </w:rPr>
        <w:t xml:space="preserve">Lockhart, N., Coole, M. and Doudle, W. (2026). ‘Safety, security, and the adversarial unknown in organisational legitimacy.’ </w:t>
      </w:r>
      <w:r w:rsidRPr="001D4C29">
        <w:rPr>
          <w:i/>
          <w:iCs/>
          <w:lang w:val="en-GB"/>
        </w:rPr>
        <w:t>Research Square.</w:t>
      </w:r>
      <w:r w:rsidRPr="001D4C29">
        <w:rPr>
          <w:lang w:val="en-GB"/>
        </w:rPr>
        <w:t xml:space="preserve"> Available at:</w:t>
      </w:r>
      <w:hyperlink r:id="rId46">
        <w:r w:rsidRPr="001D4C29">
          <w:rPr>
            <w:color w:val="0563C1"/>
            <w:u w:val="single"/>
            <w:lang w:val="en-GB"/>
          </w:rPr>
          <w:t xml:space="preserve"> https://doi.org/10.21203/rs.3.rs-8913563/v1</w:t>
        </w:r>
      </w:hyperlink>
    </w:p>
    <w:p w14:paraId="57818EED" w14:textId="77777777" w:rsidR="001D4C29" w:rsidRPr="001D4C29" w:rsidRDefault="001D4C29">
      <w:pPr>
        <w:rPr>
          <w:color w:val="1155CC"/>
          <w:u w:val="single"/>
          <w:lang w:val="en-GB"/>
        </w:rPr>
      </w:pPr>
      <w:r w:rsidRPr="001D4C29">
        <w:rPr>
          <w:lang w:val="en-GB"/>
        </w:rPr>
        <w:t xml:space="preserve">Mantzourani, E., Brooks, O., James, D., Richards, A., Hodson, K., Akhtar, H., Wakelyn, M., White, L., Williams, R., O’Gorman, G., Kervin, A., Chess, J. and Brown, C. (2022). ‘Development, Implementation and Evaluation of the Digital Transformation of Renal Services in Wales: the Journey from Local to National’. </w:t>
      </w:r>
      <w:r w:rsidRPr="001D4C29">
        <w:rPr>
          <w:i/>
          <w:iCs/>
          <w:lang w:val="en-GB"/>
        </w:rPr>
        <w:t>International Journal of Clinical Pharmacy</w:t>
      </w:r>
      <w:r w:rsidRPr="001D4C29">
        <w:rPr>
          <w:lang w:val="en-GB"/>
        </w:rPr>
        <w:t>, 45(1), pp.4–16. Available at:</w:t>
      </w:r>
      <w:hyperlink r:id="rId47"/>
      <w:hyperlink r:id="rId48">
        <w:r w:rsidRPr="001D4C29">
          <w:rPr>
            <w:color w:val="1155CC"/>
            <w:u w:val="single"/>
            <w:lang w:val="en-GB"/>
          </w:rPr>
          <w:t>https://doi.org/10.1007/s11096-022-01466-9</w:t>
        </w:r>
      </w:hyperlink>
    </w:p>
    <w:p w14:paraId="20550D6A" w14:textId="77777777" w:rsidR="001D4C29" w:rsidRPr="001D4C29" w:rsidRDefault="001D4C29">
      <w:pPr>
        <w:rPr>
          <w:lang w:val="en-GB"/>
        </w:rPr>
      </w:pPr>
      <w:r w:rsidRPr="001D4C29">
        <w:rPr>
          <w:lang w:val="en-GB"/>
        </w:rPr>
        <w:t xml:space="preserve">Mira, J.J., Lorenzo, S., Aranaz-Andrés, J.M., Macías-Maroto, M., Cobos-Vargas, Á., Moreno Campoy, E.E., Pérez-Pérez, P., Trillo-López, P., Corpas-Nogales, E., Gea Velazquez de Castro, M.T. and Arencibia-Jiménez, M., (2025). ‘Understanding and reframing clinical errors through just culture: protocol for the DECIDE mixed-methods study in Spanish healthcare and community contexts.’ </w:t>
      </w:r>
      <w:r w:rsidRPr="001D4C29">
        <w:rPr>
          <w:i/>
          <w:iCs/>
          <w:lang w:val="en-GB"/>
        </w:rPr>
        <w:t>BMJ open</w:t>
      </w:r>
      <w:r w:rsidRPr="001D4C29">
        <w:rPr>
          <w:lang w:val="en-GB"/>
        </w:rPr>
        <w:t xml:space="preserve">, </w:t>
      </w:r>
      <w:r w:rsidRPr="001D4C29">
        <w:rPr>
          <w:i/>
          <w:iCs/>
          <w:lang w:val="en-GB"/>
        </w:rPr>
        <w:t>15</w:t>
      </w:r>
      <w:r w:rsidRPr="001D4C29">
        <w:rPr>
          <w:lang w:val="en-GB"/>
        </w:rPr>
        <w:t xml:space="preserve">(10), p.e101421. Available at: </w:t>
      </w:r>
      <w:hyperlink r:id="rId49">
        <w:r w:rsidRPr="001D4C29">
          <w:rPr>
            <w:color w:val="1155CC"/>
            <w:u w:val="single"/>
            <w:lang w:val="en-GB"/>
          </w:rPr>
          <w:t>https://pmc.ncbi.nlm.nih.gov/articles/PMC12548628/</w:t>
        </w:r>
      </w:hyperlink>
    </w:p>
    <w:p w14:paraId="79F063E3" w14:textId="77777777" w:rsidR="001D4C29" w:rsidRPr="001D4C29" w:rsidRDefault="001D4C29">
      <w:pPr>
        <w:spacing w:before="240"/>
        <w:rPr>
          <w:lang w:val="en-GB"/>
        </w:rPr>
      </w:pPr>
      <w:r w:rsidRPr="001D4C29">
        <w:rPr>
          <w:lang w:val="en-GB"/>
        </w:rPr>
        <w:t xml:space="preserve">Nazir, M.A., Gautam, S. and Zhu, X. (2026). </w:t>
      </w:r>
      <w:r w:rsidRPr="001D4C29">
        <w:rPr>
          <w:i/>
          <w:iCs/>
          <w:lang w:val="en-GB"/>
        </w:rPr>
        <w:t>Transforming Care in the United Kingdom: How Leadership and Culture Drive Healthcare Professionals’ Engagement and Performance in the NHS.</w:t>
      </w:r>
      <w:r w:rsidRPr="001D4C29">
        <w:rPr>
          <w:lang w:val="en-GB"/>
        </w:rPr>
        <w:t xml:space="preserve"> Available at:</w:t>
      </w:r>
      <w:hyperlink r:id="rId50">
        <w:r w:rsidRPr="001D4C29">
          <w:rPr>
            <w:color w:val="0563C1"/>
            <w:u w:val="single"/>
            <w:lang w:val="en-GB"/>
          </w:rPr>
          <w:t xml:space="preserve"> https://doi.org/10.22541/au.174230708.80344925/v1</w:t>
        </w:r>
      </w:hyperlink>
    </w:p>
    <w:p w14:paraId="1634E724" w14:textId="77777777" w:rsidR="001D4C29" w:rsidRPr="001D4C29" w:rsidRDefault="001D4C29">
      <w:pPr>
        <w:rPr>
          <w:lang w:val="en-GB"/>
        </w:rPr>
      </w:pPr>
      <w:r w:rsidRPr="001D4C29">
        <w:rPr>
          <w:lang w:val="en-GB"/>
        </w:rPr>
        <w:lastRenderedPageBreak/>
        <w:t xml:space="preserve">NHS (2022) </w:t>
      </w:r>
      <w:r w:rsidRPr="001D4C29">
        <w:rPr>
          <w:i/>
          <w:iCs/>
          <w:lang w:val="en-GB"/>
        </w:rPr>
        <w:t>Respiratory patients may now avoid hospital admission thanks to new ‘virtual ward’ technology:: East Cheshire NHS Trust</w:t>
      </w:r>
      <w:r w:rsidRPr="001D4C29">
        <w:rPr>
          <w:lang w:val="en-GB"/>
        </w:rPr>
        <w:t>. Available at:</w:t>
      </w:r>
      <w:hyperlink r:id="rId51"/>
      <w:hyperlink r:id="rId52">
        <w:r w:rsidRPr="001D4C29">
          <w:rPr>
            <w:color w:val="1155CC"/>
            <w:u w:val="single"/>
            <w:lang w:val="en-GB"/>
          </w:rPr>
          <w:t>https://www.eastcheshire.nhs.uk/news-and-events/respiratory-patients-may-now-avoid-hospital-admission-thanks-new-virtual-ward-technology</w:t>
        </w:r>
      </w:hyperlink>
      <w:r w:rsidRPr="001D4C29">
        <w:rPr>
          <w:lang w:val="en-GB"/>
        </w:rPr>
        <w:t xml:space="preserve"> (Accessed: 1 August 2026).</w:t>
      </w:r>
    </w:p>
    <w:p w14:paraId="0694044F" w14:textId="77777777" w:rsidR="001D4C29" w:rsidRPr="001D4C29" w:rsidRDefault="001D4C29">
      <w:pPr>
        <w:rPr>
          <w:lang w:val="en-GB"/>
        </w:rPr>
      </w:pPr>
      <w:r w:rsidRPr="001D4C29">
        <w:rPr>
          <w:lang w:val="en-GB"/>
        </w:rPr>
        <w:t xml:space="preserve">NHS (2026) </w:t>
      </w:r>
      <w:r w:rsidRPr="001D4C29">
        <w:rPr>
          <w:i/>
          <w:iCs/>
          <w:lang w:val="en-GB"/>
        </w:rPr>
        <w:t xml:space="preserve">Month 12 financial position 2025/26. </w:t>
      </w:r>
      <w:r w:rsidRPr="001D4C29">
        <w:rPr>
          <w:lang w:val="en-GB"/>
        </w:rPr>
        <w:t xml:space="preserve">Available at: </w:t>
      </w:r>
      <w:hyperlink r:id="rId53">
        <w:r w:rsidRPr="001D4C29">
          <w:rPr>
            <w:color w:val="1155CC"/>
            <w:u w:val="single"/>
            <w:lang w:val="en-GB"/>
          </w:rPr>
          <w:t>https://www.england.nhs.uk/long-read/month-12-financial-position-2025-26-4-june-2026/</w:t>
        </w:r>
      </w:hyperlink>
      <w:r w:rsidRPr="001D4C29">
        <w:rPr>
          <w:lang w:val="en-GB"/>
        </w:rPr>
        <w:t xml:space="preserve"> (Accessed: 1 August 2026). </w:t>
      </w:r>
    </w:p>
    <w:p w14:paraId="7775EEF6" w14:textId="77777777" w:rsidR="001D4C29" w:rsidRPr="001D4C29" w:rsidRDefault="001D4C29">
      <w:pPr>
        <w:rPr>
          <w:lang w:val="en-GB"/>
        </w:rPr>
      </w:pPr>
      <w:r w:rsidRPr="001D4C29">
        <w:rPr>
          <w:lang w:val="en-GB"/>
        </w:rPr>
        <w:t xml:space="preserve">NHS (2026) </w:t>
      </w:r>
      <w:r w:rsidRPr="001D4C29">
        <w:rPr>
          <w:i/>
          <w:iCs/>
          <w:lang w:val="en-GB"/>
        </w:rPr>
        <w:t>The NHS Patient Safety Strategy.</w:t>
      </w:r>
      <w:r w:rsidRPr="001D4C29">
        <w:rPr>
          <w:lang w:val="en-GB"/>
        </w:rPr>
        <w:t xml:space="preserve"> Available at: </w:t>
      </w:r>
      <w:hyperlink r:id="rId54">
        <w:r w:rsidRPr="001D4C29">
          <w:rPr>
            <w:color w:val="1155CC"/>
            <w:u w:val="single"/>
            <w:lang w:val="en-GB"/>
          </w:rPr>
          <w:t>https://www.england.nhs.uk/patient-safety/the-nhs-patient-safety-strategy/</w:t>
        </w:r>
      </w:hyperlink>
      <w:r w:rsidRPr="001D4C29">
        <w:rPr>
          <w:lang w:val="en-GB"/>
        </w:rPr>
        <w:t xml:space="preserve"> (Accessed: 1 August 2026). </w:t>
      </w:r>
    </w:p>
    <w:p w14:paraId="025D5047" w14:textId="77777777" w:rsidR="001D4C29" w:rsidRPr="001D4C29" w:rsidRDefault="001D4C29" w:rsidP="00F3466A">
      <w:pPr>
        <w:rPr>
          <w:lang w:val="en-GB"/>
        </w:rPr>
      </w:pPr>
      <w:r w:rsidRPr="001D4C29">
        <w:rPr>
          <w:lang w:val="en-GB"/>
        </w:rPr>
        <w:t xml:space="preserve">NHS England (2022) </w:t>
      </w:r>
      <w:r w:rsidRPr="001D4C29">
        <w:rPr>
          <w:i/>
          <w:iCs/>
          <w:lang w:val="en-GB"/>
        </w:rPr>
        <w:t>Patient Safety Incident Response Framework (PSIRF)</w:t>
      </w:r>
      <w:r w:rsidRPr="001D4C29">
        <w:rPr>
          <w:lang w:val="en-GB"/>
        </w:rPr>
        <w:t>. Available at:</w:t>
      </w:r>
      <w:hyperlink r:id="rId55"/>
      <w:hyperlink r:id="rId56">
        <w:r w:rsidRPr="001D4C29">
          <w:rPr>
            <w:color w:val="1155CC"/>
            <w:u w:val="single"/>
            <w:lang w:val="en-GB"/>
          </w:rPr>
          <w:t>https://www.england.nhs.uk/patient-safety/patient-safety-incident-response-framework/</w:t>
        </w:r>
      </w:hyperlink>
      <w:r w:rsidRPr="001D4C29">
        <w:rPr>
          <w:lang w:val="en-GB"/>
        </w:rPr>
        <w:t xml:space="preserve"> (Accessed: 1 August 2026).</w:t>
      </w:r>
    </w:p>
    <w:p w14:paraId="50DD5F7A" w14:textId="77777777" w:rsidR="001D4C29" w:rsidRPr="001D4C29" w:rsidRDefault="001D4C29" w:rsidP="00F3466A">
      <w:pPr>
        <w:rPr>
          <w:lang w:val="en-GB"/>
        </w:rPr>
      </w:pPr>
      <w:r w:rsidRPr="001D4C29">
        <w:rPr>
          <w:lang w:val="en-GB"/>
        </w:rPr>
        <w:t xml:space="preserve">NHS England (2023) </w:t>
      </w:r>
      <w:r w:rsidRPr="001D4C29">
        <w:rPr>
          <w:i/>
          <w:iCs/>
          <w:lang w:val="en-GB"/>
        </w:rPr>
        <w:t>National Overprescribing Review and Medicines Optimisation</w:t>
      </w:r>
      <w:r w:rsidRPr="001D4C29">
        <w:rPr>
          <w:lang w:val="en-GB"/>
        </w:rPr>
        <w:t>. Available at:</w:t>
      </w:r>
      <w:hyperlink r:id="rId57"/>
      <w:hyperlink r:id="rId58">
        <w:r w:rsidRPr="001D4C29">
          <w:rPr>
            <w:color w:val="1155CC"/>
            <w:u w:val="single"/>
            <w:lang w:val="en-GB"/>
          </w:rPr>
          <w:t>https://www.england.nhs.uk/publication/national-medicines-optimisation-opportunities-2023-24/</w:t>
        </w:r>
      </w:hyperlink>
      <w:r w:rsidRPr="001D4C29">
        <w:rPr>
          <w:lang w:val="en-GB"/>
        </w:rPr>
        <w:t xml:space="preserve"> (Accessed: 1 August 2026).</w:t>
      </w:r>
    </w:p>
    <w:p w14:paraId="57A4A130" w14:textId="77777777" w:rsidR="001D4C29" w:rsidRPr="001D4C29" w:rsidRDefault="001D4C29">
      <w:pPr>
        <w:rPr>
          <w:lang w:val="en-GB"/>
        </w:rPr>
      </w:pPr>
      <w:r w:rsidRPr="001D4C29">
        <w:rPr>
          <w:lang w:val="en-GB"/>
        </w:rPr>
        <w:t xml:space="preserve">NHS England (2024). </w:t>
      </w:r>
      <w:r w:rsidRPr="001D4C29">
        <w:rPr>
          <w:i/>
          <w:iCs/>
          <w:lang w:val="en-GB"/>
        </w:rPr>
        <w:t>NHS England » NHS Prevents Thousands of Strokes, Thanks to Lifesaving Drive</w:t>
      </w:r>
      <w:r w:rsidRPr="001D4C29">
        <w:rPr>
          <w:lang w:val="en-GB"/>
        </w:rPr>
        <w:t>. Available at:</w:t>
      </w:r>
      <w:hyperlink r:id="rId59"/>
      <w:hyperlink r:id="rId60">
        <w:r w:rsidRPr="001D4C29">
          <w:rPr>
            <w:color w:val="1155CC"/>
            <w:u w:val="single"/>
            <w:lang w:val="en-GB"/>
          </w:rPr>
          <w:t>https://www.england.nhs.uk/2024/12/nhs-prevents-thousands-of-strokes-thanks-to-lifesaving-drive/</w:t>
        </w:r>
      </w:hyperlink>
      <w:r w:rsidRPr="001D4C29">
        <w:rPr>
          <w:lang w:val="en-GB"/>
        </w:rPr>
        <w:t xml:space="preserve"> (Accessed: 1 August 2026).</w:t>
      </w:r>
    </w:p>
    <w:p w14:paraId="61C8A56C" w14:textId="77777777" w:rsidR="001D4C29" w:rsidRPr="001D4C29" w:rsidRDefault="001D4C29">
      <w:pPr>
        <w:spacing w:before="240"/>
        <w:rPr>
          <w:lang w:val="en-GB"/>
        </w:rPr>
      </w:pPr>
      <w:r w:rsidRPr="001D4C29">
        <w:rPr>
          <w:lang w:val="en-GB"/>
        </w:rPr>
        <w:t xml:space="preserve">NHS England (2026). </w:t>
      </w:r>
      <w:r w:rsidRPr="001D4C29">
        <w:rPr>
          <w:i/>
          <w:iCs/>
          <w:lang w:val="en-GB"/>
        </w:rPr>
        <w:t>The NHS Patient Safety Strategy.</w:t>
      </w:r>
      <w:r w:rsidRPr="001D4C29">
        <w:rPr>
          <w:lang w:val="en-GB"/>
        </w:rPr>
        <w:t xml:space="preserve"> Available at:</w:t>
      </w:r>
      <w:hyperlink r:id="rId61">
        <w:r w:rsidRPr="001D4C29">
          <w:rPr>
            <w:color w:val="0563C1"/>
            <w:u w:val="single"/>
            <w:lang w:val="en-GB"/>
          </w:rPr>
          <w:t xml:space="preserve"> http://england.nhs.uk/patient-safety/the-nhs-patient-safety-strategy/</w:t>
        </w:r>
      </w:hyperlink>
      <w:r w:rsidRPr="001D4C29">
        <w:rPr>
          <w:lang w:val="en-GB"/>
        </w:rPr>
        <w:t xml:space="preserve"> (Accessed: 1 August 2026).</w:t>
      </w:r>
    </w:p>
    <w:p w14:paraId="697F0B28" w14:textId="77777777" w:rsidR="001D4C29" w:rsidRPr="001D4C29" w:rsidRDefault="001D4C29">
      <w:pPr>
        <w:rPr>
          <w:lang w:val="en-GB"/>
        </w:rPr>
      </w:pPr>
      <w:r w:rsidRPr="001D4C29">
        <w:rPr>
          <w:lang w:val="en-GB"/>
        </w:rPr>
        <w:t xml:space="preserve">NICE (2026) </w:t>
      </w:r>
      <w:r w:rsidRPr="001D4C29">
        <w:rPr>
          <w:i/>
          <w:iCs/>
          <w:lang w:val="en-GB"/>
        </w:rPr>
        <w:t>Principles for Best Practice in Clinical Audit.</w:t>
      </w:r>
      <w:r w:rsidRPr="001D4C29">
        <w:rPr>
          <w:lang w:val="en-GB"/>
        </w:rPr>
        <w:t xml:space="preserve"> Available at: </w:t>
      </w:r>
      <w:hyperlink r:id="rId62">
        <w:r w:rsidRPr="001D4C29">
          <w:rPr>
            <w:color w:val="1155CC"/>
            <w:u w:val="single"/>
            <w:lang w:val="en-GB"/>
          </w:rPr>
          <w:t>https://www.nice.org.uk/media/default/About/what-we-do/Into-practice/principles-for-best-practice-in-clinical-audit.pdf</w:t>
        </w:r>
      </w:hyperlink>
      <w:r w:rsidRPr="001D4C29">
        <w:rPr>
          <w:lang w:val="en-GB"/>
        </w:rPr>
        <w:t xml:space="preserve"> (Accessed: 1 August 2026). </w:t>
      </w:r>
    </w:p>
    <w:p w14:paraId="49DBDF16" w14:textId="77777777" w:rsidR="001D4C29" w:rsidRPr="001D4C29" w:rsidRDefault="001D4C29">
      <w:pPr>
        <w:spacing w:before="240"/>
        <w:rPr>
          <w:lang w:val="en-GB"/>
        </w:rPr>
      </w:pPr>
      <w:r w:rsidRPr="001D4C29">
        <w:rPr>
          <w:lang w:val="en-GB"/>
        </w:rPr>
        <w:t xml:space="preserve">Notarnicola, I., Duka, B., Lommi, M., Grosha, E., De Maria, M., Iacorossi, L., Mastroianni, C., Ivziku, D., Rocco, G. and Stievano, A. (2024). ‘Transformational leadership and its impact on job satisfaction and personal mastery for nursing leaders in healthcare organizations.’ </w:t>
      </w:r>
      <w:r w:rsidRPr="001D4C29">
        <w:rPr>
          <w:i/>
          <w:iCs/>
          <w:lang w:val="en-GB"/>
        </w:rPr>
        <w:t>Nursing Reports,</w:t>
      </w:r>
      <w:r w:rsidRPr="001D4C29">
        <w:rPr>
          <w:lang w:val="en-GB"/>
        </w:rPr>
        <w:t xml:space="preserve"> 14(4), pp.3561–3574. Available at:</w:t>
      </w:r>
      <w:hyperlink r:id="rId63">
        <w:r w:rsidRPr="001D4C29">
          <w:rPr>
            <w:color w:val="0563C1"/>
            <w:u w:val="single"/>
            <w:lang w:val="en-GB"/>
          </w:rPr>
          <w:t xml:space="preserve"> https://doi.org/10.3390/nursrep14040260</w:t>
        </w:r>
      </w:hyperlink>
    </w:p>
    <w:p w14:paraId="130A3BDE" w14:textId="77777777" w:rsidR="001D4C29" w:rsidRPr="001D4C29" w:rsidRDefault="001D4C29" w:rsidP="00F3466A">
      <w:pPr>
        <w:rPr>
          <w:lang w:val="en-GB"/>
        </w:rPr>
      </w:pPr>
      <w:r w:rsidRPr="001D4C29">
        <w:rPr>
          <w:lang w:val="en-GB"/>
        </w:rPr>
        <w:lastRenderedPageBreak/>
        <w:t xml:space="preserve">Nuffield Trust (2023) </w:t>
      </w:r>
      <w:r w:rsidRPr="001D4C29">
        <w:rPr>
          <w:i/>
          <w:iCs/>
          <w:lang w:val="en-GB"/>
        </w:rPr>
        <w:t>Quality improvement in the NHS</w:t>
      </w:r>
      <w:r w:rsidRPr="001D4C29">
        <w:rPr>
          <w:lang w:val="en-GB"/>
        </w:rPr>
        <w:t>. Available at:</w:t>
      </w:r>
      <w:hyperlink r:id="rId64"/>
      <w:hyperlink r:id="rId65">
        <w:r w:rsidRPr="001D4C29">
          <w:rPr>
            <w:color w:val="1155CC"/>
            <w:u w:val="single"/>
            <w:lang w:val="en-GB"/>
          </w:rPr>
          <w:t>https://www.nuffieldtrust.org.uk/research/public-satisfaction-with-the-nhs-and-social-care</w:t>
        </w:r>
      </w:hyperlink>
      <w:r w:rsidRPr="001D4C29">
        <w:rPr>
          <w:lang w:val="en-GB"/>
        </w:rPr>
        <w:t xml:space="preserve"> (Accessed: 1 August 2026).</w:t>
      </w:r>
    </w:p>
    <w:p w14:paraId="0AA76435" w14:textId="77777777" w:rsidR="001D4C29" w:rsidRPr="001D4C29" w:rsidRDefault="001D4C29" w:rsidP="00F3466A">
      <w:pPr>
        <w:rPr>
          <w:lang w:val="en-GB"/>
        </w:rPr>
      </w:pPr>
      <w:r w:rsidRPr="001D4C29">
        <w:rPr>
          <w:lang w:val="en-GB"/>
        </w:rPr>
        <w:t xml:space="preserve">OECD (2023) </w:t>
      </w:r>
      <w:r w:rsidRPr="001D4C29">
        <w:rPr>
          <w:i/>
          <w:iCs/>
          <w:lang w:val="en-GB"/>
        </w:rPr>
        <w:t>Health at a Glance 2023</w:t>
      </w:r>
      <w:r w:rsidRPr="001D4C29">
        <w:rPr>
          <w:lang w:val="en-GB"/>
        </w:rPr>
        <w:t>. Available at:</w:t>
      </w:r>
      <w:hyperlink r:id="rId66"/>
      <w:hyperlink r:id="rId67">
        <w:r w:rsidRPr="001D4C29">
          <w:rPr>
            <w:color w:val="1155CC"/>
            <w:u w:val="single"/>
            <w:lang w:val="en-GB"/>
          </w:rPr>
          <w:t>https://www.oecd.org/health/health-at-a-glance/</w:t>
        </w:r>
      </w:hyperlink>
      <w:r w:rsidRPr="001D4C29">
        <w:rPr>
          <w:lang w:val="en-GB"/>
        </w:rPr>
        <w:t xml:space="preserve"> (Accessed: 1 August 2026).</w:t>
      </w:r>
    </w:p>
    <w:p w14:paraId="52BBED57" w14:textId="77777777" w:rsidR="001D4C29" w:rsidRPr="001D4C29" w:rsidRDefault="001D4C29">
      <w:pPr>
        <w:rPr>
          <w:lang w:val="en-GB"/>
        </w:rPr>
      </w:pPr>
      <w:r w:rsidRPr="001D4C29">
        <w:rPr>
          <w:lang w:val="en-GB"/>
        </w:rPr>
        <w:t xml:space="preserve">Ogueji, I.A., Motajo, O.O., Oduola, A.B. and Rodrigues, E.M., (2024). "Unequipped health facilities offering services”: understanding the health system factors driving medical negligence among health care providers in Nigeria.’ </w:t>
      </w:r>
      <w:r w:rsidRPr="001D4C29">
        <w:rPr>
          <w:i/>
          <w:iCs/>
          <w:lang w:val="en-GB"/>
        </w:rPr>
        <w:t>Current Psychology</w:t>
      </w:r>
      <w:r w:rsidRPr="001D4C29">
        <w:rPr>
          <w:lang w:val="en-GB"/>
        </w:rPr>
        <w:t xml:space="preserve">, </w:t>
      </w:r>
      <w:r w:rsidRPr="001D4C29">
        <w:rPr>
          <w:i/>
          <w:iCs/>
          <w:lang w:val="en-GB"/>
        </w:rPr>
        <w:t>43</w:t>
      </w:r>
      <w:r w:rsidRPr="001D4C29">
        <w:rPr>
          <w:lang w:val="en-GB"/>
        </w:rPr>
        <w:t xml:space="preserve">(41), pp.32188-32199. Available at: </w:t>
      </w:r>
      <w:hyperlink r:id="rId68">
        <w:r w:rsidRPr="001D4C29">
          <w:rPr>
            <w:color w:val="1155CC"/>
            <w:u w:val="single"/>
            <w:lang w:val="en-GB"/>
          </w:rPr>
          <w:t>https://doi.org/10.1007/s12144-024-06694-y</w:t>
        </w:r>
      </w:hyperlink>
    </w:p>
    <w:p w14:paraId="0E8D0344" w14:textId="77777777" w:rsidR="001D4C29" w:rsidRPr="001D4C29" w:rsidRDefault="001D4C29">
      <w:pPr>
        <w:spacing w:before="240"/>
        <w:rPr>
          <w:lang w:val="en-GB"/>
        </w:rPr>
      </w:pPr>
      <w:r w:rsidRPr="001D4C29">
        <w:rPr>
          <w:lang w:val="en-GB"/>
        </w:rPr>
        <w:t xml:space="preserve">Össur (2026). </w:t>
      </w:r>
      <w:r w:rsidRPr="001D4C29">
        <w:rPr>
          <w:i/>
          <w:iCs/>
          <w:lang w:val="en-GB"/>
        </w:rPr>
        <w:t>The 48-hour rule explained.</w:t>
      </w:r>
      <w:r w:rsidRPr="001D4C29">
        <w:rPr>
          <w:lang w:val="en-GB"/>
        </w:rPr>
        <w:t xml:space="preserve"> Available at:</w:t>
      </w:r>
      <w:hyperlink r:id="rId69">
        <w:r w:rsidRPr="001D4C29">
          <w:rPr>
            <w:color w:val="0563C1"/>
            <w:u w:val="single"/>
            <w:lang w:val="en-GB"/>
          </w:rPr>
          <w:t xml:space="preserve"> https://www.ossur.com/en-us/professionals/ossur-rr/the-48-hour-rule-explained</w:t>
        </w:r>
      </w:hyperlink>
      <w:r w:rsidRPr="001D4C29">
        <w:rPr>
          <w:lang w:val="en-GB"/>
        </w:rPr>
        <w:t xml:space="preserve"> (Accessed: 1 August 2026).</w:t>
      </w:r>
    </w:p>
    <w:p w14:paraId="52C30751" w14:textId="77777777" w:rsidR="001D4C29" w:rsidRPr="001D4C29" w:rsidRDefault="001D4C29">
      <w:pPr>
        <w:rPr>
          <w:color w:val="1155CC"/>
          <w:u w:val="single"/>
          <w:lang w:val="en-GB"/>
        </w:rPr>
      </w:pPr>
      <w:r w:rsidRPr="001D4C29">
        <w:rPr>
          <w:lang w:val="en-GB"/>
        </w:rPr>
        <w:t xml:space="preserve">Parekh, S., Xu, L. and Livingstone, C. (2024). ‘An evaluation of oral anticoagulant safety indicators by England’s community pharmacies’. </w:t>
      </w:r>
      <w:r w:rsidRPr="001D4C29">
        <w:rPr>
          <w:i/>
          <w:iCs/>
          <w:lang w:val="en-GB"/>
        </w:rPr>
        <w:t>Pharmacy (Basel, Switzerland)</w:t>
      </w:r>
      <w:r w:rsidRPr="001D4C29">
        <w:rPr>
          <w:lang w:val="en-GB"/>
        </w:rPr>
        <w:t>, 12(5), p.134. Available at:</w:t>
      </w:r>
      <w:hyperlink r:id="rId70"/>
      <w:hyperlink r:id="rId71">
        <w:r w:rsidRPr="001D4C29">
          <w:rPr>
            <w:color w:val="1155CC"/>
            <w:u w:val="single"/>
            <w:lang w:val="en-GB"/>
          </w:rPr>
          <w:t>https://doi.org/10.3390/pharmacy12050134</w:t>
        </w:r>
      </w:hyperlink>
    </w:p>
    <w:p w14:paraId="1EFC906F" w14:textId="77777777" w:rsidR="001D4C29" w:rsidRPr="001D4C29" w:rsidRDefault="001D4C29">
      <w:pPr>
        <w:spacing w:before="240"/>
        <w:rPr>
          <w:lang w:val="en-GB"/>
        </w:rPr>
      </w:pPr>
      <w:r w:rsidRPr="001D4C29">
        <w:rPr>
          <w:lang w:val="en-GB"/>
        </w:rPr>
        <w:t xml:space="preserve">Robinson, N., Claringbold, G., Anglim, J., Mpsych, S.F. and Walker, A. (2025). ‘Adaptive leadership in health care: a rapid review.’ </w:t>
      </w:r>
      <w:r w:rsidRPr="001D4C29">
        <w:rPr>
          <w:i/>
          <w:iCs/>
          <w:lang w:val="en-GB"/>
        </w:rPr>
        <w:t>Australian Health Review,</w:t>
      </w:r>
      <w:r w:rsidRPr="001D4C29">
        <w:rPr>
          <w:lang w:val="en-GB"/>
        </w:rPr>
        <w:t xml:space="preserve"> 49(6), pp.1–11. Available at:</w:t>
      </w:r>
      <w:hyperlink r:id="rId72">
        <w:r w:rsidRPr="001D4C29">
          <w:rPr>
            <w:color w:val="0563C1"/>
            <w:u w:val="single"/>
            <w:lang w:val="en-GB"/>
          </w:rPr>
          <w:t xml:space="preserve"> https://doi.org/10.1071/AH25068</w:t>
        </w:r>
      </w:hyperlink>
    </w:p>
    <w:p w14:paraId="5A3DBC47" w14:textId="77777777" w:rsidR="001D4C29" w:rsidRPr="001D4C29" w:rsidRDefault="001D4C29">
      <w:pPr>
        <w:spacing w:before="240"/>
        <w:rPr>
          <w:lang w:val="en-GB"/>
        </w:rPr>
      </w:pPr>
      <w:r w:rsidRPr="001D4C29">
        <w:rPr>
          <w:lang w:val="en-GB"/>
        </w:rPr>
        <w:t xml:space="preserve">Saxena, A., Dickson, G., Engel, C., Agarwal, V., Ahmed, Z., Armit, K., Braithwaite, J., Dickson, S., Lachman, P., Moffat-Bruce, S., Shaikh, U. and Wiig, S. (2025). ‘Systems leadership for quality in health care: from principles to actions.’ </w:t>
      </w:r>
      <w:r w:rsidRPr="001D4C29">
        <w:rPr>
          <w:i/>
          <w:iCs/>
          <w:lang w:val="en-GB"/>
        </w:rPr>
        <w:t>International Journal for Quality in Health Care.</w:t>
      </w:r>
      <w:r w:rsidRPr="001D4C29">
        <w:rPr>
          <w:lang w:val="en-GB"/>
        </w:rPr>
        <w:t xml:space="preserve"> Available at:</w:t>
      </w:r>
      <w:hyperlink r:id="rId73">
        <w:r w:rsidRPr="001D4C29">
          <w:rPr>
            <w:color w:val="0563C1"/>
            <w:u w:val="single"/>
            <w:lang w:val="en-GB"/>
          </w:rPr>
          <w:t xml:space="preserve"> https://doi.org/10.1093/intqhc/mzag009</w:t>
        </w:r>
      </w:hyperlink>
    </w:p>
    <w:p w14:paraId="0D6CD45A" w14:textId="77777777" w:rsidR="001D4C29" w:rsidRPr="001D4C29" w:rsidRDefault="001D4C29">
      <w:pPr>
        <w:rPr>
          <w:lang w:val="en-GB"/>
        </w:rPr>
      </w:pPr>
      <w:r w:rsidRPr="001D4C29">
        <w:rPr>
          <w:lang w:val="en-GB"/>
        </w:rPr>
        <w:t xml:space="preserve">Shishkin, S., Sheiman, I., Potapchik, E., Vlassov, V. and Sazhina, S., (2025). ‘The impact of centralization on structural changes in healthcare: when it works.’ </w:t>
      </w:r>
      <w:r w:rsidRPr="001D4C29">
        <w:rPr>
          <w:i/>
          <w:iCs/>
          <w:lang w:val="en-GB"/>
        </w:rPr>
        <w:t>Frontiers in Health Services</w:t>
      </w:r>
      <w:r w:rsidRPr="001D4C29">
        <w:rPr>
          <w:lang w:val="en-GB"/>
        </w:rPr>
        <w:t xml:space="preserve">, </w:t>
      </w:r>
      <w:r w:rsidRPr="001D4C29">
        <w:rPr>
          <w:i/>
          <w:iCs/>
          <w:lang w:val="en-GB"/>
        </w:rPr>
        <w:t>5</w:t>
      </w:r>
      <w:r w:rsidRPr="001D4C29">
        <w:rPr>
          <w:lang w:val="en-GB"/>
        </w:rPr>
        <w:t xml:space="preserve">, p.1484225. Available at: </w:t>
      </w:r>
      <w:hyperlink r:id="rId74">
        <w:r w:rsidRPr="001D4C29">
          <w:rPr>
            <w:color w:val="1155CC"/>
            <w:u w:val="single"/>
            <w:lang w:val="en-GB"/>
          </w:rPr>
          <w:t>https://doi.org/10.3389/frhs.2025.1484225</w:t>
        </w:r>
      </w:hyperlink>
    </w:p>
    <w:p w14:paraId="231B2B08" w14:textId="77777777" w:rsidR="001D4C29" w:rsidRPr="001D4C29" w:rsidRDefault="001D4C29">
      <w:pPr>
        <w:spacing w:before="240"/>
        <w:rPr>
          <w:lang w:val="en-GB"/>
        </w:rPr>
      </w:pPr>
      <w:r w:rsidRPr="001D4C29">
        <w:rPr>
          <w:lang w:val="en-GB"/>
        </w:rPr>
        <w:t xml:space="preserve">Silva, G., Hall, G., Vogel, A., Bourne, T. and Xu, G. (2022). ‘Transitioning EPMA applications in a large multisite teaching hospital.’ </w:t>
      </w:r>
      <w:r w:rsidRPr="001D4C29">
        <w:rPr>
          <w:i/>
          <w:iCs/>
          <w:lang w:val="en-GB"/>
        </w:rPr>
        <w:t>BMJ Open Quality,</w:t>
      </w:r>
      <w:r w:rsidRPr="001D4C29">
        <w:rPr>
          <w:lang w:val="en-GB"/>
        </w:rPr>
        <w:t xml:space="preserve"> 11, e001743. Available at:</w:t>
      </w:r>
      <w:hyperlink r:id="rId75">
        <w:r w:rsidRPr="001D4C29">
          <w:rPr>
            <w:color w:val="0563C1"/>
            <w:u w:val="single"/>
            <w:lang w:val="en-GB"/>
          </w:rPr>
          <w:t xml:space="preserve"> https://doi.org/10.1136/bmjoq-2021-001743</w:t>
        </w:r>
      </w:hyperlink>
    </w:p>
    <w:p w14:paraId="644E9D6F" w14:textId="77777777" w:rsidR="001D4C29" w:rsidRPr="001D4C29" w:rsidRDefault="001D4C29">
      <w:pPr>
        <w:spacing w:before="240"/>
        <w:rPr>
          <w:lang w:val="en-GB"/>
        </w:rPr>
      </w:pPr>
      <w:r w:rsidRPr="001D4C29">
        <w:rPr>
          <w:lang w:val="en-GB"/>
        </w:rPr>
        <w:t xml:space="preserve">Singh, A., Yeravdekar, R. and Jadhav, S. (2024). ‘Investigating the influence of selected leadership styles on patient safety and quality of care: a systematic review and meta-analysis.’ </w:t>
      </w:r>
      <w:r w:rsidRPr="001D4C29">
        <w:rPr>
          <w:i/>
          <w:iCs/>
          <w:lang w:val="en-GB"/>
        </w:rPr>
        <w:t>BMJ Leader,</w:t>
      </w:r>
      <w:r w:rsidRPr="001D4C29">
        <w:rPr>
          <w:lang w:val="en-GB"/>
        </w:rPr>
        <w:t xml:space="preserve"> 8, pp.208–214. Available at:</w:t>
      </w:r>
      <w:hyperlink r:id="rId76">
        <w:r w:rsidRPr="001D4C29">
          <w:rPr>
            <w:color w:val="0563C1"/>
            <w:u w:val="single"/>
            <w:lang w:val="en-GB"/>
          </w:rPr>
          <w:t xml:space="preserve"> https://bmjleader.bmj.com/content/leader/8/3/208.full.pdf</w:t>
        </w:r>
      </w:hyperlink>
    </w:p>
    <w:p w14:paraId="36FA88C3" w14:textId="77777777" w:rsidR="001D4C29" w:rsidRPr="001D4C29" w:rsidRDefault="001D4C29">
      <w:pPr>
        <w:rPr>
          <w:color w:val="1155CC"/>
          <w:u w:val="single"/>
          <w:lang w:val="en-GB"/>
        </w:rPr>
      </w:pPr>
      <w:r w:rsidRPr="001D4C29">
        <w:rPr>
          <w:lang w:val="en-GB"/>
        </w:rPr>
        <w:lastRenderedPageBreak/>
        <w:t xml:space="preserve">Sott, M.K. and Bender, M.S. (2025). ‘The role of adaptive leadership in times of crisis: A systematic review and conceptual framework’. </w:t>
      </w:r>
      <w:r w:rsidRPr="001D4C29">
        <w:rPr>
          <w:i/>
          <w:iCs/>
          <w:lang w:val="en-GB"/>
        </w:rPr>
        <w:t>Merits</w:t>
      </w:r>
      <w:r w:rsidRPr="001D4C29">
        <w:rPr>
          <w:lang w:val="en-GB"/>
        </w:rPr>
        <w:t>, 5(1), p.2. Available at:</w:t>
      </w:r>
      <w:hyperlink r:id="rId77"/>
      <w:hyperlink r:id="rId78">
        <w:r w:rsidRPr="001D4C29">
          <w:rPr>
            <w:color w:val="1155CC"/>
            <w:u w:val="single"/>
            <w:lang w:val="en-GB"/>
          </w:rPr>
          <w:t>https://doi.org/10.3390/merits5010002</w:t>
        </w:r>
      </w:hyperlink>
    </w:p>
    <w:p w14:paraId="445D67B9" w14:textId="77777777" w:rsidR="001D4C29" w:rsidRPr="001D4C29" w:rsidRDefault="001D4C29">
      <w:pPr>
        <w:rPr>
          <w:lang w:val="en-GB"/>
        </w:rPr>
      </w:pPr>
      <w:r w:rsidRPr="001D4C29">
        <w:rPr>
          <w:color w:val="222222"/>
          <w:lang w:val="en-GB"/>
        </w:rPr>
        <w:t xml:space="preserve">Thompson, R., Patterson, N., Mavin, S. and Corlett, S., (2025). Learning from poor leadership practice. </w:t>
      </w:r>
      <w:r w:rsidRPr="001D4C29">
        <w:rPr>
          <w:i/>
          <w:iCs/>
          <w:color w:val="222222"/>
          <w:lang w:val="en-GB"/>
        </w:rPr>
        <w:t>Management Learning</w:t>
      </w:r>
      <w:r w:rsidRPr="001D4C29">
        <w:rPr>
          <w:color w:val="222222"/>
          <w:lang w:val="en-GB"/>
        </w:rPr>
        <w:t xml:space="preserve">, </w:t>
      </w:r>
      <w:r w:rsidRPr="001D4C29">
        <w:rPr>
          <w:i/>
          <w:iCs/>
          <w:color w:val="222222"/>
          <w:lang w:val="en-GB"/>
        </w:rPr>
        <w:t>56</w:t>
      </w:r>
      <w:r w:rsidRPr="001D4C29">
        <w:rPr>
          <w:color w:val="222222"/>
          <w:lang w:val="en-GB"/>
        </w:rPr>
        <w:t>(4), pp.761-786.</w:t>
      </w:r>
      <w:r w:rsidRPr="001D4C29">
        <w:rPr>
          <w:lang w:val="en-GB"/>
        </w:rPr>
        <w:t xml:space="preserve"> Available at: </w:t>
      </w:r>
      <w:hyperlink r:id="rId79">
        <w:r w:rsidRPr="001D4C29">
          <w:rPr>
            <w:color w:val="1155CC"/>
            <w:u w:val="single"/>
            <w:lang w:val="en-GB"/>
          </w:rPr>
          <w:t>https://journals.sagepub.com/doi/pdf/10.1177/13505076241296005</w:t>
        </w:r>
      </w:hyperlink>
    </w:p>
    <w:p w14:paraId="4E60F79A" w14:textId="77777777" w:rsidR="001D4C29" w:rsidRPr="001D4C29" w:rsidRDefault="001D4C29">
      <w:pPr>
        <w:spacing w:before="240"/>
        <w:rPr>
          <w:lang w:val="en-GB"/>
        </w:rPr>
      </w:pPr>
      <w:r w:rsidRPr="001D4C29">
        <w:rPr>
          <w:lang w:val="en-GB"/>
        </w:rPr>
        <w:t xml:space="preserve">Tsapnidou, E., Kelesi, M., Rovithis, M., Katharakis, G., Gerogianni, G., Dafogianni, C., Toylia, G., Fasoi, G. and Stavropoulou, A. (2024). ‘Transformational leadership—quality achievements and benefits for the healthcare organizations: a scoping review.’ </w:t>
      </w:r>
      <w:r w:rsidRPr="001D4C29">
        <w:rPr>
          <w:i/>
          <w:iCs/>
          <w:lang w:val="en-GB"/>
        </w:rPr>
        <w:t>Hospitals,</w:t>
      </w:r>
      <w:r w:rsidRPr="001D4C29">
        <w:rPr>
          <w:lang w:val="en-GB"/>
        </w:rPr>
        <w:t xml:space="preserve"> 1(1), pp.87-103. Available at:</w:t>
      </w:r>
      <w:hyperlink r:id="rId80">
        <w:r w:rsidRPr="001D4C29">
          <w:rPr>
            <w:color w:val="0563C1"/>
            <w:u w:val="single"/>
            <w:lang w:val="en-GB"/>
          </w:rPr>
          <w:t xml:space="preserve"> https://doi.org/10.3390/hospitals1010008</w:t>
        </w:r>
      </w:hyperlink>
    </w:p>
    <w:p w14:paraId="7907AF26" w14:textId="77777777" w:rsidR="001D4C29" w:rsidRPr="001D4C29" w:rsidRDefault="001D4C29">
      <w:pPr>
        <w:rPr>
          <w:lang w:val="en-GB"/>
        </w:rPr>
      </w:pPr>
      <w:r w:rsidRPr="001D4C29">
        <w:rPr>
          <w:lang w:val="en-GB"/>
        </w:rPr>
        <w:t xml:space="preserve">WHO (2023) </w:t>
      </w:r>
      <w:r w:rsidRPr="001D4C29">
        <w:rPr>
          <w:i/>
          <w:iCs/>
          <w:lang w:val="en-GB"/>
        </w:rPr>
        <w:t xml:space="preserve">Patient safety. </w:t>
      </w:r>
      <w:r w:rsidRPr="001D4C29">
        <w:rPr>
          <w:lang w:val="en-GB"/>
        </w:rPr>
        <w:t xml:space="preserve">Available at: </w:t>
      </w:r>
      <w:hyperlink r:id="rId81">
        <w:r w:rsidRPr="001D4C29">
          <w:rPr>
            <w:color w:val="1155CC"/>
            <w:u w:val="single"/>
            <w:lang w:val="en-GB"/>
          </w:rPr>
          <w:t>https://www.who.int/news-room/fact-sheets/detail/patient-safety</w:t>
        </w:r>
      </w:hyperlink>
      <w:r w:rsidRPr="001D4C29">
        <w:rPr>
          <w:lang w:val="en-GB"/>
        </w:rPr>
        <w:t xml:space="preserve"> (Accessed: 1 August 2026). </w:t>
      </w:r>
    </w:p>
    <w:p w14:paraId="36D74DB3" w14:textId="77777777" w:rsidR="001D4C29" w:rsidRPr="001D4C29" w:rsidRDefault="001D4C29" w:rsidP="00F3466A">
      <w:pPr>
        <w:rPr>
          <w:lang w:val="en-GB"/>
        </w:rPr>
      </w:pPr>
      <w:r w:rsidRPr="001D4C29">
        <w:rPr>
          <w:lang w:val="en-GB"/>
        </w:rPr>
        <w:t xml:space="preserve">WHO (2024) </w:t>
      </w:r>
      <w:r w:rsidRPr="001D4C29">
        <w:rPr>
          <w:i/>
          <w:iCs/>
          <w:lang w:val="en-GB"/>
        </w:rPr>
        <w:t>Global burden of preventable medication-related harm in health care: A systematic review</w:t>
      </w:r>
      <w:r w:rsidRPr="001D4C29">
        <w:rPr>
          <w:lang w:val="en-GB"/>
        </w:rPr>
        <w:t>. Geneva: WHO. Available at:</w:t>
      </w:r>
      <w:hyperlink r:id="rId82"/>
      <w:hyperlink r:id="rId83">
        <w:r w:rsidRPr="001D4C29">
          <w:rPr>
            <w:color w:val="1155CC"/>
            <w:u w:val="single"/>
            <w:lang w:val="en-GB"/>
          </w:rPr>
          <w:t>https://www.who.int/publications/i/item/9789240088887</w:t>
        </w:r>
      </w:hyperlink>
      <w:r w:rsidRPr="001D4C29">
        <w:rPr>
          <w:lang w:val="en-GB"/>
        </w:rPr>
        <w:t xml:space="preserve"> (Accessed: 1 August 2026).</w:t>
      </w:r>
    </w:p>
    <w:p w14:paraId="7CCCA078" w14:textId="77777777" w:rsidR="001D4C29" w:rsidRPr="001D4C29" w:rsidRDefault="001D4C29" w:rsidP="00F3466A">
      <w:pPr>
        <w:rPr>
          <w:lang w:val="en-GB"/>
        </w:rPr>
      </w:pPr>
      <w:r w:rsidRPr="001D4C29">
        <w:rPr>
          <w:lang w:val="en-GB"/>
        </w:rPr>
        <w:t xml:space="preserve">WHO (2024) </w:t>
      </w:r>
      <w:r w:rsidRPr="001D4C29">
        <w:rPr>
          <w:i/>
          <w:iCs/>
          <w:lang w:val="en-GB"/>
        </w:rPr>
        <w:t>Medication without harm: Policy brief</w:t>
      </w:r>
      <w:r w:rsidRPr="001D4C29">
        <w:rPr>
          <w:lang w:val="en-GB"/>
        </w:rPr>
        <w:t>. Geneva: WHO. Available at:</w:t>
      </w:r>
      <w:hyperlink r:id="rId84"/>
      <w:hyperlink r:id="rId85">
        <w:r w:rsidRPr="001D4C29">
          <w:rPr>
            <w:color w:val="1155CC"/>
            <w:u w:val="single"/>
            <w:lang w:val="en-GB"/>
          </w:rPr>
          <w:t>https://apo.who.int/publications/policy-briefs</w:t>
        </w:r>
      </w:hyperlink>
      <w:r w:rsidRPr="001D4C29">
        <w:rPr>
          <w:lang w:val="en-GB"/>
        </w:rPr>
        <w:t xml:space="preserve"> (Accessed: 1 August 2026).</w:t>
      </w:r>
    </w:p>
    <w:p w14:paraId="513510A2" w14:textId="77777777" w:rsidR="001D4C29" w:rsidRPr="001D4C29" w:rsidRDefault="001D4C29">
      <w:pPr>
        <w:rPr>
          <w:lang w:val="en-GB"/>
        </w:rPr>
      </w:pPr>
      <w:r w:rsidRPr="001D4C29">
        <w:rPr>
          <w:lang w:val="en-GB"/>
        </w:rPr>
        <w:t xml:space="preserve">WHO (2026) </w:t>
      </w:r>
      <w:r w:rsidRPr="001D4C29">
        <w:rPr>
          <w:i/>
          <w:iCs/>
          <w:lang w:val="en-GB"/>
        </w:rPr>
        <w:t>World health statistics 2026.</w:t>
      </w:r>
      <w:r w:rsidRPr="001D4C29">
        <w:rPr>
          <w:lang w:val="en-GB"/>
        </w:rPr>
        <w:t xml:space="preserve"> Available at: </w:t>
      </w:r>
      <w:hyperlink r:id="rId86">
        <w:r w:rsidRPr="001D4C29">
          <w:rPr>
            <w:color w:val="1155CC"/>
            <w:u w:val="single"/>
            <w:lang w:val="en-GB"/>
          </w:rPr>
          <w:t>https://iris.who.int/server/api/core/bitstreams/45189137-2f10-48e1-ae43-91b0d8ddd120/content</w:t>
        </w:r>
      </w:hyperlink>
      <w:r w:rsidRPr="001D4C29">
        <w:rPr>
          <w:lang w:val="en-GB"/>
        </w:rPr>
        <w:t xml:space="preserve"> (Accessed: 1 August 2026). </w:t>
      </w:r>
    </w:p>
    <w:sectPr w:rsidR="001D4C29" w:rsidRPr="001D4C29" w:rsidSect="00DA2333">
      <w:footerReference w:type="default" r:id="rId8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44DB1" w14:textId="77777777" w:rsidR="003B163E" w:rsidRDefault="003B163E" w:rsidP="00DF68F1">
      <w:pPr>
        <w:spacing w:after="0" w:line="240" w:lineRule="auto"/>
      </w:pPr>
      <w:r>
        <w:separator/>
      </w:r>
    </w:p>
  </w:endnote>
  <w:endnote w:type="continuationSeparator" w:id="0">
    <w:p w14:paraId="0A880010" w14:textId="77777777" w:rsidR="003B163E" w:rsidRDefault="003B163E" w:rsidP="00DF6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FFC27A2-F06C-4559-9075-8B260891C0E2}"/>
    <w:embedItalic r:id="rId2" w:fontKey="{3FF0C44C-3A78-4BAB-900F-CB29F5C5AA84}"/>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3" w:fontKey="{871F74B4-CFC5-4561-AA0C-7BA77B39C748}"/>
  </w:font>
  <w:font w:name="Cambria">
    <w:panose1 w:val="02040503050406030204"/>
    <w:charset w:val="00"/>
    <w:family w:val="roman"/>
    <w:pitch w:val="variable"/>
    <w:sig w:usb0="E00006FF" w:usb1="420024FF" w:usb2="02000000" w:usb3="00000000" w:csb0="0000019F" w:csb1="00000000"/>
    <w:embedRegular r:id="rId4" w:fontKey="{EAF5364D-70FB-4053-8329-346BA0DA73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224329"/>
      <w:docPartObj>
        <w:docPartGallery w:val="Page Numbers (Bottom of Page)"/>
        <w:docPartUnique/>
      </w:docPartObj>
    </w:sdtPr>
    <w:sdtEndPr/>
    <w:sdtContent>
      <w:p w14:paraId="1AD20BDA" w14:textId="77777777" w:rsidR="00DF68F1" w:rsidRDefault="00DF68F1">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71D79A0" w14:textId="77777777" w:rsidR="00DF68F1" w:rsidRDefault="00DF6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7A0C6" w14:textId="77777777" w:rsidR="003B163E" w:rsidRDefault="003B163E" w:rsidP="00DF68F1">
      <w:pPr>
        <w:spacing w:after="0" w:line="240" w:lineRule="auto"/>
      </w:pPr>
      <w:r>
        <w:separator/>
      </w:r>
    </w:p>
  </w:footnote>
  <w:footnote w:type="continuationSeparator" w:id="0">
    <w:p w14:paraId="0F87C8F2" w14:textId="77777777" w:rsidR="003B163E" w:rsidRDefault="003B163E" w:rsidP="00DF68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7181"/>
    <w:rsid w:val="000C3A1C"/>
    <w:rsid w:val="001D4C29"/>
    <w:rsid w:val="00364811"/>
    <w:rsid w:val="003B163E"/>
    <w:rsid w:val="0071154C"/>
    <w:rsid w:val="008643D9"/>
    <w:rsid w:val="008C2F6E"/>
    <w:rsid w:val="00A52DF5"/>
    <w:rsid w:val="00BC3252"/>
    <w:rsid w:val="00C11C68"/>
    <w:rsid w:val="00C60DF9"/>
    <w:rsid w:val="00D22F8B"/>
    <w:rsid w:val="00D57181"/>
    <w:rsid w:val="00D95692"/>
    <w:rsid w:val="00DA2333"/>
    <w:rsid w:val="00DF68F1"/>
    <w:rsid w:val="00F346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7C8C2"/>
  <w15:docId w15:val="{9169ECE5-B30B-4DFF-AFB7-34540804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333"/>
  </w:style>
  <w:style w:type="paragraph" w:styleId="Heading1">
    <w:name w:val="heading 1"/>
    <w:basedOn w:val="Normal"/>
    <w:next w:val="Normal"/>
    <w:uiPriority w:val="9"/>
    <w:qFormat/>
    <w:rsid w:val="00DA2333"/>
    <w:pPr>
      <w:keepNext/>
      <w:keepLines/>
      <w:spacing w:before="240" w:after="0"/>
      <w:outlineLvl w:val="0"/>
    </w:pPr>
    <w:rPr>
      <w:b/>
      <w:bCs/>
    </w:rPr>
  </w:style>
  <w:style w:type="paragraph" w:styleId="Heading2">
    <w:name w:val="heading 2"/>
    <w:basedOn w:val="Normal"/>
    <w:next w:val="Normal"/>
    <w:uiPriority w:val="9"/>
    <w:unhideWhenUsed/>
    <w:qFormat/>
    <w:rsid w:val="00DA2333"/>
    <w:pPr>
      <w:keepNext/>
      <w:keepLines/>
      <w:spacing w:before="40" w:after="0"/>
      <w:outlineLvl w:val="1"/>
    </w:pPr>
    <w:rPr>
      <w:b/>
      <w:bCs/>
    </w:rPr>
  </w:style>
  <w:style w:type="paragraph" w:styleId="Heading3">
    <w:name w:val="heading 3"/>
    <w:basedOn w:val="Normal"/>
    <w:next w:val="Normal"/>
    <w:uiPriority w:val="9"/>
    <w:semiHidden/>
    <w:unhideWhenUsed/>
    <w:qFormat/>
    <w:rsid w:val="00DA2333"/>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uiPriority w:val="9"/>
    <w:semiHidden/>
    <w:unhideWhenUsed/>
    <w:qFormat/>
    <w:rsid w:val="00DA2333"/>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rsid w:val="00DA2333"/>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rsid w:val="00DA2333"/>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A2333"/>
    <w:tblPr>
      <w:tblCellMar>
        <w:top w:w="100" w:type="dxa"/>
        <w:left w:w="100" w:type="dxa"/>
        <w:bottom w:w="100" w:type="dxa"/>
        <w:right w:w="100" w:type="dxa"/>
      </w:tblCellMar>
    </w:tblPr>
  </w:style>
  <w:style w:type="paragraph" w:styleId="Title">
    <w:name w:val="Title"/>
    <w:basedOn w:val="Normal"/>
    <w:next w:val="Normal"/>
    <w:uiPriority w:val="10"/>
    <w:qFormat/>
    <w:rsid w:val="00DA2333"/>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sid w:val="00DA2333"/>
    <w:rPr>
      <w:rFonts w:ascii="Calibri" w:eastAsia="Calibri" w:hAnsi="Calibri" w:cs="Calibri"/>
      <w:color w:val="595959"/>
      <w:sz w:val="28"/>
      <w:szCs w:val="28"/>
    </w:rPr>
  </w:style>
  <w:style w:type="paragraph" w:styleId="TOC1">
    <w:name w:val="toc 1"/>
    <w:basedOn w:val="Normal"/>
    <w:next w:val="Normal"/>
    <w:autoRedefine/>
    <w:uiPriority w:val="39"/>
    <w:unhideWhenUsed/>
    <w:rsid w:val="00D22F8B"/>
    <w:pPr>
      <w:spacing w:after="100"/>
    </w:pPr>
  </w:style>
  <w:style w:type="paragraph" w:styleId="TOC2">
    <w:name w:val="toc 2"/>
    <w:basedOn w:val="Normal"/>
    <w:next w:val="Normal"/>
    <w:autoRedefine/>
    <w:uiPriority w:val="39"/>
    <w:unhideWhenUsed/>
    <w:rsid w:val="00D22F8B"/>
    <w:pPr>
      <w:spacing w:after="100"/>
      <w:ind w:left="220"/>
    </w:pPr>
  </w:style>
  <w:style w:type="character" w:styleId="Hyperlink">
    <w:name w:val="Hyperlink"/>
    <w:basedOn w:val="DefaultParagraphFont"/>
    <w:uiPriority w:val="99"/>
    <w:unhideWhenUsed/>
    <w:rsid w:val="00D22F8B"/>
    <w:rPr>
      <w:color w:val="0000FF" w:themeColor="hyperlink"/>
      <w:u w:val="single"/>
    </w:rPr>
  </w:style>
  <w:style w:type="paragraph" w:styleId="BalloonText">
    <w:name w:val="Balloon Text"/>
    <w:basedOn w:val="Normal"/>
    <w:link w:val="BalloonTextChar"/>
    <w:uiPriority w:val="99"/>
    <w:semiHidden/>
    <w:unhideWhenUsed/>
    <w:rsid w:val="001D4C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4C29"/>
    <w:rPr>
      <w:rFonts w:ascii="Tahoma" w:hAnsi="Tahoma" w:cs="Tahoma"/>
      <w:sz w:val="16"/>
      <w:szCs w:val="16"/>
    </w:rPr>
  </w:style>
  <w:style w:type="paragraph" w:styleId="Header">
    <w:name w:val="header"/>
    <w:basedOn w:val="Normal"/>
    <w:link w:val="HeaderChar"/>
    <w:uiPriority w:val="99"/>
    <w:semiHidden/>
    <w:unhideWhenUsed/>
    <w:rsid w:val="00DF68F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68F1"/>
  </w:style>
  <w:style w:type="paragraph" w:styleId="Footer">
    <w:name w:val="footer"/>
    <w:basedOn w:val="Normal"/>
    <w:link w:val="FooterChar"/>
    <w:uiPriority w:val="99"/>
    <w:unhideWhenUsed/>
    <w:rsid w:val="00DF68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68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2720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clinme.2024.100237" TargetMode="External"/><Relationship Id="rId21" Type="http://schemas.openxmlformats.org/officeDocument/2006/relationships/hyperlink" Target="https://qualitysafety.bmj.com/content/qhc/33/11/726.full.pdf" TargetMode="External"/><Relationship Id="rId42" Type="http://schemas.openxmlformats.org/officeDocument/2006/relationships/hyperlink" Target="https://nam.edu/" TargetMode="External"/><Relationship Id="rId47" Type="http://schemas.openxmlformats.org/officeDocument/2006/relationships/hyperlink" Target="https://doi.org/10.1007/s11096-022-01466-9" TargetMode="External"/><Relationship Id="rId63" Type="http://schemas.openxmlformats.org/officeDocument/2006/relationships/hyperlink" Target="https://doi.org/10.3390/nursrep14040260?utm_source=copilot.com" TargetMode="External"/><Relationship Id="rId68" Type="http://schemas.openxmlformats.org/officeDocument/2006/relationships/hyperlink" Target="https://doi.org/10.1007/s12144-024-06694-y" TargetMode="External"/><Relationship Id="rId84" Type="http://schemas.openxmlformats.org/officeDocument/2006/relationships/hyperlink" Target="https://apo.who.int/publications/policy-briefs" TargetMode="External"/><Relationship Id="rId89" Type="http://schemas.openxmlformats.org/officeDocument/2006/relationships/theme" Target="theme/theme1.xml"/><Relationship Id="rId16" Type="http://schemas.openxmlformats.org/officeDocument/2006/relationships/hyperlink" Target="https://www.ahrq.gov/sops/index.html" TargetMode="External"/><Relationship Id="rId11" Type="http://schemas.openxmlformats.org/officeDocument/2006/relationships/image" Target="media/image5.png"/><Relationship Id="rId32" Type="http://schemas.openxmlformats.org/officeDocument/2006/relationships/hyperlink" Target="https://doi.org/10.3390/socsci14050286?utm_source=copilot.com" TargetMode="External"/><Relationship Id="rId37" Type="http://schemas.openxmlformats.org/officeDocument/2006/relationships/hyperlink" Target="https://www.hssib.org.uk/patient-safety-investigations/medication-related-harm/second-investigation-report/" TargetMode="External"/><Relationship Id="rId53" Type="http://schemas.openxmlformats.org/officeDocument/2006/relationships/hyperlink" Target="https://www.england.nhs.uk/long-read/month-12-financial-position-2025-26-4-june-2026/" TargetMode="External"/><Relationship Id="rId58" Type="http://schemas.openxmlformats.org/officeDocument/2006/relationships/hyperlink" Target="https://www.england.nhs.uk/publication/national-medicines-optimisation-opportunities-2023-24/" TargetMode="External"/><Relationship Id="rId74" Type="http://schemas.openxmlformats.org/officeDocument/2006/relationships/hyperlink" Target="https://doi.org/10.3389/frhs.2025.1484225" TargetMode="External"/><Relationship Id="rId79" Type="http://schemas.openxmlformats.org/officeDocument/2006/relationships/hyperlink" Target="https://journals.sagepub.com/doi/pdf/10.1177/13505076241296005" TargetMode="External"/><Relationship Id="rId5" Type="http://schemas.openxmlformats.org/officeDocument/2006/relationships/footnotes" Target="footnotes.xml"/><Relationship Id="rId14" Type="http://schemas.openxmlformats.org/officeDocument/2006/relationships/hyperlink" Target="https://dx.doi.org/10.7166/34-3-2955?utm_source=copilot.com" TargetMode="External"/><Relationship Id="rId22" Type="http://schemas.openxmlformats.org/officeDocument/2006/relationships/hyperlink" Target="https://www.theguardian.com/society/2025/may/01/one-in-four-patients-in-england-find-errors-in-medical-records-watchdog-says" TargetMode="External"/><Relationship Id="rId27" Type="http://schemas.openxmlformats.org/officeDocument/2006/relationships/hyperlink" Target="https://eurohealthobservatory.who.int/publications/country-health-profiles/2023" TargetMode="External"/><Relationship Id="rId30" Type="http://schemas.openxmlformats.org/officeDocument/2006/relationships/hyperlink" Target="https://www.gadsbywicks.co.uk/insights/medical-negligence/nhs-medical-negligence-claims-statsistics?utm_source=copilot.com" TargetMode="External"/><Relationship Id="rId35" Type="http://schemas.openxmlformats.org/officeDocument/2006/relationships/hyperlink" Target="https://www.gov.uk/government/news/world-first-ai-system-to-warn-of-nhs-patient-safety-concerns" TargetMode="External"/><Relationship Id="rId43" Type="http://schemas.openxmlformats.org/officeDocument/2006/relationships/hyperlink" Target="https://journals.sagepub.com/doi/pdf/10.3233/SHTI312_fm?utm_source=copilot.com" TargetMode="External"/><Relationship Id="rId48" Type="http://schemas.openxmlformats.org/officeDocument/2006/relationships/hyperlink" Target="https://doi.org/10.1007/s11096-022-01466-9" TargetMode="External"/><Relationship Id="rId56" Type="http://schemas.openxmlformats.org/officeDocument/2006/relationships/hyperlink" Target="https://www.england.nhs.uk/patient-safety/patient-safety-incident-response-framework/" TargetMode="External"/><Relationship Id="rId64" Type="http://schemas.openxmlformats.org/officeDocument/2006/relationships/hyperlink" Target="https://www.nuffieldtrust.org.uk/research/public-satisfaction-with-the-nhs-and-social-care" TargetMode="External"/><Relationship Id="rId69" Type="http://schemas.openxmlformats.org/officeDocument/2006/relationships/hyperlink" Target="https://www.ossur.com/en-us/professionals/ossur-rr/the-48-hour-rule-explained?utm_source=copilot.com" TargetMode="External"/><Relationship Id="rId77" Type="http://schemas.openxmlformats.org/officeDocument/2006/relationships/hyperlink" Target="https://doi.org/10.3390/merits5010002" TargetMode="External"/><Relationship Id="rId8" Type="http://schemas.openxmlformats.org/officeDocument/2006/relationships/image" Target="media/image2.png"/><Relationship Id="rId51" Type="http://schemas.openxmlformats.org/officeDocument/2006/relationships/hyperlink" Target="https://www.eastcheshire.nhs.uk/news-and-events/respiratory-patients-may-now-avoid-hospital-admission-thanks-new-virtual-ward-technology" TargetMode="External"/><Relationship Id="rId72" Type="http://schemas.openxmlformats.org/officeDocument/2006/relationships/hyperlink" Target="https://doi.org/10.1071/AH25068?utm_source=copilot.com" TargetMode="External"/><Relationship Id="rId80" Type="http://schemas.openxmlformats.org/officeDocument/2006/relationships/hyperlink" Target="https://doi.org/10.3390/hospitals1010008?utm_source=copilot.com" TargetMode="External"/><Relationship Id="rId85" Type="http://schemas.openxmlformats.org/officeDocument/2006/relationships/hyperlink" Target="https://apo.who.int/publications/policy-brief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2147/IJGM.S517843" TargetMode="External"/><Relationship Id="rId25" Type="http://schemas.openxmlformats.org/officeDocument/2006/relationships/hyperlink" Target="https://doi.org/10.1016/j.clinme.2024.100237" TargetMode="External"/><Relationship Id="rId33" Type="http://schemas.openxmlformats.org/officeDocument/2006/relationships/hyperlink" Target="https://doi.org/10.1080/10967494.2023.2215754" TargetMode="External"/><Relationship Id="rId38" Type="http://schemas.openxmlformats.org/officeDocument/2006/relationships/hyperlink" Target="https://www.hssib.org.uk/patient-safety-investigations/medication-related-harm/second-investigation-report/" TargetMode="External"/><Relationship Id="rId46" Type="http://schemas.openxmlformats.org/officeDocument/2006/relationships/hyperlink" Target="https://doi.org/10.21203/rs.3.rs-8913563/v1?utm_source=copilot.com" TargetMode="External"/><Relationship Id="rId59" Type="http://schemas.openxmlformats.org/officeDocument/2006/relationships/hyperlink" Target="https://www.england.nhs.uk/2024/12/nhs-prevents-thousands-of-strokes-thanks-to-lifesaving-drive/" TargetMode="External"/><Relationship Id="rId67" Type="http://schemas.openxmlformats.org/officeDocument/2006/relationships/hyperlink" Target="https://www.oecd.org/health/health-at-a-glance/" TargetMode="External"/><Relationship Id="rId20" Type="http://schemas.openxmlformats.org/officeDocument/2006/relationships/hyperlink" Target="https://www.cliffsnotes.com/cliffs-questions/5923843?utm_source=copilot.com" TargetMode="External"/><Relationship Id="rId41" Type="http://schemas.openxmlformats.org/officeDocument/2006/relationships/hyperlink" Target="https://nam.edu/" TargetMode="External"/><Relationship Id="rId54" Type="http://schemas.openxmlformats.org/officeDocument/2006/relationships/hyperlink" Target="https://www.england.nhs.uk/patient-safety/the-nhs-patient-safety-strategy/" TargetMode="External"/><Relationship Id="rId62" Type="http://schemas.openxmlformats.org/officeDocument/2006/relationships/hyperlink" Target="https://www.nice.org.uk/media/default/About/what-we-do/Into-practice/principles-for-best-practice-in-clinical-audit.pdf" TargetMode="External"/><Relationship Id="rId70" Type="http://schemas.openxmlformats.org/officeDocument/2006/relationships/hyperlink" Target="https://doi.org/10.3390/pharmacy12050134" TargetMode="External"/><Relationship Id="rId75" Type="http://schemas.openxmlformats.org/officeDocument/2006/relationships/hyperlink" Target="https://doi.org/10.1136/bmjoq-2021-001743" TargetMode="External"/><Relationship Id="rId83" Type="http://schemas.openxmlformats.org/officeDocument/2006/relationships/hyperlink" Target="https://www.who.int/publications/i/item/9789240088887"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ahrq.gov/sops/index.html" TargetMode="External"/><Relationship Id="rId23" Type="http://schemas.openxmlformats.org/officeDocument/2006/relationships/hyperlink" Target="https://onlinecpdacademy.co.uk/blog/medication-error-statistics-uk" TargetMode="External"/><Relationship Id="rId28" Type="http://schemas.openxmlformats.org/officeDocument/2006/relationships/hyperlink" Target="https://eurohealthobservatory.who.int/publications/country-health-profiles/2023" TargetMode="External"/><Relationship Id="rId36" Type="http://schemas.openxmlformats.org/officeDocument/2006/relationships/hyperlink" Target="https://www.gov.uk/government/news/world-first-ai-system-to-warn-of-nhs-patient-safety-concerns" TargetMode="External"/><Relationship Id="rId49" Type="http://schemas.openxmlformats.org/officeDocument/2006/relationships/hyperlink" Target="https://pmc.ncbi.nlm.nih.gov/articles/PMC12548628/" TargetMode="External"/><Relationship Id="rId57" Type="http://schemas.openxmlformats.org/officeDocument/2006/relationships/hyperlink" Target="https://www.england.nhs.uk/publication/national-medicines-optimisation-opportunities-2023-24/" TargetMode="External"/><Relationship Id="rId10" Type="http://schemas.openxmlformats.org/officeDocument/2006/relationships/image" Target="media/image4.png"/><Relationship Id="rId31" Type="http://schemas.openxmlformats.org/officeDocument/2006/relationships/hyperlink" Target="https://www.gadsbywicks.co.uk/insights/medical-negligence/the-risks-and-causes-of-prescription-and-medication-errors-explained?utm_source=copilot.com" TargetMode="External"/><Relationship Id="rId44" Type="http://schemas.openxmlformats.org/officeDocument/2006/relationships/hyperlink" Target="https://pubmed.ncbi.nlm.nih.gov/23460096/" TargetMode="External"/><Relationship Id="rId52" Type="http://schemas.openxmlformats.org/officeDocument/2006/relationships/hyperlink" Target="https://www.eastcheshire.nhs.uk/news-and-events/respiratory-patients-may-now-avoid-hospital-admission-thanks-new-virtual-ward-technology" TargetMode="External"/><Relationship Id="rId60" Type="http://schemas.openxmlformats.org/officeDocument/2006/relationships/hyperlink" Target="https://www.england.nhs.uk/2024/12/nhs-prevents-thousands-of-strokes-thanks-to-lifesaving-drive/" TargetMode="External"/><Relationship Id="rId65" Type="http://schemas.openxmlformats.org/officeDocument/2006/relationships/hyperlink" Target="https://www.nuffieldtrust.org.uk/research/public-satisfaction-with-the-nhs-and-social-care" TargetMode="External"/><Relationship Id="rId73" Type="http://schemas.openxmlformats.org/officeDocument/2006/relationships/hyperlink" Target="https://doi.org/10.1093/intqhc/mzag009" TargetMode="External"/><Relationship Id="rId78" Type="http://schemas.openxmlformats.org/officeDocument/2006/relationships/hyperlink" Target="https://doi.org/10.3390/merits5010002" TargetMode="External"/><Relationship Id="rId81" Type="http://schemas.openxmlformats.org/officeDocument/2006/relationships/hyperlink" Target="https://www.who.int/news-room/fact-sheets/detail/patient-safety" TargetMode="External"/><Relationship Id="rId86" Type="http://schemas.openxmlformats.org/officeDocument/2006/relationships/hyperlink" Target="https://iris.who.int/server/api/core/bitstreams/45189137-2f10-48e1-ae43-91b0d8ddd120/content"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doi.org/10.1136/leader-2023-000958" TargetMode="External"/><Relationship Id="rId39" Type="http://schemas.openxmlformats.org/officeDocument/2006/relationships/hyperlink" Target="https://events.ihi.org/2024-ihi-patient-safety-congress-focus-areas" TargetMode="External"/><Relationship Id="rId34" Type="http://schemas.openxmlformats.org/officeDocument/2006/relationships/hyperlink" Target="https://www.gov.uk/government/publications/tuberculosis-in-england-2025-report/4-tuberculosis-treatment-and-outcomes-england-2024" TargetMode="External"/><Relationship Id="rId50" Type="http://schemas.openxmlformats.org/officeDocument/2006/relationships/hyperlink" Target="https://doi.org/10.22541/au.174230708.80344925/v1?utm_source=copilot.com" TargetMode="External"/><Relationship Id="rId55" Type="http://schemas.openxmlformats.org/officeDocument/2006/relationships/hyperlink" Target="https://www.england.nhs.uk/patient-safety/patient-safety-incident-response-framework/" TargetMode="External"/><Relationship Id="rId76" Type="http://schemas.openxmlformats.org/officeDocument/2006/relationships/hyperlink" Target="https://bmjleader.bmj.com/content/leader/8/3/208.full.pdf?utm_source=copilot.com" TargetMode="External"/><Relationship Id="rId7" Type="http://schemas.openxmlformats.org/officeDocument/2006/relationships/image" Target="media/image1.png"/><Relationship Id="rId71" Type="http://schemas.openxmlformats.org/officeDocument/2006/relationships/hyperlink" Target="https://doi.org/10.3390/pharmacy12050134" TargetMode="External"/><Relationship Id="rId2" Type="http://schemas.openxmlformats.org/officeDocument/2006/relationships/styles" Target="styles.xml"/><Relationship Id="rId29" Type="http://schemas.openxmlformats.org/officeDocument/2006/relationships/hyperlink" Target="https://air.unimi.it/bitstream/2434/955027/4/HC%20decentralization_published.pdf" TargetMode="External"/><Relationship Id="rId24" Type="http://schemas.openxmlformats.org/officeDocument/2006/relationships/hyperlink" Target="https://onlinecpdacademy.co.uk/blog/medication-error-statistics-uk" TargetMode="External"/><Relationship Id="rId40" Type="http://schemas.openxmlformats.org/officeDocument/2006/relationships/hyperlink" Target="https://events.ihi.org/2024-ihi-patient-safety-congress-focus-areas" TargetMode="External"/><Relationship Id="rId45" Type="http://schemas.openxmlformats.org/officeDocument/2006/relationships/hyperlink" Target="https://pubmed.ncbi.nlm.nih.gov/23460096/" TargetMode="External"/><Relationship Id="rId66" Type="http://schemas.openxmlformats.org/officeDocument/2006/relationships/hyperlink" Target="https://www.oecd.org/health/health-at-a-glance/" TargetMode="External"/><Relationship Id="rId87" Type="http://schemas.openxmlformats.org/officeDocument/2006/relationships/footer" Target="footer1.xml"/><Relationship Id="rId61" Type="http://schemas.openxmlformats.org/officeDocument/2006/relationships/hyperlink" Target="https://england.nhs.uk/patient-safety/the-nhs-patient-safety-strategy/?utm_source=copilot.com" TargetMode="External"/><Relationship Id="rId82" Type="http://schemas.openxmlformats.org/officeDocument/2006/relationships/hyperlink" Target="https://www.who.int/publications/i/item/9789240088887" TargetMode="External"/><Relationship Id="rId19" Type="http://schemas.openxmlformats.org/officeDocument/2006/relationships/hyperlink" Target="https://www.bma.org.uk/advice-and-support/nhs-delivery-and-workforce/workforce/medical-staffing-in-the-nh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2wS+bVrrZdiYN1W6gdLDecQlCg==">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27</Pages>
  <Words>9261</Words>
  <Characters>52790</Characters>
  <Application>Microsoft Office Word</Application>
  <DocSecurity>0</DocSecurity>
  <Lines>439</Lines>
  <Paragraphs>123</Paragraphs>
  <ScaleCrop>false</ScaleCrop>
  <Company/>
  <LinksUpToDate>false</LinksUpToDate>
  <CharactersWithSpaces>61928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2026-08-01T09:02:00Z</dcterms:created>
  <dcterms:modified xsi:type="dcterms:W3CDTF">2026-08-10T10:51:00Z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79307b1c-a3c4-4c6b-886f-c2a0b5de4b06</vt:lpwstr>
  </property>
</Properties>
</file>