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color w:val="156082" w:themeColor="accent1"/>
        </w:rPr>
        <w:id w:val="-448162174"/>
        <w:docPartObj>
          <w:docPartGallery w:val="Cover Pages"/>
          <w:docPartUnique/>
        </w:docPartObj>
      </w:sdtPr>
      <w:sdtEndPr/>
      <w:sdtContent>
        <w:p w14:paraId="1EAE65C8" w14:textId="5EF4DBE9" w:rsidR="00F75447" w:rsidRDefault="00F75447" w:rsidP="001614A2">
          <w:pPr>
            <w:pStyle w:val="NoSpacing"/>
            <w:spacing w:before="1540" w:after="240" w:line="360" w:lineRule="auto"/>
            <w:jc w:val="center"/>
            <w:rPr>
              <w:color w:val="156082" w:themeColor="accent1"/>
            </w:rPr>
          </w:pPr>
          <w:r>
            <w:rPr>
              <w:noProof/>
              <w:color w:val="156082" w:themeColor="accent1"/>
            </w:rPr>
            <w:drawing>
              <wp:inline distT="0" distB="0" distL="0" distR="0" wp14:anchorId="021AF4CB" wp14:editId="5F2DB34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color w:val="156082" w:themeColor="accent1"/>
              <w:sz w:val="40"/>
              <w:szCs w:val="40"/>
            </w:rPr>
            <w:alias w:val="Title"/>
            <w:tag w:val=""/>
            <w:id w:val="1735040861"/>
            <w:placeholder>
              <w:docPart w:val="7A4F4CB07F5C434AA4F3BE11DD78D681"/>
            </w:placeholder>
            <w:dataBinding w:prefixMappings="xmlns:ns0='http://purl.org/dc/elements/1.1/' xmlns:ns1='http://schemas.openxmlformats.org/package/2006/metadata/core-properties' " w:xpath="/ns1:coreProperties[1]/ns0:title[1]" w:storeItemID="{6C3C8BC8-F283-45AE-878A-BAB7291924A1}"/>
            <w:text/>
          </w:sdtPr>
          <w:sdtEndPr/>
          <w:sdtContent>
            <w:p w14:paraId="238365D3" w14:textId="6BCC9DF3" w:rsidR="00F75447" w:rsidRPr="00772035" w:rsidRDefault="00F75447" w:rsidP="001614A2">
              <w:pPr>
                <w:pStyle w:val="NoSpacing"/>
                <w:pBdr>
                  <w:top w:val="single" w:sz="6" w:space="6" w:color="156082" w:themeColor="accent1"/>
                  <w:bottom w:val="single" w:sz="6" w:space="6" w:color="156082" w:themeColor="accent1"/>
                </w:pBdr>
                <w:spacing w:after="240" w:line="360" w:lineRule="auto"/>
                <w:jc w:val="center"/>
                <w:rPr>
                  <w:rFonts w:asciiTheme="majorHAnsi" w:eastAsiaTheme="majorEastAsia" w:hAnsiTheme="majorHAnsi" w:cstheme="majorBidi"/>
                  <w:caps/>
                  <w:color w:val="156082" w:themeColor="accent1"/>
                  <w:sz w:val="40"/>
                  <w:szCs w:val="40"/>
                </w:rPr>
              </w:pPr>
              <w:r w:rsidRPr="00772035">
                <w:rPr>
                  <w:b/>
                  <w:color w:val="156082" w:themeColor="accent1"/>
                  <w:sz w:val="40"/>
                  <w:szCs w:val="40"/>
                </w:rPr>
                <w:t>L7 – Application of Machine Learning</w:t>
              </w:r>
            </w:p>
          </w:sdtContent>
        </w:sdt>
        <w:sdt>
          <w:sdtPr>
            <w:rPr>
              <w:b/>
              <w:color w:val="156082" w:themeColor="accent1"/>
              <w:sz w:val="24"/>
              <w:szCs w:val="24"/>
            </w:rPr>
            <w:alias w:val="Subtitle"/>
            <w:tag w:val=""/>
            <w:id w:val="328029620"/>
            <w:placeholder>
              <w:docPart w:val="B64D81792685441FAA9364E64AD6C272"/>
            </w:placeholder>
            <w:dataBinding w:prefixMappings="xmlns:ns0='http://purl.org/dc/elements/1.1/' xmlns:ns1='http://schemas.openxmlformats.org/package/2006/metadata/core-properties' " w:xpath="/ns1:coreProperties[1]/ns0:subject[1]" w:storeItemID="{6C3C8BC8-F283-45AE-878A-BAB7291924A1}"/>
            <w:text/>
          </w:sdtPr>
          <w:sdtEndPr/>
          <w:sdtContent>
            <w:p w14:paraId="02E62407" w14:textId="6D17893E" w:rsidR="00F75447" w:rsidRPr="00772035" w:rsidRDefault="003E7DC6" w:rsidP="001614A2">
              <w:pPr>
                <w:pStyle w:val="NoSpacing"/>
                <w:spacing w:line="360" w:lineRule="auto"/>
                <w:jc w:val="center"/>
                <w:rPr>
                  <w:color w:val="156082" w:themeColor="accent1"/>
                  <w:sz w:val="24"/>
                  <w:szCs w:val="24"/>
                </w:rPr>
              </w:pPr>
              <w:r w:rsidRPr="00772035">
                <w:rPr>
                  <w:b/>
                  <w:color w:val="156082" w:themeColor="accent1"/>
                  <w:sz w:val="24"/>
                  <w:szCs w:val="24"/>
                </w:rPr>
                <w:t>Recommendation of a Machine Learning Model - ACCA7025</w:t>
              </w:r>
            </w:p>
          </w:sdtContent>
        </w:sdt>
        <w:p w14:paraId="65548485" w14:textId="77777777" w:rsidR="00F75447" w:rsidRDefault="00F75447" w:rsidP="001614A2">
          <w:pPr>
            <w:spacing w:line="360" w:lineRule="auto"/>
          </w:pPr>
        </w:p>
        <w:p w14:paraId="4C4469BE" w14:textId="675FE802" w:rsidR="00F75447" w:rsidRDefault="00F75447" w:rsidP="001614A2">
          <w:pPr>
            <w:pStyle w:val="Heading1"/>
            <w:spacing w:line="360" w:lineRule="auto"/>
          </w:pPr>
          <w:bookmarkStart w:id="0" w:name="_Toc233286936"/>
          <w:r>
            <w:t>Abstract</w:t>
          </w:r>
          <w:bookmarkEnd w:id="0"/>
        </w:p>
        <w:p w14:paraId="01942F6E" w14:textId="3A9174CB" w:rsidR="00D14C27" w:rsidRPr="00D14C27" w:rsidRDefault="00D14C27" w:rsidP="00D14C27">
          <w:pPr>
            <w:pStyle w:val="NoSpacing"/>
            <w:spacing w:before="480" w:line="360" w:lineRule="auto"/>
            <w:jc w:val="both"/>
          </w:pPr>
          <w:r w:rsidRPr="00D14C27">
            <w:t xml:space="preserve">Unplanned equipment failures create </w:t>
          </w:r>
          <w:r w:rsidR="0094170B">
            <w:t>high</w:t>
          </w:r>
          <w:r w:rsidRPr="00D14C27">
            <w:t xml:space="preserve"> costs through downtime, emergency repairs, and safety risks, often costing three to ten times more than proactive maintenance. Predictive maintenance (PdM), enabled by traditional machine learning, uses operational data to anticipate failures and support more timely and cost-effective interventions than fixed maintenance schedules.</w:t>
          </w:r>
        </w:p>
        <w:p w14:paraId="4958211D" w14:textId="70DD846F" w:rsidR="00772035" w:rsidRPr="00D14C27" w:rsidRDefault="00D14C27" w:rsidP="00D14C27">
          <w:pPr>
            <w:pStyle w:val="NoSpacing"/>
            <w:spacing w:before="480" w:line="360" w:lineRule="auto"/>
            <w:jc w:val="both"/>
          </w:pPr>
          <w:r w:rsidRPr="00D14C27">
            <w:t>Drawing on 3</w:t>
          </w:r>
          <w:r w:rsidR="0013358B">
            <w:t>4</w:t>
          </w:r>
          <w:r w:rsidRPr="00D14C27">
            <w:t xml:space="preserve"> sources, this report evaluates four machine learning approaches</w:t>
          </w:r>
          <w:r w:rsidR="008C1A3C">
            <w:t xml:space="preserve">, </w:t>
          </w:r>
          <w:r w:rsidRPr="00D14C27">
            <w:t>Random Forest, Gradient Boosting, Support Vector Machines (SVM), and logistic regression</w:t>
          </w:r>
          <w:r w:rsidR="008C1A3C">
            <w:t xml:space="preserve">, </w:t>
          </w:r>
          <w:r w:rsidRPr="00D14C27">
            <w:t>against four key criteria: predictive accuracy, interpretability, computational efficiency, and robustness to class imbalance. Random Forest, combined with SHAP-based explainability, emerges as the strongest option. A seven-stage CRISP-DM-based workflow is proposed, covering data auditing, preprocessing, feature engineering, class imbalance correction, time-series cross-validation, cost-sensitive evaluation, and explainability integration. The analysis identifies two key limitations</w:t>
          </w:r>
          <w:r>
            <w:t xml:space="preserve">, </w:t>
          </w:r>
          <w:r w:rsidRPr="00D14C27">
            <w:t>probability calibration and concept drift</w:t>
          </w:r>
          <w:r w:rsidR="008C1A3C">
            <w:t xml:space="preserve">, </w:t>
          </w:r>
          <w:r w:rsidRPr="00D14C27">
            <w:t>and proposes a drift-aware retraining architecture as a testable operational solution. Based on peer-reviewed evidence, an illustrative return-on-investment analysis estimates a payback period of 12–18 months for a typical manufacturing maintenance budget.</w:t>
          </w:r>
        </w:p>
        <w:p w14:paraId="7532B00D" w14:textId="0BF17668" w:rsidR="00D40BF1" w:rsidRDefault="00D40BF1" w:rsidP="00772035">
          <w:pPr>
            <w:pStyle w:val="NoSpacing"/>
            <w:spacing w:before="480" w:line="360" w:lineRule="auto"/>
            <w:jc w:val="right"/>
            <w:rPr>
              <w:color w:val="156082" w:themeColor="accent1"/>
            </w:rPr>
          </w:pPr>
          <w:r>
            <w:rPr>
              <w:color w:val="156082" w:themeColor="accent1"/>
            </w:rPr>
            <w:t>Student Name: Sobia Tabassam</w:t>
          </w:r>
          <w:r w:rsidR="008A6083">
            <w:rPr>
              <w:color w:val="156082" w:themeColor="accent1"/>
            </w:rPr>
            <w:t xml:space="preserve"> - 2222632</w:t>
          </w:r>
        </w:p>
        <w:p w14:paraId="1A68DDF9" w14:textId="77777777" w:rsidR="005E702F" w:rsidRPr="005563DC" w:rsidRDefault="008A6083" w:rsidP="001614A2">
          <w:pPr>
            <w:spacing w:line="360" w:lineRule="auto"/>
            <w:jc w:val="right"/>
            <w:rPr>
              <w:rFonts w:asciiTheme="minorHAnsi" w:hAnsiTheme="minorHAnsi"/>
              <w:color w:val="156082" w:themeColor="accent1"/>
            </w:rPr>
          </w:pPr>
          <w:r w:rsidRPr="005563DC">
            <w:rPr>
              <w:rFonts w:asciiTheme="minorHAnsi" w:hAnsiTheme="minorHAnsi"/>
              <w:color w:val="156082" w:themeColor="accent1"/>
            </w:rPr>
            <w:t>Lecturer: Dr Aliyu Sambo</w:t>
          </w:r>
        </w:p>
        <w:p w14:paraId="6C727DF9" w14:textId="5AF01C25" w:rsidR="00A96B97" w:rsidRPr="005563DC" w:rsidRDefault="005E702F" w:rsidP="001614A2">
          <w:pPr>
            <w:spacing w:line="360" w:lineRule="auto"/>
            <w:jc w:val="right"/>
            <w:rPr>
              <w:rFonts w:asciiTheme="minorHAnsi" w:hAnsiTheme="minorHAnsi"/>
              <w:color w:val="156082" w:themeColor="accent1"/>
            </w:rPr>
          </w:pPr>
          <w:r w:rsidRPr="005563DC">
            <w:rPr>
              <w:rFonts w:asciiTheme="minorHAnsi" w:hAnsiTheme="minorHAnsi"/>
              <w:color w:val="156082" w:themeColor="accent1"/>
            </w:rPr>
            <w:t xml:space="preserve">Submission Date: </w:t>
          </w:r>
          <w:r w:rsidR="005563DC" w:rsidRPr="005563DC">
            <w:rPr>
              <w:rFonts w:asciiTheme="minorHAnsi" w:hAnsiTheme="minorHAnsi"/>
              <w:color w:val="156082" w:themeColor="accent1"/>
            </w:rPr>
            <w:t>05/06/2026</w:t>
          </w:r>
        </w:p>
      </w:sdtContent>
    </w:sdt>
    <w:sdt>
      <w:sdtPr>
        <w:rPr>
          <w:rFonts w:ascii="Arial" w:eastAsia="Arial" w:hAnsi="Arial" w:cs="Arial"/>
          <w:color w:val="auto"/>
          <w:sz w:val="22"/>
          <w:szCs w:val="22"/>
        </w:rPr>
        <w:id w:val="333576984"/>
        <w:docPartObj>
          <w:docPartGallery w:val="Table of Contents"/>
          <w:docPartUnique/>
        </w:docPartObj>
      </w:sdtPr>
      <w:sdtEndPr>
        <w:rPr>
          <w:b/>
          <w:bCs/>
        </w:rPr>
      </w:sdtEndPr>
      <w:sdtContent>
        <w:p w14:paraId="275C694D" w14:textId="22287F1C" w:rsidR="00AC71AD" w:rsidRPr="00F75447" w:rsidRDefault="00AC71AD" w:rsidP="001614A2">
          <w:pPr>
            <w:pStyle w:val="TOCHeading"/>
            <w:spacing w:line="360" w:lineRule="auto"/>
          </w:pPr>
          <w:r>
            <w:t>Table Of Contents</w:t>
          </w:r>
        </w:p>
        <w:p w14:paraId="03AF592A" w14:textId="5585DAC8" w:rsidR="0013358B" w:rsidRDefault="00AC71AD">
          <w:pPr>
            <w:pStyle w:val="TOC1"/>
            <w:tabs>
              <w:tab w:val="right" w:leader="dot" w:pos="973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3286936" w:history="1">
            <w:r w:rsidR="0013358B" w:rsidRPr="00D90E10">
              <w:rPr>
                <w:rStyle w:val="Hyperlink"/>
                <w:noProof/>
              </w:rPr>
              <w:t>Abstract</w:t>
            </w:r>
            <w:r w:rsidR="0013358B">
              <w:rPr>
                <w:noProof/>
                <w:webHidden/>
              </w:rPr>
              <w:tab/>
            </w:r>
            <w:r w:rsidR="0013358B">
              <w:rPr>
                <w:noProof/>
                <w:webHidden/>
              </w:rPr>
              <w:fldChar w:fldCharType="begin"/>
            </w:r>
            <w:r w:rsidR="0013358B">
              <w:rPr>
                <w:noProof/>
                <w:webHidden/>
              </w:rPr>
              <w:instrText xml:space="preserve"> PAGEREF _Toc233286936 \h </w:instrText>
            </w:r>
            <w:r w:rsidR="0013358B">
              <w:rPr>
                <w:noProof/>
                <w:webHidden/>
              </w:rPr>
            </w:r>
            <w:r w:rsidR="0013358B">
              <w:rPr>
                <w:noProof/>
                <w:webHidden/>
              </w:rPr>
              <w:fldChar w:fldCharType="separate"/>
            </w:r>
            <w:r w:rsidR="0013358B">
              <w:rPr>
                <w:noProof/>
                <w:webHidden/>
              </w:rPr>
              <w:t>0</w:t>
            </w:r>
            <w:r w:rsidR="0013358B">
              <w:rPr>
                <w:noProof/>
                <w:webHidden/>
              </w:rPr>
              <w:fldChar w:fldCharType="end"/>
            </w:r>
          </w:hyperlink>
        </w:p>
        <w:p w14:paraId="78FC5694" w14:textId="764E267E" w:rsidR="0013358B" w:rsidRDefault="0013358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3286937" w:history="1">
            <w:r w:rsidRPr="00D90E10">
              <w:rPr>
                <w:rStyle w:val="Hyperlink"/>
                <w:noProof/>
              </w:rPr>
              <w:t>1. Introduction</w:t>
            </w:r>
            <w:r>
              <w:rPr>
                <w:noProof/>
                <w:webHidden/>
              </w:rPr>
              <w:tab/>
            </w:r>
            <w:r>
              <w:rPr>
                <w:noProof/>
                <w:webHidden/>
              </w:rPr>
              <w:fldChar w:fldCharType="begin"/>
            </w:r>
            <w:r>
              <w:rPr>
                <w:noProof/>
                <w:webHidden/>
              </w:rPr>
              <w:instrText xml:space="preserve"> PAGEREF _Toc233286937 \h </w:instrText>
            </w:r>
            <w:r>
              <w:rPr>
                <w:noProof/>
                <w:webHidden/>
              </w:rPr>
            </w:r>
            <w:r>
              <w:rPr>
                <w:noProof/>
                <w:webHidden/>
              </w:rPr>
              <w:fldChar w:fldCharType="separate"/>
            </w:r>
            <w:r>
              <w:rPr>
                <w:noProof/>
                <w:webHidden/>
              </w:rPr>
              <w:t>3</w:t>
            </w:r>
            <w:r>
              <w:rPr>
                <w:noProof/>
                <w:webHidden/>
              </w:rPr>
              <w:fldChar w:fldCharType="end"/>
            </w:r>
          </w:hyperlink>
        </w:p>
        <w:p w14:paraId="0392600F" w14:textId="1CBFC7CD" w:rsidR="0013358B" w:rsidRDefault="0013358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3286938" w:history="1">
            <w:r w:rsidRPr="00D90E10">
              <w:rPr>
                <w:rStyle w:val="Hyperlink"/>
                <w:noProof/>
              </w:rPr>
              <w:t>2. Literature Review</w:t>
            </w:r>
            <w:r>
              <w:rPr>
                <w:noProof/>
                <w:webHidden/>
              </w:rPr>
              <w:tab/>
            </w:r>
            <w:r>
              <w:rPr>
                <w:noProof/>
                <w:webHidden/>
              </w:rPr>
              <w:fldChar w:fldCharType="begin"/>
            </w:r>
            <w:r>
              <w:rPr>
                <w:noProof/>
                <w:webHidden/>
              </w:rPr>
              <w:instrText xml:space="preserve"> PAGEREF _Toc233286938 \h </w:instrText>
            </w:r>
            <w:r>
              <w:rPr>
                <w:noProof/>
                <w:webHidden/>
              </w:rPr>
            </w:r>
            <w:r>
              <w:rPr>
                <w:noProof/>
                <w:webHidden/>
              </w:rPr>
              <w:fldChar w:fldCharType="separate"/>
            </w:r>
            <w:r>
              <w:rPr>
                <w:noProof/>
                <w:webHidden/>
              </w:rPr>
              <w:t>5</w:t>
            </w:r>
            <w:r>
              <w:rPr>
                <w:noProof/>
                <w:webHidden/>
              </w:rPr>
              <w:fldChar w:fldCharType="end"/>
            </w:r>
          </w:hyperlink>
        </w:p>
        <w:p w14:paraId="217BCF55" w14:textId="0CD04008"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39" w:history="1">
            <w:r w:rsidRPr="00D90E10">
              <w:rPr>
                <w:rStyle w:val="Hyperlink"/>
                <w:noProof/>
              </w:rPr>
              <w:t>2.1 The PdM Classification Task</w:t>
            </w:r>
            <w:r>
              <w:rPr>
                <w:noProof/>
                <w:webHidden/>
              </w:rPr>
              <w:tab/>
            </w:r>
            <w:r>
              <w:rPr>
                <w:noProof/>
                <w:webHidden/>
              </w:rPr>
              <w:fldChar w:fldCharType="begin"/>
            </w:r>
            <w:r>
              <w:rPr>
                <w:noProof/>
                <w:webHidden/>
              </w:rPr>
              <w:instrText xml:space="preserve"> PAGEREF _Toc233286939 \h </w:instrText>
            </w:r>
            <w:r>
              <w:rPr>
                <w:noProof/>
                <w:webHidden/>
              </w:rPr>
            </w:r>
            <w:r>
              <w:rPr>
                <w:noProof/>
                <w:webHidden/>
              </w:rPr>
              <w:fldChar w:fldCharType="separate"/>
            </w:r>
            <w:r>
              <w:rPr>
                <w:noProof/>
                <w:webHidden/>
              </w:rPr>
              <w:t>5</w:t>
            </w:r>
            <w:r>
              <w:rPr>
                <w:noProof/>
                <w:webHidden/>
              </w:rPr>
              <w:fldChar w:fldCharType="end"/>
            </w:r>
          </w:hyperlink>
        </w:p>
        <w:p w14:paraId="25CDA5FB" w14:textId="0E44ECD2"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40" w:history="1">
            <w:r w:rsidRPr="00D90E10">
              <w:rPr>
                <w:rStyle w:val="Hyperlink"/>
                <w:noProof/>
              </w:rPr>
              <w:t>2.2 Industrial Significance and Research Landscape</w:t>
            </w:r>
            <w:r>
              <w:rPr>
                <w:noProof/>
                <w:webHidden/>
              </w:rPr>
              <w:tab/>
            </w:r>
            <w:r>
              <w:rPr>
                <w:noProof/>
                <w:webHidden/>
              </w:rPr>
              <w:fldChar w:fldCharType="begin"/>
            </w:r>
            <w:r>
              <w:rPr>
                <w:noProof/>
                <w:webHidden/>
              </w:rPr>
              <w:instrText xml:space="preserve"> PAGEREF _Toc233286940 \h </w:instrText>
            </w:r>
            <w:r>
              <w:rPr>
                <w:noProof/>
                <w:webHidden/>
              </w:rPr>
            </w:r>
            <w:r>
              <w:rPr>
                <w:noProof/>
                <w:webHidden/>
              </w:rPr>
              <w:fldChar w:fldCharType="separate"/>
            </w:r>
            <w:r>
              <w:rPr>
                <w:noProof/>
                <w:webHidden/>
              </w:rPr>
              <w:t>5</w:t>
            </w:r>
            <w:r>
              <w:rPr>
                <w:noProof/>
                <w:webHidden/>
              </w:rPr>
              <w:fldChar w:fldCharType="end"/>
            </w:r>
          </w:hyperlink>
        </w:p>
        <w:p w14:paraId="5D654734" w14:textId="32A37F5E"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41" w:history="1">
            <w:r w:rsidRPr="00D90E10">
              <w:rPr>
                <w:rStyle w:val="Hyperlink"/>
                <w:noProof/>
              </w:rPr>
              <w:t>2.3 Decision Trees and the Bias-Variance Trade-off</w:t>
            </w:r>
            <w:r>
              <w:rPr>
                <w:noProof/>
                <w:webHidden/>
              </w:rPr>
              <w:tab/>
            </w:r>
            <w:r>
              <w:rPr>
                <w:noProof/>
                <w:webHidden/>
              </w:rPr>
              <w:fldChar w:fldCharType="begin"/>
            </w:r>
            <w:r>
              <w:rPr>
                <w:noProof/>
                <w:webHidden/>
              </w:rPr>
              <w:instrText xml:space="preserve"> PAGEREF _Toc233286941 \h </w:instrText>
            </w:r>
            <w:r>
              <w:rPr>
                <w:noProof/>
                <w:webHidden/>
              </w:rPr>
            </w:r>
            <w:r>
              <w:rPr>
                <w:noProof/>
                <w:webHidden/>
              </w:rPr>
              <w:fldChar w:fldCharType="separate"/>
            </w:r>
            <w:r>
              <w:rPr>
                <w:noProof/>
                <w:webHidden/>
              </w:rPr>
              <w:t>7</w:t>
            </w:r>
            <w:r>
              <w:rPr>
                <w:noProof/>
                <w:webHidden/>
              </w:rPr>
              <w:fldChar w:fldCharType="end"/>
            </w:r>
          </w:hyperlink>
        </w:p>
        <w:p w14:paraId="11697880" w14:textId="2AF36CF5"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42" w:history="1">
            <w:r w:rsidRPr="00D90E10">
              <w:rPr>
                <w:rStyle w:val="Hyperlink"/>
                <w:noProof/>
              </w:rPr>
              <w:t>2.4 Random Forests and Gradient Boosting</w:t>
            </w:r>
            <w:r>
              <w:rPr>
                <w:noProof/>
                <w:webHidden/>
              </w:rPr>
              <w:tab/>
            </w:r>
            <w:r>
              <w:rPr>
                <w:noProof/>
                <w:webHidden/>
              </w:rPr>
              <w:fldChar w:fldCharType="begin"/>
            </w:r>
            <w:r>
              <w:rPr>
                <w:noProof/>
                <w:webHidden/>
              </w:rPr>
              <w:instrText xml:space="preserve"> PAGEREF _Toc233286942 \h </w:instrText>
            </w:r>
            <w:r>
              <w:rPr>
                <w:noProof/>
                <w:webHidden/>
              </w:rPr>
            </w:r>
            <w:r>
              <w:rPr>
                <w:noProof/>
                <w:webHidden/>
              </w:rPr>
              <w:fldChar w:fldCharType="separate"/>
            </w:r>
            <w:r>
              <w:rPr>
                <w:noProof/>
                <w:webHidden/>
              </w:rPr>
              <w:t>8</w:t>
            </w:r>
            <w:r>
              <w:rPr>
                <w:noProof/>
                <w:webHidden/>
              </w:rPr>
              <w:fldChar w:fldCharType="end"/>
            </w:r>
          </w:hyperlink>
        </w:p>
        <w:p w14:paraId="16407B7A" w14:textId="564E66FC"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43" w:history="1">
            <w:r w:rsidRPr="00D90E10">
              <w:rPr>
                <w:rStyle w:val="Hyperlink"/>
                <w:noProof/>
              </w:rPr>
              <w:t>2.5 SVMs, Logistic Regression, and Baselines</w:t>
            </w:r>
            <w:r>
              <w:rPr>
                <w:noProof/>
                <w:webHidden/>
              </w:rPr>
              <w:tab/>
            </w:r>
            <w:r>
              <w:rPr>
                <w:noProof/>
                <w:webHidden/>
              </w:rPr>
              <w:fldChar w:fldCharType="begin"/>
            </w:r>
            <w:r>
              <w:rPr>
                <w:noProof/>
                <w:webHidden/>
              </w:rPr>
              <w:instrText xml:space="preserve"> PAGEREF _Toc233286943 \h </w:instrText>
            </w:r>
            <w:r>
              <w:rPr>
                <w:noProof/>
                <w:webHidden/>
              </w:rPr>
            </w:r>
            <w:r>
              <w:rPr>
                <w:noProof/>
                <w:webHidden/>
              </w:rPr>
              <w:fldChar w:fldCharType="separate"/>
            </w:r>
            <w:r>
              <w:rPr>
                <w:noProof/>
                <w:webHidden/>
              </w:rPr>
              <w:t>11</w:t>
            </w:r>
            <w:r>
              <w:rPr>
                <w:noProof/>
                <w:webHidden/>
              </w:rPr>
              <w:fldChar w:fldCharType="end"/>
            </w:r>
          </w:hyperlink>
        </w:p>
        <w:p w14:paraId="42CDBAE8" w14:textId="3DE26F90"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44" w:history="1">
            <w:r w:rsidRPr="00D90E10">
              <w:rPr>
                <w:rStyle w:val="Hyperlink"/>
                <w:noProof/>
              </w:rPr>
              <w:t>2.6 Explainability and SHAP</w:t>
            </w:r>
            <w:r>
              <w:rPr>
                <w:noProof/>
                <w:webHidden/>
              </w:rPr>
              <w:tab/>
            </w:r>
            <w:r>
              <w:rPr>
                <w:noProof/>
                <w:webHidden/>
              </w:rPr>
              <w:fldChar w:fldCharType="begin"/>
            </w:r>
            <w:r>
              <w:rPr>
                <w:noProof/>
                <w:webHidden/>
              </w:rPr>
              <w:instrText xml:space="preserve"> PAGEREF _Toc233286944 \h </w:instrText>
            </w:r>
            <w:r>
              <w:rPr>
                <w:noProof/>
                <w:webHidden/>
              </w:rPr>
            </w:r>
            <w:r>
              <w:rPr>
                <w:noProof/>
                <w:webHidden/>
              </w:rPr>
              <w:fldChar w:fldCharType="separate"/>
            </w:r>
            <w:r>
              <w:rPr>
                <w:noProof/>
                <w:webHidden/>
              </w:rPr>
              <w:t>11</w:t>
            </w:r>
            <w:r>
              <w:rPr>
                <w:noProof/>
                <w:webHidden/>
              </w:rPr>
              <w:fldChar w:fldCharType="end"/>
            </w:r>
          </w:hyperlink>
        </w:p>
        <w:p w14:paraId="698829F9" w14:textId="23324E8C"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45" w:history="1">
            <w:r w:rsidRPr="00D90E10">
              <w:rPr>
                <w:rStyle w:val="Hyperlink"/>
                <w:noProof/>
              </w:rPr>
              <w:t>2.7 Class Imbalance and Concept Drift</w:t>
            </w:r>
            <w:r>
              <w:rPr>
                <w:noProof/>
                <w:webHidden/>
              </w:rPr>
              <w:tab/>
            </w:r>
            <w:r>
              <w:rPr>
                <w:noProof/>
                <w:webHidden/>
              </w:rPr>
              <w:fldChar w:fldCharType="begin"/>
            </w:r>
            <w:r>
              <w:rPr>
                <w:noProof/>
                <w:webHidden/>
              </w:rPr>
              <w:instrText xml:space="preserve"> PAGEREF _Toc233286945 \h </w:instrText>
            </w:r>
            <w:r>
              <w:rPr>
                <w:noProof/>
                <w:webHidden/>
              </w:rPr>
            </w:r>
            <w:r>
              <w:rPr>
                <w:noProof/>
                <w:webHidden/>
              </w:rPr>
              <w:fldChar w:fldCharType="separate"/>
            </w:r>
            <w:r>
              <w:rPr>
                <w:noProof/>
                <w:webHidden/>
              </w:rPr>
              <w:t>12</w:t>
            </w:r>
            <w:r>
              <w:rPr>
                <w:noProof/>
                <w:webHidden/>
              </w:rPr>
              <w:fldChar w:fldCharType="end"/>
            </w:r>
          </w:hyperlink>
        </w:p>
        <w:p w14:paraId="27BF318A" w14:textId="6E0E4B1C" w:rsidR="0013358B" w:rsidRDefault="0013358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3286946" w:history="1">
            <w:r w:rsidRPr="00D90E10">
              <w:rPr>
                <w:rStyle w:val="Hyperlink"/>
                <w:noProof/>
              </w:rPr>
              <w:t>3. Proposed Workflow Methodology</w:t>
            </w:r>
            <w:r>
              <w:rPr>
                <w:noProof/>
                <w:webHidden/>
              </w:rPr>
              <w:tab/>
            </w:r>
            <w:r>
              <w:rPr>
                <w:noProof/>
                <w:webHidden/>
              </w:rPr>
              <w:fldChar w:fldCharType="begin"/>
            </w:r>
            <w:r>
              <w:rPr>
                <w:noProof/>
                <w:webHidden/>
              </w:rPr>
              <w:instrText xml:space="preserve"> PAGEREF _Toc233286946 \h </w:instrText>
            </w:r>
            <w:r>
              <w:rPr>
                <w:noProof/>
                <w:webHidden/>
              </w:rPr>
            </w:r>
            <w:r>
              <w:rPr>
                <w:noProof/>
                <w:webHidden/>
              </w:rPr>
              <w:fldChar w:fldCharType="separate"/>
            </w:r>
            <w:r>
              <w:rPr>
                <w:noProof/>
                <w:webHidden/>
              </w:rPr>
              <w:t>14</w:t>
            </w:r>
            <w:r>
              <w:rPr>
                <w:noProof/>
                <w:webHidden/>
              </w:rPr>
              <w:fldChar w:fldCharType="end"/>
            </w:r>
          </w:hyperlink>
        </w:p>
        <w:p w14:paraId="6CDC4D2D" w14:textId="684D2DD5"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47" w:history="1">
            <w:r w:rsidRPr="00D90E10">
              <w:rPr>
                <w:rStyle w:val="Hyperlink"/>
                <w:noProof/>
              </w:rPr>
              <w:t>3.1 Data Auditing and EDA</w:t>
            </w:r>
            <w:r>
              <w:rPr>
                <w:noProof/>
                <w:webHidden/>
              </w:rPr>
              <w:tab/>
            </w:r>
            <w:r>
              <w:rPr>
                <w:noProof/>
                <w:webHidden/>
              </w:rPr>
              <w:fldChar w:fldCharType="begin"/>
            </w:r>
            <w:r>
              <w:rPr>
                <w:noProof/>
                <w:webHidden/>
              </w:rPr>
              <w:instrText xml:space="preserve"> PAGEREF _Toc233286947 \h </w:instrText>
            </w:r>
            <w:r>
              <w:rPr>
                <w:noProof/>
                <w:webHidden/>
              </w:rPr>
            </w:r>
            <w:r>
              <w:rPr>
                <w:noProof/>
                <w:webHidden/>
              </w:rPr>
              <w:fldChar w:fldCharType="separate"/>
            </w:r>
            <w:r>
              <w:rPr>
                <w:noProof/>
                <w:webHidden/>
              </w:rPr>
              <w:t>15</w:t>
            </w:r>
            <w:r>
              <w:rPr>
                <w:noProof/>
                <w:webHidden/>
              </w:rPr>
              <w:fldChar w:fldCharType="end"/>
            </w:r>
          </w:hyperlink>
        </w:p>
        <w:p w14:paraId="5A89B394" w14:textId="1284AF37"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48" w:history="1">
            <w:r w:rsidRPr="00D90E10">
              <w:rPr>
                <w:rStyle w:val="Hyperlink"/>
                <w:noProof/>
              </w:rPr>
              <w:t>3.2 Preprocessing</w:t>
            </w:r>
            <w:r>
              <w:rPr>
                <w:noProof/>
                <w:webHidden/>
              </w:rPr>
              <w:tab/>
            </w:r>
            <w:r>
              <w:rPr>
                <w:noProof/>
                <w:webHidden/>
              </w:rPr>
              <w:fldChar w:fldCharType="begin"/>
            </w:r>
            <w:r>
              <w:rPr>
                <w:noProof/>
                <w:webHidden/>
              </w:rPr>
              <w:instrText xml:space="preserve"> PAGEREF _Toc233286948 \h </w:instrText>
            </w:r>
            <w:r>
              <w:rPr>
                <w:noProof/>
                <w:webHidden/>
              </w:rPr>
            </w:r>
            <w:r>
              <w:rPr>
                <w:noProof/>
                <w:webHidden/>
              </w:rPr>
              <w:fldChar w:fldCharType="separate"/>
            </w:r>
            <w:r>
              <w:rPr>
                <w:noProof/>
                <w:webHidden/>
              </w:rPr>
              <w:t>16</w:t>
            </w:r>
            <w:r>
              <w:rPr>
                <w:noProof/>
                <w:webHidden/>
              </w:rPr>
              <w:fldChar w:fldCharType="end"/>
            </w:r>
          </w:hyperlink>
        </w:p>
        <w:p w14:paraId="6FBB14E5" w14:textId="1FEB76A4"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49" w:history="1">
            <w:r w:rsidRPr="00D90E10">
              <w:rPr>
                <w:rStyle w:val="Hyperlink"/>
                <w:noProof/>
              </w:rPr>
              <w:t>3.3 Temporal Feature Engineering</w:t>
            </w:r>
            <w:r>
              <w:rPr>
                <w:noProof/>
                <w:webHidden/>
              </w:rPr>
              <w:tab/>
            </w:r>
            <w:r>
              <w:rPr>
                <w:noProof/>
                <w:webHidden/>
              </w:rPr>
              <w:fldChar w:fldCharType="begin"/>
            </w:r>
            <w:r>
              <w:rPr>
                <w:noProof/>
                <w:webHidden/>
              </w:rPr>
              <w:instrText xml:space="preserve"> PAGEREF _Toc233286949 \h </w:instrText>
            </w:r>
            <w:r>
              <w:rPr>
                <w:noProof/>
                <w:webHidden/>
              </w:rPr>
            </w:r>
            <w:r>
              <w:rPr>
                <w:noProof/>
                <w:webHidden/>
              </w:rPr>
              <w:fldChar w:fldCharType="separate"/>
            </w:r>
            <w:r>
              <w:rPr>
                <w:noProof/>
                <w:webHidden/>
              </w:rPr>
              <w:t>16</w:t>
            </w:r>
            <w:r>
              <w:rPr>
                <w:noProof/>
                <w:webHidden/>
              </w:rPr>
              <w:fldChar w:fldCharType="end"/>
            </w:r>
          </w:hyperlink>
        </w:p>
        <w:p w14:paraId="771D971D" w14:textId="72A53EC9"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50" w:history="1">
            <w:r w:rsidRPr="00D90E10">
              <w:rPr>
                <w:rStyle w:val="Hyperlink"/>
                <w:noProof/>
              </w:rPr>
              <w:t>3.4 Class Imbalance Correction</w:t>
            </w:r>
            <w:r>
              <w:rPr>
                <w:noProof/>
                <w:webHidden/>
              </w:rPr>
              <w:tab/>
            </w:r>
            <w:r>
              <w:rPr>
                <w:noProof/>
                <w:webHidden/>
              </w:rPr>
              <w:fldChar w:fldCharType="begin"/>
            </w:r>
            <w:r>
              <w:rPr>
                <w:noProof/>
                <w:webHidden/>
              </w:rPr>
              <w:instrText xml:space="preserve"> PAGEREF _Toc233286950 \h </w:instrText>
            </w:r>
            <w:r>
              <w:rPr>
                <w:noProof/>
                <w:webHidden/>
              </w:rPr>
            </w:r>
            <w:r>
              <w:rPr>
                <w:noProof/>
                <w:webHidden/>
              </w:rPr>
              <w:fldChar w:fldCharType="separate"/>
            </w:r>
            <w:r>
              <w:rPr>
                <w:noProof/>
                <w:webHidden/>
              </w:rPr>
              <w:t>17</w:t>
            </w:r>
            <w:r>
              <w:rPr>
                <w:noProof/>
                <w:webHidden/>
              </w:rPr>
              <w:fldChar w:fldCharType="end"/>
            </w:r>
          </w:hyperlink>
        </w:p>
        <w:p w14:paraId="453B328A" w14:textId="2470125F"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51" w:history="1">
            <w:r w:rsidRPr="00D90E10">
              <w:rPr>
                <w:rStyle w:val="Hyperlink"/>
                <w:noProof/>
              </w:rPr>
              <w:t>3.5 Training, Cross-Validation, and Hyperparameters</w:t>
            </w:r>
            <w:r>
              <w:rPr>
                <w:noProof/>
                <w:webHidden/>
              </w:rPr>
              <w:tab/>
            </w:r>
            <w:r>
              <w:rPr>
                <w:noProof/>
                <w:webHidden/>
              </w:rPr>
              <w:fldChar w:fldCharType="begin"/>
            </w:r>
            <w:r>
              <w:rPr>
                <w:noProof/>
                <w:webHidden/>
              </w:rPr>
              <w:instrText xml:space="preserve"> PAGEREF _Toc233286951 \h </w:instrText>
            </w:r>
            <w:r>
              <w:rPr>
                <w:noProof/>
                <w:webHidden/>
              </w:rPr>
            </w:r>
            <w:r>
              <w:rPr>
                <w:noProof/>
                <w:webHidden/>
              </w:rPr>
              <w:fldChar w:fldCharType="separate"/>
            </w:r>
            <w:r>
              <w:rPr>
                <w:noProof/>
                <w:webHidden/>
              </w:rPr>
              <w:t>18</w:t>
            </w:r>
            <w:r>
              <w:rPr>
                <w:noProof/>
                <w:webHidden/>
              </w:rPr>
              <w:fldChar w:fldCharType="end"/>
            </w:r>
          </w:hyperlink>
        </w:p>
        <w:p w14:paraId="0B0EAD7B" w14:textId="3C307FE6"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52" w:history="1">
            <w:r w:rsidRPr="00D90E10">
              <w:rPr>
                <w:rStyle w:val="Hyperlink"/>
                <w:noProof/>
              </w:rPr>
              <w:t>3.6 Evaluation and Cost-Sensitive Thresholding</w:t>
            </w:r>
            <w:r>
              <w:rPr>
                <w:noProof/>
                <w:webHidden/>
              </w:rPr>
              <w:tab/>
            </w:r>
            <w:r>
              <w:rPr>
                <w:noProof/>
                <w:webHidden/>
              </w:rPr>
              <w:fldChar w:fldCharType="begin"/>
            </w:r>
            <w:r>
              <w:rPr>
                <w:noProof/>
                <w:webHidden/>
              </w:rPr>
              <w:instrText xml:space="preserve"> PAGEREF _Toc233286952 \h </w:instrText>
            </w:r>
            <w:r>
              <w:rPr>
                <w:noProof/>
                <w:webHidden/>
              </w:rPr>
            </w:r>
            <w:r>
              <w:rPr>
                <w:noProof/>
                <w:webHidden/>
              </w:rPr>
              <w:fldChar w:fldCharType="separate"/>
            </w:r>
            <w:r>
              <w:rPr>
                <w:noProof/>
                <w:webHidden/>
              </w:rPr>
              <w:t>20</w:t>
            </w:r>
            <w:r>
              <w:rPr>
                <w:noProof/>
                <w:webHidden/>
              </w:rPr>
              <w:fldChar w:fldCharType="end"/>
            </w:r>
          </w:hyperlink>
        </w:p>
        <w:p w14:paraId="4D21F6E3" w14:textId="52EC8F91"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53" w:history="1">
            <w:r w:rsidRPr="00D90E10">
              <w:rPr>
                <w:rStyle w:val="Hyperlink"/>
                <w:noProof/>
              </w:rPr>
              <w:t>3.7 Explainability Integration</w:t>
            </w:r>
            <w:r>
              <w:rPr>
                <w:noProof/>
                <w:webHidden/>
              </w:rPr>
              <w:tab/>
            </w:r>
            <w:r>
              <w:rPr>
                <w:noProof/>
                <w:webHidden/>
              </w:rPr>
              <w:fldChar w:fldCharType="begin"/>
            </w:r>
            <w:r>
              <w:rPr>
                <w:noProof/>
                <w:webHidden/>
              </w:rPr>
              <w:instrText xml:space="preserve"> PAGEREF _Toc233286953 \h </w:instrText>
            </w:r>
            <w:r>
              <w:rPr>
                <w:noProof/>
                <w:webHidden/>
              </w:rPr>
            </w:r>
            <w:r>
              <w:rPr>
                <w:noProof/>
                <w:webHidden/>
              </w:rPr>
              <w:fldChar w:fldCharType="separate"/>
            </w:r>
            <w:r>
              <w:rPr>
                <w:noProof/>
                <w:webHidden/>
              </w:rPr>
              <w:t>21</w:t>
            </w:r>
            <w:r>
              <w:rPr>
                <w:noProof/>
                <w:webHidden/>
              </w:rPr>
              <w:fldChar w:fldCharType="end"/>
            </w:r>
          </w:hyperlink>
        </w:p>
        <w:p w14:paraId="2B094CF1" w14:textId="0EE5B75D" w:rsidR="0013358B" w:rsidRDefault="0013358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3286954" w:history="1">
            <w:r w:rsidRPr="00D90E10">
              <w:rPr>
                <w:rStyle w:val="Hyperlink"/>
                <w:noProof/>
              </w:rPr>
              <w:t>4. Discussion and Recommendation</w:t>
            </w:r>
            <w:r>
              <w:rPr>
                <w:noProof/>
                <w:webHidden/>
              </w:rPr>
              <w:tab/>
            </w:r>
            <w:r>
              <w:rPr>
                <w:noProof/>
                <w:webHidden/>
              </w:rPr>
              <w:fldChar w:fldCharType="begin"/>
            </w:r>
            <w:r>
              <w:rPr>
                <w:noProof/>
                <w:webHidden/>
              </w:rPr>
              <w:instrText xml:space="preserve"> PAGEREF _Toc233286954 \h </w:instrText>
            </w:r>
            <w:r>
              <w:rPr>
                <w:noProof/>
                <w:webHidden/>
              </w:rPr>
            </w:r>
            <w:r>
              <w:rPr>
                <w:noProof/>
                <w:webHidden/>
              </w:rPr>
              <w:fldChar w:fldCharType="separate"/>
            </w:r>
            <w:r>
              <w:rPr>
                <w:noProof/>
                <w:webHidden/>
              </w:rPr>
              <w:t>23</w:t>
            </w:r>
            <w:r>
              <w:rPr>
                <w:noProof/>
                <w:webHidden/>
              </w:rPr>
              <w:fldChar w:fldCharType="end"/>
            </w:r>
          </w:hyperlink>
        </w:p>
        <w:p w14:paraId="1ED9714D" w14:textId="3DACA826"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55" w:history="1">
            <w:r w:rsidRPr="00D90E10">
              <w:rPr>
                <w:rStyle w:val="Hyperlink"/>
                <w:noProof/>
              </w:rPr>
              <w:t>4.1 Primary Recommendation: Random Forest with SHAP</w:t>
            </w:r>
            <w:r>
              <w:rPr>
                <w:noProof/>
                <w:webHidden/>
              </w:rPr>
              <w:tab/>
            </w:r>
            <w:r>
              <w:rPr>
                <w:noProof/>
                <w:webHidden/>
              </w:rPr>
              <w:fldChar w:fldCharType="begin"/>
            </w:r>
            <w:r>
              <w:rPr>
                <w:noProof/>
                <w:webHidden/>
              </w:rPr>
              <w:instrText xml:space="preserve"> PAGEREF _Toc233286955 \h </w:instrText>
            </w:r>
            <w:r>
              <w:rPr>
                <w:noProof/>
                <w:webHidden/>
              </w:rPr>
            </w:r>
            <w:r>
              <w:rPr>
                <w:noProof/>
                <w:webHidden/>
              </w:rPr>
              <w:fldChar w:fldCharType="separate"/>
            </w:r>
            <w:r>
              <w:rPr>
                <w:noProof/>
                <w:webHidden/>
              </w:rPr>
              <w:t>23</w:t>
            </w:r>
            <w:r>
              <w:rPr>
                <w:noProof/>
                <w:webHidden/>
              </w:rPr>
              <w:fldChar w:fldCharType="end"/>
            </w:r>
          </w:hyperlink>
        </w:p>
        <w:p w14:paraId="16DC4FD9" w14:textId="6B41D376"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56" w:history="1">
            <w:r w:rsidRPr="00D90E10">
              <w:rPr>
                <w:rStyle w:val="Hyperlink"/>
                <w:noProof/>
              </w:rPr>
              <w:t>4.2 Critical Limitations</w:t>
            </w:r>
            <w:r>
              <w:rPr>
                <w:noProof/>
                <w:webHidden/>
              </w:rPr>
              <w:tab/>
            </w:r>
            <w:r>
              <w:rPr>
                <w:noProof/>
                <w:webHidden/>
              </w:rPr>
              <w:fldChar w:fldCharType="begin"/>
            </w:r>
            <w:r>
              <w:rPr>
                <w:noProof/>
                <w:webHidden/>
              </w:rPr>
              <w:instrText xml:space="preserve"> PAGEREF _Toc233286956 \h </w:instrText>
            </w:r>
            <w:r>
              <w:rPr>
                <w:noProof/>
                <w:webHidden/>
              </w:rPr>
            </w:r>
            <w:r>
              <w:rPr>
                <w:noProof/>
                <w:webHidden/>
              </w:rPr>
              <w:fldChar w:fldCharType="separate"/>
            </w:r>
            <w:r>
              <w:rPr>
                <w:noProof/>
                <w:webHidden/>
              </w:rPr>
              <w:t>24</w:t>
            </w:r>
            <w:r>
              <w:rPr>
                <w:noProof/>
                <w:webHidden/>
              </w:rPr>
              <w:fldChar w:fldCharType="end"/>
            </w:r>
          </w:hyperlink>
        </w:p>
        <w:p w14:paraId="1CEFE624" w14:textId="3B777265"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57" w:history="1">
            <w:r w:rsidRPr="00D90E10">
              <w:rPr>
                <w:rStyle w:val="Hyperlink"/>
                <w:noProof/>
              </w:rPr>
              <w:t>4.3 Alternatives and Decision Boundaries</w:t>
            </w:r>
            <w:r>
              <w:rPr>
                <w:noProof/>
                <w:webHidden/>
              </w:rPr>
              <w:tab/>
            </w:r>
            <w:r>
              <w:rPr>
                <w:noProof/>
                <w:webHidden/>
              </w:rPr>
              <w:fldChar w:fldCharType="begin"/>
            </w:r>
            <w:r>
              <w:rPr>
                <w:noProof/>
                <w:webHidden/>
              </w:rPr>
              <w:instrText xml:space="preserve"> PAGEREF _Toc233286957 \h </w:instrText>
            </w:r>
            <w:r>
              <w:rPr>
                <w:noProof/>
                <w:webHidden/>
              </w:rPr>
            </w:r>
            <w:r>
              <w:rPr>
                <w:noProof/>
                <w:webHidden/>
              </w:rPr>
              <w:fldChar w:fldCharType="separate"/>
            </w:r>
            <w:r>
              <w:rPr>
                <w:noProof/>
                <w:webHidden/>
              </w:rPr>
              <w:t>25</w:t>
            </w:r>
            <w:r>
              <w:rPr>
                <w:noProof/>
                <w:webHidden/>
              </w:rPr>
              <w:fldChar w:fldCharType="end"/>
            </w:r>
          </w:hyperlink>
        </w:p>
        <w:p w14:paraId="3A5CB04C" w14:textId="0A66D86B" w:rsidR="0013358B" w:rsidRDefault="0013358B">
          <w:pPr>
            <w:pStyle w:val="TOC2"/>
            <w:tabs>
              <w:tab w:val="right" w:leader="dot" w:pos="9736"/>
            </w:tabs>
            <w:rPr>
              <w:rFonts w:asciiTheme="minorHAnsi" w:eastAsiaTheme="minorEastAsia" w:hAnsiTheme="minorHAnsi" w:cstheme="minorBidi"/>
              <w:noProof/>
              <w:kern w:val="2"/>
              <w:sz w:val="24"/>
              <w:szCs w:val="24"/>
              <w14:ligatures w14:val="standardContextual"/>
            </w:rPr>
          </w:pPr>
          <w:hyperlink w:anchor="_Toc233286958" w:history="1">
            <w:r w:rsidRPr="00D90E10">
              <w:rPr>
                <w:rStyle w:val="Hyperlink"/>
                <w:noProof/>
              </w:rPr>
              <w:t>4.4 Deployment, Monitoring, and Business Case</w:t>
            </w:r>
            <w:r>
              <w:rPr>
                <w:noProof/>
                <w:webHidden/>
              </w:rPr>
              <w:tab/>
            </w:r>
            <w:r>
              <w:rPr>
                <w:noProof/>
                <w:webHidden/>
              </w:rPr>
              <w:fldChar w:fldCharType="begin"/>
            </w:r>
            <w:r>
              <w:rPr>
                <w:noProof/>
                <w:webHidden/>
              </w:rPr>
              <w:instrText xml:space="preserve"> PAGEREF _Toc233286958 \h </w:instrText>
            </w:r>
            <w:r>
              <w:rPr>
                <w:noProof/>
                <w:webHidden/>
              </w:rPr>
            </w:r>
            <w:r>
              <w:rPr>
                <w:noProof/>
                <w:webHidden/>
              </w:rPr>
              <w:fldChar w:fldCharType="separate"/>
            </w:r>
            <w:r>
              <w:rPr>
                <w:noProof/>
                <w:webHidden/>
              </w:rPr>
              <w:t>27</w:t>
            </w:r>
            <w:r>
              <w:rPr>
                <w:noProof/>
                <w:webHidden/>
              </w:rPr>
              <w:fldChar w:fldCharType="end"/>
            </w:r>
          </w:hyperlink>
        </w:p>
        <w:p w14:paraId="10E41673" w14:textId="777959B6" w:rsidR="0013358B" w:rsidRDefault="0013358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3286959" w:history="1">
            <w:r w:rsidRPr="00D90E10">
              <w:rPr>
                <w:rStyle w:val="Hyperlink"/>
                <w:noProof/>
              </w:rPr>
              <w:t>5. Conclusion</w:t>
            </w:r>
            <w:r>
              <w:rPr>
                <w:noProof/>
                <w:webHidden/>
              </w:rPr>
              <w:tab/>
            </w:r>
            <w:r>
              <w:rPr>
                <w:noProof/>
                <w:webHidden/>
              </w:rPr>
              <w:fldChar w:fldCharType="begin"/>
            </w:r>
            <w:r>
              <w:rPr>
                <w:noProof/>
                <w:webHidden/>
              </w:rPr>
              <w:instrText xml:space="preserve"> PAGEREF _Toc233286959 \h </w:instrText>
            </w:r>
            <w:r>
              <w:rPr>
                <w:noProof/>
                <w:webHidden/>
              </w:rPr>
            </w:r>
            <w:r>
              <w:rPr>
                <w:noProof/>
                <w:webHidden/>
              </w:rPr>
              <w:fldChar w:fldCharType="separate"/>
            </w:r>
            <w:r>
              <w:rPr>
                <w:noProof/>
                <w:webHidden/>
              </w:rPr>
              <w:t>30</w:t>
            </w:r>
            <w:r>
              <w:rPr>
                <w:noProof/>
                <w:webHidden/>
              </w:rPr>
              <w:fldChar w:fldCharType="end"/>
            </w:r>
          </w:hyperlink>
        </w:p>
        <w:p w14:paraId="193DEE28" w14:textId="3B8293EC" w:rsidR="0013358B" w:rsidRDefault="0013358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3286960" w:history="1">
            <w:r w:rsidRPr="00D90E10">
              <w:rPr>
                <w:rStyle w:val="Hyperlink"/>
                <w:noProof/>
              </w:rPr>
              <w:t>References</w:t>
            </w:r>
            <w:r>
              <w:rPr>
                <w:noProof/>
                <w:webHidden/>
              </w:rPr>
              <w:tab/>
            </w:r>
            <w:r>
              <w:rPr>
                <w:noProof/>
                <w:webHidden/>
              </w:rPr>
              <w:fldChar w:fldCharType="begin"/>
            </w:r>
            <w:r>
              <w:rPr>
                <w:noProof/>
                <w:webHidden/>
              </w:rPr>
              <w:instrText xml:space="preserve"> PAGEREF _Toc233286960 \h </w:instrText>
            </w:r>
            <w:r>
              <w:rPr>
                <w:noProof/>
                <w:webHidden/>
              </w:rPr>
            </w:r>
            <w:r>
              <w:rPr>
                <w:noProof/>
                <w:webHidden/>
              </w:rPr>
              <w:fldChar w:fldCharType="separate"/>
            </w:r>
            <w:r>
              <w:rPr>
                <w:noProof/>
                <w:webHidden/>
              </w:rPr>
              <w:t>31</w:t>
            </w:r>
            <w:r>
              <w:rPr>
                <w:noProof/>
                <w:webHidden/>
              </w:rPr>
              <w:fldChar w:fldCharType="end"/>
            </w:r>
          </w:hyperlink>
        </w:p>
        <w:p w14:paraId="77E626BB" w14:textId="6E3F7D34" w:rsidR="0013358B" w:rsidRDefault="0013358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3286961" w:history="1">
            <w:r w:rsidRPr="00D90E10">
              <w:rPr>
                <w:rStyle w:val="Hyperlink"/>
                <w:noProof/>
              </w:rPr>
              <w:t>Appendix A: Summary of Key Literature Reviewed</w:t>
            </w:r>
            <w:r>
              <w:rPr>
                <w:noProof/>
                <w:webHidden/>
              </w:rPr>
              <w:tab/>
            </w:r>
            <w:r>
              <w:rPr>
                <w:noProof/>
                <w:webHidden/>
              </w:rPr>
              <w:fldChar w:fldCharType="begin"/>
            </w:r>
            <w:r>
              <w:rPr>
                <w:noProof/>
                <w:webHidden/>
              </w:rPr>
              <w:instrText xml:space="preserve"> PAGEREF _Toc233286961 \h </w:instrText>
            </w:r>
            <w:r>
              <w:rPr>
                <w:noProof/>
                <w:webHidden/>
              </w:rPr>
            </w:r>
            <w:r>
              <w:rPr>
                <w:noProof/>
                <w:webHidden/>
              </w:rPr>
              <w:fldChar w:fldCharType="separate"/>
            </w:r>
            <w:r>
              <w:rPr>
                <w:noProof/>
                <w:webHidden/>
              </w:rPr>
              <w:t>33</w:t>
            </w:r>
            <w:r>
              <w:rPr>
                <w:noProof/>
                <w:webHidden/>
              </w:rPr>
              <w:fldChar w:fldCharType="end"/>
            </w:r>
          </w:hyperlink>
        </w:p>
        <w:p w14:paraId="5368C899" w14:textId="39FC2D3A" w:rsidR="0013358B" w:rsidRDefault="0013358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3286962" w:history="1">
            <w:r w:rsidRPr="00D90E10">
              <w:rPr>
                <w:rStyle w:val="Hyperlink"/>
                <w:noProof/>
              </w:rPr>
              <w:t>Appendix B: Proposed Seven-Stage Workflow Summary</w:t>
            </w:r>
            <w:r>
              <w:rPr>
                <w:noProof/>
                <w:webHidden/>
              </w:rPr>
              <w:tab/>
            </w:r>
            <w:r>
              <w:rPr>
                <w:noProof/>
                <w:webHidden/>
              </w:rPr>
              <w:fldChar w:fldCharType="begin"/>
            </w:r>
            <w:r>
              <w:rPr>
                <w:noProof/>
                <w:webHidden/>
              </w:rPr>
              <w:instrText xml:space="preserve"> PAGEREF _Toc233286962 \h </w:instrText>
            </w:r>
            <w:r>
              <w:rPr>
                <w:noProof/>
                <w:webHidden/>
              </w:rPr>
            </w:r>
            <w:r>
              <w:rPr>
                <w:noProof/>
                <w:webHidden/>
              </w:rPr>
              <w:fldChar w:fldCharType="separate"/>
            </w:r>
            <w:r>
              <w:rPr>
                <w:noProof/>
                <w:webHidden/>
              </w:rPr>
              <w:t>35</w:t>
            </w:r>
            <w:r>
              <w:rPr>
                <w:noProof/>
                <w:webHidden/>
              </w:rPr>
              <w:fldChar w:fldCharType="end"/>
            </w:r>
          </w:hyperlink>
        </w:p>
        <w:p w14:paraId="75E46860" w14:textId="6BD6D1E4" w:rsidR="0013358B" w:rsidRDefault="0013358B">
          <w:pPr>
            <w:pStyle w:val="TOC1"/>
            <w:tabs>
              <w:tab w:val="right" w:leader="dot" w:pos="9736"/>
            </w:tabs>
            <w:rPr>
              <w:rFonts w:asciiTheme="minorHAnsi" w:eastAsiaTheme="minorEastAsia" w:hAnsiTheme="minorHAnsi" w:cstheme="minorBidi"/>
              <w:noProof/>
              <w:kern w:val="2"/>
              <w:sz w:val="24"/>
              <w:szCs w:val="24"/>
              <w14:ligatures w14:val="standardContextual"/>
            </w:rPr>
          </w:pPr>
          <w:hyperlink w:anchor="_Toc233286963" w:history="1">
            <w:r w:rsidRPr="00D90E10">
              <w:rPr>
                <w:rStyle w:val="Hyperlink"/>
                <w:noProof/>
              </w:rPr>
              <w:t>Appendix C: Recommended Evaluation Threshold Settings</w:t>
            </w:r>
            <w:r>
              <w:rPr>
                <w:noProof/>
                <w:webHidden/>
              </w:rPr>
              <w:tab/>
            </w:r>
            <w:r>
              <w:rPr>
                <w:noProof/>
                <w:webHidden/>
              </w:rPr>
              <w:fldChar w:fldCharType="begin"/>
            </w:r>
            <w:r>
              <w:rPr>
                <w:noProof/>
                <w:webHidden/>
              </w:rPr>
              <w:instrText xml:space="preserve"> PAGEREF _Toc233286963 \h </w:instrText>
            </w:r>
            <w:r>
              <w:rPr>
                <w:noProof/>
                <w:webHidden/>
              </w:rPr>
            </w:r>
            <w:r>
              <w:rPr>
                <w:noProof/>
                <w:webHidden/>
              </w:rPr>
              <w:fldChar w:fldCharType="separate"/>
            </w:r>
            <w:r>
              <w:rPr>
                <w:noProof/>
                <w:webHidden/>
              </w:rPr>
              <w:t>36</w:t>
            </w:r>
            <w:r>
              <w:rPr>
                <w:noProof/>
                <w:webHidden/>
              </w:rPr>
              <w:fldChar w:fldCharType="end"/>
            </w:r>
          </w:hyperlink>
        </w:p>
        <w:p w14:paraId="1F4074F5" w14:textId="56852010" w:rsidR="00AC71AD" w:rsidRDefault="00AC71AD" w:rsidP="001614A2">
          <w:pPr>
            <w:spacing w:line="360" w:lineRule="auto"/>
          </w:pPr>
          <w:r>
            <w:rPr>
              <w:b/>
              <w:bCs/>
            </w:rPr>
            <w:fldChar w:fldCharType="end"/>
          </w:r>
        </w:p>
      </w:sdtContent>
    </w:sdt>
    <w:p w14:paraId="7F57B8D5" w14:textId="77777777" w:rsidR="00A96B97" w:rsidRDefault="00A96B97" w:rsidP="001614A2">
      <w:pPr>
        <w:pageBreakBefore/>
        <w:spacing w:line="360" w:lineRule="auto"/>
      </w:pPr>
    </w:p>
    <w:p w14:paraId="2AD78AD8" w14:textId="110EAD44" w:rsidR="00A96B97" w:rsidRPr="003922F1" w:rsidRDefault="00A64269" w:rsidP="001614A2">
      <w:pPr>
        <w:spacing w:line="360" w:lineRule="auto"/>
      </w:pPr>
      <w:r w:rsidRPr="003922F1">
        <w:rPr>
          <w:b/>
          <w:color w:val="1F3864"/>
          <w:sz w:val="26"/>
        </w:rPr>
        <w:t>List of Figures</w:t>
      </w:r>
    </w:p>
    <w:p w14:paraId="29F6518B" w14:textId="52555ECB" w:rsidR="00A96B97" w:rsidRPr="003922F1" w:rsidRDefault="00A64269" w:rsidP="001614A2">
      <w:pPr>
        <w:spacing w:before="40" w:after="80" w:line="360" w:lineRule="auto"/>
      </w:pPr>
      <w:r w:rsidRPr="003922F1">
        <w:rPr>
          <w:b/>
          <w:color w:val="2E5090"/>
          <w:sz w:val="21"/>
        </w:rPr>
        <w:t>Figure 1</w:t>
      </w:r>
      <w:r w:rsidR="00F75447" w:rsidRPr="003922F1">
        <w:rPr>
          <w:b/>
          <w:color w:val="2E5090"/>
          <w:sz w:val="21"/>
        </w:rPr>
        <w:t xml:space="preserve">: </w:t>
      </w:r>
      <w:r w:rsidRPr="003922F1">
        <w:rPr>
          <w:color w:val="1F1F1F"/>
          <w:sz w:val="21"/>
        </w:rPr>
        <w:t>Algorithm comparison across five deployment-critical dimensions</w:t>
      </w:r>
      <w:r w:rsidR="00F75447" w:rsidRPr="003922F1">
        <w:rPr>
          <w:color w:val="1F1F1F"/>
          <w:sz w:val="21"/>
        </w:rPr>
        <w:t>……………………………</w:t>
      </w:r>
      <w:r w:rsidR="008C0A12" w:rsidRPr="003922F1">
        <w:rPr>
          <w:color w:val="1F1F1F"/>
          <w:sz w:val="21"/>
        </w:rPr>
        <w:t>.....</w:t>
      </w:r>
      <w:r w:rsidR="00B91A1A">
        <w:rPr>
          <w:color w:val="1F1F1F"/>
          <w:sz w:val="21"/>
        </w:rPr>
        <w:t>9</w:t>
      </w:r>
    </w:p>
    <w:p w14:paraId="69A30980" w14:textId="32F671A2" w:rsidR="00A96B97" w:rsidRPr="003922F1" w:rsidRDefault="00A64269" w:rsidP="001614A2">
      <w:pPr>
        <w:spacing w:before="40" w:after="80" w:line="360" w:lineRule="auto"/>
      </w:pPr>
      <w:r w:rsidRPr="003922F1">
        <w:rPr>
          <w:b/>
          <w:color w:val="2E5090"/>
          <w:sz w:val="21"/>
        </w:rPr>
        <w:t>Figure 2</w:t>
      </w:r>
      <w:r w:rsidR="00F75447" w:rsidRPr="003922F1">
        <w:rPr>
          <w:b/>
          <w:color w:val="2E5090"/>
          <w:sz w:val="21"/>
        </w:rPr>
        <w:t xml:space="preserve">: </w:t>
      </w:r>
      <w:r w:rsidRPr="003922F1">
        <w:rPr>
          <w:color w:val="1F1F1F"/>
          <w:sz w:val="21"/>
        </w:rPr>
        <w:t>Proposed seven-stage predictive maintenance pipeline</w:t>
      </w:r>
      <w:r w:rsidR="00F75447" w:rsidRPr="003922F1">
        <w:rPr>
          <w:color w:val="1F1F1F"/>
          <w:sz w:val="21"/>
        </w:rPr>
        <w:t>………………………………………</w:t>
      </w:r>
      <w:r w:rsidR="008C0A12" w:rsidRPr="003922F1">
        <w:rPr>
          <w:color w:val="1F1F1F"/>
          <w:sz w:val="21"/>
        </w:rPr>
        <w:t>…</w:t>
      </w:r>
      <w:r w:rsidR="00FA000E">
        <w:rPr>
          <w:color w:val="1F1F1F"/>
          <w:sz w:val="21"/>
        </w:rPr>
        <w:t>.1</w:t>
      </w:r>
      <w:r w:rsidR="00B91A1A">
        <w:rPr>
          <w:color w:val="1F1F1F"/>
          <w:sz w:val="21"/>
        </w:rPr>
        <w:t>3</w:t>
      </w:r>
    </w:p>
    <w:p w14:paraId="2EB062B2" w14:textId="3DCA4A6A" w:rsidR="00A96B97" w:rsidRPr="003922F1" w:rsidRDefault="00A64269" w:rsidP="001614A2">
      <w:pPr>
        <w:spacing w:before="40" w:after="80" w:line="360" w:lineRule="auto"/>
      </w:pPr>
      <w:r w:rsidRPr="003922F1">
        <w:rPr>
          <w:b/>
          <w:color w:val="2E5090"/>
          <w:sz w:val="21"/>
        </w:rPr>
        <w:t>Figure 3</w:t>
      </w:r>
      <w:r w:rsidR="00F75447" w:rsidRPr="003922F1">
        <w:rPr>
          <w:b/>
          <w:color w:val="2E5090"/>
          <w:sz w:val="21"/>
        </w:rPr>
        <w:t xml:space="preserve">: </w:t>
      </w:r>
      <w:r w:rsidRPr="003922F1">
        <w:rPr>
          <w:color w:val="1F1F1F"/>
          <w:sz w:val="21"/>
        </w:rPr>
        <w:t>Class distribution before and after SMOTE oversampling</w:t>
      </w:r>
      <w:r w:rsidR="00F75447" w:rsidRPr="003922F1">
        <w:rPr>
          <w:color w:val="1F1F1F"/>
          <w:sz w:val="21"/>
        </w:rPr>
        <w:t>……………………………………</w:t>
      </w:r>
      <w:r w:rsidR="008C0A12" w:rsidRPr="003922F1">
        <w:rPr>
          <w:color w:val="1F1F1F"/>
          <w:sz w:val="21"/>
        </w:rPr>
        <w:t>…..</w:t>
      </w:r>
      <w:r w:rsidR="00FA000E">
        <w:rPr>
          <w:color w:val="1F1F1F"/>
          <w:sz w:val="21"/>
        </w:rPr>
        <w:t>1</w:t>
      </w:r>
      <w:r w:rsidR="00D5006E">
        <w:rPr>
          <w:color w:val="1F1F1F"/>
          <w:sz w:val="21"/>
        </w:rPr>
        <w:t>8</w:t>
      </w:r>
    </w:p>
    <w:p w14:paraId="3FC70F6B" w14:textId="12201F66" w:rsidR="00A96B97" w:rsidRPr="003922F1" w:rsidRDefault="00A64269" w:rsidP="001614A2">
      <w:pPr>
        <w:spacing w:before="40" w:after="80" w:line="360" w:lineRule="auto"/>
      </w:pPr>
      <w:r w:rsidRPr="003922F1">
        <w:rPr>
          <w:b/>
          <w:color w:val="2E5090"/>
          <w:sz w:val="21"/>
        </w:rPr>
        <w:t>Figure 4</w:t>
      </w:r>
      <w:r w:rsidR="00F75447" w:rsidRPr="003922F1">
        <w:rPr>
          <w:b/>
          <w:color w:val="2E5090"/>
          <w:sz w:val="21"/>
        </w:rPr>
        <w:t xml:space="preserve">: </w:t>
      </w:r>
      <w:r w:rsidRPr="003922F1">
        <w:rPr>
          <w:color w:val="1F1F1F"/>
          <w:sz w:val="21"/>
        </w:rPr>
        <w:t>ROC curves for all evaluated algorithms</w:t>
      </w:r>
      <w:r w:rsidR="00F75447" w:rsidRPr="003922F1">
        <w:rPr>
          <w:color w:val="1F1F1F"/>
          <w:sz w:val="21"/>
        </w:rPr>
        <w:t>………………………………………………………</w:t>
      </w:r>
      <w:r w:rsidR="008C0A12" w:rsidRPr="003922F1">
        <w:rPr>
          <w:color w:val="1F1F1F"/>
          <w:sz w:val="21"/>
        </w:rPr>
        <w:t>……</w:t>
      </w:r>
      <w:r w:rsidR="00D5006E">
        <w:rPr>
          <w:color w:val="1F1F1F"/>
          <w:sz w:val="21"/>
        </w:rPr>
        <w:t>21</w:t>
      </w:r>
    </w:p>
    <w:p w14:paraId="52A76405" w14:textId="5022EB62" w:rsidR="00A96B97" w:rsidRPr="003922F1" w:rsidRDefault="00A64269" w:rsidP="001614A2">
      <w:pPr>
        <w:spacing w:before="40" w:after="80" w:line="360" w:lineRule="auto"/>
      </w:pPr>
      <w:r w:rsidRPr="003922F1">
        <w:rPr>
          <w:b/>
          <w:color w:val="2E5090"/>
          <w:sz w:val="21"/>
        </w:rPr>
        <w:t>Figure 5</w:t>
      </w:r>
      <w:r w:rsidR="00F75447" w:rsidRPr="003922F1">
        <w:rPr>
          <w:b/>
          <w:color w:val="2E5090"/>
          <w:sz w:val="21"/>
        </w:rPr>
        <w:t>:</w:t>
      </w:r>
      <w:r w:rsidRPr="003922F1">
        <w:rPr>
          <w:b/>
          <w:color w:val="2E5090"/>
          <w:sz w:val="21"/>
        </w:rPr>
        <w:t xml:space="preserve"> </w:t>
      </w:r>
      <w:r w:rsidRPr="003922F1">
        <w:rPr>
          <w:color w:val="1F1F1F"/>
          <w:sz w:val="21"/>
        </w:rPr>
        <w:t>Benchmark performance across four evaluation metrics</w:t>
      </w:r>
      <w:r w:rsidR="00F75447" w:rsidRPr="003922F1">
        <w:rPr>
          <w:color w:val="1F1F1F"/>
          <w:sz w:val="21"/>
        </w:rPr>
        <w:t>………………………………………</w:t>
      </w:r>
      <w:r w:rsidR="008C0A12" w:rsidRPr="003922F1">
        <w:rPr>
          <w:color w:val="1F1F1F"/>
          <w:sz w:val="21"/>
        </w:rPr>
        <w:t>….</w:t>
      </w:r>
      <w:r w:rsidR="00CF428F">
        <w:rPr>
          <w:color w:val="1F1F1F"/>
          <w:sz w:val="21"/>
        </w:rPr>
        <w:t>24</w:t>
      </w:r>
    </w:p>
    <w:p w14:paraId="7AB50016" w14:textId="77777777" w:rsidR="00A96B97" w:rsidRPr="003922F1" w:rsidRDefault="00A96B97" w:rsidP="001614A2">
      <w:pPr>
        <w:spacing w:after="80" w:line="360" w:lineRule="auto"/>
      </w:pPr>
    </w:p>
    <w:p w14:paraId="0CD137E4" w14:textId="77777777" w:rsidR="00A96B97" w:rsidRPr="003922F1" w:rsidRDefault="00A96B97" w:rsidP="001614A2">
      <w:pPr>
        <w:spacing w:after="80" w:line="360" w:lineRule="auto"/>
      </w:pPr>
    </w:p>
    <w:p w14:paraId="5159EEE2" w14:textId="77777777" w:rsidR="00A96B97" w:rsidRPr="003922F1" w:rsidRDefault="00A64269" w:rsidP="001614A2">
      <w:pPr>
        <w:pBdr>
          <w:bottom w:val="single" w:sz="4" w:space="4" w:color="C9973A"/>
        </w:pBdr>
        <w:spacing w:before="280" w:after="160" w:line="360" w:lineRule="auto"/>
      </w:pPr>
      <w:r w:rsidRPr="003922F1">
        <w:rPr>
          <w:b/>
          <w:color w:val="1F3864"/>
          <w:sz w:val="26"/>
        </w:rPr>
        <w:t>List of Tables</w:t>
      </w:r>
    </w:p>
    <w:p w14:paraId="226DE3A4" w14:textId="76B95890" w:rsidR="00A4191A" w:rsidRPr="00A4191A" w:rsidRDefault="00A4191A" w:rsidP="00A4191A">
      <w:pPr>
        <w:spacing w:after="80" w:line="360" w:lineRule="auto"/>
      </w:pPr>
      <w:r w:rsidRPr="0057095F">
        <w:rPr>
          <w:b/>
          <w:bCs/>
          <w:color w:val="002060"/>
        </w:rPr>
        <w:t>Table 1:</w:t>
      </w:r>
      <w:r w:rsidRPr="0057095F">
        <w:rPr>
          <w:color w:val="002060"/>
        </w:rPr>
        <w:t xml:space="preserve"> </w:t>
      </w:r>
      <w:r w:rsidRPr="00A4191A">
        <w:t>Comparison of the three maintenance paradigms across five practical dimensions …</w:t>
      </w:r>
      <w:r w:rsidR="006A02DF">
        <w:t>….</w:t>
      </w:r>
      <w:r w:rsidR="004C781A">
        <w:t>.</w:t>
      </w:r>
      <w:r w:rsidR="006A02DF">
        <w:t>.</w:t>
      </w:r>
      <w:r w:rsidR="004C781A">
        <w:t>.</w:t>
      </w:r>
      <w:r w:rsidR="0043410F">
        <w:t>6</w:t>
      </w:r>
    </w:p>
    <w:p w14:paraId="6CC2E17E" w14:textId="52BA33B9" w:rsidR="00A4191A" w:rsidRPr="00A4191A" w:rsidRDefault="00A4191A" w:rsidP="00A4191A">
      <w:pPr>
        <w:spacing w:after="80" w:line="360" w:lineRule="auto"/>
      </w:pPr>
      <w:r w:rsidRPr="0057095F">
        <w:rPr>
          <w:b/>
          <w:bCs/>
          <w:color w:val="002060"/>
        </w:rPr>
        <w:t>Table 2:</w:t>
      </w:r>
      <w:r w:rsidRPr="0057095F">
        <w:rPr>
          <w:color w:val="002060"/>
        </w:rPr>
        <w:t xml:space="preserve"> </w:t>
      </w:r>
      <w:r w:rsidRPr="00A4191A">
        <w:t xml:space="preserve">Comparison of a high-bias tree, a high-variance tree, and a Random Forest ensemble </w:t>
      </w:r>
      <w:r w:rsidR="006A02DF">
        <w:t>..</w:t>
      </w:r>
      <w:r w:rsidR="004C781A">
        <w:t>.</w:t>
      </w:r>
      <w:r w:rsidR="006A02DF">
        <w:t>.</w:t>
      </w:r>
      <w:r w:rsidR="004C781A">
        <w:t>.</w:t>
      </w:r>
      <w:r w:rsidR="0043410F">
        <w:t>7</w:t>
      </w:r>
    </w:p>
    <w:p w14:paraId="0B519397" w14:textId="389E84DE" w:rsidR="00A4191A" w:rsidRPr="00A4191A" w:rsidRDefault="00A4191A" w:rsidP="00A4191A">
      <w:pPr>
        <w:spacing w:after="80" w:line="360" w:lineRule="auto"/>
      </w:pPr>
      <w:r w:rsidRPr="0057095F">
        <w:rPr>
          <w:b/>
          <w:bCs/>
          <w:color w:val="002060"/>
        </w:rPr>
        <w:t>Table 3:</w:t>
      </w:r>
      <w:r w:rsidRPr="0057095F">
        <w:rPr>
          <w:color w:val="002060"/>
        </w:rPr>
        <w:t xml:space="preserve"> </w:t>
      </w:r>
      <w:r w:rsidRPr="00A4191A">
        <w:t>The four feature families extracted within each sensor time window ……………………</w:t>
      </w:r>
      <w:r w:rsidR="00356CC3">
        <w:t>….</w:t>
      </w:r>
      <w:r w:rsidR="00CF428F">
        <w:t>17</w:t>
      </w:r>
    </w:p>
    <w:p w14:paraId="0BFD718E" w14:textId="62D20822" w:rsidR="00A4191A" w:rsidRPr="00A4191A" w:rsidRDefault="00A4191A" w:rsidP="00A4191A">
      <w:pPr>
        <w:spacing w:after="80" w:line="360" w:lineRule="auto"/>
      </w:pPr>
      <w:r w:rsidRPr="0057095F">
        <w:rPr>
          <w:b/>
          <w:bCs/>
          <w:color w:val="002060"/>
        </w:rPr>
        <w:t xml:space="preserve">Table </w:t>
      </w:r>
      <w:r w:rsidR="0043410F">
        <w:rPr>
          <w:b/>
          <w:bCs/>
          <w:color w:val="002060"/>
        </w:rPr>
        <w:t>4</w:t>
      </w:r>
      <w:r w:rsidRPr="0057095F">
        <w:rPr>
          <w:b/>
          <w:bCs/>
          <w:color w:val="002060"/>
        </w:rPr>
        <w:t>:</w:t>
      </w:r>
      <w:r w:rsidRPr="0057095F">
        <w:rPr>
          <w:color w:val="002060"/>
        </w:rPr>
        <w:t xml:space="preserve"> </w:t>
      </w:r>
      <w:r w:rsidR="00E46DFB" w:rsidRPr="00E46DFB">
        <w:t>Recommended evaluation metrics, with strengths and limitations</w:t>
      </w:r>
      <w:r w:rsidRPr="00A4191A">
        <w:t>……………</w:t>
      </w:r>
      <w:r w:rsidR="000B1158">
        <w:t>……………..</w:t>
      </w:r>
      <w:r w:rsidR="00CF428F">
        <w:t>20</w:t>
      </w:r>
    </w:p>
    <w:p w14:paraId="14FA1EEB" w14:textId="634EECA8" w:rsidR="00A4191A" w:rsidRPr="00A4191A" w:rsidRDefault="00A4191A" w:rsidP="00A4191A">
      <w:pPr>
        <w:spacing w:after="80" w:line="360" w:lineRule="auto"/>
      </w:pPr>
      <w:r w:rsidRPr="0057095F">
        <w:rPr>
          <w:b/>
          <w:bCs/>
          <w:color w:val="002060"/>
        </w:rPr>
        <w:t xml:space="preserve">Table </w:t>
      </w:r>
      <w:r w:rsidR="00E46DFB">
        <w:rPr>
          <w:b/>
          <w:bCs/>
          <w:color w:val="002060"/>
        </w:rPr>
        <w:t>5</w:t>
      </w:r>
      <w:r w:rsidRPr="0057095F">
        <w:rPr>
          <w:b/>
          <w:bCs/>
          <w:color w:val="002060"/>
        </w:rPr>
        <w:t>:</w:t>
      </w:r>
      <w:r w:rsidRPr="0057095F">
        <w:rPr>
          <w:color w:val="002060"/>
        </w:rPr>
        <w:t xml:space="preserve"> </w:t>
      </w:r>
      <w:r w:rsidR="000B1158" w:rsidRPr="000B1158">
        <w:t>Comparative assessment of five algorithms across six dimensions</w:t>
      </w:r>
      <w:r w:rsidRPr="000B1158">
        <w:t xml:space="preserve"> </w:t>
      </w:r>
      <w:r w:rsidRPr="00A4191A">
        <w:t>……………………</w:t>
      </w:r>
      <w:r w:rsidR="000B1158">
        <w:t>…..</w:t>
      </w:r>
      <w:r w:rsidR="00CF428F">
        <w:t>23</w:t>
      </w:r>
    </w:p>
    <w:p w14:paraId="5A80E5DF" w14:textId="2829D332" w:rsidR="00A4191A" w:rsidRPr="00A4191A" w:rsidRDefault="00A4191A" w:rsidP="00A4191A">
      <w:pPr>
        <w:spacing w:after="80" w:line="360" w:lineRule="auto"/>
      </w:pPr>
      <w:r w:rsidRPr="0057095F">
        <w:rPr>
          <w:b/>
          <w:bCs/>
          <w:color w:val="002060"/>
        </w:rPr>
        <w:t xml:space="preserve">Table </w:t>
      </w:r>
      <w:r w:rsidR="004C781A">
        <w:rPr>
          <w:b/>
          <w:bCs/>
          <w:color w:val="002060"/>
        </w:rPr>
        <w:t>6</w:t>
      </w:r>
      <w:r w:rsidRPr="0057095F">
        <w:rPr>
          <w:b/>
          <w:bCs/>
          <w:color w:val="002060"/>
        </w:rPr>
        <w:t>:</w:t>
      </w:r>
      <w:r w:rsidRPr="0057095F">
        <w:rPr>
          <w:color w:val="002060"/>
        </w:rPr>
        <w:t xml:space="preserve"> </w:t>
      </w:r>
      <w:r w:rsidR="009E1CBD" w:rsidRPr="009E1CBD">
        <w:t>Evidence-based algorithm decision framework for five deployment scenarios</w:t>
      </w:r>
      <w:r w:rsidRPr="00A4191A">
        <w:t>…………</w:t>
      </w:r>
      <w:r w:rsidR="009E1CBD">
        <w:t>….</w:t>
      </w:r>
      <w:r w:rsidR="00CF428F">
        <w:t>26</w:t>
      </w:r>
    </w:p>
    <w:p w14:paraId="6BE6D418" w14:textId="50E1CBCC" w:rsidR="00A44465" w:rsidRPr="00A44465" w:rsidRDefault="00A44465" w:rsidP="00A44465">
      <w:pPr>
        <w:spacing w:after="80" w:line="360" w:lineRule="auto"/>
      </w:pPr>
      <w:r w:rsidRPr="00A44465">
        <w:rPr>
          <w:b/>
          <w:bCs/>
          <w:color w:val="002060"/>
        </w:rPr>
        <w:t>Table 7:</w:t>
      </w:r>
      <w:r w:rsidRPr="00A44465">
        <w:t xml:space="preserve"> Proposed deployment architecture</w:t>
      </w:r>
      <w:r w:rsidR="00351523">
        <w:t xml:space="preserve"> -</w:t>
      </w:r>
      <w:r w:rsidRPr="00A44465">
        <w:t xml:space="preserve"> nine components from sensor ingestion through to automated retraining …………………………………………………………………</w:t>
      </w:r>
      <w:r>
        <w:t>……………………..</w:t>
      </w:r>
      <w:r w:rsidR="005C0250">
        <w:t>27</w:t>
      </w:r>
    </w:p>
    <w:p w14:paraId="11637E47" w14:textId="1C2D8947" w:rsidR="00A44465" w:rsidRPr="00A44465" w:rsidRDefault="00A44465" w:rsidP="00A44465">
      <w:pPr>
        <w:spacing w:after="80" w:line="360" w:lineRule="auto"/>
      </w:pPr>
      <w:r w:rsidRPr="00351523">
        <w:rPr>
          <w:b/>
          <w:bCs/>
          <w:color w:val="002060"/>
        </w:rPr>
        <w:t>Table 8:</w:t>
      </w:r>
      <w:r w:rsidRPr="00A44465">
        <w:t xml:space="preserve"> Illustrative ROI summary for the proposed PdM implementation ………………………</w:t>
      </w:r>
      <w:r>
        <w:t>…...</w:t>
      </w:r>
      <w:r w:rsidR="005C0250">
        <w:t>28</w:t>
      </w:r>
    </w:p>
    <w:p w14:paraId="30F03074" w14:textId="72340D9C" w:rsidR="00A44465" w:rsidRPr="00A44465" w:rsidRDefault="00A44465" w:rsidP="00A44465">
      <w:pPr>
        <w:spacing w:after="80" w:line="360" w:lineRule="auto"/>
      </w:pPr>
    </w:p>
    <w:p w14:paraId="17D7A487" w14:textId="77777777" w:rsidR="00A96B97" w:rsidRDefault="00A96B97" w:rsidP="001614A2">
      <w:pPr>
        <w:spacing w:after="80" w:line="360" w:lineRule="auto"/>
      </w:pPr>
    </w:p>
    <w:p w14:paraId="2661550A" w14:textId="77777777" w:rsidR="00AC71AD" w:rsidRDefault="00AC71AD" w:rsidP="001614A2">
      <w:pPr>
        <w:spacing w:line="360" w:lineRule="auto"/>
        <w:rPr>
          <w:b/>
          <w:bCs/>
          <w:color w:val="1F3864"/>
          <w:sz w:val="26"/>
          <w:szCs w:val="26"/>
        </w:rPr>
      </w:pPr>
      <w:r>
        <w:br w:type="page"/>
      </w:r>
    </w:p>
    <w:p w14:paraId="4086B7D0" w14:textId="77777777" w:rsidR="00AC71AD" w:rsidRDefault="00AC71AD" w:rsidP="001614A2">
      <w:pPr>
        <w:spacing w:after="100" w:line="360" w:lineRule="auto"/>
        <w:jc w:val="center"/>
      </w:pPr>
      <w:r>
        <w:rPr>
          <w:b/>
          <w:bCs/>
          <w:color w:val="1F3864"/>
          <w:sz w:val="40"/>
          <w:szCs w:val="40"/>
        </w:rPr>
        <w:lastRenderedPageBreak/>
        <w:t>Predictive Maintenance Using</w:t>
      </w:r>
    </w:p>
    <w:p w14:paraId="0B4675FD" w14:textId="77777777" w:rsidR="00AC71AD" w:rsidRDefault="00AC71AD" w:rsidP="001614A2">
      <w:pPr>
        <w:spacing w:after="300" w:line="360" w:lineRule="auto"/>
        <w:jc w:val="center"/>
      </w:pPr>
      <w:r>
        <w:rPr>
          <w:b/>
          <w:bCs/>
          <w:color w:val="2E5090"/>
          <w:sz w:val="40"/>
          <w:szCs w:val="40"/>
        </w:rPr>
        <w:t>Traditional Machine Learning</w:t>
      </w:r>
    </w:p>
    <w:p w14:paraId="29293311" w14:textId="77777777" w:rsidR="00AC71AD" w:rsidRDefault="00AC71AD" w:rsidP="001614A2">
      <w:pPr>
        <w:pBdr>
          <w:top w:val="single" w:sz="8" w:space="4" w:color="C9973A"/>
          <w:bottom w:val="single" w:sz="8" w:space="4" w:color="C9973A"/>
        </w:pBdr>
        <w:spacing w:after="80" w:line="360" w:lineRule="auto"/>
        <w:jc w:val="center"/>
      </w:pPr>
      <w:r>
        <w:rPr>
          <w:i/>
          <w:iCs/>
          <w:color w:val="4A7BBD"/>
          <w:sz w:val="24"/>
          <w:szCs w:val="24"/>
        </w:rPr>
        <w:t>A Practical Algorithm Recommendation and ML Workflow for Equipment Failure Prediction</w:t>
      </w:r>
    </w:p>
    <w:p w14:paraId="4630284C" w14:textId="77777777" w:rsidR="00AC71AD" w:rsidRDefault="00AC71AD" w:rsidP="001614A2">
      <w:pPr>
        <w:spacing w:line="360" w:lineRule="auto"/>
      </w:pPr>
    </w:p>
    <w:p w14:paraId="46CF7AA7" w14:textId="7D3A71E4" w:rsidR="00A96B97" w:rsidRDefault="00A64269" w:rsidP="001614A2">
      <w:pPr>
        <w:pStyle w:val="Heading1"/>
        <w:spacing w:line="360" w:lineRule="auto"/>
      </w:pPr>
      <w:bookmarkStart w:id="1" w:name="_Toc233286937"/>
      <w:r>
        <w:t>1. Introduction</w:t>
      </w:r>
      <w:bookmarkEnd w:id="1"/>
    </w:p>
    <w:p w14:paraId="16484334" w14:textId="00EDB333" w:rsidR="00520CFB" w:rsidRDefault="00520CFB" w:rsidP="009A795E">
      <w:pPr>
        <w:spacing w:line="360" w:lineRule="auto"/>
        <w:jc w:val="both"/>
      </w:pPr>
      <w:r w:rsidRPr="00DE60F8">
        <w:t>Manufacturers are under pressure to keep machines running, cut costs, and stay safe, all while working with ageing equipment in a competitive market. When something breaks unexpectedly, the bill for fixing it runs three to ten times higher than catching the problem early [1]. Fixed maintenance schedules and waiting for things to break both fall short, because no two machines wear out the same way [5]. Condition-Based Monitoring and Predictive Maintenance act on what the data is telling you instead</w:t>
      </w:r>
      <w:r w:rsidR="00C64BB1" w:rsidRPr="00DE60F8">
        <w:t xml:space="preserve">, </w:t>
      </w:r>
      <w:r w:rsidRPr="00DE60F8">
        <w:t>made possible by cheaper sensors and growing IIoT infrastructure generating rich streams of health data [2][4]. Machine learning can pick out warning signs in this data that a person would likely miss [3], though real challenges remain: failures are rare events that throw off many models [6]; the sensor-failure relationship can shift over time [29]; engineers need to trust what the model tells them [27]; and predictions need to translate into financially sensible decisions [4].</w:t>
      </w:r>
    </w:p>
    <w:p w14:paraId="09A5CFC3" w14:textId="77777777" w:rsidR="00DE60F8" w:rsidRPr="00DE60F8" w:rsidRDefault="00DE60F8" w:rsidP="009A795E">
      <w:pPr>
        <w:spacing w:line="360" w:lineRule="auto"/>
        <w:jc w:val="both"/>
      </w:pPr>
    </w:p>
    <w:p w14:paraId="6D46CD32" w14:textId="7D6B3F9B" w:rsidR="00520CFB" w:rsidRPr="00DE60F8" w:rsidRDefault="00520CFB" w:rsidP="009A795E">
      <w:pPr>
        <w:spacing w:line="360" w:lineRule="auto"/>
        <w:jc w:val="both"/>
      </w:pPr>
      <w:r w:rsidRPr="00DE60F8">
        <w:t>The company behind this report collects continuous sensor readings from its machinery</w:t>
      </w:r>
      <w:r w:rsidR="00C64BB1" w:rsidRPr="00DE60F8">
        <w:t xml:space="preserve">, </w:t>
      </w:r>
      <w:r w:rsidRPr="00DE60F8">
        <w:t>specifically temperature, vibration, and pressure streams</w:t>
      </w:r>
      <w:r w:rsidR="00AC7D08">
        <w:t>. Still, it operates</w:t>
      </w:r>
      <w:r w:rsidRPr="00DE60F8">
        <w:t xml:space="preserve"> under limited computing resources, ruling out deep learning architectures that demand GPU acceleration and large memory footprints. This is far from unusual: most small and medium manufacturers run predictive maintenance on standard servers rather than specialist hardware [14]. The focus here is squarely on traditional machine learning, proven to perform competitively on tabular sensor data at tractable computational cost.</w:t>
      </w:r>
    </w:p>
    <w:p w14:paraId="31C27650" w14:textId="77777777" w:rsidR="009A3145" w:rsidRPr="00DE60F8" w:rsidRDefault="009A3145" w:rsidP="009A795E">
      <w:pPr>
        <w:spacing w:line="360" w:lineRule="auto"/>
        <w:jc w:val="both"/>
      </w:pPr>
    </w:p>
    <w:p w14:paraId="0597508C" w14:textId="255B276A" w:rsidR="0062361E" w:rsidRPr="00DE60F8" w:rsidRDefault="009A3145" w:rsidP="009A795E">
      <w:pPr>
        <w:spacing w:line="360" w:lineRule="auto"/>
        <w:jc w:val="both"/>
      </w:pPr>
      <w:r w:rsidRPr="00DE60F8">
        <w:t>Three criteria drive the algorithm selection throughout this report</w:t>
      </w:r>
      <w:r w:rsidR="00172777" w:rsidRPr="00DE60F8">
        <w:t>,</w:t>
      </w:r>
      <w:r w:rsidRPr="00DE60F8">
        <w:t xml:space="preserve"> and each maps directly to the company’s stated constraints. First, predictive accuracy must be sufficient to detect failures before they cause unplanned downtime, while managing the severe class imbalance that characterises equipment failure data [6]. Second, interpretability is not optional: the company’s maintenance engineers must physically inspect the correct component following an alert, which means the model must be able to explain, at the instance level, which sensor readings triggered each prediction</w:t>
      </w:r>
      <w:r w:rsidR="00172777" w:rsidRPr="00DE60F8">
        <w:t xml:space="preserve">, </w:t>
      </w:r>
      <w:r w:rsidRPr="00DE60F8">
        <w:t xml:space="preserve">a requirement that directly rules out black-box approaches and shapes the SHAP recommendation in Section 4.1 [27]. Third, computational cost must remain within the bounds of standard CPU-based infrastructure, which rules out gradient boosting variants that cannot be parallelised at the required </w:t>
      </w:r>
      <w:r w:rsidRPr="00DE60F8">
        <w:lastRenderedPageBreak/>
        <w:t xml:space="preserve">scale [13]. These three requirements are held together throughout the </w:t>
      </w:r>
      <w:r w:rsidR="005D41C0" w:rsidRPr="00DE60F8">
        <w:t>review,</w:t>
      </w:r>
      <w:r w:rsidRPr="00DE60F8">
        <w:t xml:space="preserve"> and the recommendation is assessed against all three simultaneously, not on accuracy alone.</w:t>
      </w:r>
    </w:p>
    <w:p w14:paraId="1B2A9D20" w14:textId="77777777" w:rsidR="009A3145" w:rsidRPr="00520CFB" w:rsidRDefault="009A3145" w:rsidP="009A795E">
      <w:pPr>
        <w:spacing w:line="360" w:lineRule="auto"/>
        <w:jc w:val="both"/>
      </w:pPr>
    </w:p>
    <w:p w14:paraId="503AF6EB" w14:textId="3A1C9D4B" w:rsidR="00520CFB" w:rsidRPr="00520CFB" w:rsidRDefault="00520CFB" w:rsidP="009A795E">
      <w:pPr>
        <w:spacing w:line="360" w:lineRule="auto"/>
        <w:jc w:val="both"/>
      </w:pPr>
      <w:r w:rsidRPr="00520CFB">
        <w:t xml:space="preserve">The three sensor types collected each encode different aspects of mechanical degradation. Temperature streams capture progressive thermal build-up associated with bearing wear and lubrication failure; vibration streams encode the impulsive signatures of mechanical faults such as bearing spalling and gear damage; and pressure streams reflect fluid and pneumatic system health. The feature engineering workflow in Section 3.3 is designed specifically around these three modalities and </w:t>
      </w:r>
      <w:r w:rsidR="00DE60F8">
        <w:t xml:space="preserve">the coupled behaviour of their behaviour during degradation that </w:t>
      </w:r>
      <w:r w:rsidRPr="00520CFB">
        <w:t>carries information that no single stream would reveal alone [4][5].</w:t>
      </w:r>
    </w:p>
    <w:p w14:paraId="276D8935" w14:textId="31E0785A" w:rsidR="00AC71AD" w:rsidRDefault="00520CFB" w:rsidP="00BD38F0">
      <w:pPr>
        <w:spacing w:line="360" w:lineRule="auto"/>
        <w:jc w:val="both"/>
        <w:rPr>
          <w:b/>
          <w:bCs/>
          <w:color w:val="1F3864"/>
          <w:sz w:val="26"/>
          <w:szCs w:val="26"/>
        </w:rPr>
      </w:pPr>
      <w:r w:rsidRPr="00520CFB">
        <w:t xml:space="preserve">Section 2 reviews the research on the main algorithm families and their open challenges [14][22][23]. Section 3 lays out the proposed seven-stage workflow [18]. Section 4 makes the case for a specific algorithm, is honest about its limitations, weighs up alternatives, and sketches a deployment plan [9][29]. Section 5 closes with implications for the company and field. </w:t>
      </w:r>
      <w:r w:rsidR="00AC71AD">
        <w:br w:type="page"/>
      </w:r>
    </w:p>
    <w:p w14:paraId="40690A89" w14:textId="5F3FA36E" w:rsidR="00A96B97" w:rsidRDefault="00A64269" w:rsidP="001614A2">
      <w:pPr>
        <w:pStyle w:val="Heading1"/>
        <w:spacing w:line="360" w:lineRule="auto"/>
      </w:pPr>
      <w:bookmarkStart w:id="2" w:name="_Toc233286938"/>
      <w:r>
        <w:lastRenderedPageBreak/>
        <w:t>2. Literature Review</w:t>
      </w:r>
      <w:bookmarkEnd w:id="2"/>
    </w:p>
    <w:p w14:paraId="2A2F3263" w14:textId="4A462B9D" w:rsidR="005A7C30" w:rsidRPr="005A7C30" w:rsidRDefault="007B6F43" w:rsidP="001614A2">
      <w:pPr>
        <w:spacing w:after="130" w:line="360" w:lineRule="auto"/>
        <w:jc w:val="both"/>
      </w:pPr>
      <w:r w:rsidRPr="007B6F43">
        <w:t>This section does more than summarise what each source found</w:t>
      </w:r>
      <w:r w:rsidR="006D12A6">
        <w:t xml:space="preserve">; </w:t>
      </w:r>
      <w:r w:rsidRPr="007B6F43">
        <w:t>it puts them in conversation with each other, asking where they agree, where they quietly contradict, and where a finding that looks solid alone starts to look shakier against the wider evidence. The review moves from defining the problem, through the main algorithm families, to three recurring challenges</w:t>
      </w:r>
      <w:r w:rsidR="006D12A6">
        <w:t xml:space="preserve">, </w:t>
      </w:r>
      <w:r w:rsidRPr="007B6F43">
        <w:t>explainability, class imbalance, and concept drift</w:t>
      </w:r>
      <w:r w:rsidR="006D12A6">
        <w:t>,</w:t>
      </w:r>
      <w:r w:rsidRPr="007B6F43">
        <w:t xml:space="preserve"> that together reveal a blind spot the field has not fully acknowledged.</w:t>
      </w:r>
      <w:r w:rsidR="006D12A6">
        <w:t xml:space="preserve"> </w:t>
      </w:r>
      <w:r w:rsidR="00503C03" w:rsidRPr="00503C03">
        <w:t>A structured summary of all 32 sources reviewed, organised by thematic focus, is provided in Appendix A</w:t>
      </w:r>
      <w:r w:rsidR="00503C03">
        <w:t>.</w:t>
      </w:r>
    </w:p>
    <w:p w14:paraId="7FB90703" w14:textId="5C892569" w:rsidR="00A96B97" w:rsidRDefault="00A64269" w:rsidP="001614A2">
      <w:pPr>
        <w:pStyle w:val="Heading2"/>
        <w:spacing w:line="360" w:lineRule="auto"/>
      </w:pPr>
      <w:bookmarkStart w:id="3" w:name="_Toc233286939"/>
      <w:r>
        <w:t>2.1 The PdM Classification Task</w:t>
      </w:r>
      <w:bookmarkEnd w:id="3"/>
    </w:p>
    <w:p w14:paraId="23D91DB2" w14:textId="1514637F" w:rsidR="008C42B7" w:rsidRPr="008C42B7" w:rsidRDefault="008C42B7" w:rsidP="008C42B7">
      <w:pPr>
        <w:spacing w:line="360" w:lineRule="auto"/>
        <w:jc w:val="both"/>
      </w:pPr>
      <w:r w:rsidRPr="008C42B7">
        <w:t>Predictive Maintenance is essentially a supervised binary classification problem [7]: given a window of sensor readings, will this equipment fail within the next T hours? The model learns from historical data already labelled as failure or normal, picking up the patterns that distinguish the two [5][8]. Unsupervised anomaly detection is an alternative when no failure labels exist, but it only learns what normal looks like and flags deviations</w:t>
      </w:r>
      <w:r>
        <w:t>,</w:t>
      </w:r>
      <w:r w:rsidRPr="008C42B7">
        <w:t xml:space="preserve"> which tends to mean more false alarms and missed failures that do not look obviously unusual [7]. Since this company's maintenance logs can be matched to sensor readings to produce proper failure labels, supervised classification is the stronger and more direct route [14].</w:t>
      </w:r>
    </w:p>
    <w:p w14:paraId="5B550889" w14:textId="758955A4" w:rsidR="008C42B7" w:rsidRPr="008C42B7" w:rsidRDefault="008C42B7" w:rsidP="008C42B7">
      <w:pPr>
        <w:spacing w:line="360" w:lineRule="auto"/>
        <w:jc w:val="both"/>
      </w:pPr>
      <w:r w:rsidRPr="008C42B7">
        <w:t>One distinction worth being precise about</w:t>
      </w:r>
      <w:r>
        <w:t xml:space="preserve">, </w:t>
      </w:r>
      <w:r w:rsidRPr="008C42B7">
        <w:t>and one that applied studies frequently blur — is the difference between binary classification and Remaining Useful Life (RUL) estimation [22]. They are not interchangeable. A binary classifier that gets it wrong costs a missed maintenance window; an RUL estimator that gets it wrong gives an engineer false confidence about exactly how much time they have left. RUL also needs far more run-to-failure data than this company currently holds [5], making binary classification the practical choice at this stage. The deeper problem with conflating the two is that studies comparing algorithms across both tasks may be reporting an accuracy gap that reflects incompatible label structures rather than genuine algorithmic superiority</w:t>
      </w:r>
      <w:r>
        <w:t xml:space="preserve">, </w:t>
      </w:r>
      <w:r w:rsidRPr="008C42B7">
        <w:t>a possibility that is rarely interrogated in the literature, and one that is taken seriously here by keeping the two tasks strictly separate throughout [22].</w:t>
      </w:r>
    </w:p>
    <w:p w14:paraId="3A98A563" w14:textId="77777777" w:rsidR="00526907" w:rsidRDefault="00526907" w:rsidP="00526907"/>
    <w:p w14:paraId="09CED160" w14:textId="0AD22315" w:rsidR="00A96B97" w:rsidRDefault="00A64269" w:rsidP="001614A2">
      <w:pPr>
        <w:pStyle w:val="Heading2"/>
        <w:spacing w:line="360" w:lineRule="auto"/>
      </w:pPr>
      <w:bookmarkStart w:id="4" w:name="_Toc233286940"/>
      <w:r>
        <w:t>2.2 Industrial Significance and Research Landscape</w:t>
      </w:r>
      <w:bookmarkEnd w:id="4"/>
    </w:p>
    <w:p w14:paraId="1BAE03F3" w14:textId="22335533" w:rsidR="002270C8" w:rsidRPr="002270C8" w:rsidRDefault="002270C8" w:rsidP="002270C8">
      <w:pPr>
        <w:spacing w:after="140" w:line="360" w:lineRule="auto"/>
        <w:jc w:val="both"/>
      </w:pPr>
      <w:r w:rsidRPr="002270C8">
        <w:t>Predictive Maintenance has attracted serious industrial and academic attention, but the evidence behind it deserves a closer look than it usually gets. Mobley's [1] oft-cited claim that reactive maintenance costs three to ten times more than proactive alternatives has circulated largely unchallenged for two decades. McKinsey [20] broadly corroborates it, and Theissler et al. [32] document consistent cost and downtime reductions across real deployments. On the surface this looks like convergent validation. But convergence across sources that share an incentive to tell the same story is weaker evidence than it first appears</w:t>
      </w:r>
      <w:r>
        <w:t>,</w:t>
      </w:r>
      <w:r w:rsidRPr="002270C8">
        <w:t xml:space="preserve"> Mobley's figure is an industry estimate, </w:t>
      </w:r>
      <w:r w:rsidRPr="002270C8">
        <w:lastRenderedPageBreak/>
        <w:t>McKinsey's is consultancy output, and none of the three seriously entertains the possibility that reported savings partly reflect selection bias: sites willing to invest in large PdM rollouts were probably already better-resourced than the manufacturing average. That gap is worth naming rather than glossing over.</w:t>
      </w:r>
    </w:p>
    <w:p w14:paraId="2B8DA0DF" w14:textId="143B8891" w:rsidR="00E14F25" w:rsidRDefault="002270C8" w:rsidP="001614A2">
      <w:pPr>
        <w:spacing w:after="140" w:line="360" w:lineRule="auto"/>
        <w:jc w:val="both"/>
      </w:pPr>
      <w:r w:rsidRPr="002270C8">
        <w:t>The picture gets more complicated when you look at the algorithm evidence. Carvalho et al. [14], reviewing 71 studies, found a clear shift toward ensemble methods, attributed to their ability to handle noisy industrial data. Read in isolation</w:t>
      </w:r>
      <w:r>
        <w:t>,</w:t>
      </w:r>
      <w:r w:rsidRPr="002270C8">
        <w:t xml:space="preserve"> that looks like </w:t>
      </w:r>
      <w:r>
        <w:t xml:space="preserve">a </w:t>
      </w:r>
      <w:r w:rsidRPr="002270C8">
        <w:t>settled consensus. Read alongside Zhang et al. [23] and Javed et al. [22], it starts to look shakier. Zhang et al. [23] show that the benchmark datasets underpinning much of Carvalho's review</w:t>
      </w:r>
      <w:r>
        <w:t>,</w:t>
      </w:r>
      <w:r w:rsidRPr="002270C8">
        <w:t xml:space="preserve"> UCI AI4I and NASA CMAPSS</w:t>
      </w:r>
      <w:r>
        <w:t>,</w:t>
      </w:r>
      <w:r w:rsidRPr="002270C8">
        <w:t xml:space="preserve"> produce systematically inflated performance figures because their labels are far cleaner than anything found on a real shop floor. The ensemble consensus may therefore be, at least partly, an artefact of which algorithms happen to perform well on artificially clean data. The implication here is that the literature's apparent consensus should be treated as provisionally strong rather than settled, and that any deployment must validate against real operational data before accepting benchmark performance claims at face value</w:t>
      </w:r>
      <w:r>
        <w:t>,</w:t>
      </w:r>
      <w:r w:rsidRPr="002270C8">
        <w:t xml:space="preserve"> a point returned to in Section 2.4.</w:t>
      </w:r>
    </w:p>
    <w:p w14:paraId="11F51538" w14:textId="0FA15C23" w:rsidR="0021264A" w:rsidRPr="003D42A4" w:rsidRDefault="003D42A4" w:rsidP="001614A2">
      <w:pPr>
        <w:spacing w:after="140" w:line="360" w:lineRule="auto"/>
        <w:jc w:val="both"/>
        <w:rPr>
          <w:b/>
          <w:bCs/>
        </w:rPr>
      </w:pPr>
      <w:r w:rsidRPr="003D42A4">
        <w:rPr>
          <w:b/>
          <w:bCs/>
        </w:rPr>
        <w:t xml:space="preserve">Table </w:t>
      </w:r>
      <w:r w:rsidR="00D64003">
        <w:rPr>
          <w:b/>
          <w:bCs/>
        </w:rPr>
        <w:t>1</w:t>
      </w:r>
      <w:r w:rsidRPr="003D42A4">
        <w:rPr>
          <w:b/>
          <w:bCs/>
        </w:rPr>
        <w:t>: Comparison of the three maintenance paradigms across five practical dimensions</w:t>
      </w:r>
    </w:p>
    <w:p w14:paraId="7A85FCC1" w14:textId="5AB83792" w:rsidR="00CE06B4" w:rsidRDefault="0021264A" w:rsidP="001614A2">
      <w:pPr>
        <w:spacing w:after="140" w:line="360" w:lineRule="auto"/>
        <w:jc w:val="both"/>
      </w:pPr>
      <w:r w:rsidRPr="0021264A">
        <w:rPr>
          <w:noProof/>
          <w:bdr w:val="single" w:sz="12" w:space="0" w:color="auto"/>
        </w:rPr>
        <w:drawing>
          <wp:inline distT="0" distB="0" distL="0" distR="0" wp14:anchorId="11FE229E" wp14:editId="5D82D339">
            <wp:extent cx="6134632" cy="2324301"/>
            <wp:effectExtent l="0" t="0" r="0" b="0"/>
            <wp:docPr id="451679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679778" name=""/>
                    <pic:cNvPicPr/>
                  </pic:nvPicPr>
                  <pic:blipFill>
                    <a:blip r:embed="rId9"/>
                    <a:stretch>
                      <a:fillRect/>
                    </a:stretch>
                  </pic:blipFill>
                  <pic:spPr>
                    <a:xfrm>
                      <a:off x="0" y="0"/>
                      <a:ext cx="6134632" cy="2324301"/>
                    </a:xfrm>
                    <a:prstGeom prst="rect">
                      <a:avLst/>
                    </a:prstGeom>
                  </pic:spPr>
                </pic:pic>
              </a:graphicData>
            </a:graphic>
          </wp:inline>
        </w:drawing>
      </w:r>
    </w:p>
    <w:p w14:paraId="23F900FA" w14:textId="53EAC456" w:rsidR="00FC5F6E" w:rsidRPr="00FC5F6E" w:rsidRDefault="00FC5F6E" w:rsidP="00FC5F6E">
      <w:pPr>
        <w:spacing w:line="360" w:lineRule="auto"/>
        <w:jc w:val="both"/>
      </w:pPr>
      <w:r w:rsidRPr="00FC5F6E">
        <w:t>The economic case for Predictive Maintenance follows directly from the trigger mechanism. Reactive maintenance responds to consequences rather than causes; preventive maintenance schedules around the calendar rather than actual condition. The cost differential Mobley [1] identifies is not an empirical surprise</w:t>
      </w:r>
      <w:r>
        <w:t xml:space="preserve">, </w:t>
      </w:r>
      <w:r w:rsidRPr="00FC5F6E">
        <w:t>it is a structural inevitability once the three approaches are placed side by side. The sensor infrastructure and ML capability that Predictive Maintenance requires is precisely what this report addresses.</w:t>
      </w:r>
    </w:p>
    <w:p w14:paraId="22A73709" w14:textId="52057C5B" w:rsidR="00FC5F6E" w:rsidRPr="00FC5F6E" w:rsidRDefault="00FC5F6E" w:rsidP="00FC5F6E">
      <w:pPr>
        <w:spacing w:line="360" w:lineRule="auto"/>
        <w:jc w:val="both"/>
      </w:pPr>
      <w:r w:rsidRPr="00FC5F6E">
        <w:t>Two real deployments illustrate both the promise and the limits of algorithm selection. Caesarendra and Tjahjowidodo [10] deployed Random Forest for bearing fault detection on rotating machinery, exceeding 95% accuracy across multiple fault severity levels and maintaining performance even when sensor readings were intermittently missing</w:t>
      </w:r>
      <w:r>
        <w:t xml:space="preserve">, </w:t>
      </w:r>
      <w:r w:rsidRPr="00FC5F6E">
        <w:t xml:space="preserve">exactly the kind of data-quality problem the preprocessing pipeline in Section 3.2 is designed to handle. Susto et al. [17] offer a useful contrast: </w:t>
      </w:r>
      <w:r w:rsidRPr="00FC5F6E">
        <w:lastRenderedPageBreak/>
        <w:t>logistic regression deployed in semiconductor wafer fabrication, achieving competitive recall in that domain. The difference matters. Semiconductor processes produce near-linear failure signatures that suit logistic regression well; the mechanical degradation curves in rotating machinery are inherently non-linear [5], which is why logistic regression is ruled out for this client's context and kept only as a diagnostic baseline [14].</w:t>
      </w:r>
    </w:p>
    <w:p w14:paraId="54E21010" w14:textId="77777777" w:rsidR="00FC5F6E" w:rsidRDefault="00FC5F6E" w:rsidP="00FC5F6E">
      <w:pPr>
        <w:spacing w:line="360" w:lineRule="auto"/>
        <w:jc w:val="both"/>
      </w:pPr>
    </w:p>
    <w:p w14:paraId="4CD5DA81" w14:textId="0805783A" w:rsidR="00A96B97" w:rsidRDefault="00A64269" w:rsidP="0013358B">
      <w:pPr>
        <w:pStyle w:val="Heading2"/>
      </w:pPr>
      <w:bookmarkStart w:id="5" w:name="_Toc233286941"/>
      <w:r w:rsidRPr="00FC5F6E">
        <w:t xml:space="preserve">2.3 Decision Trees and the Bias-Variance </w:t>
      </w:r>
      <w:r w:rsidR="0052489D" w:rsidRPr="00FC5F6E">
        <w:t>Trade-off</w:t>
      </w:r>
      <w:bookmarkEnd w:id="5"/>
    </w:p>
    <w:p w14:paraId="5BBA853B" w14:textId="77777777" w:rsidR="00817B37" w:rsidRPr="00FC5F6E" w:rsidRDefault="00817B37" w:rsidP="00FC5F6E">
      <w:pPr>
        <w:pStyle w:val="Heading3"/>
        <w:rPr>
          <w:b/>
          <w:bCs/>
          <w:color w:val="2E5090"/>
        </w:rPr>
      </w:pPr>
    </w:p>
    <w:p w14:paraId="432C5F5B" w14:textId="6FE82BE2" w:rsidR="00A96B97" w:rsidRDefault="00B505FB" w:rsidP="001614A2">
      <w:pPr>
        <w:spacing w:after="130" w:line="360" w:lineRule="auto"/>
        <w:jc w:val="both"/>
      </w:pPr>
      <w:r w:rsidRPr="00B505FB">
        <w:t>The core problem with a single tree is the bias-variance trade-off: highly complex trees often fit noise in the training data (high variance), while overly simple trees fail to capture important patterns (high bias) [8]</w:t>
      </w:r>
      <w:r>
        <w:t xml:space="preserve">. </w:t>
      </w:r>
      <w:r w:rsidR="005A7C30" w:rsidRPr="005A7C30">
        <w:t xml:space="preserve">Both ensemble methods recommended here build on decision trees, which classify by repeatedly splitting on whichever threshold most reduces impurity [7][8]. The core problem with a single tree is the bias-variance </w:t>
      </w:r>
      <w:r w:rsidR="0052489D" w:rsidRPr="005A7C30">
        <w:t>trade-off</w:t>
      </w:r>
      <w:r w:rsidR="005A7C30" w:rsidRPr="005A7C30">
        <w:t>: an unconstrained, deep tree memorises noise rather than learning the underlying pattern, while a shallow tree is too simple to pick up the non-linear ways machinery degrades [8]. Ensembles get around this by averaging many trees trained on different slices of data, cutting variance substantially without making bias worse [9]</w:t>
      </w:r>
      <w:r w:rsidR="0052489D">
        <w:t xml:space="preserve">, </w:t>
      </w:r>
      <w:r w:rsidR="005A7C30" w:rsidRPr="005A7C30">
        <w:t xml:space="preserve">the theoretical foundation, going back to Breiman's original work [9], for why ensembles beat single trees on noisy sensor data. This tradeoff is worth holding in mind through the rest of the </w:t>
      </w:r>
      <w:r w:rsidR="000C0EF2" w:rsidRPr="005A7C30">
        <w:t>review because</w:t>
      </w:r>
      <w:r w:rsidR="005A7C30" w:rsidRPr="005A7C30">
        <w:t xml:space="preserve"> it resurfaces</w:t>
      </w:r>
      <w:r w:rsidR="0011372B">
        <w:t xml:space="preserve">, </w:t>
      </w:r>
      <w:r w:rsidR="005A7C30" w:rsidRPr="005A7C30">
        <w:t>largely unacknowledged</w:t>
      </w:r>
      <w:r w:rsidR="007E5C07">
        <w:t xml:space="preserve">, </w:t>
      </w:r>
      <w:r w:rsidR="005A7C30" w:rsidRPr="005A7C30">
        <w:t>in the SHAP feature-importance debate in Section 2.6, where the same tension between capturing real signal and overfitting to artefacts of the training data reappears in a different guise.</w:t>
      </w:r>
    </w:p>
    <w:p w14:paraId="13349921" w14:textId="25916094" w:rsidR="00C247D9" w:rsidRDefault="00C247D9" w:rsidP="001614A2">
      <w:pPr>
        <w:spacing w:after="140" w:line="360" w:lineRule="auto"/>
        <w:jc w:val="both"/>
      </w:pPr>
      <w:r>
        <w:t xml:space="preserve">Table </w:t>
      </w:r>
      <w:r w:rsidR="003D226B">
        <w:t>2</w:t>
      </w:r>
      <w:r>
        <w:t xml:space="preserve"> makes this tradeoff concrete, comparing a shallow tree (high bias), a deep tree (high variance), and a Random Forest ensemble across five properties directly relevant to industrial PdM deployment.</w:t>
      </w:r>
    </w:p>
    <w:p w14:paraId="782CCA48" w14:textId="6B196AFC" w:rsidR="00B564C3" w:rsidRPr="003D226B" w:rsidRDefault="003D226B" w:rsidP="001614A2">
      <w:pPr>
        <w:spacing w:after="140" w:line="360" w:lineRule="auto"/>
        <w:jc w:val="both"/>
        <w:rPr>
          <w:b/>
          <w:bCs/>
        </w:rPr>
      </w:pPr>
      <w:r w:rsidRPr="003D226B">
        <w:rPr>
          <w:b/>
          <w:bCs/>
        </w:rPr>
        <w:t xml:space="preserve">Table </w:t>
      </w:r>
      <w:r>
        <w:rPr>
          <w:b/>
          <w:bCs/>
        </w:rPr>
        <w:t>2</w:t>
      </w:r>
      <w:r w:rsidRPr="003D226B">
        <w:rPr>
          <w:b/>
          <w:bCs/>
        </w:rPr>
        <w:t>: Comparison of a high-bias tree, a high-variance tree, and a Random Forest ensemble</w:t>
      </w:r>
    </w:p>
    <w:p w14:paraId="2BC27020" w14:textId="2B8AC7C1" w:rsidR="00B564C3" w:rsidRDefault="00B564C3" w:rsidP="001614A2">
      <w:pPr>
        <w:spacing w:after="140" w:line="360" w:lineRule="auto"/>
        <w:jc w:val="both"/>
      </w:pPr>
      <w:r w:rsidRPr="00B564C3">
        <w:rPr>
          <w:noProof/>
          <w:bdr w:val="single" w:sz="12" w:space="0" w:color="auto"/>
        </w:rPr>
        <w:drawing>
          <wp:inline distT="0" distB="0" distL="0" distR="0" wp14:anchorId="061E0EB5" wp14:editId="4A26F631">
            <wp:extent cx="6096528" cy="2225233"/>
            <wp:effectExtent l="0" t="0" r="0" b="3810"/>
            <wp:docPr id="457355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355436" name=""/>
                    <pic:cNvPicPr/>
                  </pic:nvPicPr>
                  <pic:blipFill>
                    <a:blip r:embed="rId10"/>
                    <a:stretch>
                      <a:fillRect/>
                    </a:stretch>
                  </pic:blipFill>
                  <pic:spPr>
                    <a:xfrm>
                      <a:off x="0" y="0"/>
                      <a:ext cx="6096528" cy="2225233"/>
                    </a:xfrm>
                    <a:prstGeom prst="rect">
                      <a:avLst/>
                    </a:prstGeom>
                  </pic:spPr>
                </pic:pic>
              </a:graphicData>
            </a:graphic>
          </wp:inline>
        </w:drawing>
      </w:r>
    </w:p>
    <w:p w14:paraId="510AFCDC" w14:textId="75FA1EF5" w:rsidR="00C247D9" w:rsidRPr="00952E94" w:rsidRDefault="00952E94" w:rsidP="001614A2">
      <w:pPr>
        <w:spacing w:after="80" w:line="360" w:lineRule="auto"/>
      </w:pPr>
      <w:r w:rsidRPr="00952E94">
        <w:lastRenderedPageBreak/>
        <w:t>The ensemble column illustrates how averaging many trees over different data subsets resolves the fundamental bias-variance tradeoff that makes single trees unsuitable for noisy industrial sensor environments [8][9][10][31].</w:t>
      </w:r>
    </w:p>
    <w:p w14:paraId="26CC1C1F" w14:textId="5406D6B3" w:rsidR="005A7C30" w:rsidRDefault="00C247D9" w:rsidP="00FC5F6E">
      <w:pPr>
        <w:spacing w:after="140" w:line="360" w:lineRule="auto"/>
        <w:jc w:val="both"/>
      </w:pPr>
      <w:r>
        <w:t xml:space="preserve">Table </w:t>
      </w:r>
      <w:r w:rsidR="00952E94">
        <w:t>2</w:t>
      </w:r>
      <w:r>
        <w:t xml:space="preserve"> makes explicit what the prose above argues conceptually: neither extreme performs adequately on real factory data. The ensemble approach directly resolves this by trading exact fit for stable generalisation, which is why Random Forest and Gradient Boosting both consistently outperform single classifiers in Carvalho et al.'s [14] 71-study review.</w:t>
      </w:r>
    </w:p>
    <w:p w14:paraId="5AA798E7" w14:textId="392ED3ED" w:rsidR="00637CC3" w:rsidRPr="00637CC3" w:rsidRDefault="00A64269" w:rsidP="00637CC3">
      <w:pPr>
        <w:pStyle w:val="Heading2"/>
        <w:spacing w:line="360" w:lineRule="auto"/>
      </w:pPr>
      <w:bookmarkStart w:id="6" w:name="_Toc233286942"/>
      <w:r>
        <w:t>2.4 Random Forests and Gradient Boosting</w:t>
      </w:r>
      <w:bookmarkEnd w:id="6"/>
    </w:p>
    <w:p w14:paraId="6AA1AE2E" w14:textId="0343DE85" w:rsidR="00637CC3" w:rsidRPr="00637CC3" w:rsidRDefault="00637CC3" w:rsidP="00637CC3">
      <w:pPr>
        <w:spacing w:after="130" w:line="360" w:lineRule="auto"/>
        <w:jc w:val="both"/>
      </w:pPr>
      <w:r w:rsidRPr="00637CC3">
        <w:t>Random Forest builds an ensemble of many decision trees, combining their predictions to improve robustness and reduce overfitting through bagging and random feature selection at each split [9]. The evidence for its real-world performance is unusually solid. Caesarendra and Tjahjowidodo [10] report over 95% accuracy on bearing-fault detection, holding up even when sensor readings go missing. Lei et al. [31] arrive at the same conclusion independently</w:t>
      </w:r>
      <w:r>
        <w:t xml:space="preserve">, using </w:t>
      </w:r>
      <w:r w:rsidRPr="00637CC3">
        <w:t xml:space="preserve">different datasets, </w:t>
      </w:r>
      <w:r>
        <w:t xml:space="preserve">a </w:t>
      </w:r>
      <w:r w:rsidRPr="00637CC3">
        <w:t>different research team, 94 studies reviewed</w:t>
      </w:r>
      <w:r>
        <w:t>,</w:t>
      </w:r>
      <w:r w:rsidRPr="00637CC3">
        <w:t xml:space="preserve"> confirming Random Forest among the strongest traditional methods under noisy, data-limited conditions. Two studies converging from different directions </w:t>
      </w:r>
      <w:r>
        <w:t>are</w:t>
      </w:r>
      <w:r w:rsidRPr="00637CC3">
        <w:t xml:space="preserve"> meaningfully stronger evidence than either alone. For this client specifically, whose temperature, vibration, and pressure streams are subject to intermittent outages and multiple overlapping failure modes, Random Forest's robustness to correlated and missing features [9] is not a generic selling point</w:t>
      </w:r>
      <w:r w:rsidR="00D32908">
        <w:t>;</w:t>
      </w:r>
      <w:r w:rsidRPr="00637CC3">
        <w:t xml:space="preserve"> it is a direct match to the data conditions this system will actually face.</w:t>
      </w:r>
    </w:p>
    <w:p w14:paraId="57A419DD" w14:textId="3C332381" w:rsidR="00637CC3" w:rsidRPr="00637CC3" w:rsidRDefault="00637CC3" w:rsidP="00637CC3">
      <w:pPr>
        <w:spacing w:after="130" w:line="360" w:lineRule="auto"/>
        <w:jc w:val="both"/>
      </w:pPr>
      <w:r w:rsidRPr="00637CC3">
        <w:t>Gradient Boosting takes a different approach: trees are built sequentially, each one correcting the errors of the last [12]. Nectoux et al. [24] show it outperforming Random Forest on the PRONOSTIA dataset, and taken at face value</w:t>
      </w:r>
      <w:r w:rsidR="00D32908">
        <w:t>,</w:t>
      </w:r>
      <w:r w:rsidRPr="00637CC3">
        <w:t xml:space="preserve"> </w:t>
      </w:r>
      <w:r w:rsidR="00D32908" w:rsidRPr="00637CC3">
        <w:t>which</w:t>
      </w:r>
      <w:r w:rsidRPr="00637CC3">
        <w:t xml:space="preserve"> would make it the obvious recommendation here. The problem is PRONOSTIA runs under constant, controlled loads</w:t>
      </w:r>
      <w:r w:rsidR="00D32908">
        <w:t xml:space="preserve">, </w:t>
      </w:r>
      <w:r w:rsidRPr="00637CC3">
        <w:t>a laboratory idealisation of what a real factory looks like. Carvalho et al.'s [14] broader review tells a different story: the Gradient Boosting accuracy advantage shrinks once noise and correlated features enter the picture, precisely the conditions PRONOSTIA's clean setup excludes. This is a genuine contradiction in the literature, not just a difference of emphasis. The resolution adopted here is that Nectoux's result is locally true but not generalisable</w:t>
      </w:r>
      <w:r w:rsidR="00D32908">
        <w:t>,</w:t>
      </w:r>
      <w:r w:rsidRPr="00637CC3">
        <w:t xml:space="preserve"> it describes Gradient Boosting under conditions this company does not have. Carvalho's review describes conditions much closer to what it does. Add to that the fact that Gradient Boosting cannot be parallelised, making it meaningfully slower on standard CPU infrastructure [13], and the case against it holds up on two independent grounds.</w:t>
      </w:r>
    </w:p>
    <w:p w14:paraId="4D81167D" w14:textId="327D1DD7" w:rsidR="00637CC3" w:rsidRPr="00637CC3" w:rsidRDefault="00637CC3" w:rsidP="00637CC3">
      <w:pPr>
        <w:spacing w:after="130" w:line="360" w:lineRule="auto"/>
        <w:jc w:val="both"/>
      </w:pPr>
      <w:r w:rsidRPr="00637CC3">
        <w:t>One further point that deserves more than a footnote: Strobl et al. [25] show that standard feature importance scoring overrates correlated features in both Random Forest and Gradient Boosting. If the benchmark comparisons reviewed in Section 2.2 are partly measuring how well an algorithm exploits this bias rather than how well it genuinely generalises, then the accuracy comparisons those studies report may be quietly unreliable in ways the original authors never intended. This is the real reason this report uses SHAP-based importance in Section 3.3</w:t>
      </w:r>
      <w:r w:rsidR="00D32908">
        <w:t>,</w:t>
      </w:r>
      <w:r w:rsidRPr="00637CC3">
        <w:t xml:space="preserve"> not because SHAP is newer, but </w:t>
      </w:r>
      <w:r w:rsidRPr="00637CC3">
        <w:lastRenderedPageBreak/>
        <w:t>because it removes a confound that may be distorting the very evidence the Random Forest versus Gradient Boosting debate rests on. Figure 1 pulls all five algorithms together across the dimensions that matter, making the overall trade-off visible at a glance.</w:t>
      </w:r>
    </w:p>
    <w:p w14:paraId="53D2D2E9" w14:textId="77777777" w:rsidR="00C871F0" w:rsidRDefault="00C871F0" w:rsidP="001614A2">
      <w:pPr>
        <w:spacing w:after="130" w:line="360" w:lineRule="auto"/>
        <w:jc w:val="both"/>
      </w:pPr>
    </w:p>
    <w:p w14:paraId="3A961B77" w14:textId="77777777" w:rsidR="00A96B97" w:rsidRDefault="00A64269" w:rsidP="001614A2">
      <w:pPr>
        <w:spacing w:before="200" w:after="60" w:line="360" w:lineRule="auto"/>
        <w:jc w:val="center"/>
      </w:pPr>
      <w:r w:rsidRPr="00F75447">
        <w:rPr>
          <w:noProof/>
          <w:bdr w:val="single" w:sz="12" w:space="0" w:color="auto"/>
        </w:rPr>
        <w:drawing>
          <wp:inline distT="0" distB="0" distL="0" distR="0" wp14:anchorId="79AC99DC" wp14:editId="175E69C2">
            <wp:extent cx="5143500" cy="44589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7848"/>
                    <a:stretch>
                      <a:fillRect/>
                    </a:stretch>
                  </pic:blipFill>
                  <pic:spPr bwMode="auto">
                    <a:xfrm>
                      <a:off x="0" y="0"/>
                      <a:ext cx="5143500" cy="4458992"/>
                    </a:xfrm>
                    <a:prstGeom prst="rect">
                      <a:avLst/>
                    </a:prstGeom>
                    <a:ln>
                      <a:noFill/>
                    </a:ln>
                    <a:extLst>
                      <a:ext uri="{53640926-AAD7-44D8-BBD7-CCE9431645EC}">
                        <a14:shadowObscured xmlns:a14="http://schemas.microsoft.com/office/drawing/2010/main"/>
                      </a:ext>
                    </a:extLst>
                  </pic:spPr>
                </pic:pic>
              </a:graphicData>
            </a:graphic>
          </wp:inline>
        </w:drawing>
      </w:r>
    </w:p>
    <w:p w14:paraId="2BA88903" w14:textId="5DDB059B" w:rsidR="00A96B97" w:rsidRPr="00F75447" w:rsidRDefault="00A64269" w:rsidP="001614A2">
      <w:pPr>
        <w:spacing w:after="200" w:line="360" w:lineRule="auto"/>
        <w:jc w:val="center"/>
        <w:rPr>
          <w:color w:val="156082" w:themeColor="accent1"/>
        </w:rPr>
      </w:pPr>
      <w:r w:rsidRPr="00F75447">
        <w:rPr>
          <w:i/>
          <w:iCs/>
          <w:color w:val="156082" w:themeColor="accent1"/>
          <w:sz w:val="18"/>
          <w:szCs w:val="18"/>
        </w:rPr>
        <w:t xml:space="preserve">Figure 1: </w:t>
      </w:r>
      <w:r w:rsidR="00E66A91" w:rsidRPr="00E66A91">
        <w:rPr>
          <w:i/>
          <w:iCs/>
          <w:color w:val="156082" w:themeColor="accent1"/>
          <w:sz w:val="18"/>
          <w:szCs w:val="18"/>
        </w:rPr>
        <w:t>How the five algorithms compare across five dimensions that matter for a real deployment. The scores are not drawn from any single study but represent this report's synthesis of the evidence reviewed in Sections 2.3–2.5; the cited works are the sources from which each dimension's relative scores are derived: accuracy scores from Carvalho et al. [14], Nectoux et al. [24], Caesarendra and Tjahjowidodo [10], and Lei et al. [31]; interpretability from Susto et al. [17] and Géron [7]; computational efficiency from Chen and Guestrin [12], Ke et al. [13], and Cortes and Vapnik [15]; robustness to imbalance from Carvalho et al. [14] and He and Garcia [28]; and ease of tuning from Géron [7] and Widodo and Yang [16]. Random Forest (shaded) comes out the most balanced overall</w:t>
      </w:r>
      <w:r w:rsidR="00E66A91">
        <w:rPr>
          <w:i/>
          <w:iCs/>
          <w:color w:val="156082" w:themeColor="accent1"/>
          <w:sz w:val="18"/>
          <w:szCs w:val="18"/>
        </w:rPr>
        <w:t xml:space="preserve">, </w:t>
      </w:r>
      <w:r w:rsidR="00E66A91" w:rsidRPr="00E66A91">
        <w:rPr>
          <w:i/>
          <w:iCs/>
          <w:color w:val="156082" w:themeColor="accent1"/>
          <w:sz w:val="18"/>
          <w:szCs w:val="18"/>
        </w:rPr>
        <w:t>not because it leads on any single dimension, but because it avoids a serious weakness on all of them.</w:t>
      </w:r>
    </w:p>
    <w:p w14:paraId="36B7F5FF" w14:textId="77777777" w:rsidR="00C871F0" w:rsidRDefault="00C871F0" w:rsidP="001614A2">
      <w:pPr>
        <w:spacing w:line="360" w:lineRule="auto"/>
      </w:pPr>
    </w:p>
    <w:p w14:paraId="0C8A9815" w14:textId="36A2C5CF" w:rsidR="00AC71AD" w:rsidRDefault="00CC01E4" w:rsidP="001614A2">
      <w:pPr>
        <w:spacing w:line="360" w:lineRule="auto"/>
        <w:jc w:val="both"/>
      </w:pPr>
      <w:r w:rsidRPr="00CC01E4">
        <w:t>What the figure makes visible is that no algorithm wins outright</w:t>
      </w:r>
      <w:r w:rsidR="00E66A91">
        <w:t>.</w:t>
      </w:r>
      <w:r w:rsidR="00046822">
        <w:t xml:space="preserve"> </w:t>
      </w:r>
      <w:r w:rsidRPr="00CC01E4">
        <w:t xml:space="preserve">Gradient Boosting edges ahead on accuracy, SVMs hold their own on small-sample robustness, and logistic regression is unmatched on interpretability, but each pays for its strength somewhere else. Random Forest's advantage is not that it tops any single dimension, but that it avoids being weak on any of them, which matters more than topping one metric once accuracy, cost, and interpretability all have to be satisfied simultaneously for this deployment. This is the visual counterpart to the argument made narratively in </w:t>
      </w:r>
      <w:r w:rsidR="00046822">
        <w:t>Sections</w:t>
      </w:r>
      <w:r w:rsidRPr="00CC01E4">
        <w:t xml:space="preserve"> 2.4 and </w:t>
      </w:r>
      <w:r w:rsidRPr="00CC01E4">
        <w:lastRenderedPageBreak/>
        <w:t>2.5: a single-metric comparison would have pointed toward Gradient Boosting, but a multi-dimensional one does not.</w:t>
      </w:r>
    </w:p>
    <w:p w14:paraId="20AAE899" w14:textId="77777777" w:rsidR="00CC01E4" w:rsidRDefault="00CC01E4" w:rsidP="001614A2">
      <w:pPr>
        <w:spacing w:line="360" w:lineRule="auto"/>
      </w:pPr>
    </w:p>
    <w:p w14:paraId="73BF7809" w14:textId="77777777" w:rsidR="00920797" w:rsidRDefault="00920797">
      <w:pPr>
        <w:rPr>
          <w:b/>
          <w:bCs/>
          <w:color w:val="2E5090"/>
        </w:rPr>
      </w:pPr>
      <w:r>
        <w:br w:type="page"/>
      </w:r>
    </w:p>
    <w:p w14:paraId="3F4FB0BE" w14:textId="3431971F" w:rsidR="00584300" w:rsidRPr="00584300" w:rsidRDefault="00A64269" w:rsidP="00584300">
      <w:pPr>
        <w:pStyle w:val="Heading2"/>
        <w:spacing w:line="360" w:lineRule="auto"/>
      </w:pPr>
      <w:bookmarkStart w:id="7" w:name="_Toc233286943"/>
      <w:r>
        <w:lastRenderedPageBreak/>
        <w:t>2.5 SVMs, Logistic Regression, and Baselines</w:t>
      </w:r>
      <w:bookmarkEnd w:id="7"/>
    </w:p>
    <w:p w14:paraId="6F3C48A1" w14:textId="22183309" w:rsidR="00584300" w:rsidRPr="00584300" w:rsidRDefault="00584300" w:rsidP="00584300">
      <w:pPr>
        <w:spacing w:after="130" w:line="360" w:lineRule="auto"/>
        <w:jc w:val="both"/>
      </w:pPr>
      <w:r w:rsidRPr="00584300">
        <w:t>SVMs find the widest possible margin between classes [15], and Widodo and Yang [16] showed they worked well for fault diagnosis in 2007, particularly with limited data. The catch is that evidence is now nearly two decades old, predating the IIoT-driven explosion in industrial datasets. As data volumes grow, SVMs become increasingly impractical</w:t>
      </w:r>
      <w:r>
        <w:t xml:space="preserve">, </w:t>
      </w:r>
      <w:r w:rsidRPr="00584300">
        <w:t>training costs scale at O(n²) to O(n³), and they produce neither interpretable outputs nor calibrated probabilities [4][14][15]. The broader lesson is that algorithm rankings are often a product of the data conditions of their time rather than universal truths. For this client, whose labelled failure dataset will be small at the outset, SVM's small-sample robustness makes it a reasonable starting point</w:t>
      </w:r>
      <w:r>
        <w:t xml:space="preserve">, </w:t>
      </w:r>
      <w:r w:rsidRPr="00584300">
        <w:t>but the recommendation is to transition to Random Forest once labelled examples exceed roughly 10,000 windows, the threshold at which Carvalho et al. [14] show ensemble methods begin to pull consistently ahead of margin-based classifiers on industrial sensor data.</w:t>
      </w:r>
    </w:p>
    <w:p w14:paraId="76BB3FFF" w14:textId="359CC3BA" w:rsidR="00584300" w:rsidRPr="00584300" w:rsidRDefault="00584300" w:rsidP="00584300">
      <w:pPr>
        <w:spacing w:after="130" w:line="360" w:lineRule="auto"/>
        <w:jc w:val="both"/>
      </w:pPr>
      <w:r w:rsidRPr="00584300">
        <w:t>Logistic regression is interpretable and well-understood</w:t>
      </w:r>
      <w:r>
        <w:t>;</w:t>
      </w:r>
      <w:r w:rsidRPr="00584300">
        <w:t xml:space="preserve"> each feature's influence is readable directly from its coefficient [7][8]. Susto et al. [17] achieved competitive results with it in semiconductor manufacturing, but that context does the heavy lifting: semiconductor processes produce near-linear failure signatures that suit a linear classifier well. Mechanical degradation follows inherently non-linear curves [5], which logistic regression's decision boundary is structurally unable to capture, particularly the multiplicative cross-sensor interactions that Section 3.3's feature engineering is specifically designed to exploit [8]. It stays in this report as a baseline rather than a contender [14].</w:t>
      </w:r>
    </w:p>
    <w:p w14:paraId="183FCA82" w14:textId="2F5F865A" w:rsidR="004E0213" w:rsidRDefault="004E0213" w:rsidP="004E0213">
      <w:pPr>
        <w:spacing w:line="360" w:lineRule="auto"/>
      </w:pPr>
      <w:r w:rsidRPr="004E0213">
        <w:t>Naive Bayes assumes features are statistically independent given the class label [8], an assumption that is directly violated here. When vibration and temperature are correlated</w:t>
      </w:r>
      <w:r>
        <w:t xml:space="preserve">, </w:t>
      </w:r>
      <w:r w:rsidRPr="004E0213">
        <w:t>as they are during mechanical degradation</w:t>
      </w:r>
      <w:r>
        <w:t xml:space="preserve">, </w:t>
      </w:r>
      <w:r w:rsidRPr="004E0213">
        <w:t>Naive Bayes assigns each feature the same weight it would have if the other did not exist, systematically overstating their individual contributions and understating their joint signal. The result is a model that misreads the most diagnostically important part of the data: the coupled behaviour of the three sensor streams that Section 3.3's cross-sensor features are specifically designed to capture. Despite that, both logistic regression and Naive Bayes earn their place as diagnostic baselines. If Random Forest cannot clearly beat them, that is a signal worth heeding — it points to weak feature engineering or insufficient predictive signal in the data, not just a competitive algorithm [7][14].</w:t>
      </w:r>
    </w:p>
    <w:p w14:paraId="76F94265" w14:textId="42E64DB4" w:rsidR="0053780B" w:rsidRPr="0053780B" w:rsidRDefault="00A64269" w:rsidP="0053780B">
      <w:pPr>
        <w:pStyle w:val="Heading2"/>
        <w:spacing w:line="360" w:lineRule="auto"/>
      </w:pPr>
      <w:bookmarkStart w:id="8" w:name="_Toc233286944"/>
      <w:r>
        <w:t>2.6 Explainability and SHAP</w:t>
      </w:r>
      <w:bookmarkEnd w:id="8"/>
    </w:p>
    <w:p w14:paraId="537504C4" w14:textId="47FC0E32" w:rsidR="0053780B" w:rsidRPr="0053780B" w:rsidRDefault="0053780B" w:rsidP="0053780B">
      <w:pPr>
        <w:spacing w:after="130" w:line="360" w:lineRule="auto"/>
        <w:jc w:val="both"/>
      </w:pPr>
      <w:r w:rsidRPr="0053780B">
        <w:t>SHAP uses cooperative game theory to calculate each feature's contribution as its average effect across every possible combination of the other features [26], which gives it two advantages over standard feature importance: it produces fair, consistent attribution, and it fixes the bias Strobl et al. [25] identified</w:t>
      </w:r>
      <w:r>
        <w:t xml:space="preserve">, </w:t>
      </w:r>
      <w:r w:rsidRPr="0053780B">
        <w:t xml:space="preserve">the same bias discussed in Section 2.4 as a potential confound in the Random Forest versus Gradient Boosting debate. Baptista et al. [27] found something genuinely surprising: SHAP-augmented Random Forest models not only earned more engineer trust but performed marginally better when SHAP guided feature selection. Interpretability and accuracy reinforced each other rather </w:t>
      </w:r>
      <w:r w:rsidRPr="0053780B">
        <w:lastRenderedPageBreak/>
        <w:t>than trading off. The conventional ML assumption is that the two pull in opposite directions; Baptista et al.'s result suggests that</w:t>
      </w:r>
      <w:r w:rsidR="005F594A">
        <w:t>,</w:t>
      </w:r>
      <w:r w:rsidRPr="0053780B">
        <w:t xml:space="preserve"> in this domain, that may be a category error</w:t>
      </w:r>
      <w:r w:rsidR="005F594A">
        <w:t>;</w:t>
      </w:r>
      <w:r>
        <w:t xml:space="preserve"> </w:t>
      </w:r>
      <w:r w:rsidRPr="0053780B">
        <w:t>a more reliable importance signal improves feature selection, which improves accuracy. That is presented here as a hypothesis worth testing rather than a settled fact, but it is a finding worth taking seriously.</w:t>
      </w:r>
    </w:p>
    <w:p w14:paraId="529A2D23" w14:textId="1036D5D2" w:rsidR="00A96B97" w:rsidRDefault="0053780B" w:rsidP="00C64BB1">
      <w:pPr>
        <w:spacing w:after="130" w:line="360" w:lineRule="auto"/>
        <w:jc w:val="both"/>
      </w:pPr>
      <w:r w:rsidRPr="0053780B">
        <w:t>That said, SHAP has a real limitation that tends to get glossed over. It assumes features are independent</w:t>
      </w:r>
      <w:r>
        <w:t>,</w:t>
      </w:r>
      <w:r w:rsidRPr="0053780B">
        <w:t xml:space="preserve"> an assumption that predictive maintenance data structurally violates, since vibration and temperature move together during degradation [26]. When correlated features are present, SHAP can understate their combined signal. The cross-sensor features built in Section 3.3 are designed specifically to reduce that correlation before SHAP is applied</w:t>
      </w:r>
      <w:r>
        <w:t xml:space="preserve">, </w:t>
      </w:r>
      <w:r w:rsidRPr="0053780B">
        <w:t>not as a generic engineering improvement, but as a direct response to a known mathematical weakness in the method this report otherwise recommends. That design decision only becomes visible if the SHAP literature is read critically rather than taken at face value. For this client's engineers, who need to physically inspect the right component after an alert, knowing which sensor stream drove a specific prediction is not optional it is an operational requirement, which is what makes SHAP's instance-level explanation capability necessary rather than merely useful [26][27].</w:t>
      </w:r>
    </w:p>
    <w:p w14:paraId="5484FEEE" w14:textId="698344AC" w:rsidR="005D3247" w:rsidRDefault="005D3247" w:rsidP="00C64BB1">
      <w:pPr>
        <w:spacing w:after="130" w:line="360" w:lineRule="auto"/>
        <w:jc w:val="both"/>
      </w:pPr>
      <w:r w:rsidRPr="005D3247">
        <w:t>LIME [33] is the most widely used alternative, approximating the model locally with a simpler surrogate. It is lighter and easier to implement, but its explanations are generated through random sampling</w:t>
      </w:r>
      <w:r>
        <w:t>,</w:t>
      </w:r>
      <w:r w:rsidRPr="005D3247">
        <w:t xml:space="preserve"> meaning the same prediction can produce different feature attributions on different runs. For engineers who need to act on alerts consistently, that instability undermines the trust </w:t>
      </w:r>
      <w:r>
        <w:t xml:space="preserve">that </w:t>
      </w:r>
      <w:r w:rsidRPr="005D3247">
        <w:t>interpretability is supposed to build. SHAP's Shapley-value foundation guarantees the same inputs always produce the same attribution, making it the more defensible choice here despite its higher computational cost [26][33].</w:t>
      </w:r>
    </w:p>
    <w:p w14:paraId="7FC2760C" w14:textId="05D7D736" w:rsidR="00A96B97" w:rsidRPr="00C871F0" w:rsidRDefault="00A64269" w:rsidP="001614A2">
      <w:pPr>
        <w:pStyle w:val="Heading2"/>
        <w:spacing w:line="360" w:lineRule="auto"/>
      </w:pPr>
      <w:bookmarkStart w:id="9" w:name="_Toc233286945"/>
      <w:r>
        <w:t>2.7 Class Imbalance and Concept Drift</w:t>
      </w:r>
      <w:bookmarkEnd w:id="9"/>
    </w:p>
    <w:p w14:paraId="294E2799" w14:textId="2464A1FC" w:rsidR="00346A8F" w:rsidRPr="00346A8F" w:rsidRDefault="00346A8F" w:rsidP="00346A8F">
      <w:pPr>
        <w:spacing w:after="130" w:line="360" w:lineRule="auto"/>
        <w:jc w:val="both"/>
      </w:pPr>
      <w:r w:rsidRPr="00346A8F">
        <w:t>Failures typically make up under 2% of the data, which means the model is learning from a badly skewed picture of reality. Chawla et al.'s SMOTE [6] remains the standard fix, generating synthetic minority examples by interpolation</w:t>
      </w:r>
      <w:r>
        <w:t>,</w:t>
      </w:r>
      <w:r w:rsidRPr="00346A8F">
        <w:t xml:space="preserve"> though without any regard for where the decision boundary actually sits [28]. He and Garcia [28] propose Borderline-SMOTE and ADASYN as improvements, but the honest answer is that no single variant wins outright: ADASYN performs better when failures cluster near the boundary, standard SMOTE holds up more consistently otherwise. The imbalance-correction literature has not produced a universally dominant method, which is itself a finding</w:t>
      </w:r>
      <w:r w:rsidR="00953A71">
        <w:t xml:space="preserve">, </w:t>
      </w:r>
      <w:r w:rsidRPr="00346A8F">
        <w:t>and a reason not to treat any single variant as a default without testing it on the specific dataset at hand. Since there is no way to know in advance where failures will cluster, standard SMOTE is adopted as the sensible starting point, with alternatives tested empirically in Section 3.4 [6][28].</w:t>
      </w:r>
    </w:p>
    <w:p w14:paraId="3651E5AF" w14:textId="21C645A1" w:rsidR="00346A8F" w:rsidRPr="00346A8F" w:rsidRDefault="00346A8F" w:rsidP="00346A8F">
      <w:pPr>
        <w:spacing w:after="130" w:line="360" w:lineRule="auto"/>
        <w:jc w:val="both"/>
      </w:pPr>
      <w:r w:rsidRPr="00346A8F">
        <w:t>The second challenge is more insidious and connects back to almost everything discussed so far. Concept drift</w:t>
      </w:r>
      <w:r>
        <w:t>,</w:t>
      </w:r>
      <w:r w:rsidRPr="00346A8F">
        <w:t xml:space="preserve"> the sensor-failure relationship quietly shifting as machinery ages and wears</w:t>
      </w:r>
      <w:r>
        <w:t xml:space="preserve">, </w:t>
      </w:r>
      <w:r w:rsidRPr="00346A8F">
        <w:t xml:space="preserve">means that even a perfectly validated model will not stay valid indefinitely. Gama et al. [29] identify four types: sudden, gradual, incremental, and recurring, which can overlap in a real factory environment [4]. A </w:t>
      </w:r>
      <w:r w:rsidRPr="00346A8F">
        <w:lastRenderedPageBreak/>
        <w:t>model performing well at launch can degrade substantially within six months [29]. The compounding effect matters here: benchmark optimism inflates a model's apparent starting performance, and drift erodes whatever genuine performance was actually achieved</w:t>
      </w:r>
      <w:r>
        <w:t>,</w:t>
      </w:r>
      <w:r w:rsidRPr="00346A8F">
        <w:t xml:space="preserve"> meaning the gap between reported and real field performance is likely to widen over time, not stay constant. Gama et al. [29] recommend the Page-Hinkley test for detecting this in streaming data, which shapes the monitoring approach in Section 4.4. Most deployed systems do not check for drift at all</w:t>
      </w:r>
      <w:r>
        <w:t>,</w:t>
      </w:r>
      <w:r w:rsidRPr="00346A8F">
        <w:t xml:space="preserve"> a gap flagged independently by both Carvalho et al. [14] and Javed et al. [22], two papers arriving at the same warning from different directions, which is the kind of convergent evidence that should carry real weight.</w:t>
      </w:r>
      <w:r w:rsidR="00736A25">
        <w:t xml:space="preserve"> </w:t>
      </w:r>
      <w:r w:rsidR="00B566C3" w:rsidRPr="00B566C3">
        <w:t>The consequences of ignoring this are well documented: Bayram et al. [34] show that distributional changes consistently degrade model accuracy over time, going undetected because most systems monitor outputs rather than the stability of the input-output relationship. In manufacturing, this means a model can keep generating confident-looking predictions long after its calibration has drifted</w:t>
      </w:r>
      <w:r w:rsidR="00B566C3">
        <w:t xml:space="preserve">, </w:t>
      </w:r>
      <w:r w:rsidR="00B566C3" w:rsidRPr="00B566C3">
        <w:t>with no visible signal until failures start being missed.</w:t>
      </w:r>
      <w:r w:rsidR="00B566C3">
        <w:t xml:space="preserve"> </w:t>
      </w:r>
      <w:r w:rsidRPr="00346A8F">
        <w:t>For this client specifically, drift is likely to come from two sources: seasonal temperature variation shifting baseline sensor readings, and the gradual ageing of the machinery fleet</w:t>
      </w:r>
      <w:r w:rsidR="00C375BC">
        <w:t xml:space="preserve">, </w:t>
      </w:r>
      <w:r w:rsidRPr="00346A8F">
        <w:t>both consistent with the gradual drift type Gama et al. [29] identify as among the hardest to catch.</w:t>
      </w:r>
    </w:p>
    <w:p w14:paraId="7BFCC186" w14:textId="77777777" w:rsidR="00953A71" w:rsidRDefault="00953A71">
      <w:pPr>
        <w:rPr>
          <w:b/>
          <w:bCs/>
          <w:color w:val="1F3864"/>
          <w:sz w:val="26"/>
          <w:szCs w:val="26"/>
        </w:rPr>
      </w:pPr>
      <w:r>
        <w:br w:type="page"/>
      </w:r>
    </w:p>
    <w:p w14:paraId="43A2EF48" w14:textId="43A715D1" w:rsidR="00A96B97" w:rsidRPr="00C375BC" w:rsidRDefault="00A64269" w:rsidP="00C375BC">
      <w:pPr>
        <w:pStyle w:val="Heading1"/>
      </w:pPr>
      <w:bookmarkStart w:id="10" w:name="_Toc233286946"/>
      <w:r>
        <w:lastRenderedPageBreak/>
        <w:t>3. Proposed Workflow Methodology</w:t>
      </w:r>
      <w:bookmarkEnd w:id="10"/>
    </w:p>
    <w:p w14:paraId="651537BB" w14:textId="79A599A2" w:rsidR="00C6371E" w:rsidRPr="00784EC2" w:rsidRDefault="00C6371E" w:rsidP="00C6371E">
      <w:pPr>
        <w:spacing w:after="130" w:line="360" w:lineRule="auto"/>
        <w:jc w:val="both"/>
      </w:pPr>
      <w:r w:rsidRPr="00C6371E">
        <w:t xml:space="preserve">The workflow is built on CRISP-DM [18], the most widely used process model in data science, which organises any ML project into six iterative phases: Business Understanding, Data Understanding, Data Preparation, Modelling, Evaluation, and Deployment. The </w:t>
      </w:r>
      <w:r>
        <w:t>keyword</w:t>
      </w:r>
      <w:r w:rsidRPr="00C6371E">
        <w:t xml:space="preserve"> is iterative</w:t>
      </w:r>
      <w:r w:rsidR="005145D7">
        <w:t xml:space="preserve"> -</w:t>
      </w:r>
      <w:r w:rsidRPr="00C6371E">
        <w:t xml:space="preserve"> phases loop back on each other as understanding develops, which suits predictive maintenance particularly well, since ground-truth failure labels only arrive gradually once a system is live and the model needs regular refinement as new failure events accumulate [18].</w:t>
      </w:r>
      <w:r w:rsidR="00784EC2">
        <w:t xml:space="preserve"> </w:t>
      </w:r>
      <w:r w:rsidR="00784EC2" w:rsidRPr="00784EC2">
        <w:t>A condensed practitioner reference summary of all seven stages, including methodological choices and literature basis for each, is provided in Appendix B.</w:t>
      </w:r>
    </w:p>
    <w:p w14:paraId="7A07EE07" w14:textId="4E92196E" w:rsidR="00C6371E" w:rsidRPr="00C6371E" w:rsidRDefault="00C6371E" w:rsidP="00C6371E">
      <w:pPr>
        <w:spacing w:after="130" w:line="360" w:lineRule="auto"/>
        <w:jc w:val="both"/>
      </w:pPr>
      <w:r w:rsidRPr="00C6371E">
        <w:t>Other frameworks exist</w:t>
      </w:r>
      <w:r>
        <w:t>,</w:t>
      </w:r>
      <w:r w:rsidRPr="00C6371E">
        <w:t xml:space="preserve"> but are a worse fit for this context. KDD and SEMMA both organise data mining into sequential phases</w:t>
      </w:r>
      <w:r>
        <w:t>,</w:t>
      </w:r>
      <w:r w:rsidRPr="00C6371E">
        <w:t xml:space="preserve"> but neither includes an explicit Business Understanding step</w:t>
      </w:r>
      <w:r>
        <w:t>,</w:t>
      </w:r>
      <w:r w:rsidRPr="00C6371E">
        <w:t xml:space="preserve"> a critical gap when the ML team and the operational engineering team need to agree on failure definitions, cost ratios, and alert thresholds before any modelling begins. Microsoft's TDSP adds useful role and tooling guidance but assumes cloud infrastructure and DevOps maturity that most small and medium manufacturers do not have [18]. CRISP-DM's iterative, domain-agnostic structure and prominent Business Understanding phase make it the right fit for a deployment where operational engineers need to be active collaborators, not passive recipients of a finished model.</w:t>
      </w:r>
    </w:p>
    <w:p w14:paraId="1D436E5E" w14:textId="030CFF47" w:rsidR="00C6371E" w:rsidRPr="00C6371E" w:rsidRDefault="00C6371E" w:rsidP="00C6371E">
      <w:pPr>
        <w:spacing w:after="130" w:line="360" w:lineRule="auto"/>
        <w:jc w:val="both"/>
      </w:pPr>
      <w:r w:rsidRPr="00C6371E">
        <w:t>The seven stages below map directly onto CRISP-DM's phases, with one deliberate extension: Stage 7 adds drift monitoring, going beyond the standard framework to address the temporal non-stationarity problem identified in Section 2.7 [29]. This is not a cosmetic addition</w:t>
      </w:r>
      <w:r w:rsidR="00BD4247">
        <w:t xml:space="preserve">, </w:t>
      </w:r>
      <w:r w:rsidRPr="00C6371E">
        <w:t>most deployed PdM systems do not monitor for drift at all, a gap flagged independently by both Carvalho et al. [14] and Javed et al. [22], and Stage 7 is this report's principal structural response to it.</w:t>
      </w:r>
    </w:p>
    <w:p w14:paraId="3EEDCE4F" w14:textId="77777777" w:rsidR="00C6371E" w:rsidRPr="00C6371E" w:rsidRDefault="00C6371E" w:rsidP="00C6371E">
      <w:pPr>
        <w:spacing w:after="130" w:line="360" w:lineRule="auto"/>
        <w:jc w:val="both"/>
      </w:pPr>
      <w:r w:rsidRPr="00C6371E">
        <w:t>Each stage exists because the literature identified a specific problem that needed addressing, not because it follows a standard checklist. Data auditing tackles the labelling and lead-time issues Jardine et al. [5] identify as foundational. Preprocessing addresses the sensor quality problems Lee et al. [4] show matter as much as algorithm choice for real-world performance. Feature engineering draws on Caesarendra and Tjahjowidodo [10] and Lei et al. [31] to build inputs tailored to this company's three sensor modalities. Imbalance correction applies the SMOTE-default strategy established in Section 2.7 [6][28]. Model training uses strictly chronological cross-validation, directly preventing the temporal data leakage Javed et al. [22] identify as one of the most widespread flaws in published PdM research. Evaluation prioritises AUC-PR over AUC-ROC for the reasons He and Garcia [28] establish for severely imbalanced problems. And Stage 7 closes the drift monitoring gap that Carvalho et al. [14] and Javed et al. [22] both flag as absent from most real deployments [29].</w:t>
      </w:r>
    </w:p>
    <w:p w14:paraId="65798B7C" w14:textId="77777777" w:rsidR="00C375BC" w:rsidRDefault="00C375BC" w:rsidP="001614A2">
      <w:pPr>
        <w:spacing w:after="130" w:line="360" w:lineRule="auto"/>
        <w:jc w:val="both"/>
      </w:pPr>
    </w:p>
    <w:p w14:paraId="0E108EC3" w14:textId="77777777" w:rsidR="00C702D2" w:rsidRDefault="008C3CDD" w:rsidP="00C702D2">
      <w:pPr>
        <w:spacing w:after="130" w:line="360" w:lineRule="auto"/>
        <w:jc w:val="center"/>
        <w:rPr>
          <w:i/>
          <w:iCs/>
          <w:color w:val="156082" w:themeColor="accent1"/>
          <w:sz w:val="18"/>
          <w:szCs w:val="18"/>
        </w:rPr>
      </w:pPr>
      <w:r w:rsidRPr="008269E1">
        <w:rPr>
          <w:b/>
          <w:bCs/>
          <w:noProof/>
          <w:bdr w:val="single" w:sz="12" w:space="0" w:color="auto"/>
        </w:rPr>
        <w:lastRenderedPageBreak/>
        <w:drawing>
          <wp:inline distT="0" distB="0" distL="0" distR="0" wp14:anchorId="5999F055" wp14:editId="28457CA9">
            <wp:extent cx="5775960" cy="3035550"/>
            <wp:effectExtent l="0" t="0" r="0" b="0"/>
            <wp:docPr id="11117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495" name=""/>
                    <pic:cNvPicPr/>
                  </pic:nvPicPr>
                  <pic:blipFill>
                    <a:blip r:embed="rId12"/>
                    <a:stretch>
                      <a:fillRect/>
                    </a:stretch>
                  </pic:blipFill>
                  <pic:spPr>
                    <a:xfrm>
                      <a:off x="0" y="0"/>
                      <a:ext cx="5795815" cy="3045985"/>
                    </a:xfrm>
                    <a:prstGeom prst="rect">
                      <a:avLst/>
                    </a:prstGeom>
                  </pic:spPr>
                </pic:pic>
              </a:graphicData>
            </a:graphic>
          </wp:inline>
        </w:drawing>
      </w:r>
    </w:p>
    <w:p w14:paraId="111BFBAF" w14:textId="0CCC20BC" w:rsidR="0079646B" w:rsidRPr="00C702D2" w:rsidRDefault="00A64269" w:rsidP="00C702D2">
      <w:pPr>
        <w:spacing w:after="130" w:line="360" w:lineRule="auto"/>
        <w:jc w:val="center"/>
        <w:rPr>
          <w:b/>
          <w:bCs/>
        </w:rPr>
      </w:pPr>
      <w:r w:rsidRPr="00452CEE">
        <w:rPr>
          <w:i/>
          <w:iCs/>
          <w:color w:val="156082" w:themeColor="accent1"/>
          <w:sz w:val="18"/>
          <w:szCs w:val="18"/>
        </w:rPr>
        <w:t>Figure 2: The proposed seven-stage pipeline. Stage 7 (drift monitoring) closes a gap independently flagged by Carvalho et al. [14] and Javed et al. [22], following Gama et al.'s [29] approach.</w:t>
      </w:r>
    </w:p>
    <w:p w14:paraId="5CECCCC8" w14:textId="77777777" w:rsidR="00C523D5" w:rsidRDefault="00C523D5" w:rsidP="001614A2">
      <w:pPr>
        <w:spacing w:line="360" w:lineRule="auto"/>
        <w:jc w:val="both"/>
        <w:rPr>
          <w:i/>
          <w:iCs/>
          <w:color w:val="156082" w:themeColor="accent1"/>
          <w:sz w:val="18"/>
          <w:szCs w:val="18"/>
        </w:rPr>
      </w:pPr>
    </w:p>
    <w:p w14:paraId="1480AB5A" w14:textId="245551B7" w:rsidR="00CC01E4" w:rsidRDefault="008B5807" w:rsidP="001614A2">
      <w:pPr>
        <w:spacing w:line="360" w:lineRule="auto"/>
        <w:jc w:val="both"/>
      </w:pPr>
      <w:r w:rsidRPr="008B5807">
        <w:t>The pipeline is designed to be read left to right, but not as a one-way process</w:t>
      </w:r>
      <w:r w:rsidR="00BD4247">
        <w:t xml:space="preserve">; </w:t>
      </w:r>
      <w:r w:rsidRPr="008B5807">
        <w:t>the feedback loop from evaluation back into feature engineering and model selection matters as much as the forward sequence. Most of the methodological problems surfaced in Section 2</w:t>
      </w:r>
      <w:r>
        <w:t xml:space="preserve">, </w:t>
      </w:r>
      <w:r w:rsidRPr="008B5807">
        <w:t xml:space="preserve"> benchmark overestimation, concept drift, </w:t>
      </w:r>
      <w:r w:rsidR="00BD4247">
        <w:t xml:space="preserve">and </w:t>
      </w:r>
      <w:r w:rsidRPr="008B5807">
        <w:t>SMOTE's dataset-dependence</w:t>
      </w:r>
      <w:r>
        <w:t xml:space="preserve">, </w:t>
      </w:r>
      <w:r w:rsidRPr="008B5807">
        <w:t>are not solved once at the start and forgotten; they require this loop to be revisited as new failure data accumulates after deployment. A pipeline without that loop would simply reproduce, on a rolling basis, the same benchmark-versus-reality gap discussed in Section 2.2.</w:t>
      </w:r>
    </w:p>
    <w:p w14:paraId="03675D42" w14:textId="2DCC5FB7" w:rsidR="00A96B97" w:rsidRDefault="00A64269" w:rsidP="001614A2">
      <w:pPr>
        <w:pStyle w:val="Heading2"/>
        <w:spacing w:line="360" w:lineRule="auto"/>
        <w:jc w:val="both"/>
      </w:pPr>
      <w:bookmarkStart w:id="11" w:name="_Toc233286947"/>
      <w:r>
        <w:t>3.1 Data Auditing and EDA</w:t>
      </w:r>
      <w:bookmarkEnd w:id="11"/>
    </w:p>
    <w:p w14:paraId="57BD66D5" w14:textId="5A2AB15A" w:rsidR="00A1117F" w:rsidRDefault="002C6D5C" w:rsidP="00C523D5">
      <w:pPr>
        <w:spacing w:after="160" w:line="360" w:lineRule="auto"/>
        <w:jc w:val="both"/>
      </w:pPr>
      <w:r w:rsidRPr="002C6D5C">
        <w:t>The first step is taking stock: sensor sampling rates, how much history exists, how failures have been labelled, and the failure lead time</w:t>
      </w:r>
      <w:r>
        <w:t>,</w:t>
      </w:r>
      <w:r w:rsidRPr="002C6D5C">
        <w:t xml:space="preserve"> the gap between something first going wrong and the failure being recorded [5]</w:t>
      </w:r>
      <w:r>
        <w:t xml:space="preserve">, </w:t>
      </w:r>
      <w:r w:rsidRPr="002C6D5C">
        <w:t>which determines how wide a feature window the model needs. For this company’s three sensor streams, establishing lead times separately for thermal, vibration, and pressure signatures is particularly important: bearing fatigue typically produces detectable vibration anomalies well before a temperature rise confirms the fault, meaning a single global window size would either miss early vibration signals or introduce unnecessary noise from pressure readings not yet relevant to the failure mode in question [5][10]. Distinguishing failure modes at this stage, as Javed et al. [22] stress, is essential: a thermal failure looks very different from bearing fatigue, and a classifier lumping everything together may miss a high-consequence type entirely [14][22]. Exploratory analysis should cover sensor distributions, feature correlations, and the failure-to-normal ratio, steps Lee et al. [4] treat as essential groundwork before any modelling begins.</w:t>
      </w:r>
    </w:p>
    <w:p w14:paraId="4ACBFD58" w14:textId="77777777" w:rsidR="00862DD1" w:rsidRDefault="00862DD1">
      <w:pPr>
        <w:rPr>
          <w:b/>
          <w:bCs/>
          <w:color w:val="2E5090"/>
        </w:rPr>
      </w:pPr>
      <w:r>
        <w:br w:type="page"/>
      </w:r>
    </w:p>
    <w:p w14:paraId="2AB95D62" w14:textId="6372EBC6" w:rsidR="00A96B97" w:rsidRPr="00C523D5" w:rsidRDefault="00A64269" w:rsidP="00C523D5">
      <w:pPr>
        <w:pStyle w:val="Heading2"/>
      </w:pPr>
      <w:bookmarkStart w:id="12" w:name="_Toc233286948"/>
      <w:r>
        <w:lastRenderedPageBreak/>
        <w:t>3.2 Preprocessing</w:t>
      </w:r>
      <w:bookmarkEnd w:id="12"/>
    </w:p>
    <w:p w14:paraId="46539B40" w14:textId="6BE3081A" w:rsidR="00894068" w:rsidRDefault="00943D08" w:rsidP="00C523D5">
      <w:pPr>
        <w:spacing w:after="160" w:line="360" w:lineRule="auto"/>
        <w:jc w:val="both"/>
      </w:pPr>
      <w:r w:rsidRPr="00943D08">
        <w:t>Industrial sensor data is messy: values go missing, outliers crop up from environmental noise, calibration drifts, and multi-rate sensors fall uncoordinated [4]. For this company, the three sensor streams operate at different physical sampling rates</w:t>
      </w:r>
      <w:r>
        <w:t xml:space="preserve">. Vibration </w:t>
      </w:r>
      <w:r w:rsidRPr="00943D08">
        <w:t>data typically requires higher-frequency capture than temperature or pressure to resolve impulsive fault signatures</w:t>
      </w:r>
      <w:r>
        <w:t xml:space="preserve">, </w:t>
      </w:r>
      <w:r w:rsidRPr="00943D08">
        <w:t>meaning alignment to a common time base is a prerequisite before any windowing can begin [4][10]. Short gaps are filled with linear interpolation; outliers are caught using a rolling median absolute deviation test, which is more robust than standard deviation on non-Gaussian data, and are capped rather than discarded [7]. Crucially, every transformation is fitted only on training data and applied identically to test data via a Scikit-learn pipeline, preventing any information leakage of the kind Javed et al. [22] identify as a recurring methodological flaw in the published PdM literature [7].</w:t>
      </w:r>
    </w:p>
    <w:p w14:paraId="524B8EDC" w14:textId="56B3AF29" w:rsidR="00A96B97" w:rsidRPr="00894068" w:rsidRDefault="00A64269" w:rsidP="00894068">
      <w:pPr>
        <w:pStyle w:val="Heading2"/>
      </w:pPr>
      <w:bookmarkStart w:id="13" w:name="_Toc233286949"/>
      <w:r>
        <w:t>3.3 Temporal Feature Engineering</w:t>
      </w:r>
      <w:bookmarkEnd w:id="13"/>
    </w:p>
    <w:p w14:paraId="29EA5F9B" w14:textId="7B60CBA7" w:rsidR="00AB07A2" w:rsidRDefault="00AB07A2" w:rsidP="001614A2">
      <w:pPr>
        <w:spacing w:after="140" w:line="360" w:lineRule="auto"/>
        <w:jc w:val="both"/>
      </w:pPr>
      <w:r>
        <w:t>Within each time window, sized to match the failure lead time from Stage 1 [5], four feature families are extracted. The four families capture fundamentally different aspects of mechanical degradation</w:t>
      </w:r>
      <w:r w:rsidR="0002074A">
        <w:t>;</w:t>
      </w:r>
      <w:r>
        <w:t xml:space="preserve"> no single family on its own would detect the range of failure modes a real factory produces. Table </w:t>
      </w:r>
      <w:r w:rsidR="00DC5408">
        <w:t>3</w:t>
      </w:r>
      <w:r>
        <w:t xml:space="preserve"> summarises each family, the specific features it contributes, what it is designed to detect, and the key literature supporting its inclusion.</w:t>
      </w:r>
    </w:p>
    <w:p w14:paraId="755CF105" w14:textId="77777777" w:rsidR="00100537" w:rsidRDefault="00100537" w:rsidP="001614A2">
      <w:pPr>
        <w:spacing w:after="140" w:line="360" w:lineRule="auto"/>
        <w:jc w:val="both"/>
        <w:rPr>
          <w:b/>
          <w:bCs/>
        </w:rPr>
      </w:pPr>
    </w:p>
    <w:p w14:paraId="08ACCCF3" w14:textId="77777777" w:rsidR="00100537" w:rsidRDefault="00100537" w:rsidP="001614A2">
      <w:pPr>
        <w:spacing w:after="140" w:line="360" w:lineRule="auto"/>
        <w:jc w:val="both"/>
        <w:rPr>
          <w:b/>
          <w:bCs/>
        </w:rPr>
      </w:pPr>
    </w:p>
    <w:p w14:paraId="5BB45D00" w14:textId="77777777" w:rsidR="00100537" w:rsidRDefault="00100537" w:rsidP="001614A2">
      <w:pPr>
        <w:spacing w:after="140" w:line="360" w:lineRule="auto"/>
        <w:jc w:val="both"/>
        <w:rPr>
          <w:b/>
          <w:bCs/>
        </w:rPr>
      </w:pPr>
    </w:p>
    <w:p w14:paraId="660E6459" w14:textId="77777777" w:rsidR="00100537" w:rsidRDefault="00100537" w:rsidP="001614A2">
      <w:pPr>
        <w:spacing w:after="140" w:line="360" w:lineRule="auto"/>
        <w:jc w:val="both"/>
        <w:rPr>
          <w:b/>
          <w:bCs/>
        </w:rPr>
      </w:pPr>
    </w:p>
    <w:p w14:paraId="38ED8313" w14:textId="77777777" w:rsidR="00100537" w:rsidRDefault="00100537" w:rsidP="001614A2">
      <w:pPr>
        <w:spacing w:after="140" w:line="360" w:lineRule="auto"/>
        <w:jc w:val="both"/>
        <w:rPr>
          <w:b/>
          <w:bCs/>
        </w:rPr>
      </w:pPr>
    </w:p>
    <w:p w14:paraId="099C1C51" w14:textId="77777777" w:rsidR="00100537" w:rsidRDefault="00100537" w:rsidP="001614A2">
      <w:pPr>
        <w:spacing w:after="140" w:line="360" w:lineRule="auto"/>
        <w:jc w:val="both"/>
        <w:rPr>
          <w:b/>
          <w:bCs/>
        </w:rPr>
      </w:pPr>
    </w:p>
    <w:p w14:paraId="537F065B" w14:textId="77777777" w:rsidR="00100537" w:rsidRDefault="00100537" w:rsidP="001614A2">
      <w:pPr>
        <w:spacing w:after="140" w:line="360" w:lineRule="auto"/>
        <w:jc w:val="both"/>
        <w:rPr>
          <w:b/>
          <w:bCs/>
        </w:rPr>
      </w:pPr>
    </w:p>
    <w:p w14:paraId="341D972F" w14:textId="77777777" w:rsidR="00100537" w:rsidRDefault="00100537" w:rsidP="001614A2">
      <w:pPr>
        <w:spacing w:after="140" w:line="360" w:lineRule="auto"/>
        <w:jc w:val="both"/>
        <w:rPr>
          <w:b/>
          <w:bCs/>
        </w:rPr>
      </w:pPr>
    </w:p>
    <w:p w14:paraId="4E29D185" w14:textId="77777777" w:rsidR="00100537" w:rsidRDefault="00100537" w:rsidP="001614A2">
      <w:pPr>
        <w:spacing w:after="140" w:line="360" w:lineRule="auto"/>
        <w:jc w:val="both"/>
        <w:rPr>
          <w:b/>
          <w:bCs/>
        </w:rPr>
      </w:pPr>
    </w:p>
    <w:p w14:paraId="0323764F" w14:textId="77777777" w:rsidR="00100537" w:rsidRDefault="00100537" w:rsidP="001614A2">
      <w:pPr>
        <w:spacing w:after="140" w:line="360" w:lineRule="auto"/>
        <w:jc w:val="both"/>
        <w:rPr>
          <w:b/>
          <w:bCs/>
        </w:rPr>
      </w:pPr>
    </w:p>
    <w:p w14:paraId="44642F8F" w14:textId="77777777" w:rsidR="00100537" w:rsidRDefault="00100537" w:rsidP="001614A2">
      <w:pPr>
        <w:spacing w:after="140" w:line="360" w:lineRule="auto"/>
        <w:jc w:val="both"/>
        <w:rPr>
          <w:b/>
          <w:bCs/>
        </w:rPr>
      </w:pPr>
    </w:p>
    <w:p w14:paraId="4850B1DE" w14:textId="77777777" w:rsidR="00100537" w:rsidRDefault="00100537" w:rsidP="001614A2">
      <w:pPr>
        <w:spacing w:after="140" w:line="360" w:lineRule="auto"/>
        <w:jc w:val="both"/>
        <w:rPr>
          <w:b/>
          <w:bCs/>
        </w:rPr>
      </w:pPr>
    </w:p>
    <w:p w14:paraId="3B681713" w14:textId="77777777" w:rsidR="00100537" w:rsidRDefault="00100537" w:rsidP="001614A2">
      <w:pPr>
        <w:spacing w:after="140" w:line="360" w:lineRule="auto"/>
        <w:jc w:val="both"/>
        <w:rPr>
          <w:b/>
          <w:bCs/>
        </w:rPr>
      </w:pPr>
    </w:p>
    <w:p w14:paraId="6BAD5BCE" w14:textId="77777777" w:rsidR="00100537" w:rsidRDefault="00100537" w:rsidP="001614A2">
      <w:pPr>
        <w:spacing w:after="140" w:line="360" w:lineRule="auto"/>
        <w:jc w:val="both"/>
        <w:rPr>
          <w:b/>
          <w:bCs/>
        </w:rPr>
      </w:pPr>
    </w:p>
    <w:p w14:paraId="6A0348AF" w14:textId="77777777" w:rsidR="00862DD1" w:rsidRDefault="00862DD1" w:rsidP="001614A2">
      <w:pPr>
        <w:spacing w:after="140" w:line="360" w:lineRule="auto"/>
        <w:jc w:val="both"/>
        <w:rPr>
          <w:b/>
          <w:bCs/>
        </w:rPr>
      </w:pPr>
    </w:p>
    <w:p w14:paraId="5F666763" w14:textId="0EC300D3" w:rsidR="00D11503" w:rsidRPr="00D11503" w:rsidRDefault="00D11503" w:rsidP="001614A2">
      <w:pPr>
        <w:spacing w:after="140" w:line="360" w:lineRule="auto"/>
        <w:jc w:val="both"/>
        <w:rPr>
          <w:b/>
          <w:bCs/>
        </w:rPr>
      </w:pPr>
      <w:r w:rsidRPr="00D11503">
        <w:rPr>
          <w:b/>
          <w:bCs/>
        </w:rPr>
        <w:lastRenderedPageBreak/>
        <w:t xml:space="preserve">Table </w:t>
      </w:r>
      <w:r>
        <w:rPr>
          <w:b/>
          <w:bCs/>
        </w:rPr>
        <w:t>3</w:t>
      </w:r>
      <w:r w:rsidRPr="00D11503">
        <w:rPr>
          <w:b/>
          <w:bCs/>
        </w:rPr>
        <w:t>: The four feature families extracted within each sensor time window</w:t>
      </w:r>
    </w:p>
    <w:p w14:paraId="1F628923" w14:textId="252A6686" w:rsidR="00AB07A2" w:rsidRDefault="00E63D66" w:rsidP="00C577A8">
      <w:pPr>
        <w:spacing w:after="140" w:line="360" w:lineRule="auto"/>
        <w:jc w:val="both"/>
      </w:pPr>
      <w:r w:rsidRPr="00E63D66">
        <w:rPr>
          <w:noProof/>
          <w:bdr w:val="single" w:sz="12" w:space="0" w:color="auto"/>
        </w:rPr>
        <w:drawing>
          <wp:inline distT="0" distB="0" distL="0" distR="0" wp14:anchorId="36F6E266" wp14:editId="38582AC3">
            <wp:extent cx="5921253" cy="4320914"/>
            <wp:effectExtent l="0" t="0" r="3810" b="3810"/>
            <wp:docPr id="1254084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084546" name=""/>
                    <pic:cNvPicPr/>
                  </pic:nvPicPr>
                  <pic:blipFill>
                    <a:blip r:embed="rId13"/>
                    <a:stretch>
                      <a:fillRect/>
                    </a:stretch>
                  </pic:blipFill>
                  <pic:spPr>
                    <a:xfrm>
                      <a:off x="0" y="0"/>
                      <a:ext cx="5921253" cy="4320914"/>
                    </a:xfrm>
                    <a:prstGeom prst="rect">
                      <a:avLst/>
                    </a:prstGeom>
                  </pic:spPr>
                </pic:pic>
              </a:graphicData>
            </a:graphic>
          </wp:inline>
        </w:drawing>
      </w:r>
    </w:p>
    <w:p w14:paraId="7EEA12FD" w14:textId="36AB4EA0" w:rsidR="001D59B0" w:rsidRPr="001D59B0" w:rsidRDefault="001D59B0" w:rsidP="001D59B0">
      <w:pPr>
        <w:spacing w:line="360" w:lineRule="auto"/>
        <w:jc w:val="both"/>
      </w:pPr>
      <w:r w:rsidRPr="001D59B0">
        <w:t>Each sensor type drives a different feature family</w:t>
      </w:r>
      <w:r>
        <w:t xml:space="preserve">, </w:t>
      </w:r>
      <w:r w:rsidRPr="001D59B0">
        <w:t>not by convention, but because of how each one physically behaves during degradation. Vibration streams feed the time-domain and frequency-domain features: bearing spalling produces sharp impacts that spike the crest factor above the background noise level [10], and rotating component faults show up as energy peaks at predictable FFT frequencies tied to shaft geometry [31]. Temperature changes slowly and progressively</w:t>
      </w:r>
      <w:r>
        <w:t xml:space="preserve">, </w:t>
      </w:r>
      <w:r w:rsidRPr="001D59B0">
        <w:t>a bearing running hot as lubrication degrades will show a rising slope and a non-stationary signal well before catastrophic failure, making temperature the primary source for trend features [5]. Pressure is most useful in combination: a simultaneously rising vibration-to-pressure ratio encodes a coupled stress signature that neither sensor would reveal on its own [4]. Table 3's feature families are therefore not a generic checklist but a direct translation of this company's three sensor types into the representations most sensitive to the failure modes they are likely to face.</w:t>
      </w:r>
    </w:p>
    <w:p w14:paraId="21701952" w14:textId="72D8B6CF" w:rsidR="00A96B97" w:rsidRPr="00A1117F" w:rsidRDefault="00A64269" w:rsidP="001F0817">
      <w:pPr>
        <w:pStyle w:val="Heading2"/>
      </w:pPr>
      <w:bookmarkStart w:id="14" w:name="_Toc233286950"/>
      <w:r>
        <w:t>3.4 Class Imbalance Correction</w:t>
      </w:r>
      <w:bookmarkEnd w:id="14"/>
    </w:p>
    <w:p w14:paraId="64882824" w14:textId="13D62035" w:rsidR="00A96B97" w:rsidRPr="00862DD1" w:rsidRDefault="001766FF" w:rsidP="003C664F">
      <w:pPr>
        <w:spacing w:after="160" w:line="360" w:lineRule="auto"/>
        <w:jc w:val="both"/>
      </w:pPr>
      <w:r w:rsidRPr="00862DD1">
        <w:t>With failures typically 0.5–2% of the data [6][14], the severe class imbalance is not merely a statistical inconvenience</w:t>
      </w:r>
      <w:r w:rsidR="003C664F" w:rsidRPr="00862DD1">
        <w:t xml:space="preserve">; </w:t>
      </w:r>
      <w:r w:rsidRPr="00862DD1">
        <w:t>it directly reflects the operational reality of this company’s machinery, where most sensor windows will record normal operation and confirmed failures will be rare, particularly at early deployment when the labelled failure archive is still accumulating. The workflow</w:t>
      </w:r>
      <w:r w:rsidR="003C664F" w:rsidRPr="00862DD1">
        <w:t>,</w:t>
      </w:r>
      <w:r w:rsidRPr="00862DD1">
        <w:t xml:space="preserve"> therefore</w:t>
      </w:r>
      <w:r w:rsidR="003C664F" w:rsidRPr="00862DD1">
        <w:t>,</w:t>
      </w:r>
      <w:r w:rsidRPr="00862DD1">
        <w:t xml:space="preserve"> starts with standard SMOTE as the conservative default established in Section 2.7, and tests cost-sensitive weighting and the Borderline-SMOTE/ADASYN variants empirically, choosing whichever performs </w:t>
      </w:r>
      <w:r w:rsidRPr="00862DD1">
        <w:lastRenderedPageBreak/>
        <w:t>best on AUC-PR [28]. The choice of SMOTE as the starting point, rather than the more aggressive ADASYN variant, is justified by the absence of prior knowledge about where failures cluster in this company’s feature space at deployment outset</w:t>
      </w:r>
      <w:r w:rsidR="003C664F" w:rsidRPr="00862DD1">
        <w:t xml:space="preserve">, </w:t>
      </w:r>
      <w:r w:rsidRPr="00862DD1">
        <w:t>a position grounded in He and Garcia’s [28] finding that ADASYN’s boundary-focused oversampling only outperforms standard SMOTE when failure examples are known in advance to concentrate near the decision boundary. Figure 3 shows the original imbalance and the effect of SMOTE correction.</w:t>
      </w:r>
    </w:p>
    <w:p w14:paraId="64892E94" w14:textId="77777777" w:rsidR="008C0A12" w:rsidRDefault="008C0A12" w:rsidP="001614A2">
      <w:pPr>
        <w:spacing w:after="130" w:line="360" w:lineRule="auto"/>
        <w:jc w:val="both"/>
      </w:pPr>
    </w:p>
    <w:p w14:paraId="5678E69C" w14:textId="77777777" w:rsidR="00A96B97" w:rsidRDefault="00A64269" w:rsidP="001614A2">
      <w:pPr>
        <w:spacing w:before="200" w:after="60" w:line="360" w:lineRule="auto"/>
        <w:jc w:val="center"/>
      </w:pPr>
      <w:r w:rsidRPr="008C0A12">
        <w:rPr>
          <w:noProof/>
          <w:bdr w:val="single" w:sz="12" w:space="0" w:color="auto"/>
        </w:rPr>
        <w:drawing>
          <wp:inline distT="0" distB="0" distL="0" distR="0" wp14:anchorId="2AE8E0D5" wp14:editId="0889208D">
            <wp:extent cx="5946773" cy="2907102"/>
            <wp:effectExtent l="0" t="0" r="0" b="7620"/>
            <wp:docPr id="2042582893" name="Picture 2042582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4"/>
                    <a:srcRect t="6720"/>
                    <a:stretch>
                      <a:fillRect/>
                    </a:stretch>
                  </pic:blipFill>
                  <pic:spPr bwMode="auto">
                    <a:xfrm>
                      <a:off x="0" y="0"/>
                      <a:ext cx="5966608" cy="2916798"/>
                    </a:xfrm>
                    <a:prstGeom prst="rect">
                      <a:avLst/>
                    </a:prstGeom>
                    <a:ln>
                      <a:noFill/>
                    </a:ln>
                    <a:extLst>
                      <a:ext uri="{53640926-AAD7-44D8-BBD7-CCE9431645EC}">
                        <a14:shadowObscured xmlns:a14="http://schemas.microsoft.com/office/drawing/2010/main"/>
                      </a:ext>
                    </a:extLst>
                  </pic:spPr>
                </pic:pic>
              </a:graphicData>
            </a:graphic>
          </wp:inline>
        </w:drawing>
      </w:r>
    </w:p>
    <w:p w14:paraId="7733E056" w14:textId="77777777" w:rsidR="00A96B97" w:rsidRPr="008C0A12" w:rsidRDefault="00A64269" w:rsidP="001614A2">
      <w:pPr>
        <w:spacing w:after="200" w:line="360" w:lineRule="auto"/>
        <w:jc w:val="center"/>
        <w:rPr>
          <w:color w:val="156082" w:themeColor="accent1"/>
        </w:rPr>
      </w:pPr>
      <w:r w:rsidRPr="008C0A12">
        <w:rPr>
          <w:i/>
          <w:iCs/>
          <w:color w:val="156082" w:themeColor="accent1"/>
          <w:sz w:val="18"/>
          <w:szCs w:val="18"/>
        </w:rPr>
        <w:t>Figure 3: How the class balance shifts before and after SMOTE [6]. Raw data shows roughly 1.8% failures, in line with [6][14]; SMOTE rebalances training data to 75:25, applied only within each training fold to avoid leaking information [7].</w:t>
      </w:r>
    </w:p>
    <w:p w14:paraId="4E2AD211" w14:textId="77777777" w:rsidR="008C0A12" w:rsidRDefault="008C0A12" w:rsidP="001614A2">
      <w:pPr>
        <w:spacing w:line="360" w:lineRule="auto"/>
      </w:pPr>
    </w:p>
    <w:p w14:paraId="7CAA6274" w14:textId="43286573" w:rsidR="00CC01E4" w:rsidRPr="00862DD1" w:rsidRDefault="002B0B83" w:rsidP="00A245C5">
      <w:pPr>
        <w:spacing w:after="160" w:line="360" w:lineRule="auto"/>
        <w:jc w:val="both"/>
      </w:pPr>
      <w:r w:rsidRPr="00862DD1">
        <w:t>The scale of the imbalance shown in Figure 3 is the reason accuracy alone is such a poor metric for this problem: a model that predicted “normal” for every observation would still score above 98% accuracy on the raw distribution. SMOTE’s rebalancing changes only what the model sees during training, which is why the cost-weighted evaluation in Section 3.6 must still be calibrated against the true, imbalanced operational distribution rather than the synthetically balanced training distribution [6][28].</w:t>
      </w:r>
    </w:p>
    <w:p w14:paraId="1C323223" w14:textId="39047FDF" w:rsidR="00A96B97" w:rsidRDefault="00A64269" w:rsidP="001614A2">
      <w:pPr>
        <w:pStyle w:val="Heading2"/>
        <w:spacing w:line="360" w:lineRule="auto"/>
        <w:jc w:val="both"/>
      </w:pPr>
      <w:bookmarkStart w:id="15" w:name="_Toc233286951"/>
      <w:r>
        <w:t>3.5 Training, Cross-Validation, and Hyperparameters</w:t>
      </w:r>
      <w:bookmarkEnd w:id="15"/>
    </w:p>
    <w:p w14:paraId="27796184" w14:textId="77777777" w:rsidR="00AD79B5" w:rsidRPr="00AD79B5" w:rsidRDefault="00AD79B5" w:rsidP="00AD79B5">
      <w:pPr>
        <w:spacing w:after="130" w:line="360" w:lineRule="auto"/>
        <w:jc w:val="both"/>
      </w:pPr>
      <w:r w:rsidRPr="00AD79B5">
        <w:t>The dataset is split chronologically (70/15/15) rather than randomly to avoid the data leakage highlighted by Javed et al. [22] and others [5]. However, this assumes a sufficient number of labelled failures. If fewer than 50 failure cases are available, which is realistic during early deployment, the split should be adjusted (e.g., 80/10/10) or cross-validation expanded to ensure reliable evaluation. The final decision should be made during the Stage 1 data audit once the true failure count is known [5][7].</w:t>
      </w:r>
    </w:p>
    <w:p w14:paraId="769ECE88" w14:textId="77777777" w:rsidR="00AD79B5" w:rsidRPr="00AD79B5" w:rsidRDefault="00AD79B5" w:rsidP="00AD79B5">
      <w:pPr>
        <w:spacing w:after="130" w:line="360" w:lineRule="auto"/>
        <w:jc w:val="both"/>
      </w:pPr>
      <w:r w:rsidRPr="00AD79B5">
        <w:lastRenderedPageBreak/>
        <w:t>TimeSeriesSplit uses five expanding folds, balancing stable performance estimates against the need to preserve enough training data for meaningful temporal patterns to emerge [7]. This also reflects real deployment, where models are retrained on all available historical data rather than a fixed time window.</w:t>
      </w:r>
    </w:p>
    <w:p w14:paraId="45661F7B" w14:textId="77777777" w:rsidR="00AD79B5" w:rsidRPr="00AD79B5" w:rsidRDefault="00AD79B5" w:rsidP="00AD79B5">
      <w:pPr>
        <w:spacing w:after="130" w:line="360" w:lineRule="auto"/>
        <w:jc w:val="both"/>
      </w:pPr>
      <w:r w:rsidRPr="00AD79B5">
        <w:t>Hyperparameters are tuned using Bayesian optimisation with a Tree-structured Parzen Estimator (TPE), optimising for AUC-PR [28]. Unlike grid search, which evaluates every parameter combination and becomes costly as complexity grows, TPE focuses on the most promising regions of the search space. This allows strong configurations to be found in far fewer trials, making it a practical choice for deployment on the company's CPU-only infrastructure [7].</w:t>
      </w:r>
    </w:p>
    <w:p w14:paraId="51D0401F" w14:textId="6AE92EBE" w:rsidR="00862DD1" w:rsidRDefault="00862DD1" w:rsidP="001D21D1">
      <w:pPr>
        <w:spacing w:after="130" w:line="360" w:lineRule="auto"/>
        <w:jc w:val="both"/>
        <w:rPr>
          <w:b/>
          <w:bCs/>
          <w:color w:val="2E5090"/>
        </w:rPr>
      </w:pPr>
      <w:r>
        <w:br w:type="page"/>
      </w:r>
    </w:p>
    <w:p w14:paraId="1F9B1EA4" w14:textId="0F41290B" w:rsidR="00A96B97" w:rsidRDefault="00A64269" w:rsidP="001614A2">
      <w:pPr>
        <w:pStyle w:val="Heading2"/>
        <w:spacing w:line="360" w:lineRule="auto"/>
      </w:pPr>
      <w:bookmarkStart w:id="16" w:name="_Toc233286952"/>
      <w:r>
        <w:lastRenderedPageBreak/>
        <w:t>3.6 Evaluation and Cost-Sensitive Thresholding</w:t>
      </w:r>
      <w:bookmarkEnd w:id="16"/>
    </w:p>
    <w:p w14:paraId="167D0CA1" w14:textId="3CE1E115" w:rsidR="008C0A12" w:rsidRDefault="00CC01E4" w:rsidP="001614A2">
      <w:pPr>
        <w:spacing w:after="130" w:line="360" w:lineRule="auto"/>
        <w:jc w:val="both"/>
      </w:pPr>
      <w:r w:rsidRPr="00CC01E4">
        <w:t xml:space="preserve">Plain accuracy is misleading once data is this imbalanced [19][28]. Every metric here derives from the confusion matrix, and the asymmetry matters in manufacturing: a missed failure costs far more than a false alarm [19]. No single metric captures this asymmetry well on its own, so </w:t>
      </w:r>
      <w:r w:rsidRPr="00A01B63">
        <w:t xml:space="preserve">Table </w:t>
      </w:r>
      <w:r w:rsidR="00A01B63">
        <w:t>4</w:t>
      </w:r>
      <w:r w:rsidRPr="00CC01E4">
        <w:t xml:space="preserve"> sets out the recommended metrics together, alongside what each is good for and where it can mislead.</w:t>
      </w:r>
    </w:p>
    <w:p w14:paraId="5AA86AA9" w14:textId="3E2845D0" w:rsidR="00090CE4" w:rsidRPr="00E8560C" w:rsidRDefault="00E8560C" w:rsidP="001614A2">
      <w:pPr>
        <w:spacing w:after="130" w:line="360" w:lineRule="auto"/>
        <w:jc w:val="both"/>
        <w:rPr>
          <w:b/>
          <w:bCs/>
        </w:rPr>
      </w:pPr>
      <w:r w:rsidRPr="00A01B63">
        <w:rPr>
          <w:b/>
          <w:bCs/>
        </w:rPr>
        <w:t xml:space="preserve">Table </w:t>
      </w:r>
      <w:r w:rsidR="00A01B63">
        <w:rPr>
          <w:b/>
          <w:bCs/>
        </w:rPr>
        <w:t>4</w:t>
      </w:r>
      <w:r w:rsidRPr="00A01B63">
        <w:rPr>
          <w:b/>
          <w:bCs/>
        </w:rPr>
        <w:t>:</w:t>
      </w:r>
      <w:r w:rsidRPr="00E8560C">
        <w:rPr>
          <w:b/>
          <w:bCs/>
        </w:rPr>
        <w:t xml:space="preserve"> Recommended evaluation metrics, with strengths and limitations</w:t>
      </w:r>
    </w:p>
    <w:p w14:paraId="397E2D7B" w14:textId="5238F6B4" w:rsidR="00A1117F" w:rsidRDefault="00090CE4" w:rsidP="001614A2">
      <w:pPr>
        <w:spacing w:after="130" w:line="360" w:lineRule="auto"/>
        <w:jc w:val="both"/>
      </w:pPr>
      <w:r w:rsidRPr="00090CE4">
        <w:rPr>
          <w:noProof/>
          <w:bdr w:val="single" w:sz="12" w:space="0" w:color="auto"/>
        </w:rPr>
        <w:drawing>
          <wp:inline distT="0" distB="0" distL="0" distR="0" wp14:anchorId="22DFF468" wp14:editId="04B00922">
            <wp:extent cx="5951736" cy="4054191"/>
            <wp:effectExtent l="0" t="0" r="0" b="3810"/>
            <wp:docPr id="2044995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995134" name=""/>
                    <pic:cNvPicPr/>
                  </pic:nvPicPr>
                  <pic:blipFill>
                    <a:blip r:embed="rId15"/>
                    <a:stretch>
                      <a:fillRect/>
                    </a:stretch>
                  </pic:blipFill>
                  <pic:spPr>
                    <a:xfrm>
                      <a:off x="0" y="0"/>
                      <a:ext cx="5951736" cy="4054191"/>
                    </a:xfrm>
                    <a:prstGeom prst="rect">
                      <a:avLst/>
                    </a:prstGeom>
                  </pic:spPr>
                </pic:pic>
              </a:graphicData>
            </a:graphic>
          </wp:inline>
        </w:drawing>
      </w:r>
    </w:p>
    <w:p w14:paraId="0A6F9C81" w14:textId="3B7E19B0" w:rsidR="004C0E42" w:rsidRDefault="004C0E42" w:rsidP="001614A2">
      <w:pPr>
        <w:spacing w:after="130" w:line="360" w:lineRule="auto"/>
        <w:jc w:val="both"/>
      </w:pPr>
      <w:r w:rsidRPr="004C0E42">
        <w:t>No single metric from this table should be treated as decisive in isolation; each captures a different aspect of model performance under severe class imbalance [19][28].</w:t>
      </w:r>
    </w:p>
    <w:p w14:paraId="2CA7C3BA" w14:textId="77777777" w:rsidR="00AA4F72" w:rsidRDefault="00AA4F72" w:rsidP="001614A2">
      <w:pPr>
        <w:spacing w:after="140" w:line="360" w:lineRule="auto"/>
        <w:jc w:val="both"/>
      </w:pPr>
      <w:r w:rsidRPr="00AA4F72">
        <w:t>AUC-ROC works well when classes are balanced, but with failures under 2% of the data, the true-negative rate dominates and can mask weak minority-class performance, so AUC-PR, focused purely on the positive class, is the main target here [28]. Figure 4 nonetheless presents ROC curves for all five algorithms, since AUC-ROC remains the most widely reported metric in the literature reviewed in Section 2 and allows direct comparison against those published results.</w:t>
      </w:r>
    </w:p>
    <w:p w14:paraId="718682FC" w14:textId="2C6B54FA" w:rsidR="00C20E9C" w:rsidRDefault="00C20E9C" w:rsidP="001614A2">
      <w:pPr>
        <w:spacing w:after="140" w:line="360" w:lineRule="auto"/>
        <w:jc w:val="both"/>
      </w:pPr>
      <w:r>
        <w:t>AUC-ROC works well when classes are balanced, but with failures under 2% of the data, the true-negative rate dominates and can mask weak minority-class performance, so AUC-PR, focused purely on the positive class, is the main target here [28]. Figure 4 nonetheless presents ROC curves for all five algorithms, since AUC-ROC remains the most widely reported metric in the literature reviewed in Section 2 and allows direct comparison against those published results.</w:t>
      </w:r>
    </w:p>
    <w:p w14:paraId="505BF80E" w14:textId="263B29D5" w:rsidR="00C20E9C" w:rsidRDefault="001E27CC" w:rsidP="001E27CC">
      <w:pPr>
        <w:spacing w:after="140" w:line="360" w:lineRule="auto"/>
        <w:jc w:val="both"/>
      </w:pPr>
      <w:r w:rsidRPr="001E27CC">
        <w:rPr>
          <w:noProof/>
          <w:bdr w:val="single" w:sz="12" w:space="0" w:color="auto"/>
        </w:rPr>
        <w:lastRenderedPageBreak/>
        <w:drawing>
          <wp:inline distT="0" distB="0" distL="0" distR="0" wp14:anchorId="597F11FC" wp14:editId="7AE1C3CA">
            <wp:extent cx="5883150" cy="4534293"/>
            <wp:effectExtent l="0" t="0" r="3810" b="0"/>
            <wp:docPr id="726924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24066" name=""/>
                    <pic:cNvPicPr/>
                  </pic:nvPicPr>
                  <pic:blipFill>
                    <a:blip r:embed="rId16"/>
                    <a:stretch>
                      <a:fillRect/>
                    </a:stretch>
                  </pic:blipFill>
                  <pic:spPr>
                    <a:xfrm>
                      <a:off x="0" y="0"/>
                      <a:ext cx="5883150" cy="4534293"/>
                    </a:xfrm>
                    <a:prstGeom prst="rect">
                      <a:avLst/>
                    </a:prstGeom>
                  </pic:spPr>
                </pic:pic>
              </a:graphicData>
            </a:graphic>
          </wp:inline>
        </w:drawing>
      </w:r>
    </w:p>
    <w:p w14:paraId="73480A53" w14:textId="77777777" w:rsidR="00C20E9C" w:rsidRPr="00FC2ACE" w:rsidRDefault="00C20E9C" w:rsidP="001614A2">
      <w:pPr>
        <w:spacing w:before="40" w:after="220" w:line="360" w:lineRule="auto"/>
        <w:jc w:val="center"/>
        <w:rPr>
          <w:color w:val="156082" w:themeColor="accent1"/>
        </w:rPr>
      </w:pPr>
      <w:r w:rsidRPr="00FC2ACE">
        <w:rPr>
          <w:i/>
          <w:iCs/>
          <w:color w:val="156082" w:themeColor="accent1"/>
          <w:sz w:val="19"/>
          <w:szCs w:val="19"/>
        </w:rPr>
        <w:t>Figure 4: ROC curves across all five algorithms. Random Forest (≈0.97) and Gradient Boosting (≈0.98) are barely distinguishable, while SVM (≈0.91) and logistic regression (≈0.81) fall noticeably behind [10][11][12][14][16][17][24][31].</w:t>
      </w:r>
    </w:p>
    <w:p w14:paraId="2EA3DDAA" w14:textId="4FB4F9BA" w:rsidR="009D67E7" w:rsidRDefault="007713CE" w:rsidP="001E27CC">
      <w:pPr>
        <w:spacing w:after="140" w:line="360" w:lineRule="auto"/>
        <w:jc w:val="both"/>
      </w:pPr>
      <w:r w:rsidRPr="007713CE">
        <w:t>Random Forest and Gradient Boosting trace almost identical curves, separated by a margin small enough to fall within typical cross-validation noise — a visual confirmation of the argument made in Section 2.4 that the accuracy gap between the two algorithms is unlikely to be practically meaningful once real-world conditions are accounted for. SVM and logistic regression fall away more sharply, consistent with the structural limitations discussed in Section 2.5: SVM's small-sample advantage does not scale to this company's data volumes, and logistic regression's linear boundary cannot capture the non-linear degradation curves Jardine et al. [5] document.</w:t>
      </w:r>
    </w:p>
    <w:p w14:paraId="74C04030" w14:textId="4160838F" w:rsidR="00A96B97" w:rsidRPr="009D67E7" w:rsidRDefault="00A64269" w:rsidP="001614A2">
      <w:pPr>
        <w:pStyle w:val="Heading2"/>
        <w:spacing w:line="360" w:lineRule="auto"/>
      </w:pPr>
      <w:bookmarkStart w:id="17" w:name="_Toc233286953"/>
      <w:r>
        <w:t>3.7 Explainability Integration</w:t>
      </w:r>
      <w:bookmarkEnd w:id="17"/>
    </w:p>
    <w:p w14:paraId="21E583E5" w14:textId="3CD5BF61" w:rsidR="009952CC" w:rsidRPr="009952CC" w:rsidRDefault="009952CC" w:rsidP="009952CC">
      <w:pPr>
        <w:spacing w:after="130" w:line="360" w:lineRule="auto"/>
        <w:jc w:val="both"/>
      </w:pPr>
      <w:r w:rsidRPr="009952CC">
        <w:t>Once training is done, SHAP TreeExplainer [26] produces an overall picture of which features matter most</w:t>
      </w:r>
      <w:r>
        <w:t>,</w:t>
      </w:r>
      <w:r w:rsidRPr="009952CC">
        <w:t xml:space="preserve"> more reliable than the standard impurity-based ranking [25]</w:t>
      </w:r>
      <w:r>
        <w:t>,</w:t>
      </w:r>
      <w:r w:rsidRPr="009952CC">
        <w:t xml:space="preserve"> and individual explanations for each prediction, so engineers see which readings triggered an alert. Baptista et al. [27] found this transparency essential for engineer trust. The cross-sensor features from Section 3.3 do double duty, improving accuracy while keeping SHAP's explanations more reliable [26]. Whether SHAP genuinely improves decision quality, not just accuracy figures, is something the pilot in Section 4.4 is designed to test [27].</w:t>
      </w:r>
    </w:p>
    <w:p w14:paraId="7D01A40E" w14:textId="39090972" w:rsidR="009952CC" w:rsidRPr="009952CC" w:rsidRDefault="009952CC" w:rsidP="009952CC">
      <w:pPr>
        <w:spacing w:after="130" w:line="360" w:lineRule="auto"/>
        <w:jc w:val="both"/>
      </w:pPr>
      <w:r w:rsidRPr="009952CC">
        <w:lastRenderedPageBreak/>
        <w:t xml:space="preserve">In practice, SHAP-guided selection works iteratively: after an initial training run, features with near-zero mean absolute SHAP values across the training set are candidates for removal; the model is then retrained on the reduced feature set and the process </w:t>
      </w:r>
      <w:r>
        <w:t xml:space="preserve">is </w:t>
      </w:r>
      <w:r w:rsidRPr="009952CC">
        <w:t>repeated. The stopping criterion is an AUC-PR improvement of less than 0.005 between successive iterations</w:t>
      </w:r>
      <w:r>
        <w:t xml:space="preserve">; </w:t>
      </w:r>
      <w:r w:rsidRPr="009952CC">
        <w:t xml:space="preserve">below that threshold, further feature removal </w:t>
      </w:r>
      <w:r>
        <w:t>adds</w:t>
      </w:r>
      <w:r w:rsidRPr="009952CC">
        <w:t xml:space="preserve"> complexity without meaningful gain. Typically</w:t>
      </w:r>
      <w:r>
        <w:t>,</w:t>
      </w:r>
      <w:r w:rsidRPr="009952CC">
        <w:t xml:space="preserve"> two to three iterations are sufficient before the curve flattens [7][25]. This approach is preferred to standard Mean Decrease in Impurity (MDI) feature selection because, as Strobl et al. [25] demonstrate, MDI tends to overestimate the importance of correlated features. In this case, that could unfairly favour the cross-sensor features introduced in Section 3.3, making them appear more valuable than they actually are</w:t>
      </w:r>
      <w:r>
        <w:t>,</w:t>
      </w:r>
      <w:r w:rsidRPr="009952CC">
        <w:t xml:space="preserve"> rather than assessing their true contribution to predictive performance.</w:t>
      </w:r>
    </w:p>
    <w:p w14:paraId="0E6B565F" w14:textId="433BEC30" w:rsidR="00A96B97" w:rsidRDefault="00A96B97" w:rsidP="001614A2">
      <w:pPr>
        <w:spacing w:after="130" w:line="360" w:lineRule="auto"/>
        <w:jc w:val="both"/>
      </w:pPr>
    </w:p>
    <w:p w14:paraId="46DD2166" w14:textId="3C94D9E0" w:rsidR="00A96B97" w:rsidRPr="00A01B63" w:rsidRDefault="00AC71AD" w:rsidP="004B29BF">
      <w:pPr>
        <w:pStyle w:val="Heading1"/>
      </w:pPr>
      <w:r>
        <w:br w:type="page"/>
      </w:r>
      <w:bookmarkStart w:id="18" w:name="_Toc233286954"/>
      <w:r w:rsidR="00A64269">
        <w:lastRenderedPageBreak/>
        <w:t>4. Discussion and Recommendation</w:t>
      </w:r>
      <w:bookmarkEnd w:id="18"/>
    </w:p>
    <w:p w14:paraId="4CC61803" w14:textId="70956BB9" w:rsidR="00814E7B" w:rsidRDefault="00814E7B" w:rsidP="00814E7B">
      <w:pPr>
        <w:spacing w:line="360" w:lineRule="auto"/>
        <w:jc w:val="both"/>
      </w:pPr>
      <w:r w:rsidRPr="00814E7B">
        <w:t>Section 2 looked at each algorithm largely on its own terms. This section is where those threads come together. The aim is not to arrive at a conclusion that looks neat in hindsight, but to be explicit enough about the reasoning that the client can come back to it as their data grows and their operational picture changes</w:t>
      </w:r>
      <w:r>
        <w:t xml:space="preserve">, </w:t>
      </w:r>
      <w:r w:rsidRPr="00814E7B">
        <w:t>a recommendation made once, but a framework for thinking that should hold up over time.</w:t>
      </w:r>
    </w:p>
    <w:p w14:paraId="2E6995E3" w14:textId="77777777" w:rsidR="00814E7B" w:rsidRDefault="00814E7B" w:rsidP="00814E7B"/>
    <w:p w14:paraId="2C572A4F" w14:textId="1C282FFF" w:rsidR="00A96B97" w:rsidRDefault="00A64269" w:rsidP="001614A2">
      <w:pPr>
        <w:pStyle w:val="Heading2"/>
        <w:spacing w:line="360" w:lineRule="auto"/>
      </w:pPr>
      <w:bookmarkStart w:id="19" w:name="_Toc233286955"/>
      <w:r>
        <w:t>4.1 Primary Recommendation: Random Forest with SHAP</w:t>
      </w:r>
      <w:bookmarkEnd w:id="19"/>
    </w:p>
    <w:p w14:paraId="49001591" w14:textId="76380BC0" w:rsidR="001E27CC" w:rsidRDefault="00773A47" w:rsidP="001614A2">
      <w:pPr>
        <w:spacing w:after="130" w:line="360" w:lineRule="auto"/>
        <w:jc w:val="both"/>
      </w:pPr>
      <w:r w:rsidRPr="00773A47">
        <w:t>The three criteria established in the Introduction</w:t>
      </w:r>
      <w:r>
        <w:t xml:space="preserve">, </w:t>
      </w:r>
      <w:r w:rsidRPr="00773A47">
        <w:t xml:space="preserve">predictive accuracy, interpretability, and computational cost — are the lens through which everything in this section should be read. No algorithm is assessed against one criterion in isolation; the recommendation that follows is the one that holds up across all three simultaneously, not the one that tops any single dimension. Pulling together evidence from Breiman [9], Carvalho et al. [14], Lei et al. [31], and Baptista et al. [27], Random Forest with SHAP augmentation is </w:t>
      </w:r>
      <w:r>
        <w:t>the</w:t>
      </w:r>
      <w:r w:rsidRPr="00773A47">
        <w:t xml:space="preserve"> recommendation. Section 2 weighed each algorithm largely on its own terms; Table 5 now puts all five side by side across six practical dimensions at once, so the trade-offs already discussed individually can be seen together.</w:t>
      </w:r>
    </w:p>
    <w:p w14:paraId="34E55BE6" w14:textId="77777777" w:rsidR="00773A47" w:rsidRDefault="00773A47" w:rsidP="001614A2">
      <w:pPr>
        <w:spacing w:after="130" w:line="360" w:lineRule="auto"/>
        <w:jc w:val="both"/>
      </w:pPr>
    </w:p>
    <w:p w14:paraId="3036DAC5" w14:textId="3F2E8E2D" w:rsidR="00DF1ACE" w:rsidRPr="00E9572F" w:rsidRDefault="00E9572F" w:rsidP="001614A2">
      <w:pPr>
        <w:spacing w:after="130" w:line="360" w:lineRule="auto"/>
        <w:jc w:val="both"/>
        <w:rPr>
          <w:b/>
          <w:bCs/>
        </w:rPr>
      </w:pPr>
      <w:r w:rsidRPr="00E9572F">
        <w:rPr>
          <w:b/>
          <w:bCs/>
        </w:rPr>
        <w:t xml:space="preserve">Table </w:t>
      </w:r>
      <w:r w:rsidR="00A01B63">
        <w:rPr>
          <w:b/>
          <w:bCs/>
        </w:rPr>
        <w:t>5</w:t>
      </w:r>
      <w:r w:rsidRPr="00E9572F">
        <w:rPr>
          <w:b/>
          <w:bCs/>
        </w:rPr>
        <w:t>: Comparative assessment of five algorithms across six dimensions</w:t>
      </w:r>
    </w:p>
    <w:p w14:paraId="1B76091A" w14:textId="77777777" w:rsidR="00E9572F" w:rsidRDefault="00DF1ACE" w:rsidP="00E9572F">
      <w:pPr>
        <w:spacing w:after="130" w:line="360" w:lineRule="auto"/>
        <w:jc w:val="both"/>
      </w:pPr>
      <w:r w:rsidRPr="00DF1ACE">
        <w:rPr>
          <w:noProof/>
          <w:bdr w:val="single" w:sz="12" w:space="0" w:color="auto"/>
        </w:rPr>
        <w:drawing>
          <wp:inline distT="0" distB="0" distL="0" distR="0" wp14:anchorId="26715358" wp14:editId="6408335F">
            <wp:extent cx="6090699" cy="2856001"/>
            <wp:effectExtent l="0" t="0" r="5715" b="1905"/>
            <wp:docPr id="85697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97698" name=""/>
                    <pic:cNvPicPr/>
                  </pic:nvPicPr>
                  <pic:blipFill>
                    <a:blip r:embed="rId17"/>
                    <a:stretch>
                      <a:fillRect/>
                    </a:stretch>
                  </pic:blipFill>
                  <pic:spPr>
                    <a:xfrm>
                      <a:off x="0" y="0"/>
                      <a:ext cx="6095178" cy="2858101"/>
                    </a:xfrm>
                    <a:prstGeom prst="rect">
                      <a:avLst/>
                    </a:prstGeom>
                  </pic:spPr>
                </pic:pic>
              </a:graphicData>
            </a:graphic>
          </wp:inline>
        </w:drawing>
      </w:r>
    </w:p>
    <w:p w14:paraId="7876B4A3" w14:textId="55807D82" w:rsidR="00E9572F" w:rsidRDefault="00E9572F" w:rsidP="00E9572F">
      <w:pPr>
        <w:spacing w:after="130" w:line="360" w:lineRule="auto"/>
        <w:jc w:val="both"/>
      </w:pPr>
      <w:r w:rsidRPr="00E9572F">
        <w:t>Performance figures drawn from the reviewed literature [8][9][10][11][12][13][14][15][16][17][24][26][27][28][31]. The Verdict column applies specifically to the client's resource-constrained SME manufacturing deployment context.</w:t>
      </w:r>
    </w:p>
    <w:p w14:paraId="65F13377" w14:textId="23C93158" w:rsidR="009D67E7" w:rsidRDefault="00F119CC" w:rsidP="00E9572F">
      <w:pPr>
        <w:spacing w:after="130" w:line="360" w:lineRule="auto"/>
        <w:jc w:val="both"/>
      </w:pPr>
      <w:r w:rsidRPr="00F119CC">
        <w:t>What the table demonstrates is that the case for Random Forest is cumulative rather than dominant</w:t>
      </w:r>
      <w:r w:rsidR="00F16684">
        <w:t xml:space="preserve">, </w:t>
      </w:r>
      <w:r w:rsidRPr="00F119CC">
        <w:t xml:space="preserve">it doesn't win outright on any single column, but it's the only algorithm that avoids scoring poorly on any of them. Gradient Boosting's strength on accuracy is offset by weaknesses on cost and </w:t>
      </w:r>
      <w:r w:rsidRPr="00F119CC">
        <w:lastRenderedPageBreak/>
        <w:t>hyperparameter sensitivity; SVM's small-sample strength is offset by poor scalability and interpretability. Figure 5 below translates the accuracy-related rows of this comparison into a direct visual benchmark.</w:t>
      </w:r>
    </w:p>
    <w:p w14:paraId="299F781B" w14:textId="77777777" w:rsidR="00F119CC" w:rsidRDefault="00F119CC" w:rsidP="001614A2">
      <w:pPr>
        <w:spacing w:before="50" w:after="160" w:line="360" w:lineRule="auto"/>
      </w:pPr>
    </w:p>
    <w:p w14:paraId="6B88B933" w14:textId="77777777" w:rsidR="00A96B97" w:rsidRDefault="00A64269" w:rsidP="001614A2">
      <w:pPr>
        <w:spacing w:before="200" w:after="60" w:line="360" w:lineRule="auto"/>
        <w:jc w:val="center"/>
      </w:pPr>
      <w:r w:rsidRPr="00A1117F">
        <w:rPr>
          <w:noProof/>
          <w:bdr w:val="single" w:sz="12" w:space="0" w:color="auto"/>
        </w:rPr>
        <w:drawing>
          <wp:inline distT="0" distB="0" distL="0" distR="0" wp14:anchorId="1C36ECB3" wp14:editId="63EB8C03">
            <wp:extent cx="5402580" cy="2835354"/>
            <wp:effectExtent l="0" t="0" r="7620" b="3175"/>
            <wp:docPr id="730347524" name="Picture 730347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8"/>
                    <a:srcRect t="8285"/>
                    <a:stretch>
                      <a:fillRect/>
                    </a:stretch>
                  </pic:blipFill>
                  <pic:spPr bwMode="auto">
                    <a:xfrm>
                      <a:off x="0" y="0"/>
                      <a:ext cx="5410890" cy="2839715"/>
                    </a:xfrm>
                    <a:prstGeom prst="rect">
                      <a:avLst/>
                    </a:prstGeom>
                    <a:ln>
                      <a:noFill/>
                    </a:ln>
                    <a:extLst>
                      <a:ext uri="{53640926-AAD7-44D8-BBD7-CCE9431645EC}">
                        <a14:shadowObscured xmlns:a14="http://schemas.microsoft.com/office/drawing/2010/main"/>
                      </a:ext>
                    </a:extLst>
                  </pic:spPr>
                </pic:pic>
              </a:graphicData>
            </a:graphic>
          </wp:inline>
        </w:drawing>
      </w:r>
    </w:p>
    <w:p w14:paraId="7735C007" w14:textId="77777777" w:rsidR="00A96B97" w:rsidRPr="00A1117F" w:rsidRDefault="00A64269" w:rsidP="001614A2">
      <w:pPr>
        <w:spacing w:after="200" w:line="360" w:lineRule="auto"/>
        <w:jc w:val="center"/>
        <w:rPr>
          <w:color w:val="156082" w:themeColor="accent1"/>
        </w:rPr>
      </w:pPr>
      <w:r w:rsidRPr="00A1117F">
        <w:rPr>
          <w:i/>
          <w:iCs/>
          <w:color w:val="156082" w:themeColor="accent1"/>
          <w:sz w:val="18"/>
          <w:szCs w:val="18"/>
        </w:rPr>
        <w:t>Figure 5: Benchmark scores across Precision, Recall, F1, and AUC-ROC. Gradient Boosting edges ahead slightly on AUC-ROC, but the case for Random Forest rests on the fuller picture in Table 2 [9][27].</w:t>
      </w:r>
    </w:p>
    <w:p w14:paraId="7F1030BE" w14:textId="0C34A329" w:rsidR="00A1117F" w:rsidRDefault="00F119CC" w:rsidP="001614A2">
      <w:pPr>
        <w:spacing w:after="130" w:line="360" w:lineRule="auto"/>
        <w:jc w:val="both"/>
      </w:pPr>
      <w:r w:rsidRPr="00F119CC">
        <w:t>Gradient Boosting edges ahead marginally on raw accuracy metrics, which is exactly the kind of single-dimension result that, taken alone, would suggest the wrong recommendation. Table 2's broader six-dimension comparison is what prevents that error</w:t>
      </w:r>
      <w:r w:rsidR="00775380">
        <w:t>.</w:t>
      </w:r>
      <w:r w:rsidRPr="00F119CC">
        <w:t xml:space="preserve"> Random Forest's slightly lower accuracy is more than offset by its advantages in cost, interpretability, and hyperparameter robustness, which is why the recommendation here rests on the fuller picture in Table 2 rather than on Figure 5's accuracy figures alone. Five things point the same way: accuracy sits in the 0.91–0.97 F1/AUC range across benchmarks [10][11][14][31]</w:t>
      </w:r>
      <w:r w:rsidR="00775380">
        <w:t>,</w:t>
      </w:r>
      <w:r w:rsidRPr="00F119CC">
        <w:t xml:space="preserve"> the 0.01 gap to Gradient Boosting is unlikely to mean much, and Carvalho et al. [14] show it narrows further under real-world noise. SHAP makes the model's reasoning legible to engineers [27]. Training is fully parallelisable on ordinary CPUs, no GPU required [9]. The model holds up well against irrelevant or missing features [9]. And it's forgiving of hyperparameter choices, cutting the expertise needed to keep it running [7].</w:t>
      </w:r>
    </w:p>
    <w:p w14:paraId="0A08AF47" w14:textId="77777777" w:rsidR="00A96B97" w:rsidRDefault="00A64269" w:rsidP="001614A2">
      <w:pPr>
        <w:pStyle w:val="Heading2"/>
        <w:spacing w:line="360" w:lineRule="auto"/>
      </w:pPr>
      <w:bookmarkStart w:id="20" w:name="_Toc233286956"/>
      <w:r>
        <w:t>4.2 Critical Limitations</w:t>
      </w:r>
      <w:bookmarkEnd w:id="20"/>
    </w:p>
    <w:p w14:paraId="04EAD1F7" w14:textId="61BCD4B4" w:rsidR="00E67DCB" w:rsidRPr="00E67DCB" w:rsidRDefault="00E67DCB" w:rsidP="00E67DCB">
      <w:pPr>
        <w:spacing w:after="130" w:line="360" w:lineRule="auto"/>
        <w:jc w:val="both"/>
      </w:pPr>
      <w:r w:rsidRPr="00E67DCB">
        <w:t>The three criteria set out in the Introduction</w:t>
      </w:r>
      <w:r>
        <w:t xml:space="preserve">, </w:t>
      </w:r>
      <w:r w:rsidRPr="00E67DCB">
        <w:t>predictive accuracy, interpretability, and computational cost</w:t>
      </w:r>
      <w:r>
        <w:t xml:space="preserve">, </w:t>
      </w:r>
      <w:r w:rsidRPr="00E67DCB">
        <w:t>frame the evaluation here. Rather than judging models on a single strength, the final recommendation is based on how they perform across all three together. Drawing on Breiman [9], Carvalho et al. [14], Lei et al. [31], and Baptista et al. [27], the most balanced choice is Random Forest with SHAP augmentation. Section 2 compared models individually, while Table 5 brings them together side by side across six practical dimensions to make the trade-offs easier to see.</w:t>
      </w:r>
    </w:p>
    <w:p w14:paraId="3F8598BE" w14:textId="55EC7548" w:rsidR="00E67DCB" w:rsidRPr="00E67DCB" w:rsidRDefault="00E67DCB" w:rsidP="00E67DCB">
      <w:pPr>
        <w:spacing w:after="130" w:line="360" w:lineRule="auto"/>
        <w:jc w:val="both"/>
      </w:pPr>
      <w:r w:rsidRPr="00E67DCB">
        <w:lastRenderedPageBreak/>
        <w:t>However, this approach has three key limitations [14][19]. First, Random Forest is static and does not adapt over time. As Gama et al. [29] show, performance can degrade significantly within about six months when data drift occurs</w:t>
      </w:r>
      <w:r>
        <w:t>,</w:t>
      </w:r>
      <w:r w:rsidRPr="00E67DCB">
        <w:t xml:space="preserve"> something the monitoring framework in Section 4.4 is specifically designed to detect. For this project, that risk is realistic: Section 2.7 already identified likely drift sources, including seasonal temperature changes affecting sensor baselines and gradual equipment ageing</w:t>
      </w:r>
      <w:r>
        <w:t>,</w:t>
      </w:r>
      <w:r w:rsidRPr="00E67DCB">
        <w:t xml:space="preserve"> altering failure patterns. These are examples of slow, hard-to-detect drift, where performance erodes quietly over time rather than failing suddenly. Without continuous monitoring, the model could become unreliable without anyone noticing.</w:t>
      </w:r>
    </w:p>
    <w:p w14:paraId="03418AB7" w14:textId="28918E64" w:rsidR="00E67DCB" w:rsidRPr="00E67DCB" w:rsidRDefault="00E67DCB" w:rsidP="00E67DCB">
      <w:pPr>
        <w:spacing w:after="130" w:line="360" w:lineRule="auto"/>
        <w:jc w:val="both"/>
      </w:pPr>
      <w:r w:rsidRPr="00E67DCB">
        <w:t>Second, its probability outputs are not truly calibrated</w:t>
      </w:r>
      <w:r>
        <w:t>;</w:t>
      </w:r>
      <w:r w:rsidRPr="00E67DCB">
        <w:t xml:space="preserve"> the “confidence” from voting trees is not a real probability [7]. This means post-processing steps like isotonic regression or Platt scaling are needed, especially because Section 3.6 relies on these probabilities to set a cost-sensitive threshold [14]. Third, feature engineering in Section 3.3 depends heavily on expert-defined feature groups [3]. While tools such as tsfresh [30] could reduce this manual effort in future iterations, it would also be useful to compare automated feature generation against the current handcrafted approach as part of further work.</w:t>
      </w:r>
    </w:p>
    <w:p w14:paraId="4C56B1E2" w14:textId="77777777" w:rsidR="00F119CC" w:rsidRDefault="00F119CC" w:rsidP="001614A2">
      <w:pPr>
        <w:spacing w:after="130" w:line="360" w:lineRule="auto"/>
        <w:jc w:val="both"/>
      </w:pPr>
    </w:p>
    <w:tbl>
      <w:tblPr>
        <w:tblW w:w="98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854"/>
      </w:tblGrid>
      <w:tr w:rsidR="00A96B97" w14:paraId="50F79DE6" w14:textId="77777777" w:rsidTr="000C0EF2">
        <w:trPr>
          <w:trHeight w:val="1396"/>
        </w:trPr>
        <w:tc>
          <w:tcPr>
            <w:tcW w:w="0" w:type="auto"/>
            <w:tcBorders>
              <w:top w:val="single" w:sz="1" w:space="0" w:color="CCCCCC"/>
              <w:left w:val="single" w:sz="1" w:space="0" w:color="CCCCCC"/>
              <w:bottom w:val="single" w:sz="1" w:space="0" w:color="CCCCCC"/>
              <w:right w:val="single" w:sz="1" w:space="0" w:color="CCCCCC"/>
            </w:tcBorders>
            <w:shd w:val="clear" w:color="auto" w:fill="EBF3FF"/>
            <w:tcMar>
              <w:top w:w="100" w:type="dxa"/>
              <w:left w:w="160" w:type="dxa"/>
              <w:bottom w:w="100" w:type="dxa"/>
              <w:right w:w="160" w:type="dxa"/>
            </w:tcMar>
          </w:tcPr>
          <w:p w14:paraId="478B27B1" w14:textId="77777777" w:rsidR="00A96B97" w:rsidRDefault="00A64269" w:rsidP="001614A2">
            <w:pPr>
              <w:spacing w:line="360" w:lineRule="auto"/>
            </w:pPr>
            <w:r>
              <w:rPr>
                <w:b/>
                <w:bCs/>
                <w:color w:val="1F3864"/>
                <w:sz w:val="19"/>
                <w:szCs w:val="19"/>
              </w:rPr>
              <w:t>A Hypothesis Worth Testing</w:t>
            </w:r>
          </w:p>
          <w:p w14:paraId="407E866B" w14:textId="43CA770E" w:rsidR="00A96B97" w:rsidRDefault="00A64269" w:rsidP="001614A2">
            <w:pPr>
              <w:spacing w:before="50" w:line="360" w:lineRule="auto"/>
              <w:jc w:val="both"/>
            </w:pPr>
            <w:r>
              <w:rPr>
                <w:color w:val="2A2A2A"/>
                <w:sz w:val="19"/>
                <w:szCs w:val="19"/>
              </w:rPr>
              <w:t>SHAP-guided feature selection, proper probability calibration, and drift-aware retraining together are expected to outperform a plain Random Forest baseline over the long run</w:t>
            </w:r>
            <w:r w:rsidR="004D313A">
              <w:rPr>
                <w:color w:val="2A2A2A"/>
                <w:sz w:val="19"/>
                <w:szCs w:val="19"/>
              </w:rPr>
              <w:t xml:space="preserve">, </w:t>
            </w:r>
            <w:r>
              <w:rPr>
                <w:color w:val="2A2A2A"/>
                <w:sz w:val="19"/>
                <w:szCs w:val="19"/>
              </w:rPr>
              <w:t>not through algorithmic novelty, but through good practice that's routinely skipped in real deployments [7][14][25][26][29]. This is directly testable through the Section 4.4 pilot and is arguably the most useful original contribution this report makes.</w:t>
            </w:r>
          </w:p>
        </w:tc>
      </w:tr>
    </w:tbl>
    <w:p w14:paraId="33DBC690" w14:textId="77777777" w:rsidR="00F119CC" w:rsidRDefault="00F119CC" w:rsidP="001614A2">
      <w:pPr>
        <w:spacing w:line="360" w:lineRule="auto"/>
      </w:pPr>
    </w:p>
    <w:p w14:paraId="46715107" w14:textId="3BB54318" w:rsidR="00A96B97" w:rsidRDefault="00A64269" w:rsidP="001614A2">
      <w:pPr>
        <w:pStyle w:val="Heading2"/>
        <w:spacing w:line="360" w:lineRule="auto"/>
      </w:pPr>
      <w:bookmarkStart w:id="21" w:name="_Toc233286957"/>
      <w:r>
        <w:t>4.3 Alternatives and Decision Boundaries</w:t>
      </w:r>
      <w:bookmarkEnd w:id="21"/>
    </w:p>
    <w:p w14:paraId="75279E1C" w14:textId="0A965E7C" w:rsidR="00123905" w:rsidRDefault="00123905" w:rsidP="00C74728">
      <w:pPr>
        <w:spacing w:after="160" w:line="360" w:lineRule="auto"/>
        <w:jc w:val="both"/>
      </w:pPr>
      <w:r w:rsidRPr="00C74728">
        <w:t>Gradient Boosting becomes the better choice if the AUC-PR gap exceeds 3 percentage points on real held-out data [12], though the strongest evidence for its edge</w:t>
      </w:r>
      <w:r w:rsidR="00C74728">
        <w:t xml:space="preserve">, </w:t>
      </w:r>
      <w:r w:rsidRPr="00C74728">
        <w:t>Nectoux et al. [24] on the PRONOSTIA dataset</w:t>
      </w:r>
      <w:r w:rsidR="00C74728">
        <w:t xml:space="preserve">, </w:t>
      </w:r>
      <w:r w:rsidRPr="00C74728">
        <w:t>comes from controlled benchmark conditions that may not transfer to this company’s variable-load, multi-failure-mode environment, as argued in Section 2.4. Validation against the company’s own operational data is therefore essential before accepting any benchmark-derived performance advantage at face value [14][23]. LightGBM’s histogram-based training [13] could narrow the computational gap as data volumes grow, making it worth benchmarking empirically against Random Forest once the labelled failure archive exceeds approximately 500,000 windows. SVMs are appropriate only at the earliest stage, with fewer than approximately 5,000 labelled examples [15][16]: Carvalho et al. [14] show that ensemble methods begin to demonstrate a consistent advantage as dataset size grows, making the transition to Random Forest the natural progression past roughly 10,000 samples. Further out, a hybrid approach combining physics-based degradation models with data-driven corrections is promising as the failure repository matures [21], particularly if the company advances towards Remaining Useful Life estimation</w:t>
      </w:r>
      <w:r w:rsidR="00C74728">
        <w:t xml:space="preserve">, </w:t>
      </w:r>
      <w:r w:rsidRPr="00C74728">
        <w:t xml:space="preserve">a task that Section </w:t>
      </w:r>
      <w:r w:rsidRPr="00C74728">
        <w:lastRenderedPageBreak/>
        <w:t>2.1 identifies as requiring substantially more run-to-failure data than binary classification [22]. The circumstances under which the recommendation should be revised are set out explicitly in Table 6, with evidence-based trigger conditions for each scenario.</w:t>
      </w:r>
    </w:p>
    <w:p w14:paraId="61663C78" w14:textId="34E2A02D" w:rsidR="00B06070" w:rsidRDefault="0078321E" w:rsidP="00123905">
      <w:pPr>
        <w:spacing w:after="140" w:line="360" w:lineRule="auto"/>
        <w:jc w:val="both"/>
        <w:rPr>
          <w:b/>
          <w:bCs/>
          <w:i/>
          <w:iCs/>
          <w:sz w:val="19"/>
          <w:szCs w:val="19"/>
        </w:rPr>
      </w:pPr>
      <w:r w:rsidRPr="0078321E">
        <w:rPr>
          <w:b/>
          <w:bCs/>
          <w:i/>
          <w:iCs/>
          <w:sz w:val="19"/>
          <w:szCs w:val="19"/>
        </w:rPr>
        <w:t xml:space="preserve">Table </w:t>
      </w:r>
      <w:r w:rsidR="00A01B63">
        <w:rPr>
          <w:b/>
          <w:bCs/>
          <w:i/>
          <w:iCs/>
          <w:sz w:val="19"/>
          <w:szCs w:val="19"/>
        </w:rPr>
        <w:t>6</w:t>
      </w:r>
      <w:r w:rsidRPr="0078321E">
        <w:rPr>
          <w:b/>
          <w:bCs/>
          <w:i/>
          <w:iCs/>
          <w:sz w:val="19"/>
          <w:szCs w:val="19"/>
        </w:rPr>
        <w:t xml:space="preserve">: Evidence-based algorithm decision framework for five deployment scenarios </w:t>
      </w:r>
    </w:p>
    <w:p w14:paraId="346B7E0F" w14:textId="0D5A0799" w:rsidR="00C74728" w:rsidRPr="00166765" w:rsidRDefault="00166765" w:rsidP="00166765">
      <w:pPr>
        <w:spacing w:after="140" w:line="360" w:lineRule="auto"/>
        <w:jc w:val="center"/>
        <w:rPr>
          <w:b/>
          <w:bCs/>
          <w:i/>
          <w:iCs/>
          <w:sz w:val="19"/>
          <w:szCs w:val="19"/>
        </w:rPr>
      </w:pPr>
      <w:r w:rsidRPr="00166765">
        <w:rPr>
          <w:b/>
          <w:bCs/>
          <w:i/>
          <w:iCs/>
          <w:noProof/>
          <w:sz w:val="19"/>
          <w:szCs w:val="19"/>
          <w:bdr w:val="single" w:sz="12" w:space="0" w:color="auto"/>
        </w:rPr>
        <w:drawing>
          <wp:inline distT="0" distB="0" distL="0" distR="0" wp14:anchorId="3322117C" wp14:editId="3D0594FE">
            <wp:extent cx="5692633" cy="4320914"/>
            <wp:effectExtent l="0" t="0" r="3810" b="3810"/>
            <wp:docPr id="1077114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114885" name=""/>
                    <pic:cNvPicPr/>
                  </pic:nvPicPr>
                  <pic:blipFill>
                    <a:blip r:embed="rId19"/>
                    <a:stretch>
                      <a:fillRect/>
                    </a:stretch>
                  </pic:blipFill>
                  <pic:spPr>
                    <a:xfrm>
                      <a:off x="0" y="0"/>
                      <a:ext cx="5692633" cy="4320914"/>
                    </a:xfrm>
                    <a:prstGeom prst="rect">
                      <a:avLst/>
                    </a:prstGeom>
                  </pic:spPr>
                </pic:pic>
              </a:graphicData>
            </a:graphic>
          </wp:inline>
        </w:drawing>
      </w:r>
    </w:p>
    <w:p w14:paraId="5F3961EA" w14:textId="77777777" w:rsidR="00AC7D08" w:rsidRDefault="00AC7D08" w:rsidP="003A49C3">
      <w:pPr>
        <w:spacing w:after="130" w:line="360" w:lineRule="auto"/>
        <w:jc w:val="both"/>
      </w:pPr>
    </w:p>
    <w:p w14:paraId="792FFCA6" w14:textId="028263C0" w:rsidR="003A49C3" w:rsidRPr="003A49C3" w:rsidRDefault="003A49C3" w:rsidP="003A49C3">
      <w:pPr>
        <w:spacing w:after="130" w:line="360" w:lineRule="auto"/>
        <w:jc w:val="both"/>
      </w:pPr>
      <w:r w:rsidRPr="003A49C3">
        <w:t>Each trigger condition is derived from specific literature findings about where an algorithm's performance advantage applies and where it does not [9][10][12][13][14][15][16][21][24][31].</w:t>
      </w:r>
    </w:p>
    <w:p w14:paraId="2611A0F6" w14:textId="34D8F9DA" w:rsidR="00A1117F" w:rsidRDefault="003A49C3" w:rsidP="001614A2">
      <w:pPr>
        <w:spacing w:after="130" w:line="360" w:lineRule="auto"/>
        <w:jc w:val="both"/>
      </w:pPr>
      <w:r w:rsidRPr="003A49C3">
        <w:t>Table 7 makes the decision framework explicit and falsifiable: the client can observe their actual AUC-PR gap, data volume, and labelled-example count, and use these to determine which row applies at any given time. This is the kind of structured professional judgement that characterises deployment-ready recommendation</w:t>
      </w:r>
      <w:r>
        <w:t xml:space="preserve">s, </w:t>
      </w:r>
      <w:r w:rsidRPr="003A49C3">
        <w:t>not a single recommendation made once, but a framework for reasoning under evolving conditions [14].</w:t>
      </w:r>
    </w:p>
    <w:p w14:paraId="668A62D7" w14:textId="77777777" w:rsidR="00A96B97" w:rsidRDefault="00A64269" w:rsidP="001614A2">
      <w:pPr>
        <w:pStyle w:val="Heading2"/>
        <w:spacing w:line="360" w:lineRule="auto"/>
      </w:pPr>
      <w:bookmarkStart w:id="22" w:name="_Toc233286958"/>
      <w:r>
        <w:t>4.4 Deployment, Monitoring, and Business Case</w:t>
      </w:r>
      <w:bookmarkEnd w:id="22"/>
    </w:p>
    <w:p w14:paraId="4B32BB6E" w14:textId="5DEBA601" w:rsidR="00274F3E" w:rsidRDefault="00A612C9" w:rsidP="001614A2">
      <w:pPr>
        <w:spacing w:after="140" w:line="360" w:lineRule="auto"/>
        <w:jc w:val="both"/>
      </w:pPr>
      <w:r w:rsidRPr="00A612C9">
        <w:t>Once calibrated, the model runs as a microservice, outputting a failure probability alongside the top three SHAP contributions per prediction [26], feeding a dashboard that ranks equipment by risk [4]. Table 7 sets out the complete deployment architecture component by component, making explicit how each piece connects in a live operational environment.</w:t>
      </w:r>
    </w:p>
    <w:p w14:paraId="744D5B47" w14:textId="25243755" w:rsidR="00274F3E" w:rsidRDefault="00832CD3" w:rsidP="001614A2">
      <w:pPr>
        <w:spacing w:after="80" w:line="360" w:lineRule="auto"/>
        <w:rPr>
          <w:b/>
          <w:bCs/>
          <w:sz w:val="19"/>
          <w:szCs w:val="19"/>
        </w:rPr>
      </w:pPr>
      <w:r w:rsidRPr="00832CD3">
        <w:rPr>
          <w:b/>
          <w:bCs/>
          <w:sz w:val="19"/>
          <w:szCs w:val="19"/>
        </w:rPr>
        <w:lastRenderedPageBreak/>
        <w:t>Table 7: Proposed deployment architecture - nine components from sensor ingestion through to automated retraining</w:t>
      </w:r>
      <w:r w:rsidR="00A612C9">
        <w:rPr>
          <w:b/>
          <w:bCs/>
          <w:sz w:val="19"/>
          <w:szCs w:val="19"/>
        </w:rPr>
        <w:t>.</w:t>
      </w:r>
    </w:p>
    <w:p w14:paraId="29BEBDB3" w14:textId="1BA0F6AE" w:rsidR="00100537" w:rsidRPr="00832CD3" w:rsidRDefault="00100537" w:rsidP="00100537">
      <w:pPr>
        <w:spacing w:after="80" w:line="360" w:lineRule="auto"/>
        <w:jc w:val="center"/>
        <w:rPr>
          <w:b/>
          <w:bCs/>
          <w:sz w:val="19"/>
          <w:szCs w:val="19"/>
        </w:rPr>
      </w:pPr>
      <w:r w:rsidRPr="00100537">
        <w:rPr>
          <w:b/>
          <w:bCs/>
          <w:noProof/>
          <w:sz w:val="19"/>
          <w:szCs w:val="19"/>
          <w:bdr w:val="single" w:sz="12" w:space="0" w:color="auto"/>
        </w:rPr>
        <w:drawing>
          <wp:inline distT="0" distB="0" distL="0" distR="0" wp14:anchorId="09242849" wp14:editId="4B2A3F67">
            <wp:extent cx="5723116" cy="5578323"/>
            <wp:effectExtent l="0" t="0" r="0" b="3810"/>
            <wp:docPr id="1497984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984052" name=""/>
                    <pic:cNvPicPr/>
                  </pic:nvPicPr>
                  <pic:blipFill>
                    <a:blip r:embed="rId20"/>
                    <a:stretch>
                      <a:fillRect/>
                    </a:stretch>
                  </pic:blipFill>
                  <pic:spPr>
                    <a:xfrm>
                      <a:off x="0" y="0"/>
                      <a:ext cx="5723116" cy="5578323"/>
                    </a:xfrm>
                    <a:prstGeom prst="rect">
                      <a:avLst/>
                    </a:prstGeom>
                  </pic:spPr>
                </pic:pic>
              </a:graphicData>
            </a:graphic>
          </wp:inline>
        </w:drawing>
      </w:r>
    </w:p>
    <w:p w14:paraId="7D390B64" w14:textId="77777777" w:rsidR="00AC7D08" w:rsidRDefault="00AC7D08" w:rsidP="001614A2">
      <w:pPr>
        <w:spacing w:after="80" w:line="360" w:lineRule="auto"/>
      </w:pPr>
    </w:p>
    <w:p w14:paraId="2BA9CF31" w14:textId="77777777" w:rsidR="00145015" w:rsidRPr="00145015" w:rsidRDefault="00145015" w:rsidP="00145015">
      <w:pPr>
        <w:spacing w:after="140" w:line="360" w:lineRule="auto"/>
        <w:jc w:val="both"/>
      </w:pPr>
      <w:r w:rsidRPr="00145015">
        <w:t>The three monitoring components (rows 6–8) constitute the drift-aware architecture identified as this report's principal novel operational contribution, directly addressing the gap Carvalho et al. [14] and Javed et al. [22] both flag as absent from most deployed PdM systems [2][4][7][9][19][26][27][29].</w:t>
      </w:r>
    </w:p>
    <w:p w14:paraId="2C7E4ADE" w14:textId="1B43595E" w:rsidR="00145015" w:rsidRPr="00145015" w:rsidRDefault="00145015" w:rsidP="00145015">
      <w:pPr>
        <w:spacing w:after="140" w:line="360" w:lineRule="auto"/>
        <w:jc w:val="both"/>
      </w:pPr>
      <w:r w:rsidRPr="00145015">
        <w:t>As Table 7 shows, the three monitoring components</w:t>
      </w:r>
      <w:r w:rsidR="00100537">
        <w:t xml:space="preserve">, </w:t>
      </w:r>
      <w:r w:rsidRPr="00145015">
        <w:t>the Kolmogorov-Smirnov statistic, the Page-Hinkley statistic, and the rolling F1 score</w:t>
      </w:r>
      <w:r w:rsidR="00100537">
        <w:t xml:space="preserve">, </w:t>
      </w:r>
      <w:r w:rsidRPr="00145015">
        <w:t>operate in parallel on different dimensions of potential drift: input features, model confidence, and confirmed classification performance, respectively. Requiring three consecutive days of breach before triggering retraining reduces the risk of false retraining events from transient anomalies, balancing sensitivity against operational stability.</w:t>
      </w:r>
    </w:p>
    <w:p w14:paraId="040AE5BE" w14:textId="2099371C" w:rsidR="00145015" w:rsidRPr="00145015" w:rsidRDefault="00145015" w:rsidP="00145015">
      <w:pPr>
        <w:spacing w:after="140" w:line="360" w:lineRule="auto"/>
        <w:jc w:val="both"/>
      </w:pPr>
      <w:r w:rsidRPr="00145015">
        <w:t>Three practical risks are worth planning for: too few early failure examples (fallback: Isolation Forest anomaly detection while labels accumulate [7]); inaccurate historical labels (mitigation: cross-checking against engineer judgement during the pilot [4]); and slow inference (mitigation: pre-</w:t>
      </w:r>
      <w:r w:rsidRPr="00145015">
        <w:lastRenderedPageBreak/>
        <w:t>computing SHAP explanations offline [26]). A three-month pilot, logging predictions without acting on them, builds up real failure labels and calibrates cost parameters against actual records [4][7][27].</w:t>
      </w:r>
      <w:r w:rsidR="00380577">
        <w:t xml:space="preserve"> </w:t>
      </w:r>
      <w:r w:rsidR="00380577" w:rsidRPr="00380577">
        <w:t>Recommended starting values for all operational threshold parameters, with rationale and calibration method for each, are set out in Appendix C.</w:t>
      </w:r>
    </w:p>
    <w:p w14:paraId="54C94456" w14:textId="01FC5912" w:rsidR="00274F3E" w:rsidRDefault="00145015" w:rsidP="00AC7D08">
      <w:pPr>
        <w:spacing w:after="140" w:line="360" w:lineRule="auto"/>
        <w:jc w:val="both"/>
      </w:pPr>
      <w:r w:rsidRPr="00145015">
        <w:t>The financial case for this investment is summarised in Table 8. The downtime reduction range is drawn from McKinsey's large-scale manufacturing analytics study [20], which documents a 30–50% reduction in unplanned machine downtime across manufacturing deployments. The midpoint of this range (40%) is used here as a conservative planning figure. All values remain illustrative; the pilot phase described above is what generates the site-specific cost parameters needed for a definitive analysis.</w:t>
      </w:r>
    </w:p>
    <w:p w14:paraId="5A4BB8CE" w14:textId="0BE32E72" w:rsidR="00EC11C2" w:rsidRDefault="00EC11C2" w:rsidP="001614A2">
      <w:pPr>
        <w:spacing w:after="140" w:line="360" w:lineRule="auto"/>
        <w:jc w:val="both"/>
        <w:rPr>
          <w:b/>
          <w:bCs/>
        </w:rPr>
      </w:pPr>
      <w:r w:rsidRPr="00EC11C2">
        <w:rPr>
          <w:b/>
          <w:bCs/>
        </w:rPr>
        <w:t>Table 8: Illustrative ROI summary for the proposed PdM implementation</w:t>
      </w:r>
    </w:p>
    <w:p w14:paraId="5C8D0F44" w14:textId="3C7D84F9" w:rsidR="00EE4365" w:rsidRPr="00034FEC" w:rsidRDefault="00072959" w:rsidP="00072959">
      <w:pPr>
        <w:spacing w:after="140" w:line="360" w:lineRule="auto"/>
        <w:jc w:val="center"/>
        <w:rPr>
          <w:b/>
          <w:bCs/>
        </w:rPr>
      </w:pPr>
      <w:r w:rsidRPr="00072959">
        <w:rPr>
          <w:b/>
          <w:bCs/>
          <w:noProof/>
          <w:bdr w:val="single" w:sz="12" w:space="0" w:color="auto"/>
        </w:rPr>
        <w:drawing>
          <wp:inline distT="0" distB="0" distL="0" distR="0" wp14:anchorId="3663275D" wp14:editId="19F66A79">
            <wp:extent cx="5707379" cy="2903220"/>
            <wp:effectExtent l="0" t="0" r="8255" b="0"/>
            <wp:docPr id="1023616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16727" name=""/>
                    <pic:cNvPicPr/>
                  </pic:nvPicPr>
                  <pic:blipFill rotWithShape="1">
                    <a:blip r:embed="rId21"/>
                    <a:srcRect l="267"/>
                    <a:stretch>
                      <a:fillRect/>
                    </a:stretch>
                  </pic:blipFill>
                  <pic:spPr bwMode="auto">
                    <a:xfrm>
                      <a:off x="0" y="0"/>
                      <a:ext cx="5707874" cy="2903472"/>
                    </a:xfrm>
                    <a:prstGeom prst="rect">
                      <a:avLst/>
                    </a:prstGeom>
                    <a:ln>
                      <a:noFill/>
                    </a:ln>
                    <a:extLst>
                      <a:ext uri="{53640926-AAD7-44D8-BBD7-CCE9431645EC}">
                        <a14:shadowObscured xmlns:a14="http://schemas.microsoft.com/office/drawing/2010/main"/>
                      </a:ext>
                    </a:extLst>
                  </pic:spPr>
                </pic:pic>
              </a:graphicData>
            </a:graphic>
          </wp:inline>
        </w:drawing>
      </w:r>
    </w:p>
    <w:p w14:paraId="1EDE2284" w14:textId="77777777" w:rsidR="000F6120" w:rsidRPr="000F6120" w:rsidRDefault="000F6120" w:rsidP="000F6120">
      <w:pPr>
        <w:spacing w:after="140" w:line="360" w:lineRule="auto"/>
        <w:jc w:val="both"/>
      </w:pPr>
      <w:r w:rsidRPr="000F6120">
        <w:t>All figures are illustrative; the client should conduct a site-specific analysis using cost parameters calibrated during the pilot phase [1][9][14][20].</w:t>
      </w:r>
    </w:p>
    <w:p w14:paraId="4ADED355" w14:textId="03EA6D04" w:rsidR="000F6120" w:rsidRPr="000F6120" w:rsidRDefault="000F6120" w:rsidP="000F6120">
      <w:pPr>
        <w:spacing w:after="140" w:line="360" w:lineRule="auto"/>
        <w:jc w:val="both"/>
      </w:pPr>
      <w:r w:rsidRPr="000F6120">
        <w:t>The 6–12 month payback period, while illustrative, sits within the range McKinsey [20] documents across real manufacturing deployments and is consistent with Carvalho et al.'s [14] observation that standard server-based implementations carry significantly lower upfront costs than GPU-dependent alternatives. The minimal ongoing retraining cost</w:t>
      </w:r>
      <w:r>
        <w:t>,</w:t>
      </w:r>
      <w:r w:rsidRPr="000F6120">
        <w:t xml:space="preserve"> a consequence of the fully parallelisable CPU-based training architecture recommended in Section 4.</w:t>
      </w:r>
      <w:r>
        <w:t>1,</w:t>
      </w:r>
      <w:r w:rsidRPr="000F6120">
        <w:t xml:space="preserve"> means the annual return compounds positively from year two onward without proportional cost increases.</w:t>
      </w:r>
    </w:p>
    <w:p w14:paraId="44383B63" w14:textId="6225B922" w:rsidR="0080646E" w:rsidRDefault="0080646E" w:rsidP="001614A2">
      <w:pPr>
        <w:spacing w:after="140" w:line="360" w:lineRule="auto"/>
        <w:jc w:val="both"/>
      </w:pPr>
    </w:p>
    <w:p w14:paraId="5C78CA51" w14:textId="77777777" w:rsidR="006217AC" w:rsidRDefault="006217AC">
      <w:pPr>
        <w:rPr>
          <w:b/>
          <w:bCs/>
          <w:color w:val="1F3864"/>
          <w:sz w:val="26"/>
          <w:szCs w:val="26"/>
        </w:rPr>
      </w:pPr>
      <w:r>
        <w:br w:type="page"/>
      </w:r>
    </w:p>
    <w:p w14:paraId="7FAE18E0" w14:textId="4FF74758" w:rsidR="00A96B97" w:rsidRPr="00A1117F" w:rsidRDefault="00F75447" w:rsidP="001614A2">
      <w:pPr>
        <w:pStyle w:val="Heading1"/>
        <w:spacing w:line="360" w:lineRule="auto"/>
      </w:pPr>
      <w:bookmarkStart w:id="23" w:name="_Toc233286959"/>
      <w:r>
        <w:lastRenderedPageBreak/>
        <w:t>5. Conclusion</w:t>
      </w:r>
      <w:bookmarkEnd w:id="23"/>
    </w:p>
    <w:p w14:paraId="41224372" w14:textId="7A9E72B6" w:rsidR="004F6091" w:rsidRPr="00AC7D08" w:rsidRDefault="004F6091" w:rsidP="004F6091">
      <w:pPr>
        <w:spacing w:after="160" w:line="360" w:lineRule="auto"/>
        <w:jc w:val="both"/>
      </w:pPr>
      <w:r w:rsidRPr="00AC7D08">
        <w:t>Choosing the right algorithm for predictive maintenance is rarely as straightforward as picking the one with the best accuracy score on a benchmark dataset. This report has tried to be honest about that. The case for a SHAP-augmented Random Forest is not that it wins on any single metric</w:t>
      </w:r>
      <w:r w:rsidR="005D41C0" w:rsidRPr="00AC7D08">
        <w:t>;</w:t>
      </w:r>
      <w:r w:rsidRPr="00AC7D08">
        <w:t xml:space="preserve"> it does not</w:t>
      </w:r>
      <w:r w:rsidR="003D53A9" w:rsidRPr="00AC7D08">
        <w:t xml:space="preserve">, </w:t>
      </w:r>
      <w:r w:rsidRPr="00AC7D08">
        <w:t>but that it is the only option reviewed here that holds up across all three things that actually matter for this company: catching failures reliably, explaining to engineers which sensor triggered an alert, and running on the computing infrastructure the company already has [9][15]. Gradient Boosting looks better on paper, but that advantage largely disappears once you account for the benchmark conditions it was tested under [14][23][24]. SVMs work well when data is scarce</w:t>
      </w:r>
      <w:r w:rsidR="003D53A9" w:rsidRPr="00AC7D08">
        <w:t>,</w:t>
      </w:r>
      <w:r w:rsidRPr="00AC7D08">
        <w:t xml:space="preserve"> but struggle as volumes grow. Logistic regression is interpretable</w:t>
      </w:r>
      <w:r w:rsidR="003D53A9" w:rsidRPr="00AC7D08">
        <w:t>,</w:t>
      </w:r>
      <w:r w:rsidRPr="00AC7D08">
        <w:t xml:space="preserve"> but </w:t>
      </w:r>
      <w:r w:rsidR="003D53A9" w:rsidRPr="00AC7D08">
        <w:t xml:space="preserve">it </w:t>
      </w:r>
      <w:r w:rsidRPr="00AC7D08">
        <w:t>simply cannot learn the non-linear ways that mechanical components degrade [5]. Random Forest, by contrast, does not excel at any of these but fails at none of them</w:t>
      </w:r>
      <w:r w:rsidR="003D53A9" w:rsidRPr="00AC7D08">
        <w:t xml:space="preserve">, </w:t>
      </w:r>
      <w:r w:rsidRPr="00AC7D08">
        <w:t>which, in a real deployment with real constraints, is a more useful property than topping one dimension while falling short on the others.</w:t>
      </w:r>
    </w:p>
    <w:p w14:paraId="5A82395D" w14:textId="17217AB8" w:rsidR="004F6091" w:rsidRPr="00AC7D08" w:rsidRDefault="004F6091" w:rsidP="004F6091">
      <w:pPr>
        <w:spacing w:after="160" w:line="360" w:lineRule="auto"/>
        <w:jc w:val="both"/>
      </w:pPr>
      <w:r w:rsidRPr="00AC7D08">
        <w:t>The workflow proposed in Section 3 tries to apply the same honest thinking. Each of the seven stages exists because the literature identified a genuine problem</w:t>
      </w:r>
      <w:r w:rsidR="003D53A9" w:rsidRPr="00AC7D08">
        <w:t>,</w:t>
      </w:r>
      <w:r w:rsidRPr="00AC7D08">
        <w:t xml:space="preserve"> benchmark overestimation [23], temporal data leakage [22], SMOTE's dataset-dependence [6][28], SHAP's correlation assumption [26]</w:t>
      </w:r>
      <w:r w:rsidR="003D53A9" w:rsidRPr="00AC7D08">
        <w:t xml:space="preserve">, </w:t>
      </w:r>
      <w:r w:rsidRPr="00AC7D08">
        <w:t>not because it follows a standard checklist. The drift monitoring stage in particular addresses something both Carvalho et al. [14] and Gama et al. [29] flag independently: most deployed predictive maintenance systems do not check whether the model is still working as the machinery ages, and eventually they quietly stop working well without anyone noticing.</w:t>
      </w:r>
    </w:p>
    <w:p w14:paraId="50DF9387" w14:textId="46A0144E" w:rsidR="004F6091" w:rsidRPr="00AC7D08" w:rsidRDefault="004F6091" w:rsidP="004F6091">
      <w:pPr>
        <w:spacing w:after="160" w:line="360" w:lineRule="auto"/>
        <w:jc w:val="both"/>
      </w:pPr>
      <w:r w:rsidRPr="00AC7D08">
        <w:t xml:space="preserve">What the report keeps coming back to is that the algorithm is rarely where the real difficulty lies. A Random Forest trained on clean, carefully labelled sensor data will outperform a more sophisticated model trained on messy data from the same machines [3][4]. The preprocessing pipeline, the feature engineering decisions, </w:t>
      </w:r>
      <w:r w:rsidR="003D53A9" w:rsidRPr="00AC7D08">
        <w:t xml:space="preserve">and </w:t>
      </w:r>
      <w:r w:rsidRPr="00AC7D08">
        <w:t>the way the training and test sets are split</w:t>
      </w:r>
      <w:r w:rsidR="003D53A9" w:rsidRPr="00AC7D08">
        <w:t xml:space="preserve">, </w:t>
      </w:r>
      <w:r w:rsidRPr="00AC7D08">
        <w:t>these matter at least as much as which model sits at the end of the pipeline. For this company, especially at an early stage when the confirmed failure archive is still thin, getting those foundations right is the priority. The financial returns are there</w:t>
      </w:r>
      <w:r w:rsidR="003D53A9" w:rsidRPr="00AC7D08">
        <w:t xml:space="preserve">, </w:t>
      </w:r>
      <w:r w:rsidRPr="00AC7D08">
        <w:t>Theissler et al. [32] document consistent cost and downtime reductions across real industrial deployments</w:t>
      </w:r>
      <w:r w:rsidR="003D53A9" w:rsidRPr="00AC7D08">
        <w:t xml:space="preserve">, </w:t>
      </w:r>
      <w:r w:rsidRPr="00AC7D08">
        <w:t>but realising them depends on the pilot phase in Section 4.4</w:t>
      </w:r>
      <w:r w:rsidR="003D53A9" w:rsidRPr="00AC7D08">
        <w:t>,</w:t>
      </w:r>
      <w:r w:rsidRPr="00AC7D08">
        <w:t xml:space="preserve"> producing an honest baseline, not an optimistic one. From there, the natural next steps are testing automated feature engineering via tsfresh [30], comparing SHAP-guided feature selection against the standard impurity-based approach [25][26], and, once enough run-to-failure data has accumulated, exploring whether hybrid physics-informed models could push the system towards Remaining Useful Life estimation [21].</w:t>
      </w:r>
    </w:p>
    <w:p w14:paraId="2D55690C" w14:textId="2AD147BF" w:rsidR="004F6091" w:rsidRPr="00AC7D08" w:rsidRDefault="004F6091" w:rsidP="00621BEB">
      <w:pPr>
        <w:spacing w:after="160" w:line="360" w:lineRule="auto"/>
        <w:jc w:val="both"/>
      </w:pPr>
    </w:p>
    <w:p w14:paraId="15D680C9" w14:textId="77777777" w:rsidR="004F6091" w:rsidRDefault="004F6091">
      <w:r>
        <w:br w:type="page"/>
      </w:r>
    </w:p>
    <w:p w14:paraId="0D33E8C6" w14:textId="40ABB1F3" w:rsidR="00A96B97" w:rsidRPr="001224E3" w:rsidRDefault="00A64269" w:rsidP="005D41C0">
      <w:pPr>
        <w:pStyle w:val="Heading1"/>
      </w:pPr>
      <w:bookmarkStart w:id="24" w:name="_Toc233286960"/>
      <w:r>
        <w:lastRenderedPageBreak/>
        <w:t>References</w:t>
      </w:r>
      <w:bookmarkEnd w:id="24"/>
    </w:p>
    <w:p w14:paraId="1B759EDE"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 R. K. Mobley, An Introduction to Predictive Maintenance, 2nd ed. Oxford: Butterworth-Heinemann, 2002.</w:t>
      </w:r>
    </w:p>
    <w:p w14:paraId="0A5C6133" w14:textId="1EE26853" w:rsidR="00A96B97" w:rsidRPr="001224E3" w:rsidRDefault="00A64269" w:rsidP="001224E3">
      <w:pPr>
        <w:spacing w:after="90" w:line="360" w:lineRule="auto"/>
        <w:jc w:val="both"/>
        <w:rPr>
          <w:color w:val="000000" w:themeColor="text1"/>
          <w:sz w:val="18"/>
          <w:szCs w:val="18"/>
        </w:rPr>
      </w:pPr>
      <w:r w:rsidRPr="003E4915">
        <w:rPr>
          <w:color w:val="000000" w:themeColor="text1"/>
          <w:sz w:val="18"/>
          <w:szCs w:val="18"/>
        </w:rPr>
        <w:t xml:space="preserve">[2] </w:t>
      </w:r>
      <w:r w:rsidR="003E4915" w:rsidRPr="003E4915">
        <w:rPr>
          <w:color w:val="000000" w:themeColor="text1"/>
          <w:sz w:val="18"/>
          <w:szCs w:val="18"/>
        </w:rPr>
        <w:t xml:space="preserve">Sisinni, E., et al., "Industrial Internet of Things: Challenges, Opportunities, and Directions," </w:t>
      </w:r>
      <w:r w:rsidR="003E4915" w:rsidRPr="003E4915">
        <w:rPr>
          <w:i/>
          <w:iCs/>
          <w:color w:val="000000" w:themeColor="text1"/>
          <w:sz w:val="18"/>
          <w:szCs w:val="18"/>
        </w:rPr>
        <w:t>IEEE Trans. Ind. Inform.</w:t>
      </w:r>
      <w:r w:rsidR="003E4915" w:rsidRPr="003E4915">
        <w:rPr>
          <w:color w:val="000000" w:themeColor="text1"/>
          <w:sz w:val="18"/>
          <w:szCs w:val="18"/>
        </w:rPr>
        <w:t>, vol. 14, no. 11, pp. 4724–4734, 2018</w:t>
      </w:r>
    </w:p>
    <w:p w14:paraId="15099DFF"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[3] T. Wuest, D. Weimer, C. Irgens, and K.-D. Thoben, "Machine learning in manufacturing: Advantages, challenges, and applications," Prod. Manuf. Res., vol. 4, no. 1, pp. 23–45, 2016.</w:t>
      </w:r>
    </w:p>
    <w:p w14:paraId="2CFF0984"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[4] J. Lee, F. Wu, W. Zhao, M. Ghaffari, L. Liao, and D. Siegel, "Prognostics and health management design for rotary machinery systems — Reviews, methodology and applications," Mech. Syst. Signal Process., vol. 42, no. 1–2, pp. 314–334, 2014.</w:t>
      </w:r>
    </w:p>
    <w:p w14:paraId="4F1CEA8A"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[5] A. K. S. Jardine, D. Lin, and D. Banjevic, "A review on machinery diagnostics and prognostics implementing condition-based maintenance," Mech. Syst. Signal Process., vol. 20, no. 7, pp. 1483–1510, Oct. 2006.</w:t>
      </w:r>
    </w:p>
    <w:p w14:paraId="235E84F4"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[6] N. V. Chawla, K. W. Bowyer, L. O. Hall, and W. P. Kegelmeyer, "SMOTE: Synthetic minority over-sampling technique," J. Artif. Intell. Res., vol. 16, pp. 321–357, 2002.</w:t>
      </w:r>
    </w:p>
    <w:p w14:paraId="7C1F4FCA"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[7] A. Géron, Hands-On Machine Learning with Scikit-Learn, Keras, and TensorFlow, 3rd ed. Sebastopol, CA: O'Reilly Media, 2023.</w:t>
      </w:r>
    </w:p>
    <w:p w14:paraId="5844FFB4"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[8] S. Raschka and V. Mirjalili, Python Machine Learning, 3rd ed. Birmingham: Packt Publishing, 2019.</w:t>
      </w:r>
    </w:p>
    <w:p w14:paraId="6A127807" w14:textId="77777777" w:rsidR="00A96B97" w:rsidRPr="001224E3" w:rsidRDefault="00A64269" w:rsidP="001224E3">
      <w:pPr>
        <w:spacing w:after="90" w:line="360" w:lineRule="auto"/>
        <w:jc w:val="both"/>
        <w:rPr>
          <w:color w:val="000000" w:themeColor="text1"/>
          <w:sz w:val="18"/>
          <w:szCs w:val="18"/>
        </w:rPr>
      </w:pPr>
      <w:r w:rsidRPr="00193E44">
        <w:rPr>
          <w:color w:val="000000" w:themeColor="text1"/>
          <w:sz w:val="18"/>
          <w:szCs w:val="18"/>
        </w:rPr>
        <w:t>[9] L. Breiman, "Random forests," Mach. Learn., vol. 45, no. 1, pp. 5–32, Oct. 2001.</w:t>
      </w:r>
    </w:p>
    <w:p w14:paraId="61938400"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[10] W. Caesarendra and T. Tjahjowidodo, "A review of feature extraction methods in vibration-based condition monitoring and its application for degradation trend estimation of low-speed slew bearing," Machines, vol. 5, no. 4, p. 21, Oct. 2017.</w:t>
      </w:r>
    </w:p>
    <w:p w14:paraId="733BDD92" w14:textId="67E444BB"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 xml:space="preserve">[11] X. Zhang, Y. Liang, J. Zhou, and Y. Zang, "A novel bearing fault diagnosis model integrated permutation entropy, ensemble empirical mode decomposition and </w:t>
      </w:r>
      <w:r w:rsidR="00B84147" w:rsidRPr="001224E3">
        <w:rPr>
          <w:color w:val="000000" w:themeColor="text1"/>
          <w:sz w:val="18"/>
          <w:szCs w:val="18"/>
        </w:rPr>
        <w:t>optimised</w:t>
      </w:r>
      <w:r w:rsidRPr="001224E3">
        <w:rPr>
          <w:color w:val="000000" w:themeColor="text1"/>
          <w:sz w:val="18"/>
          <w:szCs w:val="18"/>
        </w:rPr>
        <w:t xml:space="preserve"> SVM," Measurement, vol. 69, pp. 164–179, 2015.</w:t>
      </w:r>
    </w:p>
    <w:p w14:paraId="5AB0279E"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[12] T. Chen and C. Guestrin, "XGBoost: A scalable tree boosting system," in Proc. 22nd ACM SIGKDD Int. Conf. Knowl. Discov. Data Min., New York, NY, USA, 2016, pp. 785–794.</w:t>
      </w:r>
    </w:p>
    <w:p w14:paraId="32ECC2B9"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[13] G. Ke et al., "LightGBM: A highly efficient gradient boosting decision tree," in Proc. Adv. Neural Inf. Process. Syst. (NeurIPS), Long Beach, CA, USA, 2017, pp. 3146–3154.</w:t>
      </w:r>
    </w:p>
    <w:p w14:paraId="3FF70361"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[14] T. P. Carvalho, F. A. A. M. N. Soares, R. Vita, R. da P. Francisco, J. P. Basto, and S. G. S. Alcalá, "A systematic literature review of machine learning methods applied to predictive maintenance," Comput. Ind. Eng., vol. 137, p. 106024, Nov. 2019.</w:t>
      </w:r>
    </w:p>
    <w:p w14:paraId="024987B8"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[15] C. Cortes and V. Vapnik, "Support-vector networks," Mach. Learn., vol. 20, no. 3, pp. 273–297, Sep. 1995.</w:t>
      </w:r>
    </w:p>
    <w:p w14:paraId="59E84B66"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[16] A. Widodo and B.-S. Yang, "Support vector machine in machine condition monitoring and fault diagnosis," Mech. Syst. Signal Process., vol. 21, no. 6, pp. 2560–2574, Aug. 2007.</w:t>
      </w:r>
    </w:p>
    <w:p w14:paraId="3FA172AE"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[17] G. A. Susto, A. Schirru, S. Pampuri, S. McLoone, and A. Beghi, "Machine learning for predictive maintenance: A multiple classifier approach," IEEE Trans. Ind. Inform., vol. 11, no. 3, pp. 812–820, Jun. 2015.</w:t>
      </w:r>
    </w:p>
    <w:p w14:paraId="2FB959E6"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[18] R. Wirth and J. Hipp, "CRISP-DM: Towards a standard process model for data mining," in Proc. 4th Int. Conf. Practical Appl. Knowl. Discov. Data Min., Manchester, UK, 2000, pp. 29–39.</w:t>
      </w:r>
    </w:p>
    <w:p w14:paraId="74BA9A7A"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[19] D. M. W. Powers, "Evaluation: From precision, recall and F-factor to ROC, informedness, markedness and correlation," J. Mach. Learn. Technol., vol. 2, no. 1, pp. 37–63, 2011.</w:t>
      </w:r>
    </w:p>
    <w:p w14:paraId="35C536ED"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[20] McKinsey Global Institute, "Unlocking the potential of the Internet of Things," McKinsey &amp; Company, Tech. Rep., Jun. 2015.</w:t>
      </w:r>
    </w:p>
    <w:p w14:paraId="69D8FEA2" w14:textId="1187DF7B" w:rsidR="00A96B97" w:rsidRPr="001224E3" w:rsidRDefault="00A64269" w:rsidP="001224E3">
      <w:pPr>
        <w:spacing w:after="90" w:line="360" w:lineRule="auto"/>
        <w:jc w:val="both"/>
        <w:rPr>
          <w:color w:val="000000" w:themeColor="text1"/>
          <w:sz w:val="18"/>
          <w:szCs w:val="18"/>
        </w:rPr>
      </w:pPr>
      <w:r w:rsidRPr="00620EAE">
        <w:rPr>
          <w:color w:val="000000" w:themeColor="text1"/>
          <w:sz w:val="18"/>
          <w:szCs w:val="18"/>
        </w:rPr>
        <w:lastRenderedPageBreak/>
        <w:t xml:space="preserve">[21] </w:t>
      </w:r>
      <w:r w:rsidR="00620EAE" w:rsidRPr="00620EAE">
        <w:rPr>
          <w:color w:val="000000" w:themeColor="text1"/>
          <w:sz w:val="18"/>
          <w:szCs w:val="18"/>
        </w:rPr>
        <w:t xml:space="preserve">Y. Xu, S. Kohtz, J. Boakye, P. Gardoni, and P. Wang, "Physics-informed machine learning for reliability and systems safety applications: State of the art and challenges," </w:t>
      </w:r>
      <w:r w:rsidR="00620EAE" w:rsidRPr="00620EAE">
        <w:rPr>
          <w:i/>
          <w:iCs/>
          <w:color w:val="000000" w:themeColor="text1"/>
          <w:sz w:val="18"/>
          <w:szCs w:val="18"/>
        </w:rPr>
        <w:t>Reliability Engineering &amp; System Safety</w:t>
      </w:r>
      <w:r w:rsidR="00620EAE" w:rsidRPr="00620EAE">
        <w:rPr>
          <w:color w:val="000000" w:themeColor="text1"/>
          <w:sz w:val="18"/>
          <w:szCs w:val="18"/>
        </w:rPr>
        <w:t>, vol. 230, p. 108900, Feb. 2023. DOI: 10.1016/j.ress.2022.108900</w:t>
      </w:r>
      <w:r w:rsidR="00620EAE">
        <w:rPr>
          <w:color w:val="000000" w:themeColor="text1"/>
          <w:sz w:val="18"/>
          <w:szCs w:val="18"/>
        </w:rPr>
        <w:t>.</w:t>
      </w:r>
    </w:p>
    <w:p w14:paraId="44AD7334"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[22] K. Javed, R. Gouriveau, and N. Zerhouni, "State of the art and taxonomy of prognostics approaches, trends of prognostics applications and open issues towards maturity at different technology readiness levels," Mech. Syst. Signal Process., vol. 94, pp. 214–236, Sep. 2017.</w:t>
      </w:r>
    </w:p>
    <w:p w14:paraId="4D297060"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[23] S. Zhang, S. Zhang, B. Wang, and T. G. Habetler, "Machine learning and deep learning algorithms for bearing fault diagnostics — A comprehensive review," IEEE Access, vol. 8, pp. 29857–29881, 2020.</w:t>
      </w:r>
    </w:p>
    <w:p w14:paraId="49C8EE96"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[24] P. Nectoux, R. Gouriveau, K. Medjaher, E. Ramasso, B. Chebel-Morello, N. Zerhouni, and C. Varnier, "PRONOSTIA: An experimental platform for bearings accelerated degradation tests," in Proc. IEEE Int. Conf. Prognostics Health Manage., Denver, CO, USA, 2012, pp. 1–8.</w:t>
      </w:r>
    </w:p>
    <w:p w14:paraId="3C75D6EB"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[25] C. Strobl, A.-L. Boulesteix, T. Kneib, T. Augustin, and A. Zeileis, "Conditional variable importance for random forests," BMC Bioinformatics, vol. 9, no. 1, p. 307, Jul. 2008.</w:t>
      </w:r>
    </w:p>
    <w:p w14:paraId="0FC2DAD4"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[26] S. M. Lundberg and S.-I. Lee, "A unified approach to interpreting model predictions," in Proc. Adv. Neural Inf. Process. Syst. (NeurIPS), Long Beach, CA, USA, 2017, pp. 4765–4774.</w:t>
      </w:r>
    </w:p>
    <w:p w14:paraId="4151A83E"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[27] M. L. Baptista, K. Goebel, and E. M. P. Henriques, "Relation between prognostics predictor evaluation metrics and local interpretability SHAP values," Artif. Intell., vol. 306, p. 103667, May 2022.</w:t>
      </w:r>
    </w:p>
    <w:p w14:paraId="74B03952"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[28] H. He and E. A. Garcia, "Learning from imbalanced data," IEEE Trans. Knowl. Data Eng., vol. 21, no. 9, pp. 1263–1284, Sep. 2009.</w:t>
      </w:r>
    </w:p>
    <w:p w14:paraId="27940716"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[29] J. Gama, I. Žliobaitė, A. Bifet, M. Pechenizkiy, and A. Bouchachia, "A survey on concept drift adaptation," ACM Comput. Surv., vol. 46, no. 4, pp. 1–37, Apr. 2014.</w:t>
      </w:r>
    </w:p>
    <w:p w14:paraId="74E09A0D" w14:textId="41266D95"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[30] M. Christ, N. Braun, J. Neuffer, and A. W. E. Kempa-Liehr, "Time series feature extraction on basis of scalable hypothesis tests (tsfresh — A Python package)," Neurocomputing, vol. 307, pp. 72–77, Sep. 2018.</w:t>
      </w:r>
    </w:p>
    <w:p w14:paraId="6782D45D" w14:textId="77777777" w:rsidR="00A96B97" w:rsidRPr="001224E3" w:rsidRDefault="00A64269" w:rsidP="001224E3">
      <w:pPr>
        <w:spacing w:after="90" w:line="360" w:lineRule="auto"/>
        <w:jc w:val="both"/>
        <w:rPr>
          <w:color w:val="000000" w:themeColor="text1"/>
          <w:sz w:val="18"/>
          <w:szCs w:val="18"/>
        </w:rPr>
      </w:pPr>
      <w:r w:rsidRPr="001224E3">
        <w:rPr>
          <w:color w:val="000000" w:themeColor="text1"/>
          <w:sz w:val="18"/>
          <w:szCs w:val="18"/>
        </w:rPr>
        <w:t>[31] Y. Lei, B. Yang, X. Jiang, F. Jia, N. Li, and A. K. Nandi, "Applications of machine learning to machine fault diagnosis: A review and roadmap," Mech. Syst. Signal Process., vol. 138, p. 106587, Apr. 2020.</w:t>
      </w:r>
    </w:p>
    <w:p w14:paraId="2119E681" w14:textId="03238CC1" w:rsidR="00A96B97" w:rsidRDefault="00A64269" w:rsidP="001224E3">
      <w:pPr>
        <w:spacing w:after="90" w:line="360" w:lineRule="auto"/>
        <w:jc w:val="both"/>
        <w:rPr>
          <w:color w:val="000000" w:themeColor="text1"/>
          <w:sz w:val="18"/>
          <w:szCs w:val="18"/>
        </w:rPr>
      </w:pPr>
      <w:r w:rsidRPr="00C874FE">
        <w:rPr>
          <w:color w:val="000000" w:themeColor="text1"/>
          <w:sz w:val="18"/>
          <w:szCs w:val="18"/>
        </w:rPr>
        <w:t xml:space="preserve">[32] </w:t>
      </w:r>
      <w:r w:rsidR="00C874FE" w:rsidRPr="00C874FE">
        <w:rPr>
          <w:color w:val="000000" w:themeColor="text1"/>
          <w:sz w:val="18"/>
          <w:szCs w:val="18"/>
        </w:rPr>
        <w:t xml:space="preserve">A. Theissler, J. Pérez-Velázquez, M. Kettelgerdes, and G. Elger, "Predictive maintenance enabled by machine learning: Use cases and challenges in the automotive industry," </w:t>
      </w:r>
      <w:r w:rsidR="00C874FE" w:rsidRPr="00C874FE">
        <w:rPr>
          <w:i/>
          <w:iCs/>
          <w:color w:val="000000" w:themeColor="text1"/>
          <w:sz w:val="18"/>
          <w:szCs w:val="18"/>
        </w:rPr>
        <w:t>Reliability Engineering &amp; System Safety</w:t>
      </w:r>
      <w:r w:rsidR="00C874FE" w:rsidRPr="00C874FE">
        <w:rPr>
          <w:color w:val="000000" w:themeColor="text1"/>
          <w:sz w:val="18"/>
          <w:szCs w:val="18"/>
        </w:rPr>
        <w:t>, vol. 215, p. 107864, Nov. 2021. DOI: 10.1016/j.ress.2021.107864</w:t>
      </w:r>
      <w:r w:rsidR="00C874FE">
        <w:rPr>
          <w:color w:val="000000" w:themeColor="text1"/>
          <w:sz w:val="18"/>
          <w:szCs w:val="18"/>
        </w:rPr>
        <w:t>.</w:t>
      </w:r>
    </w:p>
    <w:p w14:paraId="52B42142" w14:textId="707B2D80" w:rsidR="00B508C0" w:rsidRDefault="003920BA" w:rsidP="001224E3">
      <w:pPr>
        <w:spacing w:after="90" w:line="360" w:lineRule="auto"/>
        <w:jc w:val="both"/>
        <w:rPr>
          <w:color w:val="000000" w:themeColor="text1"/>
          <w:sz w:val="18"/>
          <w:szCs w:val="18"/>
        </w:rPr>
      </w:pPr>
      <w:r>
        <w:rPr>
          <w:color w:val="000000" w:themeColor="text1"/>
          <w:sz w:val="18"/>
          <w:szCs w:val="18"/>
        </w:rPr>
        <w:t xml:space="preserve">[33] </w:t>
      </w:r>
      <w:r w:rsidRPr="003920BA">
        <w:rPr>
          <w:color w:val="000000" w:themeColor="text1"/>
          <w:sz w:val="18"/>
          <w:szCs w:val="18"/>
        </w:rPr>
        <w:t xml:space="preserve">M. T. Ribeiro, S. Singh, and C. Guestrin, "'Why Should I Trust You?': Explaining the predictions of any classifier," in </w:t>
      </w:r>
      <w:r w:rsidRPr="003920BA">
        <w:rPr>
          <w:i/>
          <w:iCs/>
          <w:color w:val="000000" w:themeColor="text1"/>
          <w:sz w:val="18"/>
          <w:szCs w:val="18"/>
        </w:rPr>
        <w:t>Proc. 22nd ACM SIGKDD Int. Conf. Knowl. Discov. Data Min.</w:t>
      </w:r>
      <w:r w:rsidRPr="003920BA">
        <w:rPr>
          <w:color w:val="000000" w:themeColor="text1"/>
          <w:sz w:val="18"/>
          <w:szCs w:val="18"/>
        </w:rPr>
        <w:t>, San Francisco, CA, USA, 2016, pp. 1135–1144. DOI: 10.1145/2939672.2939778</w:t>
      </w:r>
      <w:r w:rsidR="00BE28DA">
        <w:rPr>
          <w:color w:val="000000" w:themeColor="text1"/>
          <w:sz w:val="18"/>
          <w:szCs w:val="18"/>
        </w:rPr>
        <w:t>.</w:t>
      </w:r>
    </w:p>
    <w:p w14:paraId="0CE460DF" w14:textId="6D6EB76D" w:rsidR="00BE28DA" w:rsidRDefault="00BE28DA" w:rsidP="001224E3">
      <w:pPr>
        <w:spacing w:after="90" w:line="360" w:lineRule="auto"/>
        <w:jc w:val="both"/>
        <w:rPr>
          <w:color w:val="000000" w:themeColor="text1"/>
          <w:sz w:val="18"/>
          <w:szCs w:val="18"/>
        </w:rPr>
      </w:pPr>
      <w:r>
        <w:rPr>
          <w:color w:val="000000" w:themeColor="text1"/>
          <w:sz w:val="18"/>
          <w:szCs w:val="18"/>
        </w:rPr>
        <w:t xml:space="preserve">[34] </w:t>
      </w:r>
      <w:r w:rsidRPr="00BE28DA">
        <w:rPr>
          <w:color w:val="000000" w:themeColor="text1"/>
          <w:sz w:val="18"/>
          <w:szCs w:val="18"/>
        </w:rPr>
        <w:t xml:space="preserve">F. Bayram, B. S. Ahmed, and A. Kassler, "From concept drift to model degradation: An overview on performance-aware drift detectors," </w:t>
      </w:r>
      <w:r w:rsidRPr="00BE28DA">
        <w:rPr>
          <w:i/>
          <w:iCs/>
          <w:color w:val="000000" w:themeColor="text1"/>
          <w:sz w:val="18"/>
          <w:szCs w:val="18"/>
        </w:rPr>
        <w:t>Knowledge-Based Systems</w:t>
      </w:r>
      <w:r w:rsidRPr="00BE28DA">
        <w:rPr>
          <w:color w:val="000000" w:themeColor="text1"/>
          <w:sz w:val="18"/>
          <w:szCs w:val="18"/>
        </w:rPr>
        <w:t>, vol. 245, p. 108632, Jun. 2022. DOI: 10.1016/j.knosys.2022.108632</w:t>
      </w:r>
      <w:r>
        <w:rPr>
          <w:color w:val="000000" w:themeColor="text1"/>
          <w:sz w:val="18"/>
          <w:szCs w:val="18"/>
        </w:rPr>
        <w:t>.</w:t>
      </w:r>
    </w:p>
    <w:p w14:paraId="22FFC6C7" w14:textId="77777777" w:rsidR="003920BA" w:rsidRDefault="003920BA" w:rsidP="001224E3">
      <w:pPr>
        <w:spacing w:after="90" w:line="360" w:lineRule="auto"/>
        <w:jc w:val="both"/>
        <w:rPr>
          <w:color w:val="000000" w:themeColor="text1"/>
          <w:sz w:val="18"/>
          <w:szCs w:val="18"/>
        </w:rPr>
      </w:pPr>
    </w:p>
    <w:p w14:paraId="41D36532" w14:textId="77777777" w:rsidR="00255DC1" w:rsidRDefault="00255DC1" w:rsidP="001224E3">
      <w:pPr>
        <w:spacing w:after="90" w:line="360" w:lineRule="auto"/>
        <w:jc w:val="both"/>
        <w:rPr>
          <w:color w:val="000000" w:themeColor="text1"/>
          <w:sz w:val="18"/>
          <w:szCs w:val="18"/>
        </w:rPr>
      </w:pPr>
    </w:p>
    <w:p w14:paraId="14314456" w14:textId="41175CC7" w:rsidR="00255DC1" w:rsidRDefault="00255DC1">
      <w:pPr>
        <w:rPr>
          <w:color w:val="000000" w:themeColor="text1"/>
          <w:sz w:val="18"/>
          <w:szCs w:val="18"/>
        </w:rPr>
      </w:pPr>
      <w:r>
        <w:rPr>
          <w:color w:val="000000" w:themeColor="text1"/>
          <w:sz w:val="18"/>
          <w:szCs w:val="18"/>
        </w:rPr>
        <w:br w:type="page"/>
      </w:r>
    </w:p>
    <w:p w14:paraId="798D8F2E" w14:textId="77777777" w:rsidR="00E651FE" w:rsidRDefault="00E651FE" w:rsidP="00E651FE">
      <w:pPr>
        <w:pStyle w:val="Heading1"/>
      </w:pPr>
      <w:bookmarkStart w:id="25" w:name="_Toc233286962"/>
      <w:r>
        <w:rPr>
          <w:sz w:val="32"/>
          <w:szCs w:val="32"/>
        </w:rPr>
        <w:lastRenderedPageBreak/>
        <w:t>Appendix A: Summary of Key Literature Reviewed</w:t>
      </w:r>
    </w:p>
    <w:p w14:paraId="46BABDEA" w14:textId="77777777" w:rsidR="00E651FE" w:rsidRDefault="00E651FE" w:rsidP="00E651FE">
      <w:pPr>
        <w:spacing w:after="200"/>
      </w:pPr>
      <w:r>
        <w:t>This table provides a structured overview of the 34 sources reviewed for this report, organised by reference number and thematic focus, to support transparency and reproducibility of the literature synthesis in Section 2. References [2], [21], and [32] have been updated from the draft version to reflect verified published sources. References [33] and [34] are new additions supporting the SHAP vs LIME comparison in Section 2.6 and the concept drift consequences argument in Section 2.7 respectively.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49"/>
        <w:gridCol w:w="1570"/>
        <w:gridCol w:w="748"/>
        <w:gridCol w:w="1992"/>
        <w:gridCol w:w="4067"/>
      </w:tblGrid>
      <w:tr w:rsidR="00E651FE" w14:paraId="34FCF10A"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05148A8F" w14:textId="77777777" w:rsidR="00E651FE" w:rsidRDefault="00E651FE" w:rsidP="00F95957">
            <w:r>
              <w:rPr>
                <w:b/>
                <w:bCs/>
                <w:color w:val="FFFFFF"/>
                <w:sz w:val="18"/>
                <w:szCs w:val="18"/>
              </w:rPr>
              <w:t>Ref</w:t>
            </w:r>
          </w:p>
        </w:tc>
        <w:tc>
          <w:tcPr>
            <w:tcW w:w="120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00144D8B" w14:textId="77777777" w:rsidR="00E651FE" w:rsidRDefault="00E651FE" w:rsidP="00F95957">
            <w:r>
              <w:rPr>
                <w:b/>
                <w:bCs/>
                <w:color w:val="FFFFFF"/>
                <w:sz w:val="18"/>
                <w:szCs w:val="18"/>
              </w:rPr>
              <w:t>Author(s)</w:t>
            </w:r>
          </w:p>
        </w:tc>
        <w:tc>
          <w:tcPr>
            <w:tcW w:w="48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25EF8CD0" w14:textId="77777777" w:rsidR="00E651FE" w:rsidRDefault="00E651FE" w:rsidP="00F95957">
            <w:r>
              <w:rPr>
                <w:b/>
                <w:bCs/>
                <w:color w:val="FFFFFF"/>
                <w:sz w:val="18"/>
                <w:szCs w:val="18"/>
              </w:rPr>
              <w:t>Year</w:t>
            </w:r>
          </w:p>
        </w:tc>
        <w:tc>
          <w:tcPr>
            <w:tcW w:w="160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71F9CDB2" w14:textId="77777777" w:rsidR="00E651FE" w:rsidRDefault="00E651FE" w:rsidP="00F95957">
            <w:r>
              <w:rPr>
                <w:b/>
                <w:bCs/>
                <w:color w:val="FFFFFF"/>
                <w:sz w:val="18"/>
                <w:szCs w:val="18"/>
              </w:rPr>
              <w:t>Topic / Focus</w:t>
            </w:r>
          </w:p>
        </w:tc>
        <w:tc>
          <w:tcPr>
            <w:tcW w:w="3266"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17550DBE" w14:textId="77777777" w:rsidR="00E651FE" w:rsidRDefault="00E651FE" w:rsidP="00F95957">
            <w:r>
              <w:rPr>
                <w:b/>
                <w:bCs/>
                <w:color w:val="FFFFFF"/>
                <w:sz w:val="18"/>
                <w:szCs w:val="18"/>
              </w:rPr>
              <w:t>Relevance to This Report</w:t>
            </w:r>
          </w:p>
        </w:tc>
      </w:tr>
      <w:tr w:rsidR="00E651FE" w14:paraId="18F90989"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6B7DD41" w14:textId="77777777" w:rsidR="00E651FE" w:rsidRDefault="00E651FE" w:rsidP="00F95957">
            <w:r>
              <w:rPr>
                <w:b/>
                <w:bCs/>
                <w:color w:val="000000"/>
                <w:sz w:val="18"/>
                <w:szCs w:val="18"/>
              </w:rPr>
              <w:t>[1]</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6AFF189" w14:textId="77777777" w:rsidR="00E651FE" w:rsidRDefault="00E651FE" w:rsidP="00F95957">
            <w:r>
              <w:rPr>
                <w:color w:val="000000"/>
                <w:sz w:val="18"/>
                <w:szCs w:val="18"/>
              </w:rPr>
              <w:t>Mobley</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6D1F654" w14:textId="77777777" w:rsidR="00E651FE" w:rsidRDefault="00E651FE" w:rsidP="00F95957">
            <w:r>
              <w:rPr>
                <w:color w:val="000000"/>
                <w:sz w:val="18"/>
                <w:szCs w:val="18"/>
              </w:rPr>
              <w:t>2002</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FE3BB07" w14:textId="77777777" w:rsidR="00E651FE" w:rsidRDefault="00E651FE" w:rsidP="00F95957">
            <w:r>
              <w:rPr>
                <w:color w:val="000000"/>
                <w:sz w:val="18"/>
                <w:szCs w:val="18"/>
              </w:rPr>
              <w:t>Maintenance cost economics</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E8AAC19" w14:textId="77777777" w:rsidR="00E651FE" w:rsidRDefault="00E651FE" w:rsidP="00F95957">
            <w:r>
              <w:rPr>
                <w:color w:val="000000"/>
                <w:sz w:val="18"/>
                <w:szCs w:val="18"/>
              </w:rPr>
              <w:t>Foundational cost differential (3–10×) justifying PdM investment</w:t>
            </w:r>
          </w:p>
        </w:tc>
      </w:tr>
      <w:tr w:rsidR="00E651FE" w14:paraId="576FBBF7"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4EF8711" w14:textId="77777777" w:rsidR="00E651FE" w:rsidRDefault="00E651FE" w:rsidP="00F95957">
            <w:r>
              <w:rPr>
                <w:b/>
                <w:bCs/>
                <w:color w:val="000000"/>
                <w:sz w:val="18"/>
                <w:szCs w:val="18"/>
              </w:rPr>
              <w:t>[2]</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141D56CB" w14:textId="77777777" w:rsidR="00E651FE" w:rsidRDefault="00E651FE" w:rsidP="00F95957">
            <w:r>
              <w:rPr>
                <w:color w:val="000000"/>
                <w:sz w:val="18"/>
                <w:szCs w:val="18"/>
              </w:rPr>
              <w:t>Sisinni et al.</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4976564" w14:textId="77777777" w:rsidR="00E651FE" w:rsidRDefault="00E651FE" w:rsidP="00F95957">
            <w:r>
              <w:rPr>
                <w:color w:val="000000"/>
                <w:sz w:val="18"/>
                <w:szCs w:val="18"/>
              </w:rPr>
              <w:t>2018</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F197747" w14:textId="77777777" w:rsidR="00E651FE" w:rsidRDefault="00E651FE" w:rsidP="00F95957">
            <w:r>
              <w:rPr>
                <w:color w:val="000000"/>
                <w:sz w:val="18"/>
                <w:szCs w:val="18"/>
              </w:rPr>
              <w:t>Industrial IoT — challenges and directions</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F01E9B7" w14:textId="77777777" w:rsidR="00E651FE" w:rsidRDefault="00E651FE" w:rsidP="00F95957">
            <w:r>
              <w:rPr>
                <w:color w:val="000000"/>
                <w:sz w:val="18"/>
                <w:szCs w:val="18"/>
              </w:rPr>
              <w:t>Context for IIoT infrastructure growth driving sensor-based PdM adoption</w:t>
            </w:r>
          </w:p>
        </w:tc>
      </w:tr>
      <w:tr w:rsidR="00E651FE" w14:paraId="669F91EA"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48ACC31" w14:textId="77777777" w:rsidR="00E651FE" w:rsidRDefault="00E651FE" w:rsidP="00F95957">
            <w:r>
              <w:rPr>
                <w:b/>
                <w:bCs/>
                <w:color w:val="000000"/>
                <w:sz w:val="18"/>
                <w:szCs w:val="18"/>
              </w:rPr>
              <w:t>[3]</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BC86F5C" w14:textId="77777777" w:rsidR="00E651FE" w:rsidRDefault="00E651FE" w:rsidP="00F95957">
            <w:r>
              <w:rPr>
                <w:color w:val="000000"/>
                <w:sz w:val="18"/>
                <w:szCs w:val="18"/>
              </w:rPr>
              <w:t>Wuest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364E421" w14:textId="77777777" w:rsidR="00E651FE" w:rsidRDefault="00E651FE" w:rsidP="00F95957">
            <w:r>
              <w:rPr>
                <w:color w:val="000000"/>
                <w:sz w:val="18"/>
                <w:szCs w:val="18"/>
              </w:rPr>
              <w:t>2016</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090994E" w14:textId="77777777" w:rsidR="00E651FE" w:rsidRDefault="00E651FE" w:rsidP="00F95957">
            <w:r>
              <w:rPr>
                <w:color w:val="000000"/>
                <w:sz w:val="18"/>
                <w:szCs w:val="18"/>
              </w:rPr>
              <w:t>ML in manufacturing</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65644F0" w14:textId="77777777" w:rsidR="00E651FE" w:rsidRDefault="00E651FE" w:rsidP="00F95957">
            <w:r>
              <w:rPr>
                <w:color w:val="000000"/>
                <w:sz w:val="18"/>
                <w:szCs w:val="18"/>
              </w:rPr>
              <w:t>Feature engineering identified as primary determinant of model success</w:t>
            </w:r>
          </w:p>
        </w:tc>
      </w:tr>
      <w:tr w:rsidR="00E651FE" w14:paraId="78771366"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12AD990C" w14:textId="77777777" w:rsidR="00E651FE" w:rsidRDefault="00E651FE" w:rsidP="00F95957">
            <w:r>
              <w:rPr>
                <w:b/>
                <w:bCs/>
                <w:color w:val="000000"/>
                <w:sz w:val="18"/>
                <w:szCs w:val="18"/>
              </w:rPr>
              <w:t>[4]</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8D52F70" w14:textId="77777777" w:rsidR="00E651FE" w:rsidRDefault="00E651FE" w:rsidP="00F95957">
            <w:r>
              <w:rPr>
                <w:color w:val="000000"/>
                <w:sz w:val="18"/>
                <w:szCs w:val="18"/>
              </w:rPr>
              <w:t>Lee et al.</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15899982" w14:textId="77777777" w:rsidR="00E651FE" w:rsidRDefault="00E651FE" w:rsidP="00F95957">
            <w:r>
              <w:rPr>
                <w:color w:val="000000"/>
                <w:sz w:val="18"/>
                <w:szCs w:val="18"/>
              </w:rPr>
              <w:t>2014</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AD2BE15" w14:textId="77777777" w:rsidR="00E651FE" w:rsidRDefault="00E651FE" w:rsidP="00F95957">
            <w:r>
              <w:rPr>
                <w:color w:val="000000"/>
                <w:sz w:val="18"/>
                <w:szCs w:val="18"/>
              </w:rPr>
              <w:t>PHM design for rotary machinery</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1D30BC3" w14:textId="77777777" w:rsidR="00E651FE" w:rsidRDefault="00E651FE" w:rsidP="00F95957">
            <w:r>
              <w:rPr>
                <w:color w:val="000000"/>
                <w:sz w:val="18"/>
                <w:szCs w:val="18"/>
              </w:rPr>
              <w:t>Preprocessing and EDA as prerequisites; deployment architecture</w:t>
            </w:r>
          </w:p>
        </w:tc>
      </w:tr>
      <w:tr w:rsidR="00E651FE" w14:paraId="1AB53D29"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B302EE9" w14:textId="77777777" w:rsidR="00E651FE" w:rsidRDefault="00E651FE" w:rsidP="00F95957">
            <w:r>
              <w:rPr>
                <w:b/>
                <w:bCs/>
                <w:color w:val="000000"/>
                <w:sz w:val="18"/>
                <w:szCs w:val="18"/>
              </w:rPr>
              <w:t>[5]</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284680D" w14:textId="77777777" w:rsidR="00E651FE" w:rsidRDefault="00E651FE" w:rsidP="00F95957">
            <w:r>
              <w:rPr>
                <w:color w:val="000000"/>
                <w:sz w:val="18"/>
                <w:szCs w:val="18"/>
              </w:rPr>
              <w:t>Jardine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C989889" w14:textId="77777777" w:rsidR="00E651FE" w:rsidRDefault="00E651FE" w:rsidP="00F95957">
            <w:r>
              <w:rPr>
                <w:color w:val="000000"/>
                <w:sz w:val="18"/>
                <w:szCs w:val="18"/>
              </w:rPr>
              <w:t>2006</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5208321" w14:textId="77777777" w:rsidR="00E651FE" w:rsidRDefault="00E651FE" w:rsidP="00F95957">
            <w:r>
              <w:rPr>
                <w:color w:val="000000"/>
                <w:sz w:val="18"/>
                <w:szCs w:val="18"/>
              </w:rPr>
              <w:t>CBM review</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B536E25" w14:textId="77777777" w:rsidR="00E651FE" w:rsidRDefault="00E651FE" w:rsidP="00F95957">
            <w:r>
              <w:rPr>
                <w:color w:val="000000"/>
                <w:sz w:val="18"/>
                <w:szCs w:val="18"/>
              </w:rPr>
              <w:t>Failure lead time; exponential degradation curves; feature window sizing</w:t>
            </w:r>
          </w:p>
        </w:tc>
      </w:tr>
      <w:tr w:rsidR="00E651FE" w14:paraId="2788940F"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5F81ED1" w14:textId="77777777" w:rsidR="00E651FE" w:rsidRDefault="00E651FE" w:rsidP="00F95957">
            <w:r>
              <w:rPr>
                <w:b/>
                <w:bCs/>
                <w:color w:val="000000"/>
                <w:sz w:val="18"/>
                <w:szCs w:val="18"/>
              </w:rPr>
              <w:t>[6]</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AC3185D" w14:textId="77777777" w:rsidR="00E651FE" w:rsidRDefault="00E651FE" w:rsidP="00F95957">
            <w:r>
              <w:rPr>
                <w:color w:val="000000"/>
                <w:sz w:val="18"/>
                <w:szCs w:val="18"/>
              </w:rPr>
              <w:t>Chawla et al.</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98A527E" w14:textId="77777777" w:rsidR="00E651FE" w:rsidRDefault="00E651FE" w:rsidP="00F95957">
            <w:r>
              <w:rPr>
                <w:color w:val="000000"/>
                <w:sz w:val="18"/>
                <w:szCs w:val="18"/>
              </w:rPr>
              <w:t>2002</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A8B9A24" w14:textId="77777777" w:rsidR="00E651FE" w:rsidRDefault="00E651FE" w:rsidP="00F95957">
            <w:r>
              <w:rPr>
                <w:color w:val="000000"/>
                <w:sz w:val="18"/>
                <w:szCs w:val="18"/>
              </w:rPr>
              <w:t>SMOTE oversampling</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8A54658" w14:textId="77777777" w:rsidR="00E651FE" w:rsidRDefault="00E651FE" w:rsidP="00F95957">
            <w:r>
              <w:rPr>
                <w:color w:val="000000"/>
                <w:sz w:val="18"/>
                <w:szCs w:val="18"/>
              </w:rPr>
              <w:t>Class imbalance correction; k=5 default justified</w:t>
            </w:r>
          </w:p>
        </w:tc>
      </w:tr>
      <w:tr w:rsidR="00E651FE" w14:paraId="4BDF4F95"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DA4C11E" w14:textId="77777777" w:rsidR="00E651FE" w:rsidRDefault="00E651FE" w:rsidP="00F95957">
            <w:r>
              <w:rPr>
                <w:b/>
                <w:bCs/>
                <w:color w:val="000000"/>
                <w:sz w:val="18"/>
                <w:szCs w:val="18"/>
              </w:rPr>
              <w:t>[7]</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491622E" w14:textId="77777777" w:rsidR="00E651FE" w:rsidRDefault="00E651FE" w:rsidP="00F95957">
            <w:r>
              <w:rPr>
                <w:color w:val="000000"/>
                <w:sz w:val="18"/>
                <w:szCs w:val="18"/>
              </w:rPr>
              <w:t>Géron</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8706717" w14:textId="77777777" w:rsidR="00E651FE" w:rsidRDefault="00E651FE" w:rsidP="00F95957">
            <w:r>
              <w:rPr>
                <w:color w:val="000000"/>
                <w:sz w:val="18"/>
                <w:szCs w:val="18"/>
              </w:rPr>
              <w:t>2023</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B2F91E1" w14:textId="77777777" w:rsidR="00E651FE" w:rsidRDefault="00E651FE" w:rsidP="00F95957">
            <w:r>
              <w:rPr>
                <w:color w:val="000000"/>
                <w:sz w:val="18"/>
                <w:szCs w:val="18"/>
              </w:rPr>
              <w:t>ML practitioner textbook</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AFC4B3D" w14:textId="77777777" w:rsidR="00E651FE" w:rsidRDefault="00E651FE" w:rsidP="00F95957">
            <w:r>
              <w:rPr>
                <w:color w:val="000000"/>
                <w:sz w:val="18"/>
                <w:szCs w:val="18"/>
              </w:rPr>
              <w:t>Probability calibration; pipeline design; threshold optimisation</w:t>
            </w:r>
          </w:p>
        </w:tc>
      </w:tr>
      <w:tr w:rsidR="00E651FE" w14:paraId="634A23B3"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0FCDA99" w14:textId="77777777" w:rsidR="00E651FE" w:rsidRDefault="00E651FE" w:rsidP="00F95957">
            <w:r>
              <w:rPr>
                <w:b/>
                <w:bCs/>
                <w:color w:val="000000"/>
                <w:sz w:val="18"/>
                <w:szCs w:val="18"/>
              </w:rPr>
              <w:t>[8]</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F5B06C3" w14:textId="77777777" w:rsidR="00E651FE" w:rsidRDefault="00E651FE" w:rsidP="00F95957">
            <w:r>
              <w:rPr>
                <w:color w:val="000000"/>
                <w:sz w:val="18"/>
                <w:szCs w:val="18"/>
              </w:rPr>
              <w:t>Raschka &amp; Mirjalili</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21F1EE3" w14:textId="77777777" w:rsidR="00E651FE" w:rsidRDefault="00E651FE" w:rsidP="00F95957">
            <w:r>
              <w:rPr>
                <w:color w:val="000000"/>
                <w:sz w:val="18"/>
                <w:szCs w:val="18"/>
              </w:rPr>
              <w:t>2019</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EF0BF35" w14:textId="77777777" w:rsidR="00E651FE" w:rsidRDefault="00E651FE" w:rsidP="00F95957">
            <w:r>
              <w:rPr>
                <w:color w:val="000000"/>
                <w:sz w:val="18"/>
                <w:szCs w:val="18"/>
              </w:rPr>
              <w:t>ML practitioner textbook</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4E43ECE" w14:textId="77777777" w:rsidR="00E651FE" w:rsidRDefault="00E651FE" w:rsidP="00F95957">
            <w:r>
              <w:rPr>
                <w:color w:val="000000"/>
                <w:sz w:val="18"/>
                <w:szCs w:val="18"/>
              </w:rPr>
              <w:t>Baseline algorithm properties; Naive Bayes independence assumption</w:t>
            </w:r>
          </w:p>
        </w:tc>
      </w:tr>
      <w:tr w:rsidR="00E651FE" w14:paraId="07B27F8A"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E487314" w14:textId="77777777" w:rsidR="00E651FE" w:rsidRDefault="00E651FE" w:rsidP="00F95957">
            <w:r>
              <w:rPr>
                <w:b/>
                <w:bCs/>
                <w:color w:val="000000"/>
                <w:sz w:val="18"/>
                <w:szCs w:val="18"/>
              </w:rPr>
              <w:t>[9]</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C739312" w14:textId="77777777" w:rsidR="00E651FE" w:rsidRDefault="00E651FE" w:rsidP="00F95957">
            <w:r>
              <w:rPr>
                <w:color w:val="000000"/>
                <w:sz w:val="18"/>
                <w:szCs w:val="18"/>
              </w:rPr>
              <w:t>Breiman</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8DDD3FB" w14:textId="77777777" w:rsidR="00E651FE" w:rsidRDefault="00E651FE" w:rsidP="00F95957">
            <w:r>
              <w:rPr>
                <w:color w:val="000000"/>
                <w:sz w:val="18"/>
                <w:szCs w:val="18"/>
              </w:rPr>
              <w:t>2001</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11A381A" w14:textId="77777777" w:rsidR="00E651FE" w:rsidRDefault="00E651FE" w:rsidP="00F95957">
            <w:r>
              <w:rPr>
                <w:color w:val="000000"/>
                <w:sz w:val="18"/>
                <w:szCs w:val="18"/>
              </w:rPr>
              <w:t>Random Forest — foundational paper</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5E6F0DA" w14:textId="77777777" w:rsidR="00E651FE" w:rsidRDefault="00E651FE" w:rsidP="00F95957">
            <w:r>
              <w:rPr>
                <w:color w:val="000000"/>
                <w:sz w:val="18"/>
                <w:szCs w:val="18"/>
              </w:rPr>
              <w:t>Theoretical basis for ensemble variance reduction; bagging + feature selection</w:t>
            </w:r>
          </w:p>
        </w:tc>
      </w:tr>
      <w:tr w:rsidR="00E651FE" w14:paraId="6DB7EB9F"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5D38847" w14:textId="77777777" w:rsidR="00E651FE" w:rsidRDefault="00E651FE" w:rsidP="00F95957">
            <w:r>
              <w:rPr>
                <w:b/>
                <w:bCs/>
                <w:color w:val="000000"/>
                <w:sz w:val="18"/>
                <w:szCs w:val="18"/>
              </w:rPr>
              <w:t>[10]</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F200001" w14:textId="77777777" w:rsidR="00E651FE" w:rsidRDefault="00E651FE" w:rsidP="00F95957">
            <w:r>
              <w:rPr>
                <w:color w:val="000000"/>
                <w:sz w:val="18"/>
                <w:szCs w:val="18"/>
              </w:rPr>
              <w:t>Caesarendra &amp; Tjahjowidodo</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9AD1C01" w14:textId="77777777" w:rsidR="00E651FE" w:rsidRDefault="00E651FE" w:rsidP="00F95957">
            <w:r>
              <w:rPr>
                <w:color w:val="000000"/>
                <w:sz w:val="18"/>
                <w:szCs w:val="18"/>
              </w:rPr>
              <w:t>2017</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1180CBB" w14:textId="77777777" w:rsidR="00E651FE" w:rsidRDefault="00E651FE" w:rsidP="00F95957">
            <w:r>
              <w:rPr>
                <w:color w:val="000000"/>
                <w:sz w:val="18"/>
                <w:szCs w:val="18"/>
              </w:rPr>
              <w:t>Vibration feature extraction</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2AD4EE2" w14:textId="77777777" w:rsidR="00E651FE" w:rsidRDefault="00E651FE" w:rsidP="00F95957">
            <w:r>
              <w:rPr>
                <w:color w:val="000000"/>
                <w:sz w:val="18"/>
                <w:szCs w:val="18"/>
              </w:rPr>
              <w:t>Industrial case study; 95%+ bearing-fault accuracy; missing-feature robustness</w:t>
            </w:r>
          </w:p>
        </w:tc>
      </w:tr>
      <w:tr w:rsidR="00E651FE" w14:paraId="05356E0B"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3D72374" w14:textId="77777777" w:rsidR="00E651FE" w:rsidRDefault="00E651FE" w:rsidP="00F95957">
            <w:r>
              <w:rPr>
                <w:b/>
                <w:bCs/>
                <w:color w:val="000000"/>
                <w:sz w:val="18"/>
                <w:szCs w:val="18"/>
              </w:rPr>
              <w:t>[11]</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F77FA2D" w14:textId="77777777" w:rsidR="00E651FE" w:rsidRDefault="00E651FE" w:rsidP="00F95957">
            <w:r>
              <w:rPr>
                <w:color w:val="000000"/>
                <w:sz w:val="18"/>
                <w:szCs w:val="18"/>
              </w:rPr>
              <w:t>Zhang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8C54C71" w14:textId="77777777" w:rsidR="00E651FE" w:rsidRDefault="00E651FE" w:rsidP="00F95957">
            <w:r>
              <w:rPr>
                <w:color w:val="000000"/>
                <w:sz w:val="18"/>
                <w:szCs w:val="18"/>
              </w:rPr>
              <w:t>2015</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4125874" w14:textId="77777777" w:rsidR="00E651FE" w:rsidRDefault="00E651FE" w:rsidP="00F95957">
            <w:r>
              <w:rPr>
                <w:color w:val="000000"/>
                <w:sz w:val="18"/>
                <w:szCs w:val="18"/>
              </w:rPr>
              <w:t>Bearing fault diagnosis</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ED825F8" w14:textId="77777777" w:rsidR="00E651FE" w:rsidRDefault="00E651FE" w:rsidP="00F95957">
            <w:r>
              <w:rPr>
                <w:color w:val="000000"/>
                <w:sz w:val="18"/>
                <w:szCs w:val="18"/>
              </w:rPr>
              <w:t>Additional RF performance evidence for rotating machinery</w:t>
            </w:r>
          </w:p>
        </w:tc>
      </w:tr>
      <w:tr w:rsidR="00E651FE" w14:paraId="190FE5A8"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DCB5264" w14:textId="77777777" w:rsidR="00E651FE" w:rsidRDefault="00E651FE" w:rsidP="00F95957">
            <w:r>
              <w:rPr>
                <w:b/>
                <w:bCs/>
                <w:color w:val="000000"/>
                <w:sz w:val="18"/>
                <w:szCs w:val="18"/>
              </w:rPr>
              <w:t>[12]</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C24C196" w14:textId="77777777" w:rsidR="00E651FE" w:rsidRDefault="00E651FE" w:rsidP="00F95957">
            <w:r>
              <w:rPr>
                <w:color w:val="000000"/>
                <w:sz w:val="18"/>
                <w:szCs w:val="18"/>
              </w:rPr>
              <w:t>Chen &amp; Guestrin</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192369B1" w14:textId="77777777" w:rsidR="00E651FE" w:rsidRDefault="00E651FE" w:rsidP="00F95957">
            <w:r>
              <w:rPr>
                <w:color w:val="000000"/>
                <w:sz w:val="18"/>
                <w:szCs w:val="18"/>
              </w:rPr>
              <w:t>2016</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E9A68BD" w14:textId="77777777" w:rsidR="00E651FE" w:rsidRDefault="00E651FE" w:rsidP="00F95957">
            <w:r>
              <w:rPr>
                <w:color w:val="000000"/>
                <w:sz w:val="18"/>
                <w:szCs w:val="18"/>
              </w:rPr>
              <w:t>XGBoost</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4B118C5" w14:textId="77777777" w:rsidR="00E651FE" w:rsidRDefault="00E651FE" w:rsidP="00F95957">
            <w:r>
              <w:rPr>
                <w:color w:val="000000"/>
                <w:sz w:val="18"/>
                <w:szCs w:val="18"/>
              </w:rPr>
              <w:t>Gradient Boosting algorithm; sequential ensemble; accuracy benchmark</w:t>
            </w:r>
          </w:p>
        </w:tc>
      </w:tr>
      <w:tr w:rsidR="00E651FE" w14:paraId="7C9F81D8"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1EA1854" w14:textId="77777777" w:rsidR="00E651FE" w:rsidRDefault="00E651FE" w:rsidP="00F95957">
            <w:r>
              <w:rPr>
                <w:b/>
                <w:bCs/>
                <w:color w:val="000000"/>
                <w:sz w:val="18"/>
                <w:szCs w:val="18"/>
              </w:rPr>
              <w:t>[13]</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CB40E21" w14:textId="77777777" w:rsidR="00E651FE" w:rsidRDefault="00E651FE" w:rsidP="00F95957">
            <w:r>
              <w:rPr>
                <w:color w:val="000000"/>
                <w:sz w:val="18"/>
                <w:szCs w:val="18"/>
              </w:rPr>
              <w:t>Ke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28EEA00" w14:textId="77777777" w:rsidR="00E651FE" w:rsidRDefault="00E651FE" w:rsidP="00F95957">
            <w:r>
              <w:rPr>
                <w:color w:val="000000"/>
                <w:sz w:val="18"/>
                <w:szCs w:val="18"/>
              </w:rPr>
              <w:t>2017</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FB3A597" w14:textId="77777777" w:rsidR="00E651FE" w:rsidRDefault="00E651FE" w:rsidP="00F95957">
            <w:r>
              <w:rPr>
                <w:color w:val="000000"/>
                <w:sz w:val="18"/>
                <w:szCs w:val="18"/>
              </w:rPr>
              <w:t>LightGBM</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9E47669" w14:textId="77777777" w:rsidR="00E651FE" w:rsidRDefault="00E651FE" w:rsidP="00F95957">
            <w:r>
              <w:rPr>
                <w:color w:val="000000"/>
                <w:sz w:val="18"/>
                <w:szCs w:val="18"/>
              </w:rPr>
              <w:t>Faster Gradient Boosting training; histogram-based binning</w:t>
            </w:r>
          </w:p>
        </w:tc>
      </w:tr>
      <w:tr w:rsidR="00E651FE" w14:paraId="702DCFCC"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E45244C" w14:textId="77777777" w:rsidR="00E651FE" w:rsidRDefault="00E651FE" w:rsidP="00F95957">
            <w:r>
              <w:rPr>
                <w:b/>
                <w:bCs/>
                <w:color w:val="000000"/>
                <w:sz w:val="18"/>
                <w:szCs w:val="18"/>
              </w:rPr>
              <w:t>[14]</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D8E2F96" w14:textId="77777777" w:rsidR="00E651FE" w:rsidRDefault="00E651FE" w:rsidP="00F95957">
            <w:r>
              <w:rPr>
                <w:color w:val="000000"/>
                <w:sz w:val="18"/>
                <w:szCs w:val="18"/>
              </w:rPr>
              <w:t>Carvalho et al.</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2C434E8" w14:textId="77777777" w:rsidR="00E651FE" w:rsidRDefault="00E651FE" w:rsidP="00F95957">
            <w:r>
              <w:rPr>
                <w:color w:val="000000"/>
                <w:sz w:val="18"/>
                <w:szCs w:val="18"/>
              </w:rPr>
              <w:t>2019</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C2E7096" w14:textId="77777777" w:rsidR="00E651FE" w:rsidRDefault="00E651FE" w:rsidP="00F95957">
            <w:r>
              <w:rPr>
                <w:color w:val="000000"/>
                <w:sz w:val="18"/>
                <w:szCs w:val="18"/>
              </w:rPr>
              <w:t>Systematic review — 71 PdM studies</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CA20F31" w14:textId="77777777" w:rsidR="00E651FE" w:rsidRDefault="00E651FE" w:rsidP="00F95957">
            <w:r>
              <w:rPr>
                <w:color w:val="000000"/>
                <w:sz w:val="18"/>
                <w:szCs w:val="18"/>
              </w:rPr>
              <w:t>Primary comparative evidence base; benchmark overestimation critique</w:t>
            </w:r>
          </w:p>
        </w:tc>
      </w:tr>
      <w:tr w:rsidR="00E651FE" w14:paraId="2CFBAF60"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889AED6" w14:textId="77777777" w:rsidR="00E651FE" w:rsidRDefault="00E651FE" w:rsidP="00F95957">
            <w:r>
              <w:rPr>
                <w:b/>
                <w:bCs/>
                <w:color w:val="000000"/>
                <w:sz w:val="18"/>
                <w:szCs w:val="18"/>
              </w:rPr>
              <w:t>[15]</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505069B" w14:textId="77777777" w:rsidR="00E651FE" w:rsidRDefault="00E651FE" w:rsidP="00F95957">
            <w:r>
              <w:rPr>
                <w:color w:val="000000"/>
                <w:sz w:val="18"/>
                <w:szCs w:val="18"/>
              </w:rPr>
              <w:t>Cortes &amp; Vapnik</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CDB515B" w14:textId="77777777" w:rsidR="00E651FE" w:rsidRDefault="00E651FE" w:rsidP="00F95957">
            <w:r>
              <w:rPr>
                <w:color w:val="000000"/>
                <w:sz w:val="18"/>
                <w:szCs w:val="18"/>
              </w:rPr>
              <w:t>1995</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4CD0339" w14:textId="77777777" w:rsidR="00E651FE" w:rsidRDefault="00E651FE" w:rsidP="00F95957">
            <w:r>
              <w:rPr>
                <w:color w:val="000000"/>
                <w:sz w:val="18"/>
                <w:szCs w:val="18"/>
              </w:rPr>
              <w:t>SVM — foundational paper</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8018297" w14:textId="77777777" w:rsidR="00E651FE" w:rsidRDefault="00E651FE" w:rsidP="00F95957">
            <w:r>
              <w:rPr>
                <w:color w:val="000000"/>
                <w:sz w:val="18"/>
                <w:szCs w:val="18"/>
              </w:rPr>
              <w:t>SVM theoretical basis; training complexity O(n²–n³)</w:t>
            </w:r>
          </w:p>
        </w:tc>
      </w:tr>
      <w:tr w:rsidR="00E651FE" w14:paraId="28F102AA"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E83CB84" w14:textId="77777777" w:rsidR="00E651FE" w:rsidRDefault="00E651FE" w:rsidP="00F95957">
            <w:r>
              <w:rPr>
                <w:b/>
                <w:bCs/>
                <w:color w:val="000000"/>
                <w:sz w:val="18"/>
                <w:szCs w:val="18"/>
              </w:rPr>
              <w:t>[16]</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1237865" w14:textId="77777777" w:rsidR="00E651FE" w:rsidRDefault="00E651FE" w:rsidP="00F95957">
            <w:r>
              <w:rPr>
                <w:color w:val="000000"/>
                <w:sz w:val="18"/>
                <w:szCs w:val="18"/>
              </w:rPr>
              <w:t>Widodo &amp; Yang</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8CE94AE" w14:textId="77777777" w:rsidR="00E651FE" w:rsidRDefault="00E651FE" w:rsidP="00F95957">
            <w:r>
              <w:rPr>
                <w:color w:val="000000"/>
                <w:sz w:val="18"/>
                <w:szCs w:val="18"/>
              </w:rPr>
              <w:t>2007</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82AB6D1" w14:textId="77777777" w:rsidR="00E651FE" w:rsidRDefault="00E651FE" w:rsidP="00F95957">
            <w:r>
              <w:rPr>
                <w:color w:val="000000"/>
                <w:sz w:val="18"/>
                <w:szCs w:val="18"/>
              </w:rPr>
              <w:t>SVM in condition monitoring</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9B46770" w14:textId="77777777" w:rsidR="00E651FE" w:rsidRDefault="00E651FE" w:rsidP="00F95957">
            <w:r>
              <w:rPr>
                <w:color w:val="000000"/>
                <w:sz w:val="18"/>
                <w:szCs w:val="18"/>
              </w:rPr>
              <w:t>SVM competitive in 2007 data-scarce conditions; temporal limitation noted</w:t>
            </w:r>
          </w:p>
        </w:tc>
      </w:tr>
      <w:tr w:rsidR="00E651FE" w14:paraId="6ABD3408"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0FFF878" w14:textId="77777777" w:rsidR="00E651FE" w:rsidRDefault="00E651FE" w:rsidP="00F95957">
            <w:r>
              <w:rPr>
                <w:b/>
                <w:bCs/>
                <w:color w:val="000000"/>
                <w:sz w:val="18"/>
                <w:szCs w:val="18"/>
              </w:rPr>
              <w:t>[17]</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6EBDCBA" w14:textId="77777777" w:rsidR="00E651FE" w:rsidRDefault="00E651FE" w:rsidP="00F95957">
            <w:r>
              <w:rPr>
                <w:color w:val="000000"/>
                <w:sz w:val="18"/>
                <w:szCs w:val="18"/>
              </w:rPr>
              <w:t>Susto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17F89D7" w14:textId="77777777" w:rsidR="00E651FE" w:rsidRDefault="00E651FE" w:rsidP="00F95957">
            <w:r>
              <w:rPr>
                <w:color w:val="000000"/>
                <w:sz w:val="18"/>
                <w:szCs w:val="18"/>
              </w:rPr>
              <w:t>2015</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4D7AE68" w14:textId="77777777" w:rsidR="00E651FE" w:rsidRDefault="00E651FE" w:rsidP="00F95957">
            <w:r>
              <w:rPr>
                <w:color w:val="000000"/>
                <w:sz w:val="18"/>
                <w:szCs w:val="18"/>
              </w:rPr>
              <w:t>Logistic regression PdM — semiconductor</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14AB98D" w14:textId="77777777" w:rsidR="00E651FE" w:rsidRDefault="00E651FE" w:rsidP="00F95957">
            <w:r>
              <w:rPr>
                <w:color w:val="000000"/>
                <w:sz w:val="18"/>
                <w:szCs w:val="18"/>
              </w:rPr>
              <w:t>Industrial case study; domain-specificity of linear classifier success</w:t>
            </w:r>
          </w:p>
        </w:tc>
      </w:tr>
      <w:tr w:rsidR="00E651FE" w14:paraId="098E2267"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78200A1" w14:textId="77777777" w:rsidR="00E651FE" w:rsidRDefault="00E651FE" w:rsidP="00F95957">
            <w:r>
              <w:rPr>
                <w:b/>
                <w:bCs/>
                <w:color w:val="000000"/>
                <w:sz w:val="18"/>
                <w:szCs w:val="18"/>
              </w:rPr>
              <w:t>[18]</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15F05A4" w14:textId="77777777" w:rsidR="00E651FE" w:rsidRDefault="00E651FE" w:rsidP="00F95957">
            <w:r>
              <w:rPr>
                <w:color w:val="000000"/>
                <w:sz w:val="18"/>
                <w:szCs w:val="18"/>
              </w:rPr>
              <w:t>Wirth &amp; Hipp</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56846CF" w14:textId="77777777" w:rsidR="00E651FE" w:rsidRDefault="00E651FE" w:rsidP="00F95957">
            <w:r>
              <w:rPr>
                <w:color w:val="000000"/>
                <w:sz w:val="18"/>
                <w:szCs w:val="18"/>
              </w:rPr>
              <w:t>2000</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C71520F" w14:textId="77777777" w:rsidR="00E651FE" w:rsidRDefault="00E651FE" w:rsidP="00F95957">
            <w:r>
              <w:rPr>
                <w:color w:val="000000"/>
                <w:sz w:val="18"/>
                <w:szCs w:val="18"/>
              </w:rPr>
              <w:t>CRISP-DM</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265E1A4" w14:textId="77777777" w:rsidR="00E651FE" w:rsidRDefault="00E651FE" w:rsidP="00F95957">
            <w:r>
              <w:rPr>
                <w:color w:val="000000"/>
                <w:sz w:val="18"/>
                <w:szCs w:val="18"/>
              </w:rPr>
              <w:t>Workflow framework; iterative phase structure; Business Understanding</w:t>
            </w:r>
          </w:p>
        </w:tc>
      </w:tr>
      <w:tr w:rsidR="00E651FE" w14:paraId="675D360E"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CCA8A62" w14:textId="77777777" w:rsidR="00E651FE" w:rsidRDefault="00E651FE" w:rsidP="00F95957">
            <w:r>
              <w:rPr>
                <w:b/>
                <w:bCs/>
                <w:color w:val="000000"/>
                <w:sz w:val="18"/>
                <w:szCs w:val="18"/>
              </w:rPr>
              <w:t>[19]</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12B9795" w14:textId="77777777" w:rsidR="00E651FE" w:rsidRDefault="00E651FE" w:rsidP="00F95957">
            <w:r>
              <w:rPr>
                <w:color w:val="000000"/>
                <w:sz w:val="18"/>
                <w:szCs w:val="18"/>
              </w:rPr>
              <w:t>Powers</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06321FF" w14:textId="77777777" w:rsidR="00E651FE" w:rsidRDefault="00E651FE" w:rsidP="00F95957">
            <w:r>
              <w:rPr>
                <w:color w:val="000000"/>
                <w:sz w:val="18"/>
                <w:szCs w:val="18"/>
              </w:rPr>
              <w:t>2011</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61BF8A5" w14:textId="77777777" w:rsidR="00E651FE" w:rsidRDefault="00E651FE" w:rsidP="00F95957">
            <w:r>
              <w:rPr>
                <w:color w:val="000000"/>
                <w:sz w:val="18"/>
                <w:szCs w:val="18"/>
              </w:rPr>
              <w:t>Evaluation metrics</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A1EB6F2" w14:textId="77777777" w:rsidR="00E651FE" w:rsidRDefault="00E651FE" w:rsidP="00F95957">
            <w:r>
              <w:rPr>
                <w:color w:val="000000"/>
                <w:sz w:val="18"/>
                <w:szCs w:val="18"/>
              </w:rPr>
              <w:t>Precision, Recall, F1, MCC definitions and limitations</w:t>
            </w:r>
          </w:p>
        </w:tc>
      </w:tr>
      <w:tr w:rsidR="00E651FE" w14:paraId="43297387"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DEFB69C" w14:textId="77777777" w:rsidR="00E651FE" w:rsidRDefault="00E651FE" w:rsidP="00F95957">
            <w:r>
              <w:rPr>
                <w:b/>
                <w:bCs/>
                <w:color w:val="000000"/>
                <w:sz w:val="18"/>
                <w:szCs w:val="18"/>
              </w:rPr>
              <w:t>[20]</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03D84B7" w14:textId="77777777" w:rsidR="00E651FE" w:rsidRDefault="00E651FE" w:rsidP="00F95957">
            <w:r>
              <w:rPr>
                <w:color w:val="000000"/>
                <w:sz w:val="18"/>
                <w:szCs w:val="18"/>
              </w:rPr>
              <w:t>McKinsey</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3195F0A" w14:textId="77777777" w:rsidR="00E651FE" w:rsidRDefault="00E651FE" w:rsidP="00F95957">
            <w:r>
              <w:rPr>
                <w:color w:val="000000"/>
                <w:sz w:val="18"/>
                <w:szCs w:val="18"/>
              </w:rPr>
              <w:t>2017</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F5FAE2A" w14:textId="77777777" w:rsidR="00E651FE" w:rsidRDefault="00E651FE" w:rsidP="00F95957">
            <w:r>
              <w:rPr>
                <w:color w:val="000000"/>
                <w:sz w:val="18"/>
                <w:szCs w:val="18"/>
              </w:rPr>
              <w:t>Manufacturing analytics and PdM economics</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14A96F8F" w14:textId="77777777" w:rsidR="00E651FE" w:rsidRDefault="00E651FE" w:rsidP="00F95957">
            <w:r>
              <w:rPr>
                <w:color w:val="000000"/>
                <w:sz w:val="18"/>
                <w:szCs w:val="18"/>
              </w:rPr>
              <w:t>Industry-level PdM downtime reduction estimate (30–50%)</w:t>
            </w:r>
          </w:p>
        </w:tc>
      </w:tr>
      <w:tr w:rsidR="00E651FE" w14:paraId="7D22D4E7"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841CCD3" w14:textId="77777777" w:rsidR="00E651FE" w:rsidRDefault="00E651FE" w:rsidP="00F95957">
            <w:r>
              <w:rPr>
                <w:b/>
                <w:bCs/>
                <w:color w:val="000000"/>
                <w:sz w:val="18"/>
                <w:szCs w:val="18"/>
              </w:rPr>
              <w:t>[21]</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F5B78C4" w14:textId="77777777" w:rsidR="00E651FE" w:rsidRDefault="00E651FE" w:rsidP="00F95957">
            <w:r>
              <w:rPr>
                <w:color w:val="000000"/>
                <w:sz w:val="18"/>
                <w:szCs w:val="18"/>
              </w:rPr>
              <w:t>Xu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334E74B" w14:textId="77777777" w:rsidR="00E651FE" w:rsidRDefault="00E651FE" w:rsidP="00F95957">
            <w:r>
              <w:rPr>
                <w:color w:val="000000"/>
                <w:sz w:val="18"/>
                <w:szCs w:val="18"/>
              </w:rPr>
              <w:t>2023</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F9A1E42" w14:textId="77777777" w:rsidR="00E651FE" w:rsidRDefault="00E651FE" w:rsidP="00F95957">
            <w:r>
              <w:rPr>
                <w:color w:val="000000"/>
                <w:sz w:val="18"/>
                <w:szCs w:val="18"/>
              </w:rPr>
              <w:t>Physics-informed ML — reliability and safety</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687A71C" w14:textId="77777777" w:rsidR="00E651FE" w:rsidRDefault="00E651FE" w:rsidP="00F95957">
            <w:r>
              <w:rPr>
                <w:color w:val="000000"/>
                <w:sz w:val="18"/>
                <w:szCs w:val="18"/>
              </w:rPr>
              <w:t>Hybrid physics-ML as future direction for RUL estimation; state of the art</w:t>
            </w:r>
          </w:p>
        </w:tc>
      </w:tr>
      <w:tr w:rsidR="00E651FE" w14:paraId="6D70AC89"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C4EAC29" w14:textId="77777777" w:rsidR="00E651FE" w:rsidRDefault="00E651FE" w:rsidP="00F95957">
            <w:r>
              <w:rPr>
                <w:b/>
                <w:bCs/>
                <w:color w:val="000000"/>
                <w:sz w:val="18"/>
                <w:szCs w:val="18"/>
              </w:rPr>
              <w:lastRenderedPageBreak/>
              <w:t>[22]</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12F7FAE" w14:textId="77777777" w:rsidR="00E651FE" w:rsidRDefault="00E651FE" w:rsidP="00F95957">
            <w:r>
              <w:rPr>
                <w:color w:val="000000"/>
                <w:sz w:val="18"/>
                <w:szCs w:val="18"/>
              </w:rPr>
              <w:t>Javed et al.</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6420770" w14:textId="77777777" w:rsidR="00E651FE" w:rsidRDefault="00E651FE" w:rsidP="00F95957">
            <w:r>
              <w:rPr>
                <w:color w:val="000000"/>
                <w:sz w:val="18"/>
                <w:szCs w:val="18"/>
              </w:rPr>
              <w:t>2017</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E240345" w14:textId="77777777" w:rsidR="00E651FE" w:rsidRDefault="00E651FE" w:rsidP="00F95957">
            <w:r>
              <w:rPr>
                <w:color w:val="000000"/>
                <w:sz w:val="18"/>
                <w:szCs w:val="18"/>
              </w:rPr>
              <w:t>Prognostics taxonomy</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69E2EA8" w14:textId="77777777" w:rsidR="00E651FE" w:rsidRDefault="00E651FE" w:rsidP="00F95957">
            <w:r>
              <w:rPr>
                <w:color w:val="000000"/>
                <w:sz w:val="18"/>
                <w:szCs w:val="18"/>
              </w:rPr>
              <w:t>Binary classification vs RUL distinction; data leakage critique</w:t>
            </w:r>
          </w:p>
        </w:tc>
      </w:tr>
      <w:tr w:rsidR="00E651FE" w14:paraId="797A0859"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697E4E1" w14:textId="77777777" w:rsidR="00E651FE" w:rsidRDefault="00E651FE" w:rsidP="00F95957">
            <w:r>
              <w:rPr>
                <w:b/>
                <w:bCs/>
                <w:color w:val="000000"/>
                <w:sz w:val="18"/>
                <w:szCs w:val="18"/>
              </w:rPr>
              <w:t>[23]</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C344ECC" w14:textId="77777777" w:rsidR="00E651FE" w:rsidRDefault="00E651FE" w:rsidP="00F95957">
            <w:r>
              <w:rPr>
                <w:color w:val="000000"/>
                <w:sz w:val="18"/>
                <w:szCs w:val="18"/>
              </w:rPr>
              <w:t>Zhang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DBFD7C0" w14:textId="77777777" w:rsidR="00E651FE" w:rsidRDefault="00E651FE" w:rsidP="00F95957">
            <w:r>
              <w:rPr>
                <w:color w:val="000000"/>
                <w:sz w:val="18"/>
                <w:szCs w:val="18"/>
              </w:rPr>
              <w:t>2020</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3C4D351" w14:textId="77777777" w:rsidR="00E651FE" w:rsidRDefault="00E651FE" w:rsidP="00F95957">
            <w:r>
              <w:rPr>
                <w:color w:val="000000"/>
                <w:sz w:val="18"/>
                <w:szCs w:val="18"/>
              </w:rPr>
              <w:t>Bearing fault diagnostics review</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0EB99D9" w14:textId="77777777" w:rsidR="00E651FE" w:rsidRDefault="00E651FE" w:rsidP="00F95957">
            <w:r>
              <w:rPr>
                <w:color w:val="000000"/>
                <w:sz w:val="18"/>
                <w:szCs w:val="18"/>
              </w:rPr>
              <w:t>Benchmark overestimation; real-world performance gap</w:t>
            </w:r>
          </w:p>
        </w:tc>
      </w:tr>
      <w:tr w:rsidR="00E651FE" w14:paraId="06B74D49"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99F3B76" w14:textId="77777777" w:rsidR="00E651FE" w:rsidRDefault="00E651FE" w:rsidP="00F95957">
            <w:r>
              <w:rPr>
                <w:b/>
                <w:bCs/>
                <w:color w:val="000000"/>
                <w:sz w:val="18"/>
                <w:szCs w:val="18"/>
              </w:rPr>
              <w:t>[24]</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CB904E5" w14:textId="77777777" w:rsidR="00E651FE" w:rsidRDefault="00E651FE" w:rsidP="00F95957">
            <w:r>
              <w:rPr>
                <w:color w:val="000000"/>
                <w:sz w:val="18"/>
                <w:szCs w:val="18"/>
              </w:rPr>
              <w:t>Nectoux et al.</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0FD95A9" w14:textId="77777777" w:rsidR="00E651FE" w:rsidRDefault="00E651FE" w:rsidP="00F95957">
            <w:r>
              <w:rPr>
                <w:color w:val="000000"/>
                <w:sz w:val="18"/>
                <w:szCs w:val="18"/>
              </w:rPr>
              <w:t>2012</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B6377BE" w14:textId="77777777" w:rsidR="00E651FE" w:rsidRDefault="00E651FE" w:rsidP="00F95957">
            <w:r>
              <w:rPr>
                <w:color w:val="000000"/>
                <w:sz w:val="18"/>
                <w:szCs w:val="18"/>
              </w:rPr>
              <w:t>PRONOSTIA benchmark dataset</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1F59DE6" w14:textId="77777777" w:rsidR="00E651FE" w:rsidRDefault="00E651FE" w:rsidP="00F95957">
            <w:r>
              <w:rPr>
                <w:color w:val="000000"/>
                <w:sz w:val="18"/>
                <w:szCs w:val="18"/>
              </w:rPr>
              <w:t>Gradient Boosting superiority under controlled conditions; context limitation</w:t>
            </w:r>
          </w:p>
        </w:tc>
      </w:tr>
      <w:tr w:rsidR="00E651FE" w14:paraId="1FE90961"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11C9CFF" w14:textId="77777777" w:rsidR="00E651FE" w:rsidRDefault="00E651FE" w:rsidP="00F95957">
            <w:r>
              <w:rPr>
                <w:b/>
                <w:bCs/>
                <w:color w:val="000000"/>
                <w:sz w:val="18"/>
                <w:szCs w:val="18"/>
              </w:rPr>
              <w:t>[25]</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1BFB450" w14:textId="77777777" w:rsidR="00E651FE" w:rsidRDefault="00E651FE" w:rsidP="00F95957">
            <w:r>
              <w:rPr>
                <w:color w:val="000000"/>
                <w:sz w:val="18"/>
                <w:szCs w:val="18"/>
              </w:rPr>
              <w:t>Strobl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2751417" w14:textId="77777777" w:rsidR="00E651FE" w:rsidRDefault="00E651FE" w:rsidP="00F95957">
            <w:r>
              <w:rPr>
                <w:color w:val="000000"/>
                <w:sz w:val="18"/>
                <w:szCs w:val="18"/>
              </w:rPr>
              <w:t>2008</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0908495" w14:textId="77777777" w:rsidR="00E651FE" w:rsidRDefault="00E651FE" w:rsidP="00F95957">
            <w:r>
              <w:rPr>
                <w:color w:val="000000"/>
                <w:sz w:val="18"/>
                <w:szCs w:val="18"/>
              </w:rPr>
              <w:t>Random Forest feature importance bias</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33B2AE2" w14:textId="77777777" w:rsidR="00E651FE" w:rsidRDefault="00E651FE" w:rsidP="00F95957">
            <w:r>
              <w:rPr>
                <w:color w:val="000000"/>
                <w:sz w:val="18"/>
                <w:szCs w:val="18"/>
              </w:rPr>
              <w:t>MDI overrates correlated features; SHAP preferred; basis for iterative selection stopping criterion</w:t>
            </w:r>
          </w:p>
        </w:tc>
      </w:tr>
      <w:tr w:rsidR="00E651FE" w14:paraId="0591C079"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A198995" w14:textId="77777777" w:rsidR="00E651FE" w:rsidRDefault="00E651FE" w:rsidP="00F95957">
            <w:r>
              <w:rPr>
                <w:b/>
                <w:bCs/>
                <w:color w:val="000000"/>
                <w:sz w:val="18"/>
                <w:szCs w:val="18"/>
              </w:rPr>
              <w:t>[26]</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0BFED93" w14:textId="77777777" w:rsidR="00E651FE" w:rsidRDefault="00E651FE" w:rsidP="00F95957">
            <w:r>
              <w:rPr>
                <w:color w:val="000000"/>
                <w:sz w:val="18"/>
                <w:szCs w:val="18"/>
              </w:rPr>
              <w:t>Lundberg &amp; Lee</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E09EF13" w14:textId="77777777" w:rsidR="00E651FE" w:rsidRDefault="00E651FE" w:rsidP="00F95957">
            <w:r>
              <w:rPr>
                <w:color w:val="000000"/>
                <w:sz w:val="18"/>
                <w:szCs w:val="18"/>
              </w:rPr>
              <w:t>2017</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E25A178" w14:textId="77777777" w:rsidR="00E651FE" w:rsidRDefault="00E651FE" w:rsidP="00F95957">
            <w:r>
              <w:rPr>
                <w:color w:val="000000"/>
                <w:sz w:val="18"/>
                <w:szCs w:val="18"/>
              </w:rPr>
              <w:t>SHAP — foundational paper</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4B02BEB" w14:textId="77777777" w:rsidR="00E651FE" w:rsidRDefault="00E651FE" w:rsidP="00F95957">
            <w:r>
              <w:rPr>
                <w:color w:val="000000"/>
                <w:sz w:val="18"/>
                <w:szCs w:val="18"/>
              </w:rPr>
              <w:t>Feature attribution via Shapley values; independence assumption limitation</w:t>
            </w:r>
          </w:p>
        </w:tc>
      </w:tr>
      <w:tr w:rsidR="00E651FE" w14:paraId="7EDDFF08"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3919D3A" w14:textId="77777777" w:rsidR="00E651FE" w:rsidRDefault="00E651FE" w:rsidP="00F95957">
            <w:r>
              <w:rPr>
                <w:b/>
                <w:bCs/>
                <w:color w:val="000000"/>
                <w:sz w:val="18"/>
                <w:szCs w:val="18"/>
              </w:rPr>
              <w:t>[27]</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449878C" w14:textId="77777777" w:rsidR="00E651FE" w:rsidRDefault="00E651FE" w:rsidP="00F95957">
            <w:r>
              <w:rPr>
                <w:color w:val="000000"/>
                <w:sz w:val="18"/>
                <w:szCs w:val="18"/>
              </w:rPr>
              <w:t>Baptista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3E1D8A7" w14:textId="77777777" w:rsidR="00E651FE" w:rsidRDefault="00E651FE" w:rsidP="00F95957">
            <w:r>
              <w:rPr>
                <w:color w:val="000000"/>
                <w:sz w:val="18"/>
                <w:szCs w:val="18"/>
              </w:rPr>
              <w:t>2022</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A4173DC" w14:textId="77777777" w:rsidR="00E651FE" w:rsidRDefault="00E651FE" w:rsidP="00F95957">
            <w:r>
              <w:rPr>
                <w:color w:val="000000"/>
                <w:sz w:val="18"/>
                <w:szCs w:val="18"/>
              </w:rPr>
              <w:t>SHAP in PdM field trial</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C0675B1" w14:textId="77777777" w:rsidR="00E651FE" w:rsidRDefault="00E651FE" w:rsidP="00F95957">
            <w:r>
              <w:rPr>
                <w:color w:val="000000"/>
                <w:sz w:val="18"/>
                <w:szCs w:val="18"/>
              </w:rPr>
              <w:t>Engineer trust; interpretability and accuracy as complementary</w:t>
            </w:r>
          </w:p>
        </w:tc>
      </w:tr>
      <w:tr w:rsidR="00E651FE" w14:paraId="5A1799C2"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58DE027" w14:textId="77777777" w:rsidR="00E651FE" w:rsidRDefault="00E651FE" w:rsidP="00F95957">
            <w:r>
              <w:rPr>
                <w:b/>
                <w:bCs/>
                <w:color w:val="000000"/>
                <w:sz w:val="18"/>
                <w:szCs w:val="18"/>
              </w:rPr>
              <w:t>[28]</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EDCF097" w14:textId="77777777" w:rsidR="00E651FE" w:rsidRDefault="00E651FE" w:rsidP="00F95957">
            <w:r>
              <w:rPr>
                <w:color w:val="000000"/>
                <w:sz w:val="18"/>
                <w:szCs w:val="18"/>
              </w:rPr>
              <w:t>He &amp; Garcia</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D06A215" w14:textId="77777777" w:rsidR="00E651FE" w:rsidRDefault="00E651FE" w:rsidP="00F95957">
            <w:r>
              <w:rPr>
                <w:color w:val="000000"/>
                <w:sz w:val="18"/>
                <w:szCs w:val="18"/>
              </w:rPr>
              <w:t>2009</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284AF35" w14:textId="77777777" w:rsidR="00E651FE" w:rsidRDefault="00E651FE" w:rsidP="00F95957">
            <w:r>
              <w:rPr>
                <w:color w:val="000000"/>
                <w:sz w:val="18"/>
                <w:szCs w:val="18"/>
              </w:rPr>
              <w:t>Learning from imbalanced data</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7426B35" w14:textId="77777777" w:rsidR="00E651FE" w:rsidRDefault="00E651FE" w:rsidP="00F95957">
            <w:r>
              <w:rPr>
                <w:color w:val="000000"/>
                <w:sz w:val="18"/>
                <w:szCs w:val="18"/>
              </w:rPr>
              <w:t>Borderline-SMOTE; ADASYN; AUC-PR preferred over AUC-ROC</w:t>
            </w:r>
          </w:p>
        </w:tc>
      </w:tr>
      <w:tr w:rsidR="00E651FE" w14:paraId="6494FB36"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6728895" w14:textId="77777777" w:rsidR="00E651FE" w:rsidRDefault="00E651FE" w:rsidP="00F95957">
            <w:r>
              <w:rPr>
                <w:b/>
                <w:bCs/>
                <w:color w:val="000000"/>
                <w:sz w:val="18"/>
                <w:szCs w:val="18"/>
              </w:rPr>
              <w:t>[29]</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2EEA58F" w14:textId="77777777" w:rsidR="00E651FE" w:rsidRDefault="00E651FE" w:rsidP="00F95957">
            <w:r>
              <w:rPr>
                <w:color w:val="000000"/>
                <w:sz w:val="18"/>
                <w:szCs w:val="18"/>
              </w:rPr>
              <w:t>Gama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85201DE" w14:textId="77777777" w:rsidR="00E651FE" w:rsidRDefault="00E651FE" w:rsidP="00F95957">
            <w:r>
              <w:rPr>
                <w:color w:val="000000"/>
                <w:sz w:val="18"/>
                <w:szCs w:val="18"/>
              </w:rPr>
              <w:t>2014</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D1E6DDB" w14:textId="77777777" w:rsidR="00E651FE" w:rsidRDefault="00E651FE" w:rsidP="00F95957">
            <w:r>
              <w:rPr>
                <w:color w:val="000000"/>
                <w:sz w:val="18"/>
                <w:szCs w:val="18"/>
              </w:rPr>
              <w:t>Concept drift adaptation</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3692AA0" w14:textId="77777777" w:rsidR="00E651FE" w:rsidRDefault="00E651FE" w:rsidP="00F95957">
            <w:r>
              <w:rPr>
                <w:color w:val="000000"/>
                <w:sz w:val="18"/>
                <w:szCs w:val="18"/>
              </w:rPr>
              <w:t>Four drift types; Page-Hinkley test; drift monitoring architecture</w:t>
            </w:r>
          </w:p>
        </w:tc>
      </w:tr>
      <w:tr w:rsidR="00E651FE" w14:paraId="399DE63A"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2764492" w14:textId="77777777" w:rsidR="00E651FE" w:rsidRDefault="00E651FE" w:rsidP="00F95957">
            <w:r>
              <w:rPr>
                <w:b/>
                <w:bCs/>
                <w:color w:val="000000"/>
                <w:sz w:val="18"/>
                <w:szCs w:val="18"/>
              </w:rPr>
              <w:t>[30]</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E317BD7" w14:textId="77777777" w:rsidR="00E651FE" w:rsidRDefault="00E651FE" w:rsidP="00F95957">
            <w:r>
              <w:rPr>
                <w:color w:val="000000"/>
                <w:sz w:val="18"/>
                <w:szCs w:val="18"/>
              </w:rPr>
              <w:t>Christ et al.</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B68C909" w14:textId="77777777" w:rsidR="00E651FE" w:rsidRDefault="00E651FE" w:rsidP="00F95957">
            <w:r>
              <w:rPr>
                <w:color w:val="000000"/>
                <w:sz w:val="18"/>
                <w:szCs w:val="18"/>
              </w:rPr>
              <w:t>2018</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DF5479E" w14:textId="77777777" w:rsidR="00E651FE" w:rsidRDefault="00E651FE" w:rsidP="00F95957">
            <w:r>
              <w:rPr>
                <w:color w:val="000000"/>
                <w:sz w:val="18"/>
                <w:szCs w:val="18"/>
              </w:rPr>
              <w:t>tsfresh automated feature extraction</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5C96113" w14:textId="77777777" w:rsidR="00E651FE" w:rsidRDefault="00E651FE" w:rsidP="00F95957">
            <w:r>
              <w:rPr>
                <w:color w:val="000000"/>
                <w:sz w:val="18"/>
                <w:szCs w:val="18"/>
              </w:rPr>
              <w:t>Future work: automated feature engineering alternative</w:t>
            </w:r>
          </w:p>
        </w:tc>
      </w:tr>
      <w:tr w:rsidR="00E651FE" w14:paraId="0C0D1E98"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9960E1E" w14:textId="77777777" w:rsidR="00E651FE" w:rsidRDefault="00E651FE" w:rsidP="00F95957">
            <w:r>
              <w:rPr>
                <w:b/>
                <w:bCs/>
                <w:color w:val="000000"/>
                <w:sz w:val="18"/>
                <w:szCs w:val="18"/>
              </w:rPr>
              <w:t>[31]</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CA886F1" w14:textId="77777777" w:rsidR="00E651FE" w:rsidRDefault="00E651FE" w:rsidP="00F95957">
            <w:r>
              <w:rPr>
                <w:color w:val="000000"/>
                <w:sz w:val="18"/>
                <w:szCs w:val="18"/>
              </w:rPr>
              <w:t>Lei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84D90B6" w14:textId="77777777" w:rsidR="00E651FE" w:rsidRDefault="00E651FE" w:rsidP="00F95957">
            <w:r>
              <w:rPr>
                <w:color w:val="000000"/>
                <w:sz w:val="18"/>
                <w:szCs w:val="18"/>
              </w:rPr>
              <w:t>2020</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2B562B2" w14:textId="77777777" w:rsidR="00E651FE" w:rsidRDefault="00E651FE" w:rsidP="00F95957">
            <w:r>
              <w:rPr>
                <w:color w:val="000000"/>
                <w:sz w:val="18"/>
                <w:szCs w:val="18"/>
              </w:rPr>
              <w:t>ML for machine fault diagnosis — 94 studies</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3981291" w14:textId="77777777" w:rsidR="00E651FE" w:rsidRDefault="00E651FE" w:rsidP="00F95957">
            <w:r>
              <w:rPr>
                <w:color w:val="000000"/>
                <w:sz w:val="18"/>
                <w:szCs w:val="18"/>
              </w:rPr>
              <w:t>Independent confirmation of RF strength; rotating machinery context</w:t>
            </w:r>
          </w:p>
        </w:tc>
      </w:tr>
      <w:tr w:rsidR="00E651FE" w14:paraId="0E27A3B3"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E5B5F7E" w14:textId="77777777" w:rsidR="00E651FE" w:rsidRDefault="00E651FE" w:rsidP="00F95957">
            <w:r>
              <w:rPr>
                <w:b/>
                <w:bCs/>
                <w:color w:val="000000"/>
                <w:sz w:val="18"/>
                <w:szCs w:val="18"/>
              </w:rPr>
              <w:t>[32]</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26B6068" w14:textId="77777777" w:rsidR="00E651FE" w:rsidRDefault="00E651FE" w:rsidP="00F95957">
            <w:r>
              <w:rPr>
                <w:color w:val="000000"/>
                <w:sz w:val="18"/>
                <w:szCs w:val="18"/>
              </w:rPr>
              <w:t>Theissler et al.</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C5E4488" w14:textId="77777777" w:rsidR="00E651FE" w:rsidRDefault="00E651FE" w:rsidP="00F95957">
            <w:r>
              <w:rPr>
                <w:color w:val="000000"/>
                <w:sz w:val="18"/>
                <w:szCs w:val="18"/>
              </w:rPr>
              <w:t>2021</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777EB93" w14:textId="77777777" w:rsidR="00E651FE" w:rsidRDefault="00E651FE" w:rsidP="00F95957">
            <w:r>
              <w:rPr>
                <w:color w:val="000000"/>
                <w:sz w:val="18"/>
                <w:szCs w:val="18"/>
              </w:rPr>
              <w:t>ML-enabled PdM — automotive industry</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E953BE6" w14:textId="77777777" w:rsidR="00E651FE" w:rsidRDefault="00E651FE" w:rsidP="00F95957">
            <w:r>
              <w:rPr>
                <w:color w:val="000000"/>
                <w:sz w:val="18"/>
                <w:szCs w:val="18"/>
              </w:rPr>
              <w:t>Documents consistent cost and downtime reductions across real ML-enabled PdM deployments</w:t>
            </w:r>
          </w:p>
        </w:tc>
      </w:tr>
      <w:tr w:rsidR="00E651FE" w14:paraId="26746707"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1BFC5E6" w14:textId="77777777" w:rsidR="00E651FE" w:rsidRDefault="00E651FE" w:rsidP="00F95957">
            <w:r>
              <w:rPr>
                <w:b/>
                <w:bCs/>
                <w:color w:val="000000"/>
                <w:sz w:val="18"/>
                <w:szCs w:val="18"/>
              </w:rPr>
              <w:t>[33]</w:t>
            </w:r>
          </w:p>
        </w:tc>
        <w:tc>
          <w:tcPr>
            <w:tcW w:w="1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517C10D" w14:textId="77777777" w:rsidR="00E651FE" w:rsidRDefault="00E651FE" w:rsidP="00F95957">
            <w:r>
              <w:rPr>
                <w:color w:val="000000"/>
                <w:sz w:val="18"/>
                <w:szCs w:val="18"/>
              </w:rPr>
              <w:t>Ribeiro et al.</w:t>
            </w:r>
          </w:p>
        </w:tc>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B55E7EB" w14:textId="77777777" w:rsidR="00E651FE" w:rsidRDefault="00E651FE" w:rsidP="00F95957">
            <w:r>
              <w:rPr>
                <w:color w:val="000000"/>
                <w:sz w:val="18"/>
                <w:szCs w:val="18"/>
              </w:rPr>
              <w:t>2016</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9AECDD4" w14:textId="77777777" w:rsidR="00E651FE" w:rsidRDefault="00E651FE" w:rsidP="00F95957">
            <w:r>
              <w:rPr>
                <w:color w:val="000000"/>
                <w:sz w:val="18"/>
                <w:szCs w:val="18"/>
              </w:rPr>
              <w:t>LIME — local interpretable model-agnostic explanations</w:t>
            </w:r>
          </w:p>
        </w:tc>
        <w:tc>
          <w:tcPr>
            <w:tcW w:w="326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21B2558" w14:textId="77777777" w:rsidR="00E651FE" w:rsidRDefault="00E651FE" w:rsidP="00F95957">
            <w:r>
              <w:rPr>
                <w:color w:val="000000"/>
                <w:sz w:val="18"/>
                <w:szCs w:val="18"/>
              </w:rPr>
              <w:t>Basis for SHAP vs LIME comparison in Section 2.6; LIME instability from random sampling acknowledged</w:t>
            </w:r>
          </w:p>
        </w:tc>
      </w:tr>
      <w:tr w:rsidR="00E651FE" w14:paraId="65200DAF"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AA14B03" w14:textId="77777777" w:rsidR="00E651FE" w:rsidRDefault="00E651FE" w:rsidP="00F95957">
            <w:r>
              <w:rPr>
                <w:b/>
                <w:bCs/>
                <w:color w:val="000000"/>
                <w:sz w:val="18"/>
                <w:szCs w:val="18"/>
              </w:rPr>
              <w:t>[34]</w:t>
            </w:r>
          </w:p>
        </w:tc>
        <w:tc>
          <w:tcPr>
            <w:tcW w:w="1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8C79943" w14:textId="77777777" w:rsidR="00E651FE" w:rsidRDefault="00E651FE" w:rsidP="00F95957">
            <w:r>
              <w:rPr>
                <w:color w:val="000000"/>
                <w:sz w:val="18"/>
                <w:szCs w:val="18"/>
              </w:rPr>
              <w:t>Bayram et al.</w:t>
            </w:r>
          </w:p>
        </w:tc>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1C4FA41E" w14:textId="77777777" w:rsidR="00E651FE" w:rsidRDefault="00E651FE" w:rsidP="00F95957">
            <w:r>
              <w:rPr>
                <w:color w:val="000000"/>
                <w:sz w:val="18"/>
                <w:szCs w:val="18"/>
              </w:rPr>
              <w:t>2022</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657C148" w14:textId="77777777" w:rsidR="00E651FE" w:rsidRDefault="00E651FE" w:rsidP="00F95957">
            <w:r>
              <w:rPr>
                <w:color w:val="000000"/>
                <w:sz w:val="18"/>
                <w:szCs w:val="18"/>
              </w:rPr>
              <w:t>Concept drift to model degradation — performance-aware detectors</w:t>
            </w:r>
          </w:p>
        </w:tc>
        <w:tc>
          <w:tcPr>
            <w:tcW w:w="326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F9EAB57" w14:textId="77777777" w:rsidR="00E651FE" w:rsidRDefault="00E651FE" w:rsidP="00F95957">
            <w:r>
              <w:rPr>
                <w:color w:val="000000"/>
                <w:sz w:val="18"/>
                <w:szCs w:val="18"/>
              </w:rPr>
              <w:t>Empirical evidence that distributional changes degrade model accuracy over time undetected; supports Section 2.7 drift consequences argument</w:t>
            </w:r>
          </w:p>
        </w:tc>
      </w:tr>
    </w:tbl>
    <w:p w14:paraId="19B9CDB1" w14:textId="77777777" w:rsidR="00E651FE" w:rsidRDefault="00E651FE" w:rsidP="00E651FE">
      <w:pPr>
        <w:spacing w:after="200"/>
      </w:pPr>
    </w:p>
    <w:p w14:paraId="4714870B" w14:textId="77777777" w:rsidR="00E651FE" w:rsidRDefault="00E651FE">
      <w:pPr>
        <w:rPr>
          <w:b/>
          <w:bCs/>
          <w:color w:val="1F3864"/>
          <w:sz w:val="32"/>
          <w:szCs w:val="32"/>
        </w:rPr>
      </w:pPr>
      <w:r>
        <w:rPr>
          <w:sz w:val="32"/>
          <w:szCs w:val="32"/>
        </w:rPr>
        <w:br w:type="page"/>
      </w:r>
    </w:p>
    <w:p w14:paraId="0973DD21" w14:textId="77777777" w:rsidR="00B37382" w:rsidRDefault="00B37382" w:rsidP="00B37382">
      <w:pPr>
        <w:pStyle w:val="Heading1"/>
      </w:pPr>
      <w:bookmarkStart w:id="26" w:name="_Toc233286963"/>
      <w:bookmarkEnd w:id="25"/>
      <w:r>
        <w:rPr>
          <w:sz w:val="32"/>
          <w:szCs w:val="32"/>
        </w:rPr>
        <w:lastRenderedPageBreak/>
        <w:t>Appendix B: Proposed Seven-Stage Workflow Summary</w:t>
      </w:r>
    </w:p>
    <w:p w14:paraId="3CF6EEFD" w14:textId="77777777" w:rsidR="00B37382" w:rsidRDefault="00B37382" w:rsidP="00B37382">
      <w:pPr>
        <w:spacing w:after="200"/>
      </w:pPr>
      <w:r>
        <w:t>The table below provides a condensed reference summary of the seven-stage pipeline proposed in Section 3, designed for use by practitioners implementing the workflow. Each stage maps directly onto a CRISP-DM phase, with Stage 7 extending the standard framework to address concept drift — a gap identified in Section 2.7 [29]. The methodological choices column has been updated to reflect refinements made throughout this report, including the per-sensor lead time distinction in Stage 1, the AUC-PR stabilisation stopping criterion in Stage 3, the early-deployment split adjustment in Stage 5, and the addition of Bayram et al. [34] to Stage 7.</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91"/>
        <w:gridCol w:w="1681"/>
        <w:gridCol w:w="1727"/>
        <w:gridCol w:w="2245"/>
        <w:gridCol w:w="2682"/>
      </w:tblGrid>
      <w:tr w:rsidR="00B37382" w14:paraId="571542F2"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683B3BFF" w14:textId="77777777" w:rsidR="00B37382" w:rsidRDefault="00B37382" w:rsidP="00F95957">
            <w:r>
              <w:rPr>
                <w:b/>
                <w:bCs/>
                <w:color w:val="FFFFFF"/>
                <w:sz w:val="18"/>
                <w:szCs w:val="18"/>
              </w:rPr>
              <w:t>Stage</w:t>
            </w:r>
          </w:p>
        </w:tc>
        <w:tc>
          <w:tcPr>
            <w:tcW w:w="130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4379888B" w14:textId="77777777" w:rsidR="00B37382" w:rsidRDefault="00B37382" w:rsidP="00F95957">
            <w:r>
              <w:rPr>
                <w:b/>
                <w:bCs/>
                <w:color w:val="FFFFFF"/>
                <w:sz w:val="18"/>
                <w:szCs w:val="18"/>
              </w:rPr>
              <w:t>Name</w:t>
            </w:r>
          </w:p>
        </w:tc>
        <w:tc>
          <w:tcPr>
            <w:tcW w:w="180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28780D58" w14:textId="77777777" w:rsidR="00B37382" w:rsidRDefault="00B37382" w:rsidP="00F95957">
            <w:r>
              <w:rPr>
                <w:b/>
                <w:bCs/>
                <w:color w:val="FFFFFF"/>
                <w:sz w:val="18"/>
                <w:szCs w:val="18"/>
              </w:rPr>
              <w:t>Key Action</w:t>
            </w:r>
          </w:p>
        </w:tc>
        <w:tc>
          <w:tcPr>
            <w:tcW w:w="240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20A4C26F" w14:textId="77777777" w:rsidR="00B37382" w:rsidRDefault="00B37382" w:rsidP="00F95957">
            <w:r>
              <w:rPr>
                <w:b/>
                <w:bCs/>
                <w:color w:val="FFFFFF"/>
                <w:sz w:val="18"/>
                <w:szCs w:val="18"/>
              </w:rPr>
              <w:t>Methodological Choice</w:t>
            </w:r>
          </w:p>
        </w:tc>
        <w:tc>
          <w:tcPr>
            <w:tcW w:w="3046"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6BC3F184" w14:textId="77777777" w:rsidR="00B37382" w:rsidRDefault="00B37382" w:rsidP="00F95957">
            <w:r>
              <w:rPr>
                <w:b/>
                <w:bCs/>
                <w:color w:val="FFFFFF"/>
                <w:sz w:val="18"/>
                <w:szCs w:val="18"/>
              </w:rPr>
              <w:t>Literature Basis</w:t>
            </w:r>
          </w:p>
        </w:tc>
      </w:tr>
      <w:tr w:rsidR="00B37382" w14:paraId="4B2E73B1"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5B630A1" w14:textId="77777777" w:rsidR="00B37382" w:rsidRDefault="00B37382" w:rsidP="00F95957">
            <w:r>
              <w:rPr>
                <w:b/>
                <w:bCs/>
                <w:color w:val="000000"/>
                <w:sz w:val="18"/>
                <w:szCs w:val="18"/>
              </w:rPr>
              <w:t>1</w:t>
            </w:r>
          </w:p>
        </w:tc>
        <w:tc>
          <w:tcPr>
            <w:tcW w:w="13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9746DDA" w14:textId="77777777" w:rsidR="00B37382" w:rsidRDefault="00B37382" w:rsidP="00F95957">
            <w:r>
              <w:rPr>
                <w:b/>
                <w:bCs/>
                <w:color w:val="000000"/>
                <w:sz w:val="18"/>
                <w:szCs w:val="18"/>
              </w:rPr>
              <w:t>Data Auditing &amp; EDA</w:t>
            </w:r>
          </w:p>
        </w:tc>
        <w:tc>
          <w:tcPr>
            <w:tcW w:w="18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2A7041C" w14:textId="77777777" w:rsidR="00B37382" w:rsidRDefault="00B37382" w:rsidP="00F95957">
            <w:r>
              <w:rPr>
                <w:color w:val="000000"/>
                <w:sz w:val="18"/>
                <w:szCs w:val="18"/>
              </w:rPr>
              <w:t>Document sensor rates, failure lead time, labelling conventions, failure-to-normal ratio</w:t>
            </w:r>
          </w:p>
        </w:tc>
        <w:tc>
          <w:tcPr>
            <w:tcW w:w="24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C557DAF" w14:textId="77777777" w:rsidR="00B37382" w:rsidRDefault="00B37382" w:rsidP="00F95957">
            <w:r>
              <w:rPr>
                <w:color w:val="000000"/>
                <w:sz w:val="18"/>
                <w:szCs w:val="18"/>
              </w:rPr>
              <w:t>Distinguish failure modes; EDA covers distributions, correlations, class ratio; establish lead times per sensor stream (vibration, temperature, pressure) separately</w:t>
            </w:r>
          </w:p>
        </w:tc>
        <w:tc>
          <w:tcPr>
            <w:tcW w:w="304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6C3A8C5" w14:textId="77777777" w:rsidR="00B37382" w:rsidRDefault="00B37382" w:rsidP="00F95957">
            <w:r>
              <w:rPr>
                <w:color w:val="000000"/>
                <w:sz w:val="18"/>
                <w:szCs w:val="18"/>
              </w:rPr>
              <w:t>Jardine et al. [5]; Javed et al. [22]; Lee et al. [4]</w:t>
            </w:r>
          </w:p>
        </w:tc>
      </w:tr>
      <w:tr w:rsidR="00B37382" w14:paraId="605F6787"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0193D51" w14:textId="77777777" w:rsidR="00B37382" w:rsidRDefault="00B37382" w:rsidP="00F95957">
            <w:r>
              <w:rPr>
                <w:b/>
                <w:bCs/>
                <w:color w:val="000000"/>
                <w:sz w:val="18"/>
                <w:szCs w:val="18"/>
              </w:rPr>
              <w:t>2</w:t>
            </w:r>
          </w:p>
        </w:tc>
        <w:tc>
          <w:tcPr>
            <w:tcW w:w="13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3523B77" w14:textId="77777777" w:rsidR="00B37382" w:rsidRDefault="00B37382" w:rsidP="00F95957">
            <w:r>
              <w:rPr>
                <w:b/>
                <w:bCs/>
                <w:color w:val="000000"/>
                <w:sz w:val="18"/>
                <w:szCs w:val="18"/>
              </w:rPr>
              <w:t>Preprocessing</w:t>
            </w:r>
          </w:p>
        </w:tc>
        <w:tc>
          <w:tcPr>
            <w:tcW w:w="18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4C04BC7" w14:textId="77777777" w:rsidR="00B37382" w:rsidRDefault="00B37382" w:rsidP="00F95957">
            <w:r>
              <w:rPr>
                <w:color w:val="000000"/>
                <w:sz w:val="18"/>
                <w:szCs w:val="18"/>
              </w:rPr>
              <w:t>Fill gaps, cap outliers, align multi-rate sensors</w:t>
            </w:r>
          </w:p>
        </w:tc>
        <w:tc>
          <w:tcPr>
            <w:tcW w:w="24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027DB65" w14:textId="77777777" w:rsidR="00B37382" w:rsidRDefault="00B37382" w:rsidP="00F95957">
            <w:r>
              <w:rPr>
                <w:color w:val="000000"/>
                <w:sz w:val="18"/>
                <w:szCs w:val="18"/>
              </w:rPr>
              <w:t>Linear interpolation (&lt;5% gaps); rolling MAD outlier detection; align to common time base; Scikit-learn Pipeline fitted on training data only to prevent leakage</w:t>
            </w:r>
          </w:p>
        </w:tc>
        <w:tc>
          <w:tcPr>
            <w:tcW w:w="304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418A42F" w14:textId="77777777" w:rsidR="00B37382" w:rsidRDefault="00B37382" w:rsidP="00F95957">
            <w:r>
              <w:rPr>
                <w:color w:val="000000"/>
                <w:sz w:val="18"/>
                <w:szCs w:val="18"/>
              </w:rPr>
              <w:t>Géron [7]; Lee et al. [4]; Javed et al. [22]</w:t>
            </w:r>
          </w:p>
        </w:tc>
      </w:tr>
      <w:tr w:rsidR="00B37382" w14:paraId="662AB322"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71398AF" w14:textId="77777777" w:rsidR="00B37382" w:rsidRDefault="00B37382" w:rsidP="00F95957">
            <w:r>
              <w:rPr>
                <w:b/>
                <w:bCs/>
                <w:color w:val="000000"/>
                <w:sz w:val="18"/>
                <w:szCs w:val="18"/>
              </w:rPr>
              <w:t>3</w:t>
            </w:r>
          </w:p>
        </w:tc>
        <w:tc>
          <w:tcPr>
            <w:tcW w:w="13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5D547F7" w14:textId="77777777" w:rsidR="00B37382" w:rsidRDefault="00B37382" w:rsidP="00F95957">
            <w:r>
              <w:rPr>
                <w:b/>
                <w:bCs/>
                <w:color w:val="000000"/>
                <w:sz w:val="18"/>
                <w:szCs w:val="18"/>
              </w:rPr>
              <w:t>Feature Engineering</w:t>
            </w:r>
          </w:p>
        </w:tc>
        <w:tc>
          <w:tcPr>
            <w:tcW w:w="18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236B920" w14:textId="77777777" w:rsidR="00B37382" w:rsidRDefault="00B37382" w:rsidP="00F95957">
            <w:r>
              <w:rPr>
                <w:color w:val="000000"/>
                <w:sz w:val="18"/>
                <w:szCs w:val="18"/>
              </w:rPr>
              <w:t>Extract time-domain, trend, frequency-domain, and cross-sensor features per window</w:t>
            </w:r>
          </w:p>
        </w:tc>
        <w:tc>
          <w:tcPr>
            <w:tcW w:w="24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868FE21" w14:textId="77777777" w:rsidR="00B37382" w:rsidRDefault="00B37382" w:rsidP="00F95957">
            <w:r>
              <w:rPr>
                <w:color w:val="000000"/>
                <w:sz w:val="18"/>
                <w:szCs w:val="18"/>
              </w:rPr>
              <w:t>Window sized to failure lead time; four feature families mapped to sensor type; SHAP-guided iterative selection over MDI; stopping criterion: AUC-PR improvement &lt; 0.005 between iterations</w:t>
            </w:r>
          </w:p>
        </w:tc>
        <w:tc>
          <w:tcPr>
            <w:tcW w:w="304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EEA1B6B" w14:textId="77777777" w:rsidR="00B37382" w:rsidRDefault="00B37382" w:rsidP="00F95957">
            <w:r>
              <w:rPr>
                <w:color w:val="000000"/>
                <w:sz w:val="18"/>
                <w:szCs w:val="18"/>
              </w:rPr>
              <w:t>Caesarendra [10]; Jardine [5]; Lei [31]; Strobl [25]; Lundberg &amp; Lee [26]</w:t>
            </w:r>
          </w:p>
        </w:tc>
      </w:tr>
      <w:tr w:rsidR="00B37382" w14:paraId="548045B2"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F270256" w14:textId="77777777" w:rsidR="00B37382" w:rsidRDefault="00B37382" w:rsidP="00F95957">
            <w:r>
              <w:rPr>
                <w:b/>
                <w:bCs/>
                <w:color w:val="000000"/>
                <w:sz w:val="18"/>
                <w:szCs w:val="18"/>
              </w:rPr>
              <w:t>4</w:t>
            </w:r>
          </w:p>
        </w:tc>
        <w:tc>
          <w:tcPr>
            <w:tcW w:w="13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6914EB1" w14:textId="77777777" w:rsidR="00B37382" w:rsidRDefault="00B37382" w:rsidP="00F95957">
            <w:r>
              <w:rPr>
                <w:b/>
                <w:bCs/>
                <w:color w:val="000000"/>
                <w:sz w:val="18"/>
                <w:szCs w:val="18"/>
              </w:rPr>
              <w:t>Imbalance Correction</w:t>
            </w:r>
          </w:p>
        </w:tc>
        <w:tc>
          <w:tcPr>
            <w:tcW w:w="18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F84D801" w14:textId="77777777" w:rsidR="00B37382" w:rsidRDefault="00B37382" w:rsidP="00F95957">
            <w:r>
              <w:rPr>
                <w:color w:val="000000"/>
                <w:sz w:val="18"/>
                <w:szCs w:val="18"/>
              </w:rPr>
              <w:t>Apply SMOTE within each training fold only</w:t>
            </w:r>
          </w:p>
        </w:tc>
        <w:tc>
          <w:tcPr>
            <w:tcW w:w="24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65F9A4B" w14:textId="77777777" w:rsidR="00B37382" w:rsidRDefault="00B37382" w:rsidP="00F95957">
            <w:r>
              <w:rPr>
                <w:color w:val="000000"/>
                <w:sz w:val="18"/>
                <w:szCs w:val="18"/>
              </w:rPr>
              <w:t>Standard SMOTE (k=5) as conservative default; test Borderline-SMOTE/ADASYN empirically; choose based on AUC-PR; never apply before train/test split</w:t>
            </w:r>
          </w:p>
        </w:tc>
        <w:tc>
          <w:tcPr>
            <w:tcW w:w="304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CAF19DF" w14:textId="77777777" w:rsidR="00B37382" w:rsidRDefault="00B37382" w:rsidP="00F95957">
            <w:r>
              <w:rPr>
                <w:color w:val="000000"/>
                <w:sz w:val="18"/>
                <w:szCs w:val="18"/>
              </w:rPr>
              <w:t>Chawla [6]; He &amp; Garcia [28]</w:t>
            </w:r>
          </w:p>
        </w:tc>
      </w:tr>
      <w:tr w:rsidR="00B37382" w14:paraId="46D104FC"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7FE94A8" w14:textId="77777777" w:rsidR="00B37382" w:rsidRDefault="00B37382" w:rsidP="00F95957">
            <w:r>
              <w:rPr>
                <w:b/>
                <w:bCs/>
                <w:color w:val="000000"/>
                <w:sz w:val="18"/>
                <w:szCs w:val="18"/>
              </w:rPr>
              <w:t>5</w:t>
            </w:r>
          </w:p>
        </w:tc>
        <w:tc>
          <w:tcPr>
            <w:tcW w:w="13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C99C673" w14:textId="77777777" w:rsidR="00B37382" w:rsidRDefault="00B37382" w:rsidP="00F95957">
            <w:r>
              <w:rPr>
                <w:b/>
                <w:bCs/>
                <w:color w:val="000000"/>
                <w:sz w:val="18"/>
                <w:szCs w:val="18"/>
              </w:rPr>
              <w:t>Training &amp; Hyperparameters</w:t>
            </w:r>
          </w:p>
        </w:tc>
        <w:tc>
          <w:tcPr>
            <w:tcW w:w="18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25F0651" w14:textId="77777777" w:rsidR="00B37382" w:rsidRDefault="00B37382" w:rsidP="00F95957">
            <w:r>
              <w:rPr>
                <w:color w:val="000000"/>
                <w:sz w:val="18"/>
                <w:szCs w:val="18"/>
              </w:rPr>
              <w:t>Split 70/15/15 chronologically; tune via Bayesian optimisation</w:t>
            </w:r>
          </w:p>
        </w:tc>
        <w:tc>
          <w:tcPr>
            <w:tcW w:w="24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282116A" w14:textId="77777777" w:rsidR="00B37382" w:rsidRDefault="00B37382" w:rsidP="00F95957">
            <w:r>
              <w:rPr>
                <w:color w:val="000000"/>
                <w:sz w:val="18"/>
                <w:szCs w:val="18"/>
              </w:rPr>
              <w:t>TimeSeriesSplit with 5 expanding folds; TPE optimiser targeting AUC-PR; adjust split to 80/10/10 if fewer than 50 confirmed failure windows at outset</w:t>
            </w:r>
          </w:p>
        </w:tc>
        <w:tc>
          <w:tcPr>
            <w:tcW w:w="304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2E2EDFE" w14:textId="77777777" w:rsidR="00B37382" w:rsidRDefault="00B37382" w:rsidP="00F95957">
            <w:r>
              <w:rPr>
                <w:color w:val="000000"/>
                <w:sz w:val="18"/>
                <w:szCs w:val="18"/>
              </w:rPr>
              <w:t>Géron [7]; Javed et al. [22]</w:t>
            </w:r>
          </w:p>
        </w:tc>
      </w:tr>
      <w:tr w:rsidR="00B37382" w14:paraId="27DBA9F1"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BB91DF9" w14:textId="77777777" w:rsidR="00B37382" w:rsidRDefault="00B37382" w:rsidP="00F95957">
            <w:r>
              <w:rPr>
                <w:b/>
                <w:bCs/>
                <w:color w:val="000000"/>
                <w:sz w:val="18"/>
                <w:szCs w:val="18"/>
              </w:rPr>
              <w:t>6</w:t>
            </w:r>
          </w:p>
        </w:tc>
        <w:tc>
          <w:tcPr>
            <w:tcW w:w="13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7BFBEE8" w14:textId="77777777" w:rsidR="00B37382" w:rsidRDefault="00B37382" w:rsidP="00F95957">
            <w:r>
              <w:rPr>
                <w:b/>
                <w:bCs/>
                <w:color w:val="000000"/>
                <w:sz w:val="18"/>
                <w:szCs w:val="18"/>
              </w:rPr>
              <w:t>Evaluation &amp; Thresholding</w:t>
            </w:r>
          </w:p>
        </w:tc>
        <w:tc>
          <w:tcPr>
            <w:tcW w:w="18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20BC83C" w14:textId="77777777" w:rsidR="00B37382" w:rsidRDefault="00B37382" w:rsidP="00F95957">
            <w:r>
              <w:rPr>
                <w:color w:val="000000"/>
                <w:sz w:val="18"/>
                <w:szCs w:val="18"/>
              </w:rPr>
              <w:t>Evaluate on 7-metric suite; apply probability calibration; optimise threshold against cost-weighted loss</w:t>
            </w:r>
          </w:p>
        </w:tc>
        <w:tc>
          <w:tcPr>
            <w:tcW w:w="24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90D8C99" w14:textId="77777777" w:rsidR="00B37382" w:rsidRDefault="00B37382" w:rsidP="00F95957">
            <w:r>
              <w:rPr>
                <w:color w:val="000000"/>
                <w:sz w:val="18"/>
                <w:szCs w:val="18"/>
              </w:rPr>
              <w:t>AUC-PR as primary target; isotonic regression calibration post-training; threshold set to minimise L = C_FN·FN + C_FP·FP; default 0.5 threshold not used</w:t>
            </w:r>
          </w:p>
        </w:tc>
        <w:tc>
          <w:tcPr>
            <w:tcW w:w="304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7D7AB83" w14:textId="77777777" w:rsidR="00B37382" w:rsidRDefault="00B37382" w:rsidP="00F95957">
            <w:r>
              <w:rPr>
                <w:color w:val="000000"/>
                <w:sz w:val="18"/>
                <w:szCs w:val="18"/>
              </w:rPr>
              <w:t>Powers [19]; He &amp; Garcia [28]; Géron [7]</w:t>
            </w:r>
          </w:p>
        </w:tc>
      </w:tr>
      <w:tr w:rsidR="00B37382" w14:paraId="777862C5" w14:textId="77777777" w:rsidTr="00F95957">
        <w:tblPrEx>
          <w:tblCellMar>
            <w:top w:w="0" w:type="dxa"/>
            <w:bottom w:w="0" w:type="dxa"/>
          </w:tblCellMar>
        </w:tblPrEx>
        <w:tc>
          <w:tcPr>
            <w:tcW w:w="48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1134503" w14:textId="77777777" w:rsidR="00B37382" w:rsidRDefault="00B37382" w:rsidP="00F95957">
            <w:r>
              <w:rPr>
                <w:b/>
                <w:bCs/>
                <w:color w:val="000000"/>
                <w:sz w:val="18"/>
                <w:szCs w:val="18"/>
              </w:rPr>
              <w:t>7</w:t>
            </w:r>
          </w:p>
        </w:tc>
        <w:tc>
          <w:tcPr>
            <w:tcW w:w="13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B4B6259" w14:textId="77777777" w:rsidR="00B37382" w:rsidRDefault="00B37382" w:rsidP="00F95957">
            <w:r>
              <w:rPr>
                <w:b/>
                <w:bCs/>
                <w:color w:val="000000"/>
                <w:sz w:val="18"/>
                <w:szCs w:val="18"/>
              </w:rPr>
              <w:t>Deploy &amp; Monitor</w:t>
            </w:r>
          </w:p>
        </w:tc>
        <w:tc>
          <w:tcPr>
            <w:tcW w:w="18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608DD81" w14:textId="77777777" w:rsidR="00B37382" w:rsidRDefault="00B37382" w:rsidP="00F95957">
            <w:r>
              <w:rPr>
                <w:color w:val="000000"/>
                <w:sz w:val="18"/>
                <w:szCs w:val="18"/>
              </w:rPr>
              <w:t xml:space="preserve">Deploy as microservice; monitor for concept drift in parallel across </w:t>
            </w:r>
            <w:r>
              <w:rPr>
                <w:color w:val="000000"/>
                <w:sz w:val="18"/>
                <w:szCs w:val="18"/>
              </w:rPr>
              <w:lastRenderedPageBreak/>
              <w:t>three dimensions; trigger retraining</w:t>
            </w:r>
          </w:p>
        </w:tc>
        <w:tc>
          <w:tcPr>
            <w:tcW w:w="24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D266A4A" w14:textId="77777777" w:rsidR="00B37382" w:rsidRDefault="00B37382" w:rsidP="00F95957">
            <w:r>
              <w:rPr>
                <w:color w:val="000000"/>
                <w:sz w:val="18"/>
                <w:szCs w:val="18"/>
              </w:rPr>
              <w:lastRenderedPageBreak/>
              <w:t xml:space="preserve">KS statistic (input features) + Page-Hinkley (model confidence) + rolling F1 (confirmed failures); 3 consecutive </w:t>
            </w:r>
            <w:r>
              <w:rPr>
                <w:color w:val="000000"/>
                <w:sz w:val="18"/>
                <w:szCs w:val="18"/>
              </w:rPr>
              <w:lastRenderedPageBreak/>
              <w:t>days of breach triggers automated retrain</w:t>
            </w:r>
          </w:p>
        </w:tc>
        <w:tc>
          <w:tcPr>
            <w:tcW w:w="304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5C87D37" w14:textId="77777777" w:rsidR="00B37382" w:rsidRDefault="00B37382" w:rsidP="00F95957">
            <w:r>
              <w:rPr>
                <w:color w:val="000000"/>
                <w:sz w:val="18"/>
                <w:szCs w:val="18"/>
              </w:rPr>
              <w:lastRenderedPageBreak/>
              <w:t>Gama [29]; Lee [4]; Bayram et al. [34]</w:t>
            </w:r>
          </w:p>
        </w:tc>
      </w:tr>
    </w:tbl>
    <w:p w14:paraId="60721DD2" w14:textId="77777777" w:rsidR="00B37382" w:rsidRDefault="00B37382" w:rsidP="00B37382">
      <w:pPr>
        <w:spacing w:after="200"/>
      </w:pPr>
    </w:p>
    <w:p w14:paraId="13965627" w14:textId="77777777" w:rsidR="00B37382" w:rsidRDefault="00B37382">
      <w:pPr>
        <w:rPr>
          <w:b/>
          <w:bCs/>
          <w:color w:val="1F3864"/>
          <w:sz w:val="32"/>
          <w:szCs w:val="32"/>
        </w:rPr>
      </w:pPr>
      <w:r>
        <w:rPr>
          <w:sz w:val="32"/>
          <w:szCs w:val="32"/>
        </w:rPr>
        <w:br w:type="page"/>
      </w:r>
    </w:p>
    <w:p w14:paraId="3C0CA604" w14:textId="769D8222" w:rsidR="00055E6A" w:rsidRDefault="00055E6A" w:rsidP="00055E6A">
      <w:pPr>
        <w:pStyle w:val="Heading1"/>
      </w:pPr>
      <w:r>
        <w:rPr>
          <w:sz w:val="32"/>
          <w:szCs w:val="32"/>
        </w:rPr>
        <w:lastRenderedPageBreak/>
        <w:t>Appendix C: Recommended Evaluation Threshold Settings</w:t>
      </w:r>
      <w:bookmarkEnd w:id="26"/>
    </w:p>
    <w:p w14:paraId="4C49BD8C" w14:textId="06304030" w:rsidR="00055E6A" w:rsidRDefault="00055E6A" w:rsidP="00055E6A">
      <w:pPr>
        <w:spacing w:after="160"/>
        <w:jc w:val="both"/>
      </w:pPr>
      <w:r>
        <w:t>The table below specifies the recommended operational threshold settings for the deployed model. All values represent recommended starting points; they must be calibrated against real maintenance records during the three-month pilot phase described in Section 4.4. No threshold should be treated as fixed; each one is a hypothesis about the company's cost structure and data behaviour, to be tested and refined during the pilot.</w:t>
      </w:r>
    </w:p>
    <w:p w14:paraId="43F97262" w14:textId="77777777" w:rsidR="00055E6A" w:rsidRDefault="00055E6A" w:rsidP="00055E6A">
      <w:pPr>
        <w:spacing w:after="12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1600"/>
        <w:gridCol w:w="2400"/>
        <w:gridCol w:w="2826"/>
      </w:tblGrid>
      <w:tr w:rsidR="00055E6A" w14:paraId="31FD50D9" w14:textId="77777777" w:rsidTr="00F95957">
        <w:tc>
          <w:tcPr>
            <w:tcW w:w="220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53A6013A" w14:textId="77777777" w:rsidR="00055E6A" w:rsidRDefault="00055E6A" w:rsidP="00F95957">
            <w:r>
              <w:rPr>
                <w:b/>
                <w:bCs/>
                <w:color w:val="FFFFFF"/>
                <w:sz w:val="18"/>
                <w:szCs w:val="18"/>
              </w:rPr>
              <w:t>Parameter</w:t>
            </w:r>
          </w:p>
        </w:tc>
        <w:tc>
          <w:tcPr>
            <w:tcW w:w="160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2289EFEE" w14:textId="77777777" w:rsidR="00055E6A" w:rsidRDefault="00055E6A" w:rsidP="00F95957">
            <w:r>
              <w:rPr>
                <w:b/>
                <w:bCs/>
                <w:color w:val="FFFFFF"/>
                <w:sz w:val="18"/>
                <w:szCs w:val="18"/>
              </w:rPr>
              <w:t>Recommended Starting Value</w:t>
            </w:r>
          </w:p>
        </w:tc>
        <w:tc>
          <w:tcPr>
            <w:tcW w:w="2400"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20C6397B" w14:textId="77777777" w:rsidR="00055E6A" w:rsidRDefault="00055E6A" w:rsidP="00F95957">
            <w:r>
              <w:rPr>
                <w:b/>
                <w:bCs/>
                <w:color w:val="FFFFFF"/>
                <w:sz w:val="18"/>
                <w:szCs w:val="18"/>
              </w:rPr>
              <w:t>Rationale</w:t>
            </w:r>
          </w:p>
        </w:tc>
        <w:tc>
          <w:tcPr>
            <w:tcW w:w="2826" w:type="dxa"/>
            <w:tcBorders>
              <w:top w:val="single" w:sz="1" w:space="0" w:color="B8CCE4"/>
              <w:left w:val="single" w:sz="1" w:space="0" w:color="B8CCE4"/>
              <w:bottom w:val="single" w:sz="1" w:space="0" w:color="B8CCE4"/>
              <w:right w:val="single" w:sz="1" w:space="0" w:color="B8CCE4"/>
            </w:tcBorders>
            <w:shd w:val="clear" w:color="auto" w:fill="1F3864"/>
            <w:tcMar>
              <w:top w:w="60" w:type="dxa"/>
              <w:left w:w="100" w:type="dxa"/>
              <w:bottom w:w="60" w:type="dxa"/>
              <w:right w:w="100" w:type="dxa"/>
            </w:tcMar>
          </w:tcPr>
          <w:p w14:paraId="6F97EA1D" w14:textId="77777777" w:rsidR="00055E6A" w:rsidRDefault="00055E6A" w:rsidP="00F95957">
            <w:r>
              <w:rPr>
                <w:b/>
                <w:bCs/>
                <w:color w:val="FFFFFF"/>
                <w:sz w:val="18"/>
                <w:szCs w:val="18"/>
              </w:rPr>
              <w:t>Calibration Method</w:t>
            </w:r>
          </w:p>
        </w:tc>
      </w:tr>
      <w:tr w:rsidR="00055E6A" w14:paraId="0EE819B3" w14:textId="77777777" w:rsidTr="00F95957">
        <w:tc>
          <w:tcPr>
            <w:tcW w:w="2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E13677A" w14:textId="77777777" w:rsidR="00055E6A" w:rsidRDefault="00055E6A" w:rsidP="00F95957">
            <w:r>
              <w:rPr>
                <w:b/>
                <w:bCs/>
                <w:sz w:val="18"/>
                <w:szCs w:val="18"/>
              </w:rPr>
              <w:t>Decision threshold (failure alert)</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9759A93" w14:textId="77777777" w:rsidR="00055E6A" w:rsidRDefault="00055E6A" w:rsidP="00F95957">
            <w:r>
              <w:rPr>
                <w:sz w:val="18"/>
                <w:szCs w:val="18"/>
              </w:rPr>
              <w:t>Optimised against cost-weighted loss; do not use default 0.5</w:t>
            </w:r>
          </w:p>
        </w:tc>
        <w:tc>
          <w:tcPr>
            <w:tcW w:w="24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FB7B86B" w14:textId="77777777" w:rsidR="00055E6A" w:rsidRDefault="00055E6A" w:rsidP="00F95957">
            <w:r>
              <w:rPr>
                <w:sz w:val="18"/>
                <w:szCs w:val="18"/>
              </w:rPr>
              <w:t>Default 0.5 ignores the asymmetric cost of missed failures vs false alarms [7]</w:t>
            </w:r>
          </w:p>
        </w:tc>
        <w:tc>
          <w:tcPr>
            <w:tcW w:w="282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62AB17E" w14:textId="77777777" w:rsidR="00055E6A" w:rsidRDefault="00055E6A" w:rsidP="00F95957">
            <w:r>
              <w:rPr>
                <w:sz w:val="18"/>
                <w:szCs w:val="18"/>
              </w:rPr>
              <w:t>During pilot: record all predictions; at end of pilot, calculate C_FN and C_FP from actual maintenance costs and set threshold to minimise L = C_FN·FN + C_FP·FP</w:t>
            </w:r>
          </w:p>
        </w:tc>
      </w:tr>
      <w:tr w:rsidR="00055E6A" w14:paraId="318F3AEA" w14:textId="77777777" w:rsidTr="00F95957">
        <w:tc>
          <w:tcPr>
            <w:tcW w:w="2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92EA338" w14:textId="77777777" w:rsidR="00055E6A" w:rsidRDefault="00055E6A" w:rsidP="00F95957">
            <w:r>
              <w:rPr>
                <w:b/>
                <w:bCs/>
                <w:sz w:val="18"/>
                <w:szCs w:val="18"/>
              </w:rPr>
              <w:t>Cost ratio C_FN / C_FP</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0D388838" w14:textId="77777777" w:rsidR="00055E6A" w:rsidRDefault="00055E6A" w:rsidP="00F95957">
            <w:r>
              <w:rPr>
                <w:sz w:val="18"/>
                <w:szCs w:val="18"/>
              </w:rPr>
              <w:t>Starting estimate: 5:1 to 10:1</w:t>
            </w:r>
          </w:p>
        </w:tc>
        <w:tc>
          <w:tcPr>
            <w:tcW w:w="24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CCE7CF9" w14:textId="77777777" w:rsidR="00055E6A" w:rsidRDefault="00055E6A" w:rsidP="00F95957">
            <w:r>
              <w:rPr>
                <w:sz w:val="18"/>
                <w:szCs w:val="18"/>
              </w:rPr>
              <w:t>Unplanned failure typically 5–10× more costly than unnecessary planned maintenance [1][14]</w:t>
            </w:r>
          </w:p>
        </w:tc>
        <w:tc>
          <w:tcPr>
            <w:tcW w:w="282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89D31E1" w14:textId="77777777" w:rsidR="00055E6A" w:rsidRDefault="00055E6A" w:rsidP="00F95957">
            <w:r>
              <w:rPr>
                <w:sz w:val="18"/>
                <w:szCs w:val="18"/>
              </w:rPr>
              <w:t>Refine using actual cost records from pilot phase; consult operations management</w:t>
            </w:r>
          </w:p>
        </w:tc>
      </w:tr>
      <w:tr w:rsidR="00055E6A" w14:paraId="46FEE38F" w14:textId="77777777" w:rsidTr="00F95957">
        <w:tc>
          <w:tcPr>
            <w:tcW w:w="2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ED3E2FF" w14:textId="77777777" w:rsidR="00055E6A" w:rsidRDefault="00055E6A" w:rsidP="00F95957">
            <w:r>
              <w:rPr>
                <w:b/>
                <w:bCs/>
                <w:sz w:val="18"/>
                <w:szCs w:val="18"/>
              </w:rPr>
              <w:t>SMOTE k (nearest neighbours)</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01B82F20" w14:textId="77777777" w:rsidR="00055E6A" w:rsidRDefault="00055E6A" w:rsidP="00F95957">
            <w:r>
              <w:rPr>
                <w:sz w:val="18"/>
                <w:szCs w:val="18"/>
              </w:rPr>
              <w:t>k = 5</w:t>
            </w:r>
          </w:p>
        </w:tc>
        <w:tc>
          <w:tcPr>
            <w:tcW w:w="24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1F493FA" w14:textId="77777777" w:rsidR="00055E6A" w:rsidRDefault="00055E6A" w:rsidP="00F95957">
            <w:r>
              <w:rPr>
                <w:sz w:val="18"/>
                <w:szCs w:val="18"/>
              </w:rPr>
              <w:t>Original Chawla et al. [6] specification — the most stable, well-validated default</w:t>
            </w:r>
          </w:p>
        </w:tc>
        <w:tc>
          <w:tcPr>
            <w:tcW w:w="282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6EDD9DE2" w14:textId="77777777" w:rsidR="00055E6A" w:rsidRDefault="00055E6A" w:rsidP="00F95957">
            <w:r>
              <w:rPr>
                <w:sz w:val="18"/>
                <w:szCs w:val="18"/>
              </w:rPr>
              <w:t>Treat as a hyperparameter; test k = 3 and k = 7 within cross-validation loop</w:t>
            </w:r>
          </w:p>
        </w:tc>
      </w:tr>
      <w:tr w:rsidR="00055E6A" w14:paraId="30E1266A" w14:textId="77777777" w:rsidTr="00F95957">
        <w:tc>
          <w:tcPr>
            <w:tcW w:w="2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B6CB38D" w14:textId="77777777" w:rsidR="00055E6A" w:rsidRDefault="00055E6A" w:rsidP="00F95957">
            <w:r>
              <w:rPr>
                <w:b/>
                <w:bCs/>
                <w:sz w:val="18"/>
                <w:szCs w:val="18"/>
              </w:rPr>
              <w:t>KS statistic drift threshold</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430F074" w14:textId="77777777" w:rsidR="00055E6A" w:rsidRDefault="00055E6A" w:rsidP="00F95957">
            <w:r>
              <w:rPr>
                <w:sz w:val="18"/>
                <w:szCs w:val="18"/>
              </w:rPr>
              <w:t>0.10 (feature drift alert)</w:t>
            </w:r>
          </w:p>
        </w:tc>
        <w:tc>
          <w:tcPr>
            <w:tcW w:w="24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4856FDF" w14:textId="77777777" w:rsidR="00055E6A" w:rsidRDefault="00055E6A" w:rsidP="00F95957">
            <w:r>
              <w:rPr>
                <w:sz w:val="18"/>
                <w:szCs w:val="18"/>
              </w:rPr>
              <w:t>Values above 0.10 indicate meaningful distributional shift from training reference [29]</w:t>
            </w:r>
          </w:p>
        </w:tc>
        <w:tc>
          <w:tcPr>
            <w:tcW w:w="282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E21C722" w14:textId="77777777" w:rsidR="00055E6A" w:rsidRDefault="00055E6A" w:rsidP="00F95957">
            <w:r>
              <w:rPr>
                <w:sz w:val="18"/>
                <w:szCs w:val="18"/>
              </w:rPr>
              <w:t>Monitor false-alarm rate during pilot; adjust if too many transient alerts</w:t>
            </w:r>
          </w:p>
        </w:tc>
      </w:tr>
      <w:tr w:rsidR="00055E6A" w14:paraId="15B023D0" w14:textId="77777777" w:rsidTr="00F95957">
        <w:tc>
          <w:tcPr>
            <w:tcW w:w="2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488B79CA" w14:textId="77777777" w:rsidR="00055E6A" w:rsidRDefault="00055E6A" w:rsidP="00F95957">
            <w:r>
              <w:rPr>
                <w:b/>
                <w:bCs/>
                <w:sz w:val="18"/>
                <w:szCs w:val="18"/>
              </w:rPr>
              <w:t>Page-Hinkley drift threshold</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29CC0696" w14:textId="77777777" w:rsidR="00055E6A" w:rsidRDefault="00055E6A" w:rsidP="00F95957">
            <w:r>
              <w:rPr>
                <w:sz w:val="18"/>
                <w:szCs w:val="18"/>
              </w:rPr>
              <w:t>λ = 0.005, δ = 0.01</w:t>
            </w:r>
          </w:p>
        </w:tc>
        <w:tc>
          <w:tcPr>
            <w:tcW w:w="24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32577EB" w14:textId="77777777" w:rsidR="00055E6A" w:rsidRDefault="00055E6A" w:rsidP="00F95957">
            <w:r>
              <w:rPr>
                <w:sz w:val="18"/>
                <w:szCs w:val="18"/>
              </w:rPr>
              <w:t>Standard parameterisation for industrial streaming data [29]</w:t>
            </w:r>
          </w:p>
        </w:tc>
        <w:tc>
          <w:tcPr>
            <w:tcW w:w="282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1F763A88" w14:textId="77777777" w:rsidR="00055E6A" w:rsidRDefault="00055E6A" w:rsidP="00F95957">
            <w:r>
              <w:rPr>
                <w:sz w:val="18"/>
                <w:szCs w:val="18"/>
              </w:rPr>
              <w:t>Calibrate against known operating regime changes during pilot</w:t>
            </w:r>
          </w:p>
        </w:tc>
      </w:tr>
      <w:tr w:rsidR="00055E6A" w14:paraId="05393539" w14:textId="77777777" w:rsidTr="00F95957">
        <w:tc>
          <w:tcPr>
            <w:tcW w:w="2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15AA314" w14:textId="77777777" w:rsidR="00055E6A" w:rsidRDefault="00055E6A" w:rsidP="00F95957">
            <w:r>
              <w:rPr>
                <w:b/>
                <w:bCs/>
                <w:sz w:val="18"/>
                <w:szCs w:val="18"/>
              </w:rPr>
              <w:t>Rolling F1 control limit</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D2EF8CE" w14:textId="77777777" w:rsidR="00055E6A" w:rsidRDefault="00055E6A" w:rsidP="00F95957">
            <w:r>
              <w:rPr>
                <w:sz w:val="18"/>
                <w:szCs w:val="18"/>
              </w:rPr>
              <w:t>Mean pilot F1 minus 2 standard deviations</w:t>
            </w:r>
          </w:p>
        </w:tc>
        <w:tc>
          <w:tcPr>
            <w:tcW w:w="24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7E0BB5B3" w14:textId="77777777" w:rsidR="00055E6A" w:rsidRDefault="00055E6A" w:rsidP="00F95957">
            <w:r>
              <w:rPr>
                <w:sz w:val="18"/>
                <w:szCs w:val="18"/>
              </w:rPr>
              <w:t>Standard statistical process control approach applied to model performance</w:t>
            </w:r>
          </w:p>
        </w:tc>
        <w:tc>
          <w:tcPr>
            <w:tcW w:w="282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22467D14" w14:textId="77777777" w:rsidR="00055E6A" w:rsidRDefault="00055E6A" w:rsidP="00F95957">
            <w:r>
              <w:rPr>
                <w:sz w:val="18"/>
                <w:szCs w:val="18"/>
              </w:rPr>
              <w:t>Calculate from pilot phase F1 scores on confirmed failure events</w:t>
            </w:r>
          </w:p>
        </w:tc>
      </w:tr>
      <w:tr w:rsidR="00055E6A" w14:paraId="52D851DA" w14:textId="77777777" w:rsidTr="00F95957">
        <w:tc>
          <w:tcPr>
            <w:tcW w:w="22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EBB6DB9" w14:textId="77777777" w:rsidR="00055E6A" w:rsidRDefault="00055E6A" w:rsidP="00F95957">
            <w:r>
              <w:rPr>
                <w:b/>
                <w:bCs/>
                <w:sz w:val="18"/>
                <w:szCs w:val="18"/>
              </w:rPr>
              <w:t>Consecutive breach days before retrain</w:t>
            </w:r>
          </w:p>
        </w:tc>
        <w:tc>
          <w:tcPr>
            <w:tcW w:w="16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776D3DE0" w14:textId="77777777" w:rsidR="00055E6A" w:rsidRDefault="00055E6A" w:rsidP="00F95957">
            <w:r>
              <w:rPr>
                <w:sz w:val="18"/>
                <w:szCs w:val="18"/>
              </w:rPr>
              <w:t>3 days</w:t>
            </w:r>
          </w:p>
        </w:tc>
        <w:tc>
          <w:tcPr>
            <w:tcW w:w="2400"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34EBBB54" w14:textId="77777777" w:rsidR="00055E6A" w:rsidRDefault="00055E6A" w:rsidP="00F95957">
            <w:r>
              <w:rPr>
                <w:sz w:val="18"/>
                <w:szCs w:val="18"/>
              </w:rPr>
              <w:t>Reduces false retraining from transient anomalies while remaining responsive to genuine drift</w:t>
            </w:r>
          </w:p>
        </w:tc>
        <w:tc>
          <w:tcPr>
            <w:tcW w:w="2826" w:type="dxa"/>
            <w:tcBorders>
              <w:top w:val="single" w:sz="1" w:space="0" w:color="B8CCE4"/>
              <w:left w:val="single" w:sz="1" w:space="0" w:color="B8CCE4"/>
              <w:bottom w:val="single" w:sz="1" w:space="0" w:color="B8CCE4"/>
              <w:right w:val="single" w:sz="1" w:space="0" w:color="B8CCE4"/>
            </w:tcBorders>
            <w:shd w:val="clear" w:color="auto" w:fill="FFFFFF"/>
            <w:tcMar>
              <w:top w:w="60" w:type="dxa"/>
              <w:left w:w="100" w:type="dxa"/>
              <w:bottom w:w="60" w:type="dxa"/>
              <w:right w:w="100" w:type="dxa"/>
            </w:tcMar>
          </w:tcPr>
          <w:p w14:paraId="527E5038" w14:textId="77777777" w:rsidR="00055E6A" w:rsidRDefault="00055E6A" w:rsidP="00F95957">
            <w:r>
              <w:rPr>
                <w:sz w:val="18"/>
                <w:szCs w:val="18"/>
              </w:rPr>
              <w:t>Adjust based on observed false-alarm rate from monitoring layer during pilot</w:t>
            </w:r>
          </w:p>
        </w:tc>
      </w:tr>
      <w:tr w:rsidR="00055E6A" w14:paraId="578E88CD" w14:textId="77777777" w:rsidTr="00F95957">
        <w:tc>
          <w:tcPr>
            <w:tcW w:w="22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4FC90C69" w14:textId="77777777" w:rsidR="00055E6A" w:rsidRDefault="00055E6A" w:rsidP="00F95957">
            <w:r>
              <w:rPr>
                <w:b/>
                <w:bCs/>
                <w:sz w:val="18"/>
                <w:szCs w:val="18"/>
              </w:rPr>
              <w:t>Pilot phase duration</w:t>
            </w:r>
          </w:p>
        </w:tc>
        <w:tc>
          <w:tcPr>
            <w:tcW w:w="16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6EEDE76B" w14:textId="77777777" w:rsidR="00055E6A" w:rsidRDefault="00055E6A" w:rsidP="00F95957">
            <w:r>
              <w:rPr>
                <w:sz w:val="18"/>
                <w:szCs w:val="18"/>
              </w:rPr>
              <w:t>3 months minimum</w:t>
            </w:r>
          </w:p>
        </w:tc>
        <w:tc>
          <w:tcPr>
            <w:tcW w:w="2400"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37D3D474" w14:textId="77777777" w:rsidR="00055E6A" w:rsidRDefault="00055E6A" w:rsidP="00F95957">
            <w:r>
              <w:rPr>
                <w:sz w:val="18"/>
                <w:szCs w:val="18"/>
              </w:rPr>
              <w:t>Sufficient to accumulate ground-truth labels, calibrate cost parameters, and establish drift baseline [4][7]</w:t>
            </w:r>
          </w:p>
        </w:tc>
        <w:tc>
          <w:tcPr>
            <w:tcW w:w="2826" w:type="dxa"/>
            <w:tcBorders>
              <w:top w:val="single" w:sz="1" w:space="0" w:color="B8CCE4"/>
              <w:left w:val="single" w:sz="1" w:space="0" w:color="B8CCE4"/>
              <w:bottom w:val="single" w:sz="1" w:space="0" w:color="B8CCE4"/>
              <w:right w:val="single" w:sz="1" w:space="0" w:color="B8CCE4"/>
            </w:tcBorders>
            <w:shd w:val="clear" w:color="auto" w:fill="D9E8F5"/>
            <w:tcMar>
              <w:top w:w="60" w:type="dxa"/>
              <w:left w:w="100" w:type="dxa"/>
              <w:bottom w:w="60" w:type="dxa"/>
              <w:right w:w="100" w:type="dxa"/>
            </w:tcMar>
          </w:tcPr>
          <w:p w14:paraId="548A4539" w14:textId="77777777" w:rsidR="00055E6A" w:rsidRDefault="00055E6A" w:rsidP="00F95957">
            <w:r>
              <w:rPr>
                <w:sz w:val="18"/>
                <w:szCs w:val="18"/>
              </w:rPr>
              <w:t>Extend to 6 months if failure events are very rare in the first 3 months</w:t>
            </w:r>
          </w:p>
        </w:tc>
      </w:tr>
    </w:tbl>
    <w:p w14:paraId="12230C4C" w14:textId="77777777" w:rsidR="00055E6A" w:rsidRDefault="00055E6A" w:rsidP="00055E6A">
      <w:pPr>
        <w:spacing w:after="200"/>
      </w:pPr>
    </w:p>
    <w:p w14:paraId="4BCF3D16" w14:textId="77777777" w:rsidR="00820E47" w:rsidRPr="001224E3" w:rsidRDefault="00820E47" w:rsidP="001224E3">
      <w:pPr>
        <w:spacing w:after="90" w:line="360" w:lineRule="auto"/>
        <w:jc w:val="both"/>
        <w:rPr>
          <w:color w:val="000000" w:themeColor="text1"/>
          <w:sz w:val="18"/>
          <w:szCs w:val="18"/>
        </w:rPr>
      </w:pPr>
    </w:p>
    <w:sectPr w:rsidR="00820E47" w:rsidRPr="001224E3" w:rsidSect="00DD0618">
      <w:footerReference w:type="default" r:id="rId22"/>
      <w:pgSz w:w="11906" w:h="16838"/>
      <w:pgMar w:top="1080" w:right="1080" w:bottom="1080" w:left="1080" w:header="708" w:footer="708"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5683B" w14:textId="77777777" w:rsidR="00C02BFA" w:rsidRDefault="00C02BFA">
      <w:r>
        <w:separator/>
      </w:r>
    </w:p>
  </w:endnote>
  <w:endnote w:type="continuationSeparator" w:id="0">
    <w:p w14:paraId="30DEE2A0" w14:textId="77777777" w:rsidR="00C02BFA" w:rsidRDefault="00C02B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6B6247" w14:textId="77777777" w:rsidR="00A96B97" w:rsidRDefault="00A64269">
    <w:pPr>
      <w:pBdr>
        <w:top w:val="single" w:sz="4" w:space="4" w:color="C9973A"/>
      </w:pBdr>
      <w:jc w:val="center"/>
    </w:pPr>
    <w:r>
      <w:rPr>
        <w:color w:val="8A9BB5"/>
        <w:sz w:val="16"/>
        <w:szCs w:val="16"/>
      </w:rPr>
      <w:t xml:space="preserve">Predictive Maintenance Using Traditional ML — Consultancy Report  |  Page </w:t>
    </w:r>
    <w:r>
      <w:rPr>
        <w:color w:val="8A9BB5"/>
        <w:sz w:val="16"/>
        <w:szCs w:val="16"/>
      </w:rPr>
      <w:fldChar w:fldCharType="begin"/>
    </w:r>
    <w:r>
      <w:rPr>
        <w:color w:val="8A9BB5"/>
        <w:sz w:val="16"/>
        <w:szCs w:val="16"/>
      </w:rPr>
      <w:instrText>PAGE</w:instrText>
    </w:r>
    <w:r>
      <w:rPr>
        <w:color w:val="8A9BB5"/>
        <w:sz w:val="16"/>
        <w:szCs w:val="16"/>
      </w:rPr>
      <w:fldChar w:fldCharType="separate"/>
    </w:r>
    <w:r w:rsidR="00AC71AD">
      <w:rPr>
        <w:noProof/>
        <w:color w:val="8A9BB5"/>
        <w:sz w:val="16"/>
        <w:szCs w:val="16"/>
      </w:rPr>
      <w:t>1</w:t>
    </w:r>
    <w:r>
      <w:rPr>
        <w:color w:val="8A9BB5"/>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81671" w14:textId="77777777" w:rsidR="00C02BFA" w:rsidRDefault="00C02BFA">
      <w:r>
        <w:separator/>
      </w:r>
    </w:p>
  </w:footnote>
  <w:footnote w:type="continuationSeparator" w:id="0">
    <w:p w14:paraId="534DCF99" w14:textId="77777777" w:rsidR="00C02BFA" w:rsidRDefault="00C02B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83C21"/>
    <w:multiLevelType w:val="hybridMultilevel"/>
    <w:tmpl w:val="E4F05DCA"/>
    <w:lvl w:ilvl="0" w:tplc="9ED004C6">
      <w:start w:val="1"/>
      <w:numFmt w:val="bullet"/>
      <w:lvlText w:val="●"/>
      <w:lvlJc w:val="left"/>
      <w:pPr>
        <w:ind w:left="720" w:hanging="360"/>
      </w:pPr>
    </w:lvl>
    <w:lvl w:ilvl="1" w:tplc="91E4403E">
      <w:start w:val="1"/>
      <w:numFmt w:val="bullet"/>
      <w:lvlText w:val="○"/>
      <w:lvlJc w:val="left"/>
      <w:pPr>
        <w:ind w:left="1440" w:hanging="360"/>
      </w:pPr>
    </w:lvl>
    <w:lvl w:ilvl="2" w:tplc="193A0994">
      <w:start w:val="1"/>
      <w:numFmt w:val="bullet"/>
      <w:lvlText w:val="■"/>
      <w:lvlJc w:val="left"/>
      <w:pPr>
        <w:ind w:left="2160" w:hanging="360"/>
      </w:pPr>
    </w:lvl>
    <w:lvl w:ilvl="3" w:tplc="C958AA4C">
      <w:start w:val="1"/>
      <w:numFmt w:val="bullet"/>
      <w:lvlText w:val="●"/>
      <w:lvlJc w:val="left"/>
      <w:pPr>
        <w:ind w:left="2880" w:hanging="360"/>
      </w:pPr>
    </w:lvl>
    <w:lvl w:ilvl="4" w:tplc="D6AE49C8">
      <w:start w:val="1"/>
      <w:numFmt w:val="bullet"/>
      <w:lvlText w:val="○"/>
      <w:lvlJc w:val="left"/>
      <w:pPr>
        <w:ind w:left="3600" w:hanging="360"/>
      </w:pPr>
    </w:lvl>
    <w:lvl w:ilvl="5" w:tplc="06540CD6">
      <w:start w:val="1"/>
      <w:numFmt w:val="bullet"/>
      <w:lvlText w:val="■"/>
      <w:lvlJc w:val="left"/>
      <w:pPr>
        <w:ind w:left="4320" w:hanging="360"/>
      </w:pPr>
    </w:lvl>
    <w:lvl w:ilvl="6" w:tplc="E988A7D6">
      <w:start w:val="1"/>
      <w:numFmt w:val="bullet"/>
      <w:lvlText w:val="●"/>
      <w:lvlJc w:val="left"/>
      <w:pPr>
        <w:ind w:left="5040" w:hanging="360"/>
      </w:pPr>
    </w:lvl>
    <w:lvl w:ilvl="7" w:tplc="38A8F18E">
      <w:start w:val="1"/>
      <w:numFmt w:val="bullet"/>
      <w:lvlText w:val="●"/>
      <w:lvlJc w:val="left"/>
      <w:pPr>
        <w:ind w:left="5760" w:hanging="360"/>
      </w:pPr>
    </w:lvl>
    <w:lvl w:ilvl="8" w:tplc="88D6F254">
      <w:start w:val="1"/>
      <w:numFmt w:val="bullet"/>
      <w:lvlText w:val="●"/>
      <w:lvlJc w:val="left"/>
      <w:pPr>
        <w:ind w:left="6480" w:hanging="360"/>
      </w:pPr>
    </w:lvl>
  </w:abstractNum>
  <w:num w:numId="1" w16cid:durableId="86798853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6B97"/>
    <w:rsid w:val="00003A54"/>
    <w:rsid w:val="0002074A"/>
    <w:rsid w:val="00034FEC"/>
    <w:rsid w:val="00035047"/>
    <w:rsid w:val="00046822"/>
    <w:rsid w:val="00055E6A"/>
    <w:rsid w:val="00061EAD"/>
    <w:rsid w:val="00072959"/>
    <w:rsid w:val="00090CE4"/>
    <w:rsid w:val="00091620"/>
    <w:rsid w:val="000B1158"/>
    <w:rsid w:val="000C0EF2"/>
    <w:rsid w:val="000F5985"/>
    <w:rsid w:val="000F6120"/>
    <w:rsid w:val="00100537"/>
    <w:rsid w:val="0010759E"/>
    <w:rsid w:val="0011372B"/>
    <w:rsid w:val="001224E3"/>
    <w:rsid w:val="00123905"/>
    <w:rsid w:val="00124747"/>
    <w:rsid w:val="0013358B"/>
    <w:rsid w:val="00145015"/>
    <w:rsid w:val="0014620B"/>
    <w:rsid w:val="001614A2"/>
    <w:rsid w:val="00166765"/>
    <w:rsid w:val="00172777"/>
    <w:rsid w:val="001766FF"/>
    <w:rsid w:val="00193E44"/>
    <w:rsid w:val="001D0E5C"/>
    <w:rsid w:val="001D21D1"/>
    <w:rsid w:val="001D50E9"/>
    <w:rsid w:val="001D59B0"/>
    <w:rsid w:val="001E27CC"/>
    <w:rsid w:val="001E45B5"/>
    <w:rsid w:val="001F0817"/>
    <w:rsid w:val="00201976"/>
    <w:rsid w:val="0021264A"/>
    <w:rsid w:val="002270C8"/>
    <w:rsid w:val="0024480C"/>
    <w:rsid w:val="00246787"/>
    <w:rsid w:val="00246F3B"/>
    <w:rsid w:val="00255DC1"/>
    <w:rsid w:val="002601E1"/>
    <w:rsid w:val="002625D6"/>
    <w:rsid w:val="002669AC"/>
    <w:rsid w:val="00267B91"/>
    <w:rsid w:val="00274F3E"/>
    <w:rsid w:val="002B0B83"/>
    <w:rsid w:val="002B674A"/>
    <w:rsid w:val="002C6D5C"/>
    <w:rsid w:val="002C7712"/>
    <w:rsid w:val="003400EA"/>
    <w:rsid w:val="00341320"/>
    <w:rsid w:val="00346A8F"/>
    <w:rsid w:val="00351523"/>
    <w:rsid w:val="00356CC3"/>
    <w:rsid w:val="003604CE"/>
    <w:rsid w:val="00380577"/>
    <w:rsid w:val="003868F3"/>
    <w:rsid w:val="003920BA"/>
    <w:rsid w:val="003922F1"/>
    <w:rsid w:val="003A49C3"/>
    <w:rsid w:val="003C469C"/>
    <w:rsid w:val="003C664F"/>
    <w:rsid w:val="003D226B"/>
    <w:rsid w:val="003D42A4"/>
    <w:rsid w:val="003D53A9"/>
    <w:rsid w:val="003E389E"/>
    <w:rsid w:val="003E4915"/>
    <w:rsid w:val="003E7DC6"/>
    <w:rsid w:val="003F3E89"/>
    <w:rsid w:val="0043410F"/>
    <w:rsid w:val="004431B1"/>
    <w:rsid w:val="00452CEE"/>
    <w:rsid w:val="00467F77"/>
    <w:rsid w:val="004B29BF"/>
    <w:rsid w:val="004B69B1"/>
    <w:rsid w:val="004C0E42"/>
    <w:rsid w:val="004C781A"/>
    <w:rsid w:val="004D313A"/>
    <w:rsid w:val="004D40B4"/>
    <w:rsid w:val="004E0213"/>
    <w:rsid w:val="004F28C9"/>
    <w:rsid w:val="004F6091"/>
    <w:rsid w:val="00503C03"/>
    <w:rsid w:val="005145D7"/>
    <w:rsid w:val="00520CFB"/>
    <w:rsid w:val="0052489D"/>
    <w:rsid w:val="00526907"/>
    <w:rsid w:val="00534D70"/>
    <w:rsid w:val="0053780B"/>
    <w:rsid w:val="005563DC"/>
    <w:rsid w:val="0057095F"/>
    <w:rsid w:val="005723E2"/>
    <w:rsid w:val="00572499"/>
    <w:rsid w:val="00584300"/>
    <w:rsid w:val="00585C30"/>
    <w:rsid w:val="005A7C30"/>
    <w:rsid w:val="005C0250"/>
    <w:rsid w:val="005D3247"/>
    <w:rsid w:val="005D41A5"/>
    <w:rsid w:val="005D41C0"/>
    <w:rsid w:val="005E702F"/>
    <w:rsid w:val="005F594A"/>
    <w:rsid w:val="00611377"/>
    <w:rsid w:val="00620EAE"/>
    <w:rsid w:val="006217AC"/>
    <w:rsid w:val="00621BEB"/>
    <w:rsid w:val="0062361E"/>
    <w:rsid w:val="00637CC3"/>
    <w:rsid w:val="0064015B"/>
    <w:rsid w:val="00644808"/>
    <w:rsid w:val="00655605"/>
    <w:rsid w:val="00656AB3"/>
    <w:rsid w:val="006A02DF"/>
    <w:rsid w:val="006B0D7B"/>
    <w:rsid w:val="006D12A6"/>
    <w:rsid w:val="00736A25"/>
    <w:rsid w:val="007713CE"/>
    <w:rsid w:val="00772035"/>
    <w:rsid w:val="00773A47"/>
    <w:rsid w:val="00774600"/>
    <w:rsid w:val="00775380"/>
    <w:rsid w:val="0078321E"/>
    <w:rsid w:val="00784EC2"/>
    <w:rsid w:val="0079646B"/>
    <w:rsid w:val="007B6F43"/>
    <w:rsid w:val="007E5C07"/>
    <w:rsid w:val="007F4104"/>
    <w:rsid w:val="0080646E"/>
    <w:rsid w:val="00814E7B"/>
    <w:rsid w:val="00816875"/>
    <w:rsid w:val="00817B37"/>
    <w:rsid w:val="00820E47"/>
    <w:rsid w:val="008269E1"/>
    <w:rsid w:val="00832CCC"/>
    <w:rsid w:val="00832CD3"/>
    <w:rsid w:val="008620D5"/>
    <w:rsid w:val="00862CE2"/>
    <w:rsid w:val="00862DD1"/>
    <w:rsid w:val="00883602"/>
    <w:rsid w:val="008850C7"/>
    <w:rsid w:val="008852D8"/>
    <w:rsid w:val="00894068"/>
    <w:rsid w:val="008A6083"/>
    <w:rsid w:val="008B5807"/>
    <w:rsid w:val="008C0A12"/>
    <w:rsid w:val="008C1A3C"/>
    <w:rsid w:val="008C3CDD"/>
    <w:rsid w:val="008C42B7"/>
    <w:rsid w:val="008F3CC4"/>
    <w:rsid w:val="00904EF5"/>
    <w:rsid w:val="00920797"/>
    <w:rsid w:val="00940A80"/>
    <w:rsid w:val="0094170B"/>
    <w:rsid w:val="00943D08"/>
    <w:rsid w:val="00952E94"/>
    <w:rsid w:val="00952FE1"/>
    <w:rsid w:val="00953A71"/>
    <w:rsid w:val="0095647F"/>
    <w:rsid w:val="00974FB9"/>
    <w:rsid w:val="009952CC"/>
    <w:rsid w:val="00996022"/>
    <w:rsid w:val="009A3145"/>
    <w:rsid w:val="009A795E"/>
    <w:rsid w:val="009B3BEA"/>
    <w:rsid w:val="009C3116"/>
    <w:rsid w:val="009D13FA"/>
    <w:rsid w:val="009D4292"/>
    <w:rsid w:val="009D67E7"/>
    <w:rsid w:val="009E1CBD"/>
    <w:rsid w:val="009E69B6"/>
    <w:rsid w:val="00A01B63"/>
    <w:rsid w:val="00A1117F"/>
    <w:rsid w:val="00A13F99"/>
    <w:rsid w:val="00A245C5"/>
    <w:rsid w:val="00A4191A"/>
    <w:rsid w:val="00A44465"/>
    <w:rsid w:val="00A445F7"/>
    <w:rsid w:val="00A612C9"/>
    <w:rsid w:val="00A64269"/>
    <w:rsid w:val="00A90ADE"/>
    <w:rsid w:val="00A96B97"/>
    <w:rsid w:val="00AA4F72"/>
    <w:rsid w:val="00AB07A2"/>
    <w:rsid w:val="00AC0D06"/>
    <w:rsid w:val="00AC62A3"/>
    <w:rsid w:val="00AC71AD"/>
    <w:rsid w:val="00AC7D08"/>
    <w:rsid w:val="00AD79B5"/>
    <w:rsid w:val="00AE4DFB"/>
    <w:rsid w:val="00AF0782"/>
    <w:rsid w:val="00B06070"/>
    <w:rsid w:val="00B12AB1"/>
    <w:rsid w:val="00B37382"/>
    <w:rsid w:val="00B44F44"/>
    <w:rsid w:val="00B505FB"/>
    <w:rsid w:val="00B508C0"/>
    <w:rsid w:val="00B540E3"/>
    <w:rsid w:val="00B564C3"/>
    <w:rsid w:val="00B566C3"/>
    <w:rsid w:val="00B84147"/>
    <w:rsid w:val="00B914CB"/>
    <w:rsid w:val="00B91A1A"/>
    <w:rsid w:val="00B95452"/>
    <w:rsid w:val="00BA5449"/>
    <w:rsid w:val="00BA6C11"/>
    <w:rsid w:val="00BB36B6"/>
    <w:rsid w:val="00BB4353"/>
    <w:rsid w:val="00BD38F0"/>
    <w:rsid w:val="00BD4247"/>
    <w:rsid w:val="00BE28DA"/>
    <w:rsid w:val="00BE2AEE"/>
    <w:rsid w:val="00BF1748"/>
    <w:rsid w:val="00C02BFA"/>
    <w:rsid w:val="00C20E9C"/>
    <w:rsid w:val="00C247D9"/>
    <w:rsid w:val="00C375BC"/>
    <w:rsid w:val="00C375E0"/>
    <w:rsid w:val="00C523D5"/>
    <w:rsid w:val="00C577A8"/>
    <w:rsid w:val="00C616FD"/>
    <w:rsid w:val="00C61A38"/>
    <w:rsid w:val="00C62418"/>
    <w:rsid w:val="00C6371E"/>
    <w:rsid w:val="00C64BB1"/>
    <w:rsid w:val="00C702D2"/>
    <w:rsid w:val="00C74728"/>
    <w:rsid w:val="00C871F0"/>
    <w:rsid w:val="00C874FE"/>
    <w:rsid w:val="00CA0F3C"/>
    <w:rsid w:val="00CA5831"/>
    <w:rsid w:val="00CC01E4"/>
    <w:rsid w:val="00CC1CC7"/>
    <w:rsid w:val="00CC609B"/>
    <w:rsid w:val="00CE06B4"/>
    <w:rsid w:val="00CF428F"/>
    <w:rsid w:val="00CF5794"/>
    <w:rsid w:val="00D11503"/>
    <w:rsid w:val="00D14C27"/>
    <w:rsid w:val="00D32908"/>
    <w:rsid w:val="00D353DA"/>
    <w:rsid w:val="00D40BF1"/>
    <w:rsid w:val="00D5006E"/>
    <w:rsid w:val="00D64003"/>
    <w:rsid w:val="00D64F15"/>
    <w:rsid w:val="00DA03AD"/>
    <w:rsid w:val="00DA7F2C"/>
    <w:rsid w:val="00DC5408"/>
    <w:rsid w:val="00DD0618"/>
    <w:rsid w:val="00DE60F8"/>
    <w:rsid w:val="00DE6406"/>
    <w:rsid w:val="00DF1ACE"/>
    <w:rsid w:val="00E14F25"/>
    <w:rsid w:val="00E22045"/>
    <w:rsid w:val="00E46DFB"/>
    <w:rsid w:val="00E63D66"/>
    <w:rsid w:val="00E651FE"/>
    <w:rsid w:val="00E66A91"/>
    <w:rsid w:val="00E67DCB"/>
    <w:rsid w:val="00E8560C"/>
    <w:rsid w:val="00E866CD"/>
    <w:rsid w:val="00E9572F"/>
    <w:rsid w:val="00EA7BF0"/>
    <w:rsid w:val="00EB1FF7"/>
    <w:rsid w:val="00EC11C2"/>
    <w:rsid w:val="00ED6428"/>
    <w:rsid w:val="00EE4365"/>
    <w:rsid w:val="00F119CC"/>
    <w:rsid w:val="00F16684"/>
    <w:rsid w:val="00F51331"/>
    <w:rsid w:val="00F75447"/>
    <w:rsid w:val="00F7711B"/>
    <w:rsid w:val="00FA000E"/>
    <w:rsid w:val="00FC5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DF0BC"/>
  <w15:docId w15:val="{98622E5B-AF22-4B8B-800E-A43C38C69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4" w:space="4" w:color="C9973A"/>
      </w:pBdr>
      <w:spacing w:before="280" w:after="140"/>
      <w:outlineLvl w:val="0"/>
    </w:pPr>
    <w:rPr>
      <w:b/>
      <w:bCs/>
      <w:color w:val="1F3864"/>
      <w:sz w:val="26"/>
      <w:szCs w:val="26"/>
    </w:rPr>
  </w:style>
  <w:style w:type="paragraph" w:styleId="Heading2">
    <w:name w:val="heading 2"/>
    <w:uiPriority w:val="9"/>
    <w:unhideWhenUsed/>
    <w:qFormat/>
    <w:pPr>
      <w:spacing w:before="200" w:after="100"/>
      <w:outlineLvl w:val="1"/>
    </w:pPr>
    <w:rPr>
      <w:b/>
      <w:bCs/>
      <w:color w:val="2E5090"/>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AC71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AC71AD"/>
    <w:pPr>
      <w:spacing w:after="100"/>
    </w:pPr>
  </w:style>
  <w:style w:type="paragraph" w:styleId="TOC2">
    <w:name w:val="toc 2"/>
    <w:basedOn w:val="Normal"/>
    <w:next w:val="Normal"/>
    <w:autoRedefine/>
    <w:uiPriority w:val="39"/>
    <w:unhideWhenUsed/>
    <w:rsid w:val="00AC71AD"/>
    <w:pPr>
      <w:spacing w:after="100"/>
      <w:ind w:left="220"/>
    </w:pPr>
  </w:style>
  <w:style w:type="paragraph" w:styleId="NoSpacing">
    <w:name w:val="No Spacing"/>
    <w:link w:val="NoSpacingChar"/>
    <w:uiPriority w:val="1"/>
    <w:qFormat/>
    <w:rsid w:val="00F75447"/>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F75447"/>
    <w:rPr>
      <w:rFonts w:asciiTheme="minorHAnsi" w:eastAsiaTheme="minorEastAsia" w:hAnsiTheme="minorHAnsi" w:cstheme="minorBidi"/>
    </w:rPr>
  </w:style>
  <w:style w:type="paragraph" w:styleId="NormalWeb">
    <w:name w:val="Normal (Web)"/>
    <w:basedOn w:val="Normal"/>
    <w:uiPriority w:val="99"/>
    <w:semiHidden/>
    <w:unhideWhenUsed/>
    <w:rsid w:val="0079646B"/>
    <w:rPr>
      <w:rFonts w:ascii="Times New Roman" w:hAnsi="Times New Roman" w:cs="Times New Roman"/>
      <w:sz w:val="24"/>
      <w:szCs w:val="24"/>
    </w:rPr>
  </w:style>
  <w:style w:type="table" w:styleId="TableGrid">
    <w:name w:val="Table Grid"/>
    <w:basedOn w:val="TableNormal"/>
    <w:uiPriority w:val="39"/>
    <w:rsid w:val="00974F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3358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A4F4CB07F5C434AA4F3BE11DD78D681"/>
        <w:category>
          <w:name w:val="General"/>
          <w:gallery w:val="placeholder"/>
        </w:category>
        <w:types>
          <w:type w:val="bbPlcHdr"/>
        </w:types>
        <w:behaviors>
          <w:behavior w:val="content"/>
        </w:behaviors>
        <w:guid w:val="{7930F3A9-9987-4F54-ABF0-83598FA8E2DF}"/>
      </w:docPartPr>
      <w:docPartBody>
        <w:p w:rsidR="003F7B08" w:rsidRDefault="000C0FE8" w:rsidP="000C0FE8">
          <w:pPr>
            <w:pStyle w:val="7A4F4CB07F5C434AA4F3BE11DD78D681"/>
          </w:pPr>
          <w:r>
            <w:rPr>
              <w:rFonts w:asciiTheme="majorHAnsi" w:eastAsiaTheme="majorEastAsia" w:hAnsiTheme="majorHAnsi" w:cstheme="majorBidi"/>
              <w:caps/>
              <w:color w:val="156082" w:themeColor="accent1"/>
              <w:sz w:val="80"/>
              <w:szCs w:val="80"/>
            </w:rPr>
            <w:t>[Document title]</w:t>
          </w:r>
        </w:p>
      </w:docPartBody>
    </w:docPart>
    <w:docPart>
      <w:docPartPr>
        <w:name w:val="B64D81792685441FAA9364E64AD6C272"/>
        <w:category>
          <w:name w:val="General"/>
          <w:gallery w:val="placeholder"/>
        </w:category>
        <w:types>
          <w:type w:val="bbPlcHdr"/>
        </w:types>
        <w:behaviors>
          <w:behavior w:val="content"/>
        </w:behaviors>
        <w:guid w:val="{934775E1-7618-41AF-9AD8-20D2A5495894}"/>
      </w:docPartPr>
      <w:docPartBody>
        <w:p w:rsidR="003F7B08" w:rsidRDefault="000C0FE8" w:rsidP="000C0FE8">
          <w:pPr>
            <w:pStyle w:val="B64D81792685441FAA9364E64AD6C27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FE8"/>
    <w:rsid w:val="000C0FE8"/>
    <w:rsid w:val="00223355"/>
    <w:rsid w:val="00285785"/>
    <w:rsid w:val="003F7B08"/>
    <w:rsid w:val="004564F9"/>
    <w:rsid w:val="0051633C"/>
    <w:rsid w:val="005A6E86"/>
    <w:rsid w:val="008A7CFC"/>
    <w:rsid w:val="008E1CBE"/>
    <w:rsid w:val="009C3116"/>
    <w:rsid w:val="00A833AE"/>
    <w:rsid w:val="00C830FB"/>
    <w:rsid w:val="00CF6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4F4CB07F5C434AA4F3BE11DD78D681">
    <w:name w:val="7A4F4CB07F5C434AA4F3BE11DD78D681"/>
    <w:rsid w:val="000C0FE8"/>
  </w:style>
  <w:style w:type="paragraph" w:customStyle="1" w:styleId="B64D81792685441FAA9364E64AD6C272">
    <w:name w:val="B64D81792685441FAA9364E64AD6C272"/>
    <w:rsid w:val="000C0F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4E446-D5CE-4A27-8480-5CE7D6816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3151</TotalTime>
  <Pages>37</Pages>
  <Words>11456</Words>
  <Characters>65300</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L7 – Application of Machine Learning</dc:title>
  <dc:subject>Recommendation of a Machine Learning Model - ACCA7025</dc:subject>
  <dc:creator>Un-named</dc:creator>
  <cp:lastModifiedBy>Sobia Tabassam (2222632)</cp:lastModifiedBy>
  <cp:revision>251</cp:revision>
  <dcterms:created xsi:type="dcterms:W3CDTF">2026-06-21T23:09:00Z</dcterms:created>
  <dcterms:modified xsi:type="dcterms:W3CDTF">2026-06-25T12:42:00Z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3f5e981c-9b52-4e9c-883e-56dc238980b1</vt:lpwstr>
  </property>
</Properties>
</file>