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1ED29290" w14:textId="74550A7D"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5CE9FB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4677A">
              <w:rPr>
                <w:rFonts w:ascii="Times New Roman" w:hAnsi="Times New Roman" w:cs="Times New Roman"/>
                <w:b/>
                <w:color w:val="auto"/>
                <w:sz w:val="48"/>
              </w:rPr>
              <w:t>Charlene Murdoch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8A75DC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F201F">
              <w:rPr>
                <w:rFonts w:ascii="Times New Roman" w:hAnsi="Times New Roman" w:cs="Times New Roman"/>
                <w:b/>
                <w:color w:val="auto"/>
                <w:sz w:val="48"/>
              </w:rPr>
              <w:t xml:space="preserve"> Charlene.murdoch@powys.gov.uk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D803C9D" w14:textId="77777777" w:rsidR="00206475" w:rsidRPr="005D3F07" w:rsidRDefault="00206475" w:rsidP="00206475">
            <w:pPr>
              <w:ind w:right="-957"/>
              <w:rPr>
                <w:rFonts w:ascii="Times New Roman" w:hAnsi="Times New Roman" w:cs="Times New Roman"/>
                <w:b/>
                <w:sz w:val="48"/>
              </w:rPr>
            </w:pPr>
            <w:hyperlink r:id="rId11" w:history="1">
              <w:r w:rsidRPr="0046648C">
                <w:rPr>
                  <w:rStyle w:val="Hyperlink"/>
                  <w:rFonts w:ascii="Times New Roman" w:hAnsi="Times New Roman" w:cs="Times New Roman"/>
                  <w:b/>
                  <w:sz w:val="48"/>
                </w:rPr>
                <w:t>1700077</w:t>
              </w:r>
            </w:hyperlink>
          </w:p>
          <w:p w14:paraId="427B5D46" w14:textId="77777777" w:rsidR="002F201F" w:rsidRPr="005D3F07" w:rsidRDefault="002F201F"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EF984DF" w14:textId="55EACEA0" w:rsidR="000D0BB6" w:rsidRPr="00206475" w:rsidRDefault="003830B5" w:rsidP="00206475">
      <w:pPr>
        <w:rPr>
          <w:b/>
          <w:sz w:val="24"/>
          <w:szCs w:val="24"/>
        </w:rPr>
      </w:pPr>
      <w:r>
        <w:rPr>
          <w:b/>
          <w:sz w:val="28"/>
          <w:szCs w:val="28"/>
        </w:rPr>
        <w:lastRenderedPageBreak/>
        <w:t>“</w:t>
      </w:r>
      <w:r w:rsidR="00337FEF"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56C4DE1D"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r w:rsidR="000C4525">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6D911E9E" w:rsidR="00337FEF" w:rsidRPr="00EB695F" w:rsidRDefault="003830B5" w:rsidP="00FF7EBB">
            <w:pPr>
              <w:jc w:val="both"/>
              <w:rPr>
                <w:b/>
                <w:sz w:val="24"/>
                <w:szCs w:val="24"/>
              </w:rPr>
            </w:pPr>
            <w:r>
              <w:rPr>
                <w:b/>
                <w:sz w:val="24"/>
                <w:szCs w:val="24"/>
              </w:rPr>
              <w:t>“</w:t>
            </w:r>
            <w:r w:rsidR="00337FEF"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50DCF599" w:rsidR="005A545C" w:rsidRDefault="005414F4" w:rsidP="00FF7EBB">
            <w:pPr>
              <w:jc w:val="both"/>
              <w:rPr>
                <w:sz w:val="24"/>
                <w:szCs w:val="24"/>
              </w:rPr>
            </w:pPr>
            <w:r w:rsidRPr="00B64DC8">
              <w:rPr>
                <w:i/>
                <w:sz w:val="24"/>
                <w:szCs w:val="24"/>
              </w:rPr>
              <w:t>5</w:t>
            </w:r>
            <w:r w:rsidR="00DA22EC" w:rsidRPr="00B64DC8">
              <w:rPr>
                <w:i/>
                <w:sz w:val="24"/>
                <w:szCs w:val="24"/>
              </w:rPr>
              <w:t>00 words</w:t>
            </w:r>
            <w:r w:rsidR="00DA22EC" w:rsidRPr="00B64DC8">
              <w:rPr>
                <w:sz w:val="24"/>
                <w:szCs w:val="24"/>
              </w:rPr>
              <w:t xml:space="preserve"> </w:t>
            </w:r>
            <w:r w:rsidR="008B28E7" w:rsidRPr="00B64DC8">
              <w:rPr>
                <w:sz w:val="24"/>
                <w:szCs w:val="24"/>
              </w:rPr>
              <w:t>(+/- 10%: include your actual word count at the end of each section)</w:t>
            </w:r>
            <w:r w:rsidR="007A628F" w:rsidRPr="00B64DC8">
              <w:rPr>
                <w:sz w:val="24"/>
                <w:szCs w:val="24"/>
              </w:rPr>
              <w:t>.</w:t>
            </w:r>
            <w:r w:rsidR="003830B5">
              <w:rPr>
                <w:sz w:val="24"/>
                <w:szCs w:val="24"/>
              </w:rPr>
              <w:t>”</w:t>
            </w:r>
          </w:p>
          <w:p w14:paraId="44D50CC0" w14:textId="77777777" w:rsidR="00FF5917" w:rsidRPr="00B64DC8" w:rsidRDefault="00FF5917" w:rsidP="00FF7EBB">
            <w:pPr>
              <w:jc w:val="both"/>
              <w:rPr>
                <w:sz w:val="24"/>
                <w:szCs w:val="24"/>
              </w:rPr>
            </w:pPr>
          </w:p>
          <w:p w14:paraId="27859E81" w14:textId="77777777" w:rsidR="00B64DC8" w:rsidRPr="00B64DC8" w:rsidRDefault="00B64DC8" w:rsidP="00B64DC8">
            <w:pPr>
              <w:spacing w:after="160" w:line="278" w:lineRule="auto"/>
              <w:rPr>
                <w:sz w:val="24"/>
                <w:szCs w:val="24"/>
              </w:rPr>
            </w:pPr>
            <w:r w:rsidRPr="00B64DC8">
              <w:rPr>
                <w:sz w:val="24"/>
                <w:szCs w:val="24"/>
              </w:rPr>
              <w:t>This discussion focuses on adult safeguarding in Wales. Adult safeguarding is based on a rights-based approach that seeks to protect individuals from abuse and neglect while promoting autonomy, dignity, choice and wellbeing. Safeguarding is a key aspect of social work practice and requires professionals to balance the need to protect adults at risk with respecting their rights and ability to make decisions about their lives.</w:t>
            </w:r>
          </w:p>
          <w:p w14:paraId="4C1E7289" w14:textId="77777777" w:rsidR="00B64DC8" w:rsidRPr="00B64DC8" w:rsidRDefault="00B64DC8" w:rsidP="00B64DC8">
            <w:pPr>
              <w:spacing w:after="160" w:line="278" w:lineRule="auto"/>
              <w:rPr>
                <w:sz w:val="24"/>
                <w:szCs w:val="24"/>
              </w:rPr>
            </w:pPr>
            <w:r w:rsidRPr="00B64DC8">
              <w:rPr>
                <w:sz w:val="24"/>
                <w:szCs w:val="24"/>
              </w:rPr>
              <w:t>Adult safeguarding in Wales is founded on human rights principles. Through the Human Rights Act 1998, the European Convention on Human Rights (ECHR) is incorporated into UK law, protecting fundamental rights such as the right to life, liberty, freedom from degrading treatment and respect for private and family life. These rights underpin safeguarding practice by ensuring interventions are proportionate, person-centred and focused on maintaining an individual's dignity and independence. Care Inspectorate Wales (2023) states that human rights are based upon dignity, fairness, equality, respect and autonomy, all are central to effective safeguarding practice.</w:t>
            </w:r>
          </w:p>
          <w:p w14:paraId="471CCA09" w14:textId="77777777" w:rsidR="00B64DC8" w:rsidRPr="00B64DC8" w:rsidRDefault="00B64DC8" w:rsidP="00B64DC8">
            <w:pPr>
              <w:spacing w:after="160" w:line="278" w:lineRule="auto"/>
              <w:rPr>
                <w:sz w:val="24"/>
                <w:szCs w:val="24"/>
              </w:rPr>
            </w:pPr>
            <w:r w:rsidRPr="00B64DC8">
              <w:rPr>
                <w:sz w:val="24"/>
                <w:szCs w:val="24"/>
              </w:rPr>
              <w:t>The primary legislation governing adult safeguarding in Wales is the Social Services and Well-being (Wales) Act 2014 (SSWBA). The Act places wellbeing, prevention and early intervention at the centre of social care practice and promotes the principles of voice, choice and control. Under Section 126, an adult at risk is defined as someone who is experiencing, or at risk of, abuse or neglect, has needs for care and support and is unable to protect themselves because of those needs. Section 128 places a duty on relevant partners to report concerns regarding adults at risk, while local authorities are responsible for making enquiries and determining whether further safeguarding action is required. The Act emphasises collaborative working and encourages individuals to be active participants in decisions affecting their lives.</w:t>
            </w:r>
          </w:p>
          <w:p w14:paraId="367F940F" w14:textId="77777777" w:rsidR="00B64DC8" w:rsidRPr="00B64DC8" w:rsidRDefault="00B64DC8" w:rsidP="00B64DC8">
            <w:pPr>
              <w:spacing w:after="160" w:line="278" w:lineRule="auto"/>
              <w:rPr>
                <w:sz w:val="24"/>
                <w:szCs w:val="24"/>
              </w:rPr>
            </w:pPr>
            <w:r w:rsidRPr="00B64DC8">
              <w:rPr>
                <w:sz w:val="24"/>
                <w:szCs w:val="24"/>
              </w:rPr>
              <w:lastRenderedPageBreak/>
              <w:t>The Mental Capacity Act 2005 (MCA) plays a significant role in adult safeguarding. The Act establishes five key principles, including the presumption that every adult has capacity unless proven otherwise and that individuals have the right to make decisions others may consider unwise. Where a person lacks capacity to make a specific decision, any action taken on their behalf must be in their best interests and be the least restrictive option available. The MCA is particularly relevant to safeguarding because practitioners are often required to balance an individual's right to self-determination with their duty to protect them from significant harm.</w:t>
            </w:r>
          </w:p>
          <w:p w14:paraId="575FE6A7" w14:textId="77777777" w:rsidR="00B64DC8" w:rsidRPr="00B64DC8" w:rsidRDefault="00B64DC8" w:rsidP="00B64DC8">
            <w:pPr>
              <w:spacing w:after="160" w:line="278" w:lineRule="auto"/>
              <w:rPr>
                <w:sz w:val="24"/>
                <w:szCs w:val="24"/>
              </w:rPr>
            </w:pPr>
            <w:r w:rsidRPr="00B64DC8">
              <w:rPr>
                <w:sz w:val="24"/>
                <w:szCs w:val="24"/>
              </w:rPr>
              <w:t>Safeguarding practice in Wales is further guided by the Wales Safeguarding Procedures (2019), which provide a consistent framework for identifying, reporting and responding to concerns. These procedures promote effective multi-agency working and reinforce that safeguarding is everyone's responsibility. At a regional level, Safeguarding Boards bring together local authorities, health services, police and other agencies to coordinate safeguarding arrangements and improve outcomes for adults at risk.</w:t>
            </w:r>
          </w:p>
          <w:p w14:paraId="15208164" w14:textId="77777777" w:rsidR="00B64DC8" w:rsidRPr="00B64DC8" w:rsidRDefault="00B64DC8" w:rsidP="00B64DC8">
            <w:pPr>
              <w:spacing w:after="160" w:line="278" w:lineRule="auto"/>
              <w:rPr>
                <w:sz w:val="24"/>
                <w:szCs w:val="24"/>
              </w:rPr>
            </w:pPr>
            <w:r w:rsidRPr="00B64DC8">
              <w:rPr>
                <w:sz w:val="24"/>
                <w:szCs w:val="24"/>
              </w:rPr>
              <w:t>Practitioners must be able to recognise indicators of abuse, including physical, emotional, sexual and financial abuse and neglect. Organisations support safeguarding practice through policies, whistleblowing procedures, information-sharing protocols and regular training. Early identification, appropriate intervention and partnership working are essential to reducing risk and promoting safety.</w:t>
            </w:r>
          </w:p>
          <w:p w14:paraId="1B10A250" w14:textId="77777777" w:rsidR="00B64DC8" w:rsidRPr="00B64DC8" w:rsidRDefault="00B64DC8" w:rsidP="00B64DC8">
            <w:pPr>
              <w:spacing w:after="160" w:line="278" w:lineRule="auto"/>
              <w:rPr>
                <w:sz w:val="24"/>
                <w:szCs w:val="24"/>
              </w:rPr>
            </w:pPr>
            <w:r w:rsidRPr="00B64DC8">
              <w:rPr>
                <w:sz w:val="24"/>
                <w:szCs w:val="24"/>
              </w:rPr>
              <w:t>Overall, adult safeguarding in Wales is underpinned by the Human Rights Act 1998, the Social Services and Well-being (Wales) Act 2014, the Mental Capacity Act 2005 and the Wales Safeguarding Procedures. Together, these frameworks promote a rights-based approach that protects adults from harm while supporting their independence, dignity, wellbeing and participation in decision-making.</w:t>
            </w:r>
          </w:p>
          <w:p w14:paraId="682F8764" w14:textId="77777777" w:rsidR="00B64DC8" w:rsidRPr="00B64DC8" w:rsidRDefault="00B64DC8" w:rsidP="00B64DC8">
            <w:pPr>
              <w:spacing w:after="160" w:line="278" w:lineRule="auto"/>
              <w:rPr>
                <w:b/>
                <w:bCs/>
                <w:sz w:val="24"/>
                <w:szCs w:val="24"/>
              </w:rPr>
            </w:pPr>
            <w:r w:rsidRPr="00B64DC8">
              <w:rPr>
                <w:b/>
                <w:bCs/>
                <w:sz w:val="24"/>
                <w:szCs w:val="24"/>
              </w:rPr>
              <w:t>Words: 549</w:t>
            </w:r>
          </w:p>
          <w:p w14:paraId="7EEB64C4" w14:textId="77777777" w:rsidR="00B64DC8" w:rsidRDefault="00B64DC8"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31E7CF4F" w:rsidR="00AA666E" w:rsidRPr="008B28E7" w:rsidRDefault="00010EE9" w:rsidP="00FF7EBB">
      <w:pPr>
        <w:jc w:val="both"/>
        <w:rPr>
          <w:sz w:val="24"/>
          <w:szCs w:val="24"/>
        </w:rPr>
      </w:pPr>
      <w:r>
        <w:rPr>
          <w:sz w:val="24"/>
          <w:szCs w:val="24"/>
        </w:rPr>
        <w:lastRenderedPageBreak/>
        <w:t>s</w:t>
      </w:r>
    </w:p>
    <w:p w14:paraId="4C5FF260" w14:textId="77777777" w:rsidR="00777B22" w:rsidRPr="00B404C0" w:rsidRDefault="00777B22" w:rsidP="00454134">
      <w:pPr>
        <w:spacing w:after="160" w:line="278" w:lineRule="auto"/>
      </w:pPr>
    </w:p>
    <w:p w14:paraId="1FC83FC7" w14:textId="77777777" w:rsidR="00AA666E" w:rsidRDefault="00AA666E" w:rsidP="00FF7EBB">
      <w:pPr>
        <w:jc w:val="both"/>
        <w:rPr>
          <w:sz w:val="24"/>
          <w:szCs w:val="24"/>
        </w:rPr>
      </w:pPr>
    </w:p>
    <w:p w14:paraId="1BF61A52" w14:textId="77777777" w:rsidR="00181525" w:rsidRDefault="00181525" w:rsidP="00FF7EBB">
      <w:pPr>
        <w:jc w:val="both"/>
        <w:rPr>
          <w:sz w:val="24"/>
          <w:szCs w:val="24"/>
        </w:rPr>
      </w:pPr>
    </w:p>
    <w:p w14:paraId="33EBD7F6" w14:textId="77777777" w:rsidR="00181525" w:rsidRDefault="00181525" w:rsidP="00FF7EBB">
      <w:pPr>
        <w:jc w:val="both"/>
        <w:rPr>
          <w:sz w:val="24"/>
          <w:szCs w:val="24"/>
        </w:rPr>
      </w:pPr>
    </w:p>
    <w:p w14:paraId="28FE43E0" w14:textId="77777777" w:rsidR="00181525" w:rsidRDefault="00181525" w:rsidP="00FF7EBB">
      <w:pPr>
        <w:jc w:val="both"/>
        <w:rPr>
          <w:sz w:val="24"/>
          <w:szCs w:val="24"/>
        </w:rPr>
      </w:pPr>
    </w:p>
    <w:p w14:paraId="3FDFACD4" w14:textId="77777777" w:rsidR="00181525" w:rsidRDefault="00181525" w:rsidP="00FF7EBB">
      <w:pPr>
        <w:jc w:val="both"/>
        <w:rPr>
          <w:sz w:val="24"/>
          <w:szCs w:val="24"/>
        </w:rPr>
      </w:pPr>
    </w:p>
    <w:p w14:paraId="6B8E5644" w14:textId="77777777" w:rsidR="00181525" w:rsidRPr="008B28E7" w:rsidRDefault="00181525"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181525">
        <w:tc>
          <w:tcPr>
            <w:tcW w:w="10070" w:type="dxa"/>
          </w:tcPr>
          <w:p w14:paraId="171F67D5" w14:textId="426D0A7E" w:rsidR="00FC0334" w:rsidRPr="00EB695F" w:rsidRDefault="003830B5" w:rsidP="00FC0334">
            <w:pPr>
              <w:jc w:val="both"/>
              <w:rPr>
                <w:b/>
                <w:sz w:val="24"/>
                <w:szCs w:val="24"/>
              </w:rPr>
            </w:pPr>
            <w:r>
              <w:rPr>
                <w:b/>
                <w:sz w:val="24"/>
                <w:szCs w:val="24"/>
              </w:rPr>
              <w:t>“</w:t>
            </w:r>
            <w:r w:rsidR="00FC0334" w:rsidRPr="00EB695F">
              <w:rPr>
                <w:b/>
                <w:sz w:val="24"/>
                <w:szCs w:val="24"/>
              </w:rPr>
              <w:t>Question</w:t>
            </w:r>
            <w:r w:rsidR="00FC0334">
              <w:rPr>
                <w:b/>
                <w:sz w:val="24"/>
                <w:szCs w:val="24"/>
              </w:rPr>
              <w:t xml:space="preserve"> b</w:t>
            </w:r>
            <w:r w:rsidR="00FC0334" w:rsidRPr="00EB695F">
              <w:rPr>
                <w:b/>
                <w:sz w:val="24"/>
                <w:szCs w:val="24"/>
              </w:rPr>
              <w:t>:</w:t>
            </w:r>
          </w:p>
          <w:p w14:paraId="7B7B4827" w14:textId="7D3CFA4B"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8BF787" w14:textId="77777777" w:rsidR="00FC0334" w:rsidRPr="006108C9" w:rsidRDefault="00FC0334" w:rsidP="00FC0334">
            <w:pPr>
              <w:jc w:val="both"/>
              <w:rPr>
                <w:sz w:val="24"/>
                <w:szCs w:val="24"/>
              </w:rPr>
            </w:pPr>
          </w:p>
          <w:p w14:paraId="6BA3DD84" w14:textId="0557992D" w:rsidR="00FC0334" w:rsidRDefault="00FC0334" w:rsidP="00FC0334">
            <w:pPr>
              <w:jc w:val="both"/>
              <w:rPr>
                <w:i/>
                <w:sz w:val="24"/>
                <w:szCs w:val="24"/>
              </w:rPr>
            </w:pPr>
            <w:r>
              <w:rPr>
                <w:i/>
                <w:sz w:val="24"/>
                <w:szCs w:val="24"/>
              </w:rPr>
              <w:lastRenderedPageBreak/>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r w:rsidR="003830B5">
              <w:rPr>
                <w:i/>
                <w:sz w:val="24"/>
                <w:szCs w:val="24"/>
              </w:rPr>
              <w:t>”</w:t>
            </w:r>
          </w:p>
          <w:p w14:paraId="69185763" w14:textId="77777777" w:rsidR="00803857" w:rsidRDefault="00803857" w:rsidP="00FC0334">
            <w:pPr>
              <w:jc w:val="both"/>
              <w:rPr>
                <w:i/>
                <w:sz w:val="24"/>
                <w:szCs w:val="24"/>
              </w:rPr>
            </w:pPr>
          </w:p>
          <w:p w14:paraId="02362211" w14:textId="77777777" w:rsidR="00803857" w:rsidRPr="00803857" w:rsidRDefault="00803857" w:rsidP="00803857">
            <w:pPr>
              <w:spacing w:after="160" w:line="278" w:lineRule="auto"/>
              <w:rPr>
                <w:sz w:val="24"/>
                <w:szCs w:val="24"/>
              </w:rPr>
            </w:pPr>
            <w:r w:rsidRPr="00803857">
              <w:rPr>
                <w:sz w:val="24"/>
                <w:szCs w:val="24"/>
              </w:rPr>
              <w:t>As a social worker within Children’s Services, developing my understanding of adult safeguarding has enabled me to reflect on the similarities and differences between safeguarding practice with adults and children. While both aim to protect individuals from abuse, neglect and harm, there are important distinctions relating to autonomy, decision-making and intervention.</w:t>
            </w:r>
          </w:p>
          <w:p w14:paraId="71C587D1" w14:textId="77777777" w:rsidR="00803857" w:rsidRPr="00803857" w:rsidRDefault="00803857" w:rsidP="00803857">
            <w:pPr>
              <w:spacing w:after="160" w:line="278" w:lineRule="auto"/>
              <w:rPr>
                <w:sz w:val="24"/>
                <w:szCs w:val="24"/>
              </w:rPr>
            </w:pPr>
            <w:r w:rsidRPr="00803857">
              <w:rPr>
                <w:sz w:val="24"/>
                <w:szCs w:val="24"/>
              </w:rPr>
              <w:t>A key similarity is that both adult and child safeguarding in Wales are underpinned by the Social Services and Well-being (Wales) Act 2014 and guided by the Wales Safeguarding Procedures. Both frameworks promote wellbeing, prevention and multi-agency working, placing responsibility on practitioners to identify, respond to and reduce risks of abuse and neglect. Effective safeguarding relies upon collaborative working to protect vulnerable individuals and promote positive outcomes.</w:t>
            </w:r>
          </w:p>
          <w:p w14:paraId="41F84C1F" w14:textId="77777777" w:rsidR="00803857" w:rsidRPr="00803857" w:rsidRDefault="00803857" w:rsidP="00803857">
            <w:pPr>
              <w:spacing w:after="160" w:line="278" w:lineRule="auto"/>
              <w:rPr>
                <w:sz w:val="24"/>
                <w:szCs w:val="24"/>
              </w:rPr>
            </w:pPr>
            <w:r w:rsidRPr="00803857">
              <w:rPr>
                <w:sz w:val="24"/>
                <w:szCs w:val="24"/>
              </w:rPr>
              <w:t>One of the most significant differences is the level of autonomy afforded to adults. In child safeguarding, the welfare of the child is paramount, and professionals have a duty to intervene where there are concerns about significant harm. In contrast, adult safeguarding places greater emphasis on individual choice, rights and self-determination. Adults who have capacity are entitled to make decisions that others may regard as risky or unwise, requiring practitioners to balance protection with respect for personal autonomy.</w:t>
            </w:r>
          </w:p>
          <w:p w14:paraId="6D8D2118" w14:textId="77777777" w:rsidR="00803857" w:rsidRPr="00803857" w:rsidRDefault="00803857" w:rsidP="00803857">
            <w:pPr>
              <w:spacing w:after="160" w:line="278" w:lineRule="auto"/>
              <w:rPr>
                <w:sz w:val="24"/>
                <w:szCs w:val="24"/>
              </w:rPr>
            </w:pPr>
            <w:r w:rsidRPr="00803857">
              <w:rPr>
                <w:sz w:val="24"/>
                <w:szCs w:val="24"/>
              </w:rPr>
              <w:t>The Mental Capacity Act 2005 is central to adult safeguarding practice. The Act applies to individuals aged 16 and over and is based on the principle that capacity should always be presumed unless proven otherwise. Practitioners must support individuals to make their own decisions wherever possible and should not assume incapacity because a person makes a decision that differs from professional opinion. Where concerns arise, a capacity assessment may be required to determine whether an individual can understand, retain, use and weigh relevant information and communicate their decision. In children's services, decision-making may be considered through Gillick competence, which assesses whether a young person has sufficient maturity and understanding to make a specific decision independently.</w:t>
            </w:r>
          </w:p>
          <w:p w14:paraId="5A3B7BC5" w14:textId="77777777" w:rsidR="00803857" w:rsidRPr="00803857" w:rsidRDefault="00803857" w:rsidP="00803857">
            <w:pPr>
              <w:spacing w:after="160" w:line="278" w:lineRule="auto"/>
              <w:rPr>
                <w:sz w:val="24"/>
                <w:szCs w:val="24"/>
              </w:rPr>
            </w:pPr>
            <w:r w:rsidRPr="00803857">
              <w:rPr>
                <w:sz w:val="24"/>
                <w:szCs w:val="24"/>
              </w:rPr>
              <w:t>Safeguarding processes also differ. Children's safeguarding is guided by the concept of significant harm, with local authorities having a duty under Section 47 of the Children Act 1989 to undertake enquiries when a child may be suffering, or is likely to suffer, significant harm. Adult safeguarding, however, is based on whether an individual has care and support needs, is experiencing or at risk of abuse or neglect, and is unable to protect themselves because of those needs.</w:t>
            </w:r>
          </w:p>
          <w:p w14:paraId="37081DB1" w14:textId="77777777" w:rsidR="00803857" w:rsidRPr="00803857" w:rsidRDefault="00803857" w:rsidP="00803857">
            <w:pPr>
              <w:spacing w:after="160" w:line="278" w:lineRule="auto"/>
              <w:rPr>
                <w:sz w:val="24"/>
                <w:szCs w:val="24"/>
              </w:rPr>
            </w:pPr>
            <w:r w:rsidRPr="00803857">
              <w:rPr>
                <w:sz w:val="24"/>
                <w:szCs w:val="24"/>
              </w:rPr>
              <w:t>Reflecting on these differences has strengthened my understanding of rights-based practice and will support my work with young people transitioning into adulthood, where balancing protection, empowerment and independence becomes increasingly important.</w:t>
            </w:r>
          </w:p>
          <w:p w14:paraId="77A7FA31" w14:textId="7B6256B9" w:rsidR="00803857" w:rsidRPr="00803857" w:rsidRDefault="00803857" w:rsidP="00FC0334">
            <w:pPr>
              <w:jc w:val="both"/>
              <w:rPr>
                <w:b/>
                <w:bCs/>
                <w:iCs/>
                <w:sz w:val="24"/>
                <w:szCs w:val="24"/>
              </w:rPr>
            </w:pPr>
            <w:r w:rsidRPr="00803857">
              <w:rPr>
                <w:b/>
                <w:bCs/>
                <w:iCs/>
                <w:sz w:val="24"/>
                <w:szCs w:val="24"/>
              </w:rPr>
              <w:lastRenderedPageBreak/>
              <w:t>Words: 419</w:t>
            </w:r>
          </w:p>
          <w:p w14:paraId="08760B3D" w14:textId="77777777" w:rsidR="00FC0334" w:rsidRPr="006108C9" w:rsidRDefault="00FC0334" w:rsidP="00FC0334">
            <w:pPr>
              <w:jc w:val="both"/>
              <w:rPr>
                <w:sz w:val="24"/>
                <w:szCs w:val="24"/>
              </w:rPr>
            </w:pPr>
          </w:p>
        </w:tc>
      </w:tr>
    </w:tbl>
    <w:p w14:paraId="1FB9755F" w14:textId="77777777" w:rsidR="00181525" w:rsidRPr="00043CD9" w:rsidRDefault="00181525" w:rsidP="00181525">
      <w:pPr>
        <w:spacing w:after="160" w:line="278" w:lineRule="auto"/>
        <w:rPr>
          <w:b/>
          <w:bCs/>
        </w:rPr>
      </w:pPr>
    </w:p>
    <w:p w14:paraId="61B381B0" w14:textId="6DC45338" w:rsidR="003C5ADA" w:rsidRDefault="003C5ADA" w:rsidP="00181525">
      <w:pPr>
        <w:rPr>
          <w:sz w:val="24"/>
          <w:szCs w:val="24"/>
        </w:rPr>
      </w:pPr>
    </w:p>
    <w:sectPr w:rsidR="003C5ADA"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C3FA8" w14:textId="77777777" w:rsidR="00260F7B" w:rsidRDefault="00260F7B">
      <w:r>
        <w:separator/>
      </w:r>
    </w:p>
  </w:endnote>
  <w:endnote w:type="continuationSeparator" w:id="0">
    <w:p w14:paraId="759B76E4" w14:textId="77777777" w:rsidR="00260F7B" w:rsidRDefault="00260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AD739" w14:textId="77777777" w:rsidR="00260F7B" w:rsidRDefault="00260F7B">
      <w:r>
        <w:separator/>
      </w:r>
    </w:p>
  </w:footnote>
  <w:footnote w:type="continuationSeparator" w:id="0">
    <w:p w14:paraId="2117F8CA" w14:textId="77777777" w:rsidR="00260F7B" w:rsidRDefault="00260F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EE9"/>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3E37"/>
    <w:rsid w:val="000C378F"/>
    <w:rsid w:val="000C4525"/>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677A"/>
    <w:rsid w:val="00147DE3"/>
    <w:rsid w:val="00150794"/>
    <w:rsid w:val="00151DA6"/>
    <w:rsid w:val="001608C4"/>
    <w:rsid w:val="00164832"/>
    <w:rsid w:val="00171418"/>
    <w:rsid w:val="001772BF"/>
    <w:rsid w:val="001772DE"/>
    <w:rsid w:val="00181525"/>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6475"/>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0F7B"/>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01F"/>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228D"/>
    <w:rsid w:val="00354B6D"/>
    <w:rsid w:val="00355210"/>
    <w:rsid w:val="00355CFD"/>
    <w:rsid w:val="00365DF9"/>
    <w:rsid w:val="0037066E"/>
    <w:rsid w:val="00372DB4"/>
    <w:rsid w:val="003735F3"/>
    <w:rsid w:val="00373A36"/>
    <w:rsid w:val="0037419E"/>
    <w:rsid w:val="00375AF5"/>
    <w:rsid w:val="003761BD"/>
    <w:rsid w:val="00377448"/>
    <w:rsid w:val="00377884"/>
    <w:rsid w:val="003826BD"/>
    <w:rsid w:val="003830B5"/>
    <w:rsid w:val="00384DF9"/>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5ADA"/>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4134"/>
    <w:rsid w:val="004608B9"/>
    <w:rsid w:val="00463B55"/>
    <w:rsid w:val="00465947"/>
    <w:rsid w:val="004667B1"/>
    <w:rsid w:val="00467F66"/>
    <w:rsid w:val="00470461"/>
    <w:rsid w:val="00470BB1"/>
    <w:rsid w:val="00473153"/>
    <w:rsid w:val="0047350F"/>
    <w:rsid w:val="004743AF"/>
    <w:rsid w:val="00482C17"/>
    <w:rsid w:val="00484CE3"/>
    <w:rsid w:val="0048556C"/>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41ED"/>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7B22"/>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385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71C"/>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254"/>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4DBD"/>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093C"/>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4DC8"/>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57AA"/>
    <w:rsid w:val="00BD609C"/>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3CA"/>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420"/>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0029"/>
    <w:rsid w:val="00E0524C"/>
    <w:rsid w:val="00E15751"/>
    <w:rsid w:val="00E17160"/>
    <w:rsid w:val="00E172C7"/>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6FF1"/>
    <w:rsid w:val="00F10A08"/>
    <w:rsid w:val="00F11327"/>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74B"/>
    <w:rsid w:val="00FD4F8F"/>
    <w:rsid w:val="00FE0C16"/>
    <w:rsid w:val="00FE14B1"/>
    <w:rsid w:val="00FE4D97"/>
    <w:rsid w:val="00FE5F90"/>
    <w:rsid w:val="00FF0070"/>
    <w:rsid w:val="00FF07C3"/>
    <w:rsid w:val="00FF5917"/>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6">
    <w:name w:val="heading 6"/>
    <w:basedOn w:val="Normal"/>
    <w:next w:val="Normal"/>
    <w:link w:val="Heading6Char"/>
    <w:uiPriority w:val="9"/>
    <w:semiHidden/>
    <w:unhideWhenUsed/>
    <w:qFormat/>
    <w:rsid w:val="00C873CA"/>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6Char">
    <w:name w:val="Heading 6 Char"/>
    <w:basedOn w:val="DefaultParagraphFont"/>
    <w:link w:val="Heading6"/>
    <w:uiPriority w:val="9"/>
    <w:semiHidden/>
    <w:rsid w:val="00C873CA"/>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777B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1%370%30%3077@%73t%75%64ent%2e%75w%74%73%64%2e%61%63%2eu%6b"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22</TotalTime>
  <Pages>5</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Charlene Murdoch</cp:lastModifiedBy>
  <cp:revision>23</cp:revision>
  <cp:lastPrinted>2020-02-11T19:20:00Z</cp:lastPrinted>
  <dcterms:created xsi:type="dcterms:W3CDTF">2026-07-26T11:49:00Z</dcterms:created>
  <dcterms:modified xsi:type="dcterms:W3CDTF">2026-10-06T19:59:00Z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