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63689" w14:textId="77777777" w:rsidR="00F67105" w:rsidRPr="00F67105" w:rsidRDefault="00F67105" w:rsidP="00F67105">
      <w:pPr>
        <w:spacing w:after="0" w:line="480" w:lineRule="auto"/>
        <w:jc w:val="center"/>
        <w:rPr>
          <w:rFonts w:ascii="Times New Roman" w:hAnsi="Times New Roman" w:cs="Times New Roman"/>
          <w:b/>
          <w:bCs/>
          <w:sz w:val="24"/>
          <w:lang w:val="en-US"/>
        </w:rPr>
      </w:pPr>
      <w:r w:rsidRPr="00F67105">
        <w:rPr>
          <w:rFonts w:ascii="Times New Roman" w:hAnsi="Times New Roman" w:cs="Times New Roman"/>
          <w:b/>
          <w:bCs/>
          <w:sz w:val="24"/>
          <w:lang w:val="en-US"/>
        </w:rPr>
        <w:t>1. Introduction and case overview</w:t>
      </w:r>
    </w:p>
    <w:p w14:paraId="7E96D918"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In July 2022, Marks &amp; Spencer announced its acquisition of Gist, and the transaction was completed on 30 September 2022 after the required merger control approvals had been obtained (Marks and Spencer Group plc, 2022b). Gist had long served as the main logistics provider for M&amp;S Food, so that the deal can be understood as the </w:t>
      </w:r>
      <w:proofErr w:type="spellStart"/>
      <w:r w:rsidRPr="00F67105">
        <w:rPr>
          <w:rFonts w:ascii="Times New Roman" w:hAnsi="Times New Roman" w:cs="Times New Roman"/>
          <w:sz w:val="24"/>
          <w:lang w:val="en-US"/>
        </w:rPr>
        <w:t>internalisation</w:t>
      </w:r>
      <w:proofErr w:type="spellEnd"/>
      <w:r w:rsidRPr="00F67105">
        <w:rPr>
          <w:rFonts w:ascii="Times New Roman" w:hAnsi="Times New Roman" w:cs="Times New Roman"/>
          <w:sz w:val="24"/>
          <w:lang w:val="en-US"/>
        </w:rPr>
        <w:t xml:space="preserve"> of a key logistics function (Marks and Spencer Group plc, 2023a). M&amp;S described the acquisition as part of a broader food supply chain </w:t>
      </w:r>
      <w:proofErr w:type="spellStart"/>
      <w:r w:rsidRPr="00F67105">
        <w:rPr>
          <w:rFonts w:ascii="Times New Roman" w:hAnsi="Times New Roman" w:cs="Times New Roman"/>
          <w:sz w:val="24"/>
          <w:lang w:val="en-US"/>
        </w:rPr>
        <w:t>modernisation</w:t>
      </w:r>
      <w:proofErr w:type="spellEnd"/>
      <w:r w:rsidRPr="00F67105">
        <w:rPr>
          <w:rFonts w:ascii="Times New Roman" w:hAnsi="Times New Roman" w:cs="Times New Roman"/>
          <w:sz w:val="24"/>
          <w:lang w:val="en-US"/>
        </w:rPr>
        <w:t xml:space="preserve"> </w:t>
      </w:r>
      <w:proofErr w:type="spellStart"/>
      <w:r w:rsidRPr="00F67105">
        <w:rPr>
          <w:rFonts w:ascii="Times New Roman" w:hAnsi="Times New Roman" w:cs="Times New Roman"/>
          <w:sz w:val="24"/>
          <w:lang w:val="en-US"/>
        </w:rPr>
        <w:t>programme</w:t>
      </w:r>
      <w:proofErr w:type="spellEnd"/>
      <w:r w:rsidRPr="00F67105">
        <w:rPr>
          <w:rFonts w:ascii="Times New Roman" w:hAnsi="Times New Roman" w:cs="Times New Roman"/>
          <w:sz w:val="24"/>
          <w:lang w:val="en-US"/>
        </w:rPr>
        <w:t xml:space="preserve">, with the aim of lowering </w:t>
      </w:r>
      <w:proofErr w:type="gramStart"/>
      <w:r w:rsidRPr="00F67105">
        <w:rPr>
          <w:rFonts w:ascii="Times New Roman" w:hAnsi="Times New Roman" w:cs="Times New Roman"/>
          <w:sz w:val="24"/>
          <w:lang w:val="en-US"/>
        </w:rPr>
        <w:t>cost</w:t>
      </w:r>
      <w:proofErr w:type="gramEnd"/>
      <w:r w:rsidRPr="00F67105">
        <w:rPr>
          <w:rFonts w:ascii="Times New Roman" w:hAnsi="Times New Roman" w:cs="Times New Roman"/>
          <w:sz w:val="24"/>
          <w:lang w:val="en-US"/>
        </w:rPr>
        <w:t xml:space="preserve"> to </w:t>
      </w:r>
      <w:proofErr w:type="gramStart"/>
      <w:r w:rsidRPr="00F67105">
        <w:rPr>
          <w:rFonts w:ascii="Times New Roman" w:hAnsi="Times New Roman" w:cs="Times New Roman"/>
          <w:sz w:val="24"/>
          <w:lang w:val="en-US"/>
        </w:rPr>
        <w:t>serve</w:t>
      </w:r>
      <w:proofErr w:type="gramEnd"/>
      <w:r w:rsidRPr="00F67105">
        <w:rPr>
          <w:rFonts w:ascii="Times New Roman" w:hAnsi="Times New Roman" w:cs="Times New Roman"/>
          <w:sz w:val="24"/>
          <w:lang w:val="en-US"/>
        </w:rPr>
        <w:t xml:space="preserve"> through system upgrades and stronger automation (Marks and Spencer Group plc, 2022a).</w:t>
      </w:r>
    </w:p>
    <w:p w14:paraId="7C1357D0"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This case is worth examining for both practical and theoretical reasons. In practical terms, the acquisition took place during a period of supply disruption, rising inflation and growing cost pressure so that it can be seen as a response to the post-pandemic business environment (Reuters, 2022). In theoretical terms, the transaction was based on vertical integration rather than horizontal overlap in retailing. Different types of acquisitions raise different value-creation issues, and this case provides a focused example of how value may be </w:t>
      </w:r>
      <w:proofErr w:type="spellStart"/>
      <w:r w:rsidRPr="00F67105">
        <w:rPr>
          <w:rFonts w:ascii="Times New Roman" w:hAnsi="Times New Roman" w:cs="Times New Roman"/>
          <w:sz w:val="24"/>
          <w:lang w:val="en-US"/>
        </w:rPr>
        <w:t>realised</w:t>
      </w:r>
      <w:proofErr w:type="spellEnd"/>
      <w:r w:rsidRPr="00F67105">
        <w:rPr>
          <w:rFonts w:ascii="Times New Roman" w:hAnsi="Times New Roman" w:cs="Times New Roman"/>
          <w:sz w:val="24"/>
          <w:lang w:val="en-US"/>
        </w:rPr>
        <w:t xml:space="preserve"> in a vertical acquisition (Cumming et al., 2023).</w:t>
      </w:r>
    </w:p>
    <w:p w14:paraId="0D1CCE90"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This report examines whether the acquisition broadly achieved its original strategic and financial objectives. It is </w:t>
      </w:r>
      <w:proofErr w:type="spellStart"/>
      <w:r w:rsidRPr="00F67105">
        <w:rPr>
          <w:rFonts w:ascii="Times New Roman" w:hAnsi="Times New Roman" w:cs="Times New Roman"/>
          <w:sz w:val="24"/>
          <w:lang w:val="en-US"/>
        </w:rPr>
        <w:t>organised</w:t>
      </w:r>
      <w:proofErr w:type="spellEnd"/>
      <w:r w:rsidRPr="00F67105">
        <w:rPr>
          <w:rFonts w:ascii="Times New Roman" w:hAnsi="Times New Roman" w:cs="Times New Roman"/>
          <w:sz w:val="24"/>
          <w:lang w:val="en-US"/>
        </w:rPr>
        <w:t xml:space="preserve"> around three connected dimensions: operational and resource integration, market and strategic </w:t>
      </w:r>
      <w:proofErr w:type="gramStart"/>
      <w:r w:rsidRPr="00F67105">
        <w:rPr>
          <w:rFonts w:ascii="Times New Roman" w:hAnsi="Times New Roman" w:cs="Times New Roman"/>
          <w:sz w:val="24"/>
          <w:lang w:val="en-US"/>
        </w:rPr>
        <w:t>implications, and</w:t>
      </w:r>
      <w:proofErr w:type="gramEnd"/>
      <w:r w:rsidRPr="00F67105">
        <w:rPr>
          <w:rFonts w:ascii="Times New Roman" w:hAnsi="Times New Roman" w:cs="Times New Roman"/>
          <w:sz w:val="24"/>
          <w:lang w:val="en-US"/>
        </w:rPr>
        <w:t xml:space="preserve"> financial outcomes and value creation. It also considers the impact of the acquisition on M&amp;S’s operating performance, profitability and long-term strategic positioning in the UK food retail market. Since the way post-merger integration is managed is closely related to </w:t>
      </w:r>
      <w:r w:rsidRPr="00F67105">
        <w:rPr>
          <w:rFonts w:ascii="Times New Roman" w:hAnsi="Times New Roman" w:cs="Times New Roman"/>
          <w:sz w:val="24"/>
          <w:lang w:val="en-US"/>
        </w:rPr>
        <w:lastRenderedPageBreak/>
        <w:t xml:space="preserve">value </w:t>
      </w:r>
      <w:proofErr w:type="spellStart"/>
      <w:r w:rsidRPr="00F67105">
        <w:rPr>
          <w:rFonts w:ascii="Times New Roman" w:hAnsi="Times New Roman" w:cs="Times New Roman"/>
          <w:sz w:val="24"/>
          <w:lang w:val="en-US"/>
        </w:rPr>
        <w:t>realisation</w:t>
      </w:r>
      <w:proofErr w:type="spellEnd"/>
      <w:r w:rsidRPr="00F67105">
        <w:rPr>
          <w:rFonts w:ascii="Times New Roman" w:hAnsi="Times New Roman" w:cs="Times New Roman"/>
          <w:sz w:val="24"/>
          <w:lang w:val="en-US"/>
        </w:rPr>
        <w:t xml:space="preserve"> (Abravanel, Biron and Brueller, 2025), and shareholder value creation is one of the core concerns in M&amp;A finance and accounting research (Cumming et al., 2023), shareholders’ wealth is used here as the overall criterion for evaluation.</w:t>
      </w:r>
    </w:p>
    <w:p w14:paraId="0794D388"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p>
    <w:p w14:paraId="252D1181" w14:textId="77777777" w:rsidR="00F67105" w:rsidRPr="00F67105" w:rsidRDefault="00F67105" w:rsidP="00F67105">
      <w:pPr>
        <w:spacing w:after="0" w:line="480" w:lineRule="auto"/>
        <w:jc w:val="center"/>
        <w:rPr>
          <w:rFonts w:ascii="Times New Roman" w:hAnsi="Times New Roman" w:cs="Times New Roman"/>
          <w:b/>
          <w:bCs/>
          <w:sz w:val="24"/>
          <w:lang w:val="en-US"/>
        </w:rPr>
      </w:pPr>
      <w:r w:rsidRPr="00F67105">
        <w:rPr>
          <w:rFonts w:ascii="Times New Roman" w:hAnsi="Times New Roman" w:cs="Times New Roman"/>
          <w:b/>
          <w:bCs/>
          <w:sz w:val="24"/>
          <w:lang w:val="en-US"/>
        </w:rPr>
        <w:t>2. Operational and resource integration</w:t>
      </w:r>
    </w:p>
    <w:p w14:paraId="4D053543"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The strongest case for this acquisition lies in operational integration. In this transaction, value depended on whether M&amp;S could turn control over logistics into smoother coordination, lower friction and stronger supply chain performance after completion (Abravanel, Biron and Brueller, 2025).</w:t>
      </w:r>
    </w:p>
    <w:p w14:paraId="5BD93C68" w14:textId="77777777" w:rsidR="00F67105" w:rsidRPr="00F67105" w:rsidRDefault="00F67105" w:rsidP="00F67105">
      <w:pPr>
        <w:spacing w:after="0" w:line="480" w:lineRule="auto"/>
        <w:jc w:val="both"/>
        <w:rPr>
          <w:rFonts w:ascii="Times New Roman" w:hAnsi="Times New Roman" w:cs="Times New Roman"/>
          <w:b/>
          <w:bCs/>
          <w:sz w:val="24"/>
          <w:lang w:val="en-US"/>
        </w:rPr>
      </w:pPr>
      <w:r w:rsidRPr="00F67105">
        <w:rPr>
          <w:rFonts w:ascii="Times New Roman" w:hAnsi="Times New Roman" w:cs="Times New Roman"/>
          <w:b/>
          <w:bCs/>
          <w:sz w:val="24"/>
          <w:lang w:val="en-US"/>
        </w:rPr>
        <w:t xml:space="preserve">2.1 </w:t>
      </w:r>
      <w:proofErr w:type="spellStart"/>
      <w:r w:rsidRPr="00F67105">
        <w:rPr>
          <w:rFonts w:ascii="Times New Roman" w:hAnsi="Times New Roman" w:cs="Times New Roman"/>
          <w:b/>
          <w:bCs/>
          <w:sz w:val="24"/>
          <w:lang w:val="en-US"/>
        </w:rPr>
        <w:t>Internalising</w:t>
      </w:r>
      <w:proofErr w:type="spellEnd"/>
      <w:r w:rsidRPr="00F67105">
        <w:rPr>
          <w:rFonts w:ascii="Times New Roman" w:hAnsi="Times New Roman" w:cs="Times New Roman"/>
          <w:b/>
          <w:bCs/>
          <w:sz w:val="24"/>
          <w:lang w:val="en-US"/>
        </w:rPr>
        <w:t xml:space="preserve"> logistics: scale, efficiency and faster transformation</w:t>
      </w:r>
    </w:p>
    <w:p w14:paraId="37EF3F4B"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Operating gains often depend on whether the acquisition logic matches the depth of integration (Chaturvedi and Weigelt, 2024). When a firm can bring mature capabilities obtained through acquisition into a more unified operating structure, performance is more likely to improve.</w:t>
      </w:r>
    </w:p>
    <w:p w14:paraId="705BEE18"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In its acquisition announcement, M&amp;S stated that the previous arrangement was tied to a higher-cost legacy contract, and that the deal would improve efficiency by removing contractual fees and related costs and by aligning operating processes across the network (Marks and Spencer Group plc, 2022a). Later disclosures followed the same line. The annual report linked Gist to lower cost to serve, systems renewal and automation (Marks and Spencer Group plc, 2023a), while the half-year results stated that integration was progressing well and that the expected benefits were on track (Marks and Spencer Group plc, 2023c). Food margin recovery was also partly attributed </w:t>
      </w:r>
      <w:r w:rsidRPr="00F67105">
        <w:rPr>
          <w:rFonts w:ascii="Times New Roman" w:hAnsi="Times New Roman" w:cs="Times New Roman"/>
          <w:sz w:val="24"/>
          <w:lang w:val="en-US"/>
        </w:rPr>
        <w:lastRenderedPageBreak/>
        <w:t xml:space="preserve">to more than £30 million of benefits from Gist (Marks and Spencer Group plc, 2023c). This is consistent with Chaturvedi and Weigelt (2024), who argue that cost-oriented acquisitions usually rely on strong post-acquisition integration if expected synergies are to be </w:t>
      </w:r>
      <w:proofErr w:type="spellStart"/>
      <w:r w:rsidRPr="00F67105">
        <w:rPr>
          <w:rFonts w:ascii="Times New Roman" w:hAnsi="Times New Roman" w:cs="Times New Roman"/>
          <w:sz w:val="24"/>
          <w:lang w:val="en-US"/>
        </w:rPr>
        <w:t>realised</w:t>
      </w:r>
      <w:proofErr w:type="spellEnd"/>
      <w:r w:rsidRPr="00F67105">
        <w:rPr>
          <w:rFonts w:ascii="Times New Roman" w:hAnsi="Times New Roman" w:cs="Times New Roman"/>
          <w:sz w:val="24"/>
          <w:lang w:val="en-US"/>
        </w:rPr>
        <w:t>.</w:t>
      </w:r>
    </w:p>
    <w:p w14:paraId="11CA045C"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The acquisition also shortened the path to transformation. If M&amp;S had tried to build a comparable logistics chain on its own, the process would probably have taken longer and involved greater execution risk. By acquiring Gist, which had already served its logistics operations for many years, M&amp;S was able to gain direct control over logistics more quickly (Marks and Spencer Group plc, 2022a; Marks and Spencer Group plc, 2022b). In this sense, speed of growth in this case is better understood as a faster transformation rather than a simple expansion.</w:t>
      </w:r>
    </w:p>
    <w:p w14:paraId="354EB067" w14:textId="35688DFA"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rPr>
        <w:t>In addition, economies of scale in this case were mainly reflected in the operational synergies created after the logistics network was brought under common control. Once Gist’s warehousing, transport and distribution capabilities were integrated into the same framework, M&amp;S was in a stronger position to share infrastructure, reduce duplication and improve the organisation of transport and fulfilment across its food business. In this case, scale effects were therefore not simply a matter of becoming larger, but of using existing logistics capacity more effectively under unified management (Chaturvedi and Weigelt, 2024; Gist Limited, 2023).</w:t>
      </w:r>
    </w:p>
    <w:p w14:paraId="0E15F7CB" w14:textId="77777777" w:rsidR="00F67105" w:rsidRPr="00F67105" w:rsidRDefault="00F67105" w:rsidP="00F67105">
      <w:pPr>
        <w:spacing w:after="0" w:line="480" w:lineRule="auto"/>
        <w:jc w:val="both"/>
        <w:rPr>
          <w:rFonts w:ascii="Times New Roman" w:hAnsi="Times New Roman" w:cs="Times New Roman"/>
          <w:b/>
          <w:bCs/>
          <w:sz w:val="24"/>
          <w:lang w:val="en-US"/>
        </w:rPr>
      </w:pPr>
      <w:r w:rsidRPr="00F67105">
        <w:rPr>
          <w:rFonts w:ascii="Times New Roman" w:hAnsi="Times New Roman" w:cs="Times New Roman"/>
          <w:b/>
          <w:bCs/>
          <w:sz w:val="24"/>
          <w:lang w:val="en-US"/>
        </w:rPr>
        <w:t>2.2 Complementary resources and improved operating performance</w:t>
      </w:r>
    </w:p>
    <w:p w14:paraId="7BCFED53"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Another important rationale for the acquisition lies in the combination of complementary resources. Acquisition value often depends on how resources are </w:t>
      </w:r>
      <w:r w:rsidRPr="00F67105">
        <w:rPr>
          <w:rFonts w:ascii="Times New Roman" w:hAnsi="Times New Roman" w:cs="Times New Roman"/>
          <w:sz w:val="24"/>
          <w:lang w:val="en-US"/>
        </w:rPr>
        <w:lastRenderedPageBreak/>
        <w:t xml:space="preserve">reconfigured and integrated after completion, because operating synergies do not arise automatically from a change in ownership (Chaturvedi and Weigelt, 2024). Gains may also come from stronger operational connections, meaning that firms become more closely linked across a wider network of activities (Burford, </w:t>
      </w:r>
      <w:proofErr w:type="spellStart"/>
      <w:r w:rsidRPr="00F67105">
        <w:rPr>
          <w:rFonts w:ascii="Times New Roman" w:hAnsi="Times New Roman" w:cs="Times New Roman"/>
          <w:sz w:val="24"/>
          <w:lang w:val="en-US"/>
        </w:rPr>
        <w:t>Shipilov</w:t>
      </w:r>
      <w:proofErr w:type="spellEnd"/>
      <w:r w:rsidRPr="00F67105">
        <w:rPr>
          <w:rFonts w:ascii="Times New Roman" w:hAnsi="Times New Roman" w:cs="Times New Roman"/>
          <w:sz w:val="24"/>
          <w:lang w:val="en-US"/>
        </w:rPr>
        <w:t xml:space="preserve"> and Furr, 2025). M&amp;S’s strengths were mainly in food retailing and store operations, while Gist’s strengths were in warehousing, transport and supply chain execution. Bringing these together strengthened the operating base of the food business.</w:t>
      </w:r>
    </w:p>
    <w:p w14:paraId="72D08D66"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After the acquisition, Gist was brought within M&amp;S’s operational control boundary (Marks and Spencer Group plc, 2023b). Its strategic objectives gradually became aligned with those of M&amp;S, and it continued to operate as a large logistics business with a mature network, supported by stronger governance, clearer workflows and updated legacy systems (Gist Limited, 2023). These changes show that integration </w:t>
      </w:r>
      <w:proofErr w:type="gramStart"/>
      <w:r w:rsidRPr="00F67105">
        <w:rPr>
          <w:rFonts w:ascii="Times New Roman" w:hAnsi="Times New Roman" w:cs="Times New Roman"/>
          <w:sz w:val="24"/>
          <w:lang w:val="en-US"/>
        </w:rPr>
        <w:t>had</w:t>
      </w:r>
      <w:proofErr w:type="gramEnd"/>
      <w:r w:rsidRPr="00F67105">
        <w:rPr>
          <w:rFonts w:ascii="Times New Roman" w:hAnsi="Times New Roman" w:cs="Times New Roman"/>
          <w:sz w:val="24"/>
          <w:lang w:val="en-US"/>
        </w:rPr>
        <w:t xml:space="preserve"> moved into the area of control and management.</w:t>
      </w:r>
    </w:p>
    <w:p w14:paraId="45CD72D2"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Successful integration depends not only on control, but also on cooperation. If the control system fails to balance the two, integration is unlikely to be converted into stable performance outcomes (Vuorenmaa, 2024). </w:t>
      </w:r>
      <w:proofErr w:type="spellStart"/>
      <w:r w:rsidRPr="00F67105">
        <w:rPr>
          <w:rFonts w:ascii="Times New Roman" w:hAnsi="Times New Roman" w:cs="Times New Roman"/>
          <w:sz w:val="24"/>
          <w:lang w:val="en-US"/>
        </w:rPr>
        <w:t>Smeulders</w:t>
      </w:r>
      <w:proofErr w:type="spellEnd"/>
      <w:r w:rsidRPr="00F67105">
        <w:rPr>
          <w:rFonts w:ascii="Times New Roman" w:hAnsi="Times New Roman" w:cs="Times New Roman"/>
          <w:sz w:val="24"/>
          <w:lang w:val="en-US"/>
        </w:rPr>
        <w:t xml:space="preserve">, Dekker and Van Den </w:t>
      </w:r>
      <w:proofErr w:type="spellStart"/>
      <w:r w:rsidRPr="00F67105">
        <w:rPr>
          <w:rFonts w:ascii="Times New Roman" w:hAnsi="Times New Roman" w:cs="Times New Roman"/>
          <w:sz w:val="24"/>
          <w:lang w:val="en-US"/>
        </w:rPr>
        <w:t>Abbeele</w:t>
      </w:r>
      <w:proofErr w:type="spellEnd"/>
      <w:r w:rsidRPr="00F67105">
        <w:rPr>
          <w:rFonts w:ascii="Times New Roman" w:hAnsi="Times New Roman" w:cs="Times New Roman"/>
          <w:sz w:val="24"/>
          <w:lang w:val="en-US"/>
        </w:rPr>
        <w:t xml:space="preserve"> (2023) also show that integration controls themselves affect acquisition performance, especially when </w:t>
      </w:r>
      <w:proofErr w:type="spellStart"/>
      <w:r w:rsidRPr="00F67105">
        <w:rPr>
          <w:rFonts w:ascii="Times New Roman" w:hAnsi="Times New Roman" w:cs="Times New Roman"/>
          <w:sz w:val="24"/>
          <w:lang w:val="en-US"/>
        </w:rPr>
        <w:t>organisational</w:t>
      </w:r>
      <w:proofErr w:type="spellEnd"/>
      <w:r w:rsidRPr="00F67105">
        <w:rPr>
          <w:rFonts w:ascii="Times New Roman" w:hAnsi="Times New Roman" w:cs="Times New Roman"/>
          <w:sz w:val="24"/>
          <w:lang w:val="en-US"/>
        </w:rPr>
        <w:t xml:space="preserve"> differences and employee resistance make the process more difficult. In this case, the complementarity between M&amp;S and Gist was gradually turned into tighter control and stronger execution through reinforced governance and the restructuring of operational processes.</w:t>
      </w:r>
    </w:p>
    <w:p w14:paraId="75BACA5D"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Overall, the main value of the Gist acquisition lay in stronger coordination, lower </w:t>
      </w:r>
      <w:r w:rsidRPr="00F67105">
        <w:rPr>
          <w:rFonts w:ascii="Times New Roman" w:hAnsi="Times New Roman" w:cs="Times New Roman"/>
          <w:sz w:val="24"/>
          <w:lang w:val="en-US"/>
        </w:rPr>
        <w:lastRenderedPageBreak/>
        <w:t>inefficiency and faster supply chain upgrading. It also suggests that any scale effect in this case came mainly through operational synergies across the logistics network.</w:t>
      </w:r>
    </w:p>
    <w:p w14:paraId="4177D7B6"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p>
    <w:p w14:paraId="19F23717" w14:textId="77777777" w:rsidR="00F67105" w:rsidRPr="00F67105" w:rsidRDefault="00F67105" w:rsidP="00F67105">
      <w:pPr>
        <w:spacing w:after="0" w:line="480" w:lineRule="auto"/>
        <w:jc w:val="center"/>
        <w:rPr>
          <w:rFonts w:ascii="Times New Roman" w:hAnsi="Times New Roman" w:cs="Times New Roman"/>
          <w:b/>
          <w:bCs/>
          <w:sz w:val="24"/>
          <w:lang w:val="en-US"/>
        </w:rPr>
      </w:pPr>
      <w:r w:rsidRPr="00F67105">
        <w:rPr>
          <w:rFonts w:ascii="Times New Roman" w:hAnsi="Times New Roman" w:cs="Times New Roman"/>
          <w:b/>
          <w:bCs/>
          <w:sz w:val="24"/>
          <w:lang w:val="en-US"/>
        </w:rPr>
        <w:t>3. Market and strategic implications</w:t>
      </w:r>
    </w:p>
    <w:p w14:paraId="7C383702"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The strategic assessment of a vertical merger is often more complex than that of a horizontal one, because efficiency gains and competition </w:t>
      </w:r>
      <w:proofErr w:type="gramStart"/>
      <w:r w:rsidRPr="00F67105">
        <w:rPr>
          <w:rFonts w:ascii="Times New Roman" w:hAnsi="Times New Roman" w:cs="Times New Roman"/>
          <w:sz w:val="24"/>
          <w:lang w:val="en-US"/>
        </w:rPr>
        <w:t>concerns</w:t>
      </w:r>
      <w:proofErr w:type="gramEnd"/>
      <w:r w:rsidRPr="00F67105">
        <w:rPr>
          <w:rFonts w:ascii="Times New Roman" w:hAnsi="Times New Roman" w:cs="Times New Roman"/>
          <w:sz w:val="24"/>
          <w:lang w:val="en-US"/>
        </w:rPr>
        <w:t xml:space="preserve"> usually need to be considered at the same time (Carlton, 2024). At the same time, even where there is no clear foreclosure effect, vertical transactions may still influence the competitive process (Kadner-Graziano, 2025), and the way a transaction is classified can shape the later approach to competition analysis (Cowan, </w:t>
      </w:r>
      <w:proofErr w:type="spellStart"/>
      <w:r w:rsidRPr="00F67105">
        <w:rPr>
          <w:rFonts w:ascii="Times New Roman" w:hAnsi="Times New Roman" w:cs="Times New Roman"/>
          <w:sz w:val="24"/>
          <w:lang w:val="en-US"/>
        </w:rPr>
        <w:t>Ormosi</w:t>
      </w:r>
      <w:proofErr w:type="spellEnd"/>
      <w:r w:rsidRPr="00F67105">
        <w:rPr>
          <w:rFonts w:ascii="Times New Roman" w:hAnsi="Times New Roman" w:cs="Times New Roman"/>
          <w:sz w:val="24"/>
          <w:lang w:val="en-US"/>
        </w:rPr>
        <w:t xml:space="preserve"> and Perkins, 2024). Against this background, the key question in this section is whether the acquisition improved M&amp;S’s competitive position in UK food retailing and supported its long-term development.</w:t>
      </w:r>
    </w:p>
    <w:p w14:paraId="13A336C6" w14:textId="77777777" w:rsidR="00F67105" w:rsidRPr="00F67105" w:rsidRDefault="00F67105" w:rsidP="00F67105">
      <w:pPr>
        <w:spacing w:after="0" w:line="480" w:lineRule="auto"/>
        <w:jc w:val="both"/>
        <w:rPr>
          <w:rFonts w:ascii="Times New Roman" w:hAnsi="Times New Roman" w:cs="Times New Roman"/>
          <w:b/>
          <w:bCs/>
          <w:sz w:val="24"/>
          <w:lang w:val="en-US"/>
        </w:rPr>
      </w:pPr>
      <w:r w:rsidRPr="00F67105">
        <w:rPr>
          <w:rFonts w:ascii="Times New Roman" w:hAnsi="Times New Roman" w:cs="Times New Roman"/>
          <w:b/>
          <w:bCs/>
          <w:sz w:val="24"/>
          <w:lang w:val="en-US"/>
        </w:rPr>
        <w:t>3.1 Strengthening competitive position through supply chain control</w:t>
      </w:r>
    </w:p>
    <w:p w14:paraId="777904E5"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An acquisition can strengthen market position by increasing control over key resources, improving service reliability and </w:t>
      </w:r>
      <w:proofErr w:type="spellStart"/>
      <w:r w:rsidRPr="00F67105">
        <w:rPr>
          <w:rFonts w:ascii="Times New Roman" w:hAnsi="Times New Roman" w:cs="Times New Roman"/>
          <w:sz w:val="24"/>
          <w:lang w:val="en-US"/>
        </w:rPr>
        <w:t>stabilising</w:t>
      </w:r>
      <w:proofErr w:type="spellEnd"/>
      <w:r w:rsidRPr="00F67105">
        <w:rPr>
          <w:rFonts w:ascii="Times New Roman" w:hAnsi="Times New Roman" w:cs="Times New Roman"/>
          <w:sz w:val="24"/>
          <w:lang w:val="en-US"/>
        </w:rPr>
        <w:t xml:space="preserve"> supply. Since Gist is a logistics provider, the effects of this transaction were felt mainly in the coordination, distribution and service execution functions across the supply chain.</w:t>
      </w:r>
    </w:p>
    <w:p w14:paraId="78BDC384"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Mergers can also affect non-price factors such as quality, capacity and reliability of supply, and these factors may shape competition even where changes in market share are limited (European Commission, Directorate General for Competition, 2024). For M&amp;S, the main strategic effect of the acquisition therefore lay in building a stronger competitive position through tighter supply chain control and more stable service </w:t>
      </w:r>
      <w:r w:rsidRPr="00F67105">
        <w:rPr>
          <w:rFonts w:ascii="Times New Roman" w:hAnsi="Times New Roman" w:cs="Times New Roman"/>
          <w:sz w:val="24"/>
          <w:lang w:val="en-US"/>
        </w:rPr>
        <w:lastRenderedPageBreak/>
        <w:t>performance. In this sense, increased power in the market is better understood here as a stronger non-price competitive position.</w:t>
      </w:r>
    </w:p>
    <w:p w14:paraId="2302A8C0"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Research on vertical mergers supports this interpretation. Such mergers can generate efficiency gains through stronger coordination and control and can improve a firm’s position within the relevant value chain (Dewulf et al., 2023). In this case, by </w:t>
      </w:r>
      <w:proofErr w:type="spellStart"/>
      <w:r w:rsidRPr="00F67105">
        <w:rPr>
          <w:rFonts w:ascii="Times New Roman" w:hAnsi="Times New Roman" w:cs="Times New Roman"/>
          <w:sz w:val="24"/>
          <w:lang w:val="en-US"/>
        </w:rPr>
        <w:t>internalising</w:t>
      </w:r>
      <w:proofErr w:type="spellEnd"/>
      <w:r w:rsidRPr="00F67105">
        <w:rPr>
          <w:rFonts w:ascii="Times New Roman" w:hAnsi="Times New Roman" w:cs="Times New Roman"/>
          <w:sz w:val="24"/>
          <w:lang w:val="en-US"/>
        </w:rPr>
        <w:t xml:space="preserve"> a logistics provider that was already deeply embedded in its food business, M&amp;S strengthened its position in supply-chain-based competition.</w:t>
      </w:r>
    </w:p>
    <w:p w14:paraId="381082BA" w14:textId="77777777" w:rsidR="00F67105" w:rsidRPr="00F67105" w:rsidRDefault="00F67105" w:rsidP="00F67105">
      <w:pPr>
        <w:spacing w:after="0" w:line="480" w:lineRule="auto"/>
        <w:jc w:val="both"/>
        <w:rPr>
          <w:rFonts w:ascii="Times New Roman" w:hAnsi="Times New Roman" w:cs="Times New Roman"/>
          <w:b/>
          <w:bCs/>
          <w:sz w:val="24"/>
          <w:lang w:val="en-US"/>
        </w:rPr>
      </w:pPr>
      <w:r w:rsidRPr="00F67105">
        <w:rPr>
          <w:rFonts w:ascii="Times New Roman" w:hAnsi="Times New Roman" w:cs="Times New Roman"/>
          <w:b/>
          <w:bCs/>
          <w:sz w:val="24"/>
          <w:lang w:val="en-US"/>
        </w:rPr>
        <w:t>3.2 Diversification and regulatory background</w:t>
      </w:r>
    </w:p>
    <w:p w14:paraId="6C73DD27"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From a strategic perspective, the diversification explanation has limited relevance in this case. Diversification normally refers to entering different kinds of business activities </w:t>
      </w:r>
      <w:proofErr w:type="gramStart"/>
      <w:r w:rsidRPr="00F67105">
        <w:rPr>
          <w:rFonts w:ascii="Times New Roman" w:hAnsi="Times New Roman" w:cs="Times New Roman"/>
          <w:sz w:val="24"/>
          <w:lang w:val="en-US"/>
        </w:rPr>
        <w:t>in order to</w:t>
      </w:r>
      <w:proofErr w:type="gramEnd"/>
      <w:r w:rsidRPr="00F67105">
        <w:rPr>
          <w:rFonts w:ascii="Times New Roman" w:hAnsi="Times New Roman" w:cs="Times New Roman"/>
          <w:sz w:val="24"/>
          <w:lang w:val="en-US"/>
        </w:rPr>
        <w:t xml:space="preserve"> spread sources of income and business risk. Here, however, M&amp;S consistently framed Gist within its food supply chain </w:t>
      </w:r>
      <w:proofErr w:type="spellStart"/>
      <w:r w:rsidRPr="00F67105">
        <w:rPr>
          <w:rFonts w:ascii="Times New Roman" w:hAnsi="Times New Roman" w:cs="Times New Roman"/>
          <w:sz w:val="24"/>
          <w:lang w:val="en-US"/>
        </w:rPr>
        <w:t>modernisation</w:t>
      </w:r>
      <w:proofErr w:type="spellEnd"/>
      <w:r w:rsidRPr="00F67105">
        <w:rPr>
          <w:rFonts w:ascii="Times New Roman" w:hAnsi="Times New Roman" w:cs="Times New Roman"/>
          <w:sz w:val="24"/>
          <w:lang w:val="en-US"/>
        </w:rPr>
        <w:t xml:space="preserve"> </w:t>
      </w:r>
      <w:proofErr w:type="spellStart"/>
      <w:r w:rsidRPr="00F67105">
        <w:rPr>
          <w:rFonts w:ascii="Times New Roman" w:hAnsi="Times New Roman" w:cs="Times New Roman"/>
          <w:sz w:val="24"/>
          <w:lang w:val="en-US"/>
        </w:rPr>
        <w:t>programme</w:t>
      </w:r>
      <w:proofErr w:type="spellEnd"/>
      <w:r w:rsidRPr="00F67105">
        <w:rPr>
          <w:rFonts w:ascii="Times New Roman" w:hAnsi="Times New Roman" w:cs="Times New Roman"/>
          <w:sz w:val="24"/>
          <w:lang w:val="en-US"/>
        </w:rPr>
        <w:t xml:space="preserve"> and kept the acquisition closely tied to the food business itself (Marks and Spencer Group plc, 2022a; Marks and Spencer Group plc, 2023a). The deal, therefore, looks much more like an extension of the core value chain than an entry into an unrelated field.</w:t>
      </w:r>
    </w:p>
    <w:p w14:paraId="33F81B3A"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proofErr w:type="gramStart"/>
      <w:r w:rsidRPr="00F67105">
        <w:rPr>
          <w:rFonts w:ascii="Times New Roman" w:hAnsi="Times New Roman" w:cs="Times New Roman"/>
          <w:sz w:val="24"/>
          <w:lang w:val="en-US"/>
        </w:rPr>
        <w:t>The regulatory</w:t>
      </w:r>
      <w:proofErr w:type="gramEnd"/>
      <w:r w:rsidRPr="00F67105">
        <w:rPr>
          <w:rFonts w:ascii="Times New Roman" w:hAnsi="Times New Roman" w:cs="Times New Roman"/>
          <w:sz w:val="24"/>
          <w:lang w:val="en-US"/>
        </w:rPr>
        <w:t xml:space="preserve"> background is also important. The CCPC record shows that the transaction went through a formal merger control process and was cleared at Phase 1 (Competition and Consumer Protection Commission, 2022). M&amp;S also confirmed in its completion announcement that all necessary approvals had been obtained (Marks and Spencer Group plc, 2022b). At the same time, assessment of transactions of this kind cannot stop at legal form or procedural clearance alone. It also </w:t>
      </w:r>
      <w:proofErr w:type="gramStart"/>
      <w:r w:rsidRPr="00F67105">
        <w:rPr>
          <w:rFonts w:ascii="Times New Roman" w:hAnsi="Times New Roman" w:cs="Times New Roman"/>
          <w:sz w:val="24"/>
          <w:lang w:val="en-US"/>
        </w:rPr>
        <w:t>has to</w:t>
      </w:r>
      <w:proofErr w:type="gramEnd"/>
      <w:r w:rsidRPr="00F67105">
        <w:rPr>
          <w:rFonts w:ascii="Times New Roman" w:hAnsi="Times New Roman" w:cs="Times New Roman"/>
          <w:sz w:val="24"/>
          <w:lang w:val="en-US"/>
        </w:rPr>
        <w:t xml:space="preserve"> return to their actual economic effects (Salinger, 2024).</w:t>
      </w:r>
    </w:p>
    <w:p w14:paraId="503955DD"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lastRenderedPageBreak/>
        <w:t>Overall, the strategic significance of the Gist acquisition lies in the stronger control it gave M&amp;S over a core part of the food supply chain. It is best understood from a long-term strategic perspective, while still being considered within the institutional boundaries of merger control and competition policy.</w:t>
      </w:r>
    </w:p>
    <w:p w14:paraId="59AB7576"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p>
    <w:p w14:paraId="429FD84D" w14:textId="77777777" w:rsidR="00F67105" w:rsidRPr="00F67105" w:rsidRDefault="00F67105" w:rsidP="00F67105">
      <w:pPr>
        <w:spacing w:after="0" w:line="480" w:lineRule="auto"/>
        <w:jc w:val="center"/>
        <w:rPr>
          <w:rFonts w:ascii="Times New Roman" w:hAnsi="Times New Roman" w:cs="Times New Roman"/>
          <w:b/>
          <w:bCs/>
          <w:sz w:val="24"/>
          <w:lang w:val="en-US"/>
        </w:rPr>
      </w:pPr>
      <w:r w:rsidRPr="00F67105">
        <w:rPr>
          <w:rFonts w:ascii="Times New Roman" w:hAnsi="Times New Roman" w:cs="Times New Roman"/>
          <w:b/>
          <w:bCs/>
          <w:sz w:val="24"/>
          <w:lang w:val="en-US"/>
        </w:rPr>
        <w:t>4. Financial outcomes and value creation</w:t>
      </w:r>
    </w:p>
    <w:p w14:paraId="0939D3B9"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The acquisition has already shown </w:t>
      </w:r>
      <w:proofErr w:type="gramStart"/>
      <w:r w:rsidRPr="00F67105">
        <w:rPr>
          <w:rFonts w:ascii="Times New Roman" w:hAnsi="Times New Roman" w:cs="Times New Roman"/>
          <w:sz w:val="24"/>
          <w:lang w:val="en-US"/>
        </w:rPr>
        <w:t>fairly clear</w:t>
      </w:r>
      <w:proofErr w:type="gramEnd"/>
      <w:r w:rsidRPr="00F67105">
        <w:rPr>
          <w:rFonts w:ascii="Times New Roman" w:hAnsi="Times New Roman" w:cs="Times New Roman"/>
          <w:sz w:val="24"/>
          <w:lang w:val="en-US"/>
        </w:rPr>
        <w:t xml:space="preserve"> early financial benefits, but those benefits still need to be judged in the light of longer-term value creation.</w:t>
      </w:r>
    </w:p>
    <w:p w14:paraId="0A7C1A35"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In its 2023 annual report, M&amp;S linked the transaction to an initial contribution of around £27 million (Marks and Spencer Group plc, 2023a). Later, in its 2023/24 half-year results, the company reported more than £30 million of benefits from Gist and linked them to supply chain </w:t>
      </w:r>
      <w:proofErr w:type="spellStart"/>
      <w:r w:rsidRPr="00F67105">
        <w:rPr>
          <w:rFonts w:ascii="Times New Roman" w:hAnsi="Times New Roman" w:cs="Times New Roman"/>
          <w:sz w:val="24"/>
          <w:lang w:val="en-US"/>
        </w:rPr>
        <w:t>modernisation</w:t>
      </w:r>
      <w:proofErr w:type="spellEnd"/>
      <w:r w:rsidRPr="00F67105">
        <w:rPr>
          <w:rFonts w:ascii="Times New Roman" w:hAnsi="Times New Roman" w:cs="Times New Roman"/>
          <w:sz w:val="24"/>
          <w:lang w:val="en-US"/>
        </w:rPr>
        <w:t xml:space="preserve"> and the recovery of food margins (Marks and Spencer Group plc, 2023c). These figures suggest that the acquisition </w:t>
      </w:r>
      <w:proofErr w:type="gramStart"/>
      <w:r w:rsidRPr="00F67105">
        <w:rPr>
          <w:rFonts w:ascii="Times New Roman" w:hAnsi="Times New Roman" w:cs="Times New Roman"/>
          <w:sz w:val="24"/>
          <w:lang w:val="en-US"/>
        </w:rPr>
        <w:t>had</w:t>
      </w:r>
      <w:proofErr w:type="gramEnd"/>
      <w:r w:rsidRPr="00F67105">
        <w:rPr>
          <w:rFonts w:ascii="Times New Roman" w:hAnsi="Times New Roman" w:cs="Times New Roman"/>
          <w:sz w:val="24"/>
          <w:lang w:val="en-US"/>
        </w:rPr>
        <w:t xml:space="preserve"> already begun to improve profitability.</w:t>
      </w:r>
    </w:p>
    <w:p w14:paraId="560606FE"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The </w:t>
      </w:r>
      <w:proofErr w:type="spellStart"/>
      <w:r w:rsidRPr="00F67105">
        <w:rPr>
          <w:rFonts w:ascii="Times New Roman" w:hAnsi="Times New Roman" w:cs="Times New Roman"/>
          <w:sz w:val="24"/>
          <w:lang w:val="en-US"/>
        </w:rPr>
        <w:t>realisation</w:t>
      </w:r>
      <w:proofErr w:type="spellEnd"/>
      <w:r w:rsidRPr="00F67105">
        <w:rPr>
          <w:rFonts w:ascii="Times New Roman" w:hAnsi="Times New Roman" w:cs="Times New Roman"/>
          <w:sz w:val="24"/>
          <w:lang w:val="en-US"/>
        </w:rPr>
        <w:t xml:space="preserve"> of bottom-line synergies depends on whether the implementation path matches the original rationale of the transaction (</w:t>
      </w:r>
      <w:proofErr w:type="spellStart"/>
      <w:r w:rsidRPr="00F67105">
        <w:rPr>
          <w:rFonts w:ascii="Times New Roman" w:hAnsi="Times New Roman" w:cs="Times New Roman"/>
          <w:sz w:val="24"/>
          <w:lang w:val="en-US"/>
        </w:rPr>
        <w:t>Shijaku</w:t>
      </w:r>
      <w:proofErr w:type="spellEnd"/>
      <w:r w:rsidRPr="00F67105">
        <w:rPr>
          <w:rFonts w:ascii="Times New Roman" w:hAnsi="Times New Roman" w:cs="Times New Roman"/>
          <w:sz w:val="24"/>
          <w:lang w:val="en-US"/>
        </w:rPr>
        <w:t>, Lou and Bauer, 2026). In this case, M&amp;S first set out objectives such as removing fees, aligning processes and improving logistics control (Marks and Spencer Group plc, 2022a), and later reported margin improvement as a financial result (Marks and Spencer Group plc, 2023c).</w:t>
      </w:r>
    </w:p>
    <w:p w14:paraId="404730C4"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The surplus cash explanation has limited value in this case. Cash-rich acquisitions may reflect agency problems and do not necessarily support shareholder value (Yang, Su and Zhu, 2023). By contrast, the public case for the Gist acquisition was consistently </w:t>
      </w:r>
      <w:r w:rsidRPr="00F67105">
        <w:rPr>
          <w:rFonts w:ascii="Times New Roman" w:hAnsi="Times New Roman" w:cs="Times New Roman"/>
          <w:sz w:val="24"/>
          <w:lang w:val="en-US"/>
        </w:rPr>
        <w:lastRenderedPageBreak/>
        <w:t>framed around logistics control, efficiency improvement, margin recovery and long-term returns, both in the original announcement and in later annual reporting (Marks and Spencer Group plc, 2022a; Marks and Spencer Group plc, 2023a). Surplus cash is therefore better treated as a secondary background factor.</w:t>
      </w:r>
    </w:p>
    <w:p w14:paraId="491B533D" w14:textId="408BB5E4"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rPr>
        <w:t xml:space="preserve">At the same time, early profit improvement does not in itself prove that the full value of the acquisition has already been realised. A proper judgement still needs to consider the capital committed to the deal, the cash flows generated afterwards and the durability of the reported gains. Short-term financial improvement may reflect the early phase of integration, whereas long-term net value depends on whether these benefits can be sustained in future operations (Kwasi </w:t>
      </w:r>
      <w:proofErr w:type="spellStart"/>
      <w:r w:rsidRPr="00F67105">
        <w:rPr>
          <w:rFonts w:ascii="Times New Roman" w:hAnsi="Times New Roman" w:cs="Times New Roman"/>
          <w:sz w:val="24"/>
        </w:rPr>
        <w:t>Apreku</w:t>
      </w:r>
      <w:proofErr w:type="spellEnd"/>
      <w:r w:rsidRPr="00F67105">
        <w:rPr>
          <w:rFonts w:ascii="Times New Roman" w:hAnsi="Times New Roman" w:cs="Times New Roman"/>
          <w:sz w:val="24"/>
        </w:rPr>
        <w:t xml:space="preserve">-Djan et al., 2024; </w:t>
      </w:r>
      <w:proofErr w:type="spellStart"/>
      <w:r w:rsidRPr="00F67105">
        <w:rPr>
          <w:rFonts w:ascii="Times New Roman" w:hAnsi="Times New Roman" w:cs="Times New Roman"/>
          <w:sz w:val="24"/>
        </w:rPr>
        <w:t>Shijaku</w:t>
      </w:r>
      <w:proofErr w:type="spellEnd"/>
      <w:r w:rsidRPr="00F67105">
        <w:rPr>
          <w:rFonts w:ascii="Times New Roman" w:hAnsi="Times New Roman" w:cs="Times New Roman"/>
          <w:sz w:val="24"/>
        </w:rPr>
        <w:t>, Lou and Bauer, 2026)</w:t>
      </w:r>
    </w:p>
    <w:p w14:paraId="062697AA"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Overall, the acquisition has already generated visible financial gains. A stronger conclusion, however, depends on whether these gains continue to support long-term net value and are eventually translated into shareholder wealth.</w:t>
      </w:r>
    </w:p>
    <w:p w14:paraId="4807388D"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p>
    <w:p w14:paraId="1194FAAD" w14:textId="77777777" w:rsidR="00F67105" w:rsidRPr="00F67105" w:rsidRDefault="00F67105" w:rsidP="00F67105">
      <w:pPr>
        <w:spacing w:after="0" w:line="480" w:lineRule="auto"/>
        <w:jc w:val="center"/>
        <w:rPr>
          <w:rFonts w:ascii="Times New Roman" w:hAnsi="Times New Roman" w:cs="Times New Roman"/>
          <w:b/>
          <w:bCs/>
          <w:sz w:val="24"/>
          <w:lang w:val="en-US"/>
        </w:rPr>
      </w:pPr>
      <w:r w:rsidRPr="00F67105">
        <w:rPr>
          <w:rFonts w:ascii="Times New Roman" w:hAnsi="Times New Roman" w:cs="Times New Roman"/>
          <w:b/>
          <w:bCs/>
          <w:sz w:val="24"/>
          <w:lang w:val="en-US"/>
        </w:rPr>
        <w:t>5. Shareholders’ wealth as the final criterion</w:t>
      </w:r>
    </w:p>
    <w:p w14:paraId="1B616EE1"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Shareholders’ wealth can be treated as the final criterion because the significance of all the earlier dimensions ultimately depends on whether they contribute to long-term value creation.</w:t>
      </w:r>
    </w:p>
    <w:p w14:paraId="03E771C7"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From the perspective of financial management, </w:t>
      </w:r>
      <w:proofErr w:type="spellStart"/>
      <w:r w:rsidRPr="00F67105">
        <w:rPr>
          <w:rFonts w:ascii="Times New Roman" w:hAnsi="Times New Roman" w:cs="Times New Roman"/>
          <w:sz w:val="24"/>
          <w:lang w:val="en-US"/>
        </w:rPr>
        <w:t>maximising</w:t>
      </w:r>
      <w:proofErr w:type="spellEnd"/>
      <w:r w:rsidRPr="00F67105">
        <w:rPr>
          <w:rFonts w:ascii="Times New Roman" w:hAnsi="Times New Roman" w:cs="Times New Roman"/>
          <w:sz w:val="24"/>
          <w:lang w:val="en-US"/>
        </w:rPr>
        <w:t xml:space="preserve"> shareholders’ wealth remains one of the core objectives of the firm. M&amp;S’s own disclosures also repeatedly link disciplined investment to shareholder returns and long-term returns, so this </w:t>
      </w:r>
      <w:r w:rsidRPr="00F67105">
        <w:rPr>
          <w:rFonts w:ascii="Times New Roman" w:hAnsi="Times New Roman" w:cs="Times New Roman"/>
          <w:sz w:val="24"/>
          <w:lang w:val="en-US"/>
        </w:rPr>
        <w:lastRenderedPageBreak/>
        <w:t>criterion is appropriate in the present case (Marks and Spencer Group plc, 2023a).</w:t>
      </w:r>
    </w:p>
    <w:p w14:paraId="61049012"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At the operational level, the acquisition reduced internal friction, strengthened logistics control and improved operating performance, and this can be supported both by the original intent of the deal and by later operating evidence (Marks and Spencer Group plc, 2022a; Marks and Spencer Group plc, 2023c). At the strategic level, it strengthened M&amp;S’s position within the food supply chain and improved its long-term operating base in UK food retailing. This is supported both by company disclosures and by the European Commission’s framework on non-price competition (Marks and Spencer Group plc, 2023a; European Commission, Directorate General for Competition, 2024). At the financial level, there is already evidence of cost savings, margin recovery and identifiable acquisition-related gains, and this evidence appears in both annual and interim reporting (Marks and Spencer Group plc, 2023a; Marks and Spencer Group plc, 2023c). Taken together, these points suggest that the acquisition has a credible basis for shareholder value creation, and this view is reinforced by the positive link between post-merger integration capability and shareholder value growth (Kwasi </w:t>
      </w:r>
      <w:proofErr w:type="spellStart"/>
      <w:r w:rsidRPr="00F67105">
        <w:rPr>
          <w:rFonts w:ascii="Times New Roman" w:hAnsi="Times New Roman" w:cs="Times New Roman"/>
          <w:sz w:val="24"/>
          <w:lang w:val="en-US"/>
        </w:rPr>
        <w:t>Apreku</w:t>
      </w:r>
      <w:proofErr w:type="spellEnd"/>
      <w:r w:rsidRPr="00F67105">
        <w:rPr>
          <w:rFonts w:ascii="Times New Roman" w:hAnsi="Times New Roman" w:cs="Times New Roman"/>
          <w:sz w:val="24"/>
          <w:lang w:val="en-US"/>
        </w:rPr>
        <w:t>-Djan et al., 2024).</w:t>
      </w:r>
    </w:p>
    <w:p w14:paraId="0717E5E6" w14:textId="77777777" w:rsid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Even so, shareholders’ wealth should still be understood as a dynamic outcome rather than a conclusion that can be fully proved by a small number of early figures. M&amp;A evaluation often needs to consider both market reactions and accounting outcomes (</w:t>
      </w:r>
      <w:proofErr w:type="spellStart"/>
      <w:r w:rsidRPr="00F67105">
        <w:rPr>
          <w:rFonts w:ascii="Times New Roman" w:hAnsi="Times New Roman" w:cs="Times New Roman"/>
          <w:sz w:val="24"/>
          <w:lang w:val="en-US"/>
        </w:rPr>
        <w:t>Kiosses</w:t>
      </w:r>
      <w:proofErr w:type="spellEnd"/>
      <w:r w:rsidRPr="00F67105">
        <w:rPr>
          <w:rFonts w:ascii="Times New Roman" w:hAnsi="Times New Roman" w:cs="Times New Roman"/>
          <w:sz w:val="24"/>
          <w:lang w:val="en-US"/>
        </w:rPr>
        <w:t xml:space="preserve"> et al., 2025), while a </w:t>
      </w:r>
      <w:proofErr w:type="spellStart"/>
      <w:r w:rsidRPr="00F67105">
        <w:rPr>
          <w:rFonts w:ascii="Times New Roman" w:hAnsi="Times New Roman" w:cs="Times New Roman"/>
          <w:sz w:val="24"/>
          <w:lang w:val="en-US"/>
        </w:rPr>
        <w:t>favourable</w:t>
      </w:r>
      <w:proofErr w:type="spellEnd"/>
      <w:r w:rsidRPr="00F67105">
        <w:rPr>
          <w:rFonts w:ascii="Times New Roman" w:hAnsi="Times New Roman" w:cs="Times New Roman"/>
          <w:sz w:val="24"/>
          <w:lang w:val="en-US"/>
        </w:rPr>
        <w:t xml:space="preserve"> announcement-period reaction does not automatically settle the longer-term value question (Chowdhury and Doukas, 2026). The same caution applies here. Current evidence is strong enough to support the view </w:t>
      </w:r>
      <w:r w:rsidRPr="00F67105">
        <w:rPr>
          <w:rFonts w:ascii="Times New Roman" w:hAnsi="Times New Roman" w:cs="Times New Roman"/>
          <w:sz w:val="24"/>
          <w:lang w:val="en-US"/>
        </w:rPr>
        <w:lastRenderedPageBreak/>
        <w:t>that the Gist acquisition is moving in a value-enhancing direction, but a fuller judgement still depends on whether the operating and financial improvements can be sustained over time.</w:t>
      </w:r>
    </w:p>
    <w:p w14:paraId="1FD97825"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p>
    <w:p w14:paraId="3ADB567D" w14:textId="77777777" w:rsidR="00F67105" w:rsidRPr="00F67105" w:rsidRDefault="00F67105" w:rsidP="00F67105">
      <w:pPr>
        <w:spacing w:after="0" w:line="480" w:lineRule="auto"/>
        <w:jc w:val="center"/>
        <w:rPr>
          <w:rFonts w:ascii="Times New Roman" w:hAnsi="Times New Roman" w:cs="Times New Roman"/>
          <w:b/>
          <w:bCs/>
          <w:sz w:val="24"/>
          <w:lang w:val="en-US"/>
        </w:rPr>
      </w:pPr>
      <w:r w:rsidRPr="00F67105">
        <w:rPr>
          <w:rFonts w:ascii="Times New Roman" w:hAnsi="Times New Roman" w:cs="Times New Roman"/>
          <w:b/>
          <w:bCs/>
          <w:sz w:val="24"/>
          <w:lang w:val="en-US"/>
        </w:rPr>
        <w:t>6. Conclusion</w:t>
      </w:r>
    </w:p>
    <w:p w14:paraId="0B91BA27"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Overall, M&amp;S’s acquisition of Gist broadly achieved its original strategic and financial objectives.</w:t>
      </w:r>
    </w:p>
    <w:p w14:paraId="709F1B3E"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 xml:space="preserve">The strongest evidence lies in operational integration. The deal gave M&amp;S fuller control over a critical logistics function, supported supply chain </w:t>
      </w:r>
      <w:proofErr w:type="spellStart"/>
      <w:r w:rsidRPr="00F67105">
        <w:rPr>
          <w:rFonts w:ascii="Times New Roman" w:hAnsi="Times New Roman" w:cs="Times New Roman"/>
          <w:sz w:val="24"/>
          <w:lang w:val="en-US"/>
        </w:rPr>
        <w:t>modernisation</w:t>
      </w:r>
      <w:proofErr w:type="spellEnd"/>
      <w:r w:rsidRPr="00F67105">
        <w:rPr>
          <w:rFonts w:ascii="Times New Roman" w:hAnsi="Times New Roman" w:cs="Times New Roman"/>
          <w:sz w:val="24"/>
          <w:lang w:val="en-US"/>
        </w:rPr>
        <w:t xml:space="preserve"> and reduced inefficiencies associated with the previous contractual structure (Marks and Spencer Group plc, 2022a; Marks and Spencer Group plc, 2023a). It also brought retail and logistics resources into the same framework and had already begun to translate this into improved operating performance, as shown in the reporting boundaries and post-acquisition governance changes described by M&amp;S and Gist (Marks and Spencer Group plc, 2023b; Gist Limited, 2023).</w:t>
      </w:r>
    </w:p>
    <w:p w14:paraId="22E518C1"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Financial evidence also supports a broadly positive judgement. Both annual and half-year reporting linked the acquisition to visible cost savings, margin recovery and measurable performance contributions (Marks and Spencer Group plc, 2023a; Marks and Spencer Group plc, 2023c). At the same time, the strategic effects of the deal were concentrated in stronger supply chain control and an improved long-term position for M&amp;S in UK food retailing, while diversification had only limited explanatory value (Marks and Spencer Group plc, 2022a).</w:t>
      </w:r>
    </w:p>
    <w:p w14:paraId="49F36813"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lastRenderedPageBreak/>
        <w:t>Caution is still necessary because shareholders’ wealth remains a longer-term issue, and early operating and financial gains do not fully settle the question of acquisition success.</w:t>
      </w:r>
    </w:p>
    <w:p w14:paraId="19EC7114" w14:textId="77777777" w:rsidR="00F67105" w:rsidRPr="00F67105" w:rsidRDefault="00F67105" w:rsidP="00F67105">
      <w:pPr>
        <w:pStyle w:val="a9"/>
        <w:spacing w:after="0" w:line="480" w:lineRule="auto"/>
        <w:ind w:left="0" w:firstLineChars="200" w:firstLine="480"/>
        <w:jc w:val="both"/>
        <w:rPr>
          <w:rFonts w:ascii="Times New Roman" w:hAnsi="Times New Roman" w:cs="Times New Roman"/>
          <w:sz w:val="24"/>
          <w:lang w:val="en-US"/>
        </w:rPr>
      </w:pPr>
      <w:r w:rsidRPr="00F67105">
        <w:rPr>
          <w:rFonts w:ascii="Times New Roman" w:hAnsi="Times New Roman" w:cs="Times New Roman"/>
          <w:sz w:val="24"/>
          <w:lang w:val="en-US"/>
        </w:rPr>
        <w:t>Taken together, the available evidence suggests that the acquisition strengthened M&amp;S’s operating performance, supported profitability, improved its long-term strategic position in the UK food retail market, and provided a credible basis for stronger shareholder wealth.</w:t>
      </w:r>
    </w:p>
    <w:p w14:paraId="5E7CD2B2" w14:textId="651574D9" w:rsidR="004C2100" w:rsidRPr="00F67105" w:rsidRDefault="004C2100" w:rsidP="00F67105">
      <w:pPr>
        <w:pStyle w:val="a9"/>
        <w:spacing w:after="0" w:line="480" w:lineRule="auto"/>
        <w:ind w:left="0" w:firstLineChars="200" w:firstLine="480"/>
        <w:jc w:val="both"/>
        <w:rPr>
          <w:rFonts w:ascii="Times New Roman" w:hAnsi="Times New Roman" w:cs="Times New Roman"/>
          <w:sz w:val="24"/>
          <w:lang w:val="en-US"/>
        </w:rPr>
      </w:pPr>
    </w:p>
    <w:sectPr w:rsidR="004C2100" w:rsidRPr="00F6710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7CA73" w14:textId="77777777" w:rsidR="002719C9" w:rsidRPr="004C2100" w:rsidRDefault="002719C9" w:rsidP="007352C4">
      <w:pPr>
        <w:spacing w:after="0" w:line="240" w:lineRule="auto"/>
      </w:pPr>
      <w:r w:rsidRPr="004C2100">
        <w:separator/>
      </w:r>
    </w:p>
  </w:endnote>
  <w:endnote w:type="continuationSeparator" w:id="0">
    <w:p w14:paraId="0C9CB4D8" w14:textId="77777777" w:rsidR="002719C9" w:rsidRPr="004C2100" w:rsidRDefault="002719C9" w:rsidP="007352C4">
      <w:pPr>
        <w:spacing w:after="0" w:line="240" w:lineRule="auto"/>
      </w:pPr>
      <w:r w:rsidRPr="004C21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BABFA" w14:textId="77777777" w:rsidR="002719C9" w:rsidRPr="004C2100" w:rsidRDefault="002719C9" w:rsidP="007352C4">
      <w:pPr>
        <w:spacing w:after="0" w:line="240" w:lineRule="auto"/>
      </w:pPr>
      <w:r w:rsidRPr="004C2100">
        <w:separator/>
      </w:r>
    </w:p>
  </w:footnote>
  <w:footnote w:type="continuationSeparator" w:id="0">
    <w:p w14:paraId="7C06F187" w14:textId="77777777" w:rsidR="002719C9" w:rsidRPr="004C2100" w:rsidRDefault="002719C9" w:rsidP="007352C4">
      <w:pPr>
        <w:spacing w:after="0" w:line="240" w:lineRule="auto"/>
      </w:pPr>
      <w:r w:rsidRPr="004C210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273F95"/>
    <w:multiLevelType w:val="hybridMultilevel"/>
    <w:tmpl w:val="9E162B88"/>
    <w:lvl w:ilvl="0" w:tplc="D046A1C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68462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811"/>
    <w:rsid w:val="00051479"/>
    <w:rsid w:val="000A435B"/>
    <w:rsid w:val="000B4811"/>
    <w:rsid w:val="002719C9"/>
    <w:rsid w:val="002A4BA8"/>
    <w:rsid w:val="002B2F11"/>
    <w:rsid w:val="00420EE3"/>
    <w:rsid w:val="004C2100"/>
    <w:rsid w:val="007352C4"/>
    <w:rsid w:val="007769B7"/>
    <w:rsid w:val="00821001"/>
    <w:rsid w:val="009F65F3"/>
    <w:rsid w:val="00BD5CA6"/>
    <w:rsid w:val="00D93969"/>
    <w:rsid w:val="00F50685"/>
    <w:rsid w:val="00F67105"/>
    <w:rsid w:val="00FB6F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78ABF"/>
  <w15:chartTrackingRefBased/>
  <w15:docId w15:val="{91943333-0952-47DD-A9B4-2CFBB0EF8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paragraph" w:styleId="1">
    <w:name w:val="heading 1"/>
    <w:basedOn w:val="a"/>
    <w:next w:val="a"/>
    <w:link w:val="10"/>
    <w:uiPriority w:val="9"/>
    <w:qFormat/>
    <w:rsid w:val="000B481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B481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B481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B481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B481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B4811"/>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B481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B481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B481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B481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B481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B481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B4811"/>
    <w:rPr>
      <w:rFonts w:cstheme="majorBidi"/>
      <w:color w:val="0F4761" w:themeColor="accent1" w:themeShade="BF"/>
      <w:sz w:val="28"/>
      <w:szCs w:val="28"/>
    </w:rPr>
  </w:style>
  <w:style w:type="character" w:customStyle="1" w:styleId="50">
    <w:name w:val="标题 5 字符"/>
    <w:basedOn w:val="a0"/>
    <w:link w:val="5"/>
    <w:uiPriority w:val="9"/>
    <w:semiHidden/>
    <w:rsid w:val="000B4811"/>
    <w:rPr>
      <w:rFonts w:cstheme="majorBidi"/>
      <w:color w:val="0F4761" w:themeColor="accent1" w:themeShade="BF"/>
      <w:sz w:val="24"/>
    </w:rPr>
  </w:style>
  <w:style w:type="character" w:customStyle="1" w:styleId="60">
    <w:name w:val="标题 6 字符"/>
    <w:basedOn w:val="a0"/>
    <w:link w:val="6"/>
    <w:uiPriority w:val="9"/>
    <w:semiHidden/>
    <w:rsid w:val="000B4811"/>
    <w:rPr>
      <w:rFonts w:cstheme="majorBidi"/>
      <w:b/>
      <w:bCs/>
      <w:color w:val="0F4761" w:themeColor="accent1" w:themeShade="BF"/>
    </w:rPr>
  </w:style>
  <w:style w:type="character" w:customStyle="1" w:styleId="70">
    <w:name w:val="标题 7 字符"/>
    <w:basedOn w:val="a0"/>
    <w:link w:val="7"/>
    <w:uiPriority w:val="9"/>
    <w:semiHidden/>
    <w:rsid w:val="000B4811"/>
    <w:rPr>
      <w:rFonts w:cstheme="majorBidi"/>
      <w:b/>
      <w:bCs/>
      <w:color w:val="595959" w:themeColor="text1" w:themeTint="A6"/>
    </w:rPr>
  </w:style>
  <w:style w:type="character" w:customStyle="1" w:styleId="80">
    <w:name w:val="标题 8 字符"/>
    <w:basedOn w:val="a0"/>
    <w:link w:val="8"/>
    <w:uiPriority w:val="9"/>
    <w:semiHidden/>
    <w:rsid w:val="000B4811"/>
    <w:rPr>
      <w:rFonts w:cstheme="majorBidi"/>
      <w:color w:val="595959" w:themeColor="text1" w:themeTint="A6"/>
    </w:rPr>
  </w:style>
  <w:style w:type="character" w:customStyle="1" w:styleId="90">
    <w:name w:val="标题 9 字符"/>
    <w:basedOn w:val="a0"/>
    <w:link w:val="9"/>
    <w:uiPriority w:val="9"/>
    <w:semiHidden/>
    <w:rsid w:val="000B4811"/>
    <w:rPr>
      <w:rFonts w:eastAsiaTheme="majorEastAsia" w:cstheme="majorBidi"/>
      <w:color w:val="595959" w:themeColor="text1" w:themeTint="A6"/>
    </w:rPr>
  </w:style>
  <w:style w:type="paragraph" w:styleId="a3">
    <w:name w:val="Title"/>
    <w:basedOn w:val="a"/>
    <w:next w:val="a"/>
    <w:link w:val="a4"/>
    <w:uiPriority w:val="10"/>
    <w:qFormat/>
    <w:rsid w:val="000B481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B481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B481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B481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B4811"/>
    <w:pPr>
      <w:spacing w:before="160"/>
      <w:jc w:val="center"/>
    </w:pPr>
    <w:rPr>
      <w:i/>
      <w:iCs/>
      <w:color w:val="404040" w:themeColor="text1" w:themeTint="BF"/>
    </w:rPr>
  </w:style>
  <w:style w:type="character" w:customStyle="1" w:styleId="a8">
    <w:name w:val="引用 字符"/>
    <w:basedOn w:val="a0"/>
    <w:link w:val="a7"/>
    <w:uiPriority w:val="29"/>
    <w:rsid w:val="000B4811"/>
    <w:rPr>
      <w:i/>
      <w:iCs/>
      <w:color w:val="404040" w:themeColor="text1" w:themeTint="BF"/>
    </w:rPr>
  </w:style>
  <w:style w:type="paragraph" w:styleId="a9">
    <w:name w:val="List Paragraph"/>
    <w:basedOn w:val="a"/>
    <w:uiPriority w:val="34"/>
    <w:qFormat/>
    <w:rsid w:val="000B4811"/>
    <w:pPr>
      <w:ind w:left="720"/>
      <w:contextualSpacing/>
    </w:pPr>
  </w:style>
  <w:style w:type="character" w:styleId="aa">
    <w:name w:val="Intense Emphasis"/>
    <w:basedOn w:val="a0"/>
    <w:uiPriority w:val="21"/>
    <w:qFormat/>
    <w:rsid w:val="000B4811"/>
    <w:rPr>
      <w:i/>
      <w:iCs/>
      <w:color w:val="0F4761" w:themeColor="accent1" w:themeShade="BF"/>
    </w:rPr>
  </w:style>
  <w:style w:type="paragraph" w:styleId="ab">
    <w:name w:val="Intense Quote"/>
    <w:basedOn w:val="a"/>
    <w:next w:val="a"/>
    <w:link w:val="ac"/>
    <w:uiPriority w:val="30"/>
    <w:qFormat/>
    <w:rsid w:val="000B48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B4811"/>
    <w:rPr>
      <w:i/>
      <w:iCs/>
      <w:color w:val="0F4761" w:themeColor="accent1" w:themeShade="BF"/>
    </w:rPr>
  </w:style>
  <w:style w:type="character" w:styleId="ad">
    <w:name w:val="Intense Reference"/>
    <w:basedOn w:val="a0"/>
    <w:uiPriority w:val="32"/>
    <w:qFormat/>
    <w:rsid w:val="000B4811"/>
    <w:rPr>
      <w:b/>
      <w:bCs/>
      <w:smallCaps/>
      <w:color w:val="0F4761" w:themeColor="accent1" w:themeShade="BF"/>
      <w:spacing w:val="5"/>
    </w:rPr>
  </w:style>
  <w:style w:type="paragraph" w:styleId="ae">
    <w:name w:val="header"/>
    <w:basedOn w:val="a"/>
    <w:link w:val="af"/>
    <w:uiPriority w:val="99"/>
    <w:unhideWhenUsed/>
    <w:rsid w:val="007352C4"/>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7352C4"/>
    <w:rPr>
      <w:sz w:val="18"/>
      <w:szCs w:val="18"/>
    </w:rPr>
  </w:style>
  <w:style w:type="paragraph" w:styleId="af0">
    <w:name w:val="footer"/>
    <w:basedOn w:val="a"/>
    <w:link w:val="af1"/>
    <w:uiPriority w:val="99"/>
    <w:unhideWhenUsed/>
    <w:rsid w:val="007352C4"/>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7352C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2259</TotalTime>
  <Pages>11</Pages>
  <Words>2508</Words>
  <Characters>14628</Characters>
  <Application>Microsoft Office Word</Application>
  <DocSecurity>0</DocSecurity>
  <Lines>232</Lines>
  <Paragraphs>52</Paragraphs>
  <ScaleCrop>false</ScaleCrop>
  <Company/>
  <LinksUpToDate>false</LinksUpToDate>
  <CharactersWithSpaces>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Tianchun Han (2503556)</dc:creator>
  <cp:keywords/>
  <dc:description/>
  <cp:lastModifiedBy>Tianchun Han (2503556)</cp:lastModifiedBy>
  <cp:revision>9</cp:revision>
  <dcterms:created xsi:type="dcterms:W3CDTF">2026-03-15T21:22:00Z</dcterms:created>
  <dcterms:modified xsi:type="dcterms:W3CDTF">2026-03-27T23:19:00Z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24c19cdc-cc77-4d3f-9c11-63e6f2f4a2f9</vt:lpwstr>
  </property>
</Properties>
</file>